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Author"/>
        <w:spacing w:line="240" w:lineRule="auto"/>
        <w:rPr>
          <w:rFonts w:ascii="Arial" w:hAnsi="Arial" w:cs="Arial"/>
          <w:bCs/>
          <w:iCs/>
          <w:kern w:val="28"/>
          <w:sz w:val="36"/>
        </w:rPr>
      </w:pPr>
      <w:r>
        <w:rPr>
          <w:rFonts w:ascii="Arial" w:hAnsi="Arial" w:cs="Arial"/>
          <w:bCs/>
          <w:iCs/>
          <w:kern w:val="28"/>
          <w:sz w:val="36"/>
        </w:rPr>
        <w:t xml:space="preserve">Assessment of Cellulolytic, Potassium, and Phosphate Solubilizing of Bacteria from Bali Cattle Rumen as Potential Compost </w:t>
      </w:r>
      <w:proofErr w:type="spellStart"/>
      <w:r>
        <w:rPr>
          <w:rFonts w:ascii="Arial" w:hAnsi="Arial" w:cs="Arial"/>
          <w:bCs/>
          <w:iCs/>
          <w:kern w:val="28"/>
          <w:sz w:val="36"/>
        </w:rPr>
        <w:t>Bioactivators</w:t>
      </w:r>
      <w:proofErr w:type="spellEnd"/>
      <w:r>
        <w:rPr>
          <w:rFonts w:ascii="Arial" w:hAnsi="Arial" w:cs="Arial"/>
          <w:bCs/>
          <w:iCs/>
          <w:kern w:val="28"/>
          <w:sz w:val="36"/>
        </w:rPr>
        <w:t xml:space="preserve"> </w:t>
      </w:r>
    </w:p>
    <w:p>
      <w:pPr>
        <w:pStyle w:val="Author"/>
        <w:spacing w:line="240" w:lineRule="auto"/>
        <w:jc w:val="both"/>
        <w:rPr>
          <w:rFonts w:ascii="Arial" w:hAnsi="Arial" w:cs="Arial"/>
          <w:szCs w:val="24"/>
        </w:rPr>
      </w:pPr>
    </w:p>
    <w:p>
      <w:pPr>
        <w:pStyle w:val="Copyright"/>
        <w:spacing w:after="0" w:line="240" w:lineRule="auto"/>
        <w:jc w:val="both"/>
        <w:rPr>
          <w:rFonts w:ascii="Arial" w:hAnsi="Arial" w:cs="Arial"/>
        </w:rPr>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extent cx="5303520" cy="635"/>
                <wp:effectExtent l="13335" t="9525" r="17145"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spt="32" o:oned="t" path="m,l21600,21600e" filled="f">
                <v:path arrowok="t" fillok="f" o:connecttype="none"/>
                <o:lock v:ext="edit" shapetype="t"/>
              </v:shapetype>
              <v:shape id="AutoShape 2" o:spid="_x0000_i1025" type="#_x0000_t32" style="width:417.6pt;height:0.05pt;mso-left-percent:-10001;mso-position-horizontal-relative:char;mso-position-vertical-relative:line;mso-top-percent:-10001;mso-wrap-style:square;visibility:visible" strokeweight="1.5pt">
                <w10:anchorlock/>
              </v:shape>
            </w:pict>
          </mc:Fallback>
        </mc:AlternateContent>
      </w:r>
      <w:r>
        <w:rPr>
          <w:rFonts w:ascii="Arial" w:hAnsi="Arial" w:cs="Arial"/>
        </w:rPr>
        <w:t>.</w:t>
      </w:r>
    </w:p>
    <w:p>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tc>
          <w:tcPr>
            <w:tcW w:w="9576" w:type="dxa"/>
            <w:shd w:val="clear" w:color="auto" w:fill="F2F2F2"/>
          </w:tcPr>
          <w:p>
            <w:pPr>
              <w:pStyle w:val="Body"/>
              <w:spacing w:after="0"/>
              <w:rPr>
                <w:rFonts w:ascii="Arial" w:eastAsia="Calibri" w:hAnsi="Arial" w:cs="Arial"/>
                <w:szCs w:val="22"/>
              </w:rPr>
            </w:pPr>
            <w:r>
              <w:rPr>
                <w:rFonts w:ascii="Arial" w:eastAsia="Calibri" w:hAnsi="Arial" w:cs="Arial"/>
                <w:szCs w:val="22"/>
              </w:rPr>
              <w:t>Rumen fluid of Bali cattle contains a highly diverse and functionally active bacterial community, offering valuable potential for compos</w:t>
            </w:r>
            <w:bookmarkStart w:id="0" w:name="_GoBack"/>
            <w:bookmarkEnd w:id="0"/>
            <w:r>
              <w:rPr>
                <w:rFonts w:ascii="Arial" w:eastAsia="Calibri" w:hAnsi="Arial" w:cs="Arial"/>
                <w:szCs w:val="22"/>
              </w:rPr>
              <w:t xml:space="preserve">t bioactivation. This study aimed to isolate and characterize cellulolytic, phosphate, and potassium-solubilizing bacteria from the rumen and assess their roles in supporting composting processes. A range of bacterial isolates was successfully obtained and grown on selective media, revealing distinct functional groups including those capable of degrading cellulose, solubilizing phosphate and potassium, fixing nitrogen, and producing IAA. Functional screening using clear zone assays confirmed enzymatic activities related to organic matter decomposition and nutrient solubilization. </w:t>
            </w:r>
            <w:r>
              <w:rPr>
                <w:rFonts w:ascii="Arial" w:eastAsia="Calibri" w:hAnsi="Arial" w:cs="Arial"/>
                <w:color w:val="000000" w:themeColor="text1"/>
                <w:szCs w:val="22"/>
              </w:rPr>
              <w:t>Several isolates exhibited multifunctional traits, demonstrating simultaneous activity across multiple biochemical processes. These findings highlight the ability of rumen-derived bacteria to accelerate composting, enhance nutrient availability, and improve the overall compost quality. Compared to previous studies, the microbial diversity observed in Bali cattle rumen was notably higher, likely influenced by forage-based diets and the adaptive conditions of the rumen environment. The results support the application of these indigenous bacterial strains as effective bioactivators in sustainable composting systems and organic waste management strategies.</w:t>
            </w:r>
          </w:p>
        </w:tc>
      </w:tr>
    </w:tbl>
    <w:p>
      <w:pPr>
        <w:pStyle w:val="Body"/>
        <w:spacing w:after="0"/>
        <w:rPr>
          <w:rFonts w:ascii="Arial" w:hAnsi="Arial" w:cs="Arial"/>
          <w:i/>
        </w:rPr>
      </w:pPr>
    </w:p>
    <w:p>
      <w:pPr>
        <w:pStyle w:val="Body"/>
        <w:spacing w:after="0"/>
        <w:rPr>
          <w:rFonts w:ascii="Arial" w:hAnsi="Arial" w:cs="Arial"/>
          <w:i/>
        </w:rPr>
      </w:pPr>
      <w:r>
        <w:rPr>
          <w:rFonts w:ascii="Arial" w:hAnsi="Arial" w:cs="Arial"/>
          <w:i/>
        </w:rPr>
        <w:t xml:space="preserve">Keywords: Bali cattle, rumen fluid, cellulolytic bacteria, potassium decomposing bacteria, phosphate decomposing bacteria. </w:t>
      </w:r>
    </w:p>
    <w:p>
      <w:pPr>
        <w:pStyle w:val="Body"/>
        <w:spacing w:after="0"/>
        <w:rPr>
          <w:rFonts w:ascii="Arial" w:hAnsi="Arial" w:cs="Arial"/>
          <w:i/>
        </w:rPr>
      </w:pPr>
    </w:p>
    <w:p>
      <w:pPr>
        <w:pStyle w:val="AbstHead"/>
        <w:spacing w:after="0"/>
        <w:jc w:val="both"/>
        <w:rPr>
          <w:rFonts w:ascii="Arial" w:hAnsi="Arial" w:cs="Arial"/>
        </w:rPr>
      </w:pPr>
      <w:r>
        <w:rPr>
          <w:rFonts w:ascii="Arial" w:hAnsi="Arial" w:cs="Arial"/>
        </w:rPr>
        <w:t xml:space="preserve">1. INTRODUCTION </w:t>
      </w:r>
    </w:p>
    <w:p>
      <w:pPr>
        <w:pStyle w:val="AbstHead"/>
        <w:jc w:val="both"/>
        <w:rPr>
          <w:rFonts w:ascii="Arial" w:hAnsi="Arial" w:cs="Arial"/>
          <w:b w:val="0"/>
          <w:caps w:val="0"/>
          <w:sz w:val="20"/>
        </w:rPr>
      </w:pPr>
      <w:r>
        <w:rPr>
          <w:rFonts w:ascii="Arial" w:hAnsi="Arial" w:cs="Arial"/>
          <w:b w:val="0"/>
          <w:caps w:val="0"/>
          <w:sz w:val="20"/>
        </w:rPr>
        <w:t>The increasing accumulation of organic waste (OW), particularly from agricultural and livestock productions, poses significant environmental and economic challenges. Sustainable management of these waste streams is crucial for promoting nutrient cycling, improving soil health, and contributing to a circular economy (Kiyasudeen et al., 2016). Currently, composting stands out as an effective and environmentally friendly method for converting OW into valuable soil amendments, aligning with broader goals of sustainable development and the Sustainable Development Goals (SDGs), particularly those related to a sustainable economy, environmental conservation, and social welfare (Senadheera et al., 2024). The composting process, while natural, can be significantly accelerated and optimized through the application of bio-activators. Rumen contents, a type of livestock waste, offer a promising and cost-effective source of bio-activators (</w:t>
      </w:r>
      <w:proofErr w:type="spellStart"/>
      <w:r>
        <w:rPr>
          <w:rFonts w:ascii="Arial" w:hAnsi="Arial" w:cs="Arial"/>
          <w:b w:val="0"/>
          <w:caps w:val="0"/>
          <w:sz w:val="20"/>
        </w:rPr>
        <w:t>Kiyasudeen</w:t>
      </w:r>
      <w:proofErr w:type="spellEnd"/>
      <w:r>
        <w:rPr>
          <w:rFonts w:ascii="Arial" w:hAnsi="Arial" w:cs="Arial"/>
          <w:b w:val="0"/>
          <w:caps w:val="0"/>
          <w:sz w:val="20"/>
        </w:rPr>
        <w:t xml:space="preserve"> et al., 2016). The utilization of local microorganisms (MOL) as bio-activators offers an effective and accessible solution for enhancing organic matter decomposition (Dewilda et al., 2023). MOL, defined as a collection of locally cultivated microorganisms embodying a "zero-waste" concept, can serve as an effective starter culture for organic compost production and, importantly, contribute to feed quality enhancement (Costello, 2019; Ullah et al., 2022). MOL solutions are rich in macro and micro-nutrients and contain diverse bacterial populations with multifaceted potentials. These bacteria act as effective decomposers of organic matter, plant growth stimulants, and agents for controlling pests and diseases, enabling MOL to function as both a biofertilizer enhancer and an organic biopesticide, particularly as a fungicide. Research indicates that the incorporation of MOL into composting processes results in high nutrient content in the final </w:t>
      </w:r>
      <w:r>
        <w:rPr>
          <w:rFonts w:ascii="Arial" w:hAnsi="Arial" w:cs="Arial"/>
          <w:b w:val="0"/>
          <w:caps w:val="0"/>
          <w:sz w:val="20"/>
        </w:rPr>
        <w:lastRenderedPageBreak/>
        <w:t xml:space="preserve">compost, often accompanied by a dominant cellulolytic bacterial population (Kawalekar, 2013). Consequently, MOL shows substantial potential for </w:t>
      </w:r>
      <w:proofErr w:type="spellStart"/>
      <w:r>
        <w:rPr>
          <w:rFonts w:ascii="Arial" w:hAnsi="Arial" w:cs="Arial"/>
          <w:b w:val="0"/>
          <w:caps w:val="0"/>
          <w:sz w:val="20"/>
        </w:rPr>
        <w:t>enhanching</w:t>
      </w:r>
      <w:proofErr w:type="spellEnd"/>
      <w:r>
        <w:rPr>
          <w:rFonts w:ascii="Arial" w:hAnsi="Arial" w:cs="Arial"/>
          <w:b w:val="0"/>
          <w:caps w:val="0"/>
          <w:sz w:val="20"/>
        </w:rPr>
        <w:t xml:space="preserve"> the quality of various agricultural waste products. The efficacy of MOL is primarily attributed to the synergistic activities of its constituent microbial populations, particularly the diverse bacterial consortia inherent to these solutions.</w:t>
      </w:r>
    </w:p>
    <w:p>
      <w:pPr>
        <w:pStyle w:val="AbstHead"/>
        <w:jc w:val="both"/>
        <w:rPr>
          <w:rFonts w:ascii="Arial" w:hAnsi="Arial" w:cs="Arial"/>
          <w:b w:val="0"/>
          <w:caps w:val="0"/>
          <w:sz w:val="20"/>
        </w:rPr>
      </w:pPr>
      <w:r>
        <w:rPr>
          <w:rFonts w:ascii="Arial" w:hAnsi="Arial" w:cs="Arial"/>
          <w:b w:val="0"/>
          <w:caps w:val="0"/>
          <w:sz w:val="20"/>
        </w:rPr>
        <w:t xml:space="preserve">Bacterial consortia are pivotal in the composting process, driving the enhanced degradation of complex OWs. These consortia comprise various bacterial strains, each possessing specific enzymatic activities crucial for the breakdown of diverse organic compounds. Studies have demonstrated that such microbial consortia can markedly accelerate the composting of agricultural and kitchen waste, leading to more efficient waste management (Cao et al., 2022). Their efficacy stems from the production of key enzymes, including protease, lipase, amylase, and cellulose, which are instrumental in organic material decomposition (Oviedo-Ocaña et al., 2022). Therefore, the strategic application of bacterial consortia in composting offers a sustainable and environmentally sound approach to organic waste management, fostering nutrient recycling and promoting soil health. </w:t>
      </w:r>
    </w:p>
    <w:p>
      <w:pPr>
        <w:pStyle w:val="AbstHead"/>
        <w:spacing w:after="0"/>
        <w:jc w:val="both"/>
        <w:rPr>
          <w:rFonts w:ascii="Arial" w:hAnsi="Arial" w:cs="Arial"/>
          <w:caps w:val="0"/>
          <w:color w:val="000000" w:themeColor="text1"/>
          <w:sz w:val="20"/>
        </w:rPr>
      </w:pPr>
      <w:r>
        <w:rPr>
          <w:rFonts w:ascii="Arial" w:hAnsi="Arial" w:cs="Arial"/>
          <w:b w:val="0"/>
          <w:caps w:val="0"/>
          <w:color w:val="000000" w:themeColor="text1"/>
          <w:sz w:val="20"/>
        </w:rPr>
        <w:t>The rumen, a specialized digestive organ in ruminants, hosts a highly efficient and diverse microbial ecosystem renowned for its exceptional ability to degrade complex plant polysaccharides. This unique environment makes rumen contents a compelling, yet underexplored, source of potent microbial bio-activators for various biotechnological applications, including composting. Despite this inherent potential, a significant research gap persists in comprehensively characterizing the specific multi-functional capabilities of rumen bacteria, particularly their combined cellulolytic, potassium-solubilizing, and phosphorus-solubilizing activities, for broader agricultural waste management applications. In this study, Bali cattle were specifically selected as the potential source for cellulolytic bacteria producers due to their well-documented adaptation to thrive on low-quality, high-fiber indigenous forages, which indicates a highly efficient and robust cellulolytic microbial community within their rumen system. In light of this background, this study aimed to explore and characterize the cellulolytic, potassium-solubilizing, and phosphorus-solubilizing potentials of bacteria isolated from the rumen of Bali cattle.</w:t>
      </w:r>
    </w:p>
    <w:p>
      <w:pPr>
        <w:pStyle w:val="AbstHead"/>
        <w:spacing w:after="0"/>
        <w:jc w:val="both"/>
        <w:rPr>
          <w:rFonts w:ascii="Arial" w:hAnsi="Arial" w:cs="Arial"/>
          <w:b w:val="0"/>
          <w:caps w:val="0"/>
          <w:sz w:val="20"/>
        </w:rPr>
      </w:pPr>
    </w:p>
    <w:p>
      <w:pPr>
        <w:pStyle w:val="AbstHead"/>
        <w:spacing w:after="0"/>
        <w:jc w:val="both"/>
        <w:rPr>
          <w:rFonts w:ascii="Arial" w:hAnsi="Arial" w:cs="Arial"/>
        </w:rPr>
      </w:pPr>
      <w:r>
        <w:rPr>
          <w:rFonts w:ascii="Arial" w:hAnsi="Arial" w:cs="Arial"/>
        </w:rPr>
        <w:t xml:space="preserve">2. methodology </w:t>
      </w:r>
    </w:p>
    <w:p>
      <w:pPr>
        <w:pStyle w:val="AbstHead"/>
        <w:spacing w:after="0"/>
        <w:jc w:val="both"/>
        <w:rPr>
          <w:rFonts w:ascii="Arial" w:hAnsi="Arial" w:cs="Arial"/>
        </w:rPr>
      </w:pPr>
    </w:p>
    <w:p>
      <w:pPr>
        <w:jc w:val="both"/>
        <w:rPr>
          <w:rFonts w:ascii="Arial" w:hAnsi="Arial" w:cs="Arial"/>
          <w:b/>
          <w:bCs/>
          <w:i/>
          <w:iCs/>
          <w:sz w:val="22"/>
        </w:rPr>
      </w:pPr>
      <w:r>
        <w:rPr>
          <w:rFonts w:ascii="Arial" w:hAnsi="Arial" w:cs="Arial"/>
          <w:b/>
          <w:bCs/>
          <w:i/>
          <w:iCs/>
          <w:sz w:val="22"/>
        </w:rPr>
        <w:t>Study Location and Duration</w:t>
      </w:r>
    </w:p>
    <w:p>
      <w:pPr>
        <w:ind w:firstLine="720"/>
        <w:jc w:val="both"/>
        <w:rPr>
          <w:rFonts w:ascii="Arial" w:hAnsi="Arial" w:cs="Arial"/>
        </w:rPr>
      </w:pPr>
      <w:r>
        <w:rPr>
          <w:rFonts w:ascii="Arial" w:hAnsi="Arial" w:cs="Arial"/>
        </w:rPr>
        <w:t xml:space="preserve">This study was conducted at the Animal Husbandry Laboratory and Agronomy Laboratory, Faculty of Agriculture, University of Bengkulu, Indonesia, from November 2023 to June 2024. </w:t>
      </w:r>
    </w:p>
    <w:p>
      <w:pPr>
        <w:jc w:val="both"/>
        <w:rPr>
          <w:rFonts w:ascii="Arial" w:hAnsi="Arial" w:cs="Arial"/>
        </w:rPr>
      </w:pPr>
    </w:p>
    <w:p>
      <w:pPr>
        <w:jc w:val="both"/>
        <w:rPr>
          <w:rFonts w:ascii="Arial" w:hAnsi="Arial" w:cs="Arial"/>
          <w:b/>
          <w:bCs/>
          <w:i/>
          <w:iCs/>
          <w:sz w:val="22"/>
        </w:rPr>
      </w:pPr>
      <w:r>
        <w:rPr>
          <w:rFonts w:ascii="Arial" w:hAnsi="Arial" w:cs="Arial"/>
          <w:b/>
          <w:bCs/>
          <w:i/>
          <w:iCs/>
          <w:sz w:val="22"/>
        </w:rPr>
        <w:t>Ethical Approval</w:t>
      </w:r>
    </w:p>
    <w:p>
      <w:pPr>
        <w:ind w:firstLine="720"/>
        <w:jc w:val="both"/>
        <w:rPr>
          <w:rFonts w:ascii="Arial" w:hAnsi="Arial" w:cs="Arial"/>
        </w:rPr>
      </w:pPr>
      <w:r>
        <w:rPr>
          <w:rFonts w:ascii="Arial" w:hAnsi="Arial" w:cs="Arial"/>
        </w:rPr>
        <w:t>This research was conducted according to the ethical standards and guidelines for the use of animals in scientific research. The study protocol was reviewed and approved by the Ethics Committee of the Research and Community Service Institute, University of Bengkulu, Indonesia, under approval number: 76/KER-LPPM/EC/2025.</w:t>
      </w:r>
    </w:p>
    <w:p>
      <w:pPr>
        <w:ind w:firstLine="720"/>
        <w:jc w:val="both"/>
        <w:rPr>
          <w:rFonts w:ascii="Arial" w:hAnsi="Arial" w:cs="Arial"/>
        </w:rPr>
      </w:pPr>
    </w:p>
    <w:p>
      <w:pPr>
        <w:jc w:val="both"/>
        <w:rPr>
          <w:rFonts w:ascii="Arial" w:hAnsi="Arial" w:cs="Arial"/>
          <w:b/>
          <w:bCs/>
          <w:i/>
          <w:iCs/>
          <w:sz w:val="22"/>
        </w:rPr>
      </w:pPr>
      <w:r>
        <w:rPr>
          <w:rFonts w:ascii="Arial" w:hAnsi="Arial" w:cs="Arial"/>
          <w:b/>
          <w:bCs/>
          <w:i/>
          <w:iCs/>
          <w:sz w:val="22"/>
        </w:rPr>
        <w:t>Sample Collection and Preparation</w:t>
      </w:r>
    </w:p>
    <w:p>
      <w:pPr>
        <w:ind w:firstLine="720"/>
        <w:jc w:val="both"/>
        <w:rPr>
          <w:rFonts w:ascii="Arial" w:hAnsi="Arial" w:cs="Arial"/>
        </w:rPr>
      </w:pPr>
      <w:r>
        <w:rPr>
          <w:rFonts w:ascii="Arial" w:hAnsi="Arial" w:cs="Arial"/>
        </w:rPr>
        <w:t>Fresh rumen fluid (100 mL) was collected from Bali cattle immediately after slaughter at a local slaughterhouse in Bengkulu City. The samples were transported to the laboratory within two hours in sterile glass bottles placed in an ice-filled cooler box to maintain microbial viability. Upon arrival, the fluid was filtered to remove coarse particles and serially diluted using a sterile 0.85% NaCl solution for further microbial isolation.</w:t>
      </w:r>
    </w:p>
    <w:p>
      <w:pPr>
        <w:ind w:firstLine="720"/>
        <w:jc w:val="both"/>
        <w:rPr>
          <w:rFonts w:ascii="Arial" w:hAnsi="Arial" w:cs="Arial"/>
        </w:rPr>
      </w:pPr>
    </w:p>
    <w:p>
      <w:pPr>
        <w:jc w:val="both"/>
        <w:rPr>
          <w:rFonts w:ascii="Arial" w:hAnsi="Arial" w:cs="Arial"/>
          <w:b/>
          <w:bCs/>
          <w:i/>
          <w:iCs/>
          <w:sz w:val="22"/>
        </w:rPr>
      </w:pPr>
      <w:r>
        <w:rPr>
          <w:rFonts w:ascii="Arial" w:hAnsi="Arial" w:cs="Arial"/>
          <w:b/>
          <w:bCs/>
          <w:i/>
          <w:iCs/>
          <w:sz w:val="22"/>
        </w:rPr>
        <w:t>Sterilization Procedures and Media Preparation</w:t>
      </w:r>
    </w:p>
    <w:p>
      <w:pPr>
        <w:jc w:val="both"/>
        <w:rPr>
          <w:rFonts w:ascii="Arial" w:hAnsi="Arial" w:cs="Arial"/>
        </w:rPr>
      </w:pPr>
      <w:r>
        <w:rPr>
          <w:rFonts w:ascii="Arial" w:hAnsi="Arial" w:cs="Arial"/>
        </w:rPr>
        <w:lastRenderedPageBreak/>
        <w:t>All media and glassware were sterilized using standard procedures. Media were autoclaved at 121°C and 15 psi. Glassware was dry-sterilized at 160°C for 2 hours, and metal tools were sterilized by ethanol flaming under a laminar airflow hood. Media used included CMC Agar, Pikovskaya Agar, Alexandrov Agar, Nitrogen-Free Bromothymol Blue (NFB) medium, Nutrient Agar (NA), Nutrient Broth (NB), and Salkowski reagent for IAA detection.</w:t>
      </w:r>
    </w:p>
    <w:p>
      <w:pPr>
        <w:jc w:val="both"/>
        <w:rPr>
          <w:rFonts w:ascii="Arial" w:hAnsi="Arial" w:cs="Arial"/>
        </w:rPr>
      </w:pPr>
    </w:p>
    <w:p>
      <w:pPr>
        <w:jc w:val="both"/>
        <w:rPr>
          <w:rFonts w:ascii="Arial" w:hAnsi="Arial" w:cs="Arial"/>
          <w:i/>
          <w:iCs/>
          <w:sz w:val="22"/>
        </w:rPr>
      </w:pPr>
      <w:r>
        <w:rPr>
          <w:rFonts w:ascii="Arial" w:hAnsi="Arial" w:cs="Arial"/>
          <w:b/>
          <w:bCs/>
          <w:i/>
          <w:iCs/>
          <w:sz w:val="22"/>
        </w:rPr>
        <w:t>Isolation and Preliminary Screening of Target Bacteria</w:t>
      </w:r>
    </w:p>
    <w:p>
      <w:pPr>
        <w:ind w:firstLine="720"/>
        <w:jc w:val="both"/>
        <w:rPr>
          <w:rFonts w:ascii="Arial" w:hAnsi="Arial" w:cs="Arial"/>
        </w:rPr>
      </w:pPr>
      <w:r>
        <w:rPr>
          <w:rFonts w:ascii="Arial" w:hAnsi="Arial" w:cs="Arial"/>
        </w:rPr>
        <w:t>Bacteria were isolated from serially diluted rumen fluid using the spot inoculation method onto selective media for five target functions:</w:t>
      </w:r>
    </w:p>
    <w:p>
      <w:pPr>
        <w:ind w:firstLine="720"/>
        <w:jc w:val="both"/>
        <w:rPr>
          <w:rFonts w:ascii="Arial" w:hAnsi="Arial" w:cs="Arial"/>
        </w:rPr>
      </w:pPr>
    </w:p>
    <w:p>
      <w:pPr>
        <w:jc w:val="both"/>
        <w:rPr>
          <w:rFonts w:ascii="Arial" w:hAnsi="Arial" w:cs="Arial"/>
          <w:b/>
          <w:bCs/>
          <w:i/>
          <w:iCs/>
          <w:sz w:val="22"/>
        </w:rPr>
      </w:pPr>
      <w:r>
        <w:rPr>
          <w:rFonts w:ascii="Arial" w:hAnsi="Arial" w:cs="Arial"/>
          <w:b/>
          <w:bCs/>
          <w:i/>
          <w:iCs/>
          <w:sz w:val="22"/>
        </w:rPr>
        <w:t>Cellulolytic Activity Assay</w:t>
      </w:r>
    </w:p>
    <w:p>
      <w:pPr>
        <w:ind w:firstLine="720"/>
        <w:jc w:val="both"/>
        <w:rPr>
          <w:rFonts w:ascii="Arial" w:hAnsi="Arial" w:cs="Arial"/>
        </w:rPr>
      </w:pPr>
      <w:r>
        <w:rPr>
          <w:rFonts w:ascii="Arial" w:hAnsi="Arial" w:cs="Arial"/>
        </w:rPr>
        <w:t xml:space="preserve">A single colony was inoculated onto a CMC medium and incubated at 37°C for 24–48 hours. Plates were flooded with 0.1% Congo red solution and left for 15 minutes, followed by washing with 1 M NaCl three times. A clear halo around colonies indicated cellulose degradation. The cellulolytic index (IS) was calculated as follows (adapted from </w:t>
      </w:r>
      <w:r>
        <w:rPr>
          <w:rFonts w:ascii="Arial" w:hAnsi="Arial" w:cs="Arial"/>
        </w:rPr>
        <w:fldChar w:fldCharType="begin" w:fldLock="1"/>
      </w:r>
      <w:r>
        <w:rPr>
          <w:rFonts w:ascii="Arial" w:hAnsi="Arial" w:cs="Arial"/>
        </w:rPr>
        <w:instrText>ADDIN CSL_CITATION {"citationItems":[{"id":"ITEM-1","itemData":{"ISSN":"2722-4783","author":[{"dropping-particle":"","family":"Hidayatulloh","given":"Akhmad","non-dropping-particle":"","parse-names":false,"suffix":""},{"dropping-particle":"","family":"Yahdiyani","given":"Nadhira","non-dropping-particle":"","parse-names":false,"suffix":""},{"dropping-particle":"","family":"Nurhayati","given":"Lilih Siti","non-dropping-particle":"","parse-names":false,"suffix":""}],"container-title":"Jurnal Teknologi Hasil Peternakan","id":"ITEM-1","issue":"2","issued":{"date-parts":[["2022"]]},"page":"65-72","title":"Isolasi dan Seleksi Bakteri Kandidat Selulolitik dari Proses Pembuatan Pupuk Organik pada Pengolahan Limbah Peternakan","type":"article-journal","volume":"3"},"uris":["http://www.mendeley.com/documents/?uuid=ea92a2fc-1b5f-46e2-8d9e-12bdbce81b3b"]}],"mendeley":{"formattedCitation":"(Hidayatulloh &lt;i&gt;et al.&lt;/i&gt;, 2022)","manualFormatting":"Hidayatulloh et al. (2022)","plainTextFormattedCitation":"(Hidayatulloh et al., 2022)","previouslyFormattedCitation":"(Hidayatulloh &lt;i&gt;et al.&lt;/i&gt;, 2022)"},"properties":{"noteIndex":0},"schema":"https://github.com/citation-style-language/schema/raw/master/csl-citation.json"}</w:instrText>
      </w:r>
      <w:r>
        <w:rPr>
          <w:rFonts w:ascii="Arial" w:hAnsi="Arial" w:cs="Arial"/>
        </w:rPr>
        <w:fldChar w:fldCharType="separate"/>
      </w:r>
      <w:r>
        <w:rPr>
          <w:rFonts w:ascii="Arial" w:hAnsi="Arial" w:cs="Arial"/>
          <w:noProof/>
        </w:rPr>
        <w:t xml:space="preserve">Hidayatulloh </w:t>
      </w:r>
      <w:r>
        <w:rPr>
          <w:rFonts w:ascii="Arial" w:hAnsi="Arial" w:cs="Arial"/>
          <w:i/>
          <w:noProof/>
        </w:rPr>
        <w:t>et al.</w:t>
      </w:r>
      <w:r>
        <w:rPr>
          <w:rFonts w:ascii="Arial" w:hAnsi="Arial" w:cs="Arial"/>
          <w:noProof/>
        </w:rPr>
        <w:t xml:space="preserve"> (2022)</w:t>
      </w:r>
      <w:r>
        <w:rPr>
          <w:rFonts w:ascii="Arial" w:hAnsi="Arial" w:cs="Arial"/>
        </w:rPr>
        <w:fldChar w:fldCharType="end"/>
      </w:r>
      <w:r>
        <w:rPr>
          <w:rFonts w:ascii="Arial" w:hAnsi="Arial" w:cs="Arial"/>
        </w:rPr>
        <w:t>):</w:t>
      </w:r>
    </w:p>
    <w:p>
      <w:pPr>
        <w:jc w:val="both"/>
        <w:rPr>
          <w:rFonts w:ascii="Arial" w:hAnsi="Arial" w:cs="Arial"/>
        </w:rPr>
      </w:pPr>
    </w:p>
    <w:p>
      <w:pPr>
        <w:jc w:val="both"/>
        <w:rPr>
          <w:rFonts w:ascii="Arial" w:hAnsi="Arial" w:cs="Arial"/>
        </w:rPr>
      </w:pPr>
      <w:r>
        <w:rPr>
          <w:rFonts w:ascii="Arial" w:hAnsi="Arial" w:cs="Arial"/>
        </w:rPr>
        <w:t xml:space="preserve">IS = (Clear zone diameter – Colony diameter) / Colony diameter </w:t>
      </w:r>
    </w:p>
    <w:p>
      <w:pPr>
        <w:jc w:val="both"/>
        <w:rPr>
          <w:rFonts w:ascii="Arial" w:hAnsi="Arial" w:cs="Arial"/>
        </w:rPr>
      </w:pPr>
    </w:p>
    <w:p>
      <w:pPr>
        <w:jc w:val="both"/>
        <w:rPr>
          <w:rFonts w:ascii="Arial" w:hAnsi="Arial" w:cs="Arial"/>
          <w:b/>
          <w:bCs/>
          <w:i/>
          <w:iCs/>
          <w:sz w:val="22"/>
        </w:rPr>
      </w:pPr>
      <w:r>
        <w:rPr>
          <w:rFonts w:ascii="Arial" w:hAnsi="Arial" w:cs="Arial"/>
          <w:b/>
          <w:bCs/>
          <w:i/>
          <w:iCs/>
          <w:sz w:val="22"/>
        </w:rPr>
        <w:t>Nitrogen-Fixation Ability</w:t>
      </w:r>
    </w:p>
    <w:p>
      <w:pPr>
        <w:ind w:firstLine="720"/>
        <w:jc w:val="both"/>
        <w:rPr>
          <w:rFonts w:ascii="Arial" w:hAnsi="Arial" w:cs="Arial"/>
        </w:rPr>
      </w:pPr>
      <w:r>
        <w:rPr>
          <w:rFonts w:ascii="Arial" w:hAnsi="Arial" w:cs="Arial"/>
        </w:rPr>
        <w:t>Isolates were pre-cultured in NB for 24 hours, then 1 mL of suspension was inoculated into 9 mL of semi-solid NFB medium and incubated at 30°C for 10 days. A color change from green to blue indicated nitrogen fixation activity (Baldani et al., 2014). Isolates were pre-cultured in NB for 24 hours, then 1 mL of suspension was inoculated into 9 mL of semi-solid NFB medium and incubated at 30°C for 10 days. A color change from green to blue indicated nitrogen fixation activity (</w:t>
      </w:r>
      <w:proofErr w:type="spellStart"/>
      <w:r>
        <w:rPr>
          <w:rFonts w:ascii="Arial" w:hAnsi="Arial" w:cs="Arial"/>
        </w:rPr>
        <w:t>Baldani</w:t>
      </w:r>
      <w:proofErr w:type="spellEnd"/>
      <w:r>
        <w:rPr>
          <w:rFonts w:ascii="Arial" w:hAnsi="Arial" w:cs="Arial"/>
        </w:rPr>
        <w:t xml:space="preserve"> et al., 2014). For quantitative assessment, a standard curve was prepared using </w:t>
      </w:r>
      <w:proofErr w:type="spellStart"/>
      <w:r>
        <w:rPr>
          <w:rFonts w:ascii="Arial" w:hAnsi="Arial" w:cs="Arial"/>
        </w:rPr>
        <w:t>NH</w:t>
      </w:r>
      <w:r>
        <w:rPr>
          <w:rFonts w:ascii="Cambria Math" w:hAnsi="Cambria Math" w:cs="Cambria Math"/>
        </w:rPr>
        <w:t>₄</w:t>
      </w:r>
      <w:r>
        <w:rPr>
          <w:rFonts w:ascii="Arial" w:hAnsi="Arial" w:cs="Arial"/>
        </w:rPr>
        <w:t>Cl</w:t>
      </w:r>
      <w:proofErr w:type="spellEnd"/>
      <w:r>
        <w:rPr>
          <w:rFonts w:ascii="Arial" w:hAnsi="Arial" w:cs="Arial"/>
        </w:rPr>
        <w:t xml:space="preserve"> at concentrations of 0.125, 0.25, 0.5, and 0.75 ppm. Each 50 mL </w:t>
      </w:r>
      <w:proofErr w:type="spellStart"/>
      <w:r>
        <w:rPr>
          <w:rFonts w:ascii="Arial" w:hAnsi="Arial" w:cs="Arial"/>
        </w:rPr>
        <w:t>NH</w:t>
      </w:r>
      <w:r>
        <w:rPr>
          <w:rFonts w:ascii="Cambria Math" w:hAnsi="Cambria Math" w:cs="Cambria Math"/>
        </w:rPr>
        <w:t>₄</w:t>
      </w:r>
      <w:r>
        <w:rPr>
          <w:rFonts w:ascii="Arial" w:hAnsi="Arial" w:cs="Arial"/>
        </w:rPr>
        <w:t>Cl</w:t>
      </w:r>
      <w:proofErr w:type="spellEnd"/>
      <w:r>
        <w:rPr>
          <w:rFonts w:ascii="Arial" w:hAnsi="Arial" w:cs="Arial"/>
        </w:rPr>
        <w:t xml:space="preserve"> solution was mixed with 1 mL Nessler reagent and absorbance was measured to establish a linear regression (</w:t>
      </w:r>
      <w:proofErr w:type="spellStart"/>
      <w:r>
        <w:rPr>
          <w:rFonts w:ascii="Arial" w:hAnsi="Arial" w:cs="Arial"/>
        </w:rPr>
        <w:t>Juliasih</w:t>
      </w:r>
      <w:proofErr w:type="spellEnd"/>
      <w:r>
        <w:rPr>
          <w:rFonts w:ascii="Arial" w:hAnsi="Arial" w:cs="Arial"/>
        </w:rPr>
        <w:t xml:space="preserve"> et al., 2024).</w:t>
      </w:r>
    </w:p>
    <w:p>
      <w:pPr>
        <w:ind w:firstLine="720"/>
        <w:jc w:val="both"/>
        <w:rPr>
          <w:rFonts w:ascii="Arial" w:hAnsi="Arial" w:cs="Arial"/>
        </w:rPr>
      </w:pPr>
    </w:p>
    <w:p>
      <w:pPr>
        <w:jc w:val="both"/>
        <w:rPr>
          <w:rFonts w:ascii="Arial" w:hAnsi="Arial" w:cs="Arial"/>
          <w:b/>
          <w:bCs/>
          <w:i/>
          <w:iCs/>
          <w:sz w:val="22"/>
        </w:rPr>
      </w:pPr>
      <w:r>
        <w:rPr>
          <w:rFonts w:ascii="Arial" w:hAnsi="Arial" w:cs="Arial"/>
          <w:b/>
          <w:bCs/>
          <w:i/>
          <w:iCs/>
          <w:sz w:val="22"/>
        </w:rPr>
        <w:t>Phosphate Solubilization Assay</w:t>
      </w:r>
    </w:p>
    <w:p>
      <w:pPr>
        <w:ind w:firstLine="720"/>
        <w:jc w:val="both"/>
        <w:rPr>
          <w:rFonts w:ascii="Arial" w:hAnsi="Arial" w:cs="Arial"/>
        </w:rPr>
      </w:pPr>
      <w:r>
        <w:rPr>
          <w:rFonts w:ascii="Arial" w:hAnsi="Arial" w:cs="Arial"/>
        </w:rPr>
        <w:t>Molten Pikovskaya agar (15 mL) was poured into sterile Petri dishes and solidified. A bacterial suspension (10 mL) from pure isolates was spot-inoculated and incubated at 37°C for 5 days. Transparent zones indicated phosphate solubilization due to organic acid production. Clear zones were measured every 48 hours up to 336 hours and the solubilization index was calculated following the method of</w:t>
      </w:r>
      <w:r>
        <w:rPr>
          <w:rFonts w:ascii="Arial" w:hAnsi="Arial" w:cs="Arial"/>
        </w:rPr>
        <w:fldChar w:fldCharType="begin" w:fldLock="1"/>
      </w:r>
      <w:r>
        <w:rPr>
          <w:rFonts w:ascii="Arial" w:hAnsi="Arial" w:cs="Arial"/>
        </w:rPr>
        <w:instrText>ADDIN CSL_CITATION {"citationItems":[{"id":"ITEM-1","itemData":{"author":[{"dropping-particle":"","family":"Tarigan","given":"Ratna Sari","non-dropping-particle":"","parse-names":false,"suffix":""}],"id":"ITEM-1","issued":{"date-parts":[["2013"]]},"publisher":"Universitas Sumatera Utara","title":"Seleksi Bakteri Penambat Nitrogen dan Penghasil Hormon IAA (Indole Acetic Acid) dan Uji Potensinya terhadap Pertumbuhan dan Produksi Tanaman Kedelai (Glycine max L.)","type":"article"},"uris":["http://www.mendeley.com/documents/?uuid=814d6250-3c0c-47a6-b677-0e86e0ce7fa6"]}],"mendeley":{"formattedCitation":"(Tarigan, 2013)","manualFormatting":" Tarigan (2013)","plainTextFormattedCitation":"(Tarigan, 2013)","previouslyFormattedCitation":"(Tarigan, 2013)"},"properties":{"noteIndex":0},"schema":"https://github.com/citation-style-language/schema/raw/master/csl-citation.json"}</w:instrText>
      </w:r>
      <w:r>
        <w:rPr>
          <w:rFonts w:ascii="Arial" w:hAnsi="Arial" w:cs="Arial"/>
        </w:rPr>
        <w:fldChar w:fldCharType="separate"/>
      </w:r>
      <w:r>
        <w:rPr>
          <w:rFonts w:ascii="Arial" w:hAnsi="Arial" w:cs="Arial"/>
          <w:noProof/>
        </w:rPr>
        <w:t xml:space="preserve"> Tarigan (2013)</w:t>
      </w:r>
      <w:r>
        <w:rPr>
          <w:rFonts w:ascii="Arial" w:hAnsi="Arial" w:cs="Arial"/>
        </w:rPr>
        <w:fldChar w:fldCharType="end"/>
      </w:r>
      <w:r>
        <w:rPr>
          <w:rFonts w:ascii="Arial" w:hAnsi="Arial" w:cs="Arial"/>
        </w:rPr>
        <w:t>.</w:t>
      </w:r>
    </w:p>
    <w:p>
      <w:pPr>
        <w:jc w:val="both"/>
        <w:rPr>
          <w:rFonts w:ascii="Arial" w:hAnsi="Arial" w:cs="Arial"/>
        </w:rPr>
      </w:pPr>
    </w:p>
    <w:p>
      <w:pPr>
        <w:jc w:val="both"/>
        <w:rPr>
          <w:rFonts w:ascii="Arial" w:hAnsi="Arial" w:cs="Arial"/>
          <w:b/>
          <w:bCs/>
          <w:i/>
          <w:iCs/>
          <w:sz w:val="22"/>
        </w:rPr>
      </w:pPr>
      <w:r>
        <w:rPr>
          <w:rFonts w:ascii="Arial" w:hAnsi="Arial" w:cs="Arial"/>
          <w:b/>
          <w:bCs/>
          <w:i/>
          <w:iCs/>
          <w:sz w:val="22"/>
        </w:rPr>
        <w:t>Potassium Solubilization Assay</w:t>
      </w:r>
    </w:p>
    <w:p>
      <w:pPr>
        <w:ind w:firstLine="720"/>
        <w:jc w:val="both"/>
        <w:rPr>
          <w:rFonts w:ascii="Arial" w:hAnsi="Arial" w:cs="Arial"/>
        </w:rPr>
      </w:pPr>
      <w:r>
        <w:rPr>
          <w:rFonts w:ascii="Arial" w:hAnsi="Arial" w:cs="Arial"/>
        </w:rPr>
        <w:t>Alexandrov agar (15 mL) was poured into sterile Petri dishes and allowed to solidify. A bacterial suspension was spot-inoculated and plates were incubated at 37°C for 7 days. Clear zones indicated potassium solubilization via extracellular organic acids binding K</w:t>
      </w:r>
      <w:r>
        <w:rPr>
          <w:rFonts w:ascii="Cambria Math" w:hAnsi="Cambria Math" w:cs="Cambria Math"/>
        </w:rPr>
        <w:t>⁺</w:t>
      </w:r>
      <w:r>
        <w:rPr>
          <w:rFonts w:ascii="Arial" w:hAnsi="Arial" w:cs="Arial"/>
        </w:rPr>
        <w:t xml:space="preserve"> ions (K</w:t>
      </w:r>
      <w:r>
        <w:rPr>
          <w:rFonts w:ascii="Cambria Math" w:hAnsi="Cambria Math" w:cs="Cambria Math"/>
        </w:rPr>
        <w:t>₂</w:t>
      </w:r>
      <w:r>
        <w:rPr>
          <w:rFonts w:ascii="Arial" w:hAnsi="Arial" w:cs="Arial"/>
        </w:rPr>
        <w:t>HPO</w:t>
      </w:r>
      <w:r>
        <w:rPr>
          <w:rFonts w:ascii="Cambria Math" w:hAnsi="Cambria Math" w:cs="Cambria Math"/>
        </w:rPr>
        <w:t>₄</w:t>
      </w:r>
      <w:r>
        <w:rPr>
          <w:rFonts w:ascii="Arial" w:hAnsi="Arial" w:cs="Arial"/>
        </w:rPr>
        <w:t>). The clear zone index was calculated as follows:</w:t>
      </w:r>
    </w:p>
    <w:p>
      <w:pPr>
        <w:jc w:val="both"/>
        <w:rPr>
          <w:rFonts w:ascii="Arial" w:hAnsi="Arial" w:cs="Arial"/>
        </w:rPr>
      </w:pPr>
    </w:p>
    <w:p>
      <w:pPr>
        <w:spacing w:line="360" w:lineRule="auto"/>
        <w:jc w:val="both"/>
        <w:rPr>
          <w:rFonts w:asciiTheme="majorBidi" w:hAnsiTheme="majorBidi" w:cstheme="majorBidi"/>
          <w:lang w:val="nb-NO"/>
        </w:rPr>
      </w:pPr>
      <w:r>
        <w:rPr>
          <w:rFonts w:ascii="Arial" w:hAnsi="Arial" w:cs="Arial"/>
        </w:rPr>
        <w:t xml:space="preserve">Clear zone index=  </w:t>
      </w:r>
      <m:oMath>
        <m:f>
          <m:fPr>
            <m:ctrlPr>
              <w:rPr>
                <w:rFonts w:ascii="Cambria Math" w:hAnsi="Cambria Math" w:cs="Arial"/>
                <w:sz w:val="24"/>
                <w:szCs w:val="24"/>
              </w:rPr>
            </m:ctrlPr>
          </m:fPr>
          <m:num>
            <m:r>
              <m:rPr>
                <m:sty m:val="p"/>
              </m:rPr>
              <w:rPr>
                <w:rFonts w:ascii="Cambria Math" w:hAnsi="Cambria Math" w:cs="Arial"/>
                <w:sz w:val="24"/>
                <w:szCs w:val="24"/>
              </w:rPr>
              <m:t>Clear zone diameter+ CColony diameter</m:t>
            </m:r>
          </m:num>
          <m:den>
            <m:r>
              <m:rPr>
                <m:sty m:val="p"/>
              </m:rPr>
              <w:rPr>
                <w:rFonts w:ascii="Cambria Math" w:hAnsi="Cambria Math" w:cs="Arial"/>
                <w:sz w:val="24"/>
                <w:szCs w:val="24"/>
              </w:rPr>
              <m:t>Colony diameter</m:t>
            </m:r>
          </m:den>
        </m:f>
      </m:oMath>
      <w:r>
        <w:rPr>
          <w:rFonts w:asciiTheme="majorBidi" w:hAnsiTheme="majorBidi" w:cstheme="majorBidi"/>
          <w:lang w:val="nb-NO"/>
        </w:rPr>
        <w:t xml:space="preserve"> </w:t>
      </w:r>
    </w:p>
    <w:p>
      <w:pPr>
        <w:jc w:val="both"/>
        <w:rPr>
          <w:rFonts w:ascii="Arial" w:hAnsi="Arial" w:cs="Arial"/>
          <w:b/>
          <w:bCs/>
          <w:i/>
          <w:iCs/>
          <w:sz w:val="22"/>
        </w:rPr>
      </w:pPr>
      <w:r>
        <w:rPr>
          <w:rFonts w:ascii="Arial" w:hAnsi="Arial" w:cs="Arial"/>
          <w:b/>
          <w:bCs/>
          <w:i/>
          <w:iCs/>
          <w:sz w:val="22"/>
        </w:rPr>
        <w:t>Indole-3-Acetic Acid (IAA) Production:</w:t>
      </w:r>
    </w:p>
    <w:p>
      <w:pPr>
        <w:ind w:firstLine="720"/>
        <w:jc w:val="both"/>
        <w:rPr>
          <w:rFonts w:ascii="Arial" w:hAnsi="Arial" w:cs="Arial"/>
        </w:rPr>
      </w:pPr>
      <w:r>
        <w:rPr>
          <w:rFonts w:ascii="Arial" w:hAnsi="Arial" w:cs="Arial"/>
        </w:rPr>
        <w:t>Isolates were cultured in NB supplemented with 0.1 g/L L-tryptophan at 28°C in the dark for 5 days. After incubation, the culture was centrifuged and 4 mL of the supernatant was mixed with 1 mL Salkowski reagent (12 g/L FeCl</w:t>
      </w:r>
      <w:r>
        <w:rPr>
          <w:rFonts w:ascii="Cambria Math" w:hAnsi="Cambria Math" w:cs="Cambria Math"/>
        </w:rPr>
        <w:t>₃</w:t>
      </w:r>
      <w:r>
        <w:rPr>
          <w:rFonts w:ascii="Arial" w:hAnsi="Arial" w:cs="Arial"/>
        </w:rPr>
        <w:t xml:space="preserve"> in 429 mL/L H</w:t>
      </w:r>
      <w:r>
        <w:rPr>
          <w:rFonts w:ascii="Cambria Math" w:hAnsi="Cambria Math" w:cs="Cambria Math"/>
        </w:rPr>
        <w:t>₂</w:t>
      </w:r>
      <w:r>
        <w:rPr>
          <w:rFonts w:ascii="Arial" w:hAnsi="Arial" w:cs="Arial"/>
        </w:rPr>
        <w:t>SO</w:t>
      </w:r>
      <w:r>
        <w:rPr>
          <w:rFonts w:ascii="Cambria Math" w:hAnsi="Cambria Math" w:cs="Cambria Math"/>
        </w:rPr>
        <w:t>₄</w:t>
      </w:r>
      <w:r>
        <w:rPr>
          <w:rFonts w:ascii="Arial" w:hAnsi="Arial" w:cs="Arial"/>
        </w:rPr>
        <w:t>). After 24 hours in the dark at 28°C, the development of a pink color indicated IAA production. Absorbance was measured at 535 nm using a UV-VIS spectrophotometer.</w:t>
      </w:r>
    </w:p>
    <w:p>
      <w:pPr>
        <w:jc w:val="both"/>
        <w:rPr>
          <w:rFonts w:ascii="Arial" w:hAnsi="Arial" w:cs="Arial"/>
          <w:b/>
          <w:bCs/>
        </w:rPr>
      </w:pPr>
    </w:p>
    <w:p>
      <w:pPr>
        <w:pStyle w:val="Head1"/>
        <w:spacing w:after="0"/>
        <w:jc w:val="both"/>
        <w:rPr>
          <w:rFonts w:ascii="Arial" w:hAnsi="Arial" w:cs="Arial"/>
        </w:rPr>
      </w:pPr>
      <w:r>
        <w:rPr>
          <w:rFonts w:ascii="Arial" w:hAnsi="Arial" w:cs="Arial"/>
        </w:rPr>
        <w:lastRenderedPageBreak/>
        <w:t>3. results and discussion</w:t>
      </w:r>
    </w:p>
    <w:p>
      <w:pPr>
        <w:pStyle w:val="Head1"/>
        <w:spacing w:after="0"/>
        <w:jc w:val="both"/>
        <w:rPr>
          <w:rFonts w:ascii="Arial" w:hAnsi="Arial" w:cs="Arial"/>
        </w:rPr>
      </w:pPr>
    </w:p>
    <w:p>
      <w:pPr>
        <w:jc w:val="both"/>
        <w:rPr>
          <w:rFonts w:ascii="Arial" w:hAnsi="Arial" w:cs="Arial"/>
          <w:b/>
          <w:bCs/>
          <w:i/>
          <w:iCs/>
          <w:sz w:val="22"/>
        </w:rPr>
      </w:pPr>
      <w:r>
        <w:rPr>
          <w:rFonts w:ascii="Arial" w:hAnsi="Arial" w:cs="Arial"/>
          <w:b/>
          <w:bCs/>
          <w:i/>
          <w:iCs/>
          <w:sz w:val="22"/>
        </w:rPr>
        <w:t>Bacterial Isolation and Characterization</w:t>
      </w:r>
    </w:p>
    <w:p>
      <w:pPr>
        <w:ind w:firstLine="720"/>
        <w:jc w:val="both"/>
        <w:rPr>
          <w:rFonts w:ascii="Arial" w:hAnsi="Arial" w:cs="Arial"/>
        </w:rPr>
      </w:pPr>
      <w:r>
        <w:rPr>
          <w:rFonts w:ascii="Arial" w:hAnsi="Arial" w:cs="Arial"/>
        </w:rPr>
        <w:t>The total microbial load of Bali cattle rumen fluid revealed considerable variation across microbial groups, as shown in Table 1. The highest microbial density was observed in the control group with an average total plate count of 1.53 × 10⁹ CFU/mL. Among the functional groups, nitrogen-fixing bacteria (TPC N) showed the highest count with 3.0 × 10⁸ CFU/mL, followed by cellulolytic bacteria (TPC CMC) at 2.7 × 10⁸ CFU/mL. Potassium-solubilizing (TPC K), phosphate-solubilizing (TPC P), and IAA-producing bacteria (TPC IAA) exhibited lower counts, recorded at 6.7 × 10⁷, 4.3 × 10⁷, and 7.7 × 10⁶ CFU/mL respectively.</w:t>
      </w:r>
    </w:p>
    <w:tbl>
      <w:tblPr>
        <w:tblW w:w="5000" w:type="pct"/>
        <w:jc w:val="center"/>
        <w:tblBorders>
          <w:bottom w:val="single" w:sz="12" w:space="0" w:color="auto"/>
        </w:tblBorders>
        <w:tblLook w:val="0600" w:firstRow="0" w:lastRow="0" w:firstColumn="0" w:lastColumn="0" w:noHBand="1" w:noVBand="1"/>
      </w:tblPr>
      <w:tblGrid>
        <w:gridCol w:w="1632"/>
        <w:gridCol w:w="3137"/>
        <w:gridCol w:w="3439"/>
      </w:tblGrid>
      <w:tr>
        <w:trPr>
          <w:trHeight w:val="624"/>
          <w:jc w:val="center"/>
        </w:trPr>
        <w:tc>
          <w:tcPr>
            <w:tcW w:w="5000" w:type="pct"/>
            <w:gridSpan w:val="3"/>
            <w:tcBorders>
              <w:bottom w:val="single" w:sz="12" w:space="0" w:color="auto"/>
            </w:tcBorders>
            <w:shd w:val="clear" w:color="auto" w:fill="auto"/>
            <w:vAlign w:val="center"/>
          </w:tcPr>
          <w:p>
            <w:pPr>
              <w:jc w:val="both"/>
              <w:rPr>
                <w:rFonts w:ascii="Arial" w:hAnsi="Arial" w:cs="Arial"/>
              </w:rPr>
            </w:pPr>
            <w:r>
              <w:rPr>
                <w:rFonts w:ascii="Arial" w:hAnsi="Arial" w:cs="Arial"/>
                <w:b/>
                <w:bCs/>
              </w:rPr>
              <w:t>Table 1</w:t>
            </w:r>
            <w:r>
              <w:rPr>
                <w:rFonts w:ascii="Arial" w:hAnsi="Arial" w:cs="Arial"/>
              </w:rPr>
              <w:t xml:space="preserve"> </w:t>
            </w:r>
            <w:r>
              <w:rPr>
                <w:rFonts w:ascii="Arial" w:hAnsi="Arial" w:cs="Arial"/>
                <w:b/>
                <w:bCs/>
              </w:rPr>
              <w:t>shows total plate counts for various microbial groups in the rumen fluid.</w:t>
            </w:r>
          </w:p>
        </w:tc>
      </w:tr>
      <w:tr>
        <w:trPr>
          <w:trHeight w:val="340"/>
          <w:jc w:val="center"/>
        </w:trPr>
        <w:tc>
          <w:tcPr>
            <w:tcW w:w="994" w:type="pct"/>
            <w:tcBorders>
              <w:top w:val="nil"/>
              <w:bottom w:val="single" w:sz="12" w:space="0" w:color="auto"/>
            </w:tcBorders>
            <w:shd w:val="clear" w:color="auto" w:fill="auto"/>
            <w:vAlign w:val="center"/>
          </w:tcPr>
          <w:p>
            <w:pPr>
              <w:rPr>
                <w:rFonts w:ascii="Arial" w:hAnsi="Arial" w:cs="Arial"/>
                <w:sz w:val="18"/>
                <w:szCs w:val="18"/>
              </w:rPr>
            </w:pPr>
          </w:p>
        </w:tc>
        <w:tc>
          <w:tcPr>
            <w:tcW w:w="1911" w:type="pct"/>
            <w:tcBorders>
              <w:top w:val="nil"/>
              <w:bottom w:val="single" w:sz="12" w:space="0" w:color="auto"/>
            </w:tcBorders>
            <w:shd w:val="clear" w:color="auto" w:fill="auto"/>
            <w:vAlign w:val="center"/>
          </w:tcPr>
          <w:p>
            <w:pPr>
              <w:jc w:val="center"/>
              <w:rPr>
                <w:rFonts w:ascii="Arial" w:hAnsi="Arial" w:cs="Arial"/>
                <w:b/>
                <w:sz w:val="18"/>
                <w:szCs w:val="18"/>
              </w:rPr>
            </w:pPr>
            <w:r>
              <w:rPr>
                <w:rFonts w:ascii="Arial" w:hAnsi="Arial" w:cs="Arial"/>
                <w:b/>
                <w:sz w:val="18"/>
                <w:szCs w:val="18"/>
              </w:rPr>
              <w:t>Average total plate count/mL sample</w:t>
            </w:r>
          </w:p>
        </w:tc>
        <w:tc>
          <w:tcPr>
            <w:tcW w:w="2095" w:type="pct"/>
            <w:tcBorders>
              <w:top w:val="nil"/>
              <w:bottom w:val="single" w:sz="12" w:space="0" w:color="auto"/>
            </w:tcBorders>
            <w:shd w:val="clear" w:color="auto" w:fill="auto"/>
            <w:vAlign w:val="center"/>
          </w:tcPr>
          <w:p>
            <w:pPr>
              <w:jc w:val="center"/>
              <w:rPr>
                <w:rFonts w:ascii="Arial" w:hAnsi="Arial" w:cs="Arial"/>
                <w:b/>
                <w:sz w:val="18"/>
                <w:szCs w:val="18"/>
              </w:rPr>
            </w:pPr>
            <w:r>
              <w:rPr>
                <w:rFonts w:ascii="Arial" w:hAnsi="Arial" w:cs="Arial"/>
                <w:b/>
                <w:sz w:val="18"/>
                <w:szCs w:val="18"/>
              </w:rPr>
              <w:t>Colony Forming Unit (CFU)/mL</w:t>
            </w:r>
          </w:p>
        </w:tc>
      </w:tr>
      <w:tr>
        <w:trPr>
          <w:trHeight w:val="20"/>
          <w:jc w:val="center"/>
        </w:trPr>
        <w:tc>
          <w:tcPr>
            <w:tcW w:w="5000" w:type="pct"/>
            <w:gridSpan w:val="3"/>
            <w:tcBorders>
              <w:top w:val="single" w:sz="12" w:space="0" w:color="auto"/>
              <w:bottom w:val="nil"/>
            </w:tcBorders>
            <w:shd w:val="clear" w:color="auto" w:fill="auto"/>
            <w:vAlign w:val="center"/>
          </w:tcPr>
          <w:p>
            <w:pPr>
              <w:jc w:val="center"/>
              <w:rPr>
                <w:rFonts w:ascii="Arial" w:hAnsi="Arial" w:cs="Arial"/>
                <w:sz w:val="10"/>
                <w:szCs w:val="10"/>
              </w:rPr>
            </w:pPr>
          </w:p>
        </w:tc>
      </w:tr>
      <w:tr>
        <w:trPr>
          <w:trHeight w:val="113"/>
          <w:jc w:val="center"/>
        </w:trPr>
        <w:tc>
          <w:tcPr>
            <w:tcW w:w="994" w:type="pct"/>
            <w:tcBorders>
              <w:top w:val="nil"/>
            </w:tcBorders>
            <w:shd w:val="clear" w:color="auto" w:fill="auto"/>
            <w:vAlign w:val="center"/>
          </w:tcPr>
          <w:p>
            <w:pPr>
              <w:rPr>
                <w:rFonts w:ascii="Arial" w:hAnsi="Arial" w:cs="Arial"/>
                <w:sz w:val="18"/>
                <w:szCs w:val="18"/>
              </w:rPr>
            </w:pPr>
            <w:r>
              <w:rPr>
                <w:rFonts w:ascii="Arial" w:hAnsi="Arial" w:cs="Arial"/>
                <w:sz w:val="18"/>
                <w:szCs w:val="18"/>
              </w:rPr>
              <w:t>Control</w:t>
            </w:r>
          </w:p>
        </w:tc>
        <w:tc>
          <w:tcPr>
            <w:tcW w:w="1911" w:type="pct"/>
            <w:tcBorders>
              <w:top w:val="nil"/>
            </w:tcBorders>
            <w:shd w:val="clear" w:color="auto" w:fill="auto"/>
            <w:vAlign w:val="center"/>
          </w:tcPr>
          <w:p>
            <w:pPr>
              <w:jc w:val="center"/>
              <w:rPr>
                <w:rFonts w:ascii="Arial" w:hAnsi="Arial" w:cs="Arial"/>
                <w:sz w:val="18"/>
                <w:szCs w:val="18"/>
              </w:rPr>
            </w:pPr>
            <w:r>
              <w:rPr>
                <w:rFonts w:ascii="Arial" w:hAnsi="Arial" w:cs="Arial"/>
                <w:sz w:val="18"/>
                <w:szCs w:val="18"/>
              </w:rPr>
              <w:t>1.534.090.909</w:t>
            </w:r>
          </w:p>
        </w:tc>
        <w:tc>
          <w:tcPr>
            <w:tcW w:w="2095" w:type="pct"/>
            <w:tcBorders>
              <w:top w:val="nil"/>
            </w:tcBorders>
            <w:shd w:val="clear" w:color="auto" w:fill="auto"/>
            <w:vAlign w:val="center"/>
          </w:tcPr>
          <w:p>
            <w:pPr>
              <w:jc w:val="center"/>
              <w:rPr>
                <w:rFonts w:ascii="Arial" w:hAnsi="Arial" w:cs="Arial"/>
                <w:sz w:val="18"/>
                <w:szCs w:val="18"/>
                <w:vertAlign w:val="superscript"/>
              </w:rPr>
            </w:pPr>
            <w:r>
              <w:rPr>
                <w:rFonts w:ascii="Arial" w:hAnsi="Arial" w:cs="Arial"/>
                <w:sz w:val="18"/>
                <w:szCs w:val="18"/>
              </w:rPr>
              <w:t>1.5 x 10</w:t>
            </w:r>
            <w:r>
              <w:rPr>
                <w:rFonts w:ascii="Arial" w:hAnsi="Arial" w:cs="Arial"/>
                <w:sz w:val="18"/>
                <w:szCs w:val="18"/>
                <w:vertAlign w:val="superscript"/>
              </w:rPr>
              <w:t>9</w:t>
            </w:r>
          </w:p>
        </w:tc>
      </w:tr>
      <w:tr>
        <w:trPr>
          <w:trHeight w:val="113"/>
          <w:jc w:val="center"/>
        </w:trPr>
        <w:tc>
          <w:tcPr>
            <w:tcW w:w="994" w:type="pct"/>
            <w:shd w:val="clear" w:color="auto" w:fill="auto"/>
            <w:vAlign w:val="center"/>
          </w:tcPr>
          <w:p>
            <w:pPr>
              <w:rPr>
                <w:rFonts w:ascii="Arial" w:hAnsi="Arial" w:cs="Arial"/>
                <w:sz w:val="18"/>
                <w:szCs w:val="18"/>
              </w:rPr>
            </w:pPr>
            <w:r>
              <w:rPr>
                <w:rFonts w:ascii="Arial" w:hAnsi="Arial" w:cs="Arial"/>
                <w:sz w:val="18"/>
                <w:szCs w:val="18"/>
              </w:rPr>
              <w:t>Tpc P</w:t>
            </w:r>
          </w:p>
        </w:tc>
        <w:tc>
          <w:tcPr>
            <w:tcW w:w="1911" w:type="pct"/>
            <w:shd w:val="clear" w:color="auto" w:fill="auto"/>
            <w:vAlign w:val="center"/>
          </w:tcPr>
          <w:p>
            <w:pPr>
              <w:jc w:val="center"/>
              <w:rPr>
                <w:rFonts w:ascii="Arial" w:hAnsi="Arial" w:cs="Arial"/>
                <w:sz w:val="18"/>
                <w:szCs w:val="18"/>
              </w:rPr>
            </w:pPr>
            <w:r>
              <w:rPr>
                <w:rFonts w:ascii="Arial" w:hAnsi="Arial" w:cs="Arial"/>
                <w:sz w:val="18"/>
                <w:szCs w:val="18"/>
              </w:rPr>
              <w:t>43.636.364</w:t>
            </w:r>
          </w:p>
        </w:tc>
        <w:tc>
          <w:tcPr>
            <w:tcW w:w="2095" w:type="pct"/>
            <w:shd w:val="clear" w:color="auto" w:fill="auto"/>
            <w:vAlign w:val="center"/>
          </w:tcPr>
          <w:p>
            <w:pPr>
              <w:jc w:val="center"/>
              <w:rPr>
                <w:rFonts w:ascii="Arial" w:hAnsi="Arial" w:cs="Arial"/>
                <w:sz w:val="18"/>
                <w:szCs w:val="18"/>
              </w:rPr>
            </w:pPr>
            <w:r>
              <w:rPr>
                <w:rFonts w:ascii="Arial" w:hAnsi="Arial" w:cs="Arial"/>
                <w:sz w:val="18"/>
                <w:szCs w:val="18"/>
              </w:rPr>
              <w:t>4,3 x 10</w:t>
            </w:r>
            <w:r>
              <w:rPr>
                <w:rFonts w:ascii="Arial" w:hAnsi="Arial" w:cs="Arial"/>
                <w:sz w:val="18"/>
                <w:szCs w:val="18"/>
                <w:vertAlign w:val="superscript"/>
              </w:rPr>
              <w:t>7</w:t>
            </w:r>
          </w:p>
        </w:tc>
      </w:tr>
      <w:tr>
        <w:trPr>
          <w:trHeight w:val="113"/>
          <w:jc w:val="center"/>
        </w:trPr>
        <w:tc>
          <w:tcPr>
            <w:tcW w:w="994" w:type="pct"/>
            <w:shd w:val="clear" w:color="auto" w:fill="auto"/>
            <w:vAlign w:val="center"/>
          </w:tcPr>
          <w:p>
            <w:pPr>
              <w:rPr>
                <w:rFonts w:ascii="Arial" w:hAnsi="Arial" w:cs="Arial"/>
                <w:sz w:val="18"/>
                <w:szCs w:val="18"/>
              </w:rPr>
            </w:pPr>
            <w:r>
              <w:rPr>
                <w:rFonts w:ascii="Arial" w:hAnsi="Arial" w:cs="Arial"/>
                <w:sz w:val="18"/>
                <w:szCs w:val="18"/>
              </w:rPr>
              <w:t>Tpc IAA</w:t>
            </w:r>
          </w:p>
        </w:tc>
        <w:tc>
          <w:tcPr>
            <w:tcW w:w="1911" w:type="pct"/>
            <w:shd w:val="clear" w:color="auto" w:fill="auto"/>
            <w:vAlign w:val="center"/>
          </w:tcPr>
          <w:p>
            <w:pPr>
              <w:jc w:val="center"/>
              <w:rPr>
                <w:rFonts w:ascii="Arial" w:hAnsi="Arial" w:cs="Arial"/>
                <w:sz w:val="18"/>
                <w:szCs w:val="18"/>
              </w:rPr>
            </w:pPr>
            <w:r>
              <w:rPr>
                <w:rFonts w:ascii="Arial" w:hAnsi="Arial" w:cs="Arial"/>
                <w:sz w:val="18"/>
                <w:szCs w:val="18"/>
              </w:rPr>
              <w:t>7.727.273</w:t>
            </w:r>
          </w:p>
        </w:tc>
        <w:tc>
          <w:tcPr>
            <w:tcW w:w="2095" w:type="pct"/>
            <w:shd w:val="clear" w:color="auto" w:fill="auto"/>
            <w:vAlign w:val="center"/>
          </w:tcPr>
          <w:p>
            <w:pPr>
              <w:jc w:val="center"/>
              <w:rPr>
                <w:rFonts w:ascii="Arial" w:hAnsi="Arial" w:cs="Arial"/>
                <w:sz w:val="18"/>
                <w:szCs w:val="18"/>
              </w:rPr>
            </w:pPr>
            <w:r>
              <w:rPr>
                <w:rFonts w:ascii="Arial" w:hAnsi="Arial" w:cs="Arial"/>
                <w:sz w:val="18"/>
                <w:szCs w:val="18"/>
              </w:rPr>
              <w:t>7,7 x 10</w:t>
            </w:r>
            <w:r>
              <w:rPr>
                <w:rFonts w:ascii="Arial" w:hAnsi="Arial" w:cs="Arial"/>
                <w:sz w:val="18"/>
                <w:szCs w:val="18"/>
                <w:vertAlign w:val="superscript"/>
              </w:rPr>
              <w:t>6</w:t>
            </w:r>
          </w:p>
        </w:tc>
      </w:tr>
      <w:tr>
        <w:trPr>
          <w:trHeight w:val="113"/>
          <w:jc w:val="center"/>
        </w:trPr>
        <w:tc>
          <w:tcPr>
            <w:tcW w:w="994" w:type="pct"/>
            <w:shd w:val="clear" w:color="auto" w:fill="auto"/>
            <w:vAlign w:val="center"/>
          </w:tcPr>
          <w:p>
            <w:pPr>
              <w:rPr>
                <w:rFonts w:ascii="Arial" w:hAnsi="Arial" w:cs="Arial"/>
                <w:sz w:val="18"/>
                <w:szCs w:val="18"/>
              </w:rPr>
            </w:pPr>
            <w:r>
              <w:rPr>
                <w:rFonts w:ascii="Arial" w:hAnsi="Arial" w:cs="Arial"/>
                <w:sz w:val="18"/>
                <w:szCs w:val="18"/>
              </w:rPr>
              <w:t>Tpc N</w:t>
            </w:r>
          </w:p>
        </w:tc>
        <w:tc>
          <w:tcPr>
            <w:tcW w:w="1911" w:type="pct"/>
            <w:shd w:val="clear" w:color="auto" w:fill="auto"/>
            <w:vAlign w:val="center"/>
          </w:tcPr>
          <w:p>
            <w:pPr>
              <w:jc w:val="center"/>
              <w:rPr>
                <w:rFonts w:ascii="Arial" w:hAnsi="Arial" w:cs="Arial"/>
                <w:sz w:val="18"/>
                <w:szCs w:val="18"/>
              </w:rPr>
            </w:pPr>
            <w:r>
              <w:rPr>
                <w:rFonts w:ascii="Arial" w:hAnsi="Arial" w:cs="Arial"/>
                <w:sz w:val="18"/>
                <w:szCs w:val="18"/>
              </w:rPr>
              <w:t>300.000.000</w:t>
            </w:r>
          </w:p>
        </w:tc>
        <w:tc>
          <w:tcPr>
            <w:tcW w:w="2095" w:type="pct"/>
            <w:shd w:val="clear" w:color="auto" w:fill="auto"/>
            <w:vAlign w:val="center"/>
          </w:tcPr>
          <w:p>
            <w:pPr>
              <w:jc w:val="center"/>
              <w:rPr>
                <w:rFonts w:ascii="Arial" w:hAnsi="Arial" w:cs="Arial"/>
                <w:sz w:val="18"/>
                <w:szCs w:val="18"/>
              </w:rPr>
            </w:pPr>
            <w:r>
              <w:rPr>
                <w:rFonts w:ascii="Arial" w:hAnsi="Arial" w:cs="Arial"/>
                <w:sz w:val="18"/>
                <w:szCs w:val="18"/>
              </w:rPr>
              <w:t>3 x 10</w:t>
            </w:r>
            <w:r>
              <w:rPr>
                <w:rFonts w:ascii="Arial" w:hAnsi="Arial" w:cs="Arial"/>
                <w:sz w:val="18"/>
                <w:szCs w:val="18"/>
                <w:vertAlign w:val="superscript"/>
              </w:rPr>
              <w:t>8</w:t>
            </w:r>
          </w:p>
        </w:tc>
      </w:tr>
      <w:tr>
        <w:trPr>
          <w:trHeight w:val="113"/>
          <w:jc w:val="center"/>
        </w:trPr>
        <w:tc>
          <w:tcPr>
            <w:tcW w:w="994" w:type="pct"/>
            <w:shd w:val="clear" w:color="auto" w:fill="auto"/>
            <w:vAlign w:val="center"/>
          </w:tcPr>
          <w:p>
            <w:pPr>
              <w:rPr>
                <w:rFonts w:ascii="Arial" w:hAnsi="Arial" w:cs="Arial"/>
                <w:sz w:val="18"/>
                <w:szCs w:val="18"/>
              </w:rPr>
            </w:pPr>
            <w:r>
              <w:rPr>
                <w:rFonts w:ascii="Arial" w:hAnsi="Arial" w:cs="Arial"/>
                <w:sz w:val="18"/>
                <w:szCs w:val="18"/>
              </w:rPr>
              <w:t>Tpc CMC</w:t>
            </w:r>
          </w:p>
        </w:tc>
        <w:tc>
          <w:tcPr>
            <w:tcW w:w="1911" w:type="pct"/>
            <w:shd w:val="clear" w:color="auto" w:fill="auto"/>
            <w:vAlign w:val="center"/>
          </w:tcPr>
          <w:p>
            <w:pPr>
              <w:jc w:val="center"/>
              <w:rPr>
                <w:rFonts w:ascii="Arial" w:hAnsi="Arial" w:cs="Arial"/>
                <w:sz w:val="18"/>
                <w:szCs w:val="18"/>
              </w:rPr>
            </w:pPr>
            <w:r>
              <w:rPr>
                <w:rFonts w:ascii="Arial" w:hAnsi="Arial" w:cs="Arial"/>
                <w:sz w:val="18"/>
                <w:szCs w:val="18"/>
              </w:rPr>
              <w:t>273.344.156</w:t>
            </w:r>
          </w:p>
        </w:tc>
        <w:tc>
          <w:tcPr>
            <w:tcW w:w="2095" w:type="pct"/>
            <w:shd w:val="clear" w:color="auto" w:fill="auto"/>
            <w:vAlign w:val="center"/>
          </w:tcPr>
          <w:p>
            <w:pPr>
              <w:jc w:val="center"/>
              <w:rPr>
                <w:rFonts w:ascii="Arial" w:hAnsi="Arial" w:cs="Arial"/>
                <w:sz w:val="18"/>
                <w:szCs w:val="18"/>
              </w:rPr>
            </w:pPr>
            <w:r>
              <w:rPr>
                <w:rFonts w:ascii="Arial" w:hAnsi="Arial" w:cs="Arial"/>
                <w:sz w:val="18"/>
                <w:szCs w:val="18"/>
              </w:rPr>
              <w:t>2,7 x 10</w:t>
            </w:r>
            <w:r>
              <w:rPr>
                <w:rFonts w:ascii="Arial" w:hAnsi="Arial" w:cs="Arial"/>
                <w:sz w:val="18"/>
                <w:szCs w:val="18"/>
                <w:vertAlign w:val="superscript"/>
              </w:rPr>
              <w:t>8</w:t>
            </w:r>
          </w:p>
        </w:tc>
      </w:tr>
      <w:tr>
        <w:trPr>
          <w:trHeight w:val="113"/>
          <w:jc w:val="center"/>
        </w:trPr>
        <w:tc>
          <w:tcPr>
            <w:tcW w:w="994" w:type="pct"/>
            <w:shd w:val="clear" w:color="auto" w:fill="auto"/>
            <w:vAlign w:val="center"/>
          </w:tcPr>
          <w:p>
            <w:pPr>
              <w:rPr>
                <w:rFonts w:ascii="Arial" w:hAnsi="Arial" w:cs="Arial"/>
                <w:sz w:val="18"/>
                <w:szCs w:val="18"/>
              </w:rPr>
            </w:pPr>
            <w:r>
              <w:rPr>
                <w:rFonts w:ascii="Arial" w:hAnsi="Arial" w:cs="Arial"/>
                <w:sz w:val="18"/>
                <w:szCs w:val="18"/>
              </w:rPr>
              <w:t>Tpc K</w:t>
            </w:r>
          </w:p>
        </w:tc>
        <w:tc>
          <w:tcPr>
            <w:tcW w:w="1911" w:type="pct"/>
            <w:shd w:val="clear" w:color="auto" w:fill="auto"/>
            <w:vAlign w:val="center"/>
          </w:tcPr>
          <w:p>
            <w:pPr>
              <w:jc w:val="center"/>
              <w:rPr>
                <w:rFonts w:ascii="Arial" w:hAnsi="Arial" w:cs="Arial"/>
                <w:sz w:val="18"/>
                <w:szCs w:val="18"/>
              </w:rPr>
            </w:pPr>
            <w:r>
              <w:rPr>
                <w:rFonts w:ascii="Arial" w:hAnsi="Arial" w:cs="Arial"/>
                <w:sz w:val="18"/>
                <w:szCs w:val="18"/>
              </w:rPr>
              <w:t>67.272.727</w:t>
            </w:r>
          </w:p>
        </w:tc>
        <w:tc>
          <w:tcPr>
            <w:tcW w:w="2095" w:type="pct"/>
            <w:shd w:val="clear" w:color="auto" w:fill="auto"/>
            <w:vAlign w:val="center"/>
          </w:tcPr>
          <w:p>
            <w:pPr>
              <w:jc w:val="center"/>
              <w:rPr>
                <w:rFonts w:ascii="Arial" w:hAnsi="Arial" w:cs="Arial"/>
                <w:sz w:val="18"/>
                <w:szCs w:val="18"/>
              </w:rPr>
            </w:pPr>
            <w:r>
              <w:rPr>
                <w:rFonts w:ascii="Arial" w:hAnsi="Arial" w:cs="Arial"/>
                <w:sz w:val="18"/>
                <w:szCs w:val="18"/>
              </w:rPr>
              <w:t>6,7 x 10</w:t>
            </w:r>
            <w:r>
              <w:rPr>
                <w:rFonts w:ascii="Arial" w:hAnsi="Arial" w:cs="Arial"/>
                <w:sz w:val="18"/>
                <w:szCs w:val="18"/>
                <w:vertAlign w:val="superscript"/>
              </w:rPr>
              <w:t>7</w:t>
            </w:r>
          </w:p>
        </w:tc>
      </w:tr>
      <w:tr>
        <w:trPr>
          <w:trHeight w:val="20"/>
          <w:jc w:val="center"/>
        </w:trPr>
        <w:tc>
          <w:tcPr>
            <w:tcW w:w="5000" w:type="pct"/>
            <w:gridSpan w:val="3"/>
            <w:tcBorders>
              <w:bottom w:val="single" w:sz="12" w:space="0" w:color="auto"/>
            </w:tcBorders>
            <w:shd w:val="clear" w:color="auto" w:fill="auto"/>
            <w:vAlign w:val="center"/>
          </w:tcPr>
          <w:p>
            <w:pPr>
              <w:jc w:val="center"/>
              <w:rPr>
                <w:rFonts w:ascii="Arial" w:hAnsi="Arial" w:cs="Arial"/>
                <w:sz w:val="10"/>
                <w:szCs w:val="12"/>
              </w:rPr>
            </w:pPr>
            <w:r>
              <w:rPr>
                <w:rFonts w:ascii="Arial" w:hAnsi="Arial" w:cs="Arial"/>
                <w:sz w:val="10"/>
                <w:szCs w:val="10"/>
              </w:rPr>
              <w:t>)</w:t>
            </w:r>
          </w:p>
        </w:tc>
      </w:tr>
      <w:tr>
        <w:trPr>
          <w:jc w:val="center"/>
        </w:trPr>
        <w:tc>
          <w:tcPr>
            <w:tcW w:w="5000" w:type="pct"/>
            <w:gridSpan w:val="3"/>
            <w:tcBorders>
              <w:top w:val="single" w:sz="12" w:space="0" w:color="auto"/>
              <w:bottom w:val="nil"/>
            </w:tcBorders>
            <w:shd w:val="clear" w:color="auto" w:fill="auto"/>
          </w:tcPr>
          <w:p>
            <w:pPr>
              <w:rPr>
                <w:rFonts w:ascii="Arial" w:hAnsi="Arial" w:cs="Arial"/>
                <w:i/>
                <w:sz w:val="18"/>
                <w:szCs w:val="18"/>
              </w:rPr>
            </w:pPr>
            <w:r>
              <w:rPr>
                <w:rFonts w:ascii="Arial" w:hAnsi="Arial" w:cs="Arial"/>
                <w:i/>
                <w:sz w:val="18"/>
                <w:szCs w:val="18"/>
              </w:rPr>
              <w:t>TPC = Total Plate Count. Groupings based on functional assays: P = phosphate-solubilizing; IAA = indole-3-acetic acid-producing; N = nitrogen-fixing; CMC = cellulolytic; K = potassium-solubilizing.</w:t>
            </w:r>
          </w:p>
        </w:tc>
      </w:tr>
    </w:tbl>
    <w:p>
      <w:pPr>
        <w:ind w:firstLine="720"/>
        <w:jc w:val="both"/>
        <w:rPr>
          <w:rFonts w:ascii="Arial" w:hAnsi="Arial" w:cs="Arial"/>
        </w:rPr>
      </w:pPr>
    </w:p>
    <w:p>
      <w:pPr>
        <w:jc w:val="both"/>
        <w:rPr>
          <w:rFonts w:ascii="Arial" w:hAnsi="Arial" w:cs="Arial"/>
          <w:b/>
          <w:bCs/>
          <w:i/>
          <w:iCs/>
          <w:sz w:val="22"/>
        </w:rPr>
      </w:pPr>
      <w:r>
        <w:rPr>
          <w:rFonts w:ascii="Arial" w:hAnsi="Arial" w:cs="Arial"/>
          <w:b/>
          <w:bCs/>
          <w:i/>
          <w:iCs/>
          <w:sz w:val="22"/>
        </w:rPr>
        <w:t>Bacterial Efficacy Assessment (Clear Zone Assay)</w:t>
      </w:r>
    </w:p>
    <w:p>
      <w:pPr>
        <w:ind w:firstLine="720"/>
        <w:jc w:val="both"/>
        <w:rPr>
          <w:rFonts w:ascii="Arial" w:hAnsi="Arial" w:cs="Arial"/>
        </w:rPr>
      </w:pPr>
      <w:r>
        <w:rPr>
          <w:rFonts w:ascii="Arial" w:hAnsi="Arial" w:cs="Arial"/>
        </w:rPr>
        <w:t>A total of 44 bacterial isolates were screened for their functional abilities, including cellulolytic, phosphate-solubilizing, and potassium-solubilizing activities. The results of clear zone index (CZI) measurements are summarized in Table 2. Among the cellulolytic bacteria, isolates such as P-SP 10 (1.3) and IAA-SP 3 (1.7) showed the highest enzymatic activity as visualized by distinct halo zones on CMC medium (Figure 1A), followed by others with moderate indices such as N-SP 2 and P-SP 9. For phosphate-solubilizing bacteria, the highest indices were recorded in isolates P-SP 3 (2.4) and P-SP 5 (2.4), indicating strong phosphate-solubilizing potential</w:t>
      </w:r>
      <w:r>
        <w:t xml:space="preserve"> </w:t>
      </w:r>
      <w:r>
        <w:rPr>
          <w:rFonts w:ascii="Arial" w:hAnsi="Arial" w:cs="Arial"/>
        </w:rPr>
        <w:t>(Figure 1B). Potassium-solubilizing activity was found in several isolates, with K-SP 3 (1.8) and K-SP 4 (1.8) exhibiting the highest index values. Some isolates, such as IAA-SP 2 and IAA-SP 3, demonstrated multiple functional potentials with moderate indices in all three tested activities (Figure 1C).</w:t>
      </w:r>
    </w:p>
    <w:p>
      <w:pPr>
        <w:ind w:firstLine="720"/>
        <w:jc w:val="both"/>
        <w:rPr>
          <w:rFonts w:ascii="Arial" w:hAnsi="Arial" w:cs="Arial"/>
        </w:rPr>
      </w:pPr>
    </w:p>
    <w:p>
      <w:pPr>
        <w:ind w:firstLine="720"/>
        <w:jc w:val="both"/>
        <w:rPr>
          <w:rFonts w:ascii="Arial" w:hAnsi="Arial" w:cs="Arial"/>
        </w:rPr>
      </w:pPr>
    </w:p>
    <w:p>
      <w:pPr>
        <w:ind w:firstLine="720"/>
        <w:jc w:val="both"/>
        <w:rPr>
          <w:rFonts w:ascii="Arial" w:hAnsi="Arial" w:cs="Arial"/>
        </w:rPr>
      </w:pPr>
    </w:p>
    <w:p>
      <w:pPr>
        <w:ind w:firstLine="720"/>
        <w:jc w:val="both"/>
        <w:rPr>
          <w:rFonts w:ascii="Arial" w:hAnsi="Arial" w:cs="Arial"/>
        </w:rPr>
      </w:pPr>
    </w:p>
    <w:p>
      <w:pPr>
        <w:ind w:firstLine="720"/>
        <w:jc w:val="both"/>
        <w:rPr>
          <w:rFonts w:ascii="Arial" w:hAnsi="Arial" w:cs="Arial"/>
        </w:rPr>
      </w:pPr>
    </w:p>
    <w:p>
      <w:pPr>
        <w:ind w:firstLine="720"/>
        <w:jc w:val="both"/>
        <w:rPr>
          <w:rFonts w:ascii="Arial" w:hAnsi="Arial" w:cs="Arial"/>
        </w:rPr>
      </w:pPr>
    </w:p>
    <w:p>
      <w:pPr>
        <w:ind w:firstLine="720"/>
        <w:jc w:val="both"/>
        <w:rPr>
          <w:rFonts w:ascii="Arial" w:hAnsi="Arial" w:cs="Arial"/>
        </w:rPr>
      </w:pPr>
    </w:p>
    <w:tbl>
      <w:tblPr>
        <w:tblW w:w="4590" w:type="pct"/>
        <w:jc w:val="center"/>
        <w:tblBorders>
          <w:bottom w:val="single" w:sz="12" w:space="0" w:color="auto"/>
        </w:tblBorders>
        <w:tblLook w:val="0600" w:firstRow="0" w:lastRow="0" w:firstColumn="0" w:lastColumn="0" w:noHBand="1" w:noVBand="1"/>
      </w:tblPr>
      <w:tblGrid>
        <w:gridCol w:w="2286"/>
        <w:gridCol w:w="1177"/>
        <w:gridCol w:w="2143"/>
        <w:gridCol w:w="1929"/>
      </w:tblGrid>
      <w:tr>
        <w:trPr>
          <w:trHeight w:val="340"/>
          <w:jc w:val="center"/>
        </w:trPr>
        <w:tc>
          <w:tcPr>
            <w:tcW w:w="5000" w:type="pct"/>
            <w:gridSpan w:val="4"/>
            <w:tcBorders>
              <w:top w:val="nil"/>
              <w:bottom w:val="single" w:sz="4" w:space="0" w:color="auto"/>
            </w:tcBorders>
            <w:shd w:val="clear" w:color="auto" w:fill="auto"/>
            <w:vAlign w:val="center"/>
          </w:tcPr>
          <w:p>
            <w:pPr>
              <w:jc w:val="both"/>
              <w:rPr>
                <w:rFonts w:ascii="Arial" w:hAnsi="Arial" w:cs="Arial"/>
                <w:b/>
                <w:bCs/>
              </w:rPr>
            </w:pPr>
            <w:r>
              <w:rPr>
                <w:rFonts w:ascii="Arial" w:hAnsi="Arial" w:cs="Arial"/>
                <w:b/>
                <w:bCs/>
              </w:rPr>
              <w:t>Table 2</w:t>
            </w:r>
            <w:r>
              <w:rPr>
                <w:rFonts w:ascii="Arial" w:hAnsi="Arial" w:cs="Arial"/>
              </w:rPr>
              <w:t xml:space="preserve"> </w:t>
            </w:r>
            <w:r>
              <w:rPr>
                <w:rFonts w:ascii="Arial" w:hAnsi="Arial" w:cs="Arial"/>
                <w:b/>
                <w:bCs/>
              </w:rPr>
              <w:t>Clear zone index of bacteria isolated from rumen fluid of Bali cattle</w:t>
            </w:r>
          </w:p>
          <w:p>
            <w:pPr>
              <w:jc w:val="center"/>
              <w:rPr>
                <w:rFonts w:ascii="Arial" w:hAnsi="Arial" w:cs="Arial"/>
                <w:b/>
                <w:sz w:val="18"/>
                <w:szCs w:val="18"/>
              </w:rPr>
            </w:pPr>
          </w:p>
        </w:tc>
      </w:tr>
      <w:tr>
        <w:trPr>
          <w:trHeight w:val="20"/>
          <w:jc w:val="center"/>
        </w:trPr>
        <w:tc>
          <w:tcPr>
            <w:tcW w:w="1517" w:type="pct"/>
            <w:tcBorders>
              <w:top w:val="single" w:sz="4" w:space="0" w:color="auto"/>
              <w:bottom w:val="single" w:sz="4" w:space="0" w:color="auto"/>
            </w:tcBorders>
            <w:shd w:val="clear" w:color="auto" w:fill="auto"/>
            <w:vAlign w:val="center"/>
          </w:tcPr>
          <w:p>
            <w:pPr>
              <w:rPr>
                <w:rFonts w:ascii="Arial" w:hAnsi="Arial" w:cs="Arial"/>
                <w:sz w:val="18"/>
                <w:szCs w:val="18"/>
              </w:rPr>
            </w:pPr>
            <w:r>
              <w:rPr>
                <w:rFonts w:ascii="Arial" w:hAnsi="Arial" w:cs="Arial"/>
                <w:b/>
                <w:sz w:val="18"/>
                <w:szCs w:val="18"/>
              </w:rPr>
              <w:t>Isolated code</w:t>
            </w:r>
          </w:p>
        </w:tc>
        <w:tc>
          <w:tcPr>
            <w:tcW w:w="781" w:type="pct"/>
            <w:tcBorders>
              <w:top w:val="single" w:sz="4" w:space="0" w:color="auto"/>
              <w:bottom w:val="single" w:sz="4" w:space="0" w:color="auto"/>
            </w:tcBorders>
            <w:shd w:val="clear" w:color="auto" w:fill="auto"/>
            <w:vAlign w:val="center"/>
          </w:tcPr>
          <w:p>
            <w:pPr>
              <w:jc w:val="center"/>
              <w:rPr>
                <w:rFonts w:ascii="Arial" w:hAnsi="Arial" w:cs="Arial"/>
                <w:b/>
                <w:sz w:val="18"/>
                <w:szCs w:val="18"/>
              </w:rPr>
            </w:pPr>
            <w:r>
              <w:rPr>
                <w:rFonts w:ascii="Arial" w:hAnsi="Arial" w:cs="Arial"/>
                <w:b/>
                <w:sz w:val="18"/>
                <w:szCs w:val="18"/>
              </w:rPr>
              <w:t>Cellulolytic bacteria</w:t>
            </w:r>
          </w:p>
        </w:tc>
        <w:tc>
          <w:tcPr>
            <w:tcW w:w="1422" w:type="pct"/>
            <w:tcBorders>
              <w:top w:val="single" w:sz="4" w:space="0" w:color="auto"/>
              <w:bottom w:val="single" w:sz="4" w:space="0" w:color="auto"/>
            </w:tcBorders>
            <w:shd w:val="clear" w:color="auto" w:fill="auto"/>
          </w:tcPr>
          <w:p>
            <w:pPr>
              <w:jc w:val="center"/>
              <w:rPr>
                <w:rFonts w:ascii="Arial" w:hAnsi="Arial" w:cs="Arial"/>
                <w:b/>
                <w:sz w:val="18"/>
                <w:szCs w:val="18"/>
              </w:rPr>
            </w:pPr>
            <w:r>
              <w:rPr>
                <w:rFonts w:ascii="Arial" w:hAnsi="Arial" w:cs="Arial"/>
                <w:b/>
                <w:sz w:val="18"/>
                <w:szCs w:val="18"/>
              </w:rPr>
              <w:t>Phosphate solubilizing bacteria</w:t>
            </w:r>
          </w:p>
        </w:tc>
        <w:tc>
          <w:tcPr>
            <w:tcW w:w="1280" w:type="pct"/>
            <w:tcBorders>
              <w:top w:val="single" w:sz="4" w:space="0" w:color="auto"/>
              <w:bottom w:val="single" w:sz="4" w:space="0" w:color="auto"/>
            </w:tcBorders>
          </w:tcPr>
          <w:p>
            <w:pPr>
              <w:jc w:val="center"/>
              <w:rPr>
                <w:rFonts w:ascii="Arial" w:hAnsi="Arial" w:cs="Arial"/>
                <w:b/>
                <w:sz w:val="18"/>
                <w:szCs w:val="18"/>
              </w:rPr>
            </w:pPr>
            <w:r>
              <w:rPr>
                <w:rFonts w:ascii="Arial" w:hAnsi="Arial" w:cs="Arial"/>
                <w:b/>
                <w:sz w:val="18"/>
                <w:szCs w:val="18"/>
              </w:rPr>
              <w:t>Potassium solubilizing bacteria</w:t>
            </w:r>
          </w:p>
        </w:tc>
      </w:tr>
      <w:tr>
        <w:trPr>
          <w:trHeight w:val="20"/>
          <w:jc w:val="center"/>
        </w:trPr>
        <w:tc>
          <w:tcPr>
            <w:tcW w:w="3720" w:type="pct"/>
            <w:gridSpan w:val="3"/>
            <w:tcBorders>
              <w:top w:val="single" w:sz="4" w:space="0" w:color="auto"/>
              <w:bottom w:val="nil"/>
            </w:tcBorders>
            <w:shd w:val="clear" w:color="auto" w:fill="auto"/>
            <w:vAlign w:val="center"/>
          </w:tcPr>
          <w:p>
            <w:pPr>
              <w:jc w:val="center"/>
              <w:rPr>
                <w:rFonts w:ascii="Arial" w:hAnsi="Arial" w:cs="Arial"/>
                <w:sz w:val="10"/>
                <w:szCs w:val="10"/>
              </w:rPr>
            </w:pPr>
          </w:p>
        </w:tc>
        <w:tc>
          <w:tcPr>
            <w:tcW w:w="1280" w:type="pct"/>
            <w:tcBorders>
              <w:top w:val="single" w:sz="4" w:space="0" w:color="auto"/>
              <w:bottom w:val="nil"/>
            </w:tcBorders>
          </w:tcPr>
          <w:p>
            <w:pPr>
              <w:jc w:val="center"/>
              <w:rPr>
                <w:rFonts w:ascii="Arial" w:hAnsi="Arial" w:cs="Arial"/>
                <w:sz w:val="10"/>
                <w:szCs w:val="10"/>
              </w:rPr>
            </w:pPr>
          </w:p>
        </w:tc>
      </w:tr>
      <w:tr>
        <w:trPr>
          <w:trHeight w:val="20"/>
          <w:jc w:val="center"/>
        </w:trPr>
        <w:tc>
          <w:tcPr>
            <w:tcW w:w="1517" w:type="pct"/>
            <w:tcBorders>
              <w:top w:val="nil"/>
            </w:tcBorders>
            <w:shd w:val="clear" w:color="auto" w:fill="auto"/>
          </w:tcPr>
          <w:p>
            <w:pPr>
              <w:rPr>
                <w:rFonts w:ascii="Arial" w:hAnsi="Arial" w:cs="Arial"/>
                <w:b/>
                <w:sz w:val="18"/>
                <w:szCs w:val="18"/>
              </w:rPr>
            </w:pPr>
            <w:r>
              <w:t>Cmc-SP1</w:t>
            </w:r>
          </w:p>
        </w:tc>
        <w:tc>
          <w:tcPr>
            <w:tcW w:w="781" w:type="pct"/>
            <w:tcBorders>
              <w:top w:val="nil"/>
            </w:tcBorders>
            <w:shd w:val="clear" w:color="auto" w:fill="auto"/>
          </w:tcPr>
          <w:p>
            <w:pPr>
              <w:jc w:val="center"/>
              <w:rPr>
                <w:rFonts w:ascii="Arial" w:hAnsi="Arial" w:cs="Arial"/>
                <w:sz w:val="18"/>
                <w:szCs w:val="18"/>
              </w:rPr>
            </w:pPr>
            <w:r>
              <w:t>-</w:t>
            </w:r>
          </w:p>
        </w:tc>
        <w:tc>
          <w:tcPr>
            <w:tcW w:w="1422" w:type="pct"/>
            <w:tcBorders>
              <w:top w:val="nil"/>
            </w:tcBorders>
            <w:shd w:val="clear" w:color="auto" w:fill="auto"/>
          </w:tcPr>
          <w:p>
            <w:pPr>
              <w:jc w:val="center"/>
              <w:rPr>
                <w:rFonts w:ascii="Arial" w:hAnsi="Arial" w:cs="Arial"/>
                <w:sz w:val="18"/>
                <w:szCs w:val="18"/>
                <w:vertAlign w:val="superscript"/>
              </w:rPr>
            </w:pPr>
            <w:r>
              <w:t>-</w:t>
            </w:r>
          </w:p>
        </w:tc>
        <w:tc>
          <w:tcPr>
            <w:tcW w:w="1280" w:type="pct"/>
            <w:tcBorders>
              <w:top w:val="nil"/>
            </w:tcBorders>
          </w:tcPr>
          <w:p>
            <w:pPr>
              <w:jc w:val="center"/>
              <w:rPr>
                <w:rFonts w:ascii="Arial" w:hAnsi="Arial" w:cs="Arial"/>
                <w:sz w:val="18"/>
                <w:szCs w:val="18"/>
              </w:rPr>
            </w:pPr>
            <w:r>
              <w:t>1.3</w:t>
            </w:r>
          </w:p>
        </w:tc>
      </w:tr>
      <w:tr>
        <w:trPr>
          <w:trHeight w:val="20"/>
          <w:jc w:val="center"/>
        </w:trPr>
        <w:tc>
          <w:tcPr>
            <w:tcW w:w="1517" w:type="pct"/>
            <w:shd w:val="clear" w:color="auto" w:fill="auto"/>
          </w:tcPr>
          <w:p>
            <w:pPr>
              <w:rPr>
                <w:rFonts w:ascii="Arial" w:hAnsi="Arial" w:cs="Arial"/>
                <w:b/>
                <w:sz w:val="18"/>
                <w:szCs w:val="18"/>
              </w:rPr>
            </w:pPr>
            <w:r>
              <w:t>Cmc-SP2</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w:t>
            </w:r>
          </w:p>
        </w:tc>
        <w:tc>
          <w:tcPr>
            <w:tcW w:w="1280" w:type="pct"/>
          </w:tcPr>
          <w:p>
            <w:pPr>
              <w:jc w:val="center"/>
              <w:rPr>
                <w:rFonts w:ascii="Arial" w:hAnsi="Arial" w:cs="Arial"/>
                <w:sz w:val="18"/>
                <w:szCs w:val="18"/>
              </w:rPr>
            </w:pPr>
            <w:r>
              <w:t>1.0</w:t>
            </w:r>
          </w:p>
        </w:tc>
      </w:tr>
      <w:tr>
        <w:trPr>
          <w:trHeight w:val="20"/>
          <w:jc w:val="center"/>
        </w:trPr>
        <w:tc>
          <w:tcPr>
            <w:tcW w:w="1517" w:type="pct"/>
            <w:shd w:val="clear" w:color="auto" w:fill="auto"/>
          </w:tcPr>
          <w:p>
            <w:pPr>
              <w:rPr>
                <w:rFonts w:ascii="Arial" w:hAnsi="Arial" w:cs="Arial"/>
                <w:b/>
                <w:sz w:val="18"/>
                <w:szCs w:val="18"/>
              </w:rPr>
            </w:pPr>
            <w:r>
              <w:t>Cmc-SP3</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w:t>
            </w:r>
          </w:p>
        </w:tc>
        <w:tc>
          <w:tcPr>
            <w:tcW w:w="1280" w:type="pct"/>
          </w:tcPr>
          <w:p>
            <w:pPr>
              <w:jc w:val="center"/>
              <w:rPr>
                <w:rFonts w:ascii="Arial" w:hAnsi="Arial" w:cs="Arial"/>
                <w:sz w:val="18"/>
                <w:szCs w:val="18"/>
              </w:rPr>
            </w:pPr>
            <w:r>
              <w:t>1.0</w:t>
            </w:r>
          </w:p>
        </w:tc>
      </w:tr>
      <w:tr>
        <w:trPr>
          <w:trHeight w:val="20"/>
          <w:jc w:val="center"/>
        </w:trPr>
        <w:tc>
          <w:tcPr>
            <w:tcW w:w="1517" w:type="pct"/>
            <w:shd w:val="clear" w:color="auto" w:fill="auto"/>
          </w:tcPr>
          <w:p>
            <w:pPr>
              <w:rPr>
                <w:rFonts w:ascii="Arial" w:hAnsi="Arial" w:cs="Arial"/>
                <w:b/>
                <w:sz w:val="18"/>
                <w:szCs w:val="18"/>
              </w:rPr>
            </w:pPr>
            <w:r>
              <w:t>K-SP 1</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2.2</w:t>
            </w:r>
          </w:p>
        </w:tc>
        <w:tc>
          <w:tcPr>
            <w:tcW w:w="1280" w:type="pct"/>
          </w:tcPr>
          <w:p>
            <w:pPr>
              <w:jc w:val="center"/>
              <w:rPr>
                <w:rFonts w:ascii="Arial" w:hAnsi="Arial" w:cs="Arial"/>
                <w:sz w:val="18"/>
                <w:szCs w:val="18"/>
              </w:rPr>
            </w:pPr>
            <w:r>
              <w:t>1.3</w:t>
            </w:r>
          </w:p>
        </w:tc>
      </w:tr>
      <w:tr>
        <w:trPr>
          <w:trHeight w:val="20"/>
          <w:jc w:val="center"/>
        </w:trPr>
        <w:tc>
          <w:tcPr>
            <w:tcW w:w="1517" w:type="pct"/>
            <w:shd w:val="clear" w:color="auto" w:fill="auto"/>
          </w:tcPr>
          <w:p>
            <w:pPr>
              <w:rPr>
                <w:rFonts w:ascii="Arial" w:hAnsi="Arial" w:cs="Arial"/>
                <w:b/>
                <w:sz w:val="18"/>
                <w:szCs w:val="18"/>
              </w:rPr>
            </w:pPr>
            <w:r>
              <w:t>K-SP 2</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1.6</w:t>
            </w:r>
          </w:p>
        </w:tc>
        <w:tc>
          <w:tcPr>
            <w:tcW w:w="1280" w:type="pct"/>
          </w:tcPr>
          <w:p>
            <w:pPr>
              <w:jc w:val="center"/>
              <w:rPr>
                <w:rFonts w:ascii="Arial" w:hAnsi="Arial" w:cs="Arial"/>
                <w:sz w:val="18"/>
                <w:szCs w:val="18"/>
              </w:rPr>
            </w:pPr>
            <w:r>
              <w:t>1.3</w:t>
            </w:r>
          </w:p>
        </w:tc>
      </w:tr>
      <w:tr>
        <w:trPr>
          <w:trHeight w:val="20"/>
          <w:jc w:val="center"/>
        </w:trPr>
        <w:tc>
          <w:tcPr>
            <w:tcW w:w="1517" w:type="pct"/>
            <w:shd w:val="clear" w:color="auto" w:fill="auto"/>
          </w:tcPr>
          <w:p>
            <w:pPr>
              <w:rPr>
                <w:rFonts w:ascii="Arial" w:hAnsi="Arial" w:cs="Arial"/>
                <w:b/>
                <w:sz w:val="18"/>
                <w:szCs w:val="18"/>
              </w:rPr>
            </w:pPr>
            <w:r>
              <w:lastRenderedPageBreak/>
              <w:t>K-SP 3</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1.7</w:t>
            </w:r>
          </w:p>
        </w:tc>
        <w:tc>
          <w:tcPr>
            <w:tcW w:w="1280" w:type="pct"/>
          </w:tcPr>
          <w:p>
            <w:pPr>
              <w:jc w:val="center"/>
              <w:rPr>
                <w:rFonts w:ascii="Arial" w:hAnsi="Arial" w:cs="Arial"/>
                <w:sz w:val="18"/>
                <w:szCs w:val="18"/>
              </w:rPr>
            </w:pPr>
            <w:r>
              <w:t>1.8</w:t>
            </w:r>
          </w:p>
        </w:tc>
      </w:tr>
      <w:tr>
        <w:trPr>
          <w:trHeight w:val="20"/>
          <w:jc w:val="center"/>
        </w:trPr>
        <w:tc>
          <w:tcPr>
            <w:tcW w:w="1517" w:type="pct"/>
            <w:shd w:val="clear" w:color="auto" w:fill="auto"/>
          </w:tcPr>
          <w:p>
            <w:pPr>
              <w:rPr>
                <w:rFonts w:ascii="Arial" w:hAnsi="Arial" w:cs="Arial"/>
                <w:b/>
                <w:sz w:val="18"/>
                <w:szCs w:val="18"/>
              </w:rPr>
            </w:pPr>
            <w:r>
              <w:t>K-SP 4</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1.8</w:t>
            </w:r>
          </w:p>
        </w:tc>
        <w:tc>
          <w:tcPr>
            <w:tcW w:w="1280" w:type="pct"/>
          </w:tcPr>
          <w:p>
            <w:pPr>
              <w:jc w:val="center"/>
              <w:rPr>
                <w:rFonts w:ascii="Arial" w:hAnsi="Arial" w:cs="Arial"/>
                <w:sz w:val="18"/>
                <w:szCs w:val="18"/>
              </w:rPr>
            </w:pPr>
            <w:r>
              <w:t>-</w:t>
            </w:r>
          </w:p>
        </w:tc>
      </w:tr>
      <w:tr>
        <w:trPr>
          <w:trHeight w:val="20"/>
          <w:jc w:val="center"/>
        </w:trPr>
        <w:tc>
          <w:tcPr>
            <w:tcW w:w="1517" w:type="pct"/>
            <w:shd w:val="clear" w:color="auto" w:fill="auto"/>
          </w:tcPr>
          <w:p>
            <w:pPr>
              <w:rPr>
                <w:rFonts w:ascii="Arial" w:hAnsi="Arial" w:cs="Arial"/>
                <w:b/>
                <w:sz w:val="18"/>
                <w:szCs w:val="18"/>
              </w:rPr>
            </w:pPr>
            <w:r>
              <w:t>K-SP 5</w:t>
            </w:r>
          </w:p>
        </w:tc>
        <w:tc>
          <w:tcPr>
            <w:tcW w:w="781" w:type="pct"/>
            <w:shd w:val="clear" w:color="auto" w:fill="auto"/>
          </w:tcPr>
          <w:p>
            <w:pPr>
              <w:jc w:val="center"/>
              <w:rPr>
                <w:rFonts w:ascii="Arial" w:hAnsi="Arial" w:cs="Arial"/>
                <w:sz w:val="18"/>
                <w:szCs w:val="18"/>
              </w:rPr>
            </w:pPr>
            <w:r>
              <w:t>1.0</w:t>
            </w:r>
          </w:p>
        </w:tc>
        <w:tc>
          <w:tcPr>
            <w:tcW w:w="1422" w:type="pct"/>
            <w:shd w:val="clear" w:color="auto" w:fill="auto"/>
          </w:tcPr>
          <w:p>
            <w:pPr>
              <w:jc w:val="center"/>
              <w:rPr>
                <w:rFonts w:ascii="Arial" w:hAnsi="Arial" w:cs="Arial"/>
                <w:sz w:val="18"/>
                <w:szCs w:val="18"/>
              </w:rPr>
            </w:pPr>
            <w:r>
              <w:t>2.3</w:t>
            </w:r>
          </w:p>
        </w:tc>
        <w:tc>
          <w:tcPr>
            <w:tcW w:w="1280" w:type="pct"/>
          </w:tcPr>
          <w:p>
            <w:pPr>
              <w:jc w:val="center"/>
              <w:rPr>
                <w:rFonts w:ascii="Arial" w:hAnsi="Arial" w:cs="Arial"/>
                <w:sz w:val="18"/>
                <w:szCs w:val="18"/>
              </w:rPr>
            </w:pPr>
            <w:r>
              <w:t>1.0</w:t>
            </w:r>
          </w:p>
        </w:tc>
      </w:tr>
      <w:tr>
        <w:trPr>
          <w:trHeight w:val="20"/>
          <w:jc w:val="center"/>
        </w:trPr>
        <w:tc>
          <w:tcPr>
            <w:tcW w:w="1517" w:type="pct"/>
            <w:shd w:val="clear" w:color="auto" w:fill="auto"/>
          </w:tcPr>
          <w:p>
            <w:pPr>
              <w:rPr>
                <w:rFonts w:ascii="Arial" w:hAnsi="Arial" w:cs="Arial"/>
                <w:b/>
                <w:sz w:val="18"/>
                <w:szCs w:val="18"/>
              </w:rPr>
            </w:pPr>
            <w:r>
              <w:t>K-SP 6</w:t>
            </w:r>
          </w:p>
        </w:tc>
        <w:tc>
          <w:tcPr>
            <w:tcW w:w="781" w:type="pct"/>
            <w:shd w:val="clear" w:color="auto" w:fill="auto"/>
          </w:tcPr>
          <w:p>
            <w:pPr>
              <w:jc w:val="center"/>
              <w:rPr>
                <w:rFonts w:ascii="Arial" w:hAnsi="Arial" w:cs="Arial"/>
                <w:sz w:val="18"/>
                <w:szCs w:val="18"/>
              </w:rPr>
            </w:pPr>
            <w:r>
              <w:t>1.0</w:t>
            </w:r>
          </w:p>
        </w:tc>
        <w:tc>
          <w:tcPr>
            <w:tcW w:w="1422" w:type="pct"/>
            <w:shd w:val="clear" w:color="auto" w:fill="auto"/>
          </w:tcPr>
          <w:p>
            <w:pPr>
              <w:jc w:val="center"/>
              <w:rPr>
                <w:rFonts w:ascii="Arial" w:hAnsi="Arial" w:cs="Arial"/>
                <w:sz w:val="18"/>
                <w:szCs w:val="18"/>
              </w:rPr>
            </w:pPr>
            <w:r>
              <w:t>1.5</w:t>
            </w:r>
          </w:p>
        </w:tc>
        <w:tc>
          <w:tcPr>
            <w:tcW w:w="1280" w:type="pct"/>
          </w:tcPr>
          <w:p>
            <w:pPr>
              <w:jc w:val="center"/>
              <w:rPr>
                <w:rFonts w:ascii="Arial" w:hAnsi="Arial" w:cs="Arial"/>
                <w:sz w:val="18"/>
                <w:szCs w:val="18"/>
              </w:rPr>
            </w:pPr>
            <w:r>
              <w:t>1.0</w:t>
            </w:r>
          </w:p>
        </w:tc>
      </w:tr>
      <w:tr>
        <w:trPr>
          <w:trHeight w:val="20"/>
          <w:jc w:val="center"/>
        </w:trPr>
        <w:tc>
          <w:tcPr>
            <w:tcW w:w="1517" w:type="pct"/>
            <w:shd w:val="clear" w:color="auto" w:fill="auto"/>
          </w:tcPr>
          <w:p>
            <w:pPr>
              <w:rPr>
                <w:rFonts w:ascii="Arial" w:hAnsi="Arial" w:cs="Arial"/>
                <w:b/>
                <w:sz w:val="18"/>
                <w:szCs w:val="18"/>
              </w:rPr>
            </w:pPr>
            <w:r>
              <w:t>K-SP 7</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1.9</w:t>
            </w:r>
          </w:p>
        </w:tc>
        <w:tc>
          <w:tcPr>
            <w:tcW w:w="1280" w:type="pct"/>
          </w:tcPr>
          <w:p>
            <w:pPr>
              <w:jc w:val="center"/>
              <w:rPr>
                <w:rFonts w:ascii="Arial" w:hAnsi="Arial" w:cs="Arial"/>
                <w:sz w:val="18"/>
                <w:szCs w:val="18"/>
              </w:rPr>
            </w:pPr>
            <w:r>
              <w:t>1.0</w:t>
            </w:r>
          </w:p>
        </w:tc>
      </w:tr>
      <w:tr>
        <w:trPr>
          <w:trHeight w:val="20"/>
          <w:jc w:val="center"/>
        </w:trPr>
        <w:tc>
          <w:tcPr>
            <w:tcW w:w="1517" w:type="pct"/>
            <w:shd w:val="clear" w:color="auto" w:fill="auto"/>
          </w:tcPr>
          <w:p>
            <w:pPr>
              <w:rPr>
                <w:rFonts w:ascii="Arial" w:hAnsi="Arial" w:cs="Arial"/>
                <w:b/>
                <w:sz w:val="18"/>
                <w:szCs w:val="18"/>
              </w:rPr>
            </w:pPr>
            <w:r>
              <w:t>P-SP 1</w:t>
            </w:r>
          </w:p>
        </w:tc>
        <w:tc>
          <w:tcPr>
            <w:tcW w:w="781" w:type="pct"/>
            <w:shd w:val="clear" w:color="auto" w:fill="auto"/>
          </w:tcPr>
          <w:p>
            <w:pPr>
              <w:jc w:val="center"/>
              <w:rPr>
                <w:rFonts w:ascii="Arial" w:hAnsi="Arial" w:cs="Arial"/>
                <w:sz w:val="18"/>
                <w:szCs w:val="18"/>
              </w:rPr>
            </w:pPr>
            <w:r>
              <w:t>1.4</w:t>
            </w:r>
          </w:p>
        </w:tc>
        <w:tc>
          <w:tcPr>
            <w:tcW w:w="1422" w:type="pct"/>
            <w:shd w:val="clear" w:color="auto" w:fill="auto"/>
          </w:tcPr>
          <w:p>
            <w:pPr>
              <w:jc w:val="center"/>
              <w:rPr>
                <w:rFonts w:ascii="Arial" w:hAnsi="Arial" w:cs="Arial"/>
                <w:sz w:val="18"/>
                <w:szCs w:val="18"/>
              </w:rPr>
            </w:pPr>
            <w:r>
              <w:t>1.7</w:t>
            </w:r>
          </w:p>
        </w:tc>
        <w:tc>
          <w:tcPr>
            <w:tcW w:w="1280" w:type="pct"/>
          </w:tcPr>
          <w:p>
            <w:pPr>
              <w:jc w:val="center"/>
              <w:rPr>
                <w:rFonts w:ascii="Arial" w:hAnsi="Arial" w:cs="Arial"/>
                <w:sz w:val="18"/>
                <w:szCs w:val="18"/>
              </w:rPr>
            </w:pPr>
            <w:r>
              <w:t>1.0</w:t>
            </w:r>
          </w:p>
        </w:tc>
      </w:tr>
      <w:tr>
        <w:trPr>
          <w:trHeight w:val="20"/>
          <w:jc w:val="center"/>
        </w:trPr>
        <w:tc>
          <w:tcPr>
            <w:tcW w:w="1517" w:type="pct"/>
            <w:shd w:val="clear" w:color="auto" w:fill="auto"/>
          </w:tcPr>
          <w:p>
            <w:pPr>
              <w:rPr>
                <w:rFonts w:ascii="Arial" w:hAnsi="Arial" w:cs="Arial"/>
                <w:b/>
                <w:sz w:val="18"/>
                <w:szCs w:val="18"/>
              </w:rPr>
            </w:pPr>
            <w:r>
              <w:t>P-SP 2</w:t>
            </w:r>
          </w:p>
        </w:tc>
        <w:tc>
          <w:tcPr>
            <w:tcW w:w="781" w:type="pct"/>
            <w:shd w:val="clear" w:color="auto" w:fill="auto"/>
          </w:tcPr>
          <w:p>
            <w:pPr>
              <w:jc w:val="center"/>
              <w:rPr>
                <w:rFonts w:ascii="Arial" w:hAnsi="Arial" w:cs="Arial"/>
                <w:sz w:val="18"/>
                <w:szCs w:val="18"/>
              </w:rPr>
            </w:pPr>
            <w:r>
              <w:t>1.1</w:t>
            </w:r>
          </w:p>
        </w:tc>
        <w:tc>
          <w:tcPr>
            <w:tcW w:w="1422" w:type="pct"/>
            <w:shd w:val="clear" w:color="auto" w:fill="auto"/>
          </w:tcPr>
          <w:p>
            <w:pPr>
              <w:jc w:val="center"/>
              <w:rPr>
                <w:rFonts w:ascii="Arial" w:hAnsi="Arial" w:cs="Arial"/>
                <w:sz w:val="18"/>
                <w:szCs w:val="18"/>
              </w:rPr>
            </w:pPr>
            <w:r>
              <w:t>2.4</w:t>
            </w:r>
          </w:p>
        </w:tc>
        <w:tc>
          <w:tcPr>
            <w:tcW w:w="1280" w:type="pct"/>
          </w:tcPr>
          <w:p>
            <w:pPr>
              <w:jc w:val="center"/>
              <w:rPr>
                <w:rFonts w:ascii="Arial" w:hAnsi="Arial" w:cs="Arial"/>
                <w:sz w:val="18"/>
                <w:szCs w:val="18"/>
              </w:rPr>
            </w:pPr>
            <w:r>
              <w:t>1.0</w:t>
            </w:r>
          </w:p>
        </w:tc>
      </w:tr>
      <w:tr>
        <w:trPr>
          <w:trHeight w:val="20"/>
          <w:jc w:val="center"/>
        </w:trPr>
        <w:tc>
          <w:tcPr>
            <w:tcW w:w="1517" w:type="pct"/>
            <w:shd w:val="clear" w:color="auto" w:fill="auto"/>
          </w:tcPr>
          <w:p>
            <w:pPr>
              <w:rPr>
                <w:rFonts w:ascii="Arial" w:hAnsi="Arial" w:cs="Arial"/>
                <w:b/>
                <w:sz w:val="18"/>
                <w:szCs w:val="18"/>
              </w:rPr>
            </w:pPr>
            <w:r>
              <w:t>P-SP 3</w:t>
            </w:r>
          </w:p>
        </w:tc>
        <w:tc>
          <w:tcPr>
            <w:tcW w:w="781" w:type="pct"/>
            <w:shd w:val="clear" w:color="auto" w:fill="auto"/>
          </w:tcPr>
          <w:p>
            <w:pPr>
              <w:jc w:val="center"/>
              <w:rPr>
                <w:rFonts w:ascii="Arial" w:hAnsi="Arial" w:cs="Arial"/>
                <w:sz w:val="18"/>
                <w:szCs w:val="18"/>
              </w:rPr>
            </w:pPr>
            <w:r>
              <w:t>1.0</w:t>
            </w:r>
          </w:p>
        </w:tc>
        <w:tc>
          <w:tcPr>
            <w:tcW w:w="1422" w:type="pct"/>
            <w:shd w:val="clear" w:color="auto" w:fill="auto"/>
          </w:tcPr>
          <w:p>
            <w:pPr>
              <w:jc w:val="center"/>
              <w:rPr>
                <w:rFonts w:ascii="Arial" w:hAnsi="Arial" w:cs="Arial"/>
                <w:sz w:val="18"/>
                <w:szCs w:val="18"/>
              </w:rPr>
            </w:pPr>
            <w:r>
              <w:t>1.0</w:t>
            </w:r>
          </w:p>
        </w:tc>
        <w:tc>
          <w:tcPr>
            <w:tcW w:w="1280" w:type="pct"/>
          </w:tcPr>
          <w:p>
            <w:pPr>
              <w:jc w:val="center"/>
              <w:rPr>
                <w:rFonts w:ascii="Arial" w:hAnsi="Arial" w:cs="Arial"/>
                <w:sz w:val="18"/>
                <w:szCs w:val="18"/>
              </w:rPr>
            </w:pPr>
            <w:r>
              <w:t>1.0</w:t>
            </w:r>
          </w:p>
        </w:tc>
      </w:tr>
      <w:tr>
        <w:trPr>
          <w:trHeight w:val="20"/>
          <w:jc w:val="center"/>
        </w:trPr>
        <w:tc>
          <w:tcPr>
            <w:tcW w:w="1517" w:type="pct"/>
            <w:shd w:val="clear" w:color="auto" w:fill="auto"/>
          </w:tcPr>
          <w:p>
            <w:pPr>
              <w:rPr>
                <w:rFonts w:ascii="Arial" w:hAnsi="Arial" w:cs="Arial"/>
                <w:b/>
                <w:sz w:val="18"/>
                <w:szCs w:val="18"/>
              </w:rPr>
            </w:pPr>
            <w:r>
              <w:t>P-SP 4</w:t>
            </w:r>
          </w:p>
        </w:tc>
        <w:tc>
          <w:tcPr>
            <w:tcW w:w="781" w:type="pct"/>
            <w:shd w:val="clear" w:color="auto" w:fill="auto"/>
          </w:tcPr>
          <w:p>
            <w:pPr>
              <w:jc w:val="center"/>
              <w:rPr>
                <w:rFonts w:ascii="Arial" w:hAnsi="Arial" w:cs="Arial"/>
                <w:sz w:val="18"/>
                <w:szCs w:val="18"/>
              </w:rPr>
            </w:pPr>
            <w:r>
              <w:t>1.0</w:t>
            </w:r>
          </w:p>
        </w:tc>
        <w:tc>
          <w:tcPr>
            <w:tcW w:w="1422" w:type="pct"/>
            <w:shd w:val="clear" w:color="auto" w:fill="auto"/>
          </w:tcPr>
          <w:p>
            <w:pPr>
              <w:jc w:val="center"/>
              <w:rPr>
                <w:rFonts w:ascii="Arial" w:hAnsi="Arial" w:cs="Arial"/>
                <w:sz w:val="18"/>
                <w:szCs w:val="18"/>
              </w:rPr>
            </w:pPr>
            <w:r>
              <w:t>2.0</w:t>
            </w:r>
          </w:p>
        </w:tc>
        <w:tc>
          <w:tcPr>
            <w:tcW w:w="1280" w:type="pct"/>
          </w:tcPr>
          <w:p>
            <w:pPr>
              <w:jc w:val="center"/>
              <w:rPr>
                <w:rFonts w:ascii="Arial" w:hAnsi="Arial" w:cs="Arial"/>
                <w:sz w:val="18"/>
                <w:szCs w:val="18"/>
              </w:rPr>
            </w:pPr>
            <w:r>
              <w:t>1.0</w:t>
            </w:r>
          </w:p>
        </w:tc>
      </w:tr>
      <w:tr>
        <w:trPr>
          <w:trHeight w:val="20"/>
          <w:jc w:val="center"/>
        </w:trPr>
        <w:tc>
          <w:tcPr>
            <w:tcW w:w="1517" w:type="pct"/>
            <w:shd w:val="clear" w:color="auto" w:fill="auto"/>
          </w:tcPr>
          <w:p>
            <w:pPr>
              <w:rPr>
                <w:rFonts w:ascii="Arial" w:hAnsi="Arial" w:cs="Arial"/>
                <w:b/>
                <w:sz w:val="18"/>
                <w:szCs w:val="18"/>
              </w:rPr>
            </w:pPr>
            <w:r>
              <w:t>P-SP 5</w:t>
            </w:r>
          </w:p>
        </w:tc>
        <w:tc>
          <w:tcPr>
            <w:tcW w:w="781" w:type="pct"/>
            <w:shd w:val="clear" w:color="auto" w:fill="auto"/>
          </w:tcPr>
          <w:p>
            <w:pPr>
              <w:jc w:val="center"/>
              <w:rPr>
                <w:rFonts w:ascii="Arial" w:hAnsi="Arial" w:cs="Arial"/>
                <w:sz w:val="18"/>
                <w:szCs w:val="18"/>
              </w:rPr>
            </w:pPr>
            <w:r>
              <w:t>1.0</w:t>
            </w:r>
          </w:p>
        </w:tc>
        <w:tc>
          <w:tcPr>
            <w:tcW w:w="1422" w:type="pct"/>
            <w:shd w:val="clear" w:color="auto" w:fill="auto"/>
          </w:tcPr>
          <w:p>
            <w:pPr>
              <w:jc w:val="center"/>
              <w:rPr>
                <w:rFonts w:ascii="Arial" w:hAnsi="Arial" w:cs="Arial"/>
                <w:sz w:val="18"/>
                <w:szCs w:val="18"/>
              </w:rPr>
            </w:pPr>
            <w:r>
              <w:t>2.4</w:t>
            </w:r>
          </w:p>
        </w:tc>
        <w:tc>
          <w:tcPr>
            <w:tcW w:w="1280" w:type="pct"/>
          </w:tcPr>
          <w:p>
            <w:pPr>
              <w:jc w:val="center"/>
              <w:rPr>
                <w:rFonts w:ascii="Arial" w:hAnsi="Arial" w:cs="Arial"/>
                <w:sz w:val="18"/>
                <w:szCs w:val="18"/>
              </w:rPr>
            </w:pPr>
            <w:r>
              <w:t>-</w:t>
            </w:r>
          </w:p>
        </w:tc>
      </w:tr>
      <w:tr>
        <w:trPr>
          <w:trHeight w:val="20"/>
          <w:jc w:val="center"/>
        </w:trPr>
        <w:tc>
          <w:tcPr>
            <w:tcW w:w="1517" w:type="pct"/>
            <w:shd w:val="clear" w:color="auto" w:fill="auto"/>
          </w:tcPr>
          <w:p>
            <w:pPr>
              <w:rPr>
                <w:rFonts w:ascii="Arial" w:hAnsi="Arial" w:cs="Arial"/>
                <w:b/>
                <w:sz w:val="18"/>
                <w:szCs w:val="18"/>
              </w:rPr>
            </w:pPr>
            <w:r>
              <w:t>P-SP 6</w:t>
            </w:r>
          </w:p>
        </w:tc>
        <w:tc>
          <w:tcPr>
            <w:tcW w:w="781" w:type="pct"/>
            <w:shd w:val="clear" w:color="auto" w:fill="auto"/>
          </w:tcPr>
          <w:p>
            <w:pPr>
              <w:jc w:val="center"/>
              <w:rPr>
                <w:rFonts w:ascii="Arial" w:hAnsi="Arial" w:cs="Arial"/>
                <w:sz w:val="18"/>
                <w:szCs w:val="18"/>
              </w:rPr>
            </w:pPr>
            <w:r>
              <w:t>1.0</w:t>
            </w:r>
          </w:p>
        </w:tc>
        <w:tc>
          <w:tcPr>
            <w:tcW w:w="1422" w:type="pct"/>
            <w:shd w:val="clear" w:color="auto" w:fill="auto"/>
          </w:tcPr>
          <w:p>
            <w:pPr>
              <w:jc w:val="center"/>
              <w:rPr>
                <w:rFonts w:ascii="Arial" w:hAnsi="Arial" w:cs="Arial"/>
                <w:sz w:val="18"/>
                <w:szCs w:val="18"/>
              </w:rPr>
            </w:pPr>
            <w:r>
              <w:t>1.7</w:t>
            </w:r>
          </w:p>
        </w:tc>
        <w:tc>
          <w:tcPr>
            <w:tcW w:w="1280" w:type="pct"/>
          </w:tcPr>
          <w:p>
            <w:pPr>
              <w:jc w:val="center"/>
              <w:rPr>
                <w:rFonts w:ascii="Arial" w:hAnsi="Arial" w:cs="Arial"/>
                <w:sz w:val="18"/>
                <w:szCs w:val="18"/>
              </w:rPr>
            </w:pPr>
            <w:r>
              <w:t>-</w:t>
            </w:r>
          </w:p>
        </w:tc>
      </w:tr>
      <w:tr>
        <w:trPr>
          <w:trHeight w:val="20"/>
          <w:jc w:val="center"/>
        </w:trPr>
        <w:tc>
          <w:tcPr>
            <w:tcW w:w="1517" w:type="pct"/>
            <w:shd w:val="clear" w:color="auto" w:fill="auto"/>
          </w:tcPr>
          <w:p>
            <w:pPr>
              <w:rPr>
                <w:rFonts w:ascii="Arial" w:hAnsi="Arial" w:cs="Arial"/>
                <w:b/>
                <w:sz w:val="18"/>
                <w:szCs w:val="18"/>
              </w:rPr>
            </w:pPr>
            <w:r>
              <w:t>P-SP 7</w:t>
            </w:r>
          </w:p>
        </w:tc>
        <w:tc>
          <w:tcPr>
            <w:tcW w:w="781" w:type="pct"/>
            <w:shd w:val="clear" w:color="auto" w:fill="auto"/>
          </w:tcPr>
          <w:p>
            <w:pPr>
              <w:jc w:val="center"/>
              <w:rPr>
                <w:rFonts w:ascii="Arial" w:hAnsi="Arial" w:cs="Arial"/>
                <w:sz w:val="18"/>
                <w:szCs w:val="18"/>
              </w:rPr>
            </w:pPr>
            <w:r>
              <w:t>1.0</w:t>
            </w:r>
          </w:p>
        </w:tc>
        <w:tc>
          <w:tcPr>
            <w:tcW w:w="1422" w:type="pct"/>
            <w:shd w:val="clear" w:color="auto" w:fill="auto"/>
          </w:tcPr>
          <w:p>
            <w:pPr>
              <w:jc w:val="center"/>
              <w:rPr>
                <w:rFonts w:ascii="Arial" w:hAnsi="Arial" w:cs="Arial"/>
                <w:sz w:val="18"/>
                <w:szCs w:val="18"/>
              </w:rPr>
            </w:pPr>
            <w:r>
              <w:t>1.0</w:t>
            </w:r>
          </w:p>
        </w:tc>
        <w:tc>
          <w:tcPr>
            <w:tcW w:w="1280" w:type="pct"/>
          </w:tcPr>
          <w:p>
            <w:pPr>
              <w:jc w:val="center"/>
              <w:rPr>
                <w:rFonts w:ascii="Arial" w:hAnsi="Arial" w:cs="Arial"/>
                <w:sz w:val="18"/>
                <w:szCs w:val="18"/>
              </w:rPr>
            </w:pPr>
            <w:r>
              <w:t>1.0</w:t>
            </w:r>
          </w:p>
        </w:tc>
      </w:tr>
      <w:tr>
        <w:trPr>
          <w:trHeight w:val="20"/>
          <w:jc w:val="center"/>
        </w:trPr>
        <w:tc>
          <w:tcPr>
            <w:tcW w:w="1517" w:type="pct"/>
            <w:shd w:val="clear" w:color="auto" w:fill="auto"/>
          </w:tcPr>
          <w:p>
            <w:pPr>
              <w:rPr>
                <w:rFonts w:ascii="Arial" w:hAnsi="Arial" w:cs="Arial"/>
                <w:b/>
                <w:sz w:val="18"/>
                <w:szCs w:val="18"/>
              </w:rPr>
            </w:pPr>
            <w:r>
              <w:t>P-SP 8</w:t>
            </w:r>
          </w:p>
        </w:tc>
        <w:tc>
          <w:tcPr>
            <w:tcW w:w="781" w:type="pct"/>
            <w:shd w:val="clear" w:color="auto" w:fill="auto"/>
          </w:tcPr>
          <w:p>
            <w:pPr>
              <w:jc w:val="center"/>
              <w:rPr>
                <w:rFonts w:ascii="Arial" w:hAnsi="Arial" w:cs="Arial"/>
                <w:sz w:val="18"/>
                <w:szCs w:val="18"/>
              </w:rPr>
            </w:pPr>
            <w:r>
              <w:t>1.0</w:t>
            </w:r>
          </w:p>
        </w:tc>
        <w:tc>
          <w:tcPr>
            <w:tcW w:w="1422" w:type="pct"/>
            <w:shd w:val="clear" w:color="auto" w:fill="auto"/>
          </w:tcPr>
          <w:p>
            <w:pPr>
              <w:jc w:val="center"/>
              <w:rPr>
                <w:rFonts w:ascii="Arial" w:hAnsi="Arial" w:cs="Arial"/>
                <w:sz w:val="18"/>
                <w:szCs w:val="18"/>
              </w:rPr>
            </w:pPr>
            <w:r>
              <w:t>1.0</w:t>
            </w:r>
          </w:p>
        </w:tc>
        <w:tc>
          <w:tcPr>
            <w:tcW w:w="1280" w:type="pct"/>
          </w:tcPr>
          <w:p>
            <w:pPr>
              <w:jc w:val="center"/>
              <w:rPr>
                <w:rFonts w:ascii="Arial" w:hAnsi="Arial" w:cs="Arial"/>
                <w:sz w:val="18"/>
                <w:szCs w:val="18"/>
              </w:rPr>
            </w:pPr>
            <w:r>
              <w:t>1.0</w:t>
            </w:r>
          </w:p>
        </w:tc>
      </w:tr>
      <w:tr>
        <w:trPr>
          <w:trHeight w:val="20"/>
          <w:jc w:val="center"/>
        </w:trPr>
        <w:tc>
          <w:tcPr>
            <w:tcW w:w="1517" w:type="pct"/>
            <w:shd w:val="clear" w:color="auto" w:fill="auto"/>
          </w:tcPr>
          <w:p>
            <w:pPr>
              <w:rPr>
                <w:rFonts w:ascii="Arial" w:hAnsi="Arial" w:cs="Arial"/>
                <w:b/>
                <w:sz w:val="18"/>
                <w:szCs w:val="18"/>
              </w:rPr>
            </w:pPr>
            <w:r>
              <w:t>P-SP 9</w:t>
            </w:r>
          </w:p>
        </w:tc>
        <w:tc>
          <w:tcPr>
            <w:tcW w:w="781" w:type="pct"/>
            <w:shd w:val="clear" w:color="auto" w:fill="auto"/>
          </w:tcPr>
          <w:p>
            <w:pPr>
              <w:jc w:val="center"/>
              <w:rPr>
                <w:rFonts w:ascii="Arial" w:hAnsi="Arial" w:cs="Arial"/>
                <w:sz w:val="18"/>
                <w:szCs w:val="18"/>
              </w:rPr>
            </w:pPr>
            <w:r>
              <w:t>1.4</w:t>
            </w:r>
          </w:p>
        </w:tc>
        <w:tc>
          <w:tcPr>
            <w:tcW w:w="1422" w:type="pct"/>
            <w:shd w:val="clear" w:color="auto" w:fill="auto"/>
          </w:tcPr>
          <w:p>
            <w:pPr>
              <w:jc w:val="center"/>
              <w:rPr>
                <w:rFonts w:ascii="Arial" w:hAnsi="Arial" w:cs="Arial"/>
                <w:sz w:val="18"/>
                <w:szCs w:val="18"/>
              </w:rPr>
            </w:pPr>
            <w:r>
              <w:t>1.0</w:t>
            </w:r>
          </w:p>
        </w:tc>
        <w:tc>
          <w:tcPr>
            <w:tcW w:w="1280" w:type="pct"/>
          </w:tcPr>
          <w:p>
            <w:pPr>
              <w:jc w:val="center"/>
              <w:rPr>
                <w:rFonts w:ascii="Arial" w:hAnsi="Arial" w:cs="Arial"/>
                <w:sz w:val="18"/>
                <w:szCs w:val="18"/>
              </w:rPr>
            </w:pPr>
            <w:r>
              <w:t>1.0</w:t>
            </w:r>
          </w:p>
        </w:tc>
      </w:tr>
      <w:tr>
        <w:trPr>
          <w:trHeight w:val="20"/>
          <w:jc w:val="center"/>
        </w:trPr>
        <w:tc>
          <w:tcPr>
            <w:tcW w:w="1517" w:type="pct"/>
            <w:shd w:val="clear" w:color="auto" w:fill="auto"/>
          </w:tcPr>
          <w:p>
            <w:pPr>
              <w:rPr>
                <w:rFonts w:ascii="Arial" w:hAnsi="Arial" w:cs="Arial"/>
                <w:b/>
                <w:sz w:val="18"/>
                <w:szCs w:val="18"/>
              </w:rPr>
            </w:pPr>
            <w:r>
              <w:t>P-SP 10</w:t>
            </w:r>
          </w:p>
        </w:tc>
        <w:tc>
          <w:tcPr>
            <w:tcW w:w="781" w:type="pct"/>
            <w:shd w:val="clear" w:color="auto" w:fill="auto"/>
          </w:tcPr>
          <w:p>
            <w:pPr>
              <w:jc w:val="center"/>
              <w:rPr>
                <w:rFonts w:ascii="Arial" w:hAnsi="Arial" w:cs="Arial"/>
                <w:sz w:val="18"/>
                <w:szCs w:val="18"/>
              </w:rPr>
            </w:pPr>
            <w:r>
              <w:t>1.3</w:t>
            </w:r>
          </w:p>
        </w:tc>
        <w:tc>
          <w:tcPr>
            <w:tcW w:w="1422" w:type="pct"/>
            <w:shd w:val="clear" w:color="auto" w:fill="auto"/>
          </w:tcPr>
          <w:p>
            <w:pPr>
              <w:jc w:val="center"/>
              <w:rPr>
                <w:rFonts w:ascii="Arial" w:hAnsi="Arial" w:cs="Arial"/>
                <w:sz w:val="18"/>
                <w:szCs w:val="18"/>
              </w:rPr>
            </w:pPr>
            <w:r>
              <w:t>2.3</w:t>
            </w:r>
          </w:p>
        </w:tc>
        <w:tc>
          <w:tcPr>
            <w:tcW w:w="1280" w:type="pct"/>
          </w:tcPr>
          <w:p>
            <w:pPr>
              <w:jc w:val="center"/>
              <w:rPr>
                <w:rFonts w:ascii="Arial" w:hAnsi="Arial" w:cs="Arial"/>
                <w:sz w:val="18"/>
                <w:szCs w:val="18"/>
              </w:rPr>
            </w:pPr>
            <w:r>
              <w:t>1.0</w:t>
            </w:r>
          </w:p>
        </w:tc>
      </w:tr>
      <w:tr>
        <w:trPr>
          <w:trHeight w:val="20"/>
          <w:jc w:val="center"/>
        </w:trPr>
        <w:tc>
          <w:tcPr>
            <w:tcW w:w="1517" w:type="pct"/>
            <w:shd w:val="clear" w:color="auto" w:fill="auto"/>
          </w:tcPr>
          <w:p>
            <w:pPr>
              <w:rPr>
                <w:rFonts w:ascii="Arial" w:hAnsi="Arial" w:cs="Arial"/>
                <w:b/>
                <w:sz w:val="18"/>
                <w:szCs w:val="18"/>
              </w:rPr>
            </w:pPr>
            <w:r>
              <w:t>N-SP 1</w:t>
            </w:r>
          </w:p>
        </w:tc>
        <w:tc>
          <w:tcPr>
            <w:tcW w:w="781" w:type="pct"/>
            <w:shd w:val="clear" w:color="auto" w:fill="auto"/>
          </w:tcPr>
          <w:p>
            <w:pPr>
              <w:jc w:val="center"/>
              <w:rPr>
                <w:rFonts w:ascii="Arial" w:hAnsi="Arial" w:cs="Arial"/>
                <w:sz w:val="18"/>
                <w:szCs w:val="18"/>
              </w:rPr>
            </w:pPr>
            <w:r>
              <w:t>1.0</w:t>
            </w:r>
          </w:p>
        </w:tc>
        <w:tc>
          <w:tcPr>
            <w:tcW w:w="1422" w:type="pct"/>
            <w:shd w:val="clear" w:color="auto" w:fill="auto"/>
          </w:tcPr>
          <w:p>
            <w:pPr>
              <w:jc w:val="center"/>
              <w:rPr>
                <w:rFonts w:ascii="Arial" w:hAnsi="Arial" w:cs="Arial"/>
                <w:sz w:val="18"/>
                <w:szCs w:val="18"/>
              </w:rPr>
            </w:pPr>
            <w:r>
              <w:t>1.0</w:t>
            </w:r>
          </w:p>
        </w:tc>
        <w:tc>
          <w:tcPr>
            <w:tcW w:w="1280" w:type="pct"/>
          </w:tcPr>
          <w:p>
            <w:pPr>
              <w:jc w:val="center"/>
              <w:rPr>
                <w:rFonts w:ascii="Arial" w:hAnsi="Arial" w:cs="Arial"/>
                <w:sz w:val="18"/>
                <w:szCs w:val="18"/>
              </w:rPr>
            </w:pPr>
            <w:r>
              <w:t>1.0</w:t>
            </w:r>
          </w:p>
        </w:tc>
      </w:tr>
      <w:tr>
        <w:trPr>
          <w:trHeight w:val="20"/>
          <w:jc w:val="center"/>
        </w:trPr>
        <w:tc>
          <w:tcPr>
            <w:tcW w:w="1517" w:type="pct"/>
            <w:tcBorders>
              <w:bottom w:val="single" w:sz="4" w:space="0" w:color="auto"/>
            </w:tcBorders>
            <w:shd w:val="clear" w:color="auto" w:fill="auto"/>
          </w:tcPr>
          <w:p>
            <w:pPr>
              <w:rPr>
                <w:rFonts w:ascii="Arial" w:hAnsi="Arial" w:cs="Arial"/>
                <w:b/>
                <w:sz w:val="18"/>
                <w:szCs w:val="18"/>
              </w:rPr>
            </w:pPr>
            <w:r>
              <w:t>N-SP 2</w:t>
            </w:r>
          </w:p>
        </w:tc>
        <w:tc>
          <w:tcPr>
            <w:tcW w:w="781" w:type="pct"/>
            <w:tcBorders>
              <w:bottom w:val="single" w:sz="4" w:space="0" w:color="auto"/>
            </w:tcBorders>
            <w:shd w:val="clear" w:color="auto" w:fill="auto"/>
          </w:tcPr>
          <w:p>
            <w:pPr>
              <w:jc w:val="center"/>
              <w:rPr>
                <w:rFonts w:ascii="Arial" w:hAnsi="Arial" w:cs="Arial"/>
                <w:sz w:val="18"/>
                <w:szCs w:val="18"/>
              </w:rPr>
            </w:pPr>
            <w:r>
              <w:t>-</w:t>
            </w:r>
          </w:p>
        </w:tc>
        <w:tc>
          <w:tcPr>
            <w:tcW w:w="1422" w:type="pct"/>
            <w:tcBorders>
              <w:bottom w:val="single" w:sz="4" w:space="0" w:color="auto"/>
            </w:tcBorders>
            <w:shd w:val="clear" w:color="auto" w:fill="auto"/>
          </w:tcPr>
          <w:p>
            <w:pPr>
              <w:jc w:val="center"/>
              <w:rPr>
                <w:rFonts w:ascii="Arial" w:hAnsi="Arial" w:cs="Arial"/>
                <w:sz w:val="18"/>
                <w:szCs w:val="18"/>
              </w:rPr>
            </w:pPr>
            <w:r>
              <w:t>1.0</w:t>
            </w:r>
          </w:p>
        </w:tc>
        <w:tc>
          <w:tcPr>
            <w:tcW w:w="1280" w:type="pct"/>
            <w:tcBorders>
              <w:bottom w:val="single" w:sz="4" w:space="0" w:color="auto"/>
            </w:tcBorders>
          </w:tcPr>
          <w:p>
            <w:pPr>
              <w:jc w:val="center"/>
              <w:rPr>
                <w:rFonts w:ascii="Arial" w:hAnsi="Arial" w:cs="Arial"/>
                <w:sz w:val="18"/>
                <w:szCs w:val="18"/>
              </w:rPr>
            </w:pPr>
            <w:r>
              <w:t>1.0</w:t>
            </w:r>
          </w:p>
        </w:tc>
      </w:tr>
      <w:tr>
        <w:trPr>
          <w:trHeight w:val="20"/>
          <w:jc w:val="center"/>
        </w:trPr>
        <w:tc>
          <w:tcPr>
            <w:tcW w:w="1517" w:type="pct"/>
            <w:tcBorders>
              <w:top w:val="single" w:sz="4" w:space="0" w:color="auto"/>
              <w:bottom w:val="nil"/>
            </w:tcBorders>
            <w:shd w:val="clear" w:color="auto" w:fill="auto"/>
          </w:tcPr>
          <w:p>
            <w:pPr>
              <w:rPr>
                <w:rFonts w:ascii="Arial" w:hAnsi="Arial" w:cs="Arial"/>
                <w:b/>
                <w:sz w:val="18"/>
                <w:szCs w:val="18"/>
              </w:rPr>
            </w:pPr>
            <w:r>
              <w:t>N-SP 3</w:t>
            </w:r>
          </w:p>
        </w:tc>
        <w:tc>
          <w:tcPr>
            <w:tcW w:w="781" w:type="pct"/>
            <w:tcBorders>
              <w:top w:val="single" w:sz="4" w:space="0" w:color="auto"/>
              <w:bottom w:val="nil"/>
            </w:tcBorders>
            <w:shd w:val="clear" w:color="auto" w:fill="auto"/>
          </w:tcPr>
          <w:p>
            <w:pPr>
              <w:jc w:val="center"/>
              <w:rPr>
                <w:rFonts w:ascii="Arial" w:hAnsi="Arial" w:cs="Arial"/>
                <w:sz w:val="18"/>
                <w:szCs w:val="18"/>
              </w:rPr>
            </w:pPr>
            <w:r>
              <w:t>1.0</w:t>
            </w:r>
          </w:p>
        </w:tc>
        <w:tc>
          <w:tcPr>
            <w:tcW w:w="1422" w:type="pct"/>
            <w:tcBorders>
              <w:top w:val="single" w:sz="4" w:space="0" w:color="auto"/>
              <w:bottom w:val="nil"/>
            </w:tcBorders>
            <w:shd w:val="clear" w:color="auto" w:fill="auto"/>
          </w:tcPr>
          <w:p>
            <w:pPr>
              <w:jc w:val="center"/>
              <w:rPr>
                <w:rFonts w:ascii="Arial" w:hAnsi="Arial" w:cs="Arial"/>
                <w:sz w:val="18"/>
                <w:szCs w:val="18"/>
              </w:rPr>
            </w:pPr>
            <w:r>
              <w:t>1.0</w:t>
            </w:r>
          </w:p>
        </w:tc>
        <w:tc>
          <w:tcPr>
            <w:tcW w:w="1280" w:type="pct"/>
            <w:tcBorders>
              <w:top w:val="single" w:sz="4" w:space="0" w:color="auto"/>
              <w:bottom w:val="nil"/>
            </w:tcBorders>
          </w:tcPr>
          <w:p>
            <w:pPr>
              <w:jc w:val="center"/>
              <w:rPr>
                <w:rFonts w:ascii="Arial" w:hAnsi="Arial" w:cs="Arial"/>
                <w:sz w:val="18"/>
                <w:szCs w:val="18"/>
              </w:rPr>
            </w:pPr>
            <w:r>
              <w:t>1.0</w:t>
            </w:r>
          </w:p>
        </w:tc>
      </w:tr>
      <w:tr>
        <w:trPr>
          <w:trHeight w:val="20"/>
          <w:jc w:val="center"/>
        </w:trPr>
        <w:tc>
          <w:tcPr>
            <w:tcW w:w="1517" w:type="pct"/>
            <w:tcBorders>
              <w:top w:val="nil"/>
            </w:tcBorders>
            <w:shd w:val="clear" w:color="auto" w:fill="auto"/>
          </w:tcPr>
          <w:p>
            <w:pPr>
              <w:rPr>
                <w:rFonts w:ascii="Arial" w:hAnsi="Arial" w:cs="Arial"/>
                <w:b/>
                <w:sz w:val="18"/>
                <w:szCs w:val="18"/>
              </w:rPr>
            </w:pPr>
            <w:r>
              <w:t>N-SP 4</w:t>
            </w:r>
          </w:p>
        </w:tc>
        <w:tc>
          <w:tcPr>
            <w:tcW w:w="781" w:type="pct"/>
            <w:tcBorders>
              <w:top w:val="nil"/>
            </w:tcBorders>
            <w:shd w:val="clear" w:color="auto" w:fill="auto"/>
          </w:tcPr>
          <w:p>
            <w:pPr>
              <w:jc w:val="center"/>
              <w:rPr>
                <w:rFonts w:ascii="Arial" w:hAnsi="Arial" w:cs="Arial"/>
                <w:sz w:val="18"/>
                <w:szCs w:val="18"/>
              </w:rPr>
            </w:pPr>
            <w:r>
              <w:t>1.0</w:t>
            </w:r>
          </w:p>
        </w:tc>
        <w:tc>
          <w:tcPr>
            <w:tcW w:w="1422" w:type="pct"/>
            <w:tcBorders>
              <w:top w:val="nil"/>
            </w:tcBorders>
            <w:shd w:val="clear" w:color="auto" w:fill="auto"/>
          </w:tcPr>
          <w:p>
            <w:pPr>
              <w:jc w:val="center"/>
              <w:rPr>
                <w:rFonts w:ascii="Arial" w:hAnsi="Arial" w:cs="Arial"/>
                <w:sz w:val="18"/>
                <w:szCs w:val="18"/>
              </w:rPr>
            </w:pPr>
            <w:r>
              <w:t>1.0</w:t>
            </w:r>
          </w:p>
        </w:tc>
        <w:tc>
          <w:tcPr>
            <w:tcW w:w="1280" w:type="pct"/>
            <w:tcBorders>
              <w:top w:val="nil"/>
            </w:tcBorders>
          </w:tcPr>
          <w:p>
            <w:pPr>
              <w:jc w:val="center"/>
              <w:rPr>
                <w:rFonts w:ascii="Arial" w:hAnsi="Arial" w:cs="Arial"/>
                <w:sz w:val="18"/>
                <w:szCs w:val="18"/>
              </w:rPr>
            </w:pPr>
            <w:r>
              <w:t>1.0</w:t>
            </w:r>
          </w:p>
        </w:tc>
      </w:tr>
      <w:tr>
        <w:trPr>
          <w:trHeight w:val="20"/>
          <w:jc w:val="center"/>
        </w:trPr>
        <w:tc>
          <w:tcPr>
            <w:tcW w:w="1517" w:type="pct"/>
            <w:shd w:val="clear" w:color="auto" w:fill="auto"/>
          </w:tcPr>
          <w:p>
            <w:pPr>
              <w:rPr>
                <w:rFonts w:ascii="Arial" w:hAnsi="Arial" w:cs="Arial"/>
                <w:b/>
                <w:sz w:val="18"/>
                <w:szCs w:val="18"/>
              </w:rPr>
            </w:pPr>
            <w:r>
              <w:t>N-SP 5</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w:t>
            </w:r>
          </w:p>
        </w:tc>
        <w:tc>
          <w:tcPr>
            <w:tcW w:w="1280" w:type="pct"/>
          </w:tcPr>
          <w:p>
            <w:pPr>
              <w:jc w:val="center"/>
              <w:rPr>
                <w:rFonts w:ascii="Arial" w:hAnsi="Arial" w:cs="Arial"/>
                <w:sz w:val="18"/>
                <w:szCs w:val="18"/>
              </w:rPr>
            </w:pPr>
            <w:r>
              <w:t>1.0</w:t>
            </w:r>
          </w:p>
        </w:tc>
      </w:tr>
      <w:tr>
        <w:trPr>
          <w:trHeight w:val="20"/>
          <w:jc w:val="center"/>
        </w:trPr>
        <w:tc>
          <w:tcPr>
            <w:tcW w:w="1517" w:type="pct"/>
            <w:shd w:val="clear" w:color="auto" w:fill="auto"/>
          </w:tcPr>
          <w:p>
            <w:pPr>
              <w:rPr>
                <w:rFonts w:ascii="Arial" w:hAnsi="Arial" w:cs="Arial"/>
                <w:b/>
                <w:sz w:val="18"/>
                <w:szCs w:val="18"/>
              </w:rPr>
            </w:pPr>
            <w:r>
              <w:t>N-SP 6</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w:t>
            </w:r>
          </w:p>
        </w:tc>
        <w:tc>
          <w:tcPr>
            <w:tcW w:w="1280" w:type="pct"/>
          </w:tcPr>
          <w:p>
            <w:pPr>
              <w:jc w:val="center"/>
              <w:rPr>
                <w:rFonts w:ascii="Arial" w:hAnsi="Arial" w:cs="Arial"/>
                <w:sz w:val="18"/>
                <w:szCs w:val="18"/>
              </w:rPr>
            </w:pPr>
            <w:r>
              <w:t>-</w:t>
            </w:r>
          </w:p>
        </w:tc>
      </w:tr>
      <w:tr>
        <w:trPr>
          <w:trHeight w:val="20"/>
          <w:jc w:val="center"/>
        </w:trPr>
        <w:tc>
          <w:tcPr>
            <w:tcW w:w="1517" w:type="pct"/>
            <w:shd w:val="clear" w:color="auto" w:fill="auto"/>
          </w:tcPr>
          <w:p>
            <w:pPr>
              <w:rPr>
                <w:rFonts w:ascii="Arial" w:hAnsi="Arial" w:cs="Arial"/>
                <w:b/>
                <w:sz w:val="18"/>
                <w:szCs w:val="18"/>
              </w:rPr>
            </w:pPr>
            <w:r>
              <w:t>N-SP 7</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w:t>
            </w:r>
          </w:p>
        </w:tc>
        <w:tc>
          <w:tcPr>
            <w:tcW w:w="1280" w:type="pct"/>
          </w:tcPr>
          <w:p>
            <w:pPr>
              <w:jc w:val="center"/>
              <w:rPr>
                <w:rFonts w:ascii="Arial" w:hAnsi="Arial" w:cs="Arial"/>
                <w:sz w:val="18"/>
                <w:szCs w:val="18"/>
              </w:rPr>
            </w:pPr>
            <w:r>
              <w:t>-</w:t>
            </w:r>
          </w:p>
        </w:tc>
      </w:tr>
      <w:tr>
        <w:trPr>
          <w:trHeight w:val="20"/>
          <w:jc w:val="center"/>
        </w:trPr>
        <w:tc>
          <w:tcPr>
            <w:tcW w:w="1517" w:type="pct"/>
            <w:shd w:val="clear" w:color="auto" w:fill="auto"/>
          </w:tcPr>
          <w:p>
            <w:pPr>
              <w:rPr>
                <w:rFonts w:ascii="Arial" w:hAnsi="Arial" w:cs="Arial"/>
                <w:b/>
                <w:sz w:val="18"/>
                <w:szCs w:val="18"/>
              </w:rPr>
            </w:pPr>
            <w:r>
              <w:t>N-SP 8</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w:t>
            </w:r>
          </w:p>
        </w:tc>
        <w:tc>
          <w:tcPr>
            <w:tcW w:w="1280" w:type="pct"/>
          </w:tcPr>
          <w:p>
            <w:pPr>
              <w:jc w:val="center"/>
              <w:rPr>
                <w:rFonts w:ascii="Arial" w:hAnsi="Arial" w:cs="Arial"/>
                <w:sz w:val="18"/>
                <w:szCs w:val="18"/>
              </w:rPr>
            </w:pPr>
            <w:r>
              <w:t>-</w:t>
            </w:r>
          </w:p>
        </w:tc>
      </w:tr>
      <w:tr>
        <w:trPr>
          <w:trHeight w:val="20"/>
          <w:jc w:val="center"/>
        </w:trPr>
        <w:tc>
          <w:tcPr>
            <w:tcW w:w="1517" w:type="pct"/>
            <w:shd w:val="clear" w:color="auto" w:fill="auto"/>
          </w:tcPr>
          <w:p>
            <w:pPr>
              <w:rPr>
                <w:rFonts w:ascii="Arial" w:hAnsi="Arial" w:cs="Arial"/>
                <w:b/>
                <w:sz w:val="18"/>
                <w:szCs w:val="18"/>
              </w:rPr>
            </w:pPr>
            <w:r>
              <w:t>N-SP 9</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w:t>
            </w:r>
          </w:p>
        </w:tc>
        <w:tc>
          <w:tcPr>
            <w:tcW w:w="1280" w:type="pct"/>
          </w:tcPr>
          <w:p>
            <w:pPr>
              <w:jc w:val="center"/>
              <w:rPr>
                <w:rFonts w:ascii="Arial" w:hAnsi="Arial" w:cs="Arial"/>
                <w:sz w:val="18"/>
                <w:szCs w:val="18"/>
              </w:rPr>
            </w:pPr>
            <w:r>
              <w:t>-</w:t>
            </w:r>
          </w:p>
        </w:tc>
      </w:tr>
      <w:tr>
        <w:trPr>
          <w:trHeight w:val="20"/>
          <w:jc w:val="center"/>
        </w:trPr>
        <w:tc>
          <w:tcPr>
            <w:tcW w:w="1517" w:type="pct"/>
            <w:shd w:val="clear" w:color="auto" w:fill="auto"/>
          </w:tcPr>
          <w:p>
            <w:pPr>
              <w:rPr>
                <w:rFonts w:ascii="Arial" w:hAnsi="Arial" w:cs="Arial"/>
                <w:b/>
                <w:sz w:val="18"/>
                <w:szCs w:val="18"/>
              </w:rPr>
            </w:pPr>
            <w:r>
              <w:t>N-SP 10</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w:t>
            </w:r>
          </w:p>
        </w:tc>
        <w:tc>
          <w:tcPr>
            <w:tcW w:w="1280" w:type="pct"/>
          </w:tcPr>
          <w:p>
            <w:pPr>
              <w:jc w:val="center"/>
              <w:rPr>
                <w:rFonts w:ascii="Arial" w:hAnsi="Arial" w:cs="Arial"/>
                <w:sz w:val="18"/>
                <w:szCs w:val="18"/>
              </w:rPr>
            </w:pPr>
            <w:r>
              <w:t>-</w:t>
            </w:r>
          </w:p>
        </w:tc>
      </w:tr>
      <w:tr>
        <w:trPr>
          <w:trHeight w:val="20"/>
          <w:jc w:val="center"/>
        </w:trPr>
        <w:tc>
          <w:tcPr>
            <w:tcW w:w="1517" w:type="pct"/>
            <w:shd w:val="clear" w:color="auto" w:fill="auto"/>
          </w:tcPr>
          <w:p>
            <w:pPr>
              <w:rPr>
                <w:rFonts w:ascii="Arial" w:hAnsi="Arial" w:cs="Arial"/>
                <w:b/>
                <w:sz w:val="18"/>
                <w:szCs w:val="18"/>
              </w:rPr>
            </w:pPr>
            <w:r>
              <w:t>N-SP 11</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w:t>
            </w:r>
          </w:p>
        </w:tc>
        <w:tc>
          <w:tcPr>
            <w:tcW w:w="1280" w:type="pct"/>
          </w:tcPr>
          <w:p>
            <w:pPr>
              <w:jc w:val="center"/>
              <w:rPr>
                <w:rFonts w:ascii="Arial" w:hAnsi="Arial" w:cs="Arial"/>
                <w:sz w:val="18"/>
                <w:szCs w:val="18"/>
              </w:rPr>
            </w:pPr>
            <w:r>
              <w:t>-</w:t>
            </w:r>
          </w:p>
        </w:tc>
      </w:tr>
      <w:tr>
        <w:trPr>
          <w:trHeight w:val="20"/>
          <w:jc w:val="center"/>
        </w:trPr>
        <w:tc>
          <w:tcPr>
            <w:tcW w:w="1517" w:type="pct"/>
            <w:shd w:val="clear" w:color="auto" w:fill="auto"/>
          </w:tcPr>
          <w:p>
            <w:pPr>
              <w:rPr>
                <w:rFonts w:ascii="Arial" w:hAnsi="Arial" w:cs="Arial"/>
                <w:b/>
                <w:sz w:val="18"/>
                <w:szCs w:val="18"/>
              </w:rPr>
            </w:pPr>
            <w:r>
              <w:t>N-SP 12</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w:t>
            </w:r>
          </w:p>
        </w:tc>
        <w:tc>
          <w:tcPr>
            <w:tcW w:w="1280" w:type="pct"/>
          </w:tcPr>
          <w:p>
            <w:pPr>
              <w:jc w:val="center"/>
              <w:rPr>
                <w:rFonts w:ascii="Arial" w:hAnsi="Arial" w:cs="Arial"/>
                <w:sz w:val="18"/>
                <w:szCs w:val="18"/>
              </w:rPr>
            </w:pPr>
            <w:r>
              <w:t>-</w:t>
            </w:r>
          </w:p>
        </w:tc>
      </w:tr>
      <w:tr>
        <w:trPr>
          <w:trHeight w:val="20"/>
          <w:jc w:val="center"/>
        </w:trPr>
        <w:tc>
          <w:tcPr>
            <w:tcW w:w="1517" w:type="pct"/>
            <w:shd w:val="clear" w:color="auto" w:fill="auto"/>
          </w:tcPr>
          <w:p>
            <w:pPr>
              <w:rPr>
                <w:rFonts w:ascii="Arial" w:hAnsi="Arial" w:cs="Arial"/>
                <w:b/>
                <w:sz w:val="18"/>
                <w:szCs w:val="18"/>
              </w:rPr>
            </w:pPr>
            <w:r>
              <w:t>N-SP 13</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w:t>
            </w:r>
          </w:p>
        </w:tc>
        <w:tc>
          <w:tcPr>
            <w:tcW w:w="1280" w:type="pct"/>
          </w:tcPr>
          <w:p>
            <w:pPr>
              <w:jc w:val="center"/>
              <w:rPr>
                <w:rFonts w:ascii="Arial" w:hAnsi="Arial" w:cs="Arial"/>
                <w:sz w:val="18"/>
                <w:szCs w:val="18"/>
              </w:rPr>
            </w:pPr>
            <w:r>
              <w:t>-</w:t>
            </w:r>
          </w:p>
        </w:tc>
      </w:tr>
      <w:tr>
        <w:trPr>
          <w:trHeight w:val="20"/>
          <w:jc w:val="center"/>
        </w:trPr>
        <w:tc>
          <w:tcPr>
            <w:tcW w:w="1517" w:type="pct"/>
            <w:shd w:val="clear" w:color="auto" w:fill="auto"/>
          </w:tcPr>
          <w:p>
            <w:pPr>
              <w:rPr>
                <w:rFonts w:ascii="Arial" w:hAnsi="Arial" w:cs="Arial"/>
                <w:b/>
                <w:sz w:val="18"/>
                <w:szCs w:val="18"/>
              </w:rPr>
            </w:pPr>
            <w:r>
              <w:t>N-SP 14</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w:t>
            </w:r>
          </w:p>
        </w:tc>
        <w:tc>
          <w:tcPr>
            <w:tcW w:w="1280" w:type="pct"/>
          </w:tcPr>
          <w:p>
            <w:pPr>
              <w:jc w:val="center"/>
              <w:rPr>
                <w:rFonts w:ascii="Arial" w:hAnsi="Arial" w:cs="Arial"/>
                <w:sz w:val="18"/>
                <w:szCs w:val="18"/>
              </w:rPr>
            </w:pPr>
            <w:r>
              <w:t>-</w:t>
            </w:r>
          </w:p>
        </w:tc>
      </w:tr>
      <w:tr>
        <w:trPr>
          <w:trHeight w:val="20"/>
          <w:jc w:val="center"/>
        </w:trPr>
        <w:tc>
          <w:tcPr>
            <w:tcW w:w="1517" w:type="pct"/>
            <w:shd w:val="clear" w:color="auto" w:fill="auto"/>
          </w:tcPr>
          <w:p>
            <w:pPr>
              <w:rPr>
                <w:rFonts w:ascii="Arial" w:hAnsi="Arial" w:cs="Arial"/>
                <w:b/>
                <w:sz w:val="18"/>
                <w:szCs w:val="18"/>
              </w:rPr>
            </w:pPr>
            <w:r>
              <w:t>N-SP 15</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w:t>
            </w:r>
          </w:p>
        </w:tc>
        <w:tc>
          <w:tcPr>
            <w:tcW w:w="1280" w:type="pct"/>
          </w:tcPr>
          <w:p>
            <w:pPr>
              <w:jc w:val="center"/>
              <w:rPr>
                <w:rFonts w:ascii="Arial" w:hAnsi="Arial" w:cs="Arial"/>
                <w:sz w:val="18"/>
                <w:szCs w:val="18"/>
              </w:rPr>
            </w:pPr>
            <w:r>
              <w:t>-</w:t>
            </w:r>
          </w:p>
        </w:tc>
      </w:tr>
      <w:tr>
        <w:trPr>
          <w:trHeight w:val="20"/>
          <w:jc w:val="center"/>
        </w:trPr>
        <w:tc>
          <w:tcPr>
            <w:tcW w:w="1517" w:type="pct"/>
            <w:shd w:val="clear" w:color="auto" w:fill="auto"/>
          </w:tcPr>
          <w:p>
            <w:pPr>
              <w:rPr>
                <w:rFonts w:ascii="Arial" w:hAnsi="Arial" w:cs="Arial"/>
                <w:b/>
                <w:sz w:val="18"/>
                <w:szCs w:val="18"/>
              </w:rPr>
            </w:pPr>
            <w:r>
              <w:t>N-SP 16</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w:t>
            </w:r>
          </w:p>
        </w:tc>
        <w:tc>
          <w:tcPr>
            <w:tcW w:w="1280" w:type="pct"/>
          </w:tcPr>
          <w:p>
            <w:pPr>
              <w:jc w:val="center"/>
              <w:rPr>
                <w:rFonts w:ascii="Arial" w:hAnsi="Arial" w:cs="Arial"/>
                <w:sz w:val="18"/>
                <w:szCs w:val="18"/>
              </w:rPr>
            </w:pPr>
            <w:r>
              <w:t>-</w:t>
            </w:r>
          </w:p>
        </w:tc>
      </w:tr>
      <w:tr>
        <w:trPr>
          <w:trHeight w:val="20"/>
          <w:jc w:val="center"/>
        </w:trPr>
        <w:tc>
          <w:tcPr>
            <w:tcW w:w="1517" w:type="pct"/>
            <w:shd w:val="clear" w:color="auto" w:fill="auto"/>
          </w:tcPr>
          <w:p>
            <w:pPr>
              <w:rPr>
                <w:rFonts w:ascii="Arial" w:hAnsi="Arial" w:cs="Arial"/>
                <w:b/>
                <w:sz w:val="18"/>
                <w:szCs w:val="18"/>
              </w:rPr>
            </w:pPr>
            <w:r>
              <w:t>N-SP 17</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w:t>
            </w:r>
          </w:p>
        </w:tc>
        <w:tc>
          <w:tcPr>
            <w:tcW w:w="1280" w:type="pct"/>
          </w:tcPr>
          <w:p>
            <w:pPr>
              <w:jc w:val="center"/>
              <w:rPr>
                <w:rFonts w:ascii="Arial" w:hAnsi="Arial" w:cs="Arial"/>
                <w:sz w:val="18"/>
                <w:szCs w:val="18"/>
              </w:rPr>
            </w:pPr>
            <w:r>
              <w:t>-</w:t>
            </w:r>
          </w:p>
        </w:tc>
      </w:tr>
      <w:tr>
        <w:trPr>
          <w:trHeight w:val="20"/>
          <w:jc w:val="center"/>
        </w:trPr>
        <w:tc>
          <w:tcPr>
            <w:tcW w:w="1517" w:type="pct"/>
            <w:shd w:val="clear" w:color="auto" w:fill="auto"/>
          </w:tcPr>
          <w:p>
            <w:pPr>
              <w:rPr>
                <w:rFonts w:ascii="Arial" w:hAnsi="Arial" w:cs="Arial"/>
                <w:b/>
                <w:sz w:val="18"/>
                <w:szCs w:val="18"/>
              </w:rPr>
            </w:pPr>
            <w:r>
              <w:t>IAA-SP 1</w:t>
            </w:r>
          </w:p>
        </w:tc>
        <w:tc>
          <w:tcPr>
            <w:tcW w:w="781" w:type="pct"/>
            <w:shd w:val="clear" w:color="auto" w:fill="auto"/>
          </w:tcPr>
          <w:p>
            <w:pPr>
              <w:jc w:val="center"/>
              <w:rPr>
                <w:rFonts w:ascii="Arial" w:hAnsi="Arial" w:cs="Arial"/>
                <w:sz w:val="18"/>
                <w:szCs w:val="18"/>
              </w:rPr>
            </w:pPr>
            <w:r>
              <w:t>-</w:t>
            </w:r>
          </w:p>
        </w:tc>
        <w:tc>
          <w:tcPr>
            <w:tcW w:w="1422" w:type="pct"/>
            <w:shd w:val="clear" w:color="auto" w:fill="auto"/>
          </w:tcPr>
          <w:p>
            <w:pPr>
              <w:jc w:val="center"/>
              <w:rPr>
                <w:rFonts w:ascii="Arial" w:hAnsi="Arial" w:cs="Arial"/>
                <w:sz w:val="18"/>
                <w:szCs w:val="18"/>
              </w:rPr>
            </w:pPr>
            <w:r>
              <w:t>-</w:t>
            </w:r>
          </w:p>
        </w:tc>
        <w:tc>
          <w:tcPr>
            <w:tcW w:w="1280" w:type="pct"/>
          </w:tcPr>
          <w:p>
            <w:pPr>
              <w:jc w:val="center"/>
              <w:rPr>
                <w:rFonts w:ascii="Arial" w:hAnsi="Arial" w:cs="Arial"/>
                <w:sz w:val="18"/>
                <w:szCs w:val="18"/>
              </w:rPr>
            </w:pPr>
            <w:r>
              <w:t>1.0</w:t>
            </w:r>
          </w:p>
        </w:tc>
      </w:tr>
      <w:tr>
        <w:trPr>
          <w:trHeight w:val="20"/>
          <w:jc w:val="center"/>
        </w:trPr>
        <w:tc>
          <w:tcPr>
            <w:tcW w:w="1517" w:type="pct"/>
            <w:shd w:val="clear" w:color="auto" w:fill="auto"/>
          </w:tcPr>
          <w:p>
            <w:pPr>
              <w:rPr>
                <w:rFonts w:ascii="Arial" w:hAnsi="Arial" w:cs="Arial"/>
                <w:b/>
                <w:sz w:val="18"/>
                <w:szCs w:val="18"/>
              </w:rPr>
            </w:pPr>
            <w:r>
              <w:t>IAA-SP 2</w:t>
            </w:r>
          </w:p>
        </w:tc>
        <w:tc>
          <w:tcPr>
            <w:tcW w:w="781" w:type="pct"/>
            <w:shd w:val="clear" w:color="auto" w:fill="auto"/>
          </w:tcPr>
          <w:p>
            <w:pPr>
              <w:jc w:val="center"/>
              <w:rPr>
                <w:rFonts w:ascii="Arial" w:hAnsi="Arial" w:cs="Arial"/>
                <w:sz w:val="18"/>
                <w:szCs w:val="18"/>
              </w:rPr>
            </w:pPr>
            <w:r>
              <w:t>1.0</w:t>
            </w:r>
          </w:p>
        </w:tc>
        <w:tc>
          <w:tcPr>
            <w:tcW w:w="1422" w:type="pct"/>
            <w:shd w:val="clear" w:color="auto" w:fill="auto"/>
          </w:tcPr>
          <w:p>
            <w:pPr>
              <w:jc w:val="center"/>
              <w:rPr>
                <w:rFonts w:ascii="Arial" w:hAnsi="Arial" w:cs="Arial"/>
                <w:sz w:val="18"/>
                <w:szCs w:val="18"/>
              </w:rPr>
            </w:pPr>
            <w:r>
              <w:t>1.0</w:t>
            </w:r>
          </w:p>
        </w:tc>
        <w:tc>
          <w:tcPr>
            <w:tcW w:w="1280" w:type="pct"/>
          </w:tcPr>
          <w:p>
            <w:pPr>
              <w:jc w:val="center"/>
              <w:rPr>
                <w:rFonts w:ascii="Arial" w:hAnsi="Arial" w:cs="Arial"/>
                <w:sz w:val="18"/>
                <w:szCs w:val="18"/>
              </w:rPr>
            </w:pPr>
            <w:r>
              <w:t>1.0</w:t>
            </w:r>
          </w:p>
        </w:tc>
      </w:tr>
      <w:tr>
        <w:trPr>
          <w:trHeight w:val="20"/>
          <w:jc w:val="center"/>
        </w:trPr>
        <w:tc>
          <w:tcPr>
            <w:tcW w:w="1517" w:type="pct"/>
            <w:shd w:val="clear" w:color="auto" w:fill="auto"/>
          </w:tcPr>
          <w:p>
            <w:pPr>
              <w:rPr>
                <w:rFonts w:ascii="Arial" w:hAnsi="Arial" w:cs="Arial"/>
                <w:b/>
                <w:sz w:val="18"/>
                <w:szCs w:val="18"/>
              </w:rPr>
            </w:pPr>
            <w:r>
              <w:t>IAA-SP 3</w:t>
            </w:r>
          </w:p>
        </w:tc>
        <w:tc>
          <w:tcPr>
            <w:tcW w:w="781" w:type="pct"/>
            <w:shd w:val="clear" w:color="auto" w:fill="auto"/>
          </w:tcPr>
          <w:p>
            <w:pPr>
              <w:jc w:val="center"/>
              <w:rPr>
                <w:rFonts w:ascii="Arial" w:hAnsi="Arial" w:cs="Arial"/>
                <w:sz w:val="18"/>
                <w:szCs w:val="18"/>
              </w:rPr>
            </w:pPr>
            <w:r>
              <w:t>1.7</w:t>
            </w:r>
          </w:p>
        </w:tc>
        <w:tc>
          <w:tcPr>
            <w:tcW w:w="1422" w:type="pct"/>
            <w:shd w:val="clear" w:color="auto" w:fill="auto"/>
          </w:tcPr>
          <w:p>
            <w:pPr>
              <w:jc w:val="center"/>
              <w:rPr>
                <w:rFonts w:ascii="Arial" w:hAnsi="Arial" w:cs="Arial"/>
                <w:sz w:val="18"/>
                <w:szCs w:val="18"/>
              </w:rPr>
            </w:pPr>
            <w:r>
              <w:t>1.5</w:t>
            </w:r>
          </w:p>
        </w:tc>
        <w:tc>
          <w:tcPr>
            <w:tcW w:w="1280" w:type="pct"/>
          </w:tcPr>
          <w:p>
            <w:pPr>
              <w:jc w:val="center"/>
              <w:rPr>
                <w:rFonts w:ascii="Arial" w:hAnsi="Arial" w:cs="Arial"/>
                <w:sz w:val="18"/>
                <w:szCs w:val="18"/>
              </w:rPr>
            </w:pPr>
            <w:r>
              <w:t>1.0</w:t>
            </w:r>
          </w:p>
        </w:tc>
      </w:tr>
      <w:tr>
        <w:trPr>
          <w:trHeight w:val="283"/>
          <w:jc w:val="center"/>
        </w:trPr>
        <w:tc>
          <w:tcPr>
            <w:tcW w:w="1517" w:type="pct"/>
            <w:shd w:val="clear" w:color="auto" w:fill="auto"/>
          </w:tcPr>
          <w:p>
            <w:pPr>
              <w:rPr>
                <w:rFonts w:ascii="Arial" w:hAnsi="Arial" w:cs="Arial"/>
                <w:b/>
                <w:sz w:val="18"/>
                <w:szCs w:val="18"/>
              </w:rPr>
            </w:pPr>
            <w:r>
              <w:t>IAA-SP 4</w:t>
            </w:r>
          </w:p>
        </w:tc>
        <w:tc>
          <w:tcPr>
            <w:tcW w:w="781" w:type="pct"/>
            <w:shd w:val="clear" w:color="auto" w:fill="auto"/>
          </w:tcPr>
          <w:p>
            <w:pPr>
              <w:jc w:val="center"/>
              <w:rPr>
                <w:rFonts w:ascii="Arial" w:hAnsi="Arial" w:cs="Arial"/>
                <w:sz w:val="18"/>
                <w:szCs w:val="18"/>
              </w:rPr>
            </w:pPr>
            <w:r>
              <w:t>1.0</w:t>
            </w:r>
          </w:p>
        </w:tc>
        <w:tc>
          <w:tcPr>
            <w:tcW w:w="1422" w:type="pct"/>
            <w:shd w:val="clear" w:color="auto" w:fill="auto"/>
          </w:tcPr>
          <w:p>
            <w:pPr>
              <w:jc w:val="center"/>
              <w:rPr>
                <w:rFonts w:ascii="Arial" w:hAnsi="Arial" w:cs="Arial"/>
                <w:sz w:val="18"/>
                <w:szCs w:val="18"/>
              </w:rPr>
            </w:pPr>
            <w:r>
              <w:t>1.0</w:t>
            </w:r>
          </w:p>
        </w:tc>
        <w:tc>
          <w:tcPr>
            <w:tcW w:w="1280" w:type="pct"/>
          </w:tcPr>
          <w:p>
            <w:pPr>
              <w:jc w:val="center"/>
              <w:rPr>
                <w:rFonts w:ascii="Arial" w:hAnsi="Arial" w:cs="Arial"/>
                <w:sz w:val="18"/>
                <w:szCs w:val="18"/>
              </w:rPr>
            </w:pPr>
            <w:r>
              <w:t>-</w:t>
            </w:r>
          </w:p>
        </w:tc>
      </w:tr>
      <w:tr>
        <w:trPr>
          <w:trHeight w:val="20"/>
          <w:jc w:val="center"/>
        </w:trPr>
        <w:tc>
          <w:tcPr>
            <w:tcW w:w="3720" w:type="pct"/>
            <w:gridSpan w:val="3"/>
            <w:tcBorders>
              <w:bottom w:val="single" w:sz="12" w:space="0" w:color="auto"/>
            </w:tcBorders>
            <w:shd w:val="clear" w:color="auto" w:fill="auto"/>
            <w:vAlign w:val="center"/>
          </w:tcPr>
          <w:p>
            <w:pPr>
              <w:jc w:val="center"/>
              <w:rPr>
                <w:rFonts w:ascii="Arial" w:hAnsi="Arial" w:cs="Arial"/>
                <w:sz w:val="10"/>
                <w:szCs w:val="12"/>
              </w:rPr>
            </w:pPr>
            <w:r>
              <w:rPr>
                <w:rFonts w:ascii="Arial" w:hAnsi="Arial" w:cs="Arial"/>
                <w:sz w:val="10"/>
                <w:szCs w:val="10"/>
              </w:rPr>
              <w:t>)</w:t>
            </w:r>
          </w:p>
        </w:tc>
        <w:tc>
          <w:tcPr>
            <w:tcW w:w="1280" w:type="pct"/>
            <w:tcBorders>
              <w:bottom w:val="single" w:sz="12" w:space="0" w:color="auto"/>
            </w:tcBorders>
          </w:tcPr>
          <w:p>
            <w:pPr>
              <w:jc w:val="center"/>
              <w:rPr>
                <w:rFonts w:ascii="Arial" w:hAnsi="Arial" w:cs="Arial"/>
                <w:sz w:val="10"/>
                <w:szCs w:val="10"/>
              </w:rPr>
            </w:pPr>
          </w:p>
        </w:tc>
      </w:tr>
      <w:tr>
        <w:trPr>
          <w:jc w:val="center"/>
        </w:trPr>
        <w:tc>
          <w:tcPr>
            <w:tcW w:w="5000" w:type="pct"/>
            <w:gridSpan w:val="4"/>
            <w:tcBorders>
              <w:top w:val="single" w:sz="12" w:space="0" w:color="auto"/>
              <w:bottom w:val="nil"/>
            </w:tcBorders>
            <w:shd w:val="clear" w:color="auto" w:fill="auto"/>
          </w:tcPr>
          <w:p>
            <w:pPr>
              <w:ind w:right="-1919"/>
              <w:jc w:val="both"/>
              <w:rPr>
                <w:rFonts w:ascii="Arial" w:hAnsi="Arial" w:cs="Arial"/>
                <w:i/>
                <w:sz w:val="18"/>
                <w:szCs w:val="18"/>
              </w:rPr>
            </w:pPr>
            <w:r>
              <w:rPr>
                <w:rFonts w:ascii="Arial" w:hAnsi="Arial" w:cs="Arial"/>
                <w:i/>
                <w:sz w:val="18"/>
                <w:szCs w:val="18"/>
              </w:rPr>
              <w:t xml:space="preserve">Values represent the clear zone index calculated from the average of three replicates. “–” indicates </w:t>
            </w:r>
          </w:p>
          <w:p>
            <w:pPr>
              <w:rPr>
                <w:rFonts w:ascii="Arial" w:hAnsi="Arial" w:cs="Arial"/>
                <w:i/>
                <w:sz w:val="18"/>
                <w:szCs w:val="18"/>
                <w:vertAlign w:val="superscript"/>
              </w:rPr>
            </w:pPr>
            <w:r>
              <w:rPr>
                <w:rFonts w:ascii="Arial" w:hAnsi="Arial" w:cs="Arial"/>
                <w:i/>
                <w:sz w:val="18"/>
                <w:szCs w:val="18"/>
              </w:rPr>
              <w:t>no visible halo zone formed</w:t>
            </w:r>
            <w:r>
              <w:rPr>
                <w:i/>
                <w:sz w:val="18"/>
                <w:szCs w:val="18"/>
              </w:rPr>
              <w:t xml:space="preserve">. </w:t>
            </w:r>
            <w:r>
              <w:rPr>
                <w:rFonts w:ascii="Arial" w:hAnsi="Arial" w:cs="Arial"/>
                <w:i/>
                <w:sz w:val="18"/>
                <w:szCs w:val="18"/>
              </w:rPr>
              <w:t>The cellulolytic activity was tested on CMC agar; phosphate-solubilizing activity on Pikovskaya medium; potassium-solubilizing activity on Alexandrov medium. All assays were conducted using the spot inoculation method at 37°C.</w:t>
            </w:r>
          </w:p>
        </w:tc>
      </w:tr>
    </w:tbl>
    <w:p>
      <w:pPr>
        <w:ind w:firstLine="720"/>
        <w:jc w:val="both"/>
        <w:rPr>
          <w:rFonts w:ascii="Arial" w:hAnsi="Arial" w:cs="Arial"/>
        </w:rPr>
      </w:pPr>
    </w:p>
    <w:p>
      <w:pPr>
        <w:ind w:firstLine="720"/>
        <w:jc w:val="both"/>
        <w:rPr>
          <w:rFonts w:ascii="Arial" w:hAnsi="Arial" w:cs="Arial"/>
          <w:lang w:val="en-GB"/>
        </w:rPr>
      </w:pPr>
      <w:r>
        <w:rPr>
          <w:rFonts w:ascii="Arial" w:hAnsi="Arial" w:cs="Arial"/>
          <w:noProof/>
        </w:rPr>
        <w:drawing>
          <wp:inline distT="0" distB="0" distL="0" distR="0">
            <wp:extent cx="4644668" cy="1433985"/>
            <wp:effectExtent l="0" t="0" r="3810" b="0"/>
            <wp:docPr id="767726473"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26473"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r="10663" b="25469"/>
                    <a:stretch>
                      <a:fillRect/>
                    </a:stretch>
                  </pic:blipFill>
                  <pic:spPr bwMode="auto">
                    <a:xfrm>
                      <a:off x="0" y="0"/>
                      <a:ext cx="4648999" cy="1435322"/>
                    </a:xfrm>
                    <a:prstGeom prst="rect">
                      <a:avLst/>
                    </a:prstGeom>
                    <a:noFill/>
                    <a:ln>
                      <a:noFill/>
                    </a:ln>
                    <a:extLst>
                      <a:ext uri="{53640926-AAD7-44D8-BBD7-CCE9431645EC}">
                        <a14:shadowObscured xmlns:a14="http://schemas.microsoft.com/office/drawing/2010/main"/>
                      </a:ext>
                    </a:extLst>
                  </pic:spPr>
                </pic:pic>
              </a:graphicData>
            </a:graphic>
          </wp:inline>
        </w:drawing>
      </w:r>
    </w:p>
    <w:p>
      <w:pPr>
        <w:ind w:firstLine="720"/>
        <w:jc w:val="both"/>
        <w:rPr>
          <w:rFonts w:ascii="Arial" w:hAnsi="Arial" w:cs="Arial"/>
        </w:rPr>
      </w:pPr>
    </w:p>
    <w:p>
      <w:pPr>
        <w:spacing w:before="120"/>
        <w:jc w:val="both"/>
        <w:rPr>
          <w:rFonts w:ascii="Arial" w:hAnsi="Arial" w:cs="Arial"/>
          <w:b/>
          <w:sz w:val="18"/>
          <w:szCs w:val="18"/>
        </w:rPr>
      </w:pPr>
      <w:r>
        <w:rPr>
          <w:rFonts w:ascii="Arial" w:hAnsi="Arial" w:cs="Arial"/>
          <w:b/>
          <w:bCs/>
        </w:rPr>
        <w:lastRenderedPageBreak/>
        <w:t xml:space="preserve">Figure 1 </w:t>
      </w:r>
      <w:r>
        <w:rPr>
          <w:rFonts w:ascii="Arial" w:hAnsi="Arial" w:cs="Arial"/>
          <w:b/>
        </w:rPr>
        <w:t xml:space="preserve">Clear zones formed on specific selective media indicating enzymatic activity of bacterial isolates. </w:t>
      </w:r>
      <w:r>
        <w:rPr>
          <w:rFonts w:ascii="Arial" w:hAnsi="Arial" w:cs="Arial"/>
          <w:i/>
          <w:sz w:val="18"/>
          <w:szCs w:val="18"/>
        </w:rPr>
        <w:t>(A) cellulolytic bacterium on CMC medium showing cellulose degradation; (B) phosphate-solubilizing bacterium on Pikovskaya medium indicating inorganic phosphate solubilization; (C) potassium-solubilizing bacterium on Alexandrov medium showing the ability to solubilize insoluble potassium compounds.</w:t>
      </w:r>
      <w:r>
        <w:rPr>
          <w:rFonts w:ascii="Arial" w:hAnsi="Arial" w:cs="Arial"/>
          <w:b/>
          <w:sz w:val="18"/>
          <w:szCs w:val="18"/>
        </w:rPr>
        <w:t xml:space="preserve"> </w:t>
      </w:r>
    </w:p>
    <w:p>
      <w:pPr>
        <w:ind w:firstLine="720"/>
        <w:jc w:val="both"/>
        <w:rPr>
          <w:rFonts w:ascii="Arial" w:hAnsi="Arial" w:cs="Arial"/>
          <w:sz w:val="18"/>
          <w:szCs w:val="18"/>
        </w:rPr>
      </w:pPr>
    </w:p>
    <w:p>
      <w:pPr>
        <w:jc w:val="both"/>
        <w:rPr>
          <w:rFonts w:ascii="Arial" w:hAnsi="Arial" w:cs="Arial"/>
          <w:b/>
          <w:bCs/>
        </w:rPr>
      </w:pPr>
      <w:r>
        <w:rPr>
          <w:rFonts w:ascii="Arial" w:hAnsi="Arial" w:cs="Arial"/>
          <w:b/>
          <w:bCs/>
        </w:rPr>
        <w:t>DISCUSSION</w:t>
      </w:r>
    </w:p>
    <w:p>
      <w:pPr>
        <w:ind w:firstLine="720"/>
        <w:jc w:val="both"/>
        <w:rPr>
          <w:rFonts w:ascii="Arial" w:hAnsi="Arial" w:cs="Arial"/>
        </w:rPr>
      </w:pPr>
      <w:r>
        <w:rPr>
          <w:rFonts w:ascii="Arial" w:hAnsi="Arial" w:cs="Arial"/>
        </w:rPr>
        <w:t xml:space="preserve">The present study demonstrates that the rumen fluid of Bali cattle contains a diverse and functionally significant bacterial community, particularly those capable of cellulolytic degradation, phosphate and potassium solubilization, nitrogen fixation, and IAA production. The initial isolation and purification process yielded 41 distinct bacterial colonies from serial dilutions of rumen fluid, highlighting the microbial diversity within this unique environment. Functional characterization revealed the presence of 3 cellulolytic, 7 potassium-solubilizing, 10 phosphate-solubilizing, 17 nitrogen-fixing, and 4 IAA-producing isolates. The total microbial load reached 1.53 × 10⁹ CFU/mL, with nitrogen-fixing bacteria being the most abundant (3.0 × 10⁸ CFU/mL), followed closely by cellulolytic bacteria (2.7 × 10⁸ CFU/mL). These results align with findings by </w:t>
      </w:r>
      <w:r>
        <w:rPr>
          <w:rFonts w:ascii="Arial" w:hAnsi="Arial" w:cs="Arial"/>
        </w:rPr>
        <w:fldChar w:fldCharType="begin" w:fldLock="1"/>
      </w:r>
      <w:r>
        <w:rPr>
          <w:rFonts w:ascii="Arial" w:hAnsi="Arial" w:cs="Arial"/>
        </w:rPr>
        <w:instrText>ADDIN CSL_CITATION {"citationItems":[{"id":"ITEM-1","itemData":{"author":[{"dropping-particle":"","family":"Harun","given":"Abdukarim Y","non-dropping-particle":"","parse-names":false,"suffix":""},{"dropping-particle":"","family":"Sali","given":"Kedir","non-dropping-particle":"","parse-names":false,"suffix":""}],"container-title":"Open Journal of Veterinary Medicine","id":"ITEM-1","issue":"1","issued":{"date-parts":[["2019"]]},"page":"27-35","title":"Factors Affecting Rumen Microbial Protein Synthesis: A","type":"article-journal","volume":"4"},"uris":["http://www.mendeley.com/documents/?uuid=c39a29a2-a1ea-4ed4-a2f6-dc1311931ea6"]}],"mendeley":{"formattedCitation":"(Harun &amp; Sali, 2019)","manualFormatting":"Harun &amp; Sali (2019)","plainTextFormattedCitation":"(Harun &amp; Sali, 2019)","previouslyFormattedCitation":"(Harun &amp; Sali, 2019)"},"properties":{"noteIndex":0},"schema":"https://github.com/citation-style-language/schema/raw/master/csl-citation.json"}</w:instrText>
      </w:r>
      <w:r>
        <w:rPr>
          <w:rFonts w:ascii="Arial" w:hAnsi="Arial" w:cs="Arial"/>
        </w:rPr>
        <w:fldChar w:fldCharType="separate"/>
      </w:r>
      <w:r>
        <w:rPr>
          <w:rFonts w:ascii="Arial" w:hAnsi="Arial" w:cs="Arial"/>
          <w:noProof/>
        </w:rPr>
        <w:t>Harun &amp; Sali (2019)</w:t>
      </w:r>
      <w:r>
        <w:rPr>
          <w:rFonts w:ascii="Arial" w:hAnsi="Arial" w:cs="Arial"/>
        </w:rPr>
        <w:fldChar w:fldCharType="end"/>
      </w:r>
      <w:r>
        <w:rPr>
          <w:rFonts w:ascii="Arial" w:hAnsi="Arial" w:cs="Arial"/>
        </w:rPr>
        <w:t>, who emphasized that the availability of nitrogenous substrates and NH</w:t>
      </w:r>
      <w:r>
        <w:rPr>
          <w:rFonts w:ascii="Cambria Math" w:hAnsi="Cambria Math" w:cs="Cambria Math"/>
        </w:rPr>
        <w:t>₃</w:t>
      </w:r>
      <w:r>
        <w:rPr>
          <w:rFonts w:ascii="Arial" w:hAnsi="Arial" w:cs="Arial"/>
        </w:rPr>
        <w:t xml:space="preserve"> concentration influences the growth of nitrogen-fixing bacteria in the rumen. Furthermore, the high number of cellulolytic bacterial is consistent with the findings of </w:t>
      </w:r>
      <w:r>
        <w:rPr>
          <w:rFonts w:ascii="Arial" w:hAnsi="Arial" w:cs="Arial"/>
        </w:rPr>
        <w:fldChar w:fldCharType="begin" w:fldLock="1"/>
      </w:r>
      <w:r>
        <w:rPr>
          <w:rFonts w:ascii="Arial" w:hAnsi="Arial" w:cs="Arial"/>
        </w:rPr>
        <w:instrText>ADDIN CSL_CITATION {"citationItems":[{"id":"ITEM-1","itemData":{"ISSN":"2503-1600","author":[{"dropping-particle":"","family":"Safika","given":"Safika","non-dropping-particle":"","parse-names":false,"suffix":""},{"dropping-particle":"","family":"Matondang","given":"Siti Wardianah","non-dropping-particle":"","parse-names":false,"suffix":""},{"dropping-particle":"","family":"Darmawi","given":"Darmawi","non-dropping-particle":"","parse-names":false,"suffix":""},{"dropping-particle":"","family":"Abral","given":"Mahdi","non-dropping-particle":"","parse-names":false,"suffix":""},{"dropping-particle":"","family":"Erina","given":"Erina","non-dropping-particle":"","parse-names":false,"suffix":""},{"dropping-particle":"","family":"Jalaluddin","given":"M","non-dropping-particle":"","parse-names":false,"suffix":""}],"container-title":"Jurnal Medika Veterinaria","id":"ITEM-1","issue":"1","issued":{"date-parts":[["2017"]]},"page":"51-58","title":"9. Total colony of cellulolitic bacteria in the rumen of aceh cattle","type":"article-journal","volume":"11"},"uris":["http://www.mendeley.com/documents/?uuid=02f40c28-4659-464c-a528-648282f73de0"]}],"mendeley":{"formattedCitation":"(Safika &lt;i&gt;et al.&lt;/i&gt;, 2017)","manualFormatting":"Safika et al. (2017)","plainTextFormattedCitation":"(Safika et al., 2017)","previouslyFormattedCitation":"(Safika &lt;i&gt;et al.&lt;/i&gt;, 2017)"},"properties":{"noteIndex":0},"schema":"https://github.com/citation-style-language/schema/raw/master/csl-citation.json"}</w:instrText>
      </w:r>
      <w:r>
        <w:rPr>
          <w:rFonts w:ascii="Arial" w:hAnsi="Arial" w:cs="Arial"/>
        </w:rPr>
        <w:fldChar w:fldCharType="separate"/>
      </w:r>
      <w:r>
        <w:rPr>
          <w:rFonts w:ascii="Arial" w:hAnsi="Arial" w:cs="Arial"/>
          <w:noProof/>
        </w:rPr>
        <w:t xml:space="preserve">Safika </w:t>
      </w:r>
      <w:r>
        <w:rPr>
          <w:rFonts w:ascii="Arial" w:hAnsi="Arial" w:cs="Arial"/>
          <w:i/>
          <w:noProof/>
        </w:rPr>
        <w:t>et al.</w:t>
      </w:r>
      <w:r>
        <w:rPr>
          <w:rFonts w:ascii="Arial" w:hAnsi="Arial" w:cs="Arial"/>
          <w:noProof/>
        </w:rPr>
        <w:t xml:space="preserve"> (2017)</w:t>
      </w:r>
      <w:r>
        <w:rPr>
          <w:rFonts w:ascii="Arial" w:hAnsi="Arial" w:cs="Arial"/>
        </w:rPr>
        <w:fldChar w:fldCharType="end"/>
      </w:r>
      <w:r>
        <w:rPr>
          <w:rFonts w:ascii="Arial" w:hAnsi="Arial" w:cs="Arial"/>
        </w:rPr>
        <w:t xml:space="preserve">, who noted that forage-based diets promote cellulolytic microbial populations. In comparison, </w:t>
      </w:r>
      <w:r>
        <w:rPr>
          <w:rFonts w:ascii="Arial" w:hAnsi="Arial" w:cs="Arial"/>
        </w:rPr>
        <w:fldChar w:fldCharType="begin" w:fldLock="1"/>
      </w:r>
      <w:r>
        <w:rPr>
          <w:rFonts w:ascii="Arial" w:hAnsi="Arial" w:cs="Arial"/>
        </w:rPr>
        <w:instrText>ADDIN CSL_CITATION {"citationItems":[{"id":"ITEM-1","itemData":{"ISSN":"2503-1600","author":[{"dropping-particle":"","family":"Safika","given":"Safika","non-dropping-particle":"","parse-names":false,"suffix":""},{"dropping-particle":"","family":"Matondang","given":"Siti Wardianah","non-dropping-particle":"","parse-names":false,"suffix":""},{"dropping-particle":"","family":"Darmawi","given":"Darmawi","non-dropping-particle":"","parse-names":false,"suffix":""},{"dropping-particle":"","family":"Abral","given":"Mahdi","non-dropping-particle":"","parse-names":false,"suffix":""},{"dropping-particle":"","family":"Erina","given":"Erina","non-dropping-particle":"","parse-names":false,"suffix":""},{"dropping-particle":"","family":"Jalaluddin","given":"M","non-dropping-particle":"","parse-names":false,"suffix":""}],"container-title":"Jurnal Medika Veterinaria","id":"ITEM-1","issue":"1","issued":{"date-parts":[["2017"]]},"page":"51-58","title":"9. Total colony of cellulolitic bacteria in the rumen of aceh cattle","type":"article-journal","volume":"11"},"uris":["http://www.mendeley.com/documents/?uuid=02f40c28-4659-464c-a528-648282f73de0"]}],"mendeley":{"formattedCitation":"(Safika &lt;i&gt;et al.&lt;/i&gt;, 2017)","manualFormatting":"Safika et al. (2017)","plainTextFormattedCitation":"(Safika et al., 2017)","previouslyFormattedCitation":"(Safika &lt;i&gt;et al.&lt;/i&gt;, 2017)"},"properties":{"noteIndex":0},"schema":"https://github.com/citation-style-language/schema/raw/master/csl-citation.json"}</w:instrText>
      </w:r>
      <w:r>
        <w:rPr>
          <w:rFonts w:ascii="Arial" w:hAnsi="Arial" w:cs="Arial"/>
        </w:rPr>
        <w:fldChar w:fldCharType="separate"/>
      </w:r>
      <w:r>
        <w:rPr>
          <w:rFonts w:ascii="Arial" w:hAnsi="Arial" w:cs="Arial"/>
          <w:noProof/>
        </w:rPr>
        <w:t xml:space="preserve">Safika </w:t>
      </w:r>
      <w:r>
        <w:rPr>
          <w:rFonts w:ascii="Arial" w:hAnsi="Arial" w:cs="Arial"/>
          <w:i/>
          <w:noProof/>
        </w:rPr>
        <w:t>et al.</w:t>
      </w:r>
      <w:r>
        <w:rPr>
          <w:rFonts w:ascii="Arial" w:hAnsi="Arial" w:cs="Arial"/>
          <w:noProof/>
        </w:rPr>
        <w:t xml:space="preserve"> (2017)</w:t>
      </w:r>
      <w:r>
        <w:rPr>
          <w:rFonts w:ascii="Arial" w:hAnsi="Arial" w:cs="Arial"/>
        </w:rPr>
        <w:fldChar w:fldCharType="end"/>
      </w:r>
      <w:r>
        <w:rPr>
          <w:rFonts w:ascii="Arial" w:hAnsi="Arial" w:cs="Arial"/>
        </w:rPr>
        <w:t xml:space="preserve"> reported a cellulolytic bacterial count of only 4.81 × 10</w:t>
      </w:r>
      <w:r>
        <w:rPr>
          <w:rFonts w:ascii="Cambria Math" w:hAnsi="Cambria Math" w:cs="Cambria Math"/>
        </w:rPr>
        <w:t>⁻</w:t>
      </w:r>
      <w:r>
        <w:rPr>
          <w:rFonts w:ascii="Arial" w:hAnsi="Arial" w:cs="Arial"/>
        </w:rPr>
        <w:t xml:space="preserve">⁵ CFU/mL. The higher number observed in this study is attributed to the exclusive forage-based diet, without concentrate, which promotes the grow of cellulolytic bacteria. </w:t>
      </w:r>
      <w:r>
        <w:rPr>
          <w:rFonts w:ascii="Arial" w:hAnsi="Arial" w:cs="Arial"/>
          <w:color w:val="000000"/>
        </w:rPr>
        <w:t>Since cattle do not possess the enzymes needed to break down cellulose into glucose, this role is carried out by microbes in the rumen</w:t>
      </w:r>
      <w:r>
        <w:rPr>
          <w:rFonts w:ascii="-webkit-standard" w:hAnsi="-webkit-standard"/>
          <w:color w:val="000000"/>
          <w:sz w:val="27"/>
          <w:szCs w:val="27"/>
        </w:rPr>
        <w:t>.</w:t>
      </w:r>
      <w:r>
        <w:rPr>
          <w:rFonts w:ascii="Arial" w:hAnsi="Arial" w:cs="Arial"/>
        </w:rPr>
        <w:t xml:space="preserve"> This finding is further supported by </w:t>
      </w:r>
      <w:r>
        <w:rPr>
          <w:rFonts w:ascii="Arial" w:hAnsi="Arial" w:cs="Arial"/>
        </w:rPr>
        <w:fldChar w:fldCharType="begin" w:fldLock="1"/>
      </w:r>
      <w:r>
        <w:rPr>
          <w:rFonts w:ascii="Arial" w:hAnsi="Arial" w:cs="Arial"/>
        </w:rPr>
        <w:instrText>ADDIN CSL_CITATION {"citationItems":[{"id":"ITEM-1","itemData":{"ISSN":"2731-3654","author":[{"dropping-particle":"","family":"Firrincieli","given":"Andrea","non-dropping-particle":"","parse-names":false,"suffix":""},{"dropping-particle":"","family":"Minuti","given":"Andrea","non-dropping-particle":"","parse-names":false,"suffix":""},{"dropping-particle":"","family":"Cappelletti","given":"Martina","non-dropping-particle":"","parse-names":false,"suffix":""},{"dropping-particle":"","family":"Ferilli","given":"Marco","non-dropping-particle":"","parse-names":false,"suffix":""},{"dropping-particle":"","family":"Ajmone-Marsan","given":"Paolo","non-dropping-particle":"","parse-names":false,"suffix":""},{"dropping-particle":"","family":"Bani","given":"Paolo","non-dropping-particle":"","parse-names":false,"suffix":""},{"dropping-particle":"","family":"Petruccioli","given":"Maurizio","non-dropping-particle":"","parse-names":false,"suffix":""},{"dropping-particle":"","family":"Harfouche","given":"Antoine L","non-dropping-particle":"","parse-names":false,"suffix":""}],"container-title":"Biotechnology for Biofuels and Bioproducts","id":"ITEM-1","issue":"1","issued":{"date-parts":[["2024"]]},"page":"53","publisher":"Springer","title":"Structural and functional analysis of the active cow rumen’s microbial community provides a catalogue of genes and microbes participating in the deconstruction of cardoon biomass","type":"article-journal","volume":"17"},"uris":["http://www.mendeley.com/documents/?uuid=1773208c-cf8d-4e17-a013-055e4361a624"]}],"mendeley":{"formattedCitation":"(Firrincieli &lt;i&gt;et al.&lt;/i&gt;, 2024)","manualFormatting":"Firrincieli et al. (2024)","plainTextFormattedCitation":"(Firrincieli et al., 2024)","previouslyFormattedCitation":"(Firrincieli &lt;i&gt;et al.&lt;/i&gt;, 2024)"},"properties":{"noteIndex":0},"schema":"https://github.com/citation-style-language/schema/raw/master/csl-citation.json"}</w:instrText>
      </w:r>
      <w:r>
        <w:rPr>
          <w:rFonts w:ascii="Arial" w:hAnsi="Arial" w:cs="Arial"/>
        </w:rPr>
        <w:fldChar w:fldCharType="separate"/>
      </w:r>
      <w:r>
        <w:rPr>
          <w:rFonts w:ascii="Arial" w:hAnsi="Arial" w:cs="Arial"/>
          <w:noProof/>
        </w:rPr>
        <w:t xml:space="preserve">Firrincieli </w:t>
      </w:r>
      <w:r>
        <w:rPr>
          <w:rFonts w:ascii="Arial" w:hAnsi="Arial" w:cs="Arial"/>
          <w:i/>
          <w:noProof/>
        </w:rPr>
        <w:t>et al.</w:t>
      </w:r>
      <w:r>
        <w:rPr>
          <w:rFonts w:ascii="Arial" w:hAnsi="Arial" w:cs="Arial"/>
          <w:noProof/>
        </w:rPr>
        <w:t xml:space="preserve"> (2024)</w:t>
      </w:r>
      <w:r>
        <w:rPr>
          <w:rFonts w:ascii="Arial" w:hAnsi="Arial" w:cs="Arial"/>
        </w:rPr>
        <w:fldChar w:fldCharType="end"/>
      </w:r>
      <w:r>
        <w:rPr>
          <w:rFonts w:ascii="Arial" w:hAnsi="Arial" w:cs="Arial"/>
        </w:rPr>
        <w:t xml:space="preserve">, who identified that the rumen environment is rich in fibrolytic bacteria capable of degrading plant cell wall polysaccharides. Rumen microbes also secrete ligninolytic enzymes such as lignin peroxidase and manganese peroxidase, which are essential for lignin decomposition. Additionally, the rumen is a primary environment for bacterial protein synthesis. The abundance of nitrogen-fixing bacteria, particularly those involved in nitrate and nitrite reduction, varies depending on the host species and diet composition. The composition and activity of microbial populations are shaped by dietary factors, including the roughage-to-concentrate ratio and nitrate presence in the feed. Key nitrate-reducing bacteria include </w:t>
      </w:r>
      <w:r>
        <w:rPr>
          <w:rFonts w:ascii="Arial" w:hAnsi="Arial" w:cs="Arial"/>
          <w:i/>
          <w:iCs/>
        </w:rPr>
        <w:t>Selenomonas ruminantium</w:t>
      </w:r>
      <w:r>
        <w:rPr>
          <w:rFonts w:ascii="Arial" w:hAnsi="Arial" w:cs="Arial"/>
        </w:rPr>
        <w:t xml:space="preserve">, </w:t>
      </w:r>
      <w:r>
        <w:rPr>
          <w:rFonts w:ascii="Arial" w:hAnsi="Arial" w:cs="Arial"/>
          <w:i/>
          <w:iCs/>
        </w:rPr>
        <w:t>Veillonella parvula</w:t>
      </w:r>
      <w:r>
        <w:rPr>
          <w:rFonts w:ascii="Arial" w:hAnsi="Arial" w:cs="Arial"/>
        </w:rPr>
        <w:t xml:space="preserve">, and </w:t>
      </w:r>
      <w:r>
        <w:rPr>
          <w:rFonts w:ascii="Arial" w:hAnsi="Arial" w:cs="Arial"/>
          <w:i/>
          <w:iCs/>
        </w:rPr>
        <w:t>Wollinella</w:t>
      </w:r>
      <w:r>
        <w:rPr>
          <w:rFonts w:ascii="Arial" w:hAnsi="Arial" w:cs="Arial"/>
        </w:rPr>
        <w:t xml:space="preserve"> </w:t>
      </w:r>
      <w:r>
        <w:rPr>
          <w:rFonts w:ascii="Arial" w:hAnsi="Arial" w:cs="Arial"/>
          <w:i/>
          <w:iCs/>
        </w:rPr>
        <w:t>succinogenes</w:t>
      </w:r>
      <w:r>
        <w:rPr>
          <w:rFonts w:ascii="Arial" w:hAnsi="Arial" w:cs="Arial"/>
        </w:rPr>
        <w:t xml:space="preserve">. The cell density of </w:t>
      </w:r>
      <w:r>
        <w:rPr>
          <w:rFonts w:ascii="Arial" w:hAnsi="Arial" w:cs="Arial"/>
          <w:i/>
          <w:iCs/>
        </w:rPr>
        <w:t>S. ruminantium</w:t>
      </w:r>
      <w:r>
        <w:rPr>
          <w:rFonts w:ascii="Arial" w:hAnsi="Arial" w:cs="Arial"/>
        </w:rPr>
        <w:t xml:space="preserve"> involved in nitrate reduction typically comprises 8–10% of the total </w:t>
      </w:r>
      <w:r>
        <w:rPr>
          <w:rFonts w:ascii="Arial" w:hAnsi="Arial" w:cs="Arial"/>
          <w:i/>
          <w:iCs/>
        </w:rPr>
        <w:t>S. ruminantium</w:t>
      </w:r>
      <w:r>
        <w:rPr>
          <w:rFonts w:ascii="Arial" w:hAnsi="Arial" w:cs="Arial"/>
        </w:rPr>
        <w:t xml:space="preserve"> population, with approximately 10⁶ cells/mL. In contrast, total bacterial counts in goat rumen have been reported at approximately 10¹⁰ cells/mL </w:t>
      </w:r>
      <w:r>
        <w:rPr>
          <w:rFonts w:ascii="Arial" w:hAnsi="Arial" w:cs="Arial"/>
        </w:rPr>
        <w:fldChar w:fldCharType="begin" w:fldLock="1"/>
      </w:r>
      <w:r>
        <w:rPr>
          <w:rFonts w:ascii="Arial" w:hAnsi="Arial" w:cs="Arial"/>
        </w:rPr>
        <w:instrText>ADDIN CSL_CITATION {"citationItems":[{"id":"ITEM-1","itemData":{"ISSN":"1664-302X","author":[{"dropping-particle":"","family":"Yang","given":"Chengjian","non-dropping-particle":"","parse-names":false,"suffix":""},{"dropping-particle":"","family":"Rooke","given":"John A","non-dropping-particle":"","parse-names":false,"suffix":""},{"dropping-particle":"","family":"Cabeza","given":"Irene","non-dropping-particle":"","parse-names":false,"suffix":""},{"dropping-particle":"","family":"Wallace","given":"Robert J","non-dropping-particle":"","parse-names":false,"suffix":""}],"container-title":"Frontiers in microbiology","id":"ITEM-1","issued":{"date-parts":[["2016"]]},"page":"132","publisher":"Frontiers Media SA","title":"Nitrate and inhibition of ruminal methanogenesis: microbial ecology, obstacles, and opportunities for lowering methane emissions from ruminant livestock","type":"article-journal","volume":"7"},"uris":["http://www.mendeley.com/documents/?uuid=3975fce6-6bdc-40c6-a3bc-7c1108ec0b59"]}],"mendeley":{"formattedCitation":"(Yang &lt;i&gt;et al.&lt;/i&gt;, 2016)","plainTextFormattedCitation":"(Yang et al., 2016)","previouslyFormattedCitation":"(Yang &lt;i&gt;et al.&lt;/i&gt;, 2016)"},"properties":{"noteIndex":0},"schema":"https://github.com/citation-style-language/schema/raw/master/csl-citation.json"}</w:instrText>
      </w:r>
      <w:r>
        <w:rPr>
          <w:rFonts w:ascii="Arial" w:hAnsi="Arial" w:cs="Arial"/>
        </w:rPr>
        <w:fldChar w:fldCharType="separate"/>
      </w:r>
      <w:r>
        <w:rPr>
          <w:rFonts w:ascii="Arial" w:hAnsi="Arial" w:cs="Arial"/>
          <w:noProof/>
        </w:rPr>
        <w:t xml:space="preserve">(Yang </w:t>
      </w:r>
      <w:r>
        <w:rPr>
          <w:rFonts w:ascii="Arial" w:hAnsi="Arial" w:cs="Arial"/>
          <w:i/>
          <w:noProof/>
        </w:rPr>
        <w:t>et al.</w:t>
      </w:r>
      <w:r>
        <w:rPr>
          <w:rFonts w:ascii="Arial" w:hAnsi="Arial" w:cs="Arial"/>
          <w:noProof/>
        </w:rPr>
        <w:t>, 2016)</w:t>
      </w:r>
      <w:r>
        <w:rPr>
          <w:rFonts w:ascii="Arial" w:hAnsi="Arial" w:cs="Arial"/>
        </w:rPr>
        <w:fldChar w:fldCharType="end"/>
      </w:r>
      <w:r>
        <w:rPr>
          <w:rFonts w:ascii="Arial" w:hAnsi="Arial" w:cs="Arial"/>
        </w:rPr>
        <w:t xml:space="preserve">. According to </w:t>
      </w:r>
      <w:r>
        <w:rPr>
          <w:rFonts w:ascii="Arial" w:hAnsi="Arial" w:cs="Arial"/>
        </w:rPr>
        <w:fldChar w:fldCharType="begin" w:fldLock="1"/>
      </w:r>
      <w:r>
        <w:rPr>
          <w:rFonts w:ascii="Arial" w:hAnsi="Arial" w:cs="Arial"/>
        </w:rPr>
        <w:instrText>ADDIN CSL_CITATION {"citationItems":[{"id":"ITEM-1","itemData":{"author":[{"dropping-particle":"","family":"Mirahsanti","given":"Ni Putu Nicky","non-dropping-particle":"","parse-names":false,"suffix":""},{"dropping-particle":"","family":"Suarjana","given":"I Gusti Ketut","non-dropping-particle":"","parse-names":false,"suffix":""},{"dropping-particle":"","family":"Besung","given":"I Nengah Kerta","non-dropping-particle":"","parse-names":false,"suffix":""}],"container-title":"Buletin Veteriner Udayana","id":"ITEM-1","issue":"5","issued":{"date-parts":[["2022"]]},"page":"446-451","title":"Angka lempeng total bakteri dan pH pada cairan rumen sapi bali jantan yang dipotong di rumah pemotongan hewan pesanggaran","type":"article-journal","volume":"4"},"uris":["http://www.mendeley.com/documents/?uuid=1e83d103-b513-471f-af28-7f1e61e76464"]}],"mendeley":{"formattedCitation":"(Mirahsanti &lt;i&gt;et al.&lt;/i&gt;, 2022)","manualFormatting":"Mirahsanti et al. (2022)","plainTextFormattedCitation":"(Mirahsanti et al., 2022)","previouslyFormattedCitation":"(Mirahsanti &lt;i&gt;et al.&lt;/i&gt;, 2022)"},"properties":{"noteIndex":0},"schema":"https://github.com/citation-style-language/schema/raw/master/csl-citation.json"}</w:instrText>
      </w:r>
      <w:r>
        <w:rPr>
          <w:rFonts w:ascii="Arial" w:hAnsi="Arial" w:cs="Arial"/>
        </w:rPr>
        <w:fldChar w:fldCharType="separate"/>
      </w:r>
      <w:r>
        <w:rPr>
          <w:rFonts w:ascii="Arial" w:hAnsi="Arial" w:cs="Arial"/>
          <w:noProof/>
        </w:rPr>
        <w:t xml:space="preserve">Mirahsanti </w:t>
      </w:r>
      <w:r>
        <w:rPr>
          <w:rFonts w:ascii="Arial" w:hAnsi="Arial" w:cs="Arial"/>
          <w:i/>
          <w:noProof/>
        </w:rPr>
        <w:t>et al.</w:t>
      </w:r>
      <w:r>
        <w:rPr>
          <w:rFonts w:ascii="Arial" w:hAnsi="Arial" w:cs="Arial"/>
          <w:noProof/>
        </w:rPr>
        <w:t xml:space="preserve"> (2022)</w:t>
      </w:r>
      <w:r>
        <w:rPr>
          <w:rFonts w:ascii="Arial" w:hAnsi="Arial" w:cs="Arial"/>
        </w:rPr>
        <w:fldChar w:fldCharType="end"/>
      </w:r>
      <w:r>
        <w:rPr>
          <w:rFonts w:ascii="Arial" w:hAnsi="Arial" w:cs="Arial"/>
        </w:rPr>
        <w:t>, the bacterial population in Bali cattle rumen fluid ranges from 32 × 10³ and 171 × 10³ CFU/mL, with an average of 74 × 10³ ± 47 × 10³ CFU/mL, highlighting the significant bacterial presence within the rumen ecosystem.</w:t>
      </w:r>
    </w:p>
    <w:p>
      <w:pPr>
        <w:ind w:firstLine="720"/>
        <w:jc w:val="both"/>
        <w:rPr>
          <w:rFonts w:ascii="Arial" w:hAnsi="Arial" w:cs="Arial"/>
        </w:rPr>
      </w:pPr>
      <w:r>
        <w:rPr>
          <w:rFonts w:ascii="Arial" w:hAnsi="Arial" w:cs="Arial"/>
        </w:rPr>
        <w:t xml:space="preserve">Clear zone assays provided functional validation of the bacterial isolates. The clear zone index (CZI) served as a proxy for enzymatic activity related to substrate degradation or nutrient solubilization. As noted by </w:t>
      </w:r>
      <w:r>
        <w:rPr>
          <w:rFonts w:ascii="Arial" w:hAnsi="Arial" w:cs="Arial"/>
        </w:rPr>
        <w:fldChar w:fldCharType="begin" w:fldLock="1"/>
      </w:r>
      <w:r>
        <w:rPr>
          <w:rFonts w:ascii="Arial" w:hAnsi="Arial" w:cs="Arial"/>
        </w:rPr>
        <w:instrText>ADDIN CSL_CITATION {"citationItems":[{"id":"ITEM-1","itemData":{"ISSN":"2076-2607","author":[{"dropping-particle":"","family":"Tang","given":"Amelia","non-dropping-particle":"","parse-names":false,"suffix":""},{"dropping-particle":"","family":"Haruna","given":"Ahmed Osumanu","non-dropping-particle":"","parse-names":false,"suffix":""},{"dropping-particle":"","family":"Majid","given":"Nik Muhamad Ab","non-dropping-particle":"","parse-names":false,"suffix":""},{"dropping-particle":"","family":"Jalloh","given":"Mohamadu Boyie","non-dropping-particle":"","parse-names":false,"suffix":""}],"container-title":"Microorganisms","id":"ITEM-1","issue":"3","issued":{"date-parts":[["2020"]]},"page":"442","publisher":"Multidisciplinary Digital Publishing Institute","title":"Potential PGPR properties of cellulolytic, nitrogen-fixing, phosphate-solubilizing bacteria in rehabilitated tropical forest soil","type":"article-journal","volume":"8"},"uris":["http://www.mendeley.com/documents/?uuid=44f8f744-8bc9-4899-b288-85caf2be24a8"]},{"id":"ITEM-2","itemData":{"author":[{"dropping-particle":"","family":"Hendricks","given":"Ashley Alfred","non-dropping-particle":"","parse-names":false,"suffix":""}],"id":"ITEM-2","issued":{"date-parts":[["2015"]]},"publisher":"Stellenbosch: Stellenbosch University","title":"Isolation and characterisation of lipolytic bacteria and investigation of their ability to degrade fats, oils and grease in grain distillery wastewater","type":"article"},"uris":["http://www.mendeley.com/documents/?uuid=80a9368d-4f04-4222-8049-792805aa0f54"]}],"mendeley":{"formattedCitation":"(Hendricks, 2015; Tang &lt;i&gt;et al.&lt;/i&gt;, 2020)","manualFormatting":"Hendricks (2015) and Tang et al. ( 2020)","plainTextFormattedCitation":"(Hendricks, 2015; Tang et al., 2020)","previouslyFormattedCitation":"(Hendricks, 2015; Tang &lt;i&gt;et al.&lt;/i&gt;, 2020)"},"properties":{"noteIndex":0},"schema":"https://github.com/citation-style-language/schema/raw/master/csl-citation.json"}</w:instrText>
      </w:r>
      <w:r>
        <w:rPr>
          <w:rFonts w:ascii="Arial" w:hAnsi="Arial" w:cs="Arial"/>
        </w:rPr>
        <w:fldChar w:fldCharType="separate"/>
      </w:r>
      <w:r>
        <w:rPr>
          <w:rFonts w:ascii="Arial" w:hAnsi="Arial" w:cs="Arial"/>
          <w:noProof/>
        </w:rPr>
        <w:t xml:space="preserve">Hendricks (2015) and Tang </w:t>
      </w:r>
      <w:r>
        <w:rPr>
          <w:rFonts w:ascii="Arial" w:hAnsi="Arial" w:cs="Arial"/>
          <w:i/>
          <w:noProof/>
        </w:rPr>
        <w:t>et al.</w:t>
      </w:r>
      <w:r>
        <w:rPr>
          <w:rFonts w:ascii="Arial" w:hAnsi="Arial" w:cs="Arial"/>
          <w:noProof/>
        </w:rPr>
        <w:t xml:space="preserve"> ( 2020)</w:t>
      </w:r>
      <w:r>
        <w:rPr>
          <w:rFonts w:ascii="Arial" w:hAnsi="Arial" w:cs="Arial"/>
        </w:rPr>
        <w:fldChar w:fldCharType="end"/>
      </w:r>
      <w:r>
        <w:rPr>
          <w:rFonts w:ascii="Arial" w:hAnsi="Arial" w:cs="Arial"/>
        </w:rPr>
        <w:t xml:space="preserve">, the appearance of halo zones serves a key indicator of microbial enzymatic function. In this study, 38 isolates exhibited clear zones indicating cellulose, phosphatase, or potassium-solubilizing activity. The highest cellulolytic index (1.7 mm) was recorded in isolate IAA-SP 3, with strong Congo red-stained halos. Similarly, phosphate-solubilizing isolates P-SP 2 and P-SP 5 had the highest indices (2.4 mm), while potassium-solubilizing isolates such as K-SP 3 and K-SP 4 also demonstrated significant activity </w:t>
      </w:r>
      <w:r>
        <w:rPr>
          <w:rFonts w:ascii="Arial" w:hAnsi="Arial" w:cs="Arial"/>
        </w:rPr>
        <w:fldChar w:fldCharType="begin" w:fldLock="1"/>
      </w:r>
      <w:r>
        <w:rPr>
          <w:rFonts w:ascii="Arial" w:hAnsi="Arial" w:cs="Arial"/>
        </w:rPr>
        <w:instrText>ADDIN CSL_CITATION {"citationItems":[{"id":"ITEM-1","itemData":{"ISBN":"2407-8050","author":[{"dropping-particle":"","family":"HERDIYANTORO","given":"DIYAN","non-dropping-particle":"","parse-names":false,"suffix":""},{"dropping-particle":"","family":"SIMARMATA","given":"TUALAR","non-dropping-particle":"","parse-names":false,"suffix":""},{"dropping-particle":"","family":"SETIAWATI","given":"MIEKE ROCHIMI","non-dropping-particle":"","parse-names":false,"suffix":""},{"dropping-particle":"","family":"NURLAENY","given":"NENNY","non-dropping-particle":"","parse-names":false,"suffix":""},{"dropping-particle":"","family":"JOY","given":"BENNY","non-dropping-particle":"","parse-names":false,"suffix":""},{"dropping-particle":"","family":"HAMDANI","given":"JAJANG SAUMAN","non-dropping-particle":"","parse-names":false,"suffix":""},{"dropping-particle":"","family":"HANDAYANI","given":"I I N","non-dropping-particle":"","parse-names":false,"suffix":""}],"container-title":"Prosiding Seminar Nasional Masyarakat Biodiversitas Indonesia","id":"ITEM-1","issue":"2","issued":{"date-parts":[["2018"]]},"page":"178-183","title":"Exploration and identification of potassium solubilizing rhizo-bacteria isolate colony morphology from corn plant rhizosphere that potentially as a potassium solubilizing biofertilizer","type":"paper-conference","volume":"4"},"uris":["http://www.mendeley.com/documents/?uuid=5ca6881a-c124-4e5d-9e53-dd275c3048f8"]}],"mendeley":{"formattedCitation":"(HERDIYANTORO &lt;i&gt;et al.&lt;/i&gt;, 2018)","manualFormatting":"(Herdiyantoro et al., 2018)","plainTextFormattedCitation":"(HERDIYANTORO et al., 2018)","previouslyFormattedCitation":"(HERDIYANTORO &lt;i&gt;et al.&lt;/i&gt;, 2018)"},"properties":{"noteIndex":0},"schema":"https://github.com/citation-style-language/schema/raw/master/csl-citation.json"}</w:instrText>
      </w:r>
      <w:r>
        <w:rPr>
          <w:rFonts w:ascii="Arial" w:hAnsi="Arial" w:cs="Arial"/>
        </w:rPr>
        <w:fldChar w:fldCharType="separate"/>
      </w:r>
      <w:r>
        <w:rPr>
          <w:rFonts w:ascii="Arial" w:hAnsi="Arial" w:cs="Arial"/>
          <w:noProof/>
        </w:rPr>
        <w:t xml:space="preserve">(Herdiyantoro </w:t>
      </w:r>
      <w:r>
        <w:rPr>
          <w:rFonts w:ascii="Arial" w:hAnsi="Arial" w:cs="Arial"/>
          <w:i/>
          <w:noProof/>
        </w:rPr>
        <w:t>et al.</w:t>
      </w:r>
      <w:r>
        <w:rPr>
          <w:rFonts w:ascii="Arial" w:hAnsi="Arial" w:cs="Arial"/>
          <w:noProof/>
        </w:rPr>
        <w:t>, 2018)</w:t>
      </w:r>
      <w:r>
        <w:rPr>
          <w:rFonts w:ascii="Arial" w:hAnsi="Arial" w:cs="Arial"/>
        </w:rPr>
        <w:fldChar w:fldCharType="end"/>
      </w:r>
      <w:r>
        <w:rPr>
          <w:rFonts w:ascii="Arial" w:hAnsi="Arial" w:cs="Arial"/>
        </w:rPr>
        <w:t>. These enzymatic activities are underpinned by biochemical mechanisms. Phosphate-solubilizing bacteria produce organic acids, including citric, glutamic, lactic, and succinic that chelate Ca²</w:t>
      </w:r>
      <w:r>
        <w:rPr>
          <w:rFonts w:ascii="Cambria Math" w:hAnsi="Cambria Math" w:cs="Cambria Math"/>
        </w:rPr>
        <w:t>⁺</w:t>
      </w:r>
      <w:r>
        <w:rPr>
          <w:rFonts w:ascii="Arial" w:hAnsi="Arial" w:cs="Arial"/>
        </w:rPr>
        <w:t xml:space="preserve"> and release bioavailable H</w:t>
      </w:r>
      <w:r>
        <w:rPr>
          <w:rFonts w:ascii="Cambria Math" w:hAnsi="Cambria Math" w:cs="Cambria Math"/>
        </w:rPr>
        <w:t>₂</w:t>
      </w:r>
      <w:r>
        <w:rPr>
          <w:rFonts w:ascii="Arial" w:hAnsi="Arial" w:cs="Arial"/>
        </w:rPr>
        <w:t>PO</w:t>
      </w:r>
      <w:r>
        <w:rPr>
          <w:rFonts w:ascii="Cambria Math" w:hAnsi="Cambria Math" w:cs="Cambria Math"/>
        </w:rPr>
        <w:t>₄⁻</w:t>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{"citationItems":[{"id":"ITEM-1","itemData":{"ISSN":"2477-0353","author":[{"dropping-particle":"","family":"Sonia","given":"Aisyah Valentini","non-dropping-particle":"","parse-names":false,"suffix":""},{"dropping-particle":"","family":"Setiawati","given":"Tri Candra","non-dropping-particle":"","parse-names":false,"suffix":""}],"container-title":"Agrovigor: Jurnal Agroekoteknologi","id":"ITEM-1","issue":"1","issued":{"date-parts":[["2022"]]},"page":"44-53","title":"Aktivitas bakteri pelarut fosfat terhadap peningkatan ketersediaan fosfat pada tanah masam","type":"article-journal","volume":"15"},"uris":["http://www.mendeley.com/documents/?uuid=96a03821-eb92-43ff-9dc3-e46f620a97ee"]},{"id":"ITEM-2","itemData":{"ISBN":"1755-1315","author":[{"dropping-particle":"","family":"Annizah","given":"I N","non-dropping-particle":"","parse-names":false,"suffix":""},{"dropping-particle":"","family":"Alawiyah","given":"D D","non-dropping-particle":"","parse-names":false,"suffix":""},{"dropping-particle":"","family":"Susetyo","given":"R D","non-dropping-particle":"","parse-names":false,"suffix":""},{"dropping-particle":"","family":"Surtiningsih","given":"T","non-dropping-particle":"","parse-names":false,"suffix":""},{"dropping-particle":"","family":"Nurhariyati","given":"T","non-dropping-particle":"","parse-names":false,"suffix":""}],"container-title":"IOP Conference Series: Earth and Environmental Science","id":"ITEM-2","issue":"1","issued":{"date-parts":[["2021"]]},"page":"12007","publisher":"IOP Publishing","title":"Phosphate solubilizing bacteria isolated from Tuban mangrove soil, Indonesia","type":"paper-conference","volume":"762"},"uris":["http://www.mendeley.com/documents/?uuid=3b567582-fa4f-418c-904d-ce152ce9a342"]}],"mendeley":{"formattedCitation":"(Annizah &lt;i&gt;et al.&lt;/i&gt;, 2021; Sonia &amp; Setiawati, 2022)","plainTextFormattedCitation":"(Annizah et al., 2021; Sonia &amp; Setiawati, 2022)","previouslyFormattedCitation":"(Annizah &lt;i&gt;et al.&lt;/i&gt;, 2021; Sonia &amp; Setiawati, 2022)"},"properties":{"noteIndex":0},"schema":"https://github.com/citation-style-language/schema/raw/master/csl-citation.json"}</w:instrText>
      </w:r>
      <w:r>
        <w:rPr>
          <w:rFonts w:ascii="Arial" w:hAnsi="Arial" w:cs="Arial"/>
        </w:rPr>
        <w:fldChar w:fldCharType="separate"/>
      </w:r>
      <w:r>
        <w:rPr>
          <w:rFonts w:ascii="Arial" w:hAnsi="Arial" w:cs="Arial"/>
          <w:noProof/>
        </w:rPr>
        <w:t xml:space="preserve">(Annizah </w:t>
      </w:r>
      <w:r>
        <w:rPr>
          <w:rFonts w:ascii="Arial" w:hAnsi="Arial" w:cs="Arial"/>
          <w:i/>
          <w:noProof/>
        </w:rPr>
        <w:t>et al.</w:t>
      </w:r>
      <w:r>
        <w:rPr>
          <w:rFonts w:ascii="Arial" w:hAnsi="Arial" w:cs="Arial"/>
          <w:noProof/>
        </w:rPr>
        <w:t>, 2021; Sonia &amp; Setiawati, 2022)</w:t>
      </w:r>
      <w:r>
        <w:rPr>
          <w:rFonts w:ascii="Arial" w:hAnsi="Arial" w:cs="Arial"/>
        </w:rPr>
        <w:fldChar w:fldCharType="end"/>
      </w:r>
      <w:r>
        <w:rPr>
          <w:rFonts w:ascii="Arial" w:hAnsi="Arial" w:cs="Arial"/>
        </w:rPr>
        <w:t>. Likewise, potassium-solubilizing bacteria produce acids that liberate K</w:t>
      </w:r>
      <w:r>
        <w:rPr>
          <w:rFonts w:ascii="Cambria Math" w:hAnsi="Cambria Math" w:cs="Cambria Math"/>
        </w:rPr>
        <w:t>⁺</w:t>
      </w:r>
      <w:r>
        <w:rPr>
          <w:rFonts w:ascii="Arial" w:hAnsi="Arial" w:cs="Arial"/>
        </w:rPr>
        <w:t xml:space="preserve"> ions from mineral matrices, as described by Mohamed </w:t>
      </w:r>
      <w:r>
        <w:rPr>
          <w:rFonts w:ascii="Arial" w:hAnsi="Arial" w:cs="Arial"/>
        </w:rPr>
        <w:lastRenderedPageBreak/>
        <w:t xml:space="preserve">and Farag (2020). Such functional traits not only support nutrient cycling but also enhance compost quality and soil fertility </w:t>
      </w:r>
      <w:r>
        <w:rPr>
          <w:rFonts w:ascii="Arial" w:hAnsi="Arial" w:cs="Arial"/>
        </w:rPr>
        <w:fldChar w:fldCharType="begin" w:fldLock="1"/>
      </w:r>
      <w:r>
        <w:rPr>
          <w:rFonts w:ascii="Arial" w:hAnsi="Arial" w:cs="Arial"/>
        </w:rPr>
        <w:instrText>ADDIN CSL_CITATION {"citationItems":[{"id":"ITEM-1","itemData":{"ISBN":"1755-1315","author":[{"dropping-particle":"","family":"Annizah","given":"I N","non-dropping-particle":"","parse-names":false,"suffix":""},{"dropping-particle":"","family":"Alawiyah","given":"D D","non-dropping-particle":"","parse-names":false,"suffix":""},{"dropping-particle":"","family":"Susetyo","given":"R D","non-dropping-particle":"","parse-names":false,"suffix":""},{"dropping-particle":"","family":"Surtiningsih","given":"T","non-dropping-particle":"","parse-names":false,"suffix":""},{"dropping-particle":"","family":"Nurhariyati","given":"T","non-dropping-particle":"","parse-names":false,"suffix":""}],"container-title":"IOP Conference Series: Earth and Environmental Science","id":"ITEM-1","issue":"1","issued":{"date-parts":[["2021"]]},"page":"12007","publisher":"IOP Publishing","title":"Phosphate solubilizing bacteria isolated from Tuban mangrove soil, Indonesia","type":"paper-conference","volume":"762"},"uris":["http://www.mendeley.com/documents/?uuid=3b567582-fa4f-418c-904d-ce152ce9a342"]},{"id":"ITEM-2","itemData":{"author":[{"dropping-particle":"","family":"Yadav","given":"Ajar Nath","non-dropping-particle":"","parse-names":false,"suffix":""}],"container-title":"J. Appl. Biol. Biotechnol","id":"ITEM-2","issued":{"date-parts":[["2022"]]},"page":"1-6","title":"Phosphate-solubilizing microorganisms for agricultural sustainability","type":"article-journal","volume":"10"},"uris":["http://www.mendeley.com/documents/?uuid=7b05e82f-8430-4619-a3ec-b1bab3318337"]}],"mendeley":{"formattedCitation":"(Annizah &lt;i&gt;et al.&lt;/i&gt;, 2021; Yadav, 2022)","plainTextFormattedCitation":"(Annizah et al., 2021; Yadav, 2022)","previouslyFormattedCitation":"(Annizah &lt;i&gt;et al.&lt;/i&gt;, 2021; Yadav, 2022)"},"properties":{"noteIndex":0},"schema":"https://github.com/citation-style-language/schema/raw/master/csl-citation.json"}</w:instrText>
      </w:r>
      <w:r>
        <w:rPr>
          <w:rFonts w:ascii="Arial" w:hAnsi="Arial" w:cs="Arial"/>
        </w:rPr>
        <w:fldChar w:fldCharType="separate"/>
      </w:r>
      <w:r>
        <w:rPr>
          <w:rFonts w:ascii="Arial" w:hAnsi="Arial" w:cs="Arial"/>
          <w:noProof/>
        </w:rPr>
        <w:t xml:space="preserve">(Annizah </w:t>
      </w:r>
      <w:r>
        <w:rPr>
          <w:rFonts w:ascii="Arial" w:hAnsi="Arial" w:cs="Arial"/>
          <w:i/>
          <w:noProof/>
        </w:rPr>
        <w:t>et al.</w:t>
      </w:r>
      <w:r>
        <w:rPr>
          <w:rFonts w:ascii="Arial" w:hAnsi="Arial" w:cs="Arial"/>
          <w:noProof/>
        </w:rPr>
        <w:t>, 2021; Yadav, 2022)</w:t>
      </w:r>
      <w:r>
        <w:rPr>
          <w:rFonts w:ascii="Arial" w:hAnsi="Arial" w:cs="Arial"/>
        </w:rPr>
        <w:fldChar w:fldCharType="end"/>
      </w:r>
      <w:r>
        <w:rPr>
          <w:rFonts w:ascii="Arial" w:hAnsi="Arial" w:cs="Arial"/>
        </w:rPr>
        <w:t>.</w:t>
      </w:r>
    </w:p>
    <w:p>
      <w:pPr>
        <w:ind w:firstLine="720"/>
        <w:jc w:val="both"/>
        <w:rPr>
          <w:rFonts w:ascii="Arial" w:hAnsi="Arial" w:cs="Arial"/>
        </w:rPr>
      </w:pPr>
      <w:r>
        <w:rPr>
          <w:rFonts w:ascii="Arial" w:hAnsi="Arial" w:cs="Arial"/>
        </w:rPr>
        <w:t xml:space="preserve">Several isolates showed multifunctional capacities. For example, IAA-SP 3 not only exhibited high cellulolytic activity but also solubilized phosphate and potassium. These traits suggest that bacterial isolates from the rumen can function synergistically in microbial consortia to decompose organic matter and release nutrients simultaneously. </w:t>
      </w:r>
      <w:r>
        <w:rPr>
          <w:rFonts w:ascii="Arial" w:hAnsi="Arial" w:cs="Arial"/>
        </w:rPr>
        <w:fldChar w:fldCharType="begin" w:fldLock="1"/>
      </w:r>
      <w:r>
        <w:rPr>
          <w:rFonts w:ascii="Arial" w:hAnsi="Arial" w:cs="Arial"/>
        </w:rPr>
        <w:instrText>ADDIN CSL_CITATION {"citationItems":[{"id":"ITEM-1","itemData":{"ISSN":"0147-6513","author":[{"dropping-particle":"","family":"Etesami","given":"Hassan","non-dropping-particle":"","parse-names":false,"suffix":""},{"dropping-particle":"","family":"Maheshwari","given":"Dinesh K","non-dropping-particle":"","parse-names":false,"suffix":""}],"container-title":"Ecotoxicology and environmental safety","id":"ITEM-1","issued":{"date-parts":[["2018"]]},"page":"225-246","publisher":"Elsevier","title":"Use of plant growth promoting rhizobacteria (PGPRs) with multiple plant growth promoting traits in stress agriculture: Action mechanisms and future prospects","type":"article-journal","volume":"156"},"uris":["http://www.mendeley.com/documents/?uuid=e20cdec5-3481-4f47-b460-690047a6758b"]}],"mendeley":{"formattedCitation":"(Etesami &amp; Maheshwari, 2018)","manualFormatting":"Etesami &amp; Maheshwari (2018)","plainTextFormattedCitation":"(Etesami &amp; Maheshwari, 2018)","previouslyFormattedCitation":"(Etesami &amp; Maheshwari, 2018)"},"properties":{"noteIndex":0},"schema":"https://github.com/citation-style-language/schema/raw/master/csl-citation.json"}</w:instrText>
      </w:r>
      <w:r>
        <w:rPr>
          <w:rFonts w:ascii="Arial" w:hAnsi="Arial" w:cs="Arial"/>
        </w:rPr>
        <w:fldChar w:fldCharType="separate"/>
      </w:r>
      <w:r>
        <w:rPr>
          <w:rFonts w:ascii="Arial" w:hAnsi="Arial" w:cs="Arial"/>
          <w:noProof/>
        </w:rPr>
        <w:t>Etesami &amp; Maheshwari (2018)</w:t>
      </w:r>
      <w:r>
        <w:rPr>
          <w:rFonts w:ascii="Arial" w:hAnsi="Arial" w:cs="Arial"/>
        </w:rPr>
        <w:fldChar w:fldCharType="end"/>
      </w:r>
      <w:r>
        <w:rPr>
          <w:rFonts w:ascii="Arial" w:hAnsi="Arial" w:cs="Arial"/>
        </w:rPr>
        <w:t xml:space="preserve"> and </w:t>
      </w:r>
      <w:r>
        <w:rPr>
          <w:rFonts w:ascii="Arial" w:hAnsi="Arial" w:cs="Arial"/>
        </w:rPr>
        <w:fldChar w:fldCharType="begin" w:fldLock="1"/>
      </w:r>
      <w:r>
        <w:rPr>
          <w:rFonts w:ascii="Arial" w:hAnsi="Arial" w:cs="Arial"/>
        </w:rPr>
        <w:instrText>ADDIN CSL_CITATION {"citationItems":[{"id":"ITEM-1","itemData":{"ISSN":"2296-7745","author":[{"dropping-particle":"","family":"Arromrak","given":"Bovern Suchart","non-dropping-particle":"","parse-names":false,"suffix":""},{"dropping-particle":"","family":"Li","given":"Zhenzhen","non-dropping-particle":"","parse-names":false,"suffix":""},{"dropping-particle":"","family":"Gaitán-Espitia","given":"Juan Diego","non-dropping-particle":"","parse-names":false,"suffix":""}],"container-title":"Frontiers in Marine Science","id":"ITEM-1","issued":{"date-parts":[["2022"]]},"page":"864797","publisher":"Frontiers Media SA","title":"Adaptive strategies and evolutionary responses of microbial organisms to changing oceans","type":"article-journal","volume":"9"},"uris":["http://www.mendeley.com/documents/?uuid=52ea437c-eaa1-43e2-a42a-435901e9fc24"]}],"mendeley":{"formattedCitation":"(Arromrak &lt;i&gt;et al.&lt;/i&gt;, 2022)","manualFormatting":"Arromrak et al. (2022)","plainTextFormattedCitation":"(Arromrak et al., 2022)","previouslyFormattedCitation":"(Arromrak &lt;i&gt;et al.&lt;/i&gt;, 2022)"},"properties":{"noteIndex":0},"schema":"https://github.com/citation-style-language/schema/raw/master/csl-citation.json"}</w:instrText>
      </w:r>
      <w:r>
        <w:rPr>
          <w:rFonts w:ascii="Arial" w:hAnsi="Arial" w:cs="Arial"/>
        </w:rPr>
        <w:fldChar w:fldCharType="separate"/>
      </w:r>
      <w:r>
        <w:rPr>
          <w:rFonts w:ascii="Arial" w:hAnsi="Arial" w:cs="Arial"/>
          <w:noProof/>
        </w:rPr>
        <w:t xml:space="preserve">Arromrak </w:t>
      </w:r>
      <w:r>
        <w:rPr>
          <w:rFonts w:ascii="Arial" w:hAnsi="Arial" w:cs="Arial"/>
          <w:i/>
          <w:noProof/>
        </w:rPr>
        <w:t>et al.</w:t>
      </w:r>
      <w:r>
        <w:rPr>
          <w:rFonts w:ascii="Arial" w:hAnsi="Arial" w:cs="Arial"/>
          <w:noProof/>
        </w:rPr>
        <w:t xml:space="preserve"> (2022)</w:t>
      </w:r>
      <w:r>
        <w:rPr>
          <w:rFonts w:ascii="Arial" w:hAnsi="Arial" w:cs="Arial"/>
        </w:rPr>
        <w:fldChar w:fldCharType="end"/>
      </w:r>
      <w:r>
        <w:rPr>
          <w:rFonts w:ascii="Arial" w:hAnsi="Arial" w:cs="Arial"/>
        </w:rPr>
        <w:t xml:space="preserve"> emphasized the ecological adaptability of such multifunctional microbes in diverse environments. </w:t>
      </w:r>
      <w:r>
        <w:rPr>
          <w:rFonts w:ascii="Arial" w:hAnsi="Arial" w:cs="Arial"/>
        </w:rPr>
        <w:fldChar w:fldCharType="begin" w:fldLock="1"/>
      </w:r>
      <w:r>
        <w:rPr>
          <w:rFonts w:ascii="Arial" w:hAnsi="Arial" w:cs="Arial"/>
        </w:rPr>
        <w:instrText>ADDIN CSL_CITATION {"citationItems":[{"id":"ITEM-1","itemData":{"ISSN":"0032-079X","author":[{"dropping-particle":"","family":"Vessey","given":"J Kevin","non-dropping-particle":"","parse-names":false,"suffix":""}],"container-title":"Plant and soil","id":"ITEM-1","issued":{"date-parts":[["2003"]]},"page":"571-586","publisher":"Springer","title":"Plant growth promoting rhizobacteria as biofertilizers","type":"article-journal","volume":"255"},"uris":["http://www.mendeley.com/documents/?uuid=a2ab6337-cdb4-4132-99b8-62074daad4a6"]}],"mendeley":{"formattedCitation":"(Vessey, 2003)","manualFormatting":"Vessey (2003)","plainTextFormattedCitation":"(Vessey, 2003)","previouslyFormattedCitation":"(Vessey, 2003)"},"properties":{"noteIndex":0},"schema":"https://github.com/citation-style-language/schema/raw/master/csl-citation.json"}</w:instrText>
      </w:r>
      <w:r>
        <w:rPr>
          <w:rFonts w:ascii="Arial" w:hAnsi="Arial" w:cs="Arial"/>
        </w:rPr>
        <w:fldChar w:fldCharType="separate"/>
      </w:r>
      <w:r>
        <w:rPr>
          <w:rFonts w:ascii="Arial" w:hAnsi="Arial" w:cs="Arial"/>
          <w:noProof/>
        </w:rPr>
        <w:t>Vessey (2003)</w:t>
      </w:r>
      <w:r>
        <w:rPr>
          <w:rFonts w:ascii="Arial" w:hAnsi="Arial" w:cs="Arial"/>
        </w:rPr>
        <w:fldChar w:fldCharType="end"/>
      </w:r>
      <w:r>
        <w:rPr>
          <w:rFonts w:ascii="Arial" w:hAnsi="Arial" w:cs="Arial"/>
        </w:rPr>
        <w:t xml:space="preserve"> also highlighted that genera like Bacillus and Pseudomonas are capable of enhancing plant growth by coordinating multiple nutrient-related functions. The high functional diversity of isolates in this study positions rumen-derived bacteria as effective candidates for compost bioactivation. Their use can reduce composting time, enhance decomposition, and increase the availability of essential nutrients such as nitrogen, phosphorus, and potassium. </w:t>
      </w:r>
      <w:r>
        <w:rPr>
          <w:rFonts w:ascii="Arial" w:hAnsi="Arial" w:cs="Arial"/>
        </w:rPr>
        <w:fldChar w:fldCharType="begin" w:fldLock="1"/>
      </w:r>
      <w:r>
        <w:rPr>
          <w:rFonts w:ascii="Arial" w:hAnsi="Arial" w:cs="Arial"/>
        </w:rPr>
        <w:instrText>ADDIN CSL_CITATION {"citationItems":[{"id":"ITEM-1","itemData":{"DOI":"10.1088/1757-899x/1041/1/012028","ISSN":"1757-8981","abstract":"The purpose of research to measure and analyse the quality and quantity of food waste composting by adding cow rumen activator and efective microorganisme (EM4). This research do to identify the dominant bacteria that play a role in composting. The composting method applied in this research is Takakura composting. The method for bacterial identification was referred to as the Bergey’s manual which consisted of a gram stain test and a biochemical test. Three types of composter variation are being use in this composting, variation 1 consist of (food waste and maturecompost), variation 2 consist (food waste, mature compost and EM4 activator) and variation 3 consist (food waste, mature compost and cow rumen activator). The parameter which include maturity, quality (moisture content, temperature, pH, texture, color, C/N ratio, P and K), and the quantity of compost. The results showed that not all variations met the compost maturity and compost qualitybased on the SNI 19-7030-2004 standart such as organic carbon in variation 1B and C/N ratio in variations 1A and 1B. The affects of addition activators to composter give short time and good quality of compost. Composting with the addition of cow rumen activator is the fastest composting for 7 days with C/N ratiois 19.22%, P is 0.34%, Kis 2.08%. Composting with EM 4 activator occurred for 8 days with C/N ratio is 20.53%, P is 0.30%, K is 1.82%. Composting without the addition of activator is the longest composting which is 11 days with C/N ratio is 23.74%, P is 0.21%, Kis 1.76%. The results show variation 3 with the addition of cow’s rumen is the best composting with a score of 15. The results of the identification of dominant bacteria that a role play in composting are some Bacillus sp bacteria which are bacteria that degrade organic matter.","author":[{"dropping-particle":"","family":"Dewilda","given":"Y","non-dropping-particle":"","parse-names":false,"suffix":""},{"dropping-particle":"","family":"Silvia","given":"S","non-dropping-particle":"","parse-names":false,"suffix":""},{"dropping-particle":"","family":"Riantika","given":"M","non-dropping-particle":"","parse-names":false,"suffix":""},{"dropping-particle":"","family":"Zulkarnaini","given":"","non-dropping-particle":"","parse-names":false,"suffix":""}],"container-title":"IOP Conference Series: Materials Science and Engineering","id":"ITEM-1","issue":"1","issued":{"date-parts":[["2021"]]},"page":"012028","title":"Food Waste Composting with The Addition Of Cow Rumen Using The Takakura Method and Identification of Bacteria that Role in Composting","type":"article-journal","volume":"1041"},"uris":["http://www.mendeley.com/documents/?uuid=e9dfe332-56e6-49ce-a1e1-18547d1fdffd"]}],"mendeley":{"formattedCitation":"(Dewilda &lt;i&gt;et al.&lt;/i&gt;, 2021)","manualFormatting":"Dewilda et al. (2021)","plainTextFormattedCitation":"(Dewilda et al., 2021)","previouslyFormattedCitation":"(Dewilda &lt;i&gt;et al.&lt;/i&gt;, 2021)"},"properties":{"noteIndex":0},"schema":"https://github.com/citation-style-language/schema/raw/master/csl-citation.json"}</w:instrText>
      </w:r>
      <w:r>
        <w:rPr>
          <w:rFonts w:ascii="Arial" w:hAnsi="Arial" w:cs="Arial"/>
        </w:rPr>
        <w:fldChar w:fldCharType="separate"/>
      </w:r>
      <w:r>
        <w:rPr>
          <w:rFonts w:ascii="Arial" w:hAnsi="Arial" w:cs="Arial"/>
          <w:noProof/>
        </w:rPr>
        <w:t xml:space="preserve">Dewilda </w:t>
      </w:r>
      <w:r>
        <w:rPr>
          <w:rFonts w:ascii="Arial" w:hAnsi="Arial" w:cs="Arial"/>
          <w:i/>
          <w:noProof/>
        </w:rPr>
        <w:t>et al.</w:t>
      </w:r>
      <w:r>
        <w:rPr>
          <w:rFonts w:ascii="Arial" w:hAnsi="Arial" w:cs="Arial"/>
          <w:noProof/>
        </w:rPr>
        <w:t xml:space="preserve"> (2021)</w:t>
      </w:r>
      <w:r>
        <w:rPr>
          <w:rFonts w:ascii="Arial" w:hAnsi="Arial" w:cs="Arial"/>
        </w:rPr>
        <w:fldChar w:fldCharType="end"/>
      </w:r>
      <w:r>
        <w:rPr>
          <w:rFonts w:ascii="Arial" w:hAnsi="Arial" w:cs="Arial"/>
        </w:rPr>
        <w:t xml:space="preserve"> and </w:t>
      </w:r>
      <w:r>
        <w:rPr>
          <w:rFonts w:ascii="Arial" w:hAnsi="Arial" w:cs="Arial"/>
        </w:rPr>
        <w:fldChar w:fldCharType="begin" w:fldLock="1"/>
      </w:r>
      <w:r>
        <w:rPr>
          <w:rFonts w:ascii="Arial" w:hAnsi="Arial" w:cs="Arial"/>
        </w:rPr>
        <w:instrText>ADDIN CSL_CITATION {"citationItems":[{"id":"ITEM-1","itemData":{"ISSN":"2296-861X","author":[{"dropping-particle":"","family":"Attwood","given":"Graeme T","non-dropping-particle":"","parse-names":false,"suffix":""},{"dropping-particle":"","family":"Wakelin","given":"Steve A","non-dropping-particle":"","parse-names":false,"suffix":""},{"dropping-particle":"","family":"Leahy","given":"Sinead C","non-dropping-particle":"","parse-names":false,"suffix":""},{"dropping-particle":"","family":"Rowe","given":"Suzanne","non-dropping-particle":"","parse-names":false,"suffix":""},{"dropping-particle":"","family":"Clarke","given":"Shannon","non-dropping-particle":"","parse-names":false,"suffix":""},{"dropping-particle":"","family":"Chapman","given":"David F","non-dropping-particle":"","parse-names":false,"suffix":""},{"dropping-particle":"","family":"Muirhead","given":"Richard","non-dropping-particle":"","parse-names":false,"suffix":""},{"dropping-particle":"","family":"Jacobs","given":"Jeanne M E","non-dropping-particle":"","parse-names":false,"suffix":""}],"container-title":"Frontiers in nutrition","id":"ITEM-1","issued":{"date-parts":[["2019"]]},"page":"107","publisher":"Frontiers Media SA","title":"Applications of the soil, plant and rumen microbiomes in pastoral agriculture","type":"article-journal","volume":"6"},"uris":["http://www.mendeley.com/documents/?uuid=37cce312-d6a8-469b-8cfa-461621963d04"]}],"mendeley":{"formattedCitation":"(Attwood &lt;i&gt;et al.&lt;/i&gt;, 2019)","manualFormatting":"Attwood et al. (2019)","plainTextFormattedCitation":"(Attwood et al., 2019)","previouslyFormattedCitation":"(Attwood &lt;i&gt;et al.&lt;/i&gt;, 2019)"},"properties":{"noteIndex":0},"schema":"https://github.com/citation-style-language/schema/raw/master/csl-citation.json"}</w:instrText>
      </w:r>
      <w:r>
        <w:rPr>
          <w:rFonts w:ascii="Arial" w:hAnsi="Arial" w:cs="Arial"/>
        </w:rPr>
        <w:fldChar w:fldCharType="separate"/>
      </w:r>
      <w:r>
        <w:rPr>
          <w:rFonts w:ascii="Arial" w:hAnsi="Arial" w:cs="Arial"/>
          <w:noProof/>
        </w:rPr>
        <w:t xml:space="preserve">Attwood </w:t>
      </w:r>
      <w:r>
        <w:rPr>
          <w:rFonts w:ascii="Arial" w:hAnsi="Arial" w:cs="Arial"/>
          <w:i/>
          <w:noProof/>
        </w:rPr>
        <w:t>et al.</w:t>
      </w:r>
      <w:r>
        <w:rPr>
          <w:rFonts w:ascii="Arial" w:hAnsi="Arial" w:cs="Arial"/>
          <w:noProof/>
        </w:rPr>
        <w:t xml:space="preserve"> (2019)</w:t>
      </w:r>
      <w:r>
        <w:rPr>
          <w:rFonts w:ascii="Arial" w:hAnsi="Arial" w:cs="Arial"/>
        </w:rPr>
        <w:fldChar w:fldCharType="end"/>
      </w:r>
      <w:r>
        <w:rPr>
          <w:rFonts w:ascii="Arial" w:hAnsi="Arial" w:cs="Arial"/>
        </w:rPr>
        <w:t xml:space="preserve"> demonstrated that the application of rumen bacteria accelerates compost maturity and improves soil nutrient profiles. </w:t>
      </w:r>
      <w:r>
        <w:rPr>
          <w:rFonts w:ascii="Arial" w:hAnsi="Arial" w:cs="Arial"/>
        </w:rPr>
        <w:fldChar w:fldCharType="begin" w:fldLock="1"/>
      </w:r>
      <w:r>
        <w:rPr>
          <w:rFonts w:ascii="Arial" w:hAnsi="Arial" w:cs="Arial"/>
        </w:rPr>
        <w:instrText>ADDIN CSL_CITATION {"citationItems":[{"id":"ITEM-1","itemData":{"ISSN":"1925-2005","author":[{"dropping-particle":"","family":"Zhan","given":"Chunyang","non-dropping-particle":"","parse-names":false,"suffix":""}],"container-title":"Molecular Soil Biology","id":"ITEM-1","issued":{"date-parts":[["2024"]]},"title":"Microbial Decomposition and Soil Health: Mechanisms and Ecological Implications","type":"article-journal","volume":"15"},"uris":["http://www.mendeley.com/documents/?uuid=7bfc5b22-2341-40a2-84d9-6a68471a8d3b"]}],"mendeley":{"formattedCitation":"(Zhan, 2024)","manualFormatting":"Zhan (2024)","plainTextFormattedCitation":"(Zhan, 2024)"},"properties":{"noteIndex":0},"schema":"https://github.com/citation-style-language/schema/raw/master/csl-citation.json"}</w:instrText>
      </w:r>
      <w:r>
        <w:rPr>
          <w:rFonts w:ascii="Arial" w:hAnsi="Arial" w:cs="Arial"/>
        </w:rPr>
        <w:fldChar w:fldCharType="separate"/>
      </w:r>
      <w:r>
        <w:rPr>
          <w:rFonts w:ascii="Arial" w:hAnsi="Arial" w:cs="Arial"/>
          <w:noProof/>
        </w:rPr>
        <w:t>Zhan (2024)</w:t>
      </w:r>
      <w:r>
        <w:rPr>
          <w:rFonts w:ascii="Arial" w:hAnsi="Arial" w:cs="Arial"/>
        </w:rPr>
        <w:fldChar w:fldCharType="end"/>
      </w:r>
      <w:r>
        <w:rPr>
          <w:rFonts w:ascii="Arial" w:hAnsi="Arial" w:cs="Arial"/>
        </w:rPr>
        <w:t xml:space="preserve"> further noted the role of microbial communities in nutrient cycling and soil health enhancement through organic matter breakdown. This aligns with current global efforts toward sustainable agriculture and circular bioeconomy by utilizing agro-waste and microbial biodiversity for integrated nutrient management.</w:t>
      </w:r>
    </w:p>
    <w:p>
      <w:pPr>
        <w:pStyle w:val="Body"/>
        <w:spacing w:after="0"/>
        <w:rPr>
          <w:rFonts w:ascii="Arial" w:hAnsi="Arial" w:cs="Arial"/>
        </w:rPr>
      </w:pPr>
    </w:p>
    <w:p>
      <w:pPr>
        <w:pStyle w:val="ConcHead"/>
        <w:spacing w:after="0"/>
        <w:jc w:val="both"/>
        <w:rPr>
          <w:rFonts w:ascii="Arial" w:hAnsi="Arial" w:cs="Arial"/>
        </w:rPr>
      </w:pPr>
      <w:r>
        <w:rPr>
          <w:rFonts w:ascii="Arial" w:hAnsi="Arial" w:cs="Arial"/>
        </w:rPr>
        <w:t>4. Conclusion</w:t>
      </w:r>
    </w:p>
    <w:p>
      <w:pPr>
        <w:pStyle w:val="ConcHead"/>
        <w:spacing w:after="0"/>
        <w:jc w:val="both"/>
        <w:rPr>
          <w:rFonts w:ascii="Arial" w:hAnsi="Arial" w:cs="Arial"/>
        </w:rPr>
      </w:pPr>
    </w:p>
    <w:p>
      <w:pPr>
        <w:pStyle w:val="Body"/>
        <w:spacing w:after="0"/>
        <w:rPr>
          <w:rFonts w:ascii="Arial" w:hAnsi="Arial" w:cs="Arial"/>
        </w:rPr>
      </w:pPr>
      <w:r>
        <w:rPr>
          <w:rFonts w:ascii="Arial" w:hAnsi="Arial" w:cs="Arial"/>
        </w:rPr>
        <w:t>This study demonstrated that the rumen fluid of Bali cattle contains diverse bacteria with cellulolytic, potassium-solubilizing, and phosphorus-solubilizing capabilities. The isolation of multifunctional strains highlights the rumen as a valuable source of microbial bio-activators for applications in composting, soil fertility enhancement, and sustainable agriculture. The strong enzymatic activities observed suggest potential for industrial use, particularly in biomass degradation and biofertilizer development. Future studies should focus on molecular identification and functional validation to support their practical application in biotechnological processes.</w:t>
      </w:r>
    </w:p>
    <w:p>
      <w:pPr>
        <w:pStyle w:val="Body"/>
        <w:spacing w:after="0"/>
        <w:rPr>
          <w:rFonts w:ascii="Arial" w:hAnsi="Arial" w:cs="Arial"/>
        </w:rPr>
      </w:pPr>
    </w:p>
    <w:p>
      <w:pPr>
        <w:pStyle w:val="ReferHead"/>
        <w:spacing w:after="0"/>
        <w:jc w:val="both"/>
        <w:rPr>
          <w:rFonts w:ascii="Arial" w:hAnsi="Arial" w:cs="Arial"/>
          <w:b w:val="0"/>
          <w:caps w:val="0"/>
          <w:sz w:val="20"/>
        </w:rPr>
      </w:pPr>
    </w:p>
    <w:p>
      <w:pPr>
        <w:pStyle w:val="ReferHead"/>
        <w:spacing w:after="0"/>
        <w:jc w:val="both"/>
        <w:rPr>
          <w:rFonts w:ascii="Arial" w:hAnsi="Arial" w:cs="Arial"/>
        </w:rPr>
      </w:pPr>
      <w:r>
        <w:rPr>
          <w:rFonts w:ascii="Arial" w:hAnsi="Arial" w:cs="Arial"/>
        </w:rPr>
        <w:t>References</w:t>
      </w:r>
    </w:p>
    <w:p>
      <w:pPr>
        <w:pStyle w:val="ReferHead"/>
        <w:spacing w:after="0"/>
        <w:jc w:val="both"/>
        <w:rPr>
          <w:rFonts w:ascii="Arial" w:hAnsi="Arial" w:cs="Arial"/>
          <w:b w:val="0"/>
          <w:caps w:val="0"/>
          <w:color w:val="FF0000"/>
          <w:sz w:val="20"/>
        </w:rPr>
      </w:pPr>
    </w:p>
    <w:p>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Annizah</w:t>
      </w:r>
      <w:proofErr w:type="spellEnd"/>
      <w:r>
        <w:rPr>
          <w:rFonts w:ascii="Arial" w:hAnsi="Arial" w:cs="Arial"/>
          <w:sz w:val="20"/>
          <w:szCs w:val="18"/>
        </w:rPr>
        <w:t xml:space="preserve">, I. N., </w:t>
      </w:r>
      <w:proofErr w:type="spellStart"/>
      <w:r>
        <w:rPr>
          <w:rFonts w:ascii="Arial" w:hAnsi="Arial" w:cs="Arial"/>
          <w:sz w:val="20"/>
          <w:szCs w:val="18"/>
        </w:rPr>
        <w:t>Alawiyah</w:t>
      </w:r>
      <w:proofErr w:type="spellEnd"/>
      <w:r>
        <w:rPr>
          <w:rFonts w:ascii="Arial" w:hAnsi="Arial" w:cs="Arial"/>
          <w:sz w:val="20"/>
          <w:szCs w:val="18"/>
        </w:rPr>
        <w:t xml:space="preserve">, D. D., </w:t>
      </w:r>
      <w:proofErr w:type="spellStart"/>
      <w:r>
        <w:rPr>
          <w:rFonts w:ascii="Arial" w:hAnsi="Arial" w:cs="Arial"/>
          <w:sz w:val="20"/>
          <w:szCs w:val="18"/>
        </w:rPr>
        <w:t>Susetyo</w:t>
      </w:r>
      <w:proofErr w:type="spellEnd"/>
      <w:r>
        <w:rPr>
          <w:rFonts w:ascii="Arial" w:hAnsi="Arial" w:cs="Arial"/>
          <w:sz w:val="20"/>
          <w:szCs w:val="18"/>
        </w:rPr>
        <w:t xml:space="preserve">, R. D., </w:t>
      </w:r>
      <w:proofErr w:type="spellStart"/>
      <w:r>
        <w:rPr>
          <w:rFonts w:ascii="Arial" w:hAnsi="Arial" w:cs="Arial"/>
          <w:sz w:val="20"/>
          <w:szCs w:val="18"/>
        </w:rPr>
        <w:t>Surtiningsih</w:t>
      </w:r>
      <w:proofErr w:type="spellEnd"/>
      <w:r>
        <w:rPr>
          <w:rFonts w:ascii="Arial" w:hAnsi="Arial" w:cs="Arial"/>
          <w:sz w:val="20"/>
          <w:szCs w:val="18"/>
        </w:rPr>
        <w:t xml:space="preserve">, T., &amp; </w:t>
      </w:r>
      <w:proofErr w:type="spellStart"/>
      <w:r>
        <w:rPr>
          <w:rFonts w:ascii="Arial" w:hAnsi="Arial" w:cs="Arial"/>
          <w:sz w:val="20"/>
          <w:szCs w:val="18"/>
        </w:rPr>
        <w:t>Nurhariyati</w:t>
      </w:r>
      <w:proofErr w:type="spellEnd"/>
      <w:r>
        <w:rPr>
          <w:rFonts w:ascii="Arial" w:hAnsi="Arial" w:cs="Arial"/>
          <w:sz w:val="20"/>
          <w:szCs w:val="18"/>
        </w:rPr>
        <w:t xml:space="preserve">, T. (2021, May). Phosphate solubilizing bacteria isolated from Tuban mangrove soil, Indonesia. </w:t>
      </w:r>
      <w:r>
        <w:rPr>
          <w:rStyle w:val="Emphasis"/>
          <w:rFonts w:ascii="Arial" w:hAnsi="Arial" w:cs="Arial"/>
          <w:i w:val="0"/>
          <w:sz w:val="20"/>
          <w:szCs w:val="18"/>
        </w:rPr>
        <w:t>IOP Conference Series: Earth and Environmental Science</w:t>
      </w:r>
      <w:r>
        <w:rPr>
          <w:rFonts w:ascii="Arial" w:hAnsi="Arial" w:cs="Arial"/>
          <w:sz w:val="20"/>
          <w:szCs w:val="18"/>
        </w:rPr>
        <w:t xml:space="preserve">, </w:t>
      </w:r>
      <w:r>
        <w:rPr>
          <w:rStyle w:val="Emphasis"/>
          <w:rFonts w:ascii="Arial" w:hAnsi="Arial" w:cs="Arial"/>
          <w:i w:val="0"/>
          <w:sz w:val="20"/>
          <w:szCs w:val="18"/>
        </w:rPr>
        <w:t>762</w:t>
      </w:r>
      <w:r>
        <w:rPr>
          <w:rFonts w:ascii="Arial" w:hAnsi="Arial" w:cs="Arial"/>
          <w:sz w:val="20"/>
          <w:szCs w:val="18"/>
        </w:rPr>
        <w:t>(1), 012007. IOP Publishing.</w:t>
      </w:r>
    </w:p>
    <w:p>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Arromrak</w:t>
      </w:r>
      <w:proofErr w:type="spellEnd"/>
      <w:r>
        <w:rPr>
          <w:rFonts w:ascii="Arial" w:hAnsi="Arial" w:cs="Arial"/>
          <w:sz w:val="20"/>
          <w:szCs w:val="18"/>
        </w:rPr>
        <w:t xml:space="preserve">, B. S., Li, Z., &amp; Gaitán-Espitia, J. D. (2022). Adaptive strategies and evolutionary responses of microbial organisms to changing oceans. </w:t>
      </w:r>
      <w:r>
        <w:rPr>
          <w:rStyle w:val="Emphasis"/>
          <w:rFonts w:ascii="Arial" w:hAnsi="Arial" w:cs="Arial"/>
          <w:i w:val="0"/>
          <w:sz w:val="20"/>
          <w:szCs w:val="18"/>
        </w:rPr>
        <w:t>Frontiers in Marine Science</w:t>
      </w:r>
      <w:r>
        <w:rPr>
          <w:rFonts w:ascii="Arial" w:hAnsi="Arial" w:cs="Arial"/>
          <w:sz w:val="20"/>
          <w:szCs w:val="18"/>
        </w:rPr>
        <w:t xml:space="preserve">, </w:t>
      </w:r>
      <w:r>
        <w:rPr>
          <w:rStyle w:val="Emphasis"/>
          <w:rFonts w:ascii="Arial" w:hAnsi="Arial" w:cs="Arial"/>
          <w:i w:val="0"/>
          <w:sz w:val="20"/>
          <w:szCs w:val="18"/>
        </w:rPr>
        <w:t>9</w:t>
      </w:r>
      <w:r>
        <w:rPr>
          <w:rFonts w:ascii="Arial" w:hAnsi="Arial" w:cs="Arial"/>
          <w:sz w:val="20"/>
          <w:szCs w:val="18"/>
        </w:rPr>
        <w:t>, 864797.</w:t>
      </w:r>
    </w:p>
    <w:p>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Attwood, G. T., Wakelin, S. A., Leahy, S. C., Rowe, S., Clarke, S., Chapman, D. F., ... &amp; Jacobs, J. M. (2019). Applications of the soil, plant and rumen microbiomes in pastoral agriculture. </w:t>
      </w:r>
      <w:r>
        <w:rPr>
          <w:rStyle w:val="Emphasis"/>
          <w:rFonts w:ascii="Arial" w:hAnsi="Arial" w:cs="Arial"/>
          <w:i w:val="0"/>
          <w:sz w:val="20"/>
          <w:szCs w:val="18"/>
        </w:rPr>
        <w:t>Frontiers in Nutrition</w:t>
      </w:r>
      <w:r>
        <w:rPr>
          <w:rFonts w:ascii="Arial" w:hAnsi="Arial" w:cs="Arial"/>
          <w:sz w:val="20"/>
          <w:szCs w:val="18"/>
        </w:rPr>
        <w:t xml:space="preserve">, </w:t>
      </w:r>
      <w:r>
        <w:rPr>
          <w:rStyle w:val="Emphasis"/>
          <w:rFonts w:ascii="Arial" w:hAnsi="Arial" w:cs="Arial"/>
          <w:i w:val="0"/>
          <w:sz w:val="20"/>
          <w:szCs w:val="18"/>
        </w:rPr>
        <w:t>6</w:t>
      </w:r>
      <w:r>
        <w:rPr>
          <w:rFonts w:ascii="Arial" w:hAnsi="Arial" w:cs="Arial"/>
          <w:sz w:val="20"/>
          <w:szCs w:val="18"/>
        </w:rPr>
        <w:t>, 107.</w:t>
      </w:r>
    </w:p>
    <w:p>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Baldani</w:t>
      </w:r>
      <w:proofErr w:type="spellEnd"/>
      <w:r>
        <w:rPr>
          <w:rFonts w:ascii="Arial" w:hAnsi="Arial" w:cs="Arial"/>
          <w:sz w:val="20"/>
          <w:szCs w:val="18"/>
        </w:rPr>
        <w:t xml:space="preserve">, J. I., Reis, V. M., </w:t>
      </w:r>
      <w:proofErr w:type="spellStart"/>
      <w:r>
        <w:rPr>
          <w:rFonts w:ascii="Arial" w:hAnsi="Arial" w:cs="Arial"/>
          <w:sz w:val="20"/>
          <w:szCs w:val="18"/>
        </w:rPr>
        <w:t>Videira</w:t>
      </w:r>
      <w:proofErr w:type="spellEnd"/>
      <w:r>
        <w:rPr>
          <w:rFonts w:ascii="Arial" w:hAnsi="Arial" w:cs="Arial"/>
          <w:sz w:val="20"/>
          <w:szCs w:val="18"/>
        </w:rPr>
        <w:t xml:space="preserve">, S. S., </w:t>
      </w:r>
      <w:proofErr w:type="spellStart"/>
      <w:r>
        <w:rPr>
          <w:rFonts w:ascii="Arial" w:hAnsi="Arial" w:cs="Arial"/>
          <w:sz w:val="20"/>
          <w:szCs w:val="18"/>
        </w:rPr>
        <w:t>Boddey</w:t>
      </w:r>
      <w:proofErr w:type="spellEnd"/>
      <w:r>
        <w:rPr>
          <w:rFonts w:ascii="Arial" w:hAnsi="Arial" w:cs="Arial"/>
          <w:sz w:val="20"/>
          <w:szCs w:val="18"/>
        </w:rPr>
        <w:t xml:space="preserve">, L. H., &amp; </w:t>
      </w:r>
      <w:proofErr w:type="spellStart"/>
      <w:r>
        <w:rPr>
          <w:rFonts w:ascii="Arial" w:hAnsi="Arial" w:cs="Arial"/>
          <w:sz w:val="20"/>
          <w:szCs w:val="18"/>
        </w:rPr>
        <w:t>Baldani</w:t>
      </w:r>
      <w:proofErr w:type="spellEnd"/>
      <w:r>
        <w:rPr>
          <w:rFonts w:ascii="Arial" w:hAnsi="Arial" w:cs="Arial"/>
          <w:sz w:val="20"/>
          <w:szCs w:val="18"/>
        </w:rPr>
        <w:t xml:space="preserve">, V. L. D. (2014). The art of isolating nitrogen-fixing bacteria from non-leguminous plants using N-free semi-solid media: A practical guide for microbiologists. Plant and Soil, 384(1–2), 413–431. </w:t>
      </w:r>
    </w:p>
    <w:p>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Cao, Z., Yan, W., Ding, M., &amp; Yuan, Y. (2022). Construction of microbial consortia for microbial degradation of complex compounds. </w:t>
      </w:r>
      <w:r>
        <w:rPr>
          <w:rStyle w:val="Emphasis"/>
          <w:rFonts w:ascii="Arial" w:hAnsi="Arial" w:cs="Arial"/>
          <w:i w:val="0"/>
          <w:sz w:val="20"/>
          <w:szCs w:val="18"/>
        </w:rPr>
        <w:t>Frontiers in Bioengineering and Biotechnology</w:t>
      </w:r>
      <w:r>
        <w:rPr>
          <w:rFonts w:ascii="Arial" w:hAnsi="Arial" w:cs="Arial"/>
          <w:sz w:val="20"/>
          <w:szCs w:val="18"/>
        </w:rPr>
        <w:t xml:space="preserve">, </w:t>
      </w:r>
      <w:r>
        <w:rPr>
          <w:rStyle w:val="Emphasis"/>
          <w:rFonts w:ascii="Arial" w:hAnsi="Arial" w:cs="Arial"/>
          <w:i w:val="0"/>
          <w:sz w:val="20"/>
          <w:szCs w:val="18"/>
        </w:rPr>
        <w:t>10</w:t>
      </w:r>
      <w:r>
        <w:rPr>
          <w:rFonts w:ascii="Arial" w:hAnsi="Arial" w:cs="Arial"/>
          <w:sz w:val="20"/>
          <w:szCs w:val="18"/>
        </w:rPr>
        <w:t>, 1051233.</w:t>
      </w:r>
    </w:p>
    <w:p>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Costello, C. (2019). The concept of zero waste. In </w:t>
      </w:r>
      <w:r>
        <w:rPr>
          <w:rStyle w:val="Emphasis"/>
          <w:rFonts w:ascii="Arial" w:hAnsi="Arial" w:cs="Arial"/>
          <w:i w:val="0"/>
          <w:sz w:val="20"/>
          <w:szCs w:val="18"/>
        </w:rPr>
        <w:t>Saving food</w:t>
      </w:r>
      <w:r>
        <w:rPr>
          <w:rFonts w:ascii="Arial" w:hAnsi="Arial" w:cs="Arial"/>
          <w:sz w:val="20"/>
          <w:szCs w:val="18"/>
        </w:rPr>
        <w:t xml:space="preserve"> (pp. 369–391). Elsevier.</w:t>
      </w:r>
    </w:p>
    <w:p>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Dewilda</w:t>
      </w:r>
      <w:proofErr w:type="spellEnd"/>
      <w:r>
        <w:rPr>
          <w:rFonts w:ascii="Arial" w:hAnsi="Arial" w:cs="Arial"/>
          <w:sz w:val="20"/>
          <w:szCs w:val="18"/>
        </w:rPr>
        <w:t xml:space="preserve">, Y., </w:t>
      </w:r>
      <w:proofErr w:type="spellStart"/>
      <w:r>
        <w:rPr>
          <w:rFonts w:ascii="Arial" w:hAnsi="Arial" w:cs="Arial"/>
          <w:sz w:val="20"/>
          <w:szCs w:val="18"/>
        </w:rPr>
        <w:t>Goembira</w:t>
      </w:r>
      <w:proofErr w:type="spellEnd"/>
      <w:r>
        <w:rPr>
          <w:rFonts w:ascii="Arial" w:hAnsi="Arial" w:cs="Arial"/>
          <w:sz w:val="20"/>
          <w:szCs w:val="18"/>
        </w:rPr>
        <w:t xml:space="preserve">, F., Sukma, F. A., &amp; </w:t>
      </w:r>
      <w:proofErr w:type="spellStart"/>
      <w:r>
        <w:rPr>
          <w:rFonts w:ascii="Arial" w:hAnsi="Arial" w:cs="Arial"/>
          <w:sz w:val="20"/>
          <w:szCs w:val="18"/>
        </w:rPr>
        <w:t>Mardatillah</w:t>
      </w:r>
      <w:proofErr w:type="spellEnd"/>
      <w:r>
        <w:rPr>
          <w:rFonts w:ascii="Arial" w:hAnsi="Arial" w:cs="Arial"/>
          <w:sz w:val="20"/>
          <w:szCs w:val="18"/>
        </w:rPr>
        <w:t xml:space="preserve">, R. (2023, December). Applications of Local Microorganism (MOL) in the processing of waste leaves and twig with on site </w:t>
      </w:r>
      <w:r>
        <w:rPr>
          <w:rFonts w:ascii="Arial" w:hAnsi="Arial" w:cs="Arial"/>
          <w:sz w:val="20"/>
          <w:szCs w:val="18"/>
        </w:rPr>
        <w:lastRenderedPageBreak/>
        <w:t xml:space="preserve">solid waste processing technology (TOSS). </w:t>
      </w:r>
      <w:r>
        <w:rPr>
          <w:rStyle w:val="Emphasis"/>
          <w:rFonts w:ascii="Arial" w:hAnsi="Arial" w:cs="Arial"/>
          <w:i w:val="0"/>
          <w:sz w:val="20"/>
          <w:szCs w:val="18"/>
        </w:rPr>
        <w:t>IOP Conference Series: Earth and Environmental Science</w:t>
      </w:r>
      <w:r>
        <w:rPr>
          <w:rFonts w:ascii="Arial" w:hAnsi="Arial" w:cs="Arial"/>
          <w:sz w:val="20"/>
          <w:szCs w:val="18"/>
        </w:rPr>
        <w:t xml:space="preserve">, </w:t>
      </w:r>
      <w:r>
        <w:rPr>
          <w:rStyle w:val="Emphasis"/>
          <w:rFonts w:ascii="Arial" w:hAnsi="Arial" w:cs="Arial"/>
          <w:i w:val="0"/>
          <w:sz w:val="20"/>
          <w:szCs w:val="18"/>
        </w:rPr>
        <w:t>1268</w:t>
      </w:r>
      <w:r>
        <w:rPr>
          <w:rFonts w:ascii="Arial" w:hAnsi="Arial" w:cs="Arial"/>
          <w:sz w:val="20"/>
          <w:szCs w:val="18"/>
        </w:rPr>
        <w:t>(1), 012059. IOP Publishing.</w:t>
      </w:r>
    </w:p>
    <w:p>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Dewilda</w:t>
      </w:r>
      <w:proofErr w:type="spellEnd"/>
      <w:r>
        <w:rPr>
          <w:rFonts w:ascii="Arial" w:hAnsi="Arial" w:cs="Arial"/>
          <w:sz w:val="20"/>
          <w:szCs w:val="18"/>
        </w:rPr>
        <w:t xml:space="preserve">, Y., Silvia, S., &amp; </w:t>
      </w:r>
      <w:proofErr w:type="spellStart"/>
      <w:r>
        <w:rPr>
          <w:rFonts w:ascii="Arial" w:hAnsi="Arial" w:cs="Arial"/>
          <w:sz w:val="20"/>
          <w:szCs w:val="18"/>
        </w:rPr>
        <w:t>Riantika</w:t>
      </w:r>
      <w:proofErr w:type="spellEnd"/>
      <w:r>
        <w:rPr>
          <w:rFonts w:ascii="Arial" w:hAnsi="Arial" w:cs="Arial"/>
          <w:sz w:val="20"/>
          <w:szCs w:val="18"/>
        </w:rPr>
        <w:t xml:space="preserve">, M. (2021). Food waste composting with the addition of cow rumen using the Takakura method and identification of bacteria that role in composting. </w:t>
      </w:r>
      <w:r>
        <w:rPr>
          <w:rStyle w:val="Emphasis"/>
          <w:rFonts w:ascii="Arial" w:hAnsi="Arial" w:cs="Arial"/>
          <w:i w:val="0"/>
          <w:sz w:val="20"/>
          <w:szCs w:val="18"/>
        </w:rPr>
        <w:t>IOP Conference Series: Materials Science and Engineering</w:t>
      </w:r>
      <w:r>
        <w:rPr>
          <w:rFonts w:ascii="Arial" w:hAnsi="Arial" w:cs="Arial"/>
          <w:sz w:val="20"/>
          <w:szCs w:val="18"/>
        </w:rPr>
        <w:t xml:space="preserve">, </w:t>
      </w:r>
      <w:r>
        <w:rPr>
          <w:rStyle w:val="Emphasis"/>
          <w:rFonts w:ascii="Arial" w:hAnsi="Arial" w:cs="Arial"/>
          <w:i w:val="0"/>
          <w:sz w:val="20"/>
          <w:szCs w:val="18"/>
        </w:rPr>
        <w:t>1041</w:t>
      </w:r>
      <w:r>
        <w:rPr>
          <w:rFonts w:ascii="Arial" w:hAnsi="Arial" w:cs="Arial"/>
          <w:sz w:val="20"/>
          <w:szCs w:val="18"/>
        </w:rPr>
        <w:t>(1), 012028. IOP Publishing.</w:t>
      </w:r>
    </w:p>
    <w:p>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Etesami</w:t>
      </w:r>
      <w:proofErr w:type="spellEnd"/>
      <w:r>
        <w:rPr>
          <w:rFonts w:ascii="Arial" w:hAnsi="Arial" w:cs="Arial"/>
          <w:sz w:val="20"/>
          <w:szCs w:val="18"/>
        </w:rPr>
        <w:t xml:space="preserve">, H., &amp; Maheshwari, D. K. (2018). Use of plant growth promoting rhizobacteria (PGPRs) with multiple plant growth promoting traits in stress agriculture: Action mechanisms and future prospects. </w:t>
      </w:r>
      <w:r>
        <w:rPr>
          <w:rStyle w:val="Emphasis"/>
          <w:rFonts w:ascii="Arial" w:hAnsi="Arial" w:cs="Arial"/>
          <w:i w:val="0"/>
          <w:sz w:val="20"/>
          <w:szCs w:val="18"/>
        </w:rPr>
        <w:t>Ecotoxicology and Environmental Safety</w:t>
      </w:r>
      <w:r>
        <w:rPr>
          <w:rFonts w:ascii="Arial" w:hAnsi="Arial" w:cs="Arial"/>
          <w:sz w:val="20"/>
          <w:szCs w:val="18"/>
        </w:rPr>
        <w:t xml:space="preserve">, </w:t>
      </w:r>
      <w:r>
        <w:rPr>
          <w:rStyle w:val="Emphasis"/>
          <w:rFonts w:ascii="Arial" w:hAnsi="Arial" w:cs="Arial"/>
          <w:i w:val="0"/>
          <w:sz w:val="20"/>
          <w:szCs w:val="18"/>
        </w:rPr>
        <w:t>156</w:t>
      </w:r>
      <w:r>
        <w:rPr>
          <w:rFonts w:ascii="Arial" w:hAnsi="Arial" w:cs="Arial"/>
          <w:sz w:val="20"/>
          <w:szCs w:val="18"/>
        </w:rPr>
        <w:t>, 225–246.</w:t>
      </w:r>
    </w:p>
    <w:p>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Firrincieli</w:t>
      </w:r>
      <w:proofErr w:type="spellEnd"/>
      <w:r>
        <w:rPr>
          <w:rFonts w:ascii="Arial" w:hAnsi="Arial" w:cs="Arial"/>
          <w:sz w:val="20"/>
          <w:szCs w:val="18"/>
        </w:rPr>
        <w:t xml:space="preserve">, A., Minuti, A., Cappelletti, M., </w:t>
      </w:r>
      <w:proofErr w:type="spellStart"/>
      <w:r>
        <w:rPr>
          <w:rFonts w:ascii="Arial" w:hAnsi="Arial" w:cs="Arial"/>
          <w:sz w:val="20"/>
          <w:szCs w:val="18"/>
        </w:rPr>
        <w:t>Ferilli</w:t>
      </w:r>
      <w:proofErr w:type="spellEnd"/>
      <w:r>
        <w:rPr>
          <w:rFonts w:ascii="Arial" w:hAnsi="Arial" w:cs="Arial"/>
          <w:sz w:val="20"/>
          <w:szCs w:val="18"/>
        </w:rPr>
        <w:t xml:space="preserve">, M., </w:t>
      </w:r>
      <w:proofErr w:type="spellStart"/>
      <w:r>
        <w:rPr>
          <w:rFonts w:ascii="Arial" w:hAnsi="Arial" w:cs="Arial"/>
          <w:sz w:val="20"/>
          <w:szCs w:val="18"/>
        </w:rPr>
        <w:t>Ajmone</w:t>
      </w:r>
      <w:proofErr w:type="spellEnd"/>
      <w:r>
        <w:rPr>
          <w:rFonts w:ascii="Arial" w:hAnsi="Arial" w:cs="Arial"/>
          <w:sz w:val="20"/>
          <w:szCs w:val="18"/>
        </w:rPr>
        <w:t xml:space="preserve">-Marsan, P., Bani, P., ... &amp; </w:t>
      </w:r>
      <w:proofErr w:type="spellStart"/>
      <w:r>
        <w:rPr>
          <w:rFonts w:ascii="Arial" w:hAnsi="Arial" w:cs="Arial"/>
          <w:sz w:val="20"/>
          <w:szCs w:val="18"/>
        </w:rPr>
        <w:t>Harfouche</w:t>
      </w:r>
      <w:proofErr w:type="spellEnd"/>
      <w:r>
        <w:rPr>
          <w:rFonts w:ascii="Arial" w:hAnsi="Arial" w:cs="Arial"/>
          <w:sz w:val="20"/>
          <w:szCs w:val="18"/>
        </w:rPr>
        <w:t xml:space="preserve">, A. L. (2024). Structural and functional analysis of the active cow rumen’s microbial community provides a catalogue of genes and microbes participating in the deconstruction of cardoon biomass. </w:t>
      </w:r>
      <w:r>
        <w:rPr>
          <w:rStyle w:val="Emphasis"/>
          <w:rFonts w:ascii="Arial" w:hAnsi="Arial" w:cs="Arial"/>
          <w:i w:val="0"/>
          <w:sz w:val="20"/>
          <w:szCs w:val="18"/>
        </w:rPr>
        <w:t>Biotechnology for Biofuels and Bioproducts</w:t>
      </w:r>
      <w:r>
        <w:rPr>
          <w:rFonts w:ascii="Arial" w:hAnsi="Arial" w:cs="Arial"/>
          <w:sz w:val="20"/>
          <w:szCs w:val="18"/>
        </w:rPr>
        <w:t xml:space="preserve">, </w:t>
      </w:r>
      <w:r>
        <w:rPr>
          <w:rStyle w:val="Emphasis"/>
          <w:rFonts w:ascii="Arial" w:hAnsi="Arial" w:cs="Arial"/>
          <w:i w:val="0"/>
          <w:sz w:val="20"/>
          <w:szCs w:val="18"/>
        </w:rPr>
        <w:t>17</w:t>
      </w:r>
      <w:r>
        <w:rPr>
          <w:rFonts w:ascii="Arial" w:hAnsi="Arial" w:cs="Arial"/>
          <w:sz w:val="20"/>
          <w:szCs w:val="18"/>
        </w:rPr>
        <w:t>(1), 53.</w:t>
      </w:r>
    </w:p>
    <w:p>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Harun, A. Y., &amp; Sali, K. (2019). Factors affecting rumen microbial protein synthesis. </w:t>
      </w:r>
      <w:r>
        <w:rPr>
          <w:rStyle w:val="Emphasis"/>
          <w:rFonts w:ascii="Arial" w:hAnsi="Arial" w:cs="Arial"/>
          <w:i w:val="0"/>
          <w:sz w:val="20"/>
          <w:szCs w:val="18"/>
        </w:rPr>
        <w:t>Open Journal of Veterinary Medicine</w:t>
      </w:r>
      <w:r>
        <w:rPr>
          <w:rFonts w:ascii="Arial" w:hAnsi="Arial" w:cs="Arial"/>
          <w:sz w:val="20"/>
          <w:szCs w:val="18"/>
        </w:rPr>
        <w:t xml:space="preserve">, </w:t>
      </w:r>
      <w:r>
        <w:rPr>
          <w:rStyle w:val="Emphasis"/>
          <w:rFonts w:ascii="Arial" w:hAnsi="Arial" w:cs="Arial"/>
          <w:i w:val="0"/>
          <w:sz w:val="20"/>
          <w:szCs w:val="18"/>
        </w:rPr>
        <w:t>4</w:t>
      </w:r>
      <w:r>
        <w:rPr>
          <w:rFonts w:ascii="Arial" w:hAnsi="Arial" w:cs="Arial"/>
          <w:sz w:val="20"/>
          <w:szCs w:val="18"/>
        </w:rPr>
        <w:t>(1), 27–35.</w:t>
      </w:r>
    </w:p>
    <w:p>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Hendricks, A. A. (2015). </w:t>
      </w:r>
      <w:r>
        <w:rPr>
          <w:rStyle w:val="Emphasis"/>
          <w:rFonts w:ascii="Arial" w:hAnsi="Arial" w:cs="Arial"/>
          <w:i w:val="0"/>
          <w:sz w:val="20"/>
          <w:szCs w:val="18"/>
        </w:rPr>
        <w:t xml:space="preserve">Isolation and </w:t>
      </w:r>
      <w:proofErr w:type="spellStart"/>
      <w:r>
        <w:rPr>
          <w:rStyle w:val="Emphasis"/>
          <w:rFonts w:ascii="Arial" w:hAnsi="Arial" w:cs="Arial"/>
          <w:i w:val="0"/>
          <w:sz w:val="20"/>
          <w:szCs w:val="18"/>
        </w:rPr>
        <w:t>characterisation</w:t>
      </w:r>
      <w:proofErr w:type="spellEnd"/>
      <w:r>
        <w:rPr>
          <w:rStyle w:val="Emphasis"/>
          <w:rFonts w:ascii="Arial" w:hAnsi="Arial" w:cs="Arial"/>
          <w:i w:val="0"/>
          <w:sz w:val="20"/>
          <w:szCs w:val="18"/>
        </w:rPr>
        <w:t xml:space="preserve"> of lipolytic bacteria and investigation of their ability to degrade fats, oils and grease in grain distillery wastewater</w:t>
      </w:r>
      <w:r>
        <w:rPr>
          <w:rFonts w:ascii="Arial" w:hAnsi="Arial" w:cs="Arial"/>
          <w:sz w:val="20"/>
          <w:szCs w:val="18"/>
        </w:rPr>
        <w:t xml:space="preserve"> (Doctoral dissertation, Stellenbosch University).</w:t>
      </w:r>
    </w:p>
    <w:p>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Herdiyantoro</w:t>
      </w:r>
      <w:proofErr w:type="spellEnd"/>
      <w:r>
        <w:rPr>
          <w:rFonts w:ascii="Arial" w:hAnsi="Arial" w:cs="Arial"/>
          <w:sz w:val="20"/>
          <w:szCs w:val="18"/>
        </w:rPr>
        <w:t xml:space="preserve">, D., </w:t>
      </w:r>
      <w:proofErr w:type="spellStart"/>
      <w:r>
        <w:rPr>
          <w:rFonts w:ascii="Arial" w:hAnsi="Arial" w:cs="Arial"/>
          <w:sz w:val="20"/>
          <w:szCs w:val="18"/>
        </w:rPr>
        <w:t>Simarmata</w:t>
      </w:r>
      <w:proofErr w:type="spellEnd"/>
      <w:r>
        <w:rPr>
          <w:rFonts w:ascii="Arial" w:hAnsi="Arial" w:cs="Arial"/>
          <w:sz w:val="20"/>
          <w:szCs w:val="18"/>
        </w:rPr>
        <w:t xml:space="preserve">, T., Setiawati, M. R., </w:t>
      </w:r>
      <w:proofErr w:type="spellStart"/>
      <w:r>
        <w:rPr>
          <w:rFonts w:ascii="Arial" w:hAnsi="Arial" w:cs="Arial"/>
          <w:sz w:val="20"/>
          <w:szCs w:val="18"/>
        </w:rPr>
        <w:t>Nurlaeny</w:t>
      </w:r>
      <w:proofErr w:type="spellEnd"/>
      <w:r>
        <w:rPr>
          <w:rFonts w:ascii="Arial" w:hAnsi="Arial" w:cs="Arial"/>
          <w:sz w:val="20"/>
          <w:szCs w:val="18"/>
        </w:rPr>
        <w:t xml:space="preserve">, N., Joy, B., Hamdani, J. S., &amp; </w:t>
      </w:r>
      <w:proofErr w:type="spellStart"/>
      <w:r>
        <w:rPr>
          <w:rFonts w:ascii="Arial" w:hAnsi="Arial" w:cs="Arial"/>
          <w:sz w:val="20"/>
          <w:szCs w:val="18"/>
        </w:rPr>
        <w:t>Handayani</w:t>
      </w:r>
      <w:proofErr w:type="spellEnd"/>
      <w:r>
        <w:rPr>
          <w:rFonts w:ascii="Arial" w:hAnsi="Arial" w:cs="Arial"/>
          <w:sz w:val="20"/>
          <w:szCs w:val="18"/>
        </w:rPr>
        <w:t xml:space="preserve">, I. I. N. (2018, December). Exploration and identification of potassium solubilizing rhizo-bacteria isolate colony morphology from corn plant rhizosphere that potentially as a potassium solubilizing biofertilizer. </w:t>
      </w:r>
      <w:proofErr w:type="spellStart"/>
      <w:r>
        <w:rPr>
          <w:rStyle w:val="Emphasis"/>
          <w:rFonts w:ascii="Arial" w:hAnsi="Arial" w:cs="Arial"/>
          <w:i w:val="0"/>
          <w:sz w:val="20"/>
          <w:szCs w:val="18"/>
        </w:rPr>
        <w:t>Prosiding</w:t>
      </w:r>
      <w:proofErr w:type="spellEnd"/>
      <w:r>
        <w:rPr>
          <w:rStyle w:val="Emphasis"/>
          <w:rFonts w:ascii="Arial" w:hAnsi="Arial" w:cs="Arial"/>
          <w:i w:val="0"/>
          <w:sz w:val="20"/>
          <w:szCs w:val="18"/>
        </w:rPr>
        <w:t xml:space="preserve"> Seminar Nasional Masyarakat </w:t>
      </w:r>
      <w:proofErr w:type="spellStart"/>
      <w:r>
        <w:rPr>
          <w:rStyle w:val="Emphasis"/>
          <w:rFonts w:ascii="Arial" w:hAnsi="Arial" w:cs="Arial"/>
          <w:i w:val="0"/>
          <w:sz w:val="20"/>
          <w:szCs w:val="18"/>
        </w:rPr>
        <w:t>Biodiversitas</w:t>
      </w:r>
      <w:proofErr w:type="spellEnd"/>
      <w:r>
        <w:rPr>
          <w:rStyle w:val="Emphasis"/>
          <w:rFonts w:ascii="Arial" w:hAnsi="Arial" w:cs="Arial"/>
          <w:i w:val="0"/>
          <w:sz w:val="20"/>
          <w:szCs w:val="18"/>
        </w:rPr>
        <w:t xml:space="preserve"> Indonesia</w:t>
      </w:r>
      <w:r>
        <w:rPr>
          <w:rFonts w:ascii="Arial" w:hAnsi="Arial" w:cs="Arial"/>
          <w:sz w:val="20"/>
          <w:szCs w:val="18"/>
        </w:rPr>
        <w:t xml:space="preserve">, </w:t>
      </w:r>
      <w:r>
        <w:rPr>
          <w:rStyle w:val="Emphasis"/>
          <w:rFonts w:ascii="Arial" w:hAnsi="Arial" w:cs="Arial"/>
          <w:i w:val="0"/>
          <w:sz w:val="20"/>
          <w:szCs w:val="18"/>
        </w:rPr>
        <w:t>4</w:t>
      </w:r>
      <w:r>
        <w:rPr>
          <w:rFonts w:ascii="Arial" w:hAnsi="Arial" w:cs="Arial"/>
          <w:sz w:val="20"/>
          <w:szCs w:val="18"/>
        </w:rPr>
        <w:t>(2), 178–183.</w:t>
      </w:r>
    </w:p>
    <w:p>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Hidayatulloh</w:t>
      </w:r>
      <w:proofErr w:type="spellEnd"/>
      <w:r>
        <w:rPr>
          <w:rFonts w:ascii="Arial" w:hAnsi="Arial" w:cs="Arial"/>
          <w:sz w:val="20"/>
          <w:szCs w:val="18"/>
        </w:rPr>
        <w:t xml:space="preserve">, A., </w:t>
      </w:r>
      <w:proofErr w:type="spellStart"/>
      <w:r>
        <w:rPr>
          <w:rFonts w:ascii="Arial" w:hAnsi="Arial" w:cs="Arial"/>
          <w:sz w:val="20"/>
          <w:szCs w:val="18"/>
        </w:rPr>
        <w:t>Yahdiyani</w:t>
      </w:r>
      <w:proofErr w:type="spellEnd"/>
      <w:r>
        <w:rPr>
          <w:rFonts w:ascii="Arial" w:hAnsi="Arial" w:cs="Arial"/>
          <w:sz w:val="20"/>
          <w:szCs w:val="18"/>
        </w:rPr>
        <w:t xml:space="preserve">, N., &amp; Nurhayati, L. S. (2022). </w:t>
      </w:r>
      <w:proofErr w:type="spellStart"/>
      <w:r>
        <w:rPr>
          <w:rFonts w:ascii="Arial" w:hAnsi="Arial" w:cs="Arial"/>
          <w:sz w:val="20"/>
          <w:szCs w:val="18"/>
        </w:rPr>
        <w:t>Isolasi</w:t>
      </w:r>
      <w:proofErr w:type="spellEnd"/>
      <w:r>
        <w:rPr>
          <w:rFonts w:ascii="Arial" w:hAnsi="Arial" w:cs="Arial"/>
          <w:sz w:val="20"/>
          <w:szCs w:val="18"/>
        </w:rPr>
        <w:t xml:space="preserve"> dan </w:t>
      </w:r>
      <w:proofErr w:type="spellStart"/>
      <w:r>
        <w:rPr>
          <w:rFonts w:ascii="Arial" w:hAnsi="Arial" w:cs="Arial"/>
          <w:sz w:val="20"/>
          <w:szCs w:val="18"/>
        </w:rPr>
        <w:t>seleksi</w:t>
      </w:r>
      <w:proofErr w:type="spellEnd"/>
      <w:r>
        <w:rPr>
          <w:rFonts w:ascii="Arial" w:hAnsi="Arial" w:cs="Arial"/>
          <w:sz w:val="20"/>
          <w:szCs w:val="18"/>
        </w:rPr>
        <w:t xml:space="preserve"> </w:t>
      </w:r>
      <w:proofErr w:type="spellStart"/>
      <w:r>
        <w:rPr>
          <w:rFonts w:ascii="Arial" w:hAnsi="Arial" w:cs="Arial"/>
          <w:sz w:val="20"/>
          <w:szCs w:val="18"/>
        </w:rPr>
        <w:t>bakteri</w:t>
      </w:r>
      <w:proofErr w:type="spellEnd"/>
      <w:r>
        <w:rPr>
          <w:rFonts w:ascii="Arial" w:hAnsi="Arial" w:cs="Arial"/>
          <w:sz w:val="20"/>
          <w:szCs w:val="18"/>
        </w:rPr>
        <w:t xml:space="preserve"> </w:t>
      </w:r>
      <w:proofErr w:type="spellStart"/>
      <w:r>
        <w:rPr>
          <w:rFonts w:ascii="Arial" w:hAnsi="Arial" w:cs="Arial"/>
          <w:sz w:val="20"/>
          <w:szCs w:val="18"/>
        </w:rPr>
        <w:t>kandidat</w:t>
      </w:r>
      <w:proofErr w:type="spellEnd"/>
      <w:r>
        <w:rPr>
          <w:rFonts w:ascii="Arial" w:hAnsi="Arial" w:cs="Arial"/>
          <w:sz w:val="20"/>
          <w:szCs w:val="18"/>
        </w:rPr>
        <w:t xml:space="preserve"> </w:t>
      </w:r>
      <w:proofErr w:type="spellStart"/>
      <w:r>
        <w:rPr>
          <w:rFonts w:ascii="Arial" w:hAnsi="Arial" w:cs="Arial"/>
          <w:sz w:val="20"/>
          <w:szCs w:val="18"/>
        </w:rPr>
        <w:t>selulolitik</w:t>
      </w:r>
      <w:proofErr w:type="spellEnd"/>
      <w:r>
        <w:rPr>
          <w:rFonts w:ascii="Arial" w:hAnsi="Arial" w:cs="Arial"/>
          <w:sz w:val="20"/>
          <w:szCs w:val="18"/>
        </w:rPr>
        <w:t xml:space="preserve"> </w:t>
      </w:r>
      <w:proofErr w:type="spellStart"/>
      <w:r>
        <w:rPr>
          <w:rFonts w:ascii="Arial" w:hAnsi="Arial" w:cs="Arial"/>
          <w:sz w:val="20"/>
          <w:szCs w:val="18"/>
        </w:rPr>
        <w:t>dari</w:t>
      </w:r>
      <w:proofErr w:type="spellEnd"/>
      <w:r>
        <w:rPr>
          <w:rFonts w:ascii="Arial" w:hAnsi="Arial" w:cs="Arial"/>
          <w:sz w:val="20"/>
          <w:szCs w:val="18"/>
        </w:rPr>
        <w:t xml:space="preserve"> proses </w:t>
      </w:r>
      <w:proofErr w:type="spellStart"/>
      <w:r>
        <w:rPr>
          <w:rFonts w:ascii="Arial" w:hAnsi="Arial" w:cs="Arial"/>
          <w:sz w:val="20"/>
          <w:szCs w:val="18"/>
        </w:rPr>
        <w:t>pembuatan</w:t>
      </w:r>
      <w:proofErr w:type="spellEnd"/>
      <w:r>
        <w:rPr>
          <w:rFonts w:ascii="Arial" w:hAnsi="Arial" w:cs="Arial"/>
          <w:sz w:val="20"/>
          <w:szCs w:val="18"/>
        </w:rPr>
        <w:t xml:space="preserve"> </w:t>
      </w:r>
      <w:proofErr w:type="spellStart"/>
      <w:r>
        <w:rPr>
          <w:rFonts w:ascii="Arial" w:hAnsi="Arial" w:cs="Arial"/>
          <w:sz w:val="20"/>
          <w:szCs w:val="18"/>
        </w:rPr>
        <w:t>pupuk</w:t>
      </w:r>
      <w:proofErr w:type="spellEnd"/>
      <w:r>
        <w:rPr>
          <w:rFonts w:ascii="Arial" w:hAnsi="Arial" w:cs="Arial"/>
          <w:sz w:val="20"/>
          <w:szCs w:val="18"/>
        </w:rPr>
        <w:t xml:space="preserve"> organik pada pengolahan limbah peternakan. </w:t>
      </w:r>
      <w:r>
        <w:rPr>
          <w:rStyle w:val="Emphasis"/>
          <w:rFonts w:ascii="Arial" w:hAnsi="Arial" w:cs="Arial"/>
          <w:i w:val="0"/>
          <w:sz w:val="20"/>
          <w:szCs w:val="18"/>
        </w:rPr>
        <w:t>Jurnal Teknologi Hasil Peternakan</w:t>
      </w:r>
      <w:r>
        <w:rPr>
          <w:rFonts w:ascii="Arial" w:hAnsi="Arial" w:cs="Arial"/>
          <w:sz w:val="20"/>
          <w:szCs w:val="18"/>
        </w:rPr>
        <w:t xml:space="preserve">, </w:t>
      </w:r>
      <w:r>
        <w:rPr>
          <w:rStyle w:val="Emphasis"/>
          <w:rFonts w:ascii="Arial" w:hAnsi="Arial" w:cs="Arial"/>
          <w:i w:val="0"/>
          <w:sz w:val="20"/>
          <w:szCs w:val="18"/>
        </w:rPr>
        <w:t>3</w:t>
      </w:r>
      <w:r>
        <w:rPr>
          <w:rFonts w:ascii="Arial" w:hAnsi="Arial" w:cs="Arial"/>
          <w:sz w:val="20"/>
          <w:szCs w:val="18"/>
        </w:rPr>
        <w:t>(2), 65–72.</w:t>
      </w:r>
    </w:p>
    <w:p>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Juliasih</w:t>
      </w:r>
      <w:proofErr w:type="spellEnd"/>
      <w:r>
        <w:rPr>
          <w:rFonts w:ascii="Arial" w:hAnsi="Arial" w:cs="Arial"/>
          <w:sz w:val="20"/>
          <w:szCs w:val="18"/>
        </w:rPr>
        <w:t xml:space="preserve">, N. L. G. R., </w:t>
      </w:r>
      <w:proofErr w:type="spellStart"/>
      <w:r>
        <w:rPr>
          <w:rFonts w:ascii="Arial" w:hAnsi="Arial" w:cs="Arial"/>
          <w:sz w:val="20"/>
          <w:szCs w:val="18"/>
        </w:rPr>
        <w:t>Ratria</w:t>
      </w:r>
      <w:proofErr w:type="spellEnd"/>
      <w:r>
        <w:rPr>
          <w:rFonts w:ascii="Arial" w:hAnsi="Arial" w:cs="Arial"/>
          <w:sz w:val="20"/>
          <w:szCs w:val="18"/>
        </w:rPr>
        <w:t xml:space="preserve">, L. M., Setiawan, A., Rilyanti, M., </w:t>
      </w:r>
      <w:proofErr w:type="spellStart"/>
      <w:r>
        <w:rPr>
          <w:rFonts w:ascii="Arial" w:hAnsi="Arial" w:cs="Arial"/>
          <w:sz w:val="20"/>
          <w:szCs w:val="18"/>
        </w:rPr>
        <w:t>Rinawati</w:t>
      </w:r>
      <w:proofErr w:type="spellEnd"/>
      <w:r>
        <w:rPr>
          <w:rFonts w:ascii="Arial" w:hAnsi="Arial" w:cs="Arial"/>
          <w:sz w:val="20"/>
          <w:szCs w:val="18"/>
        </w:rPr>
        <w:t xml:space="preserve">, R., </w:t>
      </w:r>
      <w:proofErr w:type="spellStart"/>
      <w:r>
        <w:rPr>
          <w:rFonts w:ascii="Arial" w:hAnsi="Arial" w:cs="Arial"/>
          <w:sz w:val="20"/>
          <w:szCs w:val="18"/>
        </w:rPr>
        <w:t>Kiswandono</w:t>
      </w:r>
      <w:proofErr w:type="spellEnd"/>
      <w:r>
        <w:rPr>
          <w:rFonts w:ascii="Arial" w:hAnsi="Arial" w:cs="Arial"/>
          <w:sz w:val="20"/>
          <w:szCs w:val="18"/>
        </w:rPr>
        <w:t xml:space="preserve">, A. A., &amp; </w:t>
      </w:r>
      <w:proofErr w:type="spellStart"/>
      <w:r>
        <w:rPr>
          <w:rFonts w:ascii="Arial" w:hAnsi="Arial" w:cs="Arial"/>
          <w:sz w:val="20"/>
          <w:szCs w:val="18"/>
        </w:rPr>
        <w:t>Kurniawati</w:t>
      </w:r>
      <w:proofErr w:type="spellEnd"/>
      <w:r>
        <w:rPr>
          <w:rFonts w:ascii="Arial" w:hAnsi="Arial" w:cs="Arial"/>
          <w:sz w:val="20"/>
          <w:szCs w:val="18"/>
        </w:rPr>
        <w:t xml:space="preserve">, F. (2024). Nessler method verification for determining ammonia in shrimp pond wastewater and its application in the ammonia adsorption test with Lampung natural zeolite. ALCHEMY: Jurnal Penelitian Kimia, 20(2), 257–266. </w:t>
      </w:r>
      <w:hyperlink r:id="rId15" w:history="1">
        <w:r>
          <w:rPr>
            <w:rStyle w:val="Hyperlink"/>
            <w:rFonts w:ascii="Arial" w:hAnsi="Arial" w:cs="Arial"/>
            <w:color w:val="auto"/>
            <w:sz w:val="20"/>
            <w:szCs w:val="18"/>
          </w:rPr>
          <w:t>https://doi.org/10.20961/alchemy.20.2.72456.257-266</w:t>
        </w:r>
      </w:hyperlink>
    </w:p>
    <w:p>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Kawalekar</w:t>
      </w:r>
      <w:proofErr w:type="spellEnd"/>
      <w:r>
        <w:rPr>
          <w:rFonts w:ascii="Arial" w:hAnsi="Arial" w:cs="Arial"/>
          <w:sz w:val="20"/>
          <w:szCs w:val="18"/>
        </w:rPr>
        <w:t xml:space="preserve">, J. S. (2013). Role of biofertilizers and biopesticides for sustainable agriculture. </w:t>
      </w:r>
      <w:r>
        <w:rPr>
          <w:rStyle w:val="Emphasis"/>
          <w:rFonts w:ascii="Arial" w:hAnsi="Arial" w:cs="Arial"/>
          <w:i w:val="0"/>
          <w:sz w:val="20"/>
          <w:szCs w:val="18"/>
        </w:rPr>
        <w:t xml:space="preserve">J Bio </w:t>
      </w:r>
      <w:proofErr w:type="spellStart"/>
      <w:r>
        <w:rPr>
          <w:rStyle w:val="Emphasis"/>
          <w:rFonts w:ascii="Arial" w:hAnsi="Arial" w:cs="Arial"/>
          <w:i w:val="0"/>
          <w:sz w:val="20"/>
          <w:szCs w:val="18"/>
        </w:rPr>
        <w:t>Innov</w:t>
      </w:r>
      <w:proofErr w:type="spellEnd"/>
      <w:r>
        <w:rPr>
          <w:rFonts w:ascii="Arial" w:hAnsi="Arial" w:cs="Arial"/>
          <w:sz w:val="20"/>
          <w:szCs w:val="18"/>
        </w:rPr>
        <w:t xml:space="preserve">, </w:t>
      </w:r>
      <w:r>
        <w:rPr>
          <w:rStyle w:val="Emphasis"/>
          <w:rFonts w:ascii="Arial" w:hAnsi="Arial" w:cs="Arial"/>
          <w:i w:val="0"/>
          <w:sz w:val="20"/>
          <w:szCs w:val="18"/>
        </w:rPr>
        <w:t>2</w:t>
      </w:r>
      <w:r>
        <w:rPr>
          <w:rFonts w:ascii="Arial" w:hAnsi="Arial" w:cs="Arial"/>
          <w:sz w:val="20"/>
          <w:szCs w:val="18"/>
        </w:rPr>
        <w:t>(3), 73–78.</w:t>
      </w:r>
    </w:p>
    <w:p>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Kiyasudeen</w:t>
      </w:r>
      <w:proofErr w:type="spellEnd"/>
      <w:r>
        <w:rPr>
          <w:rFonts w:ascii="Arial" w:hAnsi="Arial" w:cs="Arial"/>
          <w:sz w:val="20"/>
          <w:szCs w:val="18"/>
        </w:rPr>
        <w:t xml:space="preserve">, K. S., Ibrahim, M. H., </w:t>
      </w:r>
      <w:proofErr w:type="spellStart"/>
      <w:r>
        <w:rPr>
          <w:rFonts w:ascii="Arial" w:hAnsi="Arial" w:cs="Arial"/>
          <w:sz w:val="20"/>
          <w:szCs w:val="18"/>
        </w:rPr>
        <w:t>Quaik</w:t>
      </w:r>
      <w:proofErr w:type="spellEnd"/>
      <w:r>
        <w:rPr>
          <w:rFonts w:ascii="Arial" w:hAnsi="Arial" w:cs="Arial"/>
          <w:sz w:val="20"/>
          <w:szCs w:val="18"/>
        </w:rPr>
        <w:t xml:space="preserve">, S., Ahmed Ismail, S., S, K. K., Ibrahim, M. H., ... &amp; Ismail, S. A. (2016). Introduction to organic wastes and its management. In </w:t>
      </w:r>
      <w:r>
        <w:rPr>
          <w:rStyle w:val="Emphasis"/>
          <w:rFonts w:ascii="Arial" w:hAnsi="Arial" w:cs="Arial"/>
          <w:i w:val="0"/>
          <w:sz w:val="20"/>
          <w:szCs w:val="18"/>
        </w:rPr>
        <w:t>Prospects of organic waste management and the significance of earthworms</w:t>
      </w:r>
      <w:r>
        <w:rPr>
          <w:rFonts w:ascii="Arial" w:hAnsi="Arial" w:cs="Arial"/>
          <w:sz w:val="20"/>
          <w:szCs w:val="18"/>
        </w:rPr>
        <w:t xml:space="preserve"> (pp. 1–21).</w:t>
      </w:r>
    </w:p>
    <w:p>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Mirahsanti</w:t>
      </w:r>
      <w:proofErr w:type="spellEnd"/>
      <w:r>
        <w:rPr>
          <w:rFonts w:ascii="Arial" w:hAnsi="Arial" w:cs="Arial"/>
          <w:sz w:val="20"/>
          <w:szCs w:val="18"/>
        </w:rPr>
        <w:t xml:space="preserve">, N. P. N., </w:t>
      </w:r>
      <w:proofErr w:type="spellStart"/>
      <w:r>
        <w:rPr>
          <w:rFonts w:ascii="Arial" w:hAnsi="Arial" w:cs="Arial"/>
          <w:sz w:val="20"/>
          <w:szCs w:val="18"/>
        </w:rPr>
        <w:t>Suarjana</w:t>
      </w:r>
      <w:proofErr w:type="spellEnd"/>
      <w:r>
        <w:rPr>
          <w:rFonts w:ascii="Arial" w:hAnsi="Arial" w:cs="Arial"/>
          <w:sz w:val="20"/>
          <w:szCs w:val="18"/>
        </w:rPr>
        <w:t xml:space="preserve">, I. G. K., &amp; </w:t>
      </w:r>
      <w:proofErr w:type="spellStart"/>
      <w:r>
        <w:rPr>
          <w:rFonts w:ascii="Arial" w:hAnsi="Arial" w:cs="Arial"/>
          <w:sz w:val="20"/>
          <w:szCs w:val="18"/>
        </w:rPr>
        <w:t>Besung</w:t>
      </w:r>
      <w:proofErr w:type="spellEnd"/>
      <w:r>
        <w:rPr>
          <w:rFonts w:ascii="Arial" w:hAnsi="Arial" w:cs="Arial"/>
          <w:sz w:val="20"/>
          <w:szCs w:val="18"/>
        </w:rPr>
        <w:t xml:space="preserve">, I. N. K. (2022). Angka lempeng total bakteri dan pH pada cairan rumen sapi bali jantan yang </w:t>
      </w:r>
      <w:proofErr w:type="spellStart"/>
      <w:r>
        <w:rPr>
          <w:rFonts w:ascii="Arial" w:hAnsi="Arial" w:cs="Arial"/>
          <w:sz w:val="20"/>
          <w:szCs w:val="18"/>
        </w:rPr>
        <w:t>dipotong</w:t>
      </w:r>
      <w:proofErr w:type="spellEnd"/>
      <w:r>
        <w:rPr>
          <w:rFonts w:ascii="Arial" w:hAnsi="Arial" w:cs="Arial"/>
          <w:sz w:val="20"/>
          <w:szCs w:val="18"/>
        </w:rPr>
        <w:t xml:space="preserve"> di </w:t>
      </w:r>
      <w:proofErr w:type="spellStart"/>
      <w:r>
        <w:rPr>
          <w:rFonts w:ascii="Arial" w:hAnsi="Arial" w:cs="Arial"/>
          <w:sz w:val="20"/>
          <w:szCs w:val="18"/>
        </w:rPr>
        <w:t>rumah</w:t>
      </w:r>
      <w:proofErr w:type="spellEnd"/>
      <w:r>
        <w:rPr>
          <w:rFonts w:ascii="Arial" w:hAnsi="Arial" w:cs="Arial"/>
          <w:sz w:val="20"/>
          <w:szCs w:val="18"/>
        </w:rPr>
        <w:t xml:space="preserve"> </w:t>
      </w:r>
      <w:proofErr w:type="spellStart"/>
      <w:r>
        <w:rPr>
          <w:rFonts w:ascii="Arial" w:hAnsi="Arial" w:cs="Arial"/>
          <w:sz w:val="20"/>
          <w:szCs w:val="18"/>
        </w:rPr>
        <w:t>pemotongan</w:t>
      </w:r>
      <w:proofErr w:type="spellEnd"/>
      <w:r>
        <w:rPr>
          <w:rFonts w:ascii="Arial" w:hAnsi="Arial" w:cs="Arial"/>
          <w:sz w:val="20"/>
          <w:szCs w:val="18"/>
        </w:rPr>
        <w:t xml:space="preserve"> </w:t>
      </w:r>
      <w:proofErr w:type="spellStart"/>
      <w:r>
        <w:rPr>
          <w:rFonts w:ascii="Arial" w:hAnsi="Arial" w:cs="Arial"/>
          <w:sz w:val="20"/>
          <w:szCs w:val="18"/>
        </w:rPr>
        <w:t>hewan</w:t>
      </w:r>
      <w:proofErr w:type="spellEnd"/>
      <w:r>
        <w:rPr>
          <w:rFonts w:ascii="Arial" w:hAnsi="Arial" w:cs="Arial"/>
          <w:sz w:val="20"/>
          <w:szCs w:val="18"/>
        </w:rPr>
        <w:t xml:space="preserve"> </w:t>
      </w:r>
      <w:proofErr w:type="spellStart"/>
      <w:r>
        <w:rPr>
          <w:rFonts w:ascii="Arial" w:hAnsi="Arial" w:cs="Arial"/>
          <w:sz w:val="20"/>
          <w:szCs w:val="18"/>
        </w:rPr>
        <w:t>pesanggaran</w:t>
      </w:r>
      <w:proofErr w:type="spellEnd"/>
      <w:r>
        <w:rPr>
          <w:rFonts w:ascii="Arial" w:hAnsi="Arial" w:cs="Arial"/>
          <w:sz w:val="20"/>
          <w:szCs w:val="18"/>
        </w:rPr>
        <w:t xml:space="preserve">. </w:t>
      </w:r>
      <w:proofErr w:type="spellStart"/>
      <w:r>
        <w:rPr>
          <w:rStyle w:val="Emphasis"/>
          <w:rFonts w:ascii="Arial" w:hAnsi="Arial" w:cs="Arial"/>
          <w:i w:val="0"/>
          <w:sz w:val="20"/>
          <w:szCs w:val="18"/>
        </w:rPr>
        <w:t>Buletin</w:t>
      </w:r>
      <w:proofErr w:type="spellEnd"/>
      <w:r>
        <w:rPr>
          <w:rStyle w:val="Emphasis"/>
          <w:rFonts w:ascii="Arial" w:hAnsi="Arial" w:cs="Arial"/>
          <w:i w:val="0"/>
          <w:sz w:val="20"/>
          <w:szCs w:val="18"/>
        </w:rPr>
        <w:t xml:space="preserve"> </w:t>
      </w:r>
      <w:proofErr w:type="spellStart"/>
      <w:r>
        <w:rPr>
          <w:rStyle w:val="Emphasis"/>
          <w:rFonts w:ascii="Arial" w:hAnsi="Arial" w:cs="Arial"/>
          <w:i w:val="0"/>
          <w:sz w:val="20"/>
          <w:szCs w:val="18"/>
        </w:rPr>
        <w:t>Veteriner</w:t>
      </w:r>
      <w:proofErr w:type="spellEnd"/>
      <w:r>
        <w:rPr>
          <w:rStyle w:val="Emphasis"/>
          <w:rFonts w:ascii="Arial" w:hAnsi="Arial" w:cs="Arial"/>
          <w:i w:val="0"/>
          <w:sz w:val="20"/>
          <w:szCs w:val="18"/>
        </w:rPr>
        <w:t xml:space="preserve"> </w:t>
      </w:r>
      <w:proofErr w:type="spellStart"/>
      <w:r>
        <w:rPr>
          <w:rStyle w:val="Emphasis"/>
          <w:rFonts w:ascii="Arial" w:hAnsi="Arial" w:cs="Arial"/>
          <w:i w:val="0"/>
          <w:sz w:val="20"/>
          <w:szCs w:val="18"/>
        </w:rPr>
        <w:t>Udayana</w:t>
      </w:r>
      <w:proofErr w:type="spellEnd"/>
      <w:r>
        <w:rPr>
          <w:rFonts w:ascii="Arial" w:hAnsi="Arial" w:cs="Arial"/>
          <w:sz w:val="20"/>
          <w:szCs w:val="18"/>
        </w:rPr>
        <w:t xml:space="preserve">, </w:t>
      </w:r>
      <w:r>
        <w:rPr>
          <w:rStyle w:val="Emphasis"/>
          <w:rFonts w:ascii="Arial" w:hAnsi="Arial" w:cs="Arial"/>
          <w:i w:val="0"/>
          <w:sz w:val="20"/>
          <w:szCs w:val="18"/>
        </w:rPr>
        <w:t>4</w:t>
      </w:r>
      <w:r>
        <w:rPr>
          <w:rFonts w:ascii="Arial" w:hAnsi="Arial" w:cs="Arial"/>
          <w:sz w:val="20"/>
          <w:szCs w:val="18"/>
        </w:rPr>
        <w:t>(5), 446–451.</w:t>
      </w:r>
    </w:p>
    <w:p>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Oviedo-Ocaña, E. R., Soto-Paz, J., Domínguez, I., Sanchez-Torres, V., &amp; </w:t>
      </w:r>
      <w:proofErr w:type="spellStart"/>
      <w:r>
        <w:rPr>
          <w:rFonts w:ascii="Arial" w:hAnsi="Arial" w:cs="Arial"/>
          <w:sz w:val="20"/>
          <w:szCs w:val="18"/>
        </w:rPr>
        <w:t>Komilis</w:t>
      </w:r>
      <w:proofErr w:type="spellEnd"/>
      <w:r>
        <w:rPr>
          <w:rFonts w:ascii="Arial" w:hAnsi="Arial" w:cs="Arial"/>
          <w:sz w:val="20"/>
          <w:szCs w:val="18"/>
        </w:rPr>
        <w:t xml:space="preserve">, D. (2022). A systematic review on the application of bacterial inoculants and microbial consortia during green waste composting. </w:t>
      </w:r>
      <w:r>
        <w:rPr>
          <w:rStyle w:val="Emphasis"/>
          <w:rFonts w:ascii="Arial" w:hAnsi="Arial" w:cs="Arial"/>
          <w:i w:val="0"/>
          <w:sz w:val="20"/>
          <w:szCs w:val="18"/>
        </w:rPr>
        <w:t>Waste and Biomass Valorization</w:t>
      </w:r>
      <w:r>
        <w:rPr>
          <w:rFonts w:ascii="Arial" w:hAnsi="Arial" w:cs="Arial"/>
          <w:sz w:val="20"/>
          <w:szCs w:val="18"/>
        </w:rPr>
        <w:t xml:space="preserve">, </w:t>
      </w:r>
      <w:r>
        <w:rPr>
          <w:rStyle w:val="Emphasis"/>
          <w:rFonts w:ascii="Arial" w:hAnsi="Arial" w:cs="Arial"/>
          <w:i w:val="0"/>
          <w:sz w:val="20"/>
          <w:szCs w:val="18"/>
        </w:rPr>
        <w:t>13</w:t>
      </w:r>
      <w:r>
        <w:rPr>
          <w:rFonts w:ascii="Arial" w:hAnsi="Arial" w:cs="Arial"/>
          <w:sz w:val="20"/>
          <w:szCs w:val="18"/>
        </w:rPr>
        <w:t>(8), 3423–3444.</w:t>
      </w:r>
    </w:p>
    <w:p>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Safika, S., </w:t>
      </w:r>
      <w:proofErr w:type="spellStart"/>
      <w:r>
        <w:rPr>
          <w:rFonts w:ascii="Arial" w:hAnsi="Arial" w:cs="Arial"/>
          <w:sz w:val="20"/>
          <w:szCs w:val="18"/>
        </w:rPr>
        <w:t>Matondang</w:t>
      </w:r>
      <w:proofErr w:type="spellEnd"/>
      <w:r>
        <w:rPr>
          <w:rFonts w:ascii="Arial" w:hAnsi="Arial" w:cs="Arial"/>
          <w:sz w:val="20"/>
          <w:szCs w:val="18"/>
        </w:rPr>
        <w:t xml:space="preserve">, S. W., </w:t>
      </w:r>
      <w:proofErr w:type="spellStart"/>
      <w:r>
        <w:rPr>
          <w:rFonts w:ascii="Arial" w:hAnsi="Arial" w:cs="Arial"/>
          <w:sz w:val="20"/>
          <w:szCs w:val="18"/>
        </w:rPr>
        <w:t>Darmawi</w:t>
      </w:r>
      <w:proofErr w:type="spellEnd"/>
      <w:r>
        <w:rPr>
          <w:rFonts w:ascii="Arial" w:hAnsi="Arial" w:cs="Arial"/>
          <w:sz w:val="20"/>
          <w:szCs w:val="18"/>
        </w:rPr>
        <w:t xml:space="preserve">, D., </w:t>
      </w:r>
      <w:proofErr w:type="spellStart"/>
      <w:r>
        <w:rPr>
          <w:rFonts w:ascii="Arial" w:hAnsi="Arial" w:cs="Arial"/>
          <w:sz w:val="20"/>
          <w:szCs w:val="18"/>
        </w:rPr>
        <w:t>Abral</w:t>
      </w:r>
      <w:proofErr w:type="spellEnd"/>
      <w:r>
        <w:rPr>
          <w:rFonts w:ascii="Arial" w:hAnsi="Arial" w:cs="Arial"/>
          <w:sz w:val="20"/>
          <w:szCs w:val="18"/>
        </w:rPr>
        <w:t xml:space="preserve">, M., Erina, E., &amp; Jalaluddin, M. (2017). Total colony of </w:t>
      </w:r>
      <w:proofErr w:type="spellStart"/>
      <w:r>
        <w:rPr>
          <w:rFonts w:ascii="Arial" w:hAnsi="Arial" w:cs="Arial"/>
          <w:sz w:val="20"/>
          <w:szCs w:val="18"/>
        </w:rPr>
        <w:t>cellulolitic</w:t>
      </w:r>
      <w:proofErr w:type="spellEnd"/>
      <w:r>
        <w:rPr>
          <w:rFonts w:ascii="Arial" w:hAnsi="Arial" w:cs="Arial"/>
          <w:sz w:val="20"/>
          <w:szCs w:val="18"/>
        </w:rPr>
        <w:t xml:space="preserve"> bacteria in the rumen of aceh cattle. </w:t>
      </w:r>
      <w:proofErr w:type="spellStart"/>
      <w:r>
        <w:rPr>
          <w:rStyle w:val="Emphasis"/>
          <w:rFonts w:ascii="Arial" w:hAnsi="Arial" w:cs="Arial"/>
          <w:i w:val="0"/>
          <w:sz w:val="20"/>
          <w:szCs w:val="18"/>
        </w:rPr>
        <w:t>Jurnal</w:t>
      </w:r>
      <w:proofErr w:type="spellEnd"/>
      <w:r>
        <w:rPr>
          <w:rStyle w:val="Emphasis"/>
          <w:rFonts w:ascii="Arial" w:hAnsi="Arial" w:cs="Arial"/>
          <w:i w:val="0"/>
          <w:sz w:val="20"/>
          <w:szCs w:val="18"/>
        </w:rPr>
        <w:t xml:space="preserve"> </w:t>
      </w:r>
      <w:proofErr w:type="spellStart"/>
      <w:r>
        <w:rPr>
          <w:rStyle w:val="Emphasis"/>
          <w:rFonts w:ascii="Arial" w:hAnsi="Arial" w:cs="Arial"/>
          <w:i w:val="0"/>
          <w:sz w:val="20"/>
          <w:szCs w:val="18"/>
        </w:rPr>
        <w:t>Medika</w:t>
      </w:r>
      <w:proofErr w:type="spellEnd"/>
      <w:r>
        <w:rPr>
          <w:rStyle w:val="Emphasis"/>
          <w:rFonts w:ascii="Arial" w:hAnsi="Arial" w:cs="Arial"/>
          <w:i w:val="0"/>
          <w:sz w:val="20"/>
          <w:szCs w:val="18"/>
        </w:rPr>
        <w:t xml:space="preserve"> </w:t>
      </w:r>
      <w:proofErr w:type="spellStart"/>
      <w:r>
        <w:rPr>
          <w:rStyle w:val="Emphasis"/>
          <w:rFonts w:ascii="Arial" w:hAnsi="Arial" w:cs="Arial"/>
          <w:i w:val="0"/>
          <w:sz w:val="20"/>
          <w:szCs w:val="18"/>
        </w:rPr>
        <w:t>Veterinaria</w:t>
      </w:r>
      <w:proofErr w:type="spellEnd"/>
      <w:r>
        <w:rPr>
          <w:rFonts w:ascii="Arial" w:hAnsi="Arial" w:cs="Arial"/>
          <w:sz w:val="20"/>
          <w:szCs w:val="18"/>
        </w:rPr>
        <w:t xml:space="preserve">, </w:t>
      </w:r>
      <w:r>
        <w:rPr>
          <w:rStyle w:val="Emphasis"/>
          <w:rFonts w:ascii="Arial" w:hAnsi="Arial" w:cs="Arial"/>
          <w:i w:val="0"/>
          <w:sz w:val="20"/>
          <w:szCs w:val="18"/>
        </w:rPr>
        <w:t>11</w:t>
      </w:r>
      <w:r>
        <w:rPr>
          <w:rFonts w:ascii="Arial" w:hAnsi="Arial" w:cs="Arial"/>
          <w:sz w:val="20"/>
          <w:szCs w:val="18"/>
        </w:rPr>
        <w:t>(1), 51–58.</w:t>
      </w:r>
    </w:p>
    <w:p>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Senadheera</w:t>
      </w:r>
      <w:proofErr w:type="spellEnd"/>
      <w:r>
        <w:rPr>
          <w:rFonts w:ascii="Arial" w:hAnsi="Arial" w:cs="Arial"/>
          <w:sz w:val="20"/>
          <w:szCs w:val="18"/>
        </w:rPr>
        <w:t xml:space="preserve">, U. E., </w:t>
      </w:r>
      <w:proofErr w:type="spellStart"/>
      <w:r>
        <w:rPr>
          <w:rFonts w:ascii="Arial" w:hAnsi="Arial" w:cs="Arial"/>
          <w:sz w:val="20"/>
          <w:szCs w:val="18"/>
        </w:rPr>
        <w:t>Jayasanka</w:t>
      </w:r>
      <w:proofErr w:type="spellEnd"/>
      <w:r>
        <w:rPr>
          <w:rFonts w:ascii="Arial" w:hAnsi="Arial" w:cs="Arial"/>
          <w:sz w:val="20"/>
          <w:szCs w:val="18"/>
        </w:rPr>
        <w:t xml:space="preserve">, J., Udayanga, D., </w:t>
      </w:r>
      <w:proofErr w:type="spellStart"/>
      <w:r>
        <w:rPr>
          <w:rFonts w:ascii="Arial" w:hAnsi="Arial" w:cs="Arial"/>
          <w:sz w:val="20"/>
          <w:szCs w:val="18"/>
        </w:rPr>
        <w:t>Hewawasam</w:t>
      </w:r>
      <w:proofErr w:type="spellEnd"/>
      <w:r>
        <w:rPr>
          <w:rFonts w:ascii="Arial" w:hAnsi="Arial" w:cs="Arial"/>
          <w:sz w:val="20"/>
          <w:szCs w:val="18"/>
        </w:rPr>
        <w:t xml:space="preserve">, C., Amila, B., Takimoto, Y., ... &amp; </w:t>
      </w:r>
      <w:proofErr w:type="spellStart"/>
      <w:r>
        <w:rPr>
          <w:rFonts w:ascii="Arial" w:hAnsi="Arial" w:cs="Arial"/>
          <w:sz w:val="20"/>
          <w:szCs w:val="18"/>
        </w:rPr>
        <w:t>Tadachika</w:t>
      </w:r>
      <w:proofErr w:type="spellEnd"/>
      <w:r>
        <w:rPr>
          <w:rFonts w:ascii="Arial" w:hAnsi="Arial" w:cs="Arial"/>
          <w:sz w:val="20"/>
          <w:szCs w:val="18"/>
        </w:rPr>
        <w:t xml:space="preserve">, N. (2024). Beyond composting basics: A sustainable development goals—Oriented strategic guidance to IoT integration for composting in modern urban ecosystems. </w:t>
      </w:r>
      <w:r>
        <w:rPr>
          <w:rStyle w:val="Emphasis"/>
          <w:rFonts w:ascii="Arial" w:hAnsi="Arial" w:cs="Arial"/>
          <w:i w:val="0"/>
          <w:sz w:val="20"/>
          <w:szCs w:val="18"/>
        </w:rPr>
        <w:t>Sustainability</w:t>
      </w:r>
      <w:r>
        <w:rPr>
          <w:rFonts w:ascii="Arial" w:hAnsi="Arial" w:cs="Arial"/>
          <w:sz w:val="20"/>
          <w:szCs w:val="18"/>
        </w:rPr>
        <w:t xml:space="preserve">, </w:t>
      </w:r>
      <w:r>
        <w:rPr>
          <w:rStyle w:val="Emphasis"/>
          <w:rFonts w:ascii="Arial" w:hAnsi="Arial" w:cs="Arial"/>
          <w:i w:val="0"/>
          <w:sz w:val="20"/>
          <w:szCs w:val="18"/>
        </w:rPr>
        <w:t>16</w:t>
      </w:r>
      <w:r>
        <w:rPr>
          <w:rFonts w:ascii="Arial" w:hAnsi="Arial" w:cs="Arial"/>
          <w:sz w:val="20"/>
          <w:szCs w:val="18"/>
        </w:rPr>
        <w:t>(23), 10332.</w:t>
      </w:r>
    </w:p>
    <w:p>
      <w:pPr>
        <w:pStyle w:val="NormalWeb"/>
        <w:spacing w:before="0" w:beforeAutospacing="0" w:after="0" w:afterAutospacing="0"/>
        <w:ind w:left="567" w:hanging="567"/>
        <w:rPr>
          <w:rFonts w:ascii="Arial" w:hAnsi="Arial" w:cs="Arial"/>
          <w:sz w:val="20"/>
          <w:szCs w:val="18"/>
        </w:rPr>
      </w:pPr>
      <w:r>
        <w:rPr>
          <w:rFonts w:ascii="Arial" w:hAnsi="Arial" w:cs="Arial"/>
          <w:sz w:val="20"/>
          <w:szCs w:val="18"/>
        </w:rPr>
        <w:lastRenderedPageBreak/>
        <w:t xml:space="preserve">Sonia, A. V., &amp; Setiawati, T. C. (2022). Aktivitas bakteri pelarut fosfat terhadap peningkatan ketersediaan fosfat pada tanah masam. </w:t>
      </w:r>
      <w:proofErr w:type="spellStart"/>
      <w:r>
        <w:rPr>
          <w:rStyle w:val="Emphasis"/>
          <w:rFonts w:ascii="Arial" w:hAnsi="Arial" w:cs="Arial"/>
          <w:i w:val="0"/>
          <w:sz w:val="20"/>
          <w:szCs w:val="18"/>
        </w:rPr>
        <w:t>Agrovigor</w:t>
      </w:r>
      <w:proofErr w:type="spellEnd"/>
      <w:r>
        <w:rPr>
          <w:rStyle w:val="Emphasis"/>
          <w:rFonts w:ascii="Arial" w:hAnsi="Arial" w:cs="Arial"/>
          <w:i w:val="0"/>
          <w:sz w:val="20"/>
          <w:szCs w:val="18"/>
        </w:rPr>
        <w:t xml:space="preserve">: </w:t>
      </w:r>
      <w:proofErr w:type="spellStart"/>
      <w:r>
        <w:rPr>
          <w:rStyle w:val="Emphasis"/>
          <w:rFonts w:ascii="Arial" w:hAnsi="Arial" w:cs="Arial"/>
          <w:i w:val="0"/>
          <w:sz w:val="20"/>
          <w:szCs w:val="18"/>
        </w:rPr>
        <w:t>Jurnal</w:t>
      </w:r>
      <w:proofErr w:type="spellEnd"/>
      <w:r>
        <w:rPr>
          <w:rStyle w:val="Emphasis"/>
          <w:rFonts w:ascii="Arial" w:hAnsi="Arial" w:cs="Arial"/>
          <w:i w:val="0"/>
          <w:sz w:val="20"/>
          <w:szCs w:val="18"/>
        </w:rPr>
        <w:t xml:space="preserve"> </w:t>
      </w:r>
      <w:proofErr w:type="spellStart"/>
      <w:r>
        <w:rPr>
          <w:rStyle w:val="Emphasis"/>
          <w:rFonts w:ascii="Arial" w:hAnsi="Arial" w:cs="Arial"/>
          <w:i w:val="0"/>
          <w:sz w:val="20"/>
          <w:szCs w:val="18"/>
        </w:rPr>
        <w:t>Agroekoteknologi</w:t>
      </w:r>
      <w:proofErr w:type="spellEnd"/>
      <w:r>
        <w:rPr>
          <w:rFonts w:ascii="Arial" w:hAnsi="Arial" w:cs="Arial"/>
          <w:sz w:val="20"/>
          <w:szCs w:val="18"/>
        </w:rPr>
        <w:t xml:space="preserve">, </w:t>
      </w:r>
      <w:r>
        <w:rPr>
          <w:rStyle w:val="Emphasis"/>
          <w:rFonts w:ascii="Arial" w:hAnsi="Arial" w:cs="Arial"/>
          <w:i w:val="0"/>
          <w:sz w:val="20"/>
          <w:szCs w:val="18"/>
        </w:rPr>
        <w:t>15</w:t>
      </w:r>
      <w:r>
        <w:rPr>
          <w:rFonts w:ascii="Arial" w:hAnsi="Arial" w:cs="Arial"/>
          <w:sz w:val="20"/>
          <w:szCs w:val="18"/>
        </w:rPr>
        <w:t>(1), 44–53.</w:t>
      </w:r>
    </w:p>
    <w:p>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Tang, A., Haruna, A. O., Majid, N. M. A., &amp; Jalloh, M. B. (2020). Potential PGPR properties of cellulolytic, nitrogen-fixing, phosphate-solubilizing bacteria in rehabilitated tropical forest soil. </w:t>
      </w:r>
      <w:r>
        <w:rPr>
          <w:rStyle w:val="Emphasis"/>
          <w:rFonts w:ascii="Arial" w:hAnsi="Arial" w:cs="Arial"/>
          <w:i w:val="0"/>
          <w:sz w:val="20"/>
          <w:szCs w:val="18"/>
        </w:rPr>
        <w:t>Microorganisms</w:t>
      </w:r>
      <w:r>
        <w:rPr>
          <w:rFonts w:ascii="Arial" w:hAnsi="Arial" w:cs="Arial"/>
          <w:sz w:val="20"/>
          <w:szCs w:val="18"/>
        </w:rPr>
        <w:t xml:space="preserve">, </w:t>
      </w:r>
      <w:r>
        <w:rPr>
          <w:rStyle w:val="Emphasis"/>
          <w:rFonts w:ascii="Arial" w:hAnsi="Arial" w:cs="Arial"/>
          <w:i w:val="0"/>
          <w:sz w:val="20"/>
          <w:szCs w:val="18"/>
        </w:rPr>
        <w:t>8</w:t>
      </w:r>
      <w:r>
        <w:rPr>
          <w:rFonts w:ascii="Arial" w:hAnsi="Arial" w:cs="Arial"/>
          <w:sz w:val="20"/>
          <w:szCs w:val="18"/>
        </w:rPr>
        <w:t>(3), 442.</w:t>
      </w:r>
    </w:p>
    <w:p>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Tarigan</w:t>
      </w:r>
      <w:proofErr w:type="spellEnd"/>
      <w:r>
        <w:rPr>
          <w:rFonts w:ascii="Arial" w:hAnsi="Arial" w:cs="Arial"/>
          <w:sz w:val="20"/>
          <w:szCs w:val="18"/>
        </w:rPr>
        <w:t xml:space="preserve">, R. S., &amp; Jamilah, I. (2013). Seleksi bakteri penambat nitrogen dan penghasil hormon IAA (indole acetic acid) </w:t>
      </w:r>
      <w:proofErr w:type="spellStart"/>
      <w:r>
        <w:rPr>
          <w:rFonts w:ascii="Arial" w:hAnsi="Arial" w:cs="Arial"/>
          <w:sz w:val="20"/>
          <w:szCs w:val="18"/>
        </w:rPr>
        <w:t>dari</w:t>
      </w:r>
      <w:proofErr w:type="spellEnd"/>
      <w:r>
        <w:rPr>
          <w:rFonts w:ascii="Arial" w:hAnsi="Arial" w:cs="Arial"/>
          <w:sz w:val="20"/>
          <w:szCs w:val="18"/>
        </w:rPr>
        <w:t xml:space="preserve"> </w:t>
      </w:r>
      <w:proofErr w:type="spellStart"/>
      <w:r>
        <w:rPr>
          <w:rFonts w:ascii="Arial" w:hAnsi="Arial" w:cs="Arial"/>
          <w:sz w:val="20"/>
          <w:szCs w:val="18"/>
        </w:rPr>
        <w:t>rizosfer</w:t>
      </w:r>
      <w:proofErr w:type="spellEnd"/>
      <w:r>
        <w:rPr>
          <w:rFonts w:ascii="Arial" w:hAnsi="Arial" w:cs="Arial"/>
          <w:sz w:val="20"/>
          <w:szCs w:val="18"/>
        </w:rPr>
        <w:t xml:space="preserve"> </w:t>
      </w:r>
      <w:proofErr w:type="spellStart"/>
      <w:r>
        <w:rPr>
          <w:rFonts w:ascii="Arial" w:hAnsi="Arial" w:cs="Arial"/>
          <w:sz w:val="20"/>
          <w:szCs w:val="18"/>
        </w:rPr>
        <w:t>tanah</w:t>
      </w:r>
      <w:proofErr w:type="spellEnd"/>
      <w:r>
        <w:rPr>
          <w:rFonts w:ascii="Arial" w:hAnsi="Arial" w:cs="Arial"/>
          <w:sz w:val="20"/>
          <w:szCs w:val="18"/>
        </w:rPr>
        <w:t xml:space="preserve"> </w:t>
      </w:r>
      <w:proofErr w:type="spellStart"/>
      <w:r>
        <w:rPr>
          <w:rFonts w:ascii="Arial" w:hAnsi="Arial" w:cs="Arial"/>
          <w:sz w:val="20"/>
          <w:szCs w:val="18"/>
        </w:rPr>
        <w:t>perkebunan</w:t>
      </w:r>
      <w:proofErr w:type="spellEnd"/>
      <w:r>
        <w:rPr>
          <w:rFonts w:ascii="Arial" w:hAnsi="Arial" w:cs="Arial"/>
          <w:sz w:val="20"/>
          <w:szCs w:val="18"/>
        </w:rPr>
        <w:t xml:space="preserve"> </w:t>
      </w:r>
      <w:proofErr w:type="spellStart"/>
      <w:r>
        <w:rPr>
          <w:rFonts w:ascii="Arial" w:hAnsi="Arial" w:cs="Arial"/>
          <w:sz w:val="20"/>
          <w:szCs w:val="18"/>
        </w:rPr>
        <w:t>kedelai</w:t>
      </w:r>
      <w:proofErr w:type="spellEnd"/>
      <w:r>
        <w:rPr>
          <w:rFonts w:ascii="Arial" w:hAnsi="Arial" w:cs="Arial"/>
          <w:sz w:val="20"/>
          <w:szCs w:val="18"/>
        </w:rPr>
        <w:t xml:space="preserve"> (</w:t>
      </w:r>
      <w:r>
        <w:rPr>
          <w:rStyle w:val="Emphasis"/>
          <w:rFonts w:ascii="Arial" w:hAnsi="Arial" w:cs="Arial"/>
          <w:i w:val="0"/>
          <w:sz w:val="20"/>
          <w:szCs w:val="18"/>
        </w:rPr>
        <w:t>Glycine max</w:t>
      </w:r>
      <w:r>
        <w:rPr>
          <w:rFonts w:ascii="Arial" w:hAnsi="Arial" w:cs="Arial"/>
          <w:sz w:val="20"/>
          <w:szCs w:val="18"/>
        </w:rPr>
        <w:t xml:space="preserve"> L.). </w:t>
      </w:r>
      <w:proofErr w:type="spellStart"/>
      <w:r>
        <w:rPr>
          <w:rStyle w:val="Emphasis"/>
          <w:rFonts w:ascii="Arial" w:hAnsi="Arial" w:cs="Arial"/>
          <w:i w:val="0"/>
          <w:sz w:val="20"/>
          <w:szCs w:val="18"/>
        </w:rPr>
        <w:t>Saintia</w:t>
      </w:r>
      <w:proofErr w:type="spellEnd"/>
      <w:r>
        <w:rPr>
          <w:rStyle w:val="Emphasis"/>
          <w:rFonts w:ascii="Arial" w:hAnsi="Arial" w:cs="Arial"/>
          <w:i w:val="0"/>
          <w:sz w:val="20"/>
          <w:szCs w:val="18"/>
        </w:rPr>
        <w:t xml:space="preserve"> </w:t>
      </w:r>
      <w:proofErr w:type="spellStart"/>
      <w:r>
        <w:rPr>
          <w:rStyle w:val="Emphasis"/>
          <w:rFonts w:ascii="Arial" w:hAnsi="Arial" w:cs="Arial"/>
          <w:i w:val="0"/>
          <w:sz w:val="20"/>
          <w:szCs w:val="18"/>
        </w:rPr>
        <w:t>Biologi</w:t>
      </w:r>
      <w:proofErr w:type="spellEnd"/>
      <w:r>
        <w:rPr>
          <w:rFonts w:ascii="Arial" w:hAnsi="Arial" w:cs="Arial"/>
          <w:sz w:val="20"/>
          <w:szCs w:val="18"/>
        </w:rPr>
        <w:t xml:space="preserve">, </w:t>
      </w:r>
      <w:r>
        <w:rPr>
          <w:rStyle w:val="Emphasis"/>
          <w:rFonts w:ascii="Arial" w:hAnsi="Arial" w:cs="Arial"/>
          <w:i w:val="0"/>
          <w:sz w:val="20"/>
          <w:szCs w:val="18"/>
        </w:rPr>
        <w:t>1</w:t>
      </w:r>
      <w:r>
        <w:rPr>
          <w:rFonts w:ascii="Arial" w:hAnsi="Arial" w:cs="Arial"/>
          <w:sz w:val="20"/>
          <w:szCs w:val="18"/>
        </w:rPr>
        <w:t>(2), 42–48.</w:t>
      </w:r>
    </w:p>
    <w:p>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Ullah, H. I., Dickson, R., Mancini, E., </w:t>
      </w:r>
      <w:proofErr w:type="spellStart"/>
      <w:r>
        <w:rPr>
          <w:rFonts w:ascii="Arial" w:hAnsi="Arial" w:cs="Arial"/>
          <w:sz w:val="20"/>
          <w:szCs w:val="18"/>
        </w:rPr>
        <w:t>Malanca</w:t>
      </w:r>
      <w:proofErr w:type="spellEnd"/>
      <w:r>
        <w:rPr>
          <w:rFonts w:ascii="Arial" w:hAnsi="Arial" w:cs="Arial"/>
          <w:sz w:val="20"/>
          <w:szCs w:val="18"/>
        </w:rPr>
        <w:t xml:space="preserve">, A. A., Pinelo, M., &amp; Mansouri, S. S. (2022). An integrated sustainable biorefinery concept towards achieving zero-waste production. </w:t>
      </w:r>
      <w:r>
        <w:rPr>
          <w:rStyle w:val="Emphasis"/>
          <w:rFonts w:ascii="Arial" w:hAnsi="Arial" w:cs="Arial"/>
          <w:i w:val="0"/>
          <w:sz w:val="20"/>
          <w:szCs w:val="18"/>
        </w:rPr>
        <w:t>Journal of Cleaner Production</w:t>
      </w:r>
      <w:r>
        <w:rPr>
          <w:rFonts w:ascii="Arial" w:hAnsi="Arial" w:cs="Arial"/>
          <w:sz w:val="20"/>
          <w:szCs w:val="18"/>
        </w:rPr>
        <w:t xml:space="preserve">, </w:t>
      </w:r>
      <w:r>
        <w:rPr>
          <w:rStyle w:val="Emphasis"/>
          <w:rFonts w:ascii="Arial" w:hAnsi="Arial" w:cs="Arial"/>
          <w:i w:val="0"/>
          <w:sz w:val="20"/>
          <w:szCs w:val="18"/>
        </w:rPr>
        <w:t>336</w:t>
      </w:r>
      <w:r>
        <w:rPr>
          <w:rFonts w:ascii="Arial" w:hAnsi="Arial" w:cs="Arial"/>
          <w:sz w:val="20"/>
          <w:szCs w:val="18"/>
        </w:rPr>
        <w:t>, 130317.</w:t>
      </w:r>
    </w:p>
    <w:p>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Vessey, J. K. (2003). Plant growth promoting rhizobacteria as biofertilizers. </w:t>
      </w:r>
      <w:r>
        <w:rPr>
          <w:rStyle w:val="Emphasis"/>
          <w:rFonts w:ascii="Arial" w:hAnsi="Arial" w:cs="Arial"/>
          <w:i w:val="0"/>
          <w:sz w:val="20"/>
          <w:szCs w:val="18"/>
        </w:rPr>
        <w:t>Plant and Soil</w:t>
      </w:r>
      <w:r>
        <w:rPr>
          <w:rFonts w:ascii="Arial" w:hAnsi="Arial" w:cs="Arial"/>
          <w:sz w:val="20"/>
          <w:szCs w:val="18"/>
        </w:rPr>
        <w:t xml:space="preserve">, </w:t>
      </w:r>
      <w:r>
        <w:rPr>
          <w:rStyle w:val="Emphasis"/>
          <w:rFonts w:ascii="Arial" w:hAnsi="Arial" w:cs="Arial"/>
          <w:i w:val="0"/>
          <w:sz w:val="20"/>
          <w:szCs w:val="18"/>
        </w:rPr>
        <w:t>255</w:t>
      </w:r>
      <w:r>
        <w:rPr>
          <w:rFonts w:ascii="Arial" w:hAnsi="Arial" w:cs="Arial"/>
          <w:sz w:val="20"/>
          <w:szCs w:val="18"/>
        </w:rPr>
        <w:t>, 571–586.</w:t>
      </w:r>
    </w:p>
    <w:p>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Yadav, A. N. (2022). Phosphate-solubilizing microorganisms for agricultural sustainability. </w:t>
      </w:r>
      <w:r>
        <w:rPr>
          <w:rStyle w:val="Emphasis"/>
          <w:rFonts w:ascii="Arial" w:hAnsi="Arial" w:cs="Arial"/>
          <w:i w:val="0"/>
          <w:sz w:val="20"/>
          <w:szCs w:val="18"/>
        </w:rPr>
        <w:t>Journal of Applied Biology and Biotechnology</w:t>
      </w:r>
      <w:r>
        <w:rPr>
          <w:rFonts w:ascii="Arial" w:hAnsi="Arial" w:cs="Arial"/>
          <w:sz w:val="20"/>
          <w:szCs w:val="18"/>
        </w:rPr>
        <w:t xml:space="preserve">, </w:t>
      </w:r>
      <w:r>
        <w:rPr>
          <w:rStyle w:val="Emphasis"/>
          <w:rFonts w:ascii="Arial" w:hAnsi="Arial" w:cs="Arial"/>
          <w:i w:val="0"/>
          <w:sz w:val="20"/>
          <w:szCs w:val="18"/>
        </w:rPr>
        <w:t>10</w:t>
      </w:r>
      <w:r>
        <w:rPr>
          <w:rFonts w:ascii="Arial" w:hAnsi="Arial" w:cs="Arial"/>
          <w:sz w:val="20"/>
          <w:szCs w:val="18"/>
        </w:rPr>
        <w:t>, 1–6.</w:t>
      </w:r>
    </w:p>
    <w:p>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Yang, C., Rooke, J. A., Cabeza, I., &amp; Wallace, R. J. (2016). Nitrate and inhibition of ruminal methanogenesis: Microbial ecology, obstacles, and opportunities for lowering methane emissions from ruminant livestock. </w:t>
      </w:r>
      <w:r>
        <w:rPr>
          <w:rStyle w:val="Emphasis"/>
          <w:rFonts w:ascii="Arial" w:hAnsi="Arial" w:cs="Arial"/>
          <w:i w:val="0"/>
          <w:sz w:val="20"/>
          <w:szCs w:val="18"/>
        </w:rPr>
        <w:t>Frontiers in Microbiology</w:t>
      </w:r>
      <w:r>
        <w:rPr>
          <w:rFonts w:ascii="Arial" w:hAnsi="Arial" w:cs="Arial"/>
          <w:sz w:val="20"/>
          <w:szCs w:val="18"/>
        </w:rPr>
        <w:t xml:space="preserve">, </w:t>
      </w:r>
      <w:r>
        <w:rPr>
          <w:rStyle w:val="Emphasis"/>
          <w:rFonts w:ascii="Arial" w:hAnsi="Arial" w:cs="Arial"/>
          <w:i w:val="0"/>
          <w:sz w:val="20"/>
          <w:szCs w:val="18"/>
        </w:rPr>
        <w:t>7</w:t>
      </w:r>
      <w:r>
        <w:rPr>
          <w:rFonts w:ascii="Arial" w:hAnsi="Arial" w:cs="Arial"/>
          <w:sz w:val="20"/>
          <w:szCs w:val="18"/>
        </w:rPr>
        <w:t>, 132.</w:t>
      </w:r>
    </w:p>
    <w:p>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Zhan, C. (2024). Microbial decomposition and soil health: Mechanisms and ecological implications. </w:t>
      </w:r>
      <w:r>
        <w:rPr>
          <w:rStyle w:val="Emphasis"/>
          <w:rFonts w:ascii="Arial" w:hAnsi="Arial" w:cs="Arial"/>
          <w:i w:val="0"/>
          <w:sz w:val="20"/>
          <w:szCs w:val="18"/>
        </w:rPr>
        <w:t>Molecular Soil Biology</w:t>
      </w:r>
      <w:r>
        <w:rPr>
          <w:rFonts w:ascii="Arial" w:hAnsi="Arial" w:cs="Arial"/>
          <w:sz w:val="20"/>
          <w:szCs w:val="18"/>
        </w:rPr>
        <w:t xml:space="preserve">, </w:t>
      </w:r>
      <w:r>
        <w:rPr>
          <w:rStyle w:val="Emphasis"/>
          <w:rFonts w:ascii="Arial" w:hAnsi="Arial" w:cs="Arial"/>
          <w:i w:val="0"/>
          <w:sz w:val="20"/>
          <w:szCs w:val="18"/>
        </w:rPr>
        <w:t>15</w:t>
      </w:r>
      <w:r>
        <w:rPr>
          <w:rFonts w:ascii="Arial" w:hAnsi="Arial" w:cs="Arial"/>
          <w:sz w:val="20"/>
          <w:szCs w:val="18"/>
        </w:rPr>
        <w:t>.</w:t>
      </w:r>
    </w:p>
    <w:p>
      <w:pPr>
        <w:rPr>
          <w:rFonts w:ascii="Arial" w:hAnsi="Arial" w:cs="Arial"/>
          <w:b/>
        </w:rPr>
      </w:pPr>
    </w:p>
    <w:sectPr>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rFonts w:ascii="Arial" w:hAnsi="Arial" w:cs="Arial"/>
        <w:sz w:val="16"/>
      </w:rPr>
    </w:pPr>
  </w:p>
  <w:p>
    <w:pPr>
      <w:pStyle w:val="Footer"/>
      <w:jc w:val="center"/>
      <w:rPr>
        <w:rFonts w:ascii="Arial" w:hAnsi="Arial" w:cs="Arial"/>
        <w:sz w:val="16"/>
      </w:rPr>
    </w:pPr>
    <w:r>
      <w:rPr>
        <w:rFonts w:ascii="Arial" w:hAnsi="Arial" w:cs="Arial"/>
        <w:sz w:val="16"/>
      </w:rPr>
      <w:t>____________________________________________________________________________________________</w:t>
    </w:r>
  </w:p>
  <w:p>
    <w:pPr>
      <w:pStyle w:val="Footer"/>
      <w:rPr>
        <w:rFonts w:ascii="Arial" w:hAnsi="Arial" w:cs="Arial"/>
        <w:sz w:val="16"/>
      </w:rPr>
    </w:pPr>
  </w:p>
  <w:p>
    <w:pPr>
      <w:pStyle w:val="Footer"/>
      <w:rPr>
        <w:rFonts w:ascii="Arial" w:hAnsi="Arial" w:cs="Arial"/>
        <w:i/>
        <w:sz w:val="16"/>
      </w:rPr>
    </w:pPr>
    <w:r>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0766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0766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0766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pPr>
      <w:ind w:left="4320"/>
      <w:rPr>
        <w:rFonts w:ascii="Times New Roman" w:eastAsia="Calibri" w:hAnsi="Times New Roman"/>
        <w:i/>
        <w:sz w:val="18"/>
        <w:szCs w:val="22"/>
      </w:rPr>
    </w:pPr>
    <w:r>
      <w:rPr>
        <w:rFonts w:ascii="Times New Roman" w:eastAsia="Calibri" w:hAnsi="Times New Roman"/>
        <w:i/>
        <w:sz w:val="18"/>
        <w:szCs w:val="22"/>
      </w:rPr>
      <w:t xml:space="preserve">.     </w:t>
    </w:r>
  </w:p>
  <w:p>
    <w:pPr>
      <w:jc w:val="center"/>
      <w:rPr>
        <w:rFonts w:ascii="Times New Roman" w:eastAsia="Calibri" w:hAnsi="Times New Roman"/>
        <w:i/>
        <w:sz w:val="18"/>
        <w:szCs w:val="22"/>
      </w:rPr>
    </w:pPr>
    <w:r>
      <w:rPr>
        <w:rFonts w:ascii="Times New Roman" w:eastAsia="Calibri" w:hAnsi="Times New Roman"/>
        <w:i/>
        <w:sz w:val="18"/>
        <w:szCs w:val="22"/>
      </w:rPr>
      <w:t>.</w:t>
    </w:r>
  </w:p>
  <w:p>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pPr>
      <w:jc w:val="center"/>
      <w:rPr>
        <w:rFonts w:ascii="Times New Roman" w:eastAsia="Calibri" w:hAnsi="Times New Roman"/>
        <w:i/>
        <w:sz w:val="18"/>
        <w:szCs w:val="22"/>
      </w:rPr>
    </w:pPr>
    <w:r>
      <w:rPr>
        <w:rFonts w:ascii="Times New Roman" w:eastAsia="Calibri" w:hAnsi="Times New Roman"/>
        <w:i/>
        <w:sz w:val="18"/>
        <w:szCs w:val="22"/>
      </w:rPr>
      <w:t xml:space="preserve">                     </w:t>
    </w:r>
  </w:p>
  <w:p>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C06ED24E">
      <w:start w:val="1"/>
      <w:numFmt w:val="bullet"/>
      <w:lvlText w:val=""/>
      <w:lvlJc w:val="left"/>
      <w:pPr>
        <w:ind w:left="720" w:hanging="360"/>
      </w:pPr>
      <w:rPr>
        <w:rFonts w:ascii="Wingdings" w:hAnsi="Wingdings" w:hint="default"/>
      </w:rPr>
    </w:lvl>
    <w:lvl w:ilvl="1" w:tplc="8626DAD2" w:tentative="1">
      <w:start w:val="1"/>
      <w:numFmt w:val="bullet"/>
      <w:lvlText w:val="o"/>
      <w:lvlJc w:val="left"/>
      <w:pPr>
        <w:ind w:left="1440" w:hanging="360"/>
      </w:pPr>
      <w:rPr>
        <w:rFonts w:ascii="Courier New" w:hAnsi="Courier New" w:cs="Courier New" w:hint="default"/>
      </w:rPr>
    </w:lvl>
    <w:lvl w:ilvl="2" w:tplc="56C2A8BE" w:tentative="1">
      <w:start w:val="1"/>
      <w:numFmt w:val="bullet"/>
      <w:lvlText w:val=""/>
      <w:lvlJc w:val="left"/>
      <w:pPr>
        <w:ind w:left="2160" w:hanging="360"/>
      </w:pPr>
      <w:rPr>
        <w:rFonts w:ascii="Wingdings" w:hAnsi="Wingdings" w:hint="default"/>
      </w:rPr>
    </w:lvl>
    <w:lvl w:ilvl="3" w:tplc="23AA850E" w:tentative="1">
      <w:start w:val="1"/>
      <w:numFmt w:val="bullet"/>
      <w:lvlText w:val=""/>
      <w:lvlJc w:val="left"/>
      <w:pPr>
        <w:ind w:left="2880" w:hanging="360"/>
      </w:pPr>
      <w:rPr>
        <w:rFonts w:ascii="Symbol" w:hAnsi="Symbol" w:hint="default"/>
      </w:rPr>
    </w:lvl>
    <w:lvl w:ilvl="4" w:tplc="045A315C" w:tentative="1">
      <w:start w:val="1"/>
      <w:numFmt w:val="bullet"/>
      <w:lvlText w:val="o"/>
      <w:lvlJc w:val="left"/>
      <w:pPr>
        <w:ind w:left="3600" w:hanging="360"/>
      </w:pPr>
      <w:rPr>
        <w:rFonts w:ascii="Courier New" w:hAnsi="Courier New" w:cs="Courier New" w:hint="default"/>
      </w:rPr>
    </w:lvl>
    <w:lvl w:ilvl="5" w:tplc="0728D2AA" w:tentative="1">
      <w:start w:val="1"/>
      <w:numFmt w:val="bullet"/>
      <w:lvlText w:val=""/>
      <w:lvlJc w:val="left"/>
      <w:pPr>
        <w:ind w:left="4320" w:hanging="360"/>
      </w:pPr>
      <w:rPr>
        <w:rFonts w:ascii="Wingdings" w:hAnsi="Wingdings" w:hint="default"/>
      </w:rPr>
    </w:lvl>
    <w:lvl w:ilvl="6" w:tplc="844E1B8E" w:tentative="1">
      <w:start w:val="1"/>
      <w:numFmt w:val="bullet"/>
      <w:lvlText w:val=""/>
      <w:lvlJc w:val="left"/>
      <w:pPr>
        <w:ind w:left="5040" w:hanging="360"/>
      </w:pPr>
      <w:rPr>
        <w:rFonts w:ascii="Symbol" w:hAnsi="Symbol" w:hint="default"/>
      </w:rPr>
    </w:lvl>
    <w:lvl w:ilvl="7" w:tplc="88E89904" w:tentative="1">
      <w:start w:val="1"/>
      <w:numFmt w:val="bullet"/>
      <w:lvlText w:val="o"/>
      <w:lvlJc w:val="left"/>
      <w:pPr>
        <w:ind w:left="5760" w:hanging="360"/>
      </w:pPr>
      <w:rPr>
        <w:rFonts w:ascii="Courier New" w:hAnsi="Courier New" w:cs="Courier New" w:hint="default"/>
      </w:rPr>
    </w:lvl>
    <w:lvl w:ilvl="8" w:tplc="BDB0933A"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843EE89A">
      <w:numFmt w:val="bullet"/>
      <w:lvlText w:val="·"/>
      <w:lvlJc w:val="left"/>
      <w:pPr>
        <w:ind w:left="900" w:hanging="540"/>
      </w:pPr>
      <w:rPr>
        <w:rFonts w:ascii="Arial" w:eastAsia="Times New Roman" w:hAnsi="Arial" w:cs="Arial" w:hint="default"/>
      </w:rPr>
    </w:lvl>
    <w:lvl w:ilvl="1" w:tplc="0478F36E" w:tentative="1">
      <w:start w:val="1"/>
      <w:numFmt w:val="bullet"/>
      <w:lvlText w:val="o"/>
      <w:lvlJc w:val="left"/>
      <w:pPr>
        <w:ind w:left="1440" w:hanging="360"/>
      </w:pPr>
      <w:rPr>
        <w:rFonts w:ascii="Courier New" w:hAnsi="Courier New" w:cs="Courier New" w:hint="default"/>
      </w:rPr>
    </w:lvl>
    <w:lvl w:ilvl="2" w:tplc="674E7638" w:tentative="1">
      <w:start w:val="1"/>
      <w:numFmt w:val="bullet"/>
      <w:lvlText w:val=""/>
      <w:lvlJc w:val="left"/>
      <w:pPr>
        <w:ind w:left="2160" w:hanging="360"/>
      </w:pPr>
      <w:rPr>
        <w:rFonts w:ascii="Wingdings" w:hAnsi="Wingdings" w:hint="default"/>
      </w:rPr>
    </w:lvl>
    <w:lvl w:ilvl="3" w:tplc="C3AC2E76" w:tentative="1">
      <w:start w:val="1"/>
      <w:numFmt w:val="bullet"/>
      <w:lvlText w:val=""/>
      <w:lvlJc w:val="left"/>
      <w:pPr>
        <w:ind w:left="2880" w:hanging="360"/>
      </w:pPr>
      <w:rPr>
        <w:rFonts w:ascii="Symbol" w:hAnsi="Symbol" w:hint="default"/>
      </w:rPr>
    </w:lvl>
    <w:lvl w:ilvl="4" w:tplc="DAFEE364" w:tentative="1">
      <w:start w:val="1"/>
      <w:numFmt w:val="bullet"/>
      <w:lvlText w:val="o"/>
      <w:lvlJc w:val="left"/>
      <w:pPr>
        <w:ind w:left="3600" w:hanging="360"/>
      </w:pPr>
      <w:rPr>
        <w:rFonts w:ascii="Courier New" w:hAnsi="Courier New" w:cs="Courier New" w:hint="default"/>
      </w:rPr>
    </w:lvl>
    <w:lvl w:ilvl="5" w:tplc="0D12C33A" w:tentative="1">
      <w:start w:val="1"/>
      <w:numFmt w:val="bullet"/>
      <w:lvlText w:val=""/>
      <w:lvlJc w:val="left"/>
      <w:pPr>
        <w:ind w:left="4320" w:hanging="360"/>
      </w:pPr>
      <w:rPr>
        <w:rFonts w:ascii="Wingdings" w:hAnsi="Wingdings" w:hint="default"/>
      </w:rPr>
    </w:lvl>
    <w:lvl w:ilvl="6" w:tplc="F8BA79C0" w:tentative="1">
      <w:start w:val="1"/>
      <w:numFmt w:val="bullet"/>
      <w:lvlText w:val=""/>
      <w:lvlJc w:val="left"/>
      <w:pPr>
        <w:ind w:left="5040" w:hanging="360"/>
      </w:pPr>
      <w:rPr>
        <w:rFonts w:ascii="Symbol" w:hAnsi="Symbol" w:hint="default"/>
      </w:rPr>
    </w:lvl>
    <w:lvl w:ilvl="7" w:tplc="39142398" w:tentative="1">
      <w:start w:val="1"/>
      <w:numFmt w:val="bullet"/>
      <w:lvlText w:val="o"/>
      <w:lvlJc w:val="left"/>
      <w:pPr>
        <w:ind w:left="5760" w:hanging="360"/>
      </w:pPr>
      <w:rPr>
        <w:rFonts w:ascii="Courier New" w:hAnsi="Courier New" w:cs="Courier New" w:hint="default"/>
      </w:rPr>
    </w:lvl>
    <w:lvl w:ilvl="8" w:tplc="DA9405FC"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5FDAC09A">
      <w:start w:val="1"/>
      <w:numFmt w:val="bullet"/>
      <w:lvlText w:val=""/>
      <w:lvlJc w:val="left"/>
      <w:pPr>
        <w:tabs>
          <w:tab w:val="num" w:pos="720"/>
        </w:tabs>
        <w:ind w:left="720" w:hanging="360"/>
      </w:pPr>
      <w:rPr>
        <w:rFonts w:ascii="Symbol" w:hAnsi="Symbol" w:hint="default"/>
      </w:rPr>
    </w:lvl>
    <w:lvl w:ilvl="1" w:tplc="68646270" w:tentative="1">
      <w:start w:val="1"/>
      <w:numFmt w:val="bullet"/>
      <w:lvlText w:val="o"/>
      <w:lvlJc w:val="left"/>
      <w:pPr>
        <w:tabs>
          <w:tab w:val="num" w:pos="1440"/>
        </w:tabs>
        <w:ind w:left="1440" w:hanging="360"/>
      </w:pPr>
      <w:rPr>
        <w:rFonts w:ascii="Courier New" w:hAnsi="Courier New" w:cs="Courier New" w:hint="default"/>
      </w:rPr>
    </w:lvl>
    <w:lvl w:ilvl="2" w:tplc="FAE00B12" w:tentative="1">
      <w:start w:val="1"/>
      <w:numFmt w:val="bullet"/>
      <w:lvlText w:val=""/>
      <w:lvlJc w:val="left"/>
      <w:pPr>
        <w:tabs>
          <w:tab w:val="num" w:pos="2160"/>
        </w:tabs>
        <w:ind w:left="2160" w:hanging="360"/>
      </w:pPr>
      <w:rPr>
        <w:rFonts w:ascii="Wingdings" w:hAnsi="Wingdings" w:hint="default"/>
      </w:rPr>
    </w:lvl>
    <w:lvl w:ilvl="3" w:tplc="EC564B24" w:tentative="1">
      <w:start w:val="1"/>
      <w:numFmt w:val="bullet"/>
      <w:lvlText w:val=""/>
      <w:lvlJc w:val="left"/>
      <w:pPr>
        <w:tabs>
          <w:tab w:val="num" w:pos="2880"/>
        </w:tabs>
        <w:ind w:left="2880" w:hanging="360"/>
      </w:pPr>
      <w:rPr>
        <w:rFonts w:ascii="Symbol" w:hAnsi="Symbol" w:hint="default"/>
      </w:rPr>
    </w:lvl>
    <w:lvl w:ilvl="4" w:tplc="319EC0EC" w:tentative="1">
      <w:start w:val="1"/>
      <w:numFmt w:val="bullet"/>
      <w:lvlText w:val="o"/>
      <w:lvlJc w:val="left"/>
      <w:pPr>
        <w:tabs>
          <w:tab w:val="num" w:pos="3600"/>
        </w:tabs>
        <w:ind w:left="3600" w:hanging="360"/>
      </w:pPr>
      <w:rPr>
        <w:rFonts w:ascii="Courier New" w:hAnsi="Courier New" w:cs="Courier New" w:hint="default"/>
      </w:rPr>
    </w:lvl>
    <w:lvl w:ilvl="5" w:tplc="992C93DE" w:tentative="1">
      <w:start w:val="1"/>
      <w:numFmt w:val="bullet"/>
      <w:lvlText w:val=""/>
      <w:lvlJc w:val="left"/>
      <w:pPr>
        <w:tabs>
          <w:tab w:val="num" w:pos="4320"/>
        </w:tabs>
        <w:ind w:left="4320" w:hanging="360"/>
      </w:pPr>
      <w:rPr>
        <w:rFonts w:ascii="Wingdings" w:hAnsi="Wingdings" w:hint="default"/>
      </w:rPr>
    </w:lvl>
    <w:lvl w:ilvl="6" w:tplc="32D6C250" w:tentative="1">
      <w:start w:val="1"/>
      <w:numFmt w:val="bullet"/>
      <w:lvlText w:val=""/>
      <w:lvlJc w:val="left"/>
      <w:pPr>
        <w:tabs>
          <w:tab w:val="num" w:pos="5040"/>
        </w:tabs>
        <w:ind w:left="5040" w:hanging="360"/>
      </w:pPr>
      <w:rPr>
        <w:rFonts w:ascii="Symbol" w:hAnsi="Symbol" w:hint="default"/>
      </w:rPr>
    </w:lvl>
    <w:lvl w:ilvl="7" w:tplc="09020E68" w:tentative="1">
      <w:start w:val="1"/>
      <w:numFmt w:val="bullet"/>
      <w:lvlText w:val="o"/>
      <w:lvlJc w:val="left"/>
      <w:pPr>
        <w:tabs>
          <w:tab w:val="num" w:pos="5760"/>
        </w:tabs>
        <w:ind w:left="5760" w:hanging="360"/>
      </w:pPr>
      <w:rPr>
        <w:rFonts w:ascii="Courier New" w:hAnsi="Courier New" w:cs="Courier New" w:hint="default"/>
      </w:rPr>
    </w:lvl>
    <w:lvl w:ilvl="8" w:tplc="064496E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D2B057F8">
      <w:start w:val="1"/>
      <w:numFmt w:val="decimal"/>
      <w:lvlText w:val="%1."/>
      <w:lvlJc w:val="left"/>
      <w:pPr>
        <w:ind w:left="720" w:hanging="360"/>
      </w:pPr>
    </w:lvl>
    <w:lvl w:ilvl="1" w:tplc="3A3ED12E" w:tentative="1">
      <w:start w:val="1"/>
      <w:numFmt w:val="lowerLetter"/>
      <w:lvlText w:val="%2."/>
      <w:lvlJc w:val="left"/>
      <w:pPr>
        <w:ind w:left="1440" w:hanging="360"/>
      </w:pPr>
    </w:lvl>
    <w:lvl w:ilvl="2" w:tplc="4EA6C0C6" w:tentative="1">
      <w:start w:val="1"/>
      <w:numFmt w:val="lowerRoman"/>
      <w:lvlText w:val="%3."/>
      <w:lvlJc w:val="right"/>
      <w:pPr>
        <w:ind w:left="2160" w:hanging="180"/>
      </w:pPr>
    </w:lvl>
    <w:lvl w:ilvl="3" w:tplc="0AC8D90A" w:tentative="1">
      <w:start w:val="1"/>
      <w:numFmt w:val="decimal"/>
      <w:lvlText w:val="%4."/>
      <w:lvlJc w:val="left"/>
      <w:pPr>
        <w:ind w:left="2880" w:hanging="360"/>
      </w:pPr>
    </w:lvl>
    <w:lvl w:ilvl="4" w:tplc="ED06A62E" w:tentative="1">
      <w:start w:val="1"/>
      <w:numFmt w:val="lowerLetter"/>
      <w:lvlText w:val="%5."/>
      <w:lvlJc w:val="left"/>
      <w:pPr>
        <w:ind w:left="3600" w:hanging="360"/>
      </w:pPr>
    </w:lvl>
    <w:lvl w:ilvl="5" w:tplc="BB60065E" w:tentative="1">
      <w:start w:val="1"/>
      <w:numFmt w:val="lowerRoman"/>
      <w:lvlText w:val="%6."/>
      <w:lvlJc w:val="right"/>
      <w:pPr>
        <w:ind w:left="4320" w:hanging="180"/>
      </w:pPr>
    </w:lvl>
    <w:lvl w:ilvl="6" w:tplc="89AC33CA" w:tentative="1">
      <w:start w:val="1"/>
      <w:numFmt w:val="decimal"/>
      <w:lvlText w:val="%7."/>
      <w:lvlJc w:val="left"/>
      <w:pPr>
        <w:ind w:left="5040" w:hanging="360"/>
      </w:pPr>
    </w:lvl>
    <w:lvl w:ilvl="7" w:tplc="23665B92" w:tentative="1">
      <w:start w:val="1"/>
      <w:numFmt w:val="lowerLetter"/>
      <w:lvlText w:val="%8."/>
      <w:lvlJc w:val="left"/>
      <w:pPr>
        <w:ind w:left="5760" w:hanging="360"/>
      </w:pPr>
    </w:lvl>
    <w:lvl w:ilvl="8" w:tplc="74FEBABA"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20961/alchemy.20.2.72456.257-26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FCB4-23A4-4DBD-85F3-406D330D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58</TotalTime>
  <Pages>9</Pages>
  <Words>8166</Words>
  <Characters>46552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1170</cp:lastModifiedBy>
  <cp:revision>13</cp:revision>
  <cp:lastPrinted>2025-06-29T07:52:00Z</cp:lastPrinted>
  <dcterms:created xsi:type="dcterms:W3CDTF">2025-07-01T13:03:00Z</dcterms:created>
  <dcterms:modified xsi:type="dcterms:W3CDTF">2025-07-02T10:43:00Z</dcterms:modified>
</cp:coreProperties>
</file>