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70CC" w14:textId="01A8361B" w:rsidR="00754C9A" w:rsidRPr="00F74DFB" w:rsidRDefault="00F74DFB" w:rsidP="00441B6F">
      <w:pPr>
        <w:pStyle w:val="Title"/>
        <w:spacing w:after="0"/>
        <w:jc w:val="both"/>
        <w:rPr>
          <w:rFonts w:cs="Arial"/>
          <w:u w:val="single"/>
        </w:rPr>
      </w:pPr>
      <w:r w:rsidRPr="00F74DFB">
        <w:rPr>
          <w:rFonts w:cs="Arial"/>
          <w:u w:val="single"/>
        </w:rPr>
        <w:t>Original Research Article</w:t>
      </w:r>
    </w:p>
    <w:p w14:paraId="1ECB0493" w14:textId="77777777" w:rsidR="00A258C3" w:rsidRPr="00F92243" w:rsidRDefault="00F92243" w:rsidP="00F92243">
      <w:pPr>
        <w:spacing w:before="100" w:beforeAutospacing="1" w:after="100" w:afterAutospacing="1" w:line="360" w:lineRule="auto"/>
        <w:jc w:val="right"/>
        <w:rPr>
          <w:rFonts w:cs="Arial"/>
          <w:b/>
          <w:sz w:val="24"/>
          <w:szCs w:val="24"/>
        </w:rPr>
      </w:pPr>
      <w:r w:rsidRPr="00F92243">
        <w:rPr>
          <w:rFonts w:cs="Arial"/>
          <w:b/>
          <w:sz w:val="24"/>
          <w:szCs w:val="24"/>
        </w:rPr>
        <w:t>EXPLORING GENETIC DIVERSITY IN MATURITY DURATION AMONG PIGEONPEA GENOTYPES GROWN UNDER OFF-SEASON</w:t>
      </w:r>
      <w:r w:rsidRPr="00F92243">
        <w:rPr>
          <w:rFonts w:cs="Arial"/>
          <w:b/>
          <w:i/>
          <w:sz w:val="24"/>
          <w:szCs w:val="24"/>
        </w:rPr>
        <w:t xml:space="preserve"> (Rabi)</w:t>
      </w:r>
      <w:r w:rsidRPr="00F92243">
        <w:rPr>
          <w:rFonts w:cs="Arial"/>
          <w:b/>
          <w:sz w:val="24"/>
          <w:szCs w:val="24"/>
        </w:rPr>
        <w:t xml:space="preserve"> CONDITIONS</w:t>
      </w:r>
    </w:p>
    <w:p w14:paraId="3F994127" w14:textId="77777777" w:rsidR="0003104C" w:rsidRDefault="0003104C" w:rsidP="00441B6F">
      <w:pPr>
        <w:pStyle w:val="Copyright"/>
        <w:spacing w:after="0" w:line="240" w:lineRule="auto"/>
        <w:jc w:val="both"/>
        <w:rPr>
          <w:rFonts w:cs="Arial"/>
        </w:rPr>
      </w:pPr>
    </w:p>
    <w:p w14:paraId="71F7EC68" w14:textId="27B75735" w:rsidR="00B01FCD" w:rsidRPr="00FB3A86" w:rsidRDefault="00000000" w:rsidP="00441B6F">
      <w:pPr>
        <w:pStyle w:val="Copyright"/>
        <w:spacing w:after="0" w:line="240" w:lineRule="auto"/>
        <w:jc w:val="both"/>
        <w:rPr>
          <w:rFonts w:cs="Arial"/>
        </w:rPr>
        <w:sectPr w:rsidR="00B01FCD" w:rsidRPr="00FB3A86" w:rsidSect="000310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rPr>
      </w:r>
      <w:r>
        <w:rPr>
          <w:rFonts w:cs="Arial"/>
        </w:rPr>
        <w:pict w14:anchorId="0FC20B4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cs="Arial"/>
        </w:rPr>
        <w:t>.</w:t>
      </w:r>
    </w:p>
    <w:p w14:paraId="4F354911"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1BEBF" w14:textId="77777777" w:rsidTr="001E44FE">
        <w:tc>
          <w:tcPr>
            <w:tcW w:w="9576" w:type="dxa"/>
            <w:shd w:val="clear" w:color="auto" w:fill="F2F2F2"/>
          </w:tcPr>
          <w:p w14:paraId="4A40F19C" w14:textId="77777777" w:rsidR="00505F06" w:rsidRPr="00F92243" w:rsidRDefault="00F92243" w:rsidP="00521AAC">
            <w:pPr>
              <w:spacing w:before="100" w:beforeAutospacing="1" w:after="100" w:afterAutospacing="1"/>
              <w:ind w:firstLine="720"/>
              <w:jc w:val="both"/>
              <w:rPr>
                <w:rFonts w:cs="Arial"/>
              </w:rPr>
            </w:pPr>
            <w:proofErr w:type="spellStart"/>
            <w:r w:rsidRPr="00F92243">
              <w:rPr>
                <w:rFonts w:cs="Arial"/>
              </w:rPr>
              <w:t>Pigeonpea</w:t>
            </w:r>
            <w:proofErr w:type="spellEnd"/>
            <w:r w:rsidRPr="00F92243">
              <w:rPr>
                <w:rFonts w:cs="Arial"/>
              </w:rPr>
              <w:t xml:space="preserve"> (</w:t>
            </w:r>
            <w:r w:rsidRPr="00F92243">
              <w:rPr>
                <w:rFonts w:cs="Arial"/>
                <w:i/>
                <w:iCs/>
              </w:rPr>
              <w:t xml:space="preserve">Cajanus </w:t>
            </w:r>
            <w:proofErr w:type="spellStart"/>
            <w:r w:rsidRPr="00F92243">
              <w:rPr>
                <w:rFonts w:cs="Arial"/>
                <w:i/>
                <w:iCs/>
              </w:rPr>
              <w:t>cajan</w:t>
            </w:r>
            <w:proofErr w:type="spellEnd"/>
            <w:r w:rsidRPr="00F92243">
              <w:rPr>
                <w:rFonts w:cs="Arial"/>
              </w:rPr>
              <w:t xml:space="preserve"> L. Millspaugh) is an important legume crop cultivated in rainfed areas due to its adaptability and soil-enriching properties. This study evaluated 250 genotypes from the PI-GAP (Pigeonpea International Genome-Wide Association Panel) for days to maturity under </w:t>
            </w:r>
            <w:r w:rsidRPr="00F92243">
              <w:rPr>
                <w:rFonts w:cs="Arial"/>
                <w:i/>
              </w:rPr>
              <w:t>rabi</w:t>
            </w:r>
            <w:r w:rsidRPr="00F92243">
              <w:rPr>
                <w:rFonts w:cs="Arial"/>
              </w:rPr>
              <w:t xml:space="preserve"> season at ICRISAT, </w:t>
            </w:r>
            <w:proofErr w:type="spellStart"/>
            <w:r w:rsidRPr="00F92243">
              <w:rPr>
                <w:rFonts w:cs="Arial"/>
              </w:rPr>
              <w:t>Patancheru</w:t>
            </w:r>
            <w:proofErr w:type="spellEnd"/>
            <w:r w:rsidRPr="00F92243">
              <w:rPr>
                <w:rFonts w:cs="Arial"/>
              </w:rPr>
              <w:t>. Maturity ranged from 92 to 209 days, with a mean of 141 days. Genotypes were grouped into five maturity classes, with most falling in the early category. Analysis of variance showed significant genetic effects (</w:t>
            </w:r>
            <w:r w:rsidRPr="00F92243">
              <w:rPr>
                <w:rFonts w:cs="Arial"/>
                <w:i/>
                <w:iCs/>
              </w:rPr>
              <w:t>p</w:t>
            </w:r>
            <w:r w:rsidRPr="00F92243">
              <w:rPr>
                <w:rFonts w:cs="Arial"/>
              </w:rPr>
              <w:t xml:space="preserve"> &lt; 0.001), supported by moderate GCV and PCV, high heritability (97.63%), and high genetic advance. A strong positive correlation (r = 0.78) was observed between plant height and days to maturity. Principal Component Analysis revealed that PC1 explained 88.64% of the total variance. These results highlight the potential of early and late maturing lines for target-specific </w:t>
            </w:r>
            <w:proofErr w:type="spellStart"/>
            <w:r w:rsidRPr="00F92243">
              <w:rPr>
                <w:rFonts w:cs="Arial"/>
              </w:rPr>
              <w:t>pigeonpea</w:t>
            </w:r>
            <w:proofErr w:type="spellEnd"/>
            <w:r w:rsidRPr="00F92243">
              <w:rPr>
                <w:rFonts w:cs="Arial"/>
              </w:rPr>
              <w:t xml:space="preserve"> breeding under diverse cropping systems.</w:t>
            </w:r>
          </w:p>
        </w:tc>
      </w:tr>
    </w:tbl>
    <w:p w14:paraId="647F6D64" w14:textId="77777777" w:rsidR="00636EB2" w:rsidRDefault="00636EB2" w:rsidP="00441B6F">
      <w:pPr>
        <w:pStyle w:val="Body"/>
        <w:spacing w:after="0"/>
        <w:rPr>
          <w:rFonts w:cs="Arial"/>
          <w:i/>
        </w:rPr>
      </w:pPr>
    </w:p>
    <w:p w14:paraId="07948487" w14:textId="77777777" w:rsidR="0024282C" w:rsidRPr="00521AAC" w:rsidRDefault="00A24E7E" w:rsidP="00441B6F">
      <w:pPr>
        <w:pStyle w:val="Body"/>
        <w:spacing w:after="0"/>
        <w:rPr>
          <w:rFonts w:cs="Arial"/>
          <w:i/>
        </w:rPr>
      </w:pPr>
      <w:r>
        <w:rPr>
          <w:rFonts w:cs="Arial"/>
          <w:i/>
        </w:rPr>
        <w:t>Keywords</w:t>
      </w:r>
      <w:r w:rsidRPr="00F92243">
        <w:rPr>
          <w:rFonts w:cs="Arial"/>
          <w:i/>
        </w:rPr>
        <w:t xml:space="preserve">: </w:t>
      </w:r>
      <w:r w:rsidR="00F92243" w:rsidRPr="00F92243">
        <w:rPr>
          <w:rFonts w:cs="Arial"/>
          <w:i/>
        </w:rPr>
        <w:t>Days to maturity, PCA, Stability, Selection, Variability</w:t>
      </w:r>
    </w:p>
    <w:p w14:paraId="67ACD16F" w14:textId="77777777" w:rsidR="00505F06" w:rsidRPr="00A24E7E" w:rsidRDefault="00505F06" w:rsidP="00441B6F">
      <w:pPr>
        <w:pStyle w:val="Body"/>
        <w:spacing w:after="0"/>
        <w:rPr>
          <w:rFonts w:cs="Arial"/>
          <w:i/>
        </w:rPr>
      </w:pPr>
    </w:p>
    <w:p w14:paraId="6BEB7779" w14:textId="77777777" w:rsidR="00790ADA" w:rsidRPr="00FB3A86" w:rsidRDefault="00902823" w:rsidP="00441B6F">
      <w:pPr>
        <w:pStyle w:val="AbstHead"/>
        <w:spacing w:after="0"/>
        <w:jc w:val="both"/>
        <w:rPr>
          <w:rFonts w:cs="Arial"/>
        </w:rPr>
      </w:pPr>
      <w:r>
        <w:rPr>
          <w:rFonts w:cs="Arial"/>
        </w:rPr>
        <w:t xml:space="preserve">1. </w:t>
      </w:r>
      <w:r w:rsidR="00B01FCD" w:rsidRPr="00FB3A86">
        <w:rPr>
          <w:rFonts w:cs="Arial"/>
        </w:rPr>
        <w:t>INTRODUCTION</w:t>
      </w:r>
      <w:r w:rsidR="007F7B32">
        <w:rPr>
          <w:rFonts w:cs="Arial"/>
        </w:rPr>
        <w:t xml:space="preserve"> </w:t>
      </w:r>
    </w:p>
    <w:p w14:paraId="4353493B" w14:textId="77777777" w:rsidR="00F92243" w:rsidRDefault="00F92243" w:rsidP="00F92243">
      <w:pPr>
        <w:jc w:val="both"/>
      </w:pPr>
      <w:r w:rsidRPr="00FA40FE">
        <w:t xml:space="preserve">Legumes are recognized to provide food proteins in the underdeveloped countries and are typically cultivated on low-input, risky marginal areas. Among the legumes, </w:t>
      </w:r>
      <w:proofErr w:type="spellStart"/>
      <w:r w:rsidRPr="00FA40FE">
        <w:t>pigeonpea</w:t>
      </w:r>
      <w:proofErr w:type="spellEnd"/>
      <w:r w:rsidRPr="00FA40FE">
        <w:t xml:space="preserve"> (</w:t>
      </w:r>
      <w:r w:rsidRPr="00FA40FE">
        <w:rPr>
          <w:i/>
        </w:rPr>
        <w:t xml:space="preserve">Cajanus </w:t>
      </w:r>
      <w:proofErr w:type="spellStart"/>
      <w:r w:rsidRPr="00FA40FE">
        <w:rPr>
          <w:i/>
        </w:rPr>
        <w:t>cajan</w:t>
      </w:r>
      <w:proofErr w:type="spellEnd"/>
      <w:r w:rsidRPr="00FA40FE">
        <w:t xml:space="preserve"> (L.) Millspaugh) occupies an essential place in rainfed agriculture (</w:t>
      </w:r>
      <w:r w:rsidRPr="00FA40FE">
        <w:rPr>
          <w:color w:val="222222"/>
          <w:shd w:val="clear" w:color="auto" w:fill="FFFFFF"/>
        </w:rPr>
        <w:t xml:space="preserve">Saxena </w:t>
      </w:r>
      <w:r w:rsidRPr="00FA40FE">
        <w:rPr>
          <w:i/>
          <w:color w:val="222222"/>
          <w:shd w:val="clear" w:color="auto" w:fill="FFFFFF"/>
        </w:rPr>
        <w:t>et al</w:t>
      </w:r>
      <w:r w:rsidRPr="00FA40FE">
        <w:rPr>
          <w:color w:val="222222"/>
          <w:shd w:val="clear" w:color="auto" w:fill="FFFFFF"/>
        </w:rPr>
        <w:t>., 2010</w:t>
      </w:r>
      <w:r w:rsidRPr="00FA40FE">
        <w:t xml:space="preserve">). Pigeonpea is a member of the subtribe </w:t>
      </w:r>
      <w:proofErr w:type="spellStart"/>
      <w:r w:rsidRPr="00FA40FE">
        <w:rPr>
          <w:i/>
        </w:rPr>
        <w:t>Cajaninae</w:t>
      </w:r>
      <w:proofErr w:type="spellEnd"/>
      <w:r w:rsidRPr="00FA40FE">
        <w:t xml:space="preserve"> of the </w:t>
      </w:r>
      <w:proofErr w:type="spellStart"/>
      <w:r w:rsidRPr="00FA40FE">
        <w:rPr>
          <w:i/>
        </w:rPr>
        <w:t>Phaseoleae</w:t>
      </w:r>
      <w:proofErr w:type="spellEnd"/>
      <w:r w:rsidRPr="00FA40FE">
        <w:t xml:space="preserve"> tribe, a sub-family of the </w:t>
      </w:r>
      <w:proofErr w:type="spellStart"/>
      <w:r w:rsidRPr="00FA40FE">
        <w:rPr>
          <w:i/>
        </w:rPr>
        <w:t>Papilionoideae</w:t>
      </w:r>
      <w:proofErr w:type="spellEnd"/>
      <w:r w:rsidRPr="00FA40FE">
        <w:t xml:space="preserve"> and family </w:t>
      </w:r>
      <w:r w:rsidRPr="00FA40FE">
        <w:rPr>
          <w:i/>
        </w:rPr>
        <w:t>Leguminosae</w:t>
      </w:r>
      <w:r w:rsidRPr="00FA40FE">
        <w:t xml:space="preserve">. The single domesticated species in the sub-tribe </w:t>
      </w:r>
      <w:proofErr w:type="spellStart"/>
      <w:r w:rsidRPr="00FA40FE">
        <w:rPr>
          <w:i/>
        </w:rPr>
        <w:t>Cajaninae</w:t>
      </w:r>
      <w:proofErr w:type="spellEnd"/>
      <w:r w:rsidRPr="00FA40FE">
        <w:t xml:space="preserve"> is </w:t>
      </w:r>
      <w:r w:rsidRPr="00FA40FE">
        <w:rPr>
          <w:i/>
        </w:rPr>
        <w:t xml:space="preserve">C. </w:t>
      </w:r>
      <w:proofErr w:type="spellStart"/>
      <w:r w:rsidRPr="00FA40FE">
        <w:rPr>
          <w:i/>
        </w:rPr>
        <w:t>cajan</w:t>
      </w:r>
      <w:proofErr w:type="spellEnd"/>
      <w:r w:rsidRPr="00FA40FE">
        <w:t xml:space="preserve"> (</w:t>
      </w:r>
      <w:r w:rsidRPr="00FA40FE">
        <w:rPr>
          <w:color w:val="222222"/>
          <w:shd w:val="clear" w:color="auto" w:fill="FFFFFF"/>
        </w:rPr>
        <w:t xml:space="preserve">Varshney </w:t>
      </w:r>
      <w:r w:rsidRPr="00FA40FE">
        <w:rPr>
          <w:i/>
          <w:color w:val="222222"/>
          <w:shd w:val="clear" w:color="auto" w:fill="FFFFFF"/>
        </w:rPr>
        <w:t>et al</w:t>
      </w:r>
      <w:r w:rsidRPr="00FA40FE">
        <w:rPr>
          <w:color w:val="222222"/>
          <w:shd w:val="clear" w:color="auto" w:fill="FFFFFF"/>
        </w:rPr>
        <w:t>., 2010</w:t>
      </w:r>
      <w:r w:rsidRPr="00FA40FE">
        <w:t>). Pigeonpea is a perfect crop for sustainable agriculture in India's tropical and sub-tropical regions because of its soil-rejuvenating properties, which include the release of soil-bound phosphorous, fixation of atmospheric nitrogen, recycling of soil nutrients, and addition of organic matter and other nutrients (</w:t>
      </w:r>
      <w:r w:rsidRPr="00FA40FE">
        <w:rPr>
          <w:color w:val="222222"/>
          <w:shd w:val="clear" w:color="auto" w:fill="FFFFFF"/>
        </w:rPr>
        <w:t>Saxena and Nadarajan, 2010</w:t>
      </w:r>
      <w:r w:rsidRPr="00FA40FE">
        <w:t>).</w:t>
      </w:r>
      <w:r>
        <w:t xml:space="preserve"> </w:t>
      </w:r>
    </w:p>
    <w:p w14:paraId="6D2D220A" w14:textId="77777777" w:rsidR="00F92243" w:rsidRPr="00FA40FE" w:rsidRDefault="00F92243" w:rsidP="00F92243">
      <w:pPr>
        <w:jc w:val="both"/>
      </w:pPr>
      <w:r w:rsidRPr="00FA40FE">
        <w:t>The maturation period of pigeon pea germplasm varies over a large period of time (90–300 days), and this variation is nearly constant (</w:t>
      </w:r>
      <w:r w:rsidRPr="00FA40FE">
        <w:rPr>
          <w:color w:val="222222"/>
          <w:shd w:val="clear" w:color="auto" w:fill="FFFFFF"/>
        </w:rPr>
        <w:t>Saxena, 2008</w:t>
      </w:r>
      <w:r w:rsidRPr="00FA40FE">
        <w:t xml:space="preserve">). Pigeonpea is regarded as a crop that can withstand drought and has a wide range of maturity dates. It is so well suited to a variety of cropping techniques and conditions. Pigeonpea is often classified into four maturity groups: extra early, early, medium, and late. These maturity variations directly impact the crop's fitness and survival in various </w:t>
      </w:r>
      <w:proofErr w:type="spellStart"/>
      <w:r w:rsidRPr="00FA40FE">
        <w:t>agro</w:t>
      </w:r>
      <w:proofErr w:type="spellEnd"/>
      <w:r w:rsidRPr="00FA40FE">
        <w:t>-ecological niches (</w:t>
      </w:r>
      <w:r w:rsidRPr="00FA40FE">
        <w:rPr>
          <w:color w:val="222222"/>
          <w:shd w:val="clear" w:color="auto" w:fill="FFFFFF"/>
        </w:rPr>
        <w:t xml:space="preserve">Choudhary </w:t>
      </w:r>
      <w:r w:rsidRPr="00FA40FE">
        <w:rPr>
          <w:i/>
          <w:color w:val="222222"/>
          <w:shd w:val="clear" w:color="auto" w:fill="FFFFFF"/>
        </w:rPr>
        <w:t>et al</w:t>
      </w:r>
      <w:r w:rsidRPr="00FA40FE">
        <w:rPr>
          <w:color w:val="222222"/>
          <w:shd w:val="clear" w:color="auto" w:fill="FFFFFF"/>
        </w:rPr>
        <w:t>., 2011</w:t>
      </w:r>
      <w:r w:rsidRPr="00FA40FE">
        <w:t>). The availability of early and extra-early accessions of Pigeonpea with good adaptability provides a scope for its cultivation as a sole crop in rotation with other crops in areas with a limited cultivation window (</w:t>
      </w:r>
      <w:r w:rsidRPr="00FA40FE">
        <w:rPr>
          <w:i/>
          <w:color w:val="222222"/>
          <w:shd w:val="clear" w:color="auto" w:fill="FFFFFF"/>
        </w:rPr>
        <w:t>Robertson et al</w:t>
      </w:r>
      <w:r w:rsidRPr="00FA40FE">
        <w:rPr>
          <w:color w:val="222222"/>
          <w:shd w:val="clear" w:color="auto" w:fill="FFFFFF"/>
        </w:rPr>
        <w:t>., 2001</w:t>
      </w:r>
      <w:r w:rsidRPr="00FA40FE">
        <w:t xml:space="preserve">). </w:t>
      </w:r>
      <w:r w:rsidRPr="009B6392">
        <w:t xml:space="preserve">Climate change has resulted in elevated variability in precipitation patterns, shortened growing seasons, and more frequent droughts, especially in rainfed and marginal agricultural regions. Creating </w:t>
      </w:r>
      <w:proofErr w:type="spellStart"/>
      <w:r w:rsidRPr="009B6392">
        <w:t>pigeonpea</w:t>
      </w:r>
      <w:proofErr w:type="spellEnd"/>
      <w:r w:rsidRPr="009B6392">
        <w:t xml:space="preserve"> varieties with diverse maturity lengths, particularly early and extra-early maturing types, allows farmers to adjust to changing climatic circumstances by optimizing sowing and harvesting periods, minimizing exposure to terminal drought, and enhancing crop resilience.</w:t>
      </w:r>
    </w:p>
    <w:p w14:paraId="777FD004" w14:textId="77777777" w:rsidR="00F92243" w:rsidRPr="00F92243" w:rsidRDefault="00F92243" w:rsidP="00441B6F">
      <w:pPr>
        <w:pStyle w:val="AbstHead"/>
        <w:spacing w:after="0"/>
        <w:jc w:val="both"/>
        <w:rPr>
          <w:rFonts w:cs="Arial"/>
          <w:b w:val="0"/>
          <w:sz w:val="20"/>
        </w:rPr>
      </w:pPr>
    </w:p>
    <w:p w14:paraId="7D5C295A" w14:textId="77777777" w:rsidR="00790ADA" w:rsidRPr="00FB3A86" w:rsidRDefault="00902823" w:rsidP="00441B6F">
      <w:pPr>
        <w:pStyle w:val="AbstHead"/>
        <w:spacing w:after="0"/>
        <w:jc w:val="both"/>
        <w:rPr>
          <w:rFonts w:cs="Arial"/>
        </w:rPr>
      </w:pPr>
      <w:r>
        <w:rPr>
          <w:rFonts w:cs="Arial"/>
        </w:rPr>
        <w:t>2. material and method</w:t>
      </w:r>
      <w:r w:rsidR="00000F8F">
        <w:rPr>
          <w:rFonts w:cs="Arial"/>
        </w:rPr>
        <w:t xml:space="preserve">s </w:t>
      </w:r>
    </w:p>
    <w:p w14:paraId="53AB644B" w14:textId="77777777" w:rsidR="00F92243" w:rsidRPr="00FA40FE" w:rsidRDefault="00F92243" w:rsidP="00F92243">
      <w:pPr>
        <w:jc w:val="both"/>
      </w:pPr>
      <w:r w:rsidRPr="00FA40FE">
        <w:t xml:space="preserve">The study was planned and executed at ICRISAT, </w:t>
      </w:r>
      <w:proofErr w:type="spellStart"/>
      <w:r w:rsidRPr="00FA40FE">
        <w:t>Patancheru</w:t>
      </w:r>
      <w:proofErr w:type="spellEnd"/>
      <w:r w:rsidRPr="00FA40FE">
        <w:t xml:space="preserve">, in 2023. The crop was cultivated in the </w:t>
      </w:r>
      <w:r w:rsidRPr="00FA40FE">
        <w:rPr>
          <w:i/>
        </w:rPr>
        <w:t>rabi</w:t>
      </w:r>
      <w:r w:rsidRPr="00FA40FE">
        <w:t xml:space="preserve"> season. The 250 lines of Pigeonpea International Genome-Wide Association Panel (PI-GAP) were taken up for this study. The material was sown in two replications, in alpha lattice design, at ICRISAT’s </w:t>
      </w:r>
      <w:proofErr w:type="spellStart"/>
      <w:r w:rsidRPr="00FA40FE">
        <w:t>Vertisol</w:t>
      </w:r>
      <w:proofErr w:type="spellEnd"/>
      <w:r w:rsidRPr="00FA40FE">
        <w:t xml:space="preserve"> soils. Each plot had a row length of 2m, the spacing between the rows adopted was 60 cm, and the spacing between the plants within a row was 20 cm. Each replication had 25 blocks, accounting for 50 blocks in both replications. The blocks contain 10 plots each, and the total number of plots is 500. The 250 lines in the study were evaluated for variability, heritability, and genetic advance, for days to maturity under </w:t>
      </w:r>
      <w:r w:rsidRPr="00FA40FE">
        <w:rPr>
          <w:i/>
        </w:rPr>
        <w:t>rabi</w:t>
      </w:r>
      <w:r w:rsidRPr="00FA40FE">
        <w:t xml:space="preserve"> cultivation. The agronomic and pest management practices were followed per the recommendations to raise a healthy crop. The days to maturity was recorded for the lines when 80% of the pods had turned brown. </w:t>
      </w:r>
    </w:p>
    <w:p w14:paraId="71338229" w14:textId="77777777" w:rsidR="00790ADA" w:rsidRPr="00F92243" w:rsidRDefault="00F92243" w:rsidP="00F92243">
      <w:pPr>
        <w:jc w:val="both"/>
      </w:pPr>
      <w:r w:rsidRPr="00FA40FE">
        <w:t xml:space="preserve">For the analysis of the data, Burton's (1952) methodology was used to calculate the genotypic and phenotypic coefficients of variation. The approach suggested by Lush (1940) was used to evaluate heritability, and Johnson </w:t>
      </w:r>
      <w:r w:rsidRPr="00FA40FE">
        <w:rPr>
          <w:i/>
        </w:rPr>
        <w:t>et al.</w:t>
      </w:r>
      <w:r w:rsidRPr="00FA40FE">
        <w:t xml:space="preserve"> (1955) provided the methodology for estimating genetic advance. The data was analyzed using R version 4.5.0. The package “lme4” was used to structure the ANOVA (Analysis of Variance) utilizing the mixed-effect models. The package “</w:t>
      </w:r>
      <w:proofErr w:type="spellStart"/>
      <w:r w:rsidRPr="00FA40FE">
        <w:t>lmerTest</w:t>
      </w:r>
      <w:proofErr w:type="spellEnd"/>
      <w:r w:rsidRPr="00FA40FE">
        <w:t>” was employed to test the hypothesis; “</w:t>
      </w:r>
      <w:proofErr w:type="spellStart"/>
      <w:r w:rsidRPr="00FA40FE">
        <w:t>dplyr</w:t>
      </w:r>
      <w:proofErr w:type="spellEnd"/>
      <w:r w:rsidRPr="00FA40FE">
        <w:t>” was used for summarizing the data, and “ggplot2” was employed for creating the visualization plots. Correlation analysis was executed using the base R stats package. The Principal Component Analysis was executed utilizing the “</w:t>
      </w:r>
      <w:proofErr w:type="spellStart"/>
      <w:r w:rsidRPr="00FA40FE">
        <w:t>prcomp</w:t>
      </w:r>
      <w:proofErr w:type="spellEnd"/>
      <w:r w:rsidRPr="00FA40FE">
        <w:t xml:space="preserve">” function of the stats package in R. </w:t>
      </w:r>
    </w:p>
    <w:p w14:paraId="601554D4"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2D64459F" w14:textId="77777777" w:rsidR="00F92243" w:rsidRPr="00FA40FE" w:rsidRDefault="00F92243" w:rsidP="00F92243">
      <w:pPr>
        <w:pStyle w:val="Heading1"/>
      </w:pPr>
      <w:r w:rsidRPr="00FA40FE">
        <w:t>3.1 Descriptive statistics, Frequency distribution and ANOVA</w:t>
      </w:r>
    </w:p>
    <w:p w14:paraId="7ACFC138" w14:textId="77777777" w:rsidR="00F92243" w:rsidRDefault="00F92243" w:rsidP="00F92243">
      <w:pPr>
        <w:jc w:val="both"/>
      </w:pPr>
      <w:r w:rsidRPr="00FA40FE">
        <w:t>Significant diversity for this feature in the population was shown by the extensive range of variation seen in the descriptive statistics for days to maturity among the genotypes that were assessed</w:t>
      </w:r>
      <w:r>
        <w:t xml:space="preserve"> (Table 1)</w:t>
      </w:r>
      <w:r w:rsidRPr="00FA40FE">
        <w:t xml:space="preserve">. The average days to maturity was 141 days. Both extremely early and very late maturing genotypes were present, as exhibited by the minimum and maximum values of 92 and 209 days, respectively. The range of maturity for the panel was 117 days in the off-season, which suggests a high level of genetic variability. The data dispersion around the mean is represented by the standard deviation (SD) of 27.3 days. Yohane </w:t>
      </w:r>
      <w:r w:rsidRPr="00FA40FE">
        <w:rPr>
          <w:i/>
        </w:rPr>
        <w:t>et al.</w:t>
      </w:r>
      <w:r w:rsidRPr="00FA40FE">
        <w:t xml:space="preserve"> (2020) reported that the SD ranged from 11.9 to 22 days for days to maturity among the eighty-one genotypes that they included in the study. The genotypes have exhibited a moderate variability supported by a coefficient of variation (CV) of 19.4%, moderate CV was also reported for the trait by Yohane </w:t>
      </w:r>
      <w:r w:rsidRPr="00FA40FE">
        <w:rPr>
          <w:i/>
        </w:rPr>
        <w:t>et al.</w:t>
      </w:r>
      <w:r w:rsidRPr="00FA40FE">
        <w:t xml:space="preserve"> (2022). This amount of variability exhibited is adequate for effective selection in breeding programs aiming for early or late maturity, based on the cropping system or agroecological needs. </w:t>
      </w:r>
    </w:p>
    <w:p w14:paraId="0F348718" w14:textId="77777777" w:rsidR="00521AAC" w:rsidRPr="00FA40FE" w:rsidRDefault="00521AAC" w:rsidP="00521AAC">
      <w:pPr>
        <w:pStyle w:val="Heading1"/>
      </w:pPr>
      <w:r w:rsidRPr="00FA40FE">
        <w:t>Table 1: Descriptive statistics for Days to Maturity</w:t>
      </w:r>
    </w:p>
    <w:tbl>
      <w:tblPr>
        <w:tblStyle w:val="TableGrid"/>
        <w:tblW w:w="0" w:type="auto"/>
        <w:jc w:val="center"/>
        <w:tblLook w:val="04A0" w:firstRow="1" w:lastRow="0" w:firstColumn="1" w:lastColumn="0" w:noHBand="0" w:noVBand="1"/>
      </w:tblPr>
      <w:tblGrid>
        <w:gridCol w:w="2833"/>
        <w:gridCol w:w="803"/>
      </w:tblGrid>
      <w:tr w:rsidR="00521AAC" w:rsidRPr="00FA40FE" w14:paraId="6022BC3A" w14:textId="77777777" w:rsidTr="00920B8D">
        <w:trPr>
          <w:jc w:val="center"/>
        </w:trPr>
        <w:tc>
          <w:tcPr>
            <w:tcW w:w="0" w:type="auto"/>
            <w:hideMark/>
          </w:tcPr>
          <w:p w14:paraId="6D2F6009" w14:textId="77777777" w:rsidR="00521AAC" w:rsidRPr="00FA40FE" w:rsidRDefault="00521AAC" w:rsidP="00521AAC">
            <w:pPr>
              <w:pStyle w:val="Heading1"/>
            </w:pPr>
            <w:r w:rsidRPr="00FA40FE">
              <w:t>Statistic</w:t>
            </w:r>
          </w:p>
        </w:tc>
        <w:tc>
          <w:tcPr>
            <w:tcW w:w="0" w:type="auto"/>
            <w:hideMark/>
          </w:tcPr>
          <w:p w14:paraId="4D841B93" w14:textId="77777777" w:rsidR="00521AAC" w:rsidRPr="00FA40FE" w:rsidRDefault="00521AAC" w:rsidP="00521AAC">
            <w:pPr>
              <w:pStyle w:val="Heading1"/>
            </w:pPr>
            <w:r w:rsidRPr="00FA40FE">
              <w:t>Value</w:t>
            </w:r>
          </w:p>
        </w:tc>
      </w:tr>
      <w:tr w:rsidR="00521AAC" w:rsidRPr="00FA40FE" w14:paraId="0B573D42" w14:textId="77777777" w:rsidTr="00920B8D">
        <w:trPr>
          <w:jc w:val="center"/>
        </w:trPr>
        <w:tc>
          <w:tcPr>
            <w:tcW w:w="0" w:type="auto"/>
            <w:hideMark/>
          </w:tcPr>
          <w:p w14:paraId="2F9BF781" w14:textId="77777777" w:rsidR="00521AAC" w:rsidRPr="00FA40FE" w:rsidRDefault="00521AAC" w:rsidP="00521AAC">
            <w:r w:rsidRPr="00FA40FE">
              <w:t>Mean (Days)</w:t>
            </w:r>
          </w:p>
        </w:tc>
        <w:tc>
          <w:tcPr>
            <w:tcW w:w="0" w:type="auto"/>
            <w:hideMark/>
          </w:tcPr>
          <w:p w14:paraId="0D72E210" w14:textId="77777777" w:rsidR="00521AAC" w:rsidRPr="00FA40FE" w:rsidRDefault="00521AAC" w:rsidP="00521AAC">
            <w:r w:rsidRPr="00FA40FE">
              <w:t>141.0</w:t>
            </w:r>
          </w:p>
        </w:tc>
      </w:tr>
      <w:tr w:rsidR="00521AAC" w:rsidRPr="00FA40FE" w14:paraId="2396B704" w14:textId="77777777" w:rsidTr="00920B8D">
        <w:trPr>
          <w:jc w:val="center"/>
        </w:trPr>
        <w:tc>
          <w:tcPr>
            <w:tcW w:w="0" w:type="auto"/>
            <w:hideMark/>
          </w:tcPr>
          <w:p w14:paraId="2CD5BE5B" w14:textId="77777777" w:rsidR="00521AAC" w:rsidRPr="00FA40FE" w:rsidRDefault="00521AAC" w:rsidP="00521AAC">
            <w:r w:rsidRPr="00FA40FE">
              <w:t>Minimum (Days)</w:t>
            </w:r>
          </w:p>
        </w:tc>
        <w:tc>
          <w:tcPr>
            <w:tcW w:w="0" w:type="auto"/>
            <w:hideMark/>
          </w:tcPr>
          <w:p w14:paraId="1EF47770" w14:textId="77777777" w:rsidR="00521AAC" w:rsidRPr="00FA40FE" w:rsidRDefault="00521AAC" w:rsidP="00521AAC">
            <w:r w:rsidRPr="00FA40FE">
              <w:t>92</w:t>
            </w:r>
          </w:p>
        </w:tc>
      </w:tr>
      <w:tr w:rsidR="00521AAC" w:rsidRPr="00FA40FE" w14:paraId="303CFF04" w14:textId="77777777" w:rsidTr="00920B8D">
        <w:trPr>
          <w:jc w:val="center"/>
        </w:trPr>
        <w:tc>
          <w:tcPr>
            <w:tcW w:w="0" w:type="auto"/>
            <w:hideMark/>
          </w:tcPr>
          <w:p w14:paraId="67F7D830" w14:textId="77777777" w:rsidR="00521AAC" w:rsidRPr="00FA40FE" w:rsidRDefault="00521AAC" w:rsidP="00521AAC">
            <w:r w:rsidRPr="00FA40FE">
              <w:t>Maximum (Days)</w:t>
            </w:r>
          </w:p>
        </w:tc>
        <w:tc>
          <w:tcPr>
            <w:tcW w:w="0" w:type="auto"/>
            <w:hideMark/>
          </w:tcPr>
          <w:p w14:paraId="2A2D8B12" w14:textId="77777777" w:rsidR="00521AAC" w:rsidRPr="00FA40FE" w:rsidRDefault="00521AAC" w:rsidP="00521AAC">
            <w:r w:rsidRPr="00FA40FE">
              <w:t>209</w:t>
            </w:r>
          </w:p>
        </w:tc>
      </w:tr>
      <w:tr w:rsidR="00521AAC" w:rsidRPr="00FA40FE" w14:paraId="45058B0A" w14:textId="77777777" w:rsidTr="00920B8D">
        <w:trPr>
          <w:jc w:val="center"/>
        </w:trPr>
        <w:tc>
          <w:tcPr>
            <w:tcW w:w="0" w:type="auto"/>
            <w:hideMark/>
          </w:tcPr>
          <w:p w14:paraId="2F100F40" w14:textId="77777777" w:rsidR="00521AAC" w:rsidRPr="00FA40FE" w:rsidRDefault="00521AAC" w:rsidP="00521AAC">
            <w:r w:rsidRPr="00FA40FE">
              <w:t>Standard Deviation</w:t>
            </w:r>
          </w:p>
        </w:tc>
        <w:tc>
          <w:tcPr>
            <w:tcW w:w="0" w:type="auto"/>
            <w:hideMark/>
          </w:tcPr>
          <w:p w14:paraId="1625D914" w14:textId="77777777" w:rsidR="00521AAC" w:rsidRPr="00FA40FE" w:rsidRDefault="00521AAC" w:rsidP="00521AAC">
            <w:r w:rsidRPr="00FA40FE">
              <w:t>27.3</w:t>
            </w:r>
          </w:p>
        </w:tc>
      </w:tr>
      <w:tr w:rsidR="00521AAC" w:rsidRPr="00FA40FE" w14:paraId="5C0D1B3C" w14:textId="77777777" w:rsidTr="00920B8D">
        <w:trPr>
          <w:jc w:val="center"/>
        </w:trPr>
        <w:tc>
          <w:tcPr>
            <w:tcW w:w="0" w:type="auto"/>
            <w:hideMark/>
          </w:tcPr>
          <w:p w14:paraId="00B3D002" w14:textId="77777777" w:rsidR="00521AAC" w:rsidRPr="00FA40FE" w:rsidRDefault="00521AAC" w:rsidP="00521AAC">
            <w:r w:rsidRPr="00FA40FE">
              <w:t>Coefficient of Variation (%)</w:t>
            </w:r>
          </w:p>
        </w:tc>
        <w:tc>
          <w:tcPr>
            <w:tcW w:w="0" w:type="auto"/>
            <w:hideMark/>
          </w:tcPr>
          <w:p w14:paraId="0D3F9A3F" w14:textId="77777777" w:rsidR="00521AAC" w:rsidRPr="00FA40FE" w:rsidRDefault="00521AAC" w:rsidP="00521AAC">
            <w:r w:rsidRPr="00FA40FE">
              <w:t>19.4</w:t>
            </w:r>
          </w:p>
        </w:tc>
      </w:tr>
    </w:tbl>
    <w:p w14:paraId="7DDAA28D" w14:textId="77777777" w:rsidR="00521AAC" w:rsidRPr="00FA40FE" w:rsidRDefault="00521AAC" w:rsidP="00F92243">
      <w:pPr>
        <w:jc w:val="both"/>
      </w:pPr>
    </w:p>
    <w:p w14:paraId="479AE3F9" w14:textId="77777777" w:rsidR="00F92243" w:rsidRDefault="00F92243" w:rsidP="00521AAC">
      <w:pPr>
        <w:jc w:val="both"/>
      </w:pPr>
      <w:r w:rsidRPr="00FA40FE">
        <w:t xml:space="preserve">The 250 genotypes were classified into five groups based on the maturity duration. The lines that mature between 90 and 120 days are grouped under extra early; between 120 and 150 days are classified as early; 150 and 165 days as mid-early; 165 and 180 days are grouped </w:t>
      </w:r>
      <w:r w:rsidRPr="00FA40FE">
        <w:lastRenderedPageBreak/>
        <w:t xml:space="preserve">under medium, and more than </w:t>
      </w:r>
      <w:r w:rsidRPr="00521AAC">
        <w:t>180 days are classified as late maturing (Figure 1). The frequency distribution revealed that the most significant proportion of genotypes (74 genotypes) belonged to the early maturity class, followed by late (66 genotypes) and extra early (64 genotypes) categories. The mid-early and medium classes had fewer genotypes, with 35 and 11 entries, respectively. This classification indicates the presence of genetic variation for maturity duration, which is beneficial for selection and targeted breeding. The early maturity group was the most</w:t>
      </w:r>
      <w:r w:rsidRPr="00FA40FE">
        <w:t xml:space="preserve"> populated, suggesting that early maturity is a common or desirable trait in the breeding material. </w:t>
      </w:r>
    </w:p>
    <w:p w14:paraId="1C289EE7" w14:textId="77777777" w:rsidR="000B30EE" w:rsidRDefault="000B30EE" w:rsidP="000B30EE">
      <w:pPr>
        <w:spacing w:line="360" w:lineRule="auto"/>
        <w:rPr>
          <w:noProof/>
        </w:rPr>
      </w:pPr>
      <w:r>
        <w:rPr>
          <w:noProof/>
        </w:rPr>
        <w:drawing>
          <wp:inline distT="0" distB="0" distL="0" distR="0" wp14:anchorId="2236BEEA" wp14:editId="2946EBFA">
            <wp:extent cx="5473700" cy="311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5D64B66B" w14:textId="77777777" w:rsidR="000B30EE" w:rsidRPr="000B30EE" w:rsidRDefault="000B30EE" w:rsidP="000B30EE">
      <w:pPr>
        <w:pStyle w:val="Heading1"/>
        <w:rPr>
          <w:noProof/>
        </w:rPr>
      </w:pPr>
      <w:r w:rsidRPr="005962DA">
        <w:rPr>
          <w:noProof/>
        </w:rPr>
        <w:t>Figure 1: Frequency distribution histogram for days to maturity</w:t>
      </w:r>
    </w:p>
    <w:p w14:paraId="7BB7110B" w14:textId="77777777" w:rsidR="00521AAC" w:rsidRPr="00FA40FE" w:rsidRDefault="00521AAC" w:rsidP="00521AAC">
      <w:pPr>
        <w:jc w:val="both"/>
      </w:pPr>
    </w:p>
    <w:p w14:paraId="3915BB99" w14:textId="77777777" w:rsidR="00F92243" w:rsidRDefault="00F92243" w:rsidP="00521AAC">
      <w:pPr>
        <w:jc w:val="both"/>
      </w:pPr>
      <w:r w:rsidRPr="00FA40FE">
        <w:rPr>
          <w:bCs/>
        </w:rPr>
        <w:t>Analysis of Variance (ANOVA)</w:t>
      </w:r>
      <w:r w:rsidRPr="00FA40FE">
        <w:t xml:space="preserve"> was executed using a mixed model approach to evaluate the significance of genotypic effects on days to maturity. The F-value obtained is 83.51, which is significantly high and indicates a substantial genetic variability among the lines</w:t>
      </w:r>
      <w:r>
        <w:t xml:space="preserve"> (Table 2)</w:t>
      </w:r>
      <w:r w:rsidRPr="00FA40FE">
        <w:t xml:space="preserve">. The p-value is extremely small, and the results show significance at p&lt;0.001. The considerable variation for days to maturity was recorded by Kumar </w:t>
      </w:r>
      <w:r w:rsidRPr="00FA40FE">
        <w:rPr>
          <w:i/>
        </w:rPr>
        <w:t>et al.</w:t>
      </w:r>
      <w:r w:rsidRPr="00FA40FE">
        <w:t xml:space="preserve"> (2023); </w:t>
      </w:r>
      <w:proofErr w:type="spellStart"/>
      <w:r w:rsidRPr="00FA40FE">
        <w:t>Dhanushasree</w:t>
      </w:r>
      <w:proofErr w:type="spellEnd"/>
      <w:r w:rsidRPr="00FA40FE">
        <w:t xml:space="preserve"> and Hemavathy (2022). This high significance level suggests that the observed variation in maturity duration is not due to chance but mainly genetic differences among genotypes, making </w:t>
      </w:r>
      <w:r w:rsidRPr="00FA40FE">
        <w:rPr>
          <w:bCs/>
        </w:rPr>
        <w:t>selection and genetic improvement feasible</w:t>
      </w:r>
      <w:r w:rsidRPr="00FA40FE">
        <w:t xml:space="preserve">. </w:t>
      </w:r>
    </w:p>
    <w:p w14:paraId="11CAA5F1" w14:textId="77777777" w:rsidR="00521AAC" w:rsidRPr="00FA40FE" w:rsidRDefault="00521AAC" w:rsidP="00521AAC">
      <w:pPr>
        <w:pStyle w:val="Heading1"/>
      </w:pPr>
      <w:r w:rsidRPr="00FA40FE">
        <w:t>Table 2: ANOVA for Days to Maturity</w:t>
      </w:r>
    </w:p>
    <w:tbl>
      <w:tblPr>
        <w:tblStyle w:val="TableGrid"/>
        <w:tblW w:w="9895" w:type="dxa"/>
        <w:tblLook w:val="04A0" w:firstRow="1" w:lastRow="0" w:firstColumn="1" w:lastColumn="0" w:noHBand="0" w:noVBand="1"/>
      </w:tblPr>
      <w:tblGrid>
        <w:gridCol w:w="1094"/>
        <w:gridCol w:w="1284"/>
        <w:gridCol w:w="1251"/>
        <w:gridCol w:w="1315"/>
        <w:gridCol w:w="1115"/>
        <w:gridCol w:w="1080"/>
        <w:gridCol w:w="1244"/>
        <w:gridCol w:w="1512"/>
      </w:tblGrid>
      <w:tr w:rsidR="00521AAC" w:rsidRPr="00FA40FE" w14:paraId="1D29CED3" w14:textId="77777777" w:rsidTr="00920B8D">
        <w:tc>
          <w:tcPr>
            <w:tcW w:w="0" w:type="auto"/>
            <w:hideMark/>
          </w:tcPr>
          <w:p w14:paraId="264CBB5C" w14:textId="77777777" w:rsidR="00521AAC" w:rsidRPr="00FA40FE" w:rsidRDefault="00521AAC" w:rsidP="00521AAC">
            <w:pPr>
              <w:pStyle w:val="Heading1"/>
            </w:pPr>
            <w:r w:rsidRPr="00FA40FE">
              <w:t>Source</w:t>
            </w:r>
          </w:p>
        </w:tc>
        <w:tc>
          <w:tcPr>
            <w:tcW w:w="1284" w:type="dxa"/>
            <w:hideMark/>
          </w:tcPr>
          <w:p w14:paraId="68BC83B9" w14:textId="77777777" w:rsidR="00521AAC" w:rsidRPr="00FA40FE" w:rsidRDefault="00521AAC" w:rsidP="00521AAC">
            <w:pPr>
              <w:pStyle w:val="Heading1"/>
            </w:pPr>
            <w:r w:rsidRPr="00FA40FE">
              <w:t>Sum of Squares</w:t>
            </w:r>
          </w:p>
        </w:tc>
        <w:tc>
          <w:tcPr>
            <w:tcW w:w="1251" w:type="dxa"/>
            <w:hideMark/>
          </w:tcPr>
          <w:p w14:paraId="23163F1A" w14:textId="77777777" w:rsidR="00521AAC" w:rsidRPr="00FA40FE" w:rsidRDefault="00521AAC" w:rsidP="00521AAC">
            <w:pPr>
              <w:pStyle w:val="Heading1"/>
            </w:pPr>
            <w:r w:rsidRPr="00FA40FE">
              <w:t>Mean Square</w:t>
            </w:r>
          </w:p>
        </w:tc>
        <w:tc>
          <w:tcPr>
            <w:tcW w:w="1315" w:type="dxa"/>
            <w:hideMark/>
          </w:tcPr>
          <w:p w14:paraId="277F9BB1" w14:textId="77777777" w:rsidR="00521AAC" w:rsidRPr="00FA40FE" w:rsidRDefault="00521AAC" w:rsidP="00521AAC">
            <w:pPr>
              <w:pStyle w:val="Heading1"/>
            </w:pPr>
            <w:r w:rsidRPr="00FA40FE">
              <w:t>(</w:t>
            </w:r>
            <w:proofErr w:type="spellStart"/>
            <w:r w:rsidRPr="00FA40FE">
              <w:t>NumDF</w:t>
            </w:r>
            <w:proofErr w:type="spellEnd"/>
            <w:r w:rsidRPr="00FA40FE">
              <w:t>)</w:t>
            </w:r>
          </w:p>
        </w:tc>
        <w:tc>
          <w:tcPr>
            <w:tcW w:w="1115" w:type="dxa"/>
            <w:hideMark/>
          </w:tcPr>
          <w:p w14:paraId="6584A792" w14:textId="77777777" w:rsidR="00521AAC" w:rsidRPr="00FA40FE" w:rsidRDefault="00521AAC" w:rsidP="00521AAC">
            <w:pPr>
              <w:pStyle w:val="Heading1"/>
            </w:pPr>
            <w:r w:rsidRPr="00FA40FE">
              <w:t>(</w:t>
            </w:r>
            <w:proofErr w:type="spellStart"/>
            <w:r w:rsidRPr="00FA40FE">
              <w:t>DenDF</w:t>
            </w:r>
            <w:proofErr w:type="spellEnd"/>
            <w:r w:rsidRPr="00FA40FE">
              <w:t>)</w:t>
            </w:r>
          </w:p>
        </w:tc>
        <w:tc>
          <w:tcPr>
            <w:tcW w:w="1080" w:type="dxa"/>
            <w:hideMark/>
          </w:tcPr>
          <w:p w14:paraId="2D1D76D0" w14:textId="77777777" w:rsidR="00521AAC" w:rsidRPr="00FA40FE" w:rsidRDefault="00521AAC" w:rsidP="00521AAC">
            <w:pPr>
              <w:pStyle w:val="Heading1"/>
            </w:pPr>
            <w:r w:rsidRPr="00FA40FE">
              <w:t>F Value</w:t>
            </w:r>
          </w:p>
        </w:tc>
        <w:tc>
          <w:tcPr>
            <w:tcW w:w="1244" w:type="dxa"/>
            <w:hideMark/>
          </w:tcPr>
          <w:p w14:paraId="5E63DD2E" w14:textId="77777777" w:rsidR="00521AAC" w:rsidRPr="00FA40FE" w:rsidRDefault="00521AAC" w:rsidP="00521AAC">
            <w:pPr>
              <w:pStyle w:val="Heading1"/>
            </w:pPr>
            <w:proofErr w:type="spellStart"/>
            <w:r w:rsidRPr="00FA40FE">
              <w:t>Pr</w:t>
            </w:r>
            <w:proofErr w:type="spellEnd"/>
            <w:r w:rsidRPr="00FA40FE">
              <w:t>(&gt;F)</w:t>
            </w:r>
          </w:p>
        </w:tc>
        <w:tc>
          <w:tcPr>
            <w:tcW w:w="1456" w:type="dxa"/>
            <w:hideMark/>
          </w:tcPr>
          <w:p w14:paraId="382922D3" w14:textId="77777777" w:rsidR="00521AAC" w:rsidRPr="00FA40FE" w:rsidRDefault="00521AAC" w:rsidP="00521AAC">
            <w:pPr>
              <w:pStyle w:val="Heading1"/>
            </w:pPr>
            <w:r w:rsidRPr="00FA40FE">
              <w:t>Significance</w:t>
            </w:r>
          </w:p>
        </w:tc>
      </w:tr>
      <w:tr w:rsidR="00521AAC" w:rsidRPr="00FA40FE" w14:paraId="4E3F0F43" w14:textId="77777777" w:rsidTr="00920B8D">
        <w:tc>
          <w:tcPr>
            <w:tcW w:w="0" w:type="auto"/>
            <w:hideMark/>
          </w:tcPr>
          <w:p w14:paraId="67F023C8" w14:textId="77777777" w:rsidR="00521AAC" w:rsidRPr="00521AAC" w:rsidRDefault="00521AAC" w:rsidP="00521AAC">
            <w:pPr>
              <w:rPr>
                <w:sz w:val="20"/>
                <w:szCs w:val="20"/>
              </w:rPr>
            </w:pPr>
            <w:r w:rsidRPr="00521AAC">
              <w:rPr>
                <w:sz w:val="20"/>
                <w:szCs w:val="20"/>
              </w:rPr>
              <w:t>Genotype</w:t>
            </w:r>
          </w:p>
        </w:tc>
        <w:tc>
          <w:tcPr>
            <w:tcW w:w="1284" w:type="dxa"/>
            <w:hideMark/>
          </w:tcPr>
          <w:p w14:paraId="0299932A" w14:textId="77777777" w:rsidR="00521AAC" w:rsidRPr="00521AAC" w:rsidRDefault="00521AAC" w:rsidP="00521AAC">
            <w:pPr>
              <w:rPr>
                <w:sz w:val="20"/>
                <w:szCs w:val="20"/>
              </w:rPr>
            </w:pPr>
            <w:r w:rsidRPr="00521AAC">
              <w:rPr>
                <w:sz w:val="20"/>
                <w:szCs w:val="20"/>
              </w:rPr>
              <w:t>340,407</w:t>
            </w:r>
          </w:p>
        </w:tc>
        <w:tc>
          <w:tcPr>
            <w:tcW w:w="1251" w:type="dxa"/>
            <w:hideMark/>
          </w:tcPr>
          <w:p w14:paraId="58AF6E20" w14:textId="77777777" w:rsidR="00521AAC" w:rsidRPr="00521AAC" w:rsidRDefault="00521AAC" w:rsidP="00521AAC">
            <w:pPr>
              <w:rPr>
                <w:sz w:val="20"/>
                <w:szCs w:val="20"/>
              </w:rPr>
            </w:pPr>
            <w:r w:rsidRPr="00521AAC">
              <w:rPr>
                <w:sz w:val="20"/>
                <w:szCs w:val="20"/>
              </w:rPr>
              <w:t>1,436.3</w:t>
            </w:r>
          </w:p>
        </w:tc>
        <w:tc>
          <w:tcPr>
            <w:tcW w:w="1315" w:type="dxa"/>
            <w:hideMark/>
          </w:tcPr>
          <w:p w14:paraId="5D20A07C" w14:textId="77777777" w:rsidR="00521AAC" w:rsidRPr="00521AAC" w:rsidRDefault="00521AAC" w:rsidP="00521AAC">
            <w:pPr>
              <w:rPr>
                <w:sz w:val="20"/>
                <w:szCs w:val="20"/>
              </w:rPr>
            </w:pPr>
            <w:r w:rsidRPr="00521AAC">
              <w:rPr>
                <w:sz w:val="20"/>
                <w:szCs w:val="20"/>
              </w:rPr>
              <w:t>237</w:t>
            </w:r>
          </w:p>
        </w:tc>
        <w:tc>
          <w:tcPr>
            <w:tcW w:w="1115" w:type="dxa"/>
            <w:hideMark/>
          </w:tcPr>
          <w:p w14:paraId="47B9A43E" w14:textId="77777777" w:rsidR="00521AAC" w:rsidRPr="00521AAC" w:rsidRDefault="00521AAC" w:rsidP="00521AAC">
            <w:pPr>
              <w:rPr>
                <w:sz w:val="20"/>
                <w:szCs w:val="20"/>
              </w:rPr>
            </w:pPr>
            <w:r w:rsidRPr="00521AAC">
              <w:rPr>
                <w:sz w:val="20"/>
                <w:szCs w:val="20"/>
              </w:rPr>
              <w:t>223.01</w:t>
            </w:r>
          </w:p>
        </w:tc>
        <w:tc>
          <w:tcPr>
            <w:tcW w:w="1080" w:type="dxa"/>
            <w:hideMark/>
          </w:tcPr>
          <w:p w14:paraId="37DEA748" w14:textId="77777777" w:rsidR="00521AAC" w:rsidRPr="00521AAC" w:rsidRDefault="00521AAC" w:rsidP="00521AAC">
            <w:pPr>
              <w:rPr>
                <w:sz w:val="20"/>
                <w:szCs w:val="20"/>
              </w:rPr>
            </w:pPr>
            <w:r w:rsidRPr="00521AAC">
              <w:rPr>
                <w:sz w:val="20"/>
                <w:szCs w:val="20"/>
              </w:rPr>
              <w:t>83.51</w:t>
            </w:r>
          </w:p>
        </w:tc>
        <w:tc>
          <w:tcPr>
            <w:tcW w:w="1244" w:type="dxa"/>
            <w:hideMark/>
          </w:tcPr>
          <w:p w14:paraId="73C436F1" w14:textId="77777777" w:rsidR="00521AAC" w:rsidRPr="00521AAC" w:rsidRDefault="00521AAC" w:rsidP="00521AAC">
            <w:pPr>
              <w:rPr>
                <w:sz w:val="20"/>
                <w:szCs w:val="20"/>
              </w:rPr>
            </w:pPr>
            <w:r w:rsidRPr="00521AAC">
              <w:rPr>
                <w:sz w:val="20"/>
                <w:szCs w:val="20"/>
              </w:rPr>
              <w:t>&lt; 2.2e-16</w:t>
            </w:r>
          </w:p>
        </w:tc>
        <w:tc>
          <w:tcPr>
            <w:tcW w:w="1456" w:type="dxa"/>
            <w:hideMark/>
          </w:tcPr>
          <w:p w14:paraId="497CA7D2" w14:textId="77777777" w:rsidR="00521AAC" w:rsidRPr="00521AAC" w:rsidRDefault="00521AAC" w:rsidP="00521AAC">
            <w:pPr>
              <w:rPr>
                <w:sz w:val="20"/>
                <w:szCs w:val="20"/>
              </w:rPr>
            </w:pPr>
            <w:r w:rsidRPr="00521AAC">
              <w:rPr>
                <w:sz w:val="20"/>
                <w:szCs w:val="20"/>
              </w:rPr>
              <w:t>***</w:t>
            </w:r>
          </w:p>
        </w:tc>
      </w:tr>
    </w:tbl>
    <w:p w14:paraId="64394D5D" w14:textId="77777777" w:rsidR="00521AAC" w:rsidRPr="00FA40FE" w:rsidRDefault="00521AAC" w:rsidP="00521AAC">
      <w:pPr>
        <w:pStyle w:val="Caption"/>
      </w:pPr>
    </w:p>
    <w:p w14:paraId="0559C254" w14:textId="77777777" w:rsidR="00F92243" w:rsidRPr="00FA40FE" w:rsidRDefault="00F92243" w:rsidP="00521AAC">
      <w:pPr>
        <w:pStyle w:val="Heading1"/>
      </w:pPr>
      <w:r w:rsidRPr="00FA40FE">
        <w:t>3.2 Performance of Top and Bottom Ten Genotypes</w:t>
      </w:r>
    </w:p>
    <w:p w14:paraId="5F80C650" w14:textId="77777777" w:rsidR="00F92243" w:rsidRDefault="00F92243" w:rsidP="00521AAC">
      <w:pPr>
        <w:jc w:val="both"/>
      </w:pPr>
      <w:r w:rsidRPr="00FA40FE">
        <w:t>The panel selected for the study has a wide range of days to maturity. The bottom ten entries (Table</w:t>
      </w:r>
      <w:r>
        <w:t xml:space="preserve"> 3</w:t>
      </w:r>
      <w:r w:rsidRPr="00FA40FE">
        <w:t xml:space="preserve">) constitute the extra-early maturing groups. ICP 10904 is the earliest </w:t>
      </w:r>
      <w:r w:rsidRPr="00FA40FE">
        <w:lastRenderedPageBreak/>
        <w:t xml:space="preserve">maturing entry in 94 days, followed by ICP 6370 (99 days). The bottom ten lines ranged from 94 to 118 days. These lines, which are included in the bottom ten, can be utilized for short-season cultivation or intercropping, where early harvesting is preferred. The top ten entries listed are the ones that potentially take a longer time to mature and constitute late-maturing entries. The entries </w:t>
      </w:r>
      <w:r w:rsidRPr="00FA40FE">
        <w:rPr>
          <w:bCs/>
        </w:rPr>
        <w:t>ICP 5863, ICP 8144, ICP 11321, ICP 11406, ICP 11823, ICP 14294, and ICP 14545</w:t>
      </w:r>
      <w:r w:rsidRPr="00FA40FE">
        <w:t xml:space="preserve"> matured around 205 days. The entries ICP 7375 and ICP 9577 matured at 209 days. The selection from the longer duration entries can be aided based on the area preference where the perennial red gram is grown and where the marginal lands are available for cultivation. </w:t>
      </w:r>
    </w:p>
    <w:p w14:paraId="6A44D4EF" w14:textId="77777777" w:rsidR="00521AAC" w:rsidRPr="00FA40FE" w:rsidRDefault="00521AAC" w:rsidP="00521AAC">
      <w:pPr>
        <w:pStyle w:val="Heading1"/>
      </w:pPr>
      <w:r w:rsidRPr="00FA40FE">
        <w:t>Table 3: List of Top and Bottom entries for Days to Maturity</w:t>
      </w:r>
    </w:p>
    <w:tbl>
      <w:tblPr>
        <w:tblStyle w:val="TableGrid"/>
        <w:tblW w:w="0" w:type="auto"/>
        <w:tblLook w:val="04A0" w:firstRow="1" w:lastRow="0" w:firstColumn="1" w:lastColumn="0" w:noHBand="0" w:noVBand="1"/>
      </w:tblPr>
      <w:tblGrid>
        <w:gridCol w:w="755"/>
        <w:gridCol w:w="2911"/>
        <w:gridCol w:w="1109"/>
        <w:gridCol w:w="2540"/>
        <w:gridCol w:w="1109"/>
      </w:tblGrid>
      <w:tr w:rsidR="00521AAC" w:rsidRPr="00FA40FE" w14:paraId="332DE410" w14:textId="77777777" w:rsidTr="00920B8D">
        <w:tc>
          <w:tcPr>
            <w:tcW w:w="0" w:type="auto"/>
            <w:hideMark/>
          </w:tcPr>
          <w:p w14:paraId="6DA9C7E9" w14:textId="77777777" w:rsidR="00521AAC" w:rsidRPr="00BD31E1" w:rsidRDefault="00521AAC" w:rsidP="00521AAC">
            <w:pPr>
              <w:pStyle w:val="Heading1"/>
              <w:rPr>
                <w:bCs/>
              </w:rPr>
            </w:pPr>
            <w:r w:rsidRPr="00FA40FE">
              <w:rPr>
                <w:bCs/>
              </w:rPr>
              <w:t>Rank</w:t>
            </w:r>
          </w:p>
        </w:tc>
        <w:tc>
          <w:tcPr>
            <w:tcW w:w="0" w:type="auto"/>
            <w:hideMark/>
          </w:tcPr>
          <w:p w14:paraId="256735D9" w14:textId="77777777" w:rsidR="00521AAC" w:rsidRPr="00BD31E1" w:rsidRDefault="00521AAC" w:rsidP="00521AAC">
            <w:pPr>
              <w:pStyle w:val="Heading1"/>
              <w:rPr>
                <w:bCs/>
              </w:rPr>
            </w:pPr>
            <w:r w:rsidRPr="00FA40FE">
              <w:rPr>
                <w:bCs/>
              </w:rPr>
              <w:t>Early maturing lines (Bottom)</w:t>
            </w:r>
          </w:p>
        </w:tc>
        <w:tc>
          <w:tcPr>
            <w:tcW w:w="0" w:type="auto"/>
            <w:hideMark/>
          </w:tcPr>
          <w:p w14:paraId="03899795" w14:textId="77777777" w:rsidR="00521AAC" w:rsidRPr="00BD31E1" w:rsidRDefault="00521AAC" w:rsidP="00521AAC">
            <w:pPr>
              <w:pStyle w:val="Heading1"/>
              <w:rPr>
                <w:bCs/>
              </w:rPr>
            </w:pPr>
            <w:r w:rsidRPr="00FA40FE">
              <w:rPr>
                <w:bCs/>
              </w:rPr>
              <w:t>Mean DM</w:t>
            </w:r>
          </w:p>
        </w:tc>
        <w:tc>
          <w:tcPr>
            <w:tcW w:w="0" w:type="auto"/>
          </w:tcPr>
          <w:p w14:paraId="5088E91F" w14:textId="77777777" w:rsidR="00521AAC" w:rsidRPr="00FA40FE" w:rsidRDefault="00521AAC" w:rsidP="00521AAC">
            <w:pPr>
              <w:pStyle w:val="Heading1"/>
              <w:rPr>
                <w:bCs/>
              </w:rPr>
            </w:pPr>
            <w:r w:rsidRPr="00FA40FE">
              <w:rPr>
                <w:bCs/>
              </w:rPr>
              <w:t>Late maturing lines (Top)</w:t>
            </w:r>
          </w:p>
        </w:tc>
        <w:tc>
          <w:tcPr>
            <w:tcW w:w="0" w:type="auto"/>
          </w:tcPr>
          <w:p w14:paraId="2F643ABB" w14:textId="77777777" w:rsidR="00521AAC" w:rsidRPr="00FA40FE" w:rsidRDefault="00521AAC" w:rsidP="00521AAC">
            <w:pPr>
              <w:pStyle w:val="Heading1"/>
              <w:rPr>
                <w:bCs/>
              </w:rPr>
            </w:pPr>
            <w:r w:rsidRPr="00FA40FE">
              <w:rPr>
                <w:bCs/>
              </w:rPr>
              <w:t>Mean DM</w:t>
            </w:r>
          </w:p>
        </w:tc>
      </w:tr>
      <w:tr w:rsidR="00521AAC" w:rsidRPr="00FA40FE" w14:paraId="263D049F" w14:textId="77777777" w:rsidTr="00920B8D">
        <w:tc>
          <w:tcPr>
            <w:tcW w:w="0" w:type="auto"/>
            <w:hideMark/>
          </w:tcPr>
          <w:p w14:paraId="02930246" w14:textId="77777777" w:rsidR="00521AAC" w:rsidRPr="00521AAC" w:rsidRDefault="00521AAC" w:rsidP="00521AAC">
            <w:pPr>
              <w:rPr>
                <w:sz w:val="20"/>
                <w:szCs w:val="20"/>
              </w:rPr>
            </w:pPr>
            <w:r w:rsidRPr="00521AAC">
              <w:rPr>
                <w:sz w:val="20"/>
                <w:szCs w:val="20"/>
              </w:rPr>
              <w:t>1</w:t>
            </w:r>
          </w:p>
        </w:tc>
        <w:tc>
          <w:tcPr>
            <w:tcW w:w="0" w:type="auto"/>
            <w:hideMark/>
          </w:tcPr>
          <w:p w14:paraId="5CCADD58" w14:textId="77777777" w:rsidR="00521AAC" w:rsidRPr="00521AAC" w:rsidRDefault="00521AAC" w:rsidP="00521AAC">
            <w:pPr>
              <w:rPr>
                <w:sz w:val="20"/>
                <w:szCs w:val="20"/>
              </w:rPr>
            </w:pPr>
            <w:r w:rsidRPr="00521AAC">
              <w:rPr>
                <w:sz w:val="20"/>
                <w:szCs w:val="20"/>
              </w:rPr>
              <w:t xml:space="preserve">ICP 10904 (G20) </w:t>
            </w:r>
          </w:p>
        </w:tc>
        <w:tc>
          <w:tcPr>
            <w:tcW w:w="0" w:type="auto"/>
            <w:hideMark/>
          </w:tcPr>
          <w:p w14:paraId="6D9A4F5C" w14:textId="77777777" w:rsidR="00521AAC" w:rsidRPr="00521AAC" w:rsidRDefault="00521AAC" w:rsidP="00521AAC">
            <w:pPr>
              <w:rPr>
                <w:sz w:val="20"/>
                <w:szCs w:val="20"/>
              </w:rPr>
            </w:pPr>
            <w:r w:rsidRPr="00521AAC">
              <w:rPr>
                <w:sz w:val="20"/>
                <w:szCs w:val="20"/>
              </w:rPr>
              <w:t>94.0</w:t>
            </w:r>
          </w:p>
        </w:tc>
        <w:tc>
          <w:tcPr>
            <w:tcW w:w="0" w:type="auto"/>
          </w:tcPr>
          <w:p w14:paraId="53E37DD2" w14:textId="77777777" w:rsidR="00521AAC" w:rsidRPr="00521AAC" w:rsidRDefault="00521AAC" w:rsidP="00521AAC">
            <w:pPr>
              <w:rPr>
                <w:sz w:val="20"/>
                <w:szCs w:val="20"/>
              </w:rPr>
            </w:pPr>
            <w:r w:rsidRPr="00521AAC">
              <w:rPr>
                <w:sz w:val="20"/>
                <w:szCs w:val="20"/>
              </w:rPr>
              <w:t>ICP 5863 (G153)</w:t>
            </w:r>
          </w:p>
        </w:tc>
        <w:tc>
          <w:tcPr>
            <w:tcW w:w="0" w:type="auto"/>
          </w:tcPr>
          <w:p w14:paraId="595ED5CD" w14:textId="77777777" w:rsidR="00521AAC" w:rsidRPr="00521AAC" w:rsidRDefault="00521AAC" w:rsidP="00521AAC">
            <w:pPr>
              <w:rPr>
                <w:sz w:val="20"/>
                <w:szCs w:val="20"/>
              </w:rPr>
            </w:pPr>
            <w:r w:rsidRPr="00521AAC">
              <w:rPr>
                <w:sz w:val="20"/>
                <w:szCs w:val="20"/>
              </w:rPr>
              <w:t>205.0</w:t>
            </w:r>
          </w:p>
        </w:tc>
      </w:tr>
      <w:tr w:rsidR="00521AAC" w:rsidRPr="00FA40FE" w14:paraId="140A7894" w14:textId="77777777" w:rsidTr="00920B8D">
        <w:tc>
          <w:tcPr>
            <w:tcW w:w="0" w:type="auto"/>
            <w:hideMark/>
          </w:tcPr>
          <w:p w14:paraId="0DE717DD" w14:textId="77777777" w:rsidR="00521AAC" w:rsidRPr="00521AAC" w:rsidRDefault="00521AAC" w:rsidP="00521AAC">
            <w:pPr>
              <w:rPr>
                <w:sz w:val="20"/>
                <w:szCs w:val="20"/>
              </w:rPr>
            </w:pPr>
            <w:r w:rsidRPr="00521AAC">
              <w:rPr>
                <w:sz w:val="20"/>
                <w:szCs w:val="20"/>
              </w:rPr>
              <w:t>2</w:t>
            </w:r>
          </w:p>
        </w:tc>
        <w:tc>
          <w:tcPr>
            <w:tcW w:w="0" w:type="auto"/>
            <w:hideMark/>
          </w:tcPr>
          <w:p w14:paraId="758B336D" w14:textId="77777777" w:rsidR="00521AAC" w:rsidRPr="00521AAC" w:rsidRDefault="00521AAC" w:rsidP="00521AAC">
            <w:pPr>
              <w:rPr>
                <w:sz w:val="20"/>
                <w:szCs w:val="20"/>
              </w:rPr>
            </w:pPr>
            <w:r w:rsidRPr="00521AAC">
              <w:rPr>
                <w:sz w:val="20"/>
                <w:szCs w:val="20"/>
              </w:rPr>
              <w:t>ICP 6370 (G159)</w:t>
            </w:r>
          </w:p>
        </w:tc>
        <w:tc>
          <w:tcPr>
            <w:tcW w:w="0" w:type="auto"/>
            <w:hideMark/>
          </w:tcPr>
          <w:p w14:paraId="7840DB00" w14:textId="77777777" w:rsidR="00521AAC" w:rsidRPr="00521AAC" w:rsidRDefault="00521AAC" w:rsidP="00521AAC">
            <w:pPr>
              <w:rPr>
                <w:sz w:val="20"/>
                <w:szCs w:val="20"/>
              </w:rPr>
            </w:pPr>
            <w:r w:rsidRPr="00521AAC">
              <w:rPr>
                <w:sz w:val="20"/>
                <w:szCs w:val="20"/>
              </w:rPr>
              <w:t>99.0</w:t>
            </w:r>
          </w:p>
        </w:tc>
        <w:tc>
          <w:tcPr>
            <w:tcW w:w="0" w:type="auto"/>
          </w:tcPr>
          <w:p w14:paraId="6B1E7952" w14:textId="77777777" w:rsidR="00521AAC" w:rsidRPr="00521AAC" w:rsidRDefault="00521AAC" w:rsidP="00521AAC">
            <w:pPr>
              <w:rPr>
                <w:sz w:val="20"/>
                <w:szCs w:val="20"/>
              </w:rPr>
            </w:pPr>
            <w:r w:rsidRPr="00521AAC">
              <w:rPr>
                <w:sz w:val="20"/>
                <w:szCs w:val="20"/>
              </w:rPr>
              <w:t>ICP 8144 (G208)</w:t>
            </w:r>
          </w:p>
        </w:tc>
        <w:tc>
          <w:tcPr>
            <w:tcW w:w="0" w:type="auto"/>
          </w:tcPr>
          <w:p w14:paraId="0B213567" w14:textId="77777777" w:rsidR="00521AAC" w:rsidRPr="00521AAC" w:rsidRDefault="00521AAC" w:rsidP="00521AAC">
            <w:pPr>
              <w:rPr>
                <w:sz w:val="20"/>
                <w:szCs w:val="20"/>
              </w:rPr>
            </w:pPr>
            <w:r w:rsidRPr="00521AAC">
              <w:rPr>
                <w:sz w:val="20"/>
                <w:szCs w:val="20"/>
              </w:rPr>
              <w:t>205.0</w:t>
            </w:r>
          </w:p>
        </w:tc>
      </w:tr>
      <w:tr w:rsidR="00521AAC" w:rsidRPr="00FA40FE" w14:paraId="29A55472" w14:textId="77777777" w:rsidTr="00920B8D">
        <w:tc>
          <w:tcPr>
            <w:tcW w:w="0" w:type="auto"/>
            <w:hideMark/>
          </w:tcPr>
          <w:p w14:paraId="70C0762B" w14:textId="77777777" w:rsidR="00521AAC" w:rsidRPr="00521AAC" w:rsidRDefault="00521AAC" w:rsidP="00521AAC">
            <w:pPr>
              <w:rPr>
                <w:sz w:val="20"/>
                <w:szCs w:val="20"/>
              </w:rPr>
            </w:pPr>
            <w:r w:rsidRPr="00521AAC">
              <w:rPr>
                <w:sz w:val="20"/>
                <w:szCs w:val="20"/>
              </w:rPr>
              <w:t>3</w:t>
            </w:r>
          </w:p>
        </w:tc>
        <w:tc>
          <w:tcPr>
            <w:tcW w:w="0" w:type="auto"/>
            <w:hideMark/>
          </w:tcPr>
          <w:p w14:paraId="22823680" w14:textId="77777777" w:rsidR="00521AAC" w:rsidRPr="00521AAC" w:rsidRDefault="00521AAC" w:rsidP="00521AAC">
            <w:pPr>
              <w:rPr>
                <w:sz w:val="20"/>
                <w:szCs w:val="20"/>
              </w:rPr>
            </w:pPr>
            <w:r w:rsidRPr="00521AAC">
              <w:rPr>
                <w:sz w:val="20"/>
                <w:szCs w:val="20"/>
              </w:rPr>
              <w:t>ICP 15014 (G100)</w:t>
            </w:r>
          </w:p>
        </w:tc>
        <w:tc>
          <w:tcPr>
            <w:tcW w:w="0" w:type="auto"/>
            <w:hideMark/>
          </w:tcPr>
          <w:p w14:paraId="78718F1C" w14:textId="77777777" w:rsidR="00521AAC" w:rsidRPr="00521AAC" w:rsidRDefault="00521AAC" w:rsidP="00521AAC">
            <w:pPr>
              <w:rPr>
                <w:sz w:val="20"/>
                <w:szCs w:val="20"/>
              </w:rPr>
            </w:pPr>
            <w:r w:rsidRPr="00521AAC">
              <w:rPr>
                <w:sz w:val="20"/>
                <w:szCs w:val="20"/>
              </w:rPr>
              <w:t>102.0</w:t>
            </w:r>
          </w:p>
        </w:tc>
        <w:tc>
          <w:tcPr>
            <w:tcW w:w="0" w:type="auto"/>
          </w:tcPr>
          <w:p w14:paraId="378C115F" w14:textId="77777777" w:rsidR="00521AAC" w:rsidRPr="00521AAC" w:rsidRDefault="00521AAC" w:rsidP="00521AAC">
            <w:pPr>
              <w:rPr>
                <w:sz w:val="20"/>
                <w:szCs w:val="20"/>
              </w:rPr>
            </w:pPr>
            <w:r w:rsidRPr="00521AAC">
              <w:rPr>
                <w:sz w:val="20"/>
                <w:szCs w:val="20"/>
              </w:rPr>
              <w:t>ICP 11321 (G31)</w:t>
            </w:r>
          </w:p>
        </w:tc>
        <w:tc>
          <w:tcPr>
            <w:tcW w:w="0" w:type="auto"/>
          </w:tcPr>
          <w:p w14:paraId="13832814" w14:textId="77777777" w:rsidR="00521AAC" w:rsidRPr="00521AAC" w:rsidRDefault="00521AAC" w:rsidP="00521AAC">
            <w:pPr>
              <w:rPr>
                <w:sz w:val="20"/>
                <w:szCs w:val="20"/>
              </w:rPr>
            </w:pPr>
            <w:r w:rsidRPr="00521AAC">
              <w:rPr>
                <w:sz w:val="20"/>
                <w:szCs w:val="20"/>
              </w:rPr>
              <w:t>205.0</w:t>
            </w:r>
          </w:p>
        </w:tc>
      </w:tr>
      <w:tr w:rsidR="00521AAC" w:rsidRPr="00FA40FE" w14:paraId="52395986" w14:textId="77777777" w:rsidTr="00920B8D">
        <w:tc>
          <w:tcPr>
            <w:tcW w:w="0" w:type="auto"/>
            <w:hideMark/>
          </w:tcPr>
          <w:p w14:paraId="46A55056" w14:textId="77777777" w:rsidR="00521AAC" w:rsidRPr="00521AAC" w:rsidRDefault="00521AAC" w:rsidP="00521AAC">
            <w:pPr>
              <w:rPr>
                <w:sz w:val="20"/>
                <w:szCs w:val="20"/>
              </w:rPr>
            </w:pPr>
            <w:r w:rsidRPr="00521AAC">
              <w:rPr>
                <w:sz w:val="20"/>
                <w:szCs w:val="20"/>
              </w:rPr>
              <w:t>4</w:t>
            </w:r>
          </w:p>
        </w:tc>
        <w:tc>
          <w:tcPr>
            <w:tcW w:w="0" w:type="auto"/>
            <w:hideMark/>
          </w:tcPr>
          <w:p w14:paraId="4F07D28D" w14:textId="77777777" w:rsidR="00521AAC" w:rsidRPr="00521AAC" w:rsidRDefault="00521AAC" w:rsidP="00521AAC">
            <w:pPr>
              <w:rPr>
                <w:sz w:val="20"/>
                <w:szCs w:val="20"/>
              </w:rPr>
            </w:pPr>
            <w:r w:rsidRPr="00521AAC">
              <w:rPr>
                <w:sz w:val="20"/>
                <w:szCs w:val="20"/>
              </w:rPr>
              <w:t>ICP 15021 (G101)</w:t>
            </w:r>
          </w:p>
        </w:tc>
        <w:tc>
          <w:tcPr>
            <w:tcW w:w="0" w:type="auto"/>
            <w:hideMark/>
          </w:tcPr>
          <w:p w14:paraId="7A2546DB" w14:textId="77777777" w:rsidR="00521AAC" w:rsidRPr="00521AAC" w:rsidRDefault="00521AAC" w:rsidP="00521AAC">
            <w:pPr>
              <w:rPr>
                <w:sz w:val="20"/>
                <w:szCs w:val="20"/>
              </w:rPr>
            </w:pPr>
            <w:r w:rsidRPr="00521AAC">
              <w:rPr>
                <w:sz w:val="20"/>
                <w:szCs w:val="20"/>
              </w:rPr>
              <w:t>109.0</w:t>
            </w:r>
          </w:p>
        </w:tc>
        <w:tc>
          <w:tcPr>
            <w:tcW w:w="0" w:type="auto"/>
          </w:tcPr>
          <w:p w14:paraId="031C4562" w14:textId="77777777" w:rsidR="00521AAC" w:rsidRPr="00521AAC" w:rsidRDefault="00521AAC" w:rsidP="00521AAC">
            <w:pPr>
              <w:rPr>
                <w:sz w:val="20"/>
                <w:szCs w:val="20"/>
              </w:rPr>
            </w:pPr>
            <w:r w:rsidRPr="00521AAC">
              <w:rPr>
                <w:sz w:val="20"/>
                <w:szCs w:val="20"/>
              </w:rPr>
              <w:t>ICP 11406 (G34)</w:t>
            </w:r>
          </w:p>
        </w:tc>
        <w:tc>
          <w:tcPr>
            <w:tcW w:w="0" w:type="auto"/>
          </w:tcPr>
          <w:p w14:paraId="6E9E83F6" w14:textId="77777777" w:rsidR="00521AAC" w:rsidRPr="00521AAC" w:rsidRDefault="00521AAC" w:rsidP="00521AAC">
            <w:pPr>
              <w:rPr>
                <w:sz w:val="20"/>
                <w:szCs w:val="20"/>
              </w:rPr>
            </w:pPr>
            <w:r w:rsidRPr="00521AAC">
              <w:rPr>
                <w:sz w:val="20"/>
                <w:szCs w:val="20"/>
              </w:rPr>
              <w:t>205.0</w:t>
            </w:r>
          </w:p>
        </w:tc>
      </w:tr>
      <w:tr w:rsidR="00521AAC" w:rsidRPr="00FA40FE" w14:paraId="54C591ED" w14:textId="77777777" w:rsidTr="00920B8D">
        <w:tc>
          <w:tcPr>
            <w:tcW w:w="0" w:type="auto"/>
            <w:hideMark/>
          </w:tcPr>
          <w:p w14:paraId="7D2C3C79" w14:textId="77777777" w:rsidR="00521AAC" w:rsidRPr="00521AAC" w:rsidRDefault="00521AAC" w:rsidP="00521AAC">
            <w:pPr>
              <w:rPr>
                <w:sz w:val="20"/>
                <w:szCs w:val="20"/>
              </w:rPr>
            </w:pPr>
            <w:r w:rsidRPr="00521AAC">
              <w:rPr>
                <w:sz w:val="20"/>
                <w:szCs w:val="20"/>
              </w:rPr>
              <w:t>5</w:t>
            </w:r>
          </w:p>
        </w:tc>
        <w:tc>
          <w:tcPr>
            <w:tcW w:w="0" w:type="auto"/>
            <w:hideMark/>
          </w:tcPr>
          <w:p w14:paraId="2518E326" w14:textId="77777777" w:rsidR="00521AAC" w:rsidRPr="00521AAC" w:rsidRDefault="00521AAC" w:rsidP="00521AAC">
            <w:pPr>
              <w:rPr>
                <w:sz w:val="20"/>
                <w:szCs w:val="20"/>
              </w:rPr>
            </w:pPr>
            <w:r w:rsidRPr="00521AAC">
              <w:rPr>
                <w:sz w:val="20"/>
                <w:szCs w:val="20"/>
              </w:rPr>
              <w:t>ICP 14444 (G86)</w:t>
            </w:r>
          </w:p>
        </w:tc>
        <w:tc>
          <w:tcPr>
            <w:tcW w:w="0" w:type="auto"/>
            <w:hideMark/>
          </w:tcPr>
          <w:p w14:paraId="46CEDF94" w14:textId="77777777" w:rsidR="00521AAC" w:rsidRPr="00521AAC" w:rsidRDefault="00521AAC" w:rsidP="00521AAC">
            <w:pPr>
              <w:rPr>
                <w:sz w:val="20"/>
                <w:szCs w:val="20"/>
              </w:rPr>
            </w:pPr>
            <w:r w:rsidRPr="00521AAC">
              <w:rPr>
                <w:sz w:val="20"/>
                <w:szCs w:val="20"/>
              </w:rPr>
              <w:t>112.0</w:t>
            </w:r>
          </w:p>
        </w:tc>
        <w:tc>
          <w:tcPr>
            <w:tcW w:w="0" w:type="auto"/>
          </w:tcPr>
          <w:p w14:paraId="09640224" w14:textId="77777777" w:rsidR="00521AAC" w:rsidRPr="00521AAC" w:rsidRDefault="00521AAC" w:rsidP="00521AAC">
            <w:pPr>
              <w:rPr>
                <w:sz w:val="20"/>
                <w:szCs w:val="20"/>
              </w:rPr>
            </w:pPr>
            <w:r w:rsidRPr="00521AAC">
              <w:rPr>
                <w:sz w:val="20"/>
                <w:szCs w:val="20"/>
              </w:rPr>
              <w:t>ICP 11823 (G43)</w:t>
            </w:r>
          </w:p>
        </w:tc>
        <w:tc>
          <w:tcPr>
            <w:tcW w:w="0" w:type="auto"/>
          </w:tcPr>
          <w:p w14:paraId="5CB2DC98" w14:textId="77777777" w:rsidR="00521AAC" w:rsidRPr="00521AAC" w:rsidRDefault="00521AAC" w:rsidP="00521AAC">
            <w:pPr>
              <w:rPr>
                <w:sz w:val="20"/>
                <w:szCs w:val="20"/>
              </w:rPr>
            </w:pPr>
            <w:r w:rsidRPr="00521AAC">
              <w:rPr>
                <w:sz w:val="20"/>
                <w:szCs w:val="20"/>
              </w:rPr>
              <w:t>205.0</w:t>
            </w:r>
          </w:p>
        </w:tc>
      </w:tr>
      <w:tr w:rsidR="00521AAC" w:rsidRPr="00FA40FE" w14:paraId="72C9C8BF" w14:textId="77777777" w:rsidTr="00920B8D">
        <w:tc>
          <w:tcPr>
            <w:tcW w:w="0" w:type="auto"/>
            <w:hideMark/>
          </w:tcPr>
          <w:p w14:paraId="3A7C21B7" w14:textId="77777777" w:rsidR="00521AAC" w:rsidRPr="00521AAC" w:rsidRDefault="00521AAC" w:rsidP="00521AAC">
            <w:pPr>
              <w:rPr>
                <w:sz w:val="20"/>
                <w:szCs w:val="20"/>
              </w:rPr>
            </w:pPr>
            <w:r w:rsidRPr="00521AAC">
              <w:rPr>
                <w:sz w:val="20"/>
                <w:szCs w:val="20"/>
              </w:rPr>
              <w:t>6</w:t>
            </w:r>
          </w:p>
        </w:tc>
        <w:tc>
          <w:tcPr>
            <w:tcW w:w="0" w:type="auto"/>
            <w:hideMark/>
          </w:tcPr>
          <w:p w14:paraId="4726438B" w14:textId="77777777" w:rsidR="00521AAC" w:rsidRPr="00521AAC" w:rsidRDefault="00521AAC" w:rsidP="00521AAC">
            <w:pPr>
              <w:rPr>
                <w:sz w:val="20"/>
                <w:szCs w:val="20"/>
              </w:rPr>
            </w:pPr>
            <w:r w:rsidRPr="00521AAC">
              <w:rPr>
                <w:sz w:val="20"/>
                <w:szCs w:val="20"/>
              </w:rPr>
              <w:t>ICP 11538 (G36)</w:t>
            </w:r>
          </w:p>
        </w:tc>
        <w:tc>
          <w:tcPr>
            <w:tcW w:w="0" w:type="auto"/>
            <w:hideMark/>
          </w:tcPr>
          <w:p w14:paraId="21FA1213" w14:textId="77777777" w:rsidR="00521AAC" w:rsidRPr="00521AAC" w:rsidRDefault="00521AAC" w:rsidP="00521AAC">
            <w:pPr>
              <w:rPr>
                <w:sz w:val="20"/>
                <w:szCs w:val="20"/>
              </w:rPr>
            </w:pPr>
            <w:r w:rsidRPr="00521AAC">
              <w:rPr>
                <w:sz w:val="20"/>
                <w:szCs w:val="20"/>
              </w:rPr>
              <w:t>114.0</w:t>
            </w:r>
          </w:p>
        </w:tc>
        <w:tc>
          <w:tcPr>
            <w:tcW w:w="0" w:type="auto"/>
          </w:tcPr>
          <w:p w14:paraId="11942FEF" w14:textId="77777777" w:rsidR="00521AAC" w:rsidRPr="00521AAC" w:rsidRDefault="00521AAC" w:rsidP="00521AAC">
            <w:pPr>
              <w:rPr>
                <w:sz w:val="20"/>
                <w:szCs w:val="20"/>
              </w:rPr>
            </w:pPr>
            <w:r w:rsidRPr="00521AAC">
              <w:rPr>
                <w:sz w:val="20"/>
                <w:szCs w:val="20"/>
              </w:rPr>
              <w:t>ICP 14294 (G84)</w:t>
            </w:r>
          </w:p>
        </w:tc>
        <w:tc>
          <w:tcPr>
            <w:tcW w:w="0" w:type="auto"/>
          </w:tcPr>
          <w:p w14:paraId="7CFF8CCE" w14:textId="77777777" w:rsidR="00521AAC" w:rsidRPr="00521AAC" w:rsidRDefault="00521AAC" w:rsidP="00521AAC">
            <w:pPr>
              <w:rPr>
                <w:sz w:val="20"/>
                <w:szCs w:val="20"/>
              </w:rPr>
            </w:pPr>
            <w:r w:rsidRPr="00521AAC">
              <w:rPr>
                <w:sz w:val="20"/>
                <w:szCs w:val="20"/>
              </w:rPr>
              <w:t>205.0</w:t>
            </w:r>
          </w:p>
        </w:tc>
      </w:tr>
      <w:tr w:rsidR="00521AAC" w:rsidRPr="00FA40FE" w14:paraId="5D7FF973" w14:textId="77777777" w:rsidTr="00920B8D">
        <w:tc>
          <w:tcPr>
            <w:tcW w:w="0" w:type="auto"/>
            <w:hideMark/>
          </w:tcPr>
          <w:p w14:paraId="422748CA" w14:textId="77777777" w:rsidR="00521AAC" w:rsidRPr="00521AAC" w:rsidRDefault="00521AAC" w:rsidP="00521AAC">
            <w:pPr>
              <w:rPr>
                <w:sz w:val="20"/>
                <w:szCs w:val="20"/>
              </w:rPr>
            </w:pPr>
            <w:r w:rsidRPr="00521AAC">
              <w:rPr>
                <w:sz w:val="20"/>
                <w:szCs w:val="20"/>
              </w:rPr>
              <w:t>7</w:t>
            </w:r>
          </w:p>
        </w:tc>
        <w:tc>
          <w:tcPr>
            <w:tcW w:w="0" w:type="auto"/>
            <w:hideMark/>
          </w:tcPr>
          <w:p w14:paraId="78203B88" w14:textId="77777777" w:rsidR="00521AAC" w:rsidRPr="00521AAC" w:rsidRDefault="00521AAC" w:rsidP="00521AAC">
            <w:pPr>
              <w:rPr>
                <w:sz w:val="20"/>
                <w:szCs w:val="20"/>
              </w:rPr>
            </w:pPr>
            <w:r w:rsidRPr="00521AAC">
              <w:rPr>
                <w:sz w:val="20"/>
                <w:szCs w:val="20"/>
              </w:rPr>
              <w:t>ICP 11613 (G39)</w:t>
            </w:r>
          </w:p>
        </w:tc>
        <w:tc>
          <w:tcPr>
            <w:tcW w:w="0" w:type="auto"/>
            <w:hideMark/>
          </w:tcPr>
          <w:p w14:paraId="0798BB8F" w14:textId="77777777" w:rsidR="00521AAC" w:rsidRPr="00521AAC" w:rsidRDefault="00521AAC" w:rsidP="00521AAC">
            <w:pPr>
              <w:rPr>
                <w:sz w:val="20"/>
                <w:szCs w:val="20"/>
              </w:rPr>
            </w:pPr>
            <w:r w:rsidRPr="00521AAC">
              <w:rPr>
                <w:sz w:val="20"/>
                <w:szCs w:val="20"/>
              </w:rPr>
              <w:t>115.0</w:t>
            </w:r>
          </w:p>
        </w:tc>
        <w:tc>
          <w:tcPr>
            <w:tcW w:w="0" w:type="auto"/>
          </w:tcPr>
          <w:p w14:paraId="096006D6" w14:textId="77777777" w:rsidR="00521AAC" w:rsidRPr="00521AAC" w:rsidRDefault="00521AAC" w:rsidP="00521AAC">
            <w:pPr>
              <w:rPr>
                <w:sz w:val="20"/>
                <w:szCs w:val="20"/>
              </w:rPr>
            </w:pPr>
            <w:r w:rsidRPr="00521AAC">
              <w:rPr>
                <w:sz w:val="20"/>
                <w:szCs w:val="20"/>
              </w:rPr>
              <w:t>ICP 14545 (G88)</w:t>
            </w:r>
          </w:p>
        </w:tc>
        <w:tc>
          <w:tcPr>
            <w:tcW w:w="0" w:type="auto"/>
          </w:tcPr>
          <w:p w14:paraId="43F307D3" w14:textId="77777777" w:rsidR="00521AAC" w:rsidRPr="00521AAC" w:rsidRDefault="00521AAC" w:rsidP="00521AAC">
            <w:pPr>
              <w:rPr>
                <w:sz w:val="20"/>
                <w:szCs w:val="20"/>
              </w:rPr>
            </w:pPr>
            <w:r w:rsidRPr="00521AAC">
              <w:rPr>
                <w:sz w:val="20"/>
                <w:szCs w:val="20"/>
              </w:rPr>
              <w:t>205.0</w:t>
            </w:r>
          </w:p>
        </w:tc>
      </w:tr>
      <w:tr w:rsidR="00521AAC" w:rsidRPr="00FA40FE" w14:paraId="1BC32ADB" w14:textId="77777777" w:rsidTr="00920B8D">
        <w:tc>
          <w:tcPr>
            <w:tcW w:w="0" w:type="auto"/>
            <w:hideMark/>
          </w:tcPr>
          <w:p w14:paraId="11919BC7" w14:textId="77777777" w:rsidR="00521AAC" w:rsidRPr="00521AAC" w:rsidRDefault="00521AAC" w:rsidP="00521AAC">
            <w:pPr>
              <w:rPr>
                <w:sz w:val="20"/>
                <w:szCs w:val="20"/>
              </w:rPr>
            </w:pPr>
            <w:r w:rsidRPr="00521AAC">
              <w:rPr>
                <w:sz w:val="20"/>
                <w:szCs w:val="20"/>
              </w:rPr>
              <w:t>8</w:t>
            </w:r>
          </w:p>
        </w:tc>
        <w:tc>
          <w:tcPr>
            <w:tcW w:w="0" w:type="auto"/>
            <w:hideMark/>
          </w:tcPr>
          <w:p w14:paraId="1A11E375" w14:textId="77777777" w:rsidR="00521AAC" w:rsidRPr="00521AAC" w:rsidRDefault="00521AAC" w:rsidP="00521AAC">
            <w:pPr>
              <w:rPr>
                <w:sz w:val="20"/>
                <w:szCs w:val="20"/>
              </w:rPr>
            </w:pPr>
            <w:r w:rsidRPr="00521AAC">
              <w:rPr>
                <w:sz w:val="20"/>
                <w:szCs w:val="20"/>
              </w:rPr>
              <w:t>ICP 14886 (G97)</w:t>
            </w:r>
          </w:p>
        </w:tc>
        <w:tc>
          <w:tcPr>
            <w:tcW w:w="0" w:type="auto"/>
            <w:hideMark/>
          </w:tcPr>
          <w:p w14:paraId="3B4FC1E4" w14:textId="77777777" w:rsidR="00521AAC" w:rsidRPr="00521AAC" w:rsidRDefault="00521AAC" w:rsidP="00521AAC">
            <w:pPr>
              <w:rPr>
                <w:sz w:val="20"/>
                <w:szCs w:val="20"/>
              </w:rPr>
            </w:pPr>
            <w:r w:rsidRPr="00521AAC">
              <w:rPr>
                <w:sz w:val="20"/>
                <w:szCs w:val="20"/>
              </w:rPr>
              <w:t>116.0</w:t>
            </w:r>
          </w:p>
        </w:tc>
        <w:tc>
          <w:tcPr>
            <w:tcW w:w="0" w:type="auto"/>
          </w:tcPr>
          <w:p w14:paraId="7DCE1F1E" w14:textId="77777777" w:rsidR="00521AAC" w:rsidRPr="00521AAC" w:rsidRDefault="00521AAC" w:rsidP="00521AAC">
            <w:pPr>
              <w:rPr>
                <w:sz w:val="20"/>
                <w:szCs w:val="20"/>
              </w:rPr>
            </w:pPr>
            <w:r w:rsidRPr="00521AAC">
              <w:rPr>
                <w:sz w:val="20"/>
                <w:szCs w:val="20"/>
              </w:rPr>
              <w:t>ICP 8921 (G228)</w:t>
            </w:r>
          </w:p>
        </w:tc>
        <w:tc>
          <w:tcPr>
            <w:tcW w:w="0" w:type="auto"/>
          </w:tcPr>
          <w:p w14:paraId="678CB330" w14:textId="77777777" w:rsidR="00521AAC" w:rsidRPr="00521AAC" w:rsidRDefault="00521AAC" w:rsidP="00521AAC">
            <w:pPr>
              <w:rPr>
                <w:sz w:val="20"/>
                <w:szCs w:val="20"/>
              </w:rPr>
            </w:pPr>
            <w:r w:rsidRPr="00521AAC">
              <w:rPr>
                <w:sz w:val="20"/>
                <w:szCs w:val="20"/>
              </w:rPr>
              <w:t>206.0</w:t>
            </w:r>
          </w:p>
        </w:tc>
      </w:tr>
      <w:tr w:rsidR="00521AAC" w:rsidRPr="00FA40FE" w14:paraId="2632B3D8" w14:textId="77777777" w:rsidTr="00920B8D">
        <w:tc>
          <w:tcPr>
            <w:tcW w:w="0" w:type="auto"/>
            <w:hideMark/>
          </w:tcPr>
          <w:p w14:paraId="294FD50C" w14:textId="77777777" w:rsidR="00521AAC" w:rsidRPr="00521AAC" w:rsidRDefault="00521AAC" w:rsidP="00521AAC">
            <w:pPr>
              <w:rPr>
                <w:sz w:val="20"/>
                <w:szCs w:val="20"/>
              </w:rPr>
            </w:pPr>
            <w:r w:rsidRPr="00521AAC">
              <w:rPr>
                <w:sz w:val="20"/>
                <w:szCs w:val="20"/>
              </w:rPr>
              <w:t>9</w:t>
            </w:r>
          </w:p>
        </w:tc>
        <w:tc>
          <w:tcPr>
            <w:tcW w:w="0" w:type="auto"/>
            <w:hideMark/>
          </w:tcPr>
          <w:p w14:paraId="76ACFDC1" w14:textId="77777777" w:rsidR="00521AAC" w:rsidRPr="00521AAC" w:rsidRDefault="00521AAC" w:rsidP="00521AAC">
            <w:pPr>
              <w:rPr>
                <w:sz w:val="20"/>
                <w:szCs w:val="20"/>
              </w:rPr>
            </w:pPr>
            <w:r w:rsidRPr="00521AAC">
              <w:rPr>
                <w:sz w:val="20"/>
                <w:szCs w:val="20"/>
              </w:rPr>
              <w:t>ICP 15597 (G108)</w:t>
            </w:r>
          </w:p>
        </w:tc>
        <w:tc>
          <w:tcPr>
            <w:tcW w:w="0" w:type="auto"/>
            <w:hideMark/>
          </w:tcPr>
          <w:p w14:paraId="658FD17E" w14:textId="77777777" w:rsidR="00521AAC" w:rsidRPr="00521AAC" w:rsidRDefault="00521AAC" w:rsidP="00521AAC">
            <w:pPr>
              <w:rPr>
                <w:sz w:val="20"/>
                <w:szCs w:val="20"/>
              </w:rPr>
            </w:pPr>
            <w:r w:rsidRPr="00521AAC">
              <w:rPr>
                <w:sz w:val="20"/>
                <w:szCs w:val="20"/>
              </w:rPr>
              <w:t>118.0</w:t>
            </w:r>
          </w:p>
        </w:tc>
        <w:tc>
          <w:tcPr>
            <w:tcW w:w="0" w:type="auto"/>
          </w:tcPr>
          <w:p w14:paraId="5964BCB1" w14:textId="77777777" w:rsidR="00521AAC" w:rsidRPr="00521AAC" w:rsidRDefault="00521AAC" w:rsidP="00521AAC">
            <w:pPr>
              <w:rPr>
                <w:sz w:val="20"/>
                <w:szCs w:val="20"/>
              </w:rPr>
            </w:pPr>
            <w:r w:rsidRPr="00521AAC">
              <w:rPr>
                <w:sz w:val="20"/>
                <w:szCs w:val="20"/>
              </w:rPr>
              <w:t>ICP 7375 (G194)</w:t>
            </w:r>
          </w:p>
        </w:tc>
        <w:tc>
          <w:tcPr>
            <w:tcW w:w="0" w:type="auto"/>
          </w:tcPr>
          <w:p w14:paraId="08A7BE0D" w14:textId="77777777" w:rsidR="00521AAC" w:rsidRPr="00521AAC" w:rsidRDefault="00521AAC" w:rsidP="00521AAC">
            <w:pPr>
              <w:rPr>
                <w:sz w:val="20"/>
                <w:szCs w:val="20"/>
              </w:rPr>
            </w:pPr>
            <w:r w:rsidRPr="00521AAC">
              <w:rPr>
                <w:sz w:val="20"/>
                <w:szCs w:val="20"/>
              </w:rPr>
              <w:t>209.0</w:t>
            </w:r>
          </w:p>
        </w:tc>
      </w:tr>
      <w:tr w:rsidR="00521AAC" w:rsidRPr="00FA40FE" w14:paraId="75E3D569" w14:textId="77777777" w:rsidTr="00920B8D">
        <w:tc>
          <w:tcPr>
            <w:tcW w:w="0" w:type="auto"/>
            <w:hideMark/>
          </w:tcPr>
          <w:p w14:paraId="022A2503" w14:textId="77777777" w:rsidR="00521AAC" w:rsidRPr="00521AAC" w:rsidRDefault="00521AAC" w:rsidP="00521AAC">
            <w:pPr>
              <w:rPr>
                <w:sz w:val="20"/>
                <w:szCs w:val="20"/>
              </w:rPr>
            </w:pPr>
            <w:r w:rsidRPr="00521AAC">
              <w:rPr>
                <w:sz w:val="20"/>
                <w:szCs w:val="20"/>
              </w:rPr>
              <w:t>10</w:t>
            </w:r>
          </w:p>
        </w:tc>
        <w:tc>
          <w:tcPr>
            <w:tcW w:w="0" w:type="auto"/>
            <w:hideMark/>
          </w:tcPr>
          <w:p w14:paraId="25DA98C4" w14:textId="77777777" w:rsidR="00521AAC" w:rsidRPr="00521AAC" w:rsidRDefault="00521AAC" w:rsidP="00521AAC">
            <w:pPr>
              <w:rPr>
                <w:sz w:val="20"/>
                <w:szCs w:val="20"/>
              </w:rPr>
            </w:pPr>
            <w:r w:rsidRPr="00521AAC">
              <w:rPr>
                <w:sz w:val="20"/>
                <w:szCs w:val="20"/>
              </w:rPr>
              <w:t>ICP 11505 (G35)</w:t>
            </w:r>
          </w:p>
        </w:tc>
        <w:tc>
          <w:tcPr>
            <w:tcW w:w="0" w:type="auto"/>
            <w:hideMark/>
          </w:tcPr>
          <w:p w14:paraId="4E236548" w14:textId="77777777" w:rsidR="00521AAC" w:rsidRPr="00521AAC" w:rsidRDefault="00521AAC" w:rsidP="00521AAC">
            <w:pPr>
              <w:rPr>
                <w:sz w:val="20"/>
                <w:szCs w:val="20"/>
              </w:rPr>
            </w:pPr>
            <w:r w:rsidRPr="00521AAC">
              <w:rPr>
                <w:sz w:val="20"/>
                <w:szCs w:val="20"/>
              </w:rPr>
              <w:t>118.0</w:t>
            </w:r>
          </w:p>
        </w:tc>
        <w:tc>
          <w:tcPr>
            <w:tcW w:w="0" w:type="auto"/>
          </w:tcPr>
          <w:p w14:paraId="3EF14FFA" w14:textId="77777777" w:rsidR="00521AAC" w:rsidRPr="00521AAC" w:rsidRDefault="00521AAC" w:rsidP="00521AAC">
            <w:pPr>
              <w:rPr>
                <w:sz w:val="20"/>
                <w:szCs w:val="20"/>
              </w:rPr>
            </w:pPr>
            <w:r w:rsidRPr="00521AAC">
              <w:rPr>
                <w:sz w:val="20"/>
                <w:szCs w:val="20"/>
              </w:rPr>
              <w:t>ICP 9577 (G239)</w:t>
            </w:r>
          </w:p>
        </w:tc>
        <w:tc>
          <w:tcPr>
            <w:tcW w:w="0" w:type="auto"/>
          </w:tcPr>
          <w:p w14:paraId="4A95F4F9" w14:textId="77777777" w:rsidR="00521AAC" w:rsidRPr="00521AAC" w:rsidRDefault="00521AAC" w:rsidP="00521AAC">
            <w:pPr>
              <w:rPr>
                <w:sz w:val="20"/>
                <w:szCs w:val="20"/>
              </w:rPr>
            </w:pPr>
            <w:r w:rsidRPr="00521AAC">
              <w:rPr>
                <w:sz w:val="20"/>
                <w:szCs w:val="20"/>
              </w:rPr>
              <w:t>209.0</w:t>
            </w:r>
          </w:p>
        </w:tc>
      </w:tr>
    </w:tbl>
    <w:p w14:paraId="407F1EFF" w14:textId="77777777" w:rsidR="00521AAC" w:rsidRPr="00FA40FE" w:rsidRDefault="00521AAC" w:rsidP="00521AAC">
      <w:pPr>
        <w:jc w:val="both"/>
      </w:pPr>
    </w:p>
    <w:p w14:paraId="67D4EE3B" w14:textId="77777777" w:rsidR="00F92243" w:rsidRDefault="00F92243" w:rsidP="00521AAC">
      <w:pPr>
        <w:jc w:val="both"/>
      </w:pPr>
      <w:r w:rsidRPr="00FA40FE">
        <w:t xml:space="preserve">The box plots of the top and the bottom ten genotypes, the narrow interquartile range genotypes show stability, and the wider genotypes show existing variability within the genotype, as </w:t>
      </w:r>
      <w:r w:rsidRPr="00FA40FE">
        <w:rPr>
          <w:color w:val="000000" w:themeColor="text1"/>
        </w:rPr>
        <w:t xml:space="preserve">Williamson </w:t>
      </w:r>
      <w:r w:rsidRPr="00FA40FE">
        <w:rPr>
          <w:i/>
          <w:color w:val="000000" w:themeColor="text1"/>
        </w:rPr>
        <w:t>et al.</w:t>
      </w:r>
      <w:r w:rsidRPr="00FA40FE">
        <w:rPr>
          <w:color w:val="000000" w:themeColor="text1"/>
        </w:rPr>
        <w:t xml:space="preserve"> (1989) suggested.</w:t>
      </w:r>
      <w:r w:rsidRPr="00FA40FE">
        <w:t xml:space="preserve"> The genotypes ICP 5863, ICP 7375, ICP 8144, ICP 9577, ICP 11321, ICP 11406, ICP 11823, ICP 14294, and ICP 14545 among the top ten and ICP 15014, ICP 15597, ICP 11613, and ICP 14444 among the bottom ten, are the stable genotypes without much variability in the days to maturity within the genotypes (Figure 2). </w:t>
      </w:r>
    </w:p>
    <w:p w14:paraId="6EC44637" w14:textId="77777777" w:rsidR="000B30EE" w:rsidRDefault="000B30EE" w:rsidP="000B30EE">
      <w:pPr>
        <w:spacing w:line="360" w:lineRule="auto"/>
        <w:rPr>
          <w:rFonts w:ascii="Times New Roman" w:hAnsi="Times New Roman"/>
          <w:sz w:val="24"/>
          <w:szCs w:val="24"/>
        </w:rPr>
      </w:pPr>
      <w:r>
        <w:rPr>
          <w:noProof/>
        </w:rPr>
        <w:lastRenderedPageBreak/>
        <w:drawing>
          <wp:inline distT="0" distB="0" distL="0" distR="0" wp14:anchorId="20D7AEEA" wp14:editId="0D5DF95D">
            <wp:extent cx="54737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7AC6A4B0" w14:textId="77777777" w:rsidR="000B30EE" w:rsidRPr="000B30EE" w:rsidRDefault="000B30EE" w:rsidP="000B30EE">
      <w:pPr>
        <w:pStyle w:val="Heading1"/>
      </w:pPr>
      <w:r w:rsidRPr="005962DA">
        <w:t>Figure 2: Box plot to represent the top and bottom ten genotypes</w:t>
      </w:r>
    </w:p>
    <w:p w14:paraId="31A8E5C1" w14:textId="77777777" w:rsidR="00F92243" w:rsidRPr="00FA40FE" w:rsidRDefault="00F92243" w:rsidP="00521AAC">
      <w:pPr>
        <w:pStyle w:val="Heading1"/>
      </w:pPr>
      <w:r w:rsidRPr="00FA40FE">
        <w:t>3.3 Genetic Parameters</w:t>
      </w:r>
    </w:p>
    <w:p w14:paraId="3782F3A8" w14:textId="77777777" w:rsidR="00F92243" w:rsidRDefault="00F92243" w:rsidP="00521AAC">
      <w:pPr>
        <w:jc w:val="both"/>
      </w:pPr>
      <w:r w:rsidRPr="00FA40FE">
        <w:t>The genetic parameters for the days to maturity have shown a moderate PCV (phenotypic coefficient of variation) and GCV (genotypic coefficient of variation) of 19.0% and 18.86%, respectively</w:t>
      </w:r>
      <w:r>
        <w:t xml:space="preserve"> (Table 4)</w:t>
      </w:r>
      <w:r w:rsidRPr="00FA40FE">
        <w:t xml:space="preserve">. Moderate PCV and GCV for days to maturity had been reported by </w:t>
      </w:r>
      <w:r w:rsidRPr="00FA40FE">
        <w:rPr>
          <w:color w:val="222222"/>
          <w:shd w:val="clear" w:color="auto" w:fill="FFFFFF"/>
        </w:rPr>
        <w:t xml:space="preserve">Akshaya </w:t>
      </w:r>
      <w:r w:rsidRPr="00FA40FE">
        <w:rPr>
          <w:i/>
          <w:color w:val="222222"/>
          <w:shd w:val="clear" w:color="auto" w:fill="FFFFFF"/>
        </w:rPr>
        <w:t>et al</w:t>
      </w:r>
      <w:r w:rsidRPr="00FA40FE">
        <w:rPr>
          <w:color w:val="222222"/>
          <w:shd w:val="clear" w:color="auto" w:fill="FFFFFF"/>
        </w:rPr>
        <w:t>. (2024).</w:t>
      </w:r>
      <w:r w:rsidRPr="00FA40FE">
        <w:t xml:space="preserve"> The PCV being slightly higher than GCV suggests a slight influence of environment, but mainly the variability exhibited by the trait is genetically controlled. The heritability obtained is 97.63%, which states that the trait had additive genetic effects for its expression. </w:t>
      </w:r>
      <w:r w:rsidRPr="00FA40FE">
        <w:rPr>
          <w:color w:val="222222"/>
          <w:shd w:val="clear" w:color="auto" w:fill="FFFFFF"/>
        </w:rPr>
        <w:t>Hussain</w:t>
      </w:r>
      <w:r w:rsidRPr="00FA40FE">
        <w:t xml:space="preserve"> </w:t>
      </w:r>
      <w:r w:rsidRPr="00FA40FE">
        <w:rPr>
          <w:i/>
        </w:rPr>
        <w:t>et al.</w:t>
      </w:r>
      <w:r w:rsidRPr="00FA40FE">
        <w:t xml:space="preserve"> (2021) also reported high heritability for days to maturity. The GA (genetic advance) was 54.87 days, and the GAM (genetic advance as a per cent of the mean) was 38.86%. High genetic advance was also reported by Kumar </w:t>
      </w:r>
      <w:r w:rsidRPr="00FA40FE">
        <w:rPr>
          <w:i/>
        </w:rPr>
        <w:t>et al.</w:t>
      </w:r>
      <w:r w:rsidRPr="00FA40FE">
        <w:t xml:space="preserve"> (2014). The GAM recorded is high. This indicates that high heritability and GAM will aid substantial gains in modifying the maturity duration with simple selection methods in </w:t>
      </w:r>
      <w:proofErr w:type="spellStart"/>
      <w:r w:rsidRPr="00FA40FE">
        <w:t>pigeonpea</w:t>
      </w:r>
      <w:proofErr w:type="spellEnd"/>
      <w:r w:rsidRPr="00FA40FE">
        <w:t xml:space="preserve">. </w:t>
      </w:r>
    </w:p>
    <w:p w14:paraId="35CA4601" w14:textId="77777777" w:rsidR="000B30EE" w:rsidRPr="00FA40FE" w:rsidRDefault="000B30EE" w:rsidP="000B30EE">
      <w:pPr>
        <w:pStyle w:val="Heading1"/>
      </w:pPr>
      <w:r w:rsidRPr="00FA40FE">
        <w:t xml:space="preserve">Table 4: Genetic Parameters for Days to Maturity </w:t>
      </w:r>
    </w:p>
    <w:tbl>
      <w:tblPr>
        <w:tblStyle w:val="TableGrid"/>
        <w:tblW w:w="0" w:type="auto"/>
        <w:jc w:val="center"/>
        <w:tblLook w:val="04A0" w:firstRow="1" w:lastRow="0" w:firstColumn="1" w:lastColumn="0" w:noHBand="0" w:noVBand="1"/>
      </w:tblPr>
      <w:tblGrid>
        <w:gridCol w:w="4441"/>
        <w:gridCol w:w="1134"/>
      </w:tblGrid>
      <w:tr w:rsidR="000B30EE" w:rsidRPr="001A2582" w14:paraId="387713AA" w14:textId="77777777" w:rsidTr="00920B8D">
        <w:trPr>
          <w:jc w:val="center"/>
        </w:trPr>
        <w:tc>
          <w:tcPr>
            <w:tcW w:w="0" w:type="auto"/>
            <w:hideMark/>
          </w:tcPr>
          <w:p w14:paraId="2BEC6344" w14:textId="77777777" w:rsidR="000B30EE" w:rsidRPr="001A2582" w:rsidRDefault="000B30EE" w:rsidP="000B30EE">
            <w:pPr>
              <w:pStyle w:val="Heading1"/>
              <w:rPr>
                <w:bCs/>
              </w:rPr>
            </w:pPr>
            <w:r w:rsidRPr="001A2582">
              <w:rPr>
                <w:bCs/>
              </w:rPr>
              <w:t>Parameter</w:t>
            </w:r>
          </w:p>
        </w:tc>
        <w:tc>
          <w:tcPr>
            <w:tcW w:w="0" w:type="auto"/>
            <w:hideMark/>
          </w:tcPr>
          <w:p w14:paraId="26A8E572" w14:textId="77777777" w:rsidR="000B30EE" w:rsidRPr="001A2582" w:rsidRDefault="000B30EE" w:rsidP="000B30EE">
            <w:pPr>
              <w:pStyle w:val="Heading1"/>
              <w:rPr>
                <w:bCs/>
              </w:rPr>
            </w:pPr>
            <w:r w:rsidRPr="001A2582">
              <w:rPr>
                <w:bCs/>
              </w:rPr>
              <w:t>Estimate</w:t>
            </w:r>
          </w:p>
        </w:tc>
      </w:tr>
      <w:tr w:rsidR="000B30EE" w:rsidRPr="001A2582" w14:paraId="793202CD" w14:textId="77777777" w:rsidTr="00920B8D">
        <w:trPr>
          <w:jc w:val="center"/>
        </w:trPr>
        <w:tc>
          <w:tcPr>
            <w:tcW w:w="0" w:type="auto"/>
            <w:hideMark/>
          </w:tcPr>
          <w:p w14:paraId="4B3A4503" w14:textId="77777777" w:rsidR="000B30EE" w:rsidRPr="000B30EE" w:rsidRDefault="000B30EE" w:rsidP="000B30EE">
            <w:pPr>
              <w:rPr>
                <w:sz w:val="20"/>
                <w:szCs w:val="20"/>
              </w:rPr>
            </w:pPr>
            <w:r w:rsidRPr="000B30EE">
              <w:rPr>
                <w:sz w:val="20"/>
                <w:szCs w:val="20"/>
              </w:rPr>
              <w:t>Genotypic Coefficient of Variation (GCV), %</w:t>
            </w:r>
          </w:p>
        </w:tc>
        <w:tc>
          <w:tcPr>
            <w:tcW w:w="0" w:type="auto"/>
            <w:hideMark/>
          </w:tcPr>
          <w:p w14:paraId="15765F48" w14:textId="77777777" w:rsidR="000B30EE" w:rsidRPr="000B30EE" w:rsidRDefault="000B30EE" w:rsidP="000B30EE">
            <w:pPr>
              <w:rPr>
                <w:sz w:val="20"/>
                <w:szCs w:val="20"/>
              </w:rPr>
            </w:pPr>
            <w:r w:rsidRPr="000B30EE">
              <w:rPr>
                <w:sz w:val="20"/>
                <w:szCs w:val="20"/>
              </w:rPr>
              <w:t>18.86</w:t>
            </w:r>
          </w:p>
        </w:tc>
      </w:tr>
      <w:tr w:rsidR="000B30EE" w:rsidRPr="001A2582" w14:paraId="41D3C484" w14:textId="77777777" w:rsidTr="00920B8D">
        <w:trPr>
          <w:jc w:val="center"/>
        </w:trPr>
        <w:tc>
          <w:tcPr>
            <w:tcW w:w="0" w:type="auto"/>
            <w:hideMark/>
          </w:tcPr>
          <w:p w14:paraId="0EA274C7" w14:textId="77777777" w:rsidR="000B30EE" w:rsidRPr="000B30EE" w:rsidRDefault="000B30EE" w:rsidP="000B30EE">
            <w:pPr>
              <w:rPr>
                <w:sz w:val="20"/>
                <w:szCs w:val="20"/>
              </w:rPr>
            </w:pPr>
            <w:r w:rsidRPr="000B30EE">
              <w:rPr>
                <w:sz w:val="20"/>
                <w:szCs w:val="20"/>
              </w:rPr>
              <w:t>Phenotypic Coefficient of Variation (PCV), %</w:t>
            </w:r>
          </w:p>
        </w:tc>
        <w:tc>
          <w:tcPr>
            <w:tcW w:w="0" w:type="auto"/>
            <w:hideMark/>
          </w:tcPr>
          <w:p w14:paraId="0966A4FA" w14:textId="77777777" w:rsidR="000B30EE" w:rsidRPr="000B30EE" w:rsidRDefault="000B30EE" w:rsidP="000B30EE">
            <w:pPr>
              <w:rPr>
                <w:sz w:val="20"/>
                <w:szCs w:val="20"/>
              </w:rPr>
            </w:pPr>
            <w:r w:rsidRPr="000B30EE">
              <w:rPr>
                <w:sz w:val="20"/>
                <w:szCs w:val="20"/>
              </w:rPr>
              <w:t>19.09</w:t>
            </w:r>
          </w:p>
        </w:tc>
      </w:tr>
      <w:tr w:rsidR="000B30EE" w:rsidRPr="001A2582" w14:paraId="065D53EB" w14:textId="77777777" w:rsidTr="00920B8D">
        <w:trPr>
          <w:jc w:val="center"/>
        </w:trPr>
        <w:tc>
          <w:tcPr>
            <w:tcW w:w="0" w:type="auto"/>
            <w:hideMark/>
          </w:tcPr>
          <w:p w14:paraId="7426D08B" w14:textId="77777777" w:rsidR="000B30EE" w:rsidRPr="000B30EE" w:rsidRDefault="000B30EE" w:rsidP="000B30EE">
            <w:pPr>
              <w:rPr>
                <w:sz w:val="20"/>
                <w:szCs w:val="20"/>
              </w:rPr>
            </w:pPr>
            <w:r w:rsidRPr="000B30EE">
              <w:rPr>
                <w:sz w:val="20"/>
                <w:szCs w:val="20"/>
              </w:rPr>
              <w:t>Heritability (%)</w:t>
            </w:r>
          </w:p>
        </w:tc>
        <w:tc>
          <w:tcPr>
            <w:tcW w:w="0" w:type="auto"/>
            <w:hideMark/>
          </w:tcPr>
          <w:p w14:paraId="101B6779" w14:textId="77777777" w:rsidR="000B30EE" w:rsidRPr="000B30EE" w:rsidRDefault="000B30EE" w:rsidP="000B30EE">
            <w:pPr>
              <w:rPr>
                <w:sz w:val="20"/>
                <w:szCs w:val="20"/>
              </w:rPr>
            </w:pPr>
            <w:r w:rsidRPr="000B30EE">
              <w:rPr>
                <w:sz w:val="20"/>
                <w:szCs w:val="20"/>
              </w:rPr>
              <w:t>97.63</w:t>
            </w:r>
          </w:p>
        </w:tc>
      </w:tr>
      <w:tr w:rsidR="000B30EE" w:rsidRPr="001A2582" w14:paraId="7954AA7C" w14:textId="77777777" w:rsidTr="00920B8D">
        <w:trPr>
          <w:jc w:val="center"/>
        </w:trPr>
        <w:tc>
          <w:tcPr>
            <w:tcW w:w="0" w:type="auto"/>
            <w:hideMark/>
          </w:tcPr>
          <w:p w14:paraId="4569125F" w14:textId="77777777" w:rsidR="000B30EE" w:rsidRPr="000B30EE" w:rsidRDefault="000B30EE" w:rsidP="000B30EE">
            <w:pPr>
              <w:rPr>
                <w:sz w:val="20"/>
                <w:szCs w:val="20"/>
              </w:rPr>
            </w:pPr>
            <w:r w:rsidRPr="000B30EE">
              <w:rPr>
                <w:sz w:val="20"/>
                <w:szCs w:val="20"/>
              </w:rPr>
              <w:t>Genetic Advance (GA, days)</w:t>
            </w:r>
          </w:p>
        </w:tc>
        <w:tc>
          <w:tcPr>
            <w:tcW w:w="0" w:type="auto"/>
            <w:hideMark/>
          </w:tcPr>
          <w:p w14:paraId="6AF2A299" w14:textId="77777777" w:rsidR="000B30EE" w:rsidRPr="000B30EE" w:rsidRDefault="000B30EE" w:rsidP="000B30EE">
            <w:pPr>
              <w:rPr>
                <w:sz w:val="20"/>
                <w:szCs w:val="20"/>
              </w:rPr>
            </w:pPr>
            <w:r w:rsidRPr="000B30EE">
              <w:rPr>
                <w:sz w:val="20"/>
                <w:szCs w:val="20"/>
              </w:rPr>
              <w:t>54.87</w:t>
            </w:r>
          </w:p>
        </w:tc>
      </w:tr>
      <w:tr w:rsidR="000B30EE" w:rsidRPr="001A2582" w14:paraId="7E098B1D" w14:textId="77777777" w:rsidTr="00920B8D">
        <w:trPr>
          <w:jc w:val="center"/>
        </w:trPr>
        <w:tc>
          <w:tcPr>
            <w:tcW w:w="0" w:type="auto"/>
            <w:hideMark/>
          </w:tcPr>
          <w:p w14:paraId="401D4E42" w14:textId="77777777" w:rsidR="000B30EE" w:rsidRPr="000B30EE" w:rsidRDefault="000B30EE" w:rsidP="000B30EE">
            <w:pPr>
              <w:rPr>
                <w:sz w:val="20"/>
                <w:szCs w:val="20"/>
              </w:rPr>
            </w:pPr>
            <w:r w:rsidRPr="000B30EE">
              <w:rPr>
                <w:sz w:val="20"/>
                <w:szCs w:val="20"/>
              </w:rPr>
              <w:t>Genetic Advance as per cent of Mean (GAM) %</w:t>
            </w:r>
          </w:p>
        </w:tc>
        <w:tc>
          <w:tcPr>
            <w:tcW w:w="0" w:type="auto"/>
            <w:hideMark/>
          </w:tcPr>
          <w:p w14:paraId="3F501384" w14:textId="77777777" w:rsidR="000B30EE" w:rsidRPr="000B30EE" w:rsidRDefault="000B30EE" w:rsidP="000B30EE">
            <w:pPr>
              <w:rPr>
                <w:sz w:val="20"/>
                <w:szCs w:val="20"/>
              </w:rPr>
            </w:pPr>
            <w:r w:rsidRPr="000B30EE">
              <w:rPr>
                <w:sz w:val="20"/>
                <w:szCs w:val="20"/>
              </w:rPr>
              <w:t>38.86</w:t>
            </w:r>
          </w:p>
        </w:tc>
      </w:tr>
    </w:tbl>
    <w:p w14:paraId="4F2AC169" w14:textId="77777777" w:rsidR="000B30EE" w:rsidRPr="00FA40FE" w:rsidRDefault="000B30EE" w:rsidP="00521AAC">
      <w:pPr>
        <w:jc w:val="both"/>
      </w:pPr>
    </w:p>
    <w:p w14:paraId="364AA5F2" w14:textId="77777777" w:rsidR="00F92243" w:rsidRPr="00FA40FE" w:rsidRDefault="00F92243" w:rsidP="00521AAC">
      <w:pPr>
        <w:pStyle w:val="Heading1"/>
      </w:pPr>
      <w:r w:rsidRPr="00FA40FE">
        <w:t>3.</w:t>
      </w:r>
      <w:r w:rsidR="00521AAC">
        <w:t xml:space="preserve">4. </w:t>
      </w:r>
      <w:r w:rsidR="00521AAC" w:rsidRPr="00521AAC">
        <w:t>Correlation and PCA for Days to Maturity and Plant Height</w:t>
      </w:r>
    </w:p>
    <w:p w14:paraId="68CD15B8" w14:textId="77777777" w:rsidR="00F92243" w:rsidRDefault="00521AAC" w:rsidP="00521AAC">
      <w:pPr>
        <w:jc w:val="both"/>
      </w:pPr>
      <w:r w:rsidRPr="00521AAC">
        <w:t xml:space="preserve">Pearson's correlation coefficient for plant height and days to maturity was 0.78, implying a strong positive direct correlation for the two traits. This means that the taller genotypes </w:t>
      </w:r>
      <w:r w:rsidRPr="00521AAC">
        <w:lastRenderedPageBreak/>
        <w:t xml:space="preserve">usually exhibit late maturity, and early maturing types are often linked to shorter height. Singh </w:t>
      </w:r>
      <w:r w:rsidRPr="00521AAC">
        <w:rPr>
          <w:i/>
          <w:iCs/>
        </w:rPr>
        <w:t>et al</w:t>
      </w:r>
      <w:r w:rsidRPr="00521AAC">
        <w:t xml:space="preserve">. (1995) have reported a strong correlation between plant height and days to maturity. Such a strong correlation suggests that these traits may be under genetic control, or that physiological mechanisms related to plant growth duration are shared. This association is particularly relevant for breeders, as selection for one trait may influence the plant height. </w:t>
      </w:r>
    </w:p>
    <w:p w14:paraId="1EC727C3" w14:textId="77777777" w:rsidR="000B30EE" w:rsidRPr="000B30EE" w:rsidRDefault="000B30EE" w:rsidP="000B30EE">
      <w:pPr>
        <w:jc w:val="both"/>
      </w:pPr>
      <w:r w:rsidRPr="00384E35">
        <w:t>With an eigenvalue of 1.7729, Principal Component Analysis showed that PC1 captured the joint variation of plant height and days to maturity, accounting for 88.64% of the overall variance</w:t>
      </w:r>
      <w:r>
        <w:t xml:space="preserve"> (Table 5)</w:t>
      </w:r>
      <w:r w:rsidRPr="00384E35">
        <w:t>. PC2 explained the remaining 11.36%, or minor independent variation, with an eigenvalue of 0.2273</w:t>
      </w:r>
      <w:r w:rsidRPr="00FA40FE">
        <w:t xml:space="preserve"> (Figure 3)</w:t>
      </w:r>
      <w:r w:rsidRPr="00384E35">
        <w:t xml:space="preserve">. </w:t>
      </w:r>
      <w:r>
        <w:t xml:space="preserve">The cumulative variance of PC1 and PC2 accounts to the 100% variance. </w:t>
      </w:r>
      <w:r w:rsidRPr="00FA40FE">
        <w:t xml:space="preserve">Similar results were reported by </w:t>
      </w:r>
      <w:proofErr w:type="spellStart"/>
      <w:r w:rsidRPr="00FA40FE">
        <w:t>Dhanushasree</w:t>
      </w:r>
      <w:proofErr w:type="spellEnd"/>
      <w:r w:rsidRPr="00FA40FE">
        <w:t xml:space="preserve"> and Hemavathy (2022). </w:t>
      </w:r>
      <w:r w:rsidRPr="00384E35">
        <w:t xml:space="preserve">This suggests that the first principal component can be used to effectively </w:t>
      </w:r>
      <w:r w:rsidRPr="00FA40FE">
        <w:t>summarize</w:t>
      </w:r>
      <w:r w:rsidRPr="00384E35">
        <w:t xml:space="preserve"> the majority of the phenotypic variance among genotypes.</w:t>
      </w:r>
      <w:r w:rsidRPr="00FA40FE">
        <w:t xml:space="preserve"> </w:t>
      </w:r>
      <w:r w:rsidRPr="00624E36">
        <w:t xml:space="preserve">This work underscores the notable genetic heterogeneity for maturity time in </w:t>
      </w:r>
      <w:proofErr w:type="spellStart"/>
      <w:r w:rsidRPr="00624E36">
        <w:t>pigeonpea</w:t>
      </w:r>
      <w:proofErr w:type="spellEnd"/>
      <w:r w:rsidRPr="00624E36">
        <w:t>, facilitating the selection of adaptive genotypes. Recognizing early and late maturing varieties provides breeding strategies to alleviate climate-related hazards and promote sustainable agriculture under evolving environmental conditions.</w:t>
      </w:r>
    </w:p>
    <w:p w14:paraId="594D173D" w14:textId="77777777" w:rsidR="00790ADA" w:rsidRDefault="00790ADA" w:rsidP="00441B6F">
      <w:pPr>
        <w:pStyle w:val="Body"/>
        <w:spacing w:after="0"/>
        <w:rPr>
          <w:rFonts w:cs="Arial"/>
        </w:rPr>
      </w:pPr>
    </w:p>
    <w:p w14:paraId="7D817039" w14:textId="77777777" w:rsidR="000B30EE" w:rsidRPr="00FA40FE" w:rsidRDefault="000B30EE" w:rsidP="000B30EE">
      <w:pPr>
        <w:pStyle w:val="Heading1"/>
      </w:pPr>
      <w:r w:rsidRPr="00FA40FE">
        <w:t>Table 5: Principal Component Analysis for Days to Maturity</w:t>
      </w:r>
      <w:r>
        <w:t xml:space="preserve"> and Plant height</w:t>
      </w:r>
    </w:p>
    <w:tbl>
      <w:tblPr>
        <w:tblStyle w:val="TableGrid"/>
        <w:tblW w:w="0" w:type="auto"/>
        <w:tblLook w:val="04A0" w:firstRow="1" w:lastRow="0" w:firstColumn="1" w:lastColumn="0" w:noHBand="0" w:noVBand="1"/>
      </w:tblPr>
      <w:tblGrid>
        <w:gridCol w:w="1439"/>
        <w:gridCol w:w="1432"/>
        <w:gridCol w:w="1378"/>
        <w:gridCol w:w="2120"/>
        <w:gridCol w:w="2055"/>
      </w:tblGrid>
      <w:tr w:rsidR="000B30EE" w:rsidRPr="00A71AE0" w14:paraId="4DE56920" w14:textId="77777777" w:rsidTr="00920B8D">
        <w:tc>
          <w:tcPr>
            <w:tcW w:w="0" w:type="auto"/>
            <w:hideMark/>
          </w:tcPr>
          <w:p w14:paraId="69BB3E94" w14:textId="77777777" w:rsidR="000B30EE" w:rsidRPr="00A71AE0" w:rsidRDefault="000B30EE" w:rsidP="000B30EE">
            <w:pPr>
              <w:pStyle w:val="Heading1"/>
              <w:rPr>
                <w:bCs/>
              </w:rPr>
            </w:pPr>
            <w:r w:rsidRPr="00A71AE0">
              <w:rPr>
                <w:bCs/>
              </w:rPr>
              <w:t>Component</w:t>
            </w:r>
          </w:p>
        </w:tc>
        <w:tc>
          <w:tcPr>
            <w:tcW w:w="0" w:type="auto"/>
            <w:hideMark/>
          </w:tcPr>
          <w:p w14:paraId="4F5CA7FB" w14:textId="77777777" w:rsidR="000B30EE" w:rsidRPr="00A71AE0" w:rsidRDefault="000B30EE" w:rsidP="000B30EE">
            <w:pPr>
              <w:pStyle w:val="Heading1"/>
              <w:rPr>
                <w:bCs/>
              </w:rPr>
            </w:pPr>
            <w:r w:rsidRPr="00A71AE0">
              <w:rPr>
                <w:bCs/>
              </w:rPr>
              <w:t>Std. Deviation</w:t>
            </w:r>
          </w:p>
        </w:tc>
        <w:tc>
          <w:tcPr>
            <w:tcW w:w="0" w:type="auto"/>
            <w:hideMark/>
          </w:tcPr>
          <w:p w14:paraId="30A51776" w14:textId="77777777" w:rsidR="000B30EE" w:rsidRPr="00A71AE0" w:rsidRDefault="000B30EE" w:rsidP="000B30EE">
            <w:pPr>
              <w:pStyle w:val="Heading1"/>
              <w:rPr>
                <w:bCs/>
              </w:rPr>
            </w:pPr>
            <w:r w:rsidRPr="00A71AE0">
              <w:rPr>
                <w:bCs/>
              </w:rPr>
              <w:t>Eigenvalue</w:t>
            </w:r>
          </w:p>
        </w:tc>
        <w:tc>
          <w:tcPr>
            <w:tcW w:w="0" w:type="auto"/>
            <w:hideMark/>
          </w:tcPr>
          <w:p w14:paraId="4881C416" w14:textId="77777777" w:rsidR="000B30EE" w:rsidRPr="00A71AE0" w:rsidRDefault="000B30EE" w:rsidP="000B30EE">
            <w:pPr>
              <w:pStyle w:val="Heading1"/>
              <w:rPr>
                <w:bCs/>
              </w:rPr>
            </w:pPr>
            <w:r w:rsidRPr="00A71AE0">
              <w:rPr>
                <w:bCs/>
              </w:rPr>
              <w:t>Proportion of Variance</w:t>
            </w:r>
            <w:r>
              <w:rPr>
                <w:bCs/>
              </w:rPr>
              <w:t xml:space="preserve"> (%)</w:t>
            </w:r>
          </w:p>
        </w:tc>
        <w:tc>
          <w:tcPr>
            <w:tcW w:w="0" w:type="auto"/>
            <w:hideMark/>
          </w:tcPr>
          <w:p w14:paraId="354C5F01" w14:textId="77777777" w:rsidR="000B30EE" w:rsidRPr="00A71AE0" w:rsidRDefault="000B30EE" w:rsidP="000B30EE">
            <w:pPr>
              <w:pStyle w:val="Heading1"/>
              <w:rPr>
                <w:bCs/>
              </w:rPr>
            </w:pPr>
            <w:r w:rsidRPr="00A71AE0">
              <w:rPr>
                <w:bCs/>
              </w:rPr>
              <w:t>Cumulative Variance</w:t>
            </w:r>
            <w:r>
              <w:rPr>
                <w:bCs/>
              </w:rPr>
              <w:t xml:space="preserve"> (%)</w:t>
            </w:r>
          </w:p>
        </w:tc>
      </w:tr>
      <w:tr w:rsidR="000B30EE" w:rsidRPr="00A71AE0" w14:paraId="7D389CAA" w14:textId="77777777" w:rsidTr="00920B8D">
        <w:tc>
          <w:tcPr>
            <w:tcW w:w="0" w:type="auto"/>
            <w:hideMark/>
          </w:tcPr>
          <w:p w14:paraId="74FEE091" w14:textId="77777777" w:rsidR="000B30EE" w:rsidRPr="000B30EE" w:rsidRDefault="000B30EE" w:rsidP="000B30EE">
            <w:pPr>
              <w:rPr>
                <w:sz w:val="20"/>
                <w:szCs w:val="20"/>
              </w:rPr>
            </w:pPr>
            <w:r w:rsidRPr="000B30EE">
              <w:rPr>
                <w:sz w:val="20"/>
                <w:szCs w:val="20"/>
              </w:rPr>
              <w:t>PC1</w:t>
            </w:r>
          </w:p>
        </w:tc>
        <w:tc>
          <w:tcPr>
            <w:tcW w:w="0" w:type="auto"/>
            <w:hideMark/>
          </w:tcPr>
          <w:p w14:paraId="70FA02C0" w14:textId="77777777" w:rsidR="000B30EE" w:rsidRPr="000B30EE" w:rsidRDefault="000B30EE" w:rsidP="000B30EE">
            <w:pPr>
              <w:rPr>
                <w:sz w:val="20"/>
                <w:szCs w:val="20"/>
              </w:rPr>
            </w:pPr>
            <w:r w:rsidRPr="000B30EE">
              <w:rPr>
                <w:sz w:val="20"/>
                <w:szCs w:val="20"/>
              </w:rPr>
              <w:t>1.3315</w:t>
            </w:r>
          </w:p>
        </w:tc>
        <w:tc>
          <w:tcPr>
            <w:tcW w:w="0" w:type="auto"/>
            <w:hideMark/>
          </w:tcPr>
          <w:p w14:paraId="42486521" w14:textId="77777777" w:rsidR="000B30EE" w:rsidRPr="000B30EE" w:rsidRDefault="000B30EE" w:rsidP="000B30EE">
            <w:pPr>
              <w:rPr>
                <w:sz w:val="20"/>
                <w:szCs w:val="20"/>
              </w:rPr>
            </w:pPr>
            <w:r w:rsidRPr="000B30EE">
              <w:rPr>
                <w:bCs/>
                <w:sz w:val="20"/>
                <w:szCs w:val="20"/>
              </w:rPr>
              <w:t>1.7729</w:t>
            </w:r>
          </w:p>
        </w:tc>
        <w:tc>
          <w:tcPr>
            <w:tcW w:w="0" w:type="auto"/>
            <w:hideMark/>
          </w:tcPr>
          <w:p w14:paraId="6E5C73AF" w14:textId="77777777" w:rsidR="000B30EE" w:rsidRPr="000B30EE" w:rsidRDefault="000B30EE" w:rsidP="000B30EE">
            <w:pPr>
              <w:rPr>
                <w:sz w:val="20"/>
                <w:szCs w:val="20"/>
              </w:rPr>
            </w:pPr>
            <w:r w:rsidRPr="000B30EE">
              <w:rPr>
                <w:bCs/>
                <w:sz w:val="20"/>
                <w:szCs w:val="20"/>
              </w:rPr>
              <w:t>88.64</w:t>
            </w:r>
          </w:p>
        </w:tc>
        <w:tc>
          <w:tcPr>
            <w:tcW w:w="0" w:type="auto"/>
            <w:hideMark/>
          </w:tcPr>
          <w:p w14:paraId="6BCEF276" w14:textId="77777777" w:rsidR="000B30EE" w:rsidRPr="000B30EE" w:rsidRDefault="000B30EE" w:rsidP="000B30EE">
            <w:pPr>
              <w:rPr>
                <w:sz w:val="20"/>
                <w:szCs w:val="20"/>
              </w:rPr>
            </w:pPr>
            <w:r w:rsidRPr="000B30EE">
              <w:rPr>
                <w:sz w:val="20"/>
                <w:szCs w:val="20"/>
              </w:rPr>
              <w:t>88.64</w:t>
            </w:r>
          </w:p>
        </w:tc>
      </w:tr>
      <w:tr w:rsidR="000B30EE" w:rsidRPr="00A71AE0" w14:paraId="274A0CE6" w14:textId="77777777" w:rsidTr="00920B8D">
        <w:tc>
          <w:tcPr>
            <w:tcW w:w="0" w:type="auto"/>
            <w:hideMark/>
          </w:tcPr>
          <w:p w14:paraId="7FDF1313" w14:textId="77777777" w:rsidR="000B30EE" w:rsidRPr="000B30EE" w:rsidRDefault="000B30EE" w:rsidP="000B30EE">
            <w:pPr>
              <w:rPr>
                <w:sz w:val="20"/>
                <w:szCs w:val="20"/>
              </w:rPr>
            </w:pPr>
            <w:r w:rsidRPr="000B30EE">
              <w:rPr>
                <w:sz w:val="20"/>
                <w:szCs w:val="20"/>
              </w:rPr>
              <w:t>PC2</w:t>
            </w:r>
          </w:p>
        </w:tc>
        <w:tc>
          <w:tcPr>
            <w:tcW w:w="0" w:type="auto"/>
            <w:hideMark/>
          </w:tcPr>
          <w:p w14:paraId="2BEBC0B5" w14:textId="77777777" w:rsidR="000B30EE" w:rsidRPr="000B30EE" w:rsidRDefault="000B30EE" w:rsidP="000B30EE">
            <w:pPr>
              <w:rPr>
                <w:sz w:val="20"/>
                <w:szCs w:val="20"/>
              </w:rPr>
            </w:pPr>
            <w:r w:rsidRPr="000B30EE">
              <w:rPr>
                <w:sz w:val="20"/>
                <w:szCs w:val="20"/>
              </w:rPr>
              <w:t>0.4767</w:t>
            </w:r>
          </w:p>
        </w:tc>
        <w:tc>
          <w:tcPr>
            <w:tcW w:w="0" w:type="auto"/>
            <w:hideMark/>
          </w:tcPr>
          <w:p w14:paraId="0E4C9C86" w14:textId="77777777" w:rsidR="000B30EE" w:rsidRPr="000B30EE" w:rsidRDefault="000B30EE" w:rsidP="000B30EE">
            <w:pPr>
              <w:rPr>
                <w:sz w:val="20"/>
                <w:szCs w:val="20"/>
              </w:rPr>
            </w:pPr>
            <w:r w:rsidRPr="000B30EE">
              <w:rPr>
                <w:bCs/>
                <w:sz w:val="20"/>
                <w:szCs w:val="20"/>
              </w:rPr>
              <w:t>0.2273</w:t>
            </w:r>
          </w:p>
        </w:tc>
        <w:tc>
          <w:tcPr>
            <w:tcW w:w="0" w:type="auto"/>
            <w:hideMark/>
          </w:tcPr>
          <w:p w14:paraId="2C1D8012" w14:textId="77777777" w:rsidR="000B30EE" w:rsidRPr="000B30EE" w:rsidRDefault="000B30EE" w:rsidP="000B30EE">
            <w:pPr>
              <w:rPr>
                <w:sz w:val="20"/>
                <w:szCs w:val="20"/>
              </w:rPr>
            </w:pPr>
            <w:r w:rsidRPr="000B30EE">
              <w:rPr>
                <w:bCs/>
                <w:sz w:val="20"/>
                <w:szCs w:val="20"/>
              </w:rPr>
              <w:t>11.36</w:t>
            </w:r>
          </w:p>
        </w:tc>
        <w:tc>
          <w:tcPr>
            <w:tcW w:w="0" w:type="auto"/>
            <w:hideMark/>
          </w:tcPr>
          <w:p w14:paraId="02C6FFA5" w14:textId="77777777" w:rsidR="000B30EE" w:rsidRPr="000B30EE" w:rsidRDefault="000B30EE" w:rsidP="000B30EE">
            <w:pPr>
              <w:rPr>
                <w:sz w:val="20"/>
                <w:szCs w:val="20"/>
              </w:rPr>
            </w:pPr>
            <w:r w:rsidRPr="000B30EE">
              <w:rPr>
                <w:sz w:val="20"/>
                <w:szCs w:val="20"/>
              </w:rPr>
              <w:t>100</w:t>
            </w:r>
          </w:p>
        </w:tc>
      </w:tr>
    </w:tbl>
    <w:p w14:paraId="5EDD909F" w14:textId="77777777" w:rsidR="000B30EE" w:rsidRPr="00FB3A86" w:rsidRDefault="000B30EE" w:rsidP="00441B6F">
      <w:pPr>
        <w:pStyle w:val="Body"/>
        <w:spacing w:after="0"/>
        <w:rPr>
          <w:rFonts w:cs="Arial"/>
        </w:rPr>
      </w:pPr>
    </w:p>
    <w:p w14:paraId="75021606" w14:textId="77777777" w:rsidR="000B30EE" w:rsidRDefault="000B30EE" w:rsidP="000B30EE">
      <w:pPr>
        <w:spacing w:line="360" w:lineRule="auto"/>
        <w:jc w:val="center"/>
        <w:rPr>
          <w:rFonts w:ascii="Times New Roman" w:hAnsi="Times New Roman"/>
          <w:b/>
          <w:sz w:val="24"/>
          <w:szCs w:val="24"/>
        </w:rPr>
      </w:pPr>
      <w:r>
        <w:rPr>
          <w:noProof/>
        </w:rPr>
        <w:drawing>
          <wp:inline distT="0" distB="0" distL="0" distR="0" wp14:anchorId="69341AA8" wp14:editId="0EEF8FE0">
            <wp:extent cx="547370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6C13E474" w14:textId="77777777" w:rsidR="000B30EE" w:rsidRPr="005962DA" w:rsidRDefault="000B30EE" w:rsidP="000B30EE">
      <w:pPr>
        <w:pStyle w:val="Heading1"/>
      </w:pPr>
      <w:r>
        <w:lastRenderedPageBreak/>
        <w:t>Figure 3: PCA of days to maturity and plant height</w:t>
      </w:r>
    </w:p>
    <w:p w14:paraId="52303525" w14:textId="77777777" w:rsidR="000B30EE" w:rsidRDefault="000B30EE" w:rsidP="00441B6F">
      <w:pPr>
        <w:pStyle w:val="ConcHead"/>
        <w:spacing w:after="0"/>
        <w:jc w:val="both"/>
        <w:rPr>
          <w:rFonts w:cs="Arial"/>
        </w:rPr>
      </w:pPr>
    </w:p>
    <w:p w14:paraId="1E73A1C9" w14:textId="77777777" w:rsidR="00B01FCD" w:rsidRDefault="00000F8F" w:rsidP="00441B6F">
      <w:pPr>
        <w:pStyle w:val="ConcHead"/>
        <w:spacing w:after="0"/>
        <w:jc w:val="both"/>
        <w:rPr>
          <w:rFonts w:cs="Arial"/>
        </w:rPr>
      </w:pPr>
      <w:r>
        <w:rPr>
          <w:rFonts w:cs="Arial"/>
        </w:rPr>
        <w:t xml:space="preserve">4. </w:t>
      </w:r>
      <w:r w:rsidR="00B01FCD" w:rsidRPr="00FB3A86">
        <w:rPr>
          <w:rFonts w:cs="Arial"/>
        </w:rPr>
        <w:t>Conclusion</w:t>
      </w:r>
    </w:p>
    <w:p w14:paraId="55127196" w14:textId="77777777" w:rsidR="00790ADA" w:rsidRPr="00FB3A86" w:rsidRDefault="000B30EE" w:rsidP="000B30EE">
      <w:pPr>
        <w:jc w:val="both"/>
      </w:pPr>
      <w:r w:rsidRPr="000B30EE">
        <w:t>The study on 250 pigeonpea genotypes from the PI-GAP revealed significant genetic variation for days to maturity, ranging from 92 to 209 days, with high heritability (97.63%) and genetic advance. Most genotypes were early maturing, and a strong positive correlation (r = 0.78) was found between plant height and maturity. Principal Component Analysis showed PC1 explaining 88.64% of variance. These findings suggest strong potential for breeding early and late maturing pigeonpea lines tailored to diverse cropping systems.</w:t>
      </w:r>
    </w:p>
    <w:p w14:paraId="403EEB07" w14:textId="77777777" w:rsidR="00E9608D" w:rsidRDefault="00E9608D" w:rsidP="000B30EE">
      <w:pPr>
        <w:jc w:val="both"/>
      </w:pPr>
    </w:p>
    <w:p w14:paraId="3A91BEE9" w14:textId="77777777" w:rsidR="00E9608D" w:rsidRDefault="00E9608D" w:rsidP="000B30EE">
      <w:pPr>
        <w:jc w:val="both"/>
      </w:pPr>
    </w:p>
    <w:p w14:paraId="4C703A20" w14:textId="77777777" w:rsidR="00E9608D" w:rsidRDefault="00E9608D" w:rsidP="000B30EE">
      <w:pPr>
        <w:jc w:val="both"/>
      </w:pPr>
    </w:p>
    <w:p w14:paraId="5342DCB0" w14:textId="77777777" w:rsidR="00E9608D" w:rsidRDefault="00E9608D" w:rsidP="00E9608D">
      <w:pPr>
        <w:jc w:val="both"/>
      </w:pPr>
      <w:r>
        <w:t>COMPETING INTERESTS DISCLAIMER:</w:t>
      </w:r>
    </w:p>
    <w:p w14:paraId="26A193BD" w14:textId="47192B65" w:rsidR="00E9608D" w:rsidRPr="0045387D" w:rsidRDefault="00E9608D" w:rsidP="00E9608D">
      <w:pPr>
        <w:jc w:val="both"/>
      </w:pPr>
      <w:r>
        <w:t>Authors have declared that they have no known competing financial interests OR non-financial interests OR personal relationships that could have appeared to influence the work reported in this paper.</w:t>
      </w:r>
    </w:p>
    <w:p w14:paraId="23F38D57" w14:textId="77777777" w:rsidR="00790ADA" w:rsidRDefault="00790ADA" w:rsidP="00441B6F">
      <w:pPr>
        <w:pStyle w:val="Body"/>
        <w:spacing w:after="0"/>
        <w:rPr>
          <w:rFonts w:cs="Arial"/>
        </w:rPr>
      </w:pPr>
    </w:p>
    <w:p w14:paraId="51821759" w14:textId="77777777" w:rsidR="00790ADA" w:rsidRDefault="00C646B9" w:rsidP="00441B6F">
      <w:pPr>
        <w:pStyle w:val="Body"/>
        <w:spacing w:after="0"/>
        <w:rPr>
          <w:rFonts w:cs="Arial"/>
          <w:b/>
        </w:rPr>
      </w:pPr>
      <w:r>
        <w:rPr>
          <w:rFonts w:cs="Arial"/>
          <w:b/>
        </w:rPr>
        <w:t>REFERENCES</w:t>
      </w:r>
    </w:p>
    <w:p w14:paraId="06C69BE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Akshaya, M., Geetha, K., </w:t>
      </w:r>
      <w:proofErr w:type="spellStart"/>
      <w:r w:rsidRPr="00E9608D">
        <w:rPr>
          <w:rFonts w:cs="Arial"/>
        </w:rPr>
        <w:t>Nirmalakumari</w:t>
      </w:r>
      <w:proofErr w:type="spellEnd"/>
      <w:r w:rsidRPr="00E9608D">
        <w:rPr>
          <w:rFonts w:cs="Arial"/>
        </w:rPr>
        <w:t xml:space="preserve">, A., Sharavanan, P. T., Sivakumar, C., &amp; Parasuraman, P. (2024). Genetic variability, correlation and principal component analysis for yield related traits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Legume Research</w:t>
      </w:r>
      <w:r w:rsidRPr="00E9608D">
        <w:rPr>
          <w:rFonts w:cs="Arial"/>
        </w:rPr>
        <w:t xml:space="preserve">, </w:t>
      </w:r>
      <w:r w:rsidRPr="00E9608D">
        <w:rPr>
          <w:rFonts w:cs="Arial"/>
          <w:i/>
          <w:iCs/>
        </w:rPr>
        <w:t>47</w:t>
      </w:r>
      <w:r w:rsidRPr="00E9608D">
        <w:rPr>
          <w:rFonts w:cs="Arial"/>
        </w:rPr>
        <w:t>(7), 1094.</w:t>
      </w:r>
    </w:p>
    <w:p w14:paraId="0C56EBD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Burton, G. W. (1952). Quantitative inheritance in grasses. </w:t>
      </w:r>
      <w:r w:rsidRPr="00E9608D">
        <w:rPr>
          <w:rFonts w:cs="Arial"/>
          <w:i/>
          <w:iCs/>
        </w:rPr>
        <w:t>Proceedings of the 6th International Grasslands Congress</w:t>
      </w:r>
      <w:r w:rsidRPr="00E9608D">
        <w:rPr>
          <w:rFonts w:cs="Arial"/>
        </w:rPr>
        <w:t xml:space="preserve">, </w:t>
      </w:r>
      <w:r w:rsidRPr="00E9608D">
        <w:rPr>
          <w:rFonts w:cs="Arial"/>
          <w:i/>
          <w:iCs/>
        </w:rPr>
        <w:t>1</w:t>
      </w:r>
      <w:r w:rsidRPr="00E9608D">
        <w:rPr>
          <w:rFonts w:cs="Arial"/>
        </w:rPr>
        <w:t>, 227.</w:t>
      </w:r>
    </w:p>
    <w:p w14:paraId="7DA18C09"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Choudhary, A. K., Sultana, R., Pratap, A., Nadarajan, N., &amp; Jha, U. C. (2011). Breeding for abiotic stresses in </w:t>
      </w:r>
      <w:proofErr w:type="spellStart"/>
      <w:r w:rsidRPr="00E9608D">
        <w:rPr>
          <w:rFonts w:cs="Arial"/>
        </w:rPr>
        <w:t>pigeonpea</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24</w:t>
      </w:r>
      <w:r w:rsidRPr="00E9608D">
        <w:rPr>
          <w:rFonts w:cs="Arial"/>
        </w:rPr>
        <w:t>(3), 165.</w:t>
      </w:r>
    </w:p>
    <w:p w14:paraId="398630AD" w14:textId="77777777" w:rsidR="00C646B9" w:rsidRPr="00E9608D" w:rsidRDefault="00C646B9" w:rsidP="00E9608D">
      <w:pPr>
        <w:pStyle w:val="ListParagraph"/>
        <w:numPr>
          <w:ilvl w:val="0"/>
          <w:numId w:val="31"/>
        </w:numPr>
        <w:spacing w:before="100" w:beforeAutospacing="1" w:after="100" w:afterAutospacing="1"/>
        <w:jc w:val="both"/>
        <w:rPr>
          <w:rFonts w:cs="Arial"/>
        </w:rPr>
      </w:pPr>
      <w:proofErr w:type="spellStart"/>
      <w:r w:rsidRPr="00E9608D">
        <w:rPr>
          <w:rFonts w:cs="Arial"/>
        </w:rPr>
        <w:t>Dhanushasree</w:t>
      </w:r>
      <w:proofErr w:type="spellEnd"/>
      <w:r w:rsidRPr="00E9608D">
        <w:rPr>
          <w:rFonts w:cs="Arial"/>
        </w:rPr>
        <w:t xml:space="preserve">, M., &amp; Thanga Hemavathy, A. (2022). Principal component analysis (PCA)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germplasm. </w:t>
      </w:r>
      <w:r w:rsidRPr="00E9608D">
        <w:rPr>
          <w:rFonts w:cs="Arial"/>
          <w:i/>
          <w:iCs/>
        </w:rPr>
        <w:t>Biological Forum – An International Journal</w:t>
      </w:r>
      <w:r w:rsidRPr="00E9608D">
        <w:rPr>
          <w:rFonts w:cs="Arial"/>
        </w:rPr>
        <w:t xml:space="preserve">, </w:t>
      </w:r>
      <w:r w:rsidRPr="00E9608D">
        <w:rPr>
          <w:rFonts w:cs="Arial"/>
          <w:i/>
          <w:iCs/>
        </w:rPr>
        <w:t>14</w:t>
      </w:r>
      <w:r w:rsidRPr="00E9608D">
        <w:rPr>
          <w:rFonts w:cs="Arial"/>
        </w:rPr>
        <w:t>(3), 1318.</w:t>
      </w:r>
    </w:p>
    <w:p w14:paraId="6C063CF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Hussain, M. E., Sharma, S., Joel, A. J., </w:t>
      </w:r>
      <w:proofErr w:type="spellStart"/>
      <w:r w:rsidRPr="00E9608D">
        <w:rPr>
          <w:rFonts w:cs="Arial"/>
        </w:rPr>
        <w:t>Ravikesavan</w:t>
      </w:r>
      <w:proofErr w:type="spellEnd"/>
      <w:r w:rsidRPr="00E9608D">
        <w:rPr>
          <w:rFonts w:cs="Arial"/>
        </w:rPr>
        <w:t xml:space="preserve">, R., Senthil, N., &amp; Senthil, A. (2021). Genetic variability of agronomic traits in extra-early maturing introgression lines (ILs)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r w:rsidRPr="00E9608D">
        <w:rPr>
          <w:rFonts w:cs="Arial"/>
          <w:i/>
          <w:iCs/>
        </w:rPr>
        <w:t>Electronic Journal of Plant Breeding</w:t>
      </w:r>
      <w:r w:rsidRPr="00E9608D">
        <w:rPr>
          <w:rFonts w:cs="Arial"/>
        </w:rPr>
        <w:t xml:space="preserve">, </w:t>
      </w:r>
      <w:r w:rsidRPr="00E9608D">
        <w:rPr>
          <w:rFonts w:cs="Arial"/>
          <w:i/>
          <w:iCs/>
        </w:rPr>
        <w:t>12</w:t>
      </w:r>
      <w:r w:rsidRPr="00E9608D">
        <w:rPr>
          <w:rFonts w:cs="Arial"/>
        </w:rPr>
        <w:t>(2), 507–514.</w:t>
      </w:r>
    </w:p>
    <w:p w14:paraId="465E44BF"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Johnson, H. W., Robinson, H. F., &amp; Comstock, R. E. (1955). Estimates of genetic and environmental variability in soybeans. </w:t>
      </w:r>
      <w:r w:rsidRPr="00E9608D">
        <w:rPr>
          <w:rFonts w:cs="Arial"/>
          <w:i/>
          <w:iCs/>
        </w:rPr>
        <w:t>Agronomy Journal</w:t>
      </w:r>
      <w:r w:rsidRPr="00E9608D">
        <w:rPr>
          <w:rFonts w:cs="Arial"/>
        </w:rPr>
        <w:t xml:space="preserve">, </w:t>
      </w:r>
      <w:r w:rsidRPr="00E9608D">
        <w:rPr>
          <w:rFonts w:cs="Arial"/>
          <w:i/>
          <w:iCs/>
        </w:rPr>
        <w:t>47</w:t>
      </w:r>
      <w:r w:rsidRPr="00E9608D">
        <w:rPr>
          <w:rFonts w:cs="Arial"/>
        </w:rPr>
        <w:t>, 314.</w:t>
      </w:r>
    </w:p>
    <w:p w14:paraId="29802C07"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Kumar, A., Sharma, V., Singh, H. C., Kumar, H., Mourya, A. K., &amp; Kumar, A. (2023). Genetic variability and characters of association for yield and its components in pigeon pea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36</w:t>
      </w:r>
      <w:r w:rsidRPr="00E9608D">
        <w:rPr>
          <w:rFonts w:cs="Arial"/>
        </w:rPr>
        <w:t>(1), 16.</w:t>
      </w:r>
    </w:p>
    <w:p w14:paraId="3525DDD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Kumar, S., Kumar, S., Singh, S. S., &amp; Elanchezhian, R. (2014). Studies on genetic variability and inter-relationship among yield contributing characters in </w:t>
      </w:r>
      <w:proofErr w:type="spellStart"/>
      <w:r w:rsidRPr="00E9608D">
        <w:rPr>
          <w:rFonts w:cs="Arial"/>
        </w:rPr>
        <w:t>pigeonpea</w:t>
      </w:r>
      <w:proofErr w:type="spellEnd"/>
      <w:r w:rsidRPr="00E9608D">
        <w:rPr>
          <w:rFonts w:cs="Arial"/>
        </w:rPr>
        <w:t xml:space="preserve"> grown under rainfed lowland of eastern region of India. </w:t>
      </w:r>
      <w:r w:rsidRPr="00E9608D">
        <w:rPr>
          <w:rFonts w:cs="Arial"/>
          <w:i/>
          <w:iCs/>
        </w:rPr>
        <w:t>Journal of Food Legumes</w:t>
      </w:r>
      <w:r w:rsidRPr="00E9608D">
        <w:rPr>
          <w:rFonts w:cs="Arial"/>
        </w:rPr>
        <w:t xml:space="preserve">, </w:t>
      </w:r>
      <w:r w:rsidRPr="00E9608D">
        <w:rPr>
          <w:rFonts w:cs="Arial"/>
          <w:i/>
          <w:iCs/>
        </w:rPr>
        <w:t>27</w:t>
      </w:r>
      <w:r w:rsidRPr="00E9608D">
        <w:rPr>
          <w:rFonts w:cs="Arial"/>
        </w:rPr>
        <w:t>(2), 104.</w:t>
      </w:r>
    </w:p>
    <w:p w14:paraId="08BB432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Lush, J. L. (1940). Intra-sire correlations or regressions of offspring on dam as a method of estimating heritability of characteristics. </w:t>
      </w:r>
      <w:r w:rsidRPr="00E9608D">
        <w:rPr>
          <w:rFonts w:cs="Arial"/>
          <w:i/>
          <w:iCs/>
        </w:rPr>
        <w:t>Journal of Animal Science</w:t>
      </w:r>
      <w:r w:rsidRPr="00E9608D">
        <w:rPr>
          <w:rFonts w:cs="Arial"/>
        </w:rPr>
        <w:t xml:space="preserve">, </w:t>
      </w:r>
      <w:r w:rsidRPr="00E9608D">
        <w:rPr>
          <w:rFonts w:cs="Arial"/>
          <w:i/>
          <w:iCs/>
        </w:rPr>
        <w:t>1</w:t>
      </w:r>
      <w:r w:rsidRPr="00E9608D">
        <w:rPr>
          <w:rFonts w:cs="Arial"/>
        </w:rPr>
        <w:t>, 293.</w:t>
      </w:r>
    </w:p>
    <w:p w14:paraId="130C6A7E"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Robertson, M. J., Carberry, P. S., Chauhan, Y. S., Ranganathan, R., &amp; O’Leary, G. J. (2001). Predicting growth and development of </w:t>
      </w:r>
      <w:proofErr w:type="spellStart"/>
      <w:r w:rsidRPr="00E9608D">
        <w:rPr>
          <w:rFonts w:cs="Arial"/>
        </w:rPr>
        <w:t>pigeonpea</w:t>
      </w:r>
      <w:proofErr w:type="spellEnd"/>
      <w:r w:rsidRPr="00E9608D">
        <w:rPr>
          <w:rFonts w:cs="Arial"/>
        </w:rPr>
        <w:t xml:space="preserve">: a simulation model. </w:t>
      </w:r>
      <w:r w:rsidRPr="00E9608D">
        <w:rPr>
          <w:rFonts w:cs="Arial"/>
          <w:i/>
          <w:iCs/>
        </w:rPr>
        <w:t>Field Crops Research</w:t>
      </w:r>
      <w:r w:rsidRPr="00E9608D">
        <w:rPr>
          <w:rFonts w:cs="Arial"/>
        </w:rPr>
        <w:t xml:space="preserve">, </w:t>
      </w:r>
      <w:r w:rsidRPr="00E9608D">
        <w:rPr>
          <w:rFonts w:cs="Arial"/>
          <w:i/>
          <w:iCs/>
        </w:rPr>
        <w:t>71</w:t>
      </w:r>
      <w:r w:rsidRPr="00E9608D">
        <w:rPr>
          <w:rFonts w:cs="Arial"/>
        </w:rPr>
        <w:t>(3), 195.</w:t>
      </w:r>
    </w:p>
    <w:p w14:paraId="5E5E1B25"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&amp; Nadarajan, N. (2010). Prospects of </w:t>
      </w:r>
      <w:proofErr w:type="spellStart"/>
      <w:r w:rsidRPr="00E9608D">
        <w:rPr>
          <w:rFonts w:cs="Arial"/>
        </w:rPr>
        <w:t>pigeonpea</w:t>
      </w:r>
      <w:proofErr w:type="spellEnd"/>
      <w:r w:rsidRPr="00E9608D">
        <w:rPr>
          <w:rFonts w:cs="Arial"/>
        </w:rPr>
        <w:t xml:space="preserve"> hybrids in Indian agriculture. </w:t>
      </w:r>
      <w:r w:rsidRPr="00E9608D">
        <w:rPr>
          <w:rFonts w:cs="Arial"/>
          <w:i/>
          <w:iCs/>
        </w:rPr>
        <w:t>Electronic Journal of Plant Breeding</w:t>
      </w:r>
      <w:r w:rsidRPr="00E9608D">
        <w:rPr>
          <w:rFonts w:cs="Arial"/>
        </w:rPr>
        <w:t xml:space="preserve">, </w:t>
      </w:r>
      <w:r w:rsidRPr="00E9608D">
        <w:rPr>
          <w:rFonts w:cs="Arial"/>
          <w:i/>
          <w:iCs/>
        </w:rPr>
        <w:t>1</w:t>
      </w:r>
      <w:r w:rsidRPr="00E9608D">
        <w:rPr>
          <w:rFonts w:cs="Arial"/>
        </w:rPr>
        <w:t>(4), 1107.</w:t>
      </w:r>
    </w:p>
    <w:p w14:paraId="5B443D3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(2008). Genetic improvement of pigeon pea—a review. </w:t>
      </w:r>
      <w:r w:rsidRPr="00E9608D">
        <w:rPr>
          <w:rFonts w:cs="Arial"/>
          <w:i/>
          <w:iCs/>
        </w:rPr>
        <w:t>Tropical Plant Biology</w:t>
      </w:r>
      <w:r w:rsidRPr="00E9608D">
        <w:rPr>
          <w:rFonts w:cs="Arial"/>
        </w:rPr>
        <w:t xml:space="preserve">, </w:t>
      </w:r>
      <w:r w:rsidRPr="00E9608D">
        <w:rPr>
          <w:rFonts w:cs="Arial"/>
          <w:i/>
          <w:iCs/>
        </w:rPr>
        <w:t>1</w:t>
      </w:r>
      <w:r w:rsidRPr="00E9608D">
        <w:rPr>
          <w:rFonts w:cs="Arial"/>
        </w:rPr>
        <w:t>, 159.</w:t>
      </w:r>
    </w:p>
    <w:p w14:paraId="63EC907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lastRenderedPageBreak/>
        <w:t xml:space="preserve">Saxena, K. B., Vijaya Kumar, R., &amp; Sultana, R. (2010). Quality nutrition through </w:t>
      </w:r>
      <w:proofErr w:type="spellStart"/>
      <w:r w:rsidRPr="00E9608D">
        <w:rPr>
          <w:rFonts w:cs="Arial"/>
        </w:rPr>
        <w:t>pigeonpea</w:t>
      </w:r>
      <w:proofErr w:type="spellEnd"/>
      <w:r w:rsidRPr="00E9608D">
        <w:rPr>
          <w:rFonts w:cs="Arial"/>
        </w:rPr>
        <w:t xml:space="preserve">—a review. </w:t>
      </w:r>
      <w:r w:rsidRPr="00E9608D">
        <w:rPr>
          <w:rFonts w:cs="Arial"/>
          <w:i/>
          <w:iCs/>
        </w:rPr>
        <w:t>Health</w:t>
      </w:r>
      <w:r w:rsidRPr="00E9608D">
        <w:rPr>
          <w:rFonts w:cs="Arial"/>
        </w:rPr>
        <w:t xml:space="preserve">, </w:t>
      </w:r>
      <w:r w:rsidRPr="00E9608D">
        <w:rPr>
          <w:rFonts w:cs="Arial"/>
          <w:i/>
          <w:iCs/>
        </w:rPr>
        <w:t>2</w:t>
      </w:r>
      <w:r w:rsidRPr="00E9608D">
        <w:rPr>
          <w:rFonts w:cs="Arial"/>
        </w:rPr>
        <w:t>(11), 1335.</w:t>
      </w:r>
    </w:p>
    <w:p w14:paraId="056DFA6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Singh, N. B., </w:t>
      </w:r>
      <w:proofErr w:type="spellStart"/>
      <w:r w:rsidRPr="00E9608D">
        <w:rPr>
          <w:rFonts w:cs="Arial"/>
        </w:rPr>
        <w:t>Ariyanayagam</w:t>
      </w:r>
      <w:proofErr w:type="spellEnd"/>
      <w:r w:rsidRPr="00E9608D">
        <w:rPr>
          <w:rFonts w:cs="Arial"/>
        </w:rPr>
        <w:t xml:space="preserve">, R. P., Gupta, S. C., &amp; Rao, A. N. (1995). Relationship of plant height, days to flowering and maturity to grain yield in short-duration determinate </w:t>
      </w:r>
      <w:proofErr w:type="spellStart"/>
      <w:r w:rsidRPr="00E9608D">
        <w:rPr>
          <w:rFonts w:cs="Arial"/>
        </w:rPr>
        <w:t>pigeonpea</w:t>
      </w:r>
      <w:proofErr w:type="spellEnd"/>
      <w:r w:rsidRPr="00E9608D">
        <w:rPr>
          <w:rFonts w:cs="Arial"/>
        </w:rPr>
        <w:t xml:space="preserve">. </w:t>
      </w:r>
      <w:r w:rsidRPr="00E9608D">
        <w:rPr>
          <w:rFonts w:cs="Arial"/>
          <w:i/>
          <w:iCs/>
        </w:rPr>
        <w:t>Indian Journal of Genetics and Plant Breeding</w:t>
      </w:r>
      <w:r w:rsidRPr="00E9608D">
        <w:rPr>
          <w:rFonts w:cs="Arial"/>
        </w:rPr>
        <w:t xml:space="preserve">, </w:t>
      </w:r>
      <w:r w:rsidRPr="00E9608D">
        <w:rPr>
          <w:rFonts w:cs="Arial"/>
          <w:i/>
          <w:iCs/>
        </w:rPr>
        <w:t>55</w:t>
      </w:r>
      <w:r w:rsidRPr="00E9608D">
        <w:rPr>
          <w:rFonts w:cs="Arial"/>
        </w:rPr>
        <w:t>(1), 1.</w:t>
      </w:r>
    </w:p>
    <w:p w14:paraId="672BC92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Varshney, R. K., Penmetsa, R. V., Dutta, S., </w:t>
      </w:r>
      <w:proofErr w:type="spellStart"/>
      <w:r w:rsidRPr="00E9608D">
        <w:rPr>
          <w:rFonts w:cs="Arial"/>
        </w:rPr>
        <w:t>Kulwal</w:t>
      </w:r>
      <w:proofErr w:type="spellEnd"/>
      <w:r w:rsidRPr="00E9608D">
        <w:rPr>
          <w:rFonts w:cs="Arial"/>
        </w:rPr>
        <w:t xml:space="preserve">, P. L., Saxena, R. K., Datta, S., Sharma, T. R., Rosen, B., Carrasquilla-Garcia, N., Farmer, A. D., &amp; Dubey, A. (2010). Pigeonpea genomics initiative (PGI): an international effort to improve crop productivity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r w:rsidRPr="00E9608D">
        <w:rPr>
          <w:rFonts w:cs="Arial"/>
          <w:i/>
          <w:iCs/>
        </w:rPr>
        <w:t>Molecular Breeding</w:t>
      </w:r>
      <w:r w:rsidRPr="00E9608D">
        <w:rPr>
          <w:rFonts w:cs="Arial"/>
        </w:rPr>
        <w:t xml:space="preserve">, </w:t>
      </w:r>
      <w:r w:rsidRPr="00E9608D">
        <w:rPr>
          <w:rFonts w:cs="Arial"/>
          <w:i/>
          <w:iCs/>
        </w:rPr>
        <w:t>26</w:t>
      </w:r>
      <w:r w:rsidRPr="00E9608D">
        <w:rPr>
          <w:rFonts w:cs="Arial"/>
        </w:rPr>
        <w:t>, 393.</w:t>
      </w:r>
    </w:p>
    <w:p w14:paraId="15D01264"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Williamson, D. F., Parker, R. A., &amp; Kendrick, J. S. (1989). The box plot: a simple visual method to interpret data. </w:t>
      </w:r>
      <w:r w:rsidRPr="00E9608D">
        <w:rPr>
          <w:rFonts w:cs="Arial"/>
          <w:i/>
          <w:iCs/>
        </w:rPr>
        <w:t>Annals of Internal Medicine</w:t>
      </w:r>
      <w:r w:rsidRPr="00E9608D">
        <w:rPr>
          <w:rFonts w:cs="Arial"/>
        </w:rPr>
        <w:t xml:space="preserve">, </w:t>
      </w:r>
      <w:r w:rsidRPr="00E9608D">
        <w:rPr>
          <w:rFonts w:cs="Arial"/>
          <w:i/>
          <w:iCs/>
        </w:rPr>
        <w:t>110</w:t>
      </w:r>
      <w:r w:rsidRPr="00E9608D">
        <w:rPr>
          <w:rFonts w:cs="Arial"/>
        </w:rPr>
        <w:t>(11), 916.</w:t>
      </w:r>
    </w:p>
    <w:p w14:paraId="6A5E558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Yohane, E. N., Shimelis, H., Laing, M., Mathew, I., &amp; </w:t>
      </w:r>
      <w:proofErr w:type="spellStart"/>
      <w:r w:rsidRPr="00E9608D">
        <w:rPr>
          <w:rFonts w:cs="Arial"/>
        </w:rPr>
        <w:t>Shayanowako</w:t>
      </w:r>
      <w:proofErr w:type="spellEnd"/>
      <w:r w:rsidRPr="00E9608D">
        <w:rPr>
          <w:rFonts w:cs="Arial"/>
        </w:rPr>
        <w:t xml:space="preserve">, A. (2020). Phenotypic divergence analysis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Millspaugh] germplasm accessions. </w:t>
      </w:r>
      <w:r w:rsidRPr="00E9608D">
        <w:rPr>
          <w:rFonts w:cs="Arial"/>
          <w:i/>
          <w:iCs/>
        </w:rPr>
        <w:t>Agronomy</w:t>
      </w:r>
      <w:r w:rsidRPr="00E9608D">
        <w:rPr>
          <w:rFonts w:cs="Arial"/>
        </w:rPr>
        <w:t xml:space="preserve">, </w:t>
      </w:r>
      <w:r w:rsidRPr="00E9608D">
        <w:rPr>
          <w:rFonts w:cs="Arial"/>
          <w:i/>
          <w:iCs/>
        </w:rPr>
        <w:t>10</w:t>
      </w:r>
      <w:r w:rsidRPr="00E9608D">
        <w:rPr>
          <w:rFonts w:cs="Arial"/>
        </w:rPr>
        <w:t>(11), 1682.</w:t>
      </w:r>
    </w:p>
    <w:p w14:paraId="4003F5A8"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Yohane, E. N., Shimelis, H., Laing, M., &amp; </w:t>
      </w:r>
      <w:proofErr w:type="spellStart"/>
      <w:r w:rsidRPr="00E9608D">
        <w:rPr>
          <w:rFonts w:cs="Arial"/>
        </w:rPr>
        <w:t>Shayanowako</w:t>
      </w:r>
      <w:proofErr w:type="spellEnd"/>
      <w:r w:rsidRPr="00E9608D">
        <w:rPr>
          <w:rFonts w:cs="Arial"/>
        </w:rPr>
        <w:t xml:space="preserve">, A. (2022). Genetic diversity and grouping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Millspaugh] germplasm using SNP markers and agronomic traits. </w:t>
      </w:r>
      <w:r w:rsidRPr="00E9608D">
        <w:rPr>
          <w:rFonts w:cs="Arial"/>
          <w:i/>
          <w:iCs/>
        </w:rPr>
        <w:t>PLOS ONE</w:t>
      </w:r>
      <w:r w:rsidRPr="00E9608D">
        <w:rPr>
          <w:rFonts w:cs="Arial"/>
        </w:rPr>
        <w:t xml:space="preserve">, </w:t>
      </w:r>
      <w:r w:rsidRPr="00E9608D">
        <w:rPr>
          <w:rFonts w:cs="Arial"/>
          <w:i/>
          <w:iCs/>
        </w:rPr>
        <w:t>17</w:t>
      </w:r>
      <w:r w:rsidRPr="00E9608D">
        <w:rPr>
          <w:rFonts w:cs="Arial"/>
        </w:rPr>
        <w:t>(11), e0275060.</w:t>
      </w:r>
    </w:p>
    <w:p w14:paraId="72F41129" w14:textId="77777777" w:rsidR="00C646B9" w:rsidRPr="00241DA4" w:rsidRDefault="00C646B9" w:rsidP="00C646B9">
      <w:pPr>
        <w:jc w:val="both"/>
        <w:rPr>
          <w:rFonts w:cs="Arial"/>
        </w:rPr>
      </w:pPr>
    </w:p>
    <w:p w14:paraId="184337A6" w14:textId="77777777" w:rsidR="00C646B9" w:rsidRPr="00FB3A86" w:rsidRDefault="00C646B9" w:rsidP="00441B6F">
      <w:pPr>
        <w:pStyle w:val="Body"/>
        <w:spacing w:after="0"/>
        <w:rPr>
          <w:rFonts w:cs="Arial"/>
        </w:rPr>
      </w:pPr>
    </w:p>
    <w:p w14:paraId="65BAA88E" w14:textId="59F278DF" w:rsidR="004D4277" w:rsidRPr="00FB3A86" w:rsidRDefault="004D4277" w:rsidP="00441B6F">
      <w:pPr>
        <w:pStyle w:val="Appendix"/>
        <w:spacing w:after="0"/>
        <w:jc w:val="both"/>
        <w:rPr>
          <w:rFonts w:cs="Arial"/>
          <w:b w:val="0"/>
        </w:rPr>
        <w:sectPr w:rsidR="004D4277" w:rsidRPr="00FB3A86" w:rsidSect="0003104C">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4E133D7" w14:textId="77777777" w:rsidR="00B01FCD" w:rsidRPr="00FB3A86" w:rsidRDefault="00B01FCD" w:rsidP="00441B6F">
      <w:pPr>
        <w:pStyle w:val="Appendix"/>
        <w:spacing w:after="0"/>
        <w:jc w:val="both"/>
        <w:rPr>
          <w:rFonts w:cs="Arial"/>
          <w:b w:val="0"/>
        </w:rPr>
      </w:pPr>
    </w:p>
    <w:sectPr w:rsidR="00B01FCD" w:rsidRPr="00FB3A86" w:rsidSect="000310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3C40D" w14:textId="77777777" w:rsidR="004C4B3A" w:rsidRDefault="004C4B3A" w:rsidP="00C37E61">
      <w:r>
        <w:separator/>
      </w:r>
    </w:p>
  </w:endnote>
  <w:endnote w:type="continuationSeparator" w:id="0">
    <w:p w14:paraId="482EC01C" w14:textId="77777777" w:rsidR="004C4B3A" w:rsidRDefault="004C4B3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3E1B" w14:textId="77777777" w:rsidR="0003104C" w:rsidRDefault="0003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FB9A" w14:textId="77777777" w:rsidR="0003104C" w:rsidRDefault="00031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F94C" w14:textId="6BEBB56B" w:rsidR="00754C9A" w:rsidRPr="0003104C" w:rsidRDefault="00754C9A" w:rsidP="0003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AE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E487" w14:textId="77777777" w:rsidR="004C4B3A" w:rsidRDefault="004C4B3A" w:rsidP="00C37E61">
      <w:r>
        <w:separator/>
      </w:r>
    </w:p>
  </w:footnote>
  <w:footnote w:type="continuationSeparator" w:id="0">
    <w:p w14:paraId="692DA8F9" w14:textId="77777777" w:rsidR="004C4B3A" w:rsidRDefault="004C4B3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FDB" w14:textId="6C072513" w:rsidR="0003104C" w:rsidRDefault="0003104C">
    <w:pPr>
      <w:pStyle w:val="Header"/>
    </w:pPr>
    <w:r>
      <w:rPr>
        <w:noProof/>
      </w:rPr>
      <w:pict w14:anchorId="7B8D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070B" w14:textId="5BADBB9B" w:rsidR="0003104C" w:rsidRDefault="0003104C">
    <w:pPr>
      <w:pStyle w:val="Header"/>
    </w:pPr>
    <w:r>
      <w:rPr>
        <w:noProof/>
      </w:rPr>
      <w:pict w14:anchorId="2C308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BAC" w14:textId="33CE06AF" w:rsidR="00296529" w:rsidRPr="00296529" w:rsidRDefault="0003104C" w:rsidP="00296529">
    <w:pPr>
      <w:ind w:left="2160"/>
      <w:jc w:val="center"/>
      <w:rPr>
        <w:rFonts w:ascii="Times New Roman" w:eastAsia="Calibri" w:hAnsi="Times New Roman"/>
        <w:i/>
        <w:sz w:val="18"/>
        <w:szCs w:val="22"/>
      </w:rPr>
    </w:pPr>
    <w:r>
      <w:rPr>
        <w:noProof/>
      </w:rPr>
      <w:pict w14:anchorId="20493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7557CC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5A61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6974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B8F0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E04D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1731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A5D4" w14:textId="264D3450" w:rsidR="0003104C" w:rsidRDefault="0003104C">
    <w:pPr>
      <w:pStyle w:val="Header"/>
    </w:pPr>
    <w:r>
      <w:rPr>
        <w:noProof/>
      </w:rPr>
      <w:pict w14:anchorId="1C1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6820" w14:textId="1D088BE6" w:rsidR="0003104C" w:rsidRDefault="0003104C">
    <w:pPr>
      <w:pStyle w:val="Header"/>
    </w:pPr>
    <w:r>
      <w:rPr>
        <w:noProof/>
      </w:rPr>
      <w:pict w14:anchorId="10A82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FBE7" w14:textId="04FEE86F" w:rsidR="0003104C" w:rsidRDefault="0003104C">
    <w:pPr>
      <w:pStyle w:val="Header"/>
    </w:pPr>
    <w:r>
      <w:rPr>
        <w:noProof/>
      </w:rPr>
      <w:pict w14:anchorId="41B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991C06"/>
    <w:multiLevelType w:val="hybridMultilevel"/>
    <w:tmpl w:val="7DE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20768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4149350">
    <w:abstractNumId w:val="16"/>
  </w:num>
  <w:num w:numId="3" w16cid:durableId="976302930">
    <w:abstractNumId w:val="24"/>
  </w:num>
  <w:num w:numId="4" w16cid:durableId="18151754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15854041">
    <w:abstractNumId w:val="7"/>
  </w:num>
  <w:num w:numId="6" w16cid:durableId="946275794">
    <w:abstractNumId w:val="6"/>
  </w:num>
  <w:num w:numId="7" w16cid:durableId="1469787078">
    <w:abstractNumId w:val="1"/>
  </w:num>
  <w:num w:numId="8" w16cid:durableId="395206196">
    <w:abstractNumId w:val="12"/>
  </w:num>
  <w:num w:numId="9" w16cid:durableId="1793088259">
    <w:abstractNumId w:val="26"/>
  </w:num>
  <w:num w:numId="10" w16cid:durableId="1858345545">
    <w:abstractNumId w:val="2"/>
  </w:num>
  <w:num w:numId="11" w16cid:durableId="1987707444">
    <w:abstractNumId w:val="19"/>
  </w:num>
  <w:num w:numId="12" w16cid:durableId="563414538">
    <w:abstractNumId w:val="3"/>
  </w:num>
  <w:num w:numId="13" w16cid:durableId="169683918">
    <w:abstractNumId w:val="18"/>
  </w:num>
  <w:num w:numId="14" w16cid:durableId="2036225642">
    <w:abstractNumId w:val="8"/>
  </w:num>
  <w:num w:numId="15" w16cid:durableId="837114732">
    <w:abstractNumId w:val="22"/>
  </w:num>
  <w:num w:numId="16" w16cid:durableId="1138955610">
    <w:abstractNumId w:val="5"/>
  </w:num>
  <w:num w:numId="17" w16cid:durableId="1876844805">
    <w:abstractNumId w:val="23"/>
  </w:num>
  <w:num w:numId="18" w16cid:durableId="664892105">
    <w:abstractNumId w:val="15"/>
  </w:num>
  <w:num w:numId="19" w16cid:durableId="1013144253">
    <w:abstractNumId w:val="29"/>
  </w:num>
  <w:num w:numId="20" w16cid:durableId="1853565238">
    <w:abstractNumId w:val="11"/>
  </w:num>
  <w:num w:numId="21" w16cid:durableId="1329405061">
    <w:abstractNumId w:val="9"/>
  </w:num>
  <w:num w:numId="22" w16cid:durableId="194930696">
    <w:abstractNumId w:val="13"/>
  </w:num>
  <w:num w:numId="23" w16cid:durableId="667514088">
    <w:abstractNumId w:val="20"/>
  </w:num>
  <w:num w:numId="24" w16cid:durableId="605427320">
    <w:abstractNumId w:val="27"/>
  </w:num>
  <w:num w:numId="25" w16cid:durableId="1614091510">
    <w:abstractNumId w:val="4"/>
  </w:num>
  <w:num w:numId="26" w16cid:durableId="1608193146">
    <w:abstractNumId w:val="17"/>
  </w:num>
  <w:num w:numId="27" w16cid:durableId="730888210">
    <w:abstractNumId w:val="21"/>
  </w:num>
  <w:num w:numId="28" w16cid:durableId="1560508174">
    <w:abstractNumId w:val="28"/>
  </w:num>
  <w:num w:numId="29" w16cid:durableId="1063135164">
    <w:abstractNumId w:val="25"/>
  </w:num>
  <w:num w:numId="30" w16cid:durableId="599996396">
    <w:abstractNumId w:val="10"/>
  </w:num>
  <w:num w:numId="31" w16cid:durableId="428934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04C"/>
    <w:rsid w:val="0004579C"/>
    <w:rsid w:val="000A47FA"/>
    <w:rsid w:val="000A65D3"/>
    <w:rsid w:val="000B1E33"/>
    <w:rsid w:val="000B30EE"/>
    <w:rsid w:val="000D689F"/>
    <w:rsid w:val="000E7B7B"/>
    <w:rsid w:val="000E7D62"/>
    <w:rsid w:val="000F7930"/>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7A99"/>
    <w:rsid w:val="00200595"/>
    <w:rsid w:val="00204835"/>
    <w:rsid w:val="00217EA9"/>
    <w:rsid w:val="00231920"/>
    <w:rsid w:val="0023195C"/>
    <w:rsid w:val="0024282C"/>
    <w:rsid w:val="002460DC"/>
    <w:rsid w:val="00250985"/>
    <w:rsid w:val="002556F6"/>
    <w:rsid w:val="00283105"/>
    <w:rsid w:val="00284C4C"/>
    <w:rsid w:val="00287E68"/>
    <w:rsid w:val="00296529"/>
    <w:rsid w:val="002B27FB"/>
    <w:rsid w:val="002B685A"/>
    <w:rsid w:val="002C57D2"/>
    <w:rsid w:val="002C72A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E59"/>
    <w:rsid w:val="00423789"/>
    <w:rsid w:val="00440F43"/>
    <w:rsid w:val="00441B6F"/>
    <w:rsid w:val="00446221"/>
    <w:rsid w:val="00450E62"/>
    <w:rsid w:val="004539DB"/>
    <w:rsid w:val="00471A80"/>
    <w:rsid w:val="00485B0C"/>
    <w:rsid w:val="004C4B3A"/>
    <w:rsid w:val="004D305E"/>
    <w:rsid w:val="004D4277"/>
    <w:rsid w:val="00502516"/>
    <w:rsid w:val="00505F06"/>
    <w:rsid w:val="00506828"/>
    <w:rsid w:val="00521AAC"/>
    <w:rsid w:val="0053056E"/>
    <w:rsid w:val="00535D73"/>
    <w:rsid w:val="00554FDA"/>
    <w:rsid w:val="005C784C"/>
    <w:rsid w:val="005D17F6"/>
    <w:rsid w:val="005E5539"/>
    <w:rsid w:val="00602BF5"/>
    <w:rsid w:val="00617FDD"/>
    <w:rsid w:val="00626525"/>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583"/>
    <w:rsid w:val="007369E6"/>
    <w:rsid w:val="00746E59"/>
    <w:rsid w:val="00754C9A"/>
    <w:rsid w:val="0075599A"/>
    <w:rsid w:val="00761D52"/>
    <w:rsid w:val="0077749E"/>
    <w:rsid w:val="00790ADA"/>
    <w:rsid w:val="007D2288"/>
    <w:rsid w:val="007E088F"/>
    <w:rsid w:val="007E7046"/>
    <w:rsid w:val="007F7B32"/>
    <w:rsid w:val="00804BC2"/>
    <w:rsid w:val="0081431A"/>
    <w:rsid w:val="0083216F"/>
    <w:rsid w:val="00860000"/>
    <w:rsid w:val="00863BD3"/>
    <w:rsid w:val="008641ED"/>
    <w:rsid w:val="00866D66"/>
    <w:rsid w:val="008671C6"/>
    <w:rsid w:val="00875803"/>
    <w:rsid w:val="008A34B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2088"/>
    <w:rsid w:val="00BC53A0"/>
    <w:rsid w:val="00BE62AD"/>
    <w:rsid w:val="00BF121F"/>
    <w:rsid w:val="00BF1F80"/>
    <w:rsid w:val="00C166EF"/>
    <w:rsid w:val="00C17EB0"/>
    <w:rsid w:val="00C27F5F"/>
    <w:rsid w:val="00C30A0F"/>
    <w:rsid w:val="00C37E61"/>
    <w:rsid w:val="00C646B9"/>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08D"/>
    <w:rsid w:val="00EA012C"/>
    <w:rsid w:val="00EC6A55"/>
    <w:rsid w:val="00ED0288"/>
    <w:rsid w:val="00EE4DB3"/>
    <w:rsid w:val="00EE52CB"/>
    <w:rsid w:val="00EF581D"/>
    <w:rsid w:val="00EF7FD8"/>
    <w:rsid w:val="00F06F59"/>
    <w:rsid w:val="00F17988"/>
    <w:rsid w:val="00F469F0"/>
    <w:rsid w:val="00F53273"/>
    <w:rsid w:val="00F74DFB"/>
    <w:rsid w:val="00F755E4"/>
    <w:rsid w:val="00F77D02"/>
    <w:rsid w:val="00F92243"/>
    <w:rsid w:val="00F96ED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762AB5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E9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CB4-77EF-4F10-B302-B1D38574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128</TotalTime>
  <Pages>8</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20</cp:revision>
  <cp:lastPrinted>1999-07-06T11:00:00Z</cp:lastPrinted>
  <dcterms:created xsi:type="dcterms:W3CDTF">2014-10-25T14:34:00Z</dcterms:created>
  <dcterms:modified xsi:type="dcterms:W3CDTF">2025-07-01T07:17:00Z</dcterms:modified>
</cp:coreProperties>
</file>