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00C5" w14:textId="68AD2EEC" w:rsidR="00EA2417" w:rsidRDefault="00EA2417" w:rsidP="00EA2417">
      <w:pPr>
        <w:spacing w:after="160" w:line="259" w:lineRule="auto"/>
        <w:jc w:val="right"/>
        <w:rPr>
          <w:rFonts w:ascii="Arial" w:hAnsi="Arial" w:cs="Arial"/>
          <w:b/>
          <w:bCs/>
          <w:kern w:val="2"/>
          <w:sz w:val="24"/>
          <w:szCs w:val="24"/>
          <w:lang w:val="en-IN"/>
          <w14:ligatures w14:val="standardContextual"/>
        </w:rPr>
      </w:pPr>
      <w:r w:rsidRPr="00EA2417">
        <w:rPr>
          <w:rFonts w:ascii="Arial" w:hAnsi="Arial" w:cs="Arial"/>
          <w:b/>
          <w:bCs/>
          <w:kern w:val="2"/>
          <w:sz w:val="24"/>
          <w:szCs w:val="24"/>
          <w14:ligatures w14:val="standardContextual"/>
        </w:rPr>
        <w:t xml:space="preserve">Analysis of Genetic Variability and Potential for Genetic Improvement in Sponge Gourd </w:t>
      </w:r>
      <w:r w:rsidR="009A7EEE">
        <w:rPr>
          <w:rFonts w:ascii="Arial" w:hAnsi="Arial" w:cs="Arial"/>
          <w:b/>
          <w:bCs/>
          <w:kern w:val="2"/>
          <w:sz w:val="24"/>
          <w:szCs w:val="24"/>
          <w:lang w:val="en-IN"/>
          <w14:ligatures w14:val="standardContextual"/>
        </w:rPr>
        <w:t>[</w:t>
      </w:r>
      <w:r w:rsidR="009A7EEE" w:rsidRPr="00EA2417">
        <w:rPr>
          <w:rFonts w:ascii="Arial" w:hAnsi="Arial" w:cs="Arial"/>
          <w:b/>
          <w:bCs/>
          <w:i/>
          <w:iCs/>
          <w:kern w:val="2"/>
          <w:sz w:val="24"/>
          <w:szCs w:val="24"/>
          <w:lang w:val="en-IN"/>
          <w14:ligatures w14:val="standardContextual"/>
        </w:rPr>
        <w:t>Luffa cylindrica</w:t>
      </w:r>
      <w:r w:rsidR="009A7EEE" w:rsidRPr="00EA2417">
        <w:rPr>
          <w:rFonts w:ascii="Arial" w:hAnsi="Arial" w:cs="Arial"/>
          <w:b/>
          <w:bCs/>
          <w:kern w:val="2"/>
          <w:sz w:val="24"/>
          <w:szCs w:val="24"/>
          <w:lang w:val="en-IN"/>
          <w14:ligatures w14:val="standardContextual"/>
        </w:rPr>
        <w:t xml:space="preserve"> </w:t>
      </w:r>
      <w:r w:rsidR="009A7EEE">
        <w:rPr>
          <w:rFonts w:ascii="Arial" w:hAnsi="Arial" w:cs="Arial"/>
          <w:b/>
          <w:bCs/>
          <w:kern w:val="2"/>
          <w:sz w:val="24"/>
          <w:szCs w:val="24"/>
          <w:lang w:val="en-IN"/>
          <w14:ligatures w14:val="standardContextual"/>
        </w:rPr>
        <w:t>(</w:t>
      </w:r>
      <w:r w:rsidR="009A7EEE" w:rsidRPr="00EA2417">
        <w:rPr>
          <w:rFonts w:ascii="Arial" w:hAnsi="Arial" w:cs="Arial"/>
          <w:b/>
          <w:bCs/>
          <w:kern w:val="2"/>
          <w:sz w:val="24"/>
          <w:szCs w:val="24"/>
          <w:lang w:val="en-IN"/>
          <w14:ligatures w14:val="standardContextual"/>
        </w:rPr>
        <w:t>L.</w:t>
      </w:r>
      <w:r w:rsidR="009A7EEE">
        <w:rPr>
          <w:rFonts w:ascii="Arial" w:hAnsi="Arial" w:cs="Arial"/>
          <w:b/>
          <w:bCs/>
          <w:kern w:val="2"/>
          <w:sz w:val="24"/>
          <w:szCs w:val="24"/>
          <w:lang w:val="en-IN"/>
          <w14:ligatures w14:val="standardContextual"/>
        </w:rPr>
        <w:t>)</w:t>
      </w:r>
      <w:r w:rsidR="009A7EEE" w:rsidRPr="00EA2417">
        <w:rPr>
          <w:rFonts w:ascii="Arial" w:hAnsi="Arial" w:cs="Arial"/>
          <w:b/>
          <w:bCs/>
          <w:kern w:val="2"/>
          <w:sz w:val="24"/>
          <w:szCs w:val="24"/>
          <w:lang w:val="en-IN"/>
          <w14:ligatures w14:val="standardContextual"/>
        </w:rPr>
        <w:t xml:space="preserve"> Roem.</w:t>
      </w:r>
      <w:r w:rsidR="009A7EEE">
        <w:rPr>
          <w:rFonts w:ascii="Arial" w:hAnsi="Arial" w:cs="Arial"/>
          <w:b/>
          <w:bCs/>
          <w:kern w:val="2"/>
          <w:sz w:val="24"/>
          <w:szCs w:val="24"/>
          <w:lang w:val="en-IN"/>
          <w14:ligatures w14:val="standardContextual"/>
        </w:rPr>
        <w:t xml:space="preserve">] </w:t>
      </w:r>
      <w:r w:rsidR="009A7EEE">
        <w:rPr>
          <w:rFonts w:ascii="Arial" w:hAnsi="Arial" w:cs="Arial"/>
          <w:b/>
          <w:bCs/>
          <w:kern w:val="2"/>
          <w:sz w:val="24"/>
          <w:szCs w:val="24"/>
          <w14:ligatures w14:val="standardContextual"/>
        </w:rPr>
        <w:t>t</w:t>
      </w:r>
      <w:r w:rsidRPr="00EA2417">
        <w:rPr>
          <w:rFonts w:ascii="Arial" w:hAnsi="Arial" w:cs="Arial"/>
          <w:b/>
          <w:bCs/>
          <w:kern w:val="2"/>
          <w:sz w:val="24"/>
          <w:szCs w:val="24"/>
          <w14:ligatures w14:val="standardContextual"/>
        </w:rPr>
        <w:t>hrough Heritability and Genetic Advance</w:t>
      </w:r>
    </w:p>
    <w:p w14:paraId="2FFF560E" w14:textId="77777777" w:rsidR="009A55D8" w:rsidRDefault="009A55D8" w:rsidP="00166B81">
      <w:pPr>
        <w:spacing w:line="360" w:lineRule="auto"/>
        <w:jc w:val="center"/>
        <w:rPr>
          <w:rFonts w:ascii="Times New Roman" w:hAnsi="Times New Roman" w:cs="Times New Roman"/>
          <w:sz w:val="24"/>
          <w:szCs w:val="24"/>
          <w:lang w:val="en-IN"/>
        </w:rPr>
      </w:pPr>
    </w:p>
    <w:p w14:paraId="36052E6C" w14:textId="77777777" w:rsidR="00041722" w:rsidRDefault="00041722" w:rsidP="00166B81">
      <w:pPr>
        <w:spacing w:line="360" w:lineRule="auto"/>
        <w:jc w:val="center"/>
        <w:rPr>
          <w:rFonts w:ascii="Times New Roman" w:hAnsi="Times New Roman" w:cs="Times New Roman"/>
          <w:sz w:val="24"/>
          <w:szCs w:val="24"/>
          <w:lang w:val="en-IN"/>
        </w:rPr>
      </w:pPr>
    </w:p>
    <w:p w14:paraId="0368E6F0" w14:textId="77777777" w:rsidR="002860E9" w:rsidRPr="009A7EEE" w:rsidRDefault="002860E9" w:rsidP="009A7EEE">
      <w:pPr>
        <w:rPr>
          <w:rFonts w:ascii="Arial" w:hAnsi="Arial" w:cs="Arial"/>
          <w:b/>
          <w:lang w:val="en-IN"/>
        </w:rPr>
      </w:pPr>
      <w:r w:rsidRPr="009A7EEE">
        <w:rPr>
          <w:rFonts w:ascii="Arial" w:hAnsi="Arial" w:cs="Arial"/>
          <w:b/>
          <w:lang w:val="en-IN"/>
        </w:rPr>
        <w:t>ABSTRACT</w:t>
      </w:r>
    </w:p>
    <w:p w14:paraId="6A703703" w14:textId="77777777" w:rsidR="00FB0F52" w:rsidRPr="009A7EEE" w:rsidRDefault="00FB0F52" w:rsidP="00FB0F52">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 xml:space="preserve">This study assessed the genetic variability, heritability, and genetic progress of 25 genotypes of sponge gourd </w:t>
      </w:r>
      <w:r w:rsidR="006D4154" w:rsidRPr="009A7EEE">
        <w:rPr>
          <w:rFonts w:ascii="Arial" w:eastAsia="Times New Roman" w:hAnsi="Arial" w:cs="Arial"/>
          <w:sz w:val="20"/>
          <w:szCs w:val="20"/>
        </w:rPr>
        <w:t>[</w:t>
      </w:r>
      <w:r w:rsidRPr="009A7EEE">
        <w:rPr>
          <w:rFonts w:ascii="Arial" w:eastAsia="Times New Roman" w:hAnsi="Arial" w:cs="Arial"/>
          <w:i/>
          <w:sz w:val="20"/>
          <w:szCs w:val="20"/>
        </w:rPr>
        <w:t>Luffa cylindrica</w:t>
      </w:r>
      <w:r w:rsidR="006D4154" w:rsidRPr="009A7EEE">
        <w:rPr>
          <w:rFonts w:ascii="Arial" w:eastAsia="Times New Roman" w:hAnsi="Arial" w:cs="Arial"/>
          <w:sz w:val="20"/>
          <w:szCs w:val="20"/>
        </w:rPr>
        <w:t xml:space="preserve"> L. (Roem.</w:t>
      </w:r>
      <w:r w:rsidR="00A06E6F" w:rsidRPr="009A7EEE">
        <w:rPr>
          <w:rFonts w:ascii="Arial" w:eastAsia="Times New Roman" w:hAnsi="Arial" w:cs="Arial"/>
          <w:sz w:val="20"/>
          <w:szCs w:val="20"/>
        </w:rPr>
        <w:t>)</w:t>
      </w:r>
      <w:r w:rsidR="006D4154" w:rsidRPr="009A7EEE">
        <w:rPr>
          <w:rFonts w:ascii="Arial" w:eastAsia="Times New Roman" w:hAnsi="Arial" w:cs="Arial"/>
          <w:sz w:val="20"/>
          <w:szCs w:val="20"/>
        </w:rPr>
        <w:t>]</w:t>
      </w:r>
      <w:r w:rsidRPr="009A7EEE">
        <w:rPr>
          <w:rFonts w:ascii="Arial" w:eastAsia="Times New Roman" w:hAnsi="Arial" w:cs="Arial"/>
          <w:sz w:val="20"/>
          <w:szCs w:val="20"/>
        </w:rPr>
        <w:t xml:space="preserve">. In this randomized block design experiment with three replications, twenty yield and quality characteristics were evaluated. The significant differences between genotypes discovered by the analysis of variance demonstrate the high level of genetic diversity. Traits like dry matter content, chlorophyll content, vine length, and number of primary branches showed high genotypic and phenotypic coefficients of variation, heritability, and genetic advancement, suggesting their potential for effective selection and genetic advancement. </w:t>
      </w:r>
      <w:r w:rsidR="001338D5" w:rsidRPr="009A7EEE">
        <w:rPr>
          <w:rFonts w:ascii="Arial" w:hAnsi="Arial" w:cs="Arial"/>
          <w:sz w:val="20"/>
          <w:szCs w:val="20"/>
        </w:rPr>
        <w:t xml:space="preserve">Certain genotypes, such as VRSG-517 and NDSG-23-1, showed superior performance in yield from that of the check variety (Pusa </w:t>
      </w:r>
      <w:proofErr w:type="spellStart"/>
      <w:r w:rsidR="001338D5" w:rsidRPr="009A7EEE">
        <w:rPr>
          <w:rFonts w:ascii="Arial" w:hAnsi="Arial" w:cs="Arial"/>
          <w:sz w:val="20"/>
          <w:szCs w:val="20"/>
        </w:rPr>
        <w:t>Chikni</w:t>
      </w:r>
      <w:proofErr w:type="spellEnd"/>
      <w:r w:rsidR="001338D5" w:rsidRPr="009A7EEE">
        <w:rPr>
          <w:rFonts w:ascii="Arial" w:hAnsi="Arial" w:cs="Arial"/>
          <w:sz w:val="20"/>
          <w:szCs w:val="20"/>
        </w:rPr>
        <w:t xml:space="preserve">). </w:t>
      </w:r>
      <w:r w:rsidRPr="009A7EEE">
        <w:rPr>
          <w:rFonts w:ascii="Arial" w:eastAsia="Times New Roman" w:hAnsi="Arial" w:cs="Arial"/>
          <w:sz w:val="20"/>
          <w:szCs w:val="20"/>
        </w:rPr>
        <w:t>The findings indicate that traditional breeding operations can consistently address these traits to produce improved cultivars of sponge gourd.</w:t>
      </w:r>
    </w:p>
    <w:p w14:paraId="608F72C1" w14:textId="655C0CAF" w:rsidR="00987DDA" w:rsidRPr="00A50B13" w:rsidRDefault="00987DDA" w:rsidP="00FB0F52">
      <w:pPr>
        <w:spacing w:after="0" w:line="360" w:lineRule="auto"/>
        <w:jc w:val="both"/>
        <w:rPr>
          <w:rFonts w:ascii="Arial" w:eastAsia="Times New Roman" w:hAnsi="Arial" w:cs="Arial"/>
          <w:i/>
          <w:iCs/>
          <w:sz w:val="20"/>
          <w:szCs w:val="20"/>
        </w:rPr>
      </w:pPr>
      <w:r w:rsidRPr="00A50B13">
        <w:rPr>
          <w:rFonts w:ascii="Arial" w:eastAsia="Times New Roman" w:hAnsi="Arial" w:cs="Arial"/>
          <w:bCs/>
          <w:i/>
          <w:iCs/>
          <w:sz w:val="20"/>
          <w:szCs w:val="20"/>
        </w:rPr>
        <w:t>Key words:</w:t>
      </w:r>
      <w:r w:rsidRPr="00A50B13">
        <w:rPr>
          <w:rFonts w:ascii="Arial" w:eastAsia="Times New Roman" w:hAnsi="Arial" w:cs="Arial"/>
          <w:i/>
          <w:iCs/>
          <w:sz w:val="20"/>
          <w:szCs w:val="20"/>
        </w:rPr>
        <w:t xml:space="preserve"> Sponge gourd, genetic variability, heritability, genetic advance</w:t>
      </w:r>
      <w:r w:rsidR="001338D5" w:rsidRPr="00A50B13">
        <w:rPr>
          <w:rFonts w:ascii="Arial" w:eastAsia="Times New Roman" w:hAnsi="Arial" w:cs="Arial"/>
          <w:i/>
          <w:iCs/>
          <w:sz w:val="20"/>
          <w:szCs w:val="20"/>
        </w:rPr>
        <w:t>, PCV, GCV</w:t>
      </w:r>
      <w:r w:rsidR="009A7EEE" w:rsidRPr="00A50B13">
        <w:rPr>
          <w:rFonts w:ascii="Arial" w:eastAsia="Times New Roman" w:hAnsi="Arial" w:cs="Arial"/>
          <w:i/>
          <w:iCs/>
          <w:sz w:val="20"/>
          <w:szCs w:val="20"/>
        </w:rPr>
        <w:t>.</w:t>
      </w:r>
    </w:p>
    <w:p w14:paraId="752F553D" w14:textId="77777777" w:rsidR="008632C6" w:rsidRDefault="008632C6">
      <w:pPr>
        <w:rPr>
          <w:rFonts w:ascii="Times New Roman" w:hAnsi="Times New Roman" w:cs="Times New Roman"/>
          <w:b/>
          <w:sz w:val="24"/>
          <w:szCs w:val="24"/>
          <w:lang w:val="en-IN"/>
        </w:rPr>
      </w:pPr>
    </w:p>
    <w:p w14:paraId="33E5EC7D" w14:textId="30A1EFDC" w:rsidR="0047263F" w:rsidRPr="009A7EEE" w:rsidRDefault="000150F1" w:rsidP="009A7EEE">
      <w:pPr>
        <w:pStyle w:val="ListParagraph"/>
        <w:numPr>
          <w:ilvl w:val="0"/>
          <w:numId w:val="2"/>
        </w:numPr>
        <w:ind w:left="284" w:hanging="284"/>
        <w:rPr>
          <w:rFonts w:ascii="Arial" w:hAnsi="Arial" w:cs="Arial"/>
          <w:b/>
          <w:lang w:val="en-IN"/>
        </w:rPr>
      </w:pPr>
      <w:r w:rsidRPr="009A7EEE">
        <w:rPr>
          <w:rFonts w:ascii="Arial" w:hAnsi="Arial" w:cs="Arial"/>
          <w:b/>
          <w:lang w:val="en-IN"/>
        </w:rPr>
        <w:t xml:space="preserve">INTRODUCTION </w:t>
      </w:r>
    </w:p>
    <w:p w14:paraId="16AE3D79" w14:textId="6D673509" w:rsidR="000150F1" w:rsidRPr="009A7EEE" w:rsidRDefault="00FB0F52" w:rsidP="00ED7FF1">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Sponge gourd [</w:t>
      </w:r>
      <w:r w:rsidRPr="009A7EEE">
        <w:rPr>
          <w:rFonts w:ascii="Arial" w:eastAsia="Times New Roman" w:hAnsi="Arial" w:cs="Arial"/>
          <w:i/>
          <w:sz w:val="20"/>
          <w:szCs w:val="20"/>
        </w:rPr>
        <w:t>Luffa cylindrical</w:t>
      </w:r>
      <w:r w:rsidRPr="009A7EEE">
        <w:rPr>
          <w:rFonts w:ascii="Arial" w:eastAsia="Times New Roman" w:hAnsi="Arial" w:cs="Arial"/>
          <w:sz w:val="20"/>
          <w:szCs w:val="20"/>
        </w:rPr>
        <w:t xml:space="preserve"> </w:t>
      </w:r>
      <w:r w:rsidR="009A7EEE" w:rsidRPr="009A7EEE">
        <w:rPr>
          <w:rFonts w:ascii="Arial" w:eastAsia="Times New Roman" w:hAnsi="Arial" w:cs="Arial"/>
          <w:sz w:val="20"/>
          <w:szCs w:val="20"/>
        </w:rPr>
        <w:t xml:space="preserve">(L.) </w:t>
      </w:r>
      <w:r w:rsidRPr="009A7EEE">
        <w:rPr>
          <w:rFonts w:ascii="Arial" w:eastAsia="Times New Roman" w:hAnsi="Arial" w:cs="Arial"/>
          <w:sz w:val="20"/>
          <w:szCs w:val="20"/>
        </w:rPr>
        <w:t>Roem</w:t>
      </w:r>
      <w:r w:rsidR="009A7EEE" w:rsidRPr="009A7EEE">
        <w:rPr>
          <w:rFonts w:ascii="Arial" w:eastAsia="Times New Roman" w:hAnsi="Arial" w:cs="Arial"/>
          <w:sz w:val="20"/>
          <w:szCs w:val="20"/>
        </w:rPr>
        <w:t>.</w:t>
      </w:r>
      <w:r w:rsidRPr="009A7EEE">
        <w:rPr>
          <w:rFonts w:ascii="Arial" w:eastAsia="Times New Roman" w:hAnsi="Arial" w:cs="Arial"/>
          <w:sz w:val="20"/>
          <w:szCs w:val="20"/>
        </w:rPr>
        <w:t xml:space="preserve">], a </w:t>
      </w:r>
      <w:r w:rsidR="000150F1" w:rsidRPr="009A7EEE">
        <w:rPr>
          <w:rFonts w:ascii="Arial" w:eastAsia="Times New Roman" w:hAnsi="Arial" w:cs="Arial"/>
          <w:sz w:val="20"/>
          <w:szCs w:val="20"/>
        </w:rPr>
        <w:t xml:space="preserve">climbing vine belonging to the Cucurbitaceae </w:t>
      </w:r>
      <w:r w:rsidR="009A7EEE" w:rsidRPr="009A7EEE">
        <w:rPr>
          <w:rFonts w:ascii="Arial" w:eastAsia="Times New Roman" w:hAnsi="Arial" w:cs="Arial"/>
          <w:sz w:val="20"/>
          <w:szCs w:val="20"/>
        </w:rPr>
        <w:t>family having</w:t>
      </w:r>
      <w:r w:rsidRPr="009A7EEE">
        <w:rPr>
          <w:rFonts w:ascii="Arial" w:eastAsia="Times New Roman" w:hAnsi="Arial" w:cs="Arial"/>
          <w:sz w:val="20"/>
          <w:szCs w:val="20"/>
        </w:rPr>
        <w:t xml:space="preserve"> chromosome number </w:t>
      </w:r>
      <w:r w:rsidR="009A7EEE" w:rsidRPr="009A7EEE">
        <w:rPr>
          <w:rFonts w:ascii="Arial" w:eastAsia="Times New Roman" w:hAnsi="Arial" w:cs="Arial"/>
          <w:sz w:val="20"/>
          <w:szCs w:val="20"/>
        </w:rPr>
        <w:t>of 2</w:t>
      </w:r>
      <w:r w:rsidRPr="009A7EEE">
        <w:rPr>
          <w:rFonts w:ascii="Arial" w:eastAsia="Times New Roman" w:hAnsi="Arial" w:cs="Arial"/>
          <w:sz w:val="20"/>
          <w:szCs w:val="20"/>
        </w:rPr>
        <w:t xml:space="preserve">n = 2x = 26 </w:t>
      </w:r>
      <w:r w:rsidR="000150F1" w:rsidRPr="009A7EEE">
        <w:rPr>
          <w:rFonts w:ascii="Arial" w:eastAsia="Times New Roman" w:hAnsi="Arial" w:cs="Arial"/>
          <w:sz w:val="20"/>
          <w:szCs w:val="20"/>
        </w:rPr>
        <w:t xml:space="preserve">is said to have originated in Africa. It goes by several names, including Egyptian cucumber, vegetable sponge, and dishcloth gourd (Cho </w:t>
      </w:r>
      <w:r w:rsidR="000150F1" w:rsidRPr="009A7EEE">
        <w:rPr>
          <w:rFonts w:ascii="Arial" w:eastAsia="Times New Roman" w:hAnsi="Arial" w:cs="Arial"/>
          <w:i/>
          <w:sz w:val="20"/>
          <w:szCs w:val="20"/>
        </w:rPr>
        <w:t>et al</w:t>
      </w:r>
      <w:r w:rsidR="000150F1" w:rsidRPr="009A7EEE">
        <w:rPr>
          <w:rFonts w:ascii="Arial" w:eastAsia="Times New Roman" w:hAnsi="Arial" w:cs="Arial"/>
          <w:sz w:val="20"/>
          <w:szCs w:val="20"/>
        </w:rPr>
        <w:t xml:space="preserve">., 2015; Gong </w:t>
      </w:r>
      <w:r w:rsidR="000150F1" w:rsidRPr="009A7EEE">
        <w:rPr>
          <w:rFonts w:ascii="Arial" w:eastAsia="Times New Roman" w:hAnsi="Arial" w:cs="Arial"/>
          <w:i/>
          <w:sz w:val="20"/>
          <w:szCs w:val="20"/>
        </w:rPr>
        <w:t>et al.,</w:t>
      </w:r>
      <w:r w:rsidR="000150F1" w:rsidRPr="009A7EEE">
        <w:rPr>
          <w:rFonts w:ascii="Arial" w:eastAsia="Times New Roman" w:hAnsi="Arial" w:cs="Arial"/>
          <w:sz w:val="20"/>
          <w:szCs w:val="20"/>
        </w:rPr>
        <w:t xml:space="preserve"> 2024). It is widely grown throughout Asia and Africa and is prized for its gastronomic and therapeutic properties; the mature fruits are used as natural sponges, while the young</w:t>
      </w:r>
      <w:r w:rsidR="00ED5F46" w:rsidRPr="009A7EEE">
        <w:rPr>
          <w:rFonts w:ascii="Arial" w:eastAsia="Times New Roman" w:hAnsi="Arial" w:cs="Arial"/>
          <w:sz w:val="20"/>
          <w:szCs w:val="20"/>
        </w:rPr>
        <w:t>er ones are eaten as vegetables</w:t>
      </w:r>
      <w:r w:rsidR="000150F1" w:rsidRPr="009A7EEE">
        <w:rPr>
          <w:rFonts w:ascii="Arial" w:eastAsia="Times New Roman" w:hAnsi="Arial" w:cs="Arial"/>
          <w:sz w:val="20"/>
          <w:szCs w:val="20"/>
        </w:rPr>
        <w:t>.</w:t>
      </w:r>
    </w:p>
    <w:p w14:paraId="3578F811" w14:textId="77777777" w:rsidR="000150F1" w:rsidRPr="009A7EEE" w:rsidRDefault="000150F1" w:rsidP="00ED7FF1">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 xml:space="preserve">There are seven tropical species in the genus Luffa. Among these, </w:t>
      </w:r>
      <w:r w:rsidRPr="009A7EEE">
        <w:rPr>
          <w:rFonts w:ascii="Arial" w:eastAsia="Times New Roman" w:hAnsi="Arial" w:cs="Arial"/>
          <w:i/>
          <w:sz w:val="20"/>
          <w:szCs w:val="20"/>
        </w:rPr>
        <w:t>L</w:t>
      </w:r>
      <w:r w:rsidRPr="009A7EEE">
        <w:rPr>
          <w:rFonts w:ascii="Arial" w:eastAsia="Times New Roman" w:hAnsi="Arial" w:cs="Arial"/>
          <w:sz w:val="20"/>
          <w:szCs w:val="20"/>
        </w:rPr>
        <w:t xml:space="preserve">. </w:t>
      </w:r>
      <w:r w:rsidRPr="009A7EEE">
        <w:rPr>
          <w:rFonts w:ascii="Arial" w:eastAsia="Times New Roman" w:hAnsi="Arial" w:cs="Arial"/>
          <w:i/>
          <w:sz w:val="20"/>
          <w:szCs w:val="20"/>
        </w:rPr>
        <w:t>cylindrica</w:t>
      </w:r>
      <w:r w:rsidRPr="009A7EEE">
        <w:rPr>
          <w:rFonts w:ascii="Arial" w:eastAsia="Times New Roman" w:hAnsi="Arial" w:cs="Arial"/>
          <w:sz w:val="20"/>
          <w:szCs w:val="20"/>
        </w:rPr>
        <w:t xml:space="preserve"> is showing great promise, particularly in India, where cultivation most likely started. There are 825 species and 118 genera in the Cucurbitaceae family (Kallo, 1993).</w:t>
      </w:r>
    </w:p>
    <w:p w14:paraId="7CD164FC" w14:textId="77777777" w:rsidR="000150F1" w:rsidRPr="009A7EEE" w:rsidRDefault="000150F1" w:rsidP="00ED7FF1">
      <w:pPr>
        <w:spacing w:after="0" w:line="360" w:lineRule="auto"/>
        <w:jc w:val="both"/>
        <w:rPr>
          <w:rFonts w:ascii="Arial" w:eastAsia="Times New Roman" w:hAnsi="Arial" w:cs="Arial"/>
          <w:b/>
          <w:sz w:val="20"/>
          <w:szCs w:val="20"/>
        </w:rPr>
      </w:pPr>
      <w:r w:rsidRPr="009A7EEE">
        <w:rPr>
          <w:rFonts w:ascii="Arial" w:eastAsia="Times New Roman" w:hAnsi="Arial" w:cs="Arial"/>
          <w:sz w:val="20"/>
          <w:szCs w:val="20"/>
        </w:rPr>
        <w:t>The highest producer of spo</w:t>
      </w:r>
      <w:r w:rsidR="008632C6" w:rsidRPr="009A7EEE">
        <w:rPr>
          <w:rFonts w:ascii="Arial" w:eastAsia="Times New Roman" w:hAnsi="Arial" w:cs="Arial"/>
          <w:sz w:val="20"/>
          <w:szCs w:val="20"/>
        </w:rPr>
        <w:t>nge gourd in the world is China</w:t>
      </w:r>
      <w:r w:rsidRPr="009A7EEE">
        <w:rPr>
          <w:rFonts w:ascii="Arial" w:eastAsia="Times New Roman" w:hAnsi="Arial" w:cs="Arial"/>
          <w:sz w:val="20"/>
          <w:szCs w:val="20"/>
        </w:rPr>
        <w:t>.</w:t>
      </w:r>
      <w:r w:rsidR="0005040B" w:rsidRPr="009A7EEE">
        <w:rPr>
          <w:rFonts w:ascii="Arial" w:eastAsia="Times New Roman" w:hAnsi="Arial" w:cs="Arial"/>
          <w:sz w:val="20"/>
          <w:szCs w:val="20"/>
        </w:rPr>
        <w:t xml:space="preserve"> India is</w:t>
      </w:r>
      <w:r w:rsidR="00AA6BEB" w:rsidRPr="009A7EEE">
        <w:rPr>
          <w:rFonts w:ascii="Arial" w:eastAsia="Times New Roman" w:hAnsi="Arial" w:cs="Arial"/>
          <w:sz w:val="20"/>
          <w:szCs w:val="20"/>
        </w:rPr>
        <w:t xml:space="preserve"> also a major producer</w:t>
      </w:r>
      <w:r w:rsidR="00AC2A1C" w:rsidRPr="009A7EEE">
        <w:rPr>
          <w:rFonts w:ascii="Arial" w:eastAsia="Times New Roman" w:hAnsi="Arial" w:cs="Arial"/>
          <w:sz w:val="20"/>
          <w:szCs w:val="20"/>
        </w:rPr>
        <w:t>, ranking second globally</w:t>
      </w:r>
      <w:r w:rsidRPr="009A7EEE">
        <w:rPr>
          <w:rFonts w:ascii="Arial" w:eastAsia="Times New Roman" w:hAnsi="Arial" w:cs="Arial"/>
          <w:sz w:val="20"/>
          <w:szCs w:val="20"/>
        </w:rPr>
        <w:t xml:space="preserve">. Sponge gourd is typically farmed in a somewhat limited area for locals in India, taking up around 7.21 lakh hectares and yielding 12.87 lakh tons of fruit annually. This crop yields 10.52 tons per hectare </w:t>
      </w:r>
      <w:r w:rsidRPr="009A7EEE">
        <w:rPr>
          <w:rFonts w:ascii="Arial" w:eastAsia="Times New Roman" w:hAnsi="Arial" w:cs="Arial"/>
          <w:b/>
          <w:sz w:val="20"/>
          <w:szCs w:val="20"/>
        </w:rPr>
        <w:t>(</w:t>
      </w:r>
      <w:r w:rsidRPr="009A7EEE">
        <w:rPr>
          <w:rFonts w:ascii="Arial" w:eastAsia="Times New Roman" w:hAnsi="Arial" w:cs="Arial"/>
          <w:sz w:val="20"/>
          <w:szCs w:val="20"/>
        </w:rPr>
        <w:t>Anonymous, 2022</w:t>
      </w:r>
      <w:r w:rsidRPr="009A7EEE">
        <w:rPr>
          <w:rFonts w:ascii="Arial" w:eastAsia="Times New Roman" w:hAnsi="Arial" w:cs="Arial"/>
          <w:b/>
          <w:sz w:val="20"/>
          <w:szCs w:val="20"/>
        </w:rPr>
        <w:t xml:space="preserve">).  </w:t>
      </w:r>
      <w:r w:rsidRPr="009A7EEE">
        <w:rPr>
          <w:rFonts w:ascii="Arial" w:eastAsia="Times New Roman" w:hAnsi="Arial" w:cs="Arial"/>
          <w:sz w:val="20"/>
          <w:szCs w:val="20"/>
        </w:rPr>
        <w:t>India is a</w:t>
      </w:r>
      <w:r w:rsidR="00AC2A1C" w:rsidRPr="009A7EEE">
        <w:rPr>
          <w:rFonts w:ascii="Arial" w:eastAsia="Times New Roman" w:hAnsi="Arial" w:cs="Arial"/>
          <w:sz w:val="20"/>
          <w:szCs w:val="20"/>
        </w:rPr>
        <w:t xml:space="preserve"> major producer of sponge gourd</w:t>
      </w:r>
      <w:r w:rsidRPr="009A7EEE">
        <w:rPr>
          <w:rFonts w:ascii="Arial" w:eastAsia="Times New Roman" w:hAnsi="Arial" w:cs="Arial"/>
          <w:sz w:val="20"/>
          <w:szCs w:val="20"/>
        </w:rPr>
        <w:t>, with significant cultivati</w:t>
      </w:r>
      <w:r w:rsidR="00AA6BEB" w:rsidRPr="009A7EEE">
        <w:rPr>
          <w:rFonts w:ascii="Arial" w:eastAsia="Times New Roman" w:hAnsi="Arial" w:cs="Arial"/>
          <w:sz w:val="20"/>
          <w:szCs w:val="20"/>
        </w:rPr>
        <w:t>on in states like Uttar Pradesh</w:t>
      </w:r>
      <w:r w:rsidRPr="009A7EEE">
        <w:rPr>
          <w:rFonts w:ascii="Arial" w:eastAsia="Times New Roman" w:hAnsi="Arial" w:cs="Arial"/>
          <w:sz w:val="20"/>
          <w:szCs w:val="20"/>
        </w:rPr>
        <w:t xml:space="preserve">, Bihar and West </w:t>
      </w:r>
      <w:proofErr w:type="gramStart"/>
      <w:r w:rsidRPr="009A7EEE">
        <w:rPr>
          <w:rFonts w:ascii="Arial" w:eastAsia="Times New Roman" w:hAnsi="Arial" w:cs="Arial"/>
          <w:sz w:val="20"/>
          <w:szCs w:val="20"/>
        </w:rPr>
        <w:t>Bengal</w:t>
      </w:r>
      <w:r w:rsidRPr="009A7EEE">
        <w:rPr>
          <w:rFonts w:ascii="Arial" w:eastAsia="Times New Roman" w:hAnsi="Arial" w:cs="Arial"/>
          <w:b/>
          <w:sz w:val="20"/>
          <w:szCs w:val="20"/>
        </w:rPr>
        <w:t xml:space="preserve"> .</w:t>
      </w:r>
      <w:proofErr w:type="gramEnd"/>
    </w:p>
    <w:p w14:paraId="39774A89" w14:textId="77777777" w:rsidR="000150F1" w:rsidRPr="009A7EEE" w:rsidRDefault="000150F1" w:rsidP="000150F1">
      <w:pPr>
        <w:pStyle w:val="Default"/>
        <w:spacing w:line="360" w:lineRule="auto"/>
        <w:jc w:val="both"/>
        <w:rPr>
          <w:rFonts w:ascii="Arial" w:hAnsi="Arial" w:cs="Arial"/>
          <w:sz w:val="20"/>
          <w:szCs w:val="20"/>
        </w:rPr>
      </w:pPr>
      <w:r w:rsidRPr="009A7EEE">
        <w:rPr>
          <w:rFonts w:ascii="Arial" w:hAnsi="Arial" w:cs="Arial"/>
          <w:sz w:val="20"/>
          <w:szCs w:val="20"/>
        </w:rPr>
        <w:t xml:space="preserve">Sponge gourd’s nutritional and medicinal values make it an attractive crop to enhance and diversity food systems and improve food and nutrition security. However, it remains an undervalued, underutilized, and neglected cucurbit crop due to poor research and investment support </w:t>
      </w:r>
      <w:r w:rsidRPr="009A7EEE">
        <w:rPr>
          <w:rFonts w:ascii="Arial" w:hAnsi="Arial" w:cs="Arial"/>
          <w:b/>
          <w:sz w:val="20"/>
          <w:szCs w:val="20"/>
        </w:rPr>
        <w:t>(</w:t>
      </w:r>
      <w:r w:rsidRPr="009A7EEE">
        <w:rPr>
          <w:rFonts w:ascii="Arial" w:hAnsi="Arial" w:cs="Arial"/>
          <w:sz w:val="20"/>
          <w:szCs w:val="20"/>
        </w:rPr>
        <w:t xml:space="preserve">Kumari </w:t>
      </w:r>
      <w:r w:rsidRPr="009A7EEE">
        <w:rPr>
          <w:rFonts w:ascii="Arial" w:hAnsi="Arial" w:cs="Arial"/>
          <w:i/>
          <w:sz w:val="20"/>
          <w:szCs w:val="20"/>
        </w:rPr>
        <w:t>et al</w:t>
      </w:r>
      <w:r w:rsidRPr="009A7EEE">
        <w:rPr>
          <w:rFonts w:ascii="Arial" w:hAnsi="Arial" w:cs="Arial"/>
          <w:sz w:val="20"/>
          <w:szCs w:val="20"/>
        </w:rPr>
        <w:t>., 2019</w:t>
      </w:r>
      <w:r w:rsidRPr="009A7EEE">
        <w:rPr>
          <w:rFonts w:ascii="Arial" w:hAnsi="Arial" w:cs="Arial"/>
          <w:b/>
          <w:sz w:val="20"/>
          <w:szCs w:val="20"/>
        </w:rPr>
        <w:t>).</w:t>
      </w:r>
      <w:r w:rsidRPr="009A7EEE">
        <w:rPr>
          <w:rFonts w:ascii="Arial" w:hAnsi="Arial" w:cs="Arial"/>
          <w:sz w:val="20"/>
          <w:szCs w:val="20"/>
        </w:rPr>
        <w:t xml:space="preserve"> However, there </w:t>
      </w:r>
      <w:r w:rsidRPr="009A7EEE">
        <w:rPr>
          <w:rFonts w:ascii="Arial" w:hAnsi="Arial" w:cs="Arial"/>
          <w:sz w:val="20"/>
          <w:szCs w:val="20"/>
        </w:rPr>
        <w:lastRenderedPageBreak/>
        <w:t>is increased interest in the cultivation of sponge gourd due to high market demand (</w:t>
      </w:r>
      <w:proofErr w:type="spellStart"/>
      <w:r w:rsidRPr="009A7EEE">
        <w:rPr>
          <w:rFonts w:ascii="Arial" w:hAnsi="Arial" w:cs="Arial"/>
          <w:sz w:val="20"/>
          <w:szCs w:val="20"/>
        </w:rPr>
        <w:t>Mim</w:t>
      </w:r>
      <w:proofErr w:type="spellEnd"/>
      <w:r w:rsidRPr="009A7EEE">
        <w:rPr>
          <w:rFonts w:ascii="Arial" w:hAnsi="Arial" w:cs="Arial"/>
          <w:sz w:val="20"/>
          <w:szCs w:val="20"/>
        </w:rPr>
        <w:t xml:space="preserve"> </w:t>
      </w:r>
      <w:r w:rsidRPr="009A7EEE">
        <w:rPr>
          <w:rFonts w:ascii="Arial" w:hAnsi="Arial" w:cs="Arial"/>
          <w:i/>
          <w:sz w:val="20"/>
          <w:szCs w:val="20"/>
        </w:rPr>
        <w:t>et al</w:t>
      </w:r>
      <w:r w:rsidRPr="009A7EEE">
        <w:rPr>
          <w:rFonts w:ascii="Arial" w:hAnsi="Arial" w:cs="Arial"/>
          <w:sz w:val="20"/>
          <w:szCs w:val="20"/>
        </w:rPr>
        <w:t>., 2021). The escalating demand and niche potential of the crop will require the development of high-yielding and locally adapted varieties with consumer and market-preferred traits.</w:t>
      </w:r>
    </w:p>
    <w:p w14:paraId="30732DF5" w14:textId="77777777" w:rsidR="000150F1" w:rsidRDefault="000150F1" w:rsidP="000150F1">
      <w:pPr>
        <w:pStyle w:val="Default"/>
        <w:spacing w:line="360" w:lineRule="auto"/>
        <w:jc w:val="both"/>
      </w:pPr>
    </w:p>
    <w:p w14:paraId="4DB6CEB8" w14:textId="719FCA7D" w:rsidR="000150F1" w:rsidRPr="009A7EEE" w:rsidRDefault="00A50B13" w:rsidP="009A7EEE">
      <w:pPr>
        <w:pStyle w:val="Default"/>
        <w:numPr>
          <w:ilvl w:val="0"/>
          <w:numId w:val="2"/>
        </w:numPr>
        <w:spacing w:line="360" w:lineRule="auto"/>
        <w:ind w:left="284" w:hanging="284"/>
        <w:jc w:val="both"/>
        <w:rPr>
          <w:rFonts w:ascii="Arial" w:hAnsi="Arial" w:cs="Arial"/>
          <w:b/>
          <w:sz w:val="22"/>
          <w:szCs w:val="22"/>
        </w:rPr>
      </w:pPr>
      <w:r w:rsidRPr="009A7EEE">
        <w:rPr>
          <w:rFonts w:ascii="Arial" w:hAnsi="Arial" w:cs="Arial"/>
          <w:b/>
          <w:sz w:val="22"/>
          <w:szCs w:val="22"/>
        </w:rPr>
        <w:t xml:space="preserve">MATERIALS AND METHOD </w:t>
      </w:r>
    </w:p>
    <w:p w14:paraId="792543F4" w14:textId="77777777" w:rsidR="000150F1" w:rsidRPr="009A7EEE" w:rsidRDefault="000150F1" w:rsidP="000150F1">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The present investigation wa</w:t>
      </w:r>
      <w:r w:rsidR="00275EB9" w:rsidRPr="009A7EEE">
        <w:rPr>
          <w:rFonts w:ascii="Arial" w:eastAsia="TimesNewRomanPSMT" w:hAnsi="Arial" w:cs="Arial"/>
          <w:sz w:val="20"/>
          <w:szCs w:val="20"/>
        </w:rPr>
        <w:t xml:space="preserve">s carried out during the </w:t>
      </w:r>
      <w:r w:rsidR="00A15EE8" w:rsidRPr="009A7EEE">
        <w:rPr>
          <w:rFonts w:ascii="Arial" w:eastAsia="TimesNewRomanPSMT" w:hAnsi="Arial" w:cs="Arial"/>
          <w:sz w:val="20"/>
          <w:szCs w:val="20"/>
        </w:rPr>
        <w:t>summer</w:t>
      </w:r>
      <w:r w:rsidRPr="009A7EEE">
        <w:rPr>
          <w:rFonts w:ascii="Arial" w:eastAsia="TimesNewRomanPSMT" w:hAnsi="Arial" w:cs="Arial"/>
          <w:sz w:val="20"/>
          <w:szCs w:val="20"/>
        </w:rPr>
        <w:t xml:space="preserve"> season of 2023-2024 at the</w:t>
      </w:r>
      <w:r w:rsidR="00275EB9" w:rsidRPr="009A7EEE">
        <w:rPr>
          <w:rFonts w:ascii="Arial" w:eastAsia="TimesNewRomanPSMT" w:hAnsi="Arial" w:cs="Arial"/>
          <w:sz w:val="20"/>
          <w:szCs w:val="20"/>
        </w:rPr>
        <w:t xml:space="preserve"> </w:t>
      </w:r>
      <w:r w:rsidR="0096057C" w:rsidRPr="009A7EEE">
        <w:rPr>
          <w:rFonts w:ascii="Arial" w:eastAsia="TimesNewRomanPSMT" w:hAnsi="Arial" w:cs="Arial"/>
          <w:sz w:val="20"/>
          <w:szCs w:val="20"/>
        </w:rPr>
        <w:t>Main Experiment</w:t>
      </w:r>
      <w:r w:rsidR="004D631E" w:rsidRPr="009A7EEE">
        <w:rPr>
          <w:rFonts w:ascii="Arial" w:eastAsia="TimesNewRomanPSMT" w:hAnsi="Arial" w:cs="Arial"/>
          <w:sz w:val="20"/>
          <w:szCs w:val="20"/>
        </w:rPr>
        <w:t>al</w:t>
      </w:r>
      <w:r w:rsidR="0096057C" w:rsidRPr="009A7EEE">
        <w:rPr>
          <w:rFonts w:ascii="Arial" w:eastAsia="TimesNewRomanPSMT" w:hAnsi="Arial" w:cs="Arial"/>
          <w:sz w:val="20"/>
          <w:szCs w:val="20"/>
        </w:rPr>
        <w:t xml:space="preserve"> Station</w:t>
      </w:r>
      <w:r w:rsidRPr="009A7EEE">
        <w:rPr>
          <w:rFonts w:ascii="Arial" w:eastAsia="TimesNewRomanPSMT" w:hAnsi="Arial" w:cs="Arial"/>
          <w:sz w:val="20"/>
          <w:szCs w:val="20"/>
        </w:rPr>
        <w:t xml:space="preserve">, Acharya Narendra Deva University of Agriculture and Technology, </w:t>
      </w:r>
      <w:proofErr w:type="spellStart"/>
      <w:r w:rsidRPr="009A7EEE">
        <w:rPr>
          <w:rFonts w:ascii="Arial" w:eastAsia="TimesNewRomanPSMT" w:hAnsi="Arial" w:cs="Arial"/>
          <w:sz w:val="20"/>
          <w:szCs w:val="20"/>
        </w:rPr>
        <w:t>Kumarganj</w:t>
      </w:r>
      <w:proofErr w:type="spellEnd"/>
      <w:r w:rsidRPr="009A7EEE">
        <w:rPr>
          <w:rFonts w:ascii="Arial" w:eastAsia="TimesNewRomanPSMT" w:hAnsi="Arial" w:cs="Arial"/>
          <w:sz w:val="20"/>
          <w:szCs w:val="20"/>
        </w:rPr>
        <w:t>, Ayodhya (U.P.), India using 25 sponge gourd genotypes. The experiment followed the Randomized Block Design (RBD) with three replications.</w:t>
      </w:r>
    </w:p>
    <w:p w14:paraId="25ACE30D" w14:textId="50591360" w:rsidR="00440F98" w:rsidRPr="009A7EEE" w:rsidRDefault="00275EB9" w:rsidP="001103FA">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Sponge go</w:t>
      </w:r>
      <w:r w:rsidR="00442192" w:rsidRPr="009A7EEE">
        <w:rPr>
          <w:rFonts w:ascii="Arial" w:eastAsia="TimesNewRomanPSMT" w:hAnsi="Arial" w:cs="Arial"/>
          <w:sz w:val="20"/>
          <w:szCs w:val="20"/>
        </w:rPr>
        <w:t>urd is propagated through seeds</w:t>
      </w:r>
      <w:r w:rsidRPr="009A7EEE">
        <w:rPr>
          <w:rFonts w:ascii="Arial" w:eastAsia="TimesNewRomanPSMT" w:hAnsi="Arial" w:cs="Arial"/>
          <w:sz w:val="20"/>
          <w:szCs w:val="20"/>
        </w:rPr>
        <w:t>. The seeds are sown in</w:t>
      </w:r>
      <w:r w:rsidR="00E24A43" w:rsidRPr="009A7EEE">
        <w:rPr>
          <w:rFonts w:ascii="Arial" w:eastAsia="TimesNewRomanPSMT" w:hAnsi="Arial" w:cs="Arial"/>
          <w:sz w:val="20"/>
          <w:szCs w:val="20"/>
        </w:rPr>
        <w:t xml:space="preserve"> raised beds</w:t>
      </w:r>
      <w:r w:rsidR="00B7282B" w:rsidRPr="009A7EEE">
        <w:rPr>
          <w:rFonts w:ascii="Arial" w:eastAsia="TimesNewRomanPSMT" w:hAnsi="Arial" w:cs="Arial"/>
          <w:sz w:val="20"/>
          <w:szCs w:val="20"/>
        </w:rPr>
        <w:t>, furrows and pits</w:t>
      </w:r>
      <w:r w:rsidRPr="009A7EEE">
        <w:rPr>
          <w:rFonts w:ascii="Arial" w:eastAsia="TimesNewRomanPSMT" w:hAnsi="Arial" w:cs="Arial"/>
          <w:sz w:val="20"/>
          <w:szCs w:val="20"/>
        </w:rPr>
        <w:t>. The seeds are soaked in water for 12-24 hours before s</w:t>
      </w:r>
      <w:r w:rsidR="00442192" w:rsidRPr="009A7EEE">
        <w:rPr>
          <w:rFonts w:ascii="Arial" w:eastAsia="TimesNewRomanPSMT" w:hAnsi="Arial" w:cs="Arial"/>
          <w:sz w:val="20"/>
          <w:szCs w:val="20"/>
        </w:rPr>
        <w:t>owing to hasten the germination</w:t>
      </w:r>
      <w:r w:rsidRPr="009A7EEE">
        <w:rPr>
          <w:rFonts w:ascii="Arial" w:eastAsia="TimesNewRomanPSMT" w:hAnsi="Arial" w:cs="Arial"/>
          <w:sz w:val="20"/>
          <w:szCs w:val="20"/>
        </w:rPr>
        <w:t xml:space="preserve">. </w:t>
      </w:r>
      <w:r w:rsidR="00E567E4" w:rsidRPr="009A7EEE">
        <w:rPr>
          <w:rFonts w:ascii="Arial" w:eastAsia="TimesNewRomanPSMT" w:hAnsi="Arial" w:cs="Arial"/>
          <w:sz w:val="20"/>
          <w:szCs w:val="20"/>
        </w:rPr>
        <w:t>In this investigation</w:t>
      </w:r>
      <w:r w:rsidR="001103FA" w:rsidRPr="009A7EEE">
        <w:rPr>
          <w:rFonts w:ascii="Arial" w:eastAsia="TimesNewRomanPSMT" w:hAnsi="Arial" w:cs="Arial"/>
          <w:sz w:val="20"/>
          <w:szCs w:val="20"/>
        </w:rPr>
        <w:t>, spacing of 3.0m x 0.5m is maintained with a plot size of 3.0 x 3.0 m</w:t>
      </w:r>
      <w:r w:rsidR="001103FA" w:rsidRPr="009A7EEE">
        <w:rPr>
          <w:rFonts w:ascii="Arial" w:eastAsia="TimesNewRomanPSMT" w:hAnsi="Arial" w:cs="Arial"/>
          <w:sz w:val="20"/>
          <w:szCs w:val="20"/>
          <w:vertAlign w:val="superscript"/>
        </w:rPr>
        <w:t>2</w:t>
      </w:r>
      <w:r w:rsidR="001103FA" w:rsidRPr="009A7EEE">
        <w:rPr>
          <w:rFonts w:ascii="Arial" w:eastAsia="TimesNewRomanPSMT" w:hAnsi="Arial" w:cs="Arial"/>
          <w:sz w:val="20"/>
          <w:szCs w:val="20"/>
        </w:rPr>
        <w:t xml:space="preserve">. In order to ensure good crop growth, the cultivation followed the tactics and guidelines that were recommended. Five randomly chosen plants from each plot were taken into consideration for recording observations for sixteen different yield and quality traits. The data were statistically </w:t>
      </w:r>
      <w:proofErr w:type="spellStart"/>
      <w:r w:rsidR="001103FA" w:rsidRPr="009A7EEE">
        <w:rPr>
          <w:rFonts w:ascii="Arial" w:eastAsia="TimesNewRomanPSMT" w:hAnsi="Arial" w:cs="Arial"/>
          <w:sz w:val="20"/>
          <w:szCs w:val="20"/>
        </w:rPr>
        <w:t>analysed</w:t>
      </w:r>
      <w:proofErr w:type="spellEnd"/>
      <w:r w:rsidR="001103FA" w:rsidRPr="009A7EEE">
        <w:rPr>
          <w:rFonts w:ascii="Arial" w:eastAsia="TimesNewRomanPSMT" w:hAnsi="Arial" w:cs="Arial"/>
          <w:sz w:val="20"/>
          <w:szCs w:val="20"/>
        </w:rPr>
        <w:t xml:space="preserve"> using analysis of variance (ANOVA), methodology outlined b</w:t>
      </w:r>
      <w:r w:rsidR="00E567E4" w:rsidRPr="009A7EEE">
        <w:rPr>
          <w:rFonts w:ascii="Arial" w:eastAsia="TimesNewRomanPSMT" w:hAnsi="Arial" w:cs="Arial"/>
          <w:sz w:val="20"/>
          <w:szCs w:val="20"/>
        </w:rPr>
        <w:t xml:space="preserve">y (Panse and </w:t>
      </w:r>
      <w:proofErr w:type="spellStart"/>
      <w:r w:rsidR="00E567E4" w:rsidRPr="009A7EEE">
        <w:rPr>
          <w:rFonts w:ascii="Arial" w:eastAsia="TimesNewRomanPSMT" w:hAnsi="Arial" w:cs="Arial"/>
          <w:sz w:val="20"/>
          <w:szCs w:val="20"/>
        </w:rPr>
        <w:t>Sukhatme</w:t>
      </w:r>
      <w:proofErr w:type="spellEnd"/>
      <w:r w:rsidR="00BA39B3" w:rsidRPr="009A7EEE">
        <w:rPr>
          <w:rFonts w:ascii="Arial" w:eastAsia="TimesNewRomanPSMT" w:hAnsi="Arial" w:cs="Arial"/>
          <w:sz w:val="20"/>
          <w:szCs w:val="20"/>
        </w:rPr>
        <w:t>, 2000</w:t>
      </w:r>
      <w:r w:rsidR="001103FA" w:rsidRPr="009A7EEE">
        <w:rPr>
          <w:rFonts w:ascii="Arial" w:eastAsia="TimesNewRomanPSMT" w:hAnsi="Arial" w:cs="Arial"/>
          <w:sz w:val="20"/>
          <w:szCs w:val="20"/>
        </w:rPr>
        <w:t xml:space="preserve">) and using the formula developed by (Burton and De Vane 1953), the genotypic and phenotypic coefficients of variability for each </w:t>
      </w:r>
      <w:r w:rsidR="0098638B" w:rsidRPr="009A7EEE">
        <w:rPr>
          <w:rFonts w:ascii="Arial" w:eastAsia="TimesNewRomanPSMT" w:hAnsi="Arial" w:cs="Arial"/>
          <w:sz w:val="20"/>
          <w:szCs w:val="20"/>
        </w:rPr>
        <w:t>trait</w:t>
      </w:r>
      <w:r w:rsidR="001103FA" w:rsidRPr="009A7EEE">
        <w:rPr>
          <w:rFonts w:ascii="Arial" w:eastAsia="TimesNewRomanPSMT" w:hAnsi="Arial" w:cs="Arial"/>
          <w:sz w:val="20"/>
          <w:szCs w:val="20"/>
        </w:rPr>
        <w:t xml:space="preserve"> were calculated. According to the guidelines of (Weber and Moorthy</w:t>
      </w:r>
      <w:r w:rsidR="009471F9" w:rsidRPr="009A7EEE">
        <w:rPr>
          <w:rFonts w:ascii="Arial" w:eastAsia="TimesNewRomanPSMT" w:hAnsi="Arial" w:cs="Arial"/>
          <w:sz w:val="20"/>
          <w:szCs w:val="20"/>
        </w:rPr>
        <w:t>,</w:t>
      </w:r>
      <w:r w:rsidR="001103FA" w:rsidRPr="009A7EEE">
        <w:rPr>
          <w:rFonts w:ascii="Arial" w:eastAsia="TimesNewRomanPSMT" w:hAnsi="Arial" w:cs="Arial"/>
          <w:sz w:val="20"/>
          <w:szCs w:val="20"/>
        </w:rPr>
        <w:t xml:space="preserve"> 1952) broad sense heritability was estimated and the genetic gain was computed using the method recommended by (Johnson </w:t>
      </w:r>
      <w:r w:rsidR="001103FA" w:rsidRPr="009A7EEE">
        <w:rPr>
          <w:rFonts w:ascii="Arial" w:eastAsia="TimesNewRomanPSMT" w:hAnsi="Arial" w:cs="Arial"/>
          <w:i/>
          <w:iCs/>
          <w:sz w:val="20"/>
          <w:szCs w:val="20"/>
        </w:rPr>
        <w:t>et al</w:t>
      </w:r>
      <w:r w:rsidR="001103FA" w:rsidRPr="009A7EEE">
        <w:rPr>
          <w:rFonts w:ascii="Arial" w:eastAsia="TimesNewRomanPSMT" w:hAnsi="Arial" w:cs="Arial"/>
          <w:sz w:val="20"/>
          <w:szCs w:val="20"/>
        </w:rPr>
        <w:t>.,1955).</w:t>
      </w:r>
    </w:p>
    <w:p w14:paraId="748F237D" w14:textId="77777777" w:rsidR="00E567E4" w:rsidRDefault="00E567E4" w:rsidP="001103FA">
      <w:pPr>
        <w:autoSpaceDE w:val="0"/>
        <w:autoSpaceDN w:val="0"/>
        <w:adjustRightInd w:val="0"/>
        <w:spacing w:after="0" w:line="360" w:lineRule="auto"/>
        <w:jc w:val="both"/>
        <w:rPr>
          <w:rFonts w:ascii="Times New Roman" w:eastAsia="TimesNewRomanPSMT" w:hAnsi="Times New Roman" w:cs="Times New Roman"/>
          <w:sz w:val="24"/>
          <w:szCs w:val="24"/>
        </w:rPr>
      </w:pPr>
    </w:p>
    <w:p w14:paraId="32517456" w14:textId="626C5966" w:rsidR="00E15E63" w:rsidRPr="009A7EEE" w:rsidRDefault="00E15E63" w:rsidP="009A7EEE">
      <w:pPr>
        <w:pStyle w:val="ListParagraph"/>
        <w:numPr>
          <w:ilvl w:val="0"/>
          <w:numId w:val="2"/>
        </w:numPr>
        <w:autoSpaceDE w:val="0"/>
        <w:autoSpaceDN w:val="0"/>
        <w:adjustRightInd w:val="0"/>
        <w:spacing w:after="0" w:line="360" w:lineRule="auto"/>
        <w:ind w:left="284" w:hanging="284"/>
        <w:jc w:val="both"/>
        <w:rPr>
          <w:rFonts w:ascii="Arial" w:eastAsia="TimesNewRomanPSMT" w:hAnsi="Arial" w:cs="Arial"/>
          <w:b/>
        </w:rPr>
      </w:pPr>
      <w:r w:rsidRPr="009A7EEE">
        <w:rPr>
          <w:rFonts w:ascii="Arial" w:eastAsia="TimesNewRomanPSMT" w:hAnsi="Arial" w:cs="Arial"/>
          <w:b/>
        </w:rPr>
        <w:t xml:space="preserve">RESULTS AND DISCUSSION </w:t>
      </w:r>
    </w:p>
    <w:p w14:paraId="79E8DFE1" w14:textId="77777777" w:rsidR="001338D5" w:rsidRPr="009A7EEE" w:rsidRDefault="001338D5" w:rsidP="00ED7FF1">
      <w:pPr>
        <w:spacing w:after="0" w:line="360" w:lineRule="auto"/>
        <w:jc w:val="both"/>
        <w:rPr>
          <w:rFonts w:ascii="Arial" w:hAnsi="Arial" w:cs="Arial"/>
          <w:sz w:val="20"/>
          <w:szCs w:val="20"/>
          <w:lang w:val="en-IN"/>
        </w:rPr>
      </w:pPr>
      <w:r w:rsidRPr="009A7EEE">
        <w:rPr>
          <w:rFonts w:ascii="Arial" w:hAnsi="Arial" w:cs="Arial"/>
          <w:sz w:val="20"/>
          <w:szCs w:val="20"/>
          <w:lang w:val="en-IN"/>
        </w:rPr>
        <w:t xml:space="preserve">The analysis of variance, conducted in accordance with the method outlined by Panse and </w:t>
      </w:r>
      <w:proofErr w:type="spellStart"/>
      <w:r w:rsidRPr="009A7EEE">
        <w:rPr>
          <w:rFonts w:ascii="Arial" w:hAnsi="Arial" w:cs="Arial"/>
          <w:sz w:val="20"/>
          <w:szCs w:val="20"/>
          <w:lang w:val="en-IN"/>
        </w:rPr>
        <w:t>Sukhatme</w:t>
      </w:r>
      <w:proofErr w:type="spellEnd"/>
      <w:r w:rsidRPr="009A7EEE">
        <w:rPr>
          <w:rFonts w:ascii="Arial" w:hAnsi="Arial" w:cs="Arial"/>
          <w:sz w:val="20"/>
          <w:szCs w:val="20"/>
          <w:lang w:val="en-IN"/>
        </w:rPr>
        <w:t xml:space="preserve"> (2000), revealed highly significant differences among the genotypes for all the traits evaluated, indicating substantial genetic variability within the experimental material. </w:t>
      </w:r>
    </w:p>
    <w:p w14:paraId="75E1B65E" w14:textId="77777777" w:rsidR="00E15E63" w:rsidRPr="009A7EEE" w:rsidRDefault="00E15E63" w:rsidP="00ED7FF1">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 xml:space="preserve">The variance analysis revealed significant differences </w:t>
      </w:r>
      <w:proofErr w:type="gramStart"/>
      <w:r w:rsidR="001F0F15" w:rsidRPr="009A7EEE">
        <w:rPr>
          <w:rFonts w:ascii="Arial" w:eastAsia="TimesNewRomanPSMT" w:hAnsi="Arial" w:cs="Arial"/>
          <w:sz w:val="20"/>
          <w:szCs w:val="20"/>
        </w:rPr>
        <w:t xml:space="preserve">among </w:t>
      </w:r>
      <w:r w:rsidRPr="009A7EEE">
        <w:rPr>
          <w:rFonts w:ascii="Arial" w:eastAsia="TimesNewRomanPSMT" w:hAnsi="Arial" w:cs="Arial"/>
          <w:sz w:val="20"/>
          <w:szCs w:val="20"/>
        </w:rPr>
        <w:t xml:space="preserve"> several</w:t>
      </w:r>
      <w:proofErr w:type="gramEnd"/>
      <w:r w:rsidRPr="009A7EEE">
        <w:rPr>
          <w:rFonts w:ascii="Arial" w:eastAsia="TimesNewRomanPSMT" w:hAnsi="Arial" w:cs="Arial"/>
          <w:sz w:val="20"/>
          <w:szCs w:val="20"/>
        </w:rPr>
        <w:t xml:space="preserve"> genotypes,</w:t>
      </w:r>
      <w:r w:rsidR="009471F9" w:rsidRPr="009A7EEE">
        <w:rPr>
          <w:rFonts w:ascii="Arial" w:eastAsia="TimesNewRomanPSMT" w:hAnsi="Arial" w:cs="Arial"/>
          <w:sz w:val="20"/>
          <w:szCs w:val="20"/>
        </w:rPr>
        <w:t xml:space="preserve"> </w:t>
      </w:r>
      <w:r w:rsidRPr="009A7EEE">
        <w:rPr>
          <w:rFonts w:ascii="Arial" w:eastAsia="TimesNewRomanPSMT" w:hAnsi="Arial" w:cs="Arial"/>
          <w:sz w:val="20"/>
          <w:szCs w:val="20"/>
        </w:rPr>
        <w:t>suggesting that the genotypes used in the experiment exhibited a high degree of variability across a range of attributes. They are eligible for the further genetic research because of th</w:t>
      </w:r>
      <w:r w:rsidR="00FE27F6" w:rsidRPr="009A7EEE">
        <w:rPr>
          <w:rFonts w:ascii="Arial" w:eastAsia="TimesNewRomanPSMT" w:hAnsi="Arial" w:cs="Arial"/>
          <w:sz w:val="20"/>
          <w:szCs w:val="20"/>
        </w:rPr>
        <w:t>eir diversity (Table-1). T</w:t>
      </w:r>
      <w:r w:rsidR="009471F9" w:rsidRPr="009A7EEE">
        <w:rPr>
          <w:rFonts w:ascii="Arial" w:eastAsia="TimesNewRomanPSMT" w:hAnsi="Arial" w:cs="Arial"/>
          <w:sz w:val="20"/>
          <w:szCs w:val="20"/>
        </w:rPr>
        <w:t xml:space="preserve">he </w:t>
      </w:r>
      <w:r w:rsidRPr="009A7EEE">
        <w:rPr>
          <w:rFonts w:ascii="Arial" w:eastAsia="TimesNewRomanPSMT" w:hAnsi="Arial" w:cs="Arial"/>
          <w:sz w:val="20"/>
          <w:szCs w:val="20"/>
        </w:rPr>
        <w:t>relative differences in variability between, several attributes</w:t>
      </w:r>
      <w:r w:rsidR="009471F9" w:rsidRPr="009A7EEE">
        <w:rPr>
          <w:rFonts w:ascii="Arial" w:eastAsia="TimesNewRomanPSMT" w:hAnsi="Arial" w:cs="Arial"/>
          <w:sz w:val="20"/>
          <w:szCs w:val="20"/>
        </w:rPr>
        <w:t xml:space="preserve"> are listed</w:t>
      </w:r>
      <w:r w:rsidRPr="009A7EEE">
        <w:rPr>
          <w:rFonts w:ascii="Arial" w:eastAsia="TimesNewRomanPSMT" w:hAnsi="Arial" w:cs="Arial"/>
          <w:sz w:val="20"/>
          <w:szCs w:val="20"/>
        </w:rPr>
        <w:t xml:space="preserve"> (Table-2). </w:t>
      </w:r>
      <w:r w:rsidR="009471F9" w:rsidRPr="009A7EEE">
        <w:rPr>
          <w:rFonts w:ascii="Arial" w:eastAsia="TimesNewRomanPSMT" w:hAnsi="Arial" w:cs="Arial"/>
          <w:sz w:val="20"/>
          <w:szCs w:val="20"/>
        </w:rPr>
        <w:t xml:space="preserve">Comprehensive results are provided </w:t>
      </w:r>
      <w:r w:rsidRPr="009A7EEE">
        <w:rPr>
          <w:rFonts w:ascii="Arial" w:eastAsia="TimesNewRomanPSMT" w:hAnsi="Arial" w:cs="Arial"/>
          <w:sz w:val="20"/>
          <w:szCs w:val="20"/>
        </w:rPr>
        <w:t xml:space="preserve">for each of the </w:t>
      </w:r>
      <w:r w:rsidR="009471F9" w:rsidRPr="009A7EEE">
        <w:rPr>
          <w:rFonts w:ascii="Arial" w:eastAsia="TimesNewRomanPSMT" w:hAnsi="Arial" w:cs="Arial"/>
          <w:sz w:val="20"/>
          <w:szCs w:val="20"/>
        </w:rPr>
        <w:t>twenty</w:t>
      </w:r>
      <w:r w:rsidRPr="009A7EEE">
        <w:rPr>
          <w:rFonts w:ascii="Arial" w:eastAsia="TimesNewRomanPSMT" w:hAnsi="Arial" w:cs="Arial"/>
          <w:sz w:val="20"/>
          <w:szCs w:val="20"/>
        </w:rPr>
        <w:t xml:space="preserve"> traits, including </w:t>
      </w:r>
      <w:proofErr w:type="spellStart"/>
      <w:proofErr w:type="gramStart"/>
      <w:r w:rsidRPr="009A7EEE">
        <w:rPr>
          <w:rFonts w:ascii="Arial" w:eastAsia="TimesNewRomanPSMT" w:hAnsi="Arial" w:cs="Arial"/>
          <w:sz w:val="20"/>
          <w:szCs w:val="20"/>
        </w:rPr>
        <w:t>a</w:t>
      </w:r>
      <w:proofErr w:type="spellEnd"/>
      <w:proofErr w:type="gramEnd"/>
      <w:r w:rsidRPr="009A7EEE">
        <w:rPr>
          <w:rFonts w:ascii="Arial" w:eastAsia="TimesNewRomanPSMT" w:hAnsi="Arial" w:cs="Arial"/>
          <w:sz w:val="20"/>
          <w:szCs w:val="20"/>
        </w:rPr>
        <w:t xml:space="preserve"> average values, range, phenotypic and genotypic coefficients of variation (PCV and GCV), broad-sense heritability (h</w:t>
      </w:r>
      <w:r w:rsidR="00E10F97" w:rsidRPr="009A7EEE">
        <w:rPr>
          <w:rFonts w:ascii="Arial" w:eastAsia="TimesNewRomanPSMT" w:hAnsi="Arial" w:cs="Arial"/>
          <w:sz w:val="20"/>
          <w:szCs w:val="20"/>
          <w:vertAlign w:val="superscript"/>
        </w:rPr>
        <w:t>2</w:t>
      </w:r>
      <w:r w:rsidRPr="009A7EEE">
        <w:rPr>
          <w:rFonts w:ascii="Arial" w:eastAsia="TimesNewRomanPSMT" w:hAnsi="Arial" w:cs="Arial"/>
          <w:sz w:val="20"/>
          <w:szCs w:val="20"/>
        </w:rPr>
        <w:t>), and predicted genetic advancement as a percentage of the mean (GAM).</w:t>
      </w:r>
    </w:p>
    <w:p w14:paraId="7321C594" w14:textId="77777777" w:rsidR="001338D5" w:rsidRDefault="001338D5"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7E893AA9" w14:textId="77777777" w:rsidR="00ED7FF1" w:rsidRDefault="00ED7FF1"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71A5C1AA" w14:textId="1B2D5C60" w:rsidR="001338D5" w:rsidRPr="009A7EEE" w:rsidRDefault="001338D5" w:rsidP="001338D5">
      <w:pPr>
        <w:spacing w:before="120" w:after="0" w:line="360" w:lineRule="auto"/>
        <w:jc w:val="both"/>
        <w:rPr>
          <w:rFonts w:ascii="Arial" w:hAnsi="Arial" w:cs="Arial"/>
          <w:b/>
          <w:sz w:val="20"/>
          <w:szCs w:val="20"/>
          <w:lang w:val="en-IN"/>
        </w:rPr>
      </w:pPr>
      <w:r w:rsidRPr="009A7EEE">
        <w:rPr>
          <w:rFonts w:ascii="Arial" w:hAnsi="Arial" w:cs="Arial"/>
          <w:b/>
          <w:sz w:val="20"/>
          <w:szCs w:val="20"/>
          <w:lang w:val="en-IN"/>
        </w:rPr>
        <w:t xml:space="preserve">Table </w:t>
      </w:r>
      <w:r w:rsidR="009A7EEE" w:rsidRPr="009A7EEE">
        <w:rPr>
          <w:rFonts w:ascii="Arial" w:hAnsi="Arial" w:cs="Arial"/>
          <w:b/>
          <w:sz w:val="20"/>
          <w:szCs w:val="20"/>
          <w:lang w:val="en-IN"/>
        </w:rPr>
        <w:t>1:</w:t>
      </w:r>
      <w:r w:rsidRPr="009A7EEE">
        <w:rPr>
          <w:rFonts w:ascii="Arial" w:hAnsi="Arial" w:cs="Arial"/>
          <w:b/>
          <w:sz w:val="20"/>
          <w:szCs w:val="20"/>
          <w:lang w:val="en-IN"/>
        </w:rPr>
        <w:t xml:space="preserve"> Analysis of variance (mean squares) for twenty characters in sponge </w:t>
      </w:r>
      <w:r w:rsidR="009A7EEE" w:rsidRPr="009A7EEE">
        <w:rPr>
          <w:rFonts w:ascii="Arial" w:hAnsi="Arial" w:cs="Arial"/>
          <w:b/>
          <w:sz w:val="20"/>
          <w:szCs w:val="20"/>
          <w:lang w:val="en-IN"/>
        </w:rPr>
        <w:t>gourd.</w:t>
      </w:r>
    </w:p>
    <w:tbl>
      <w:tblPr>
        <w:tblStyle w:val="TableGrid"/>
        <w:tblW w:w="0" w:type="auto"/>
        <w:tblInd w:w="108" w:type="dxa"/>
        <w:tblLook w:val="04A0" w:firstRow="1" w:lastRow="0" w:firstColumn="1" w:lastColumn="0" w:noHBand="0" w:noVBand="1"/>
      </w:tblPr>
      <w:tblGrid>
        <w:gridCol w:w="711"/>
        <w:gridCol w:w="4446"/>
        <w:gridCol w:w="1534"/>
        <w:gridCol w:w="1403"/>
        <w:gridCol w:w="1148"/>
      </w:tblGrid>
      <w:tr w:rsidR="001338D5" w:rsidRPr="009A7EEE" w14:paraId="3730DAD8" w14:textId="77777777" w:rsidTr="009A7EEE">
        <w:trPr>
          <w:trHeight w:val="244"/>
        </w:trPr>
        <w:tc>
          <w:tcPr>
            <w:tcW w:w="711" w:type="dxa"/>
            <w:vMerge w:val="restart"/>
          </w:tcPr>
          <w:p w14:paraId="43E6599A"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Sl. No.</w:t>
            </w:r>
          </w:p>
        </w:tc>
        <w:tc>
          <w:tcPr>
            <w:tcW w:w="4446" w:type="dxa"/>
          </w:tcPr>
          <w:p w14:paraId="7708479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Traits</w:t>
            </w:r>
          </w:p>
        </w:tc>
        <w:tc>
          <w:tcPr>
            <w:tcW w:w="4085" w:type="dxa"/>
            <w:gridSpan w:val="3"/>
          </w:tcPr>
          <w:p w14:paraId="13AEE26B"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Source of variation</w:t>
            </w:r>
          </w:p>
        </w:tc>
      </w:tr>
      <w:tr w:rsidR="001338D5" w:rsidRPr="009A7EEE" w14:paraId="5EDA5034" w14:textId="77777777" w:rsidTr="009A7EEE">
        <w:trPr>
          <w:trHeight w:val="88"/>
        </w:trPr>
        <w:tc>
          <w:tcPr>
            <w:tcW w:w="711" w:type="dxa"/>
            <w:vMerge/>
          </w:tcPr>
          <w:p w14:paraId="68485E3E" w14:textId="77777777" w:rsidR="001338D5" w:rsidRPr="009A7EEE" w:rsidRDefault="001338D5" w:rsidP="005101A1">
            <w:pPr>
              <w:spacing w:before="120"/>
              <w:jc w:val="center"/>
              <w:rPr>
                <w:rFonts w:ascii="Arial" w:hAnsi="Arial" w:cs="Arial"/>
                <w:b/>
                <w:sz w:val="20"/>
                <w:szCs w:val="20"/>
                <w:lang w:val="en-IN"/>
              </w:rPr>
            </w:pPr>
          </w:p>
        </w:tc>
        <w:tc>
          <w:tcPr>
            <w:tcW w:w="4446" w:type="dxa"/>
            <w:vMerge w:val="restart"/>
          </w:tcPr>
          <w:p w14:paraId="3B545F31"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D.F.</w:t>
            </w:r>
          </w:p>
        </w:tc>
        <w:tc>
          <w:tcPr>
            <w:tcW w:w="1534" w:type="dxa"/>
          </w:tcPr>
          <w:p w14:paraId="2ED4BF81"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Replication</w:t>
            </w:r>
          </w:p>
        </w:tc>
        <w:tc>
          <w:tcPr>
            <w:tcW w:w="1403" w:type="dxa"/>
          </w:tcPr>
          <w:p w14:paraId="32C39680"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Treatments</w:t>
            </w:r>
          </w:p>
        </w:tc>
        <w:tc>
          <w:tcPr>
            <w:tcW w:w="1148" w:type="dxa"/>
          </w:tcPr>
          <w:p w14:paraId="14716FCA"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Error</w:t>
            </w:r>
          </w:p>
        </w:tc>
      </w:tr>
      <w:tr w:rsidR="001338D5" w:rsidRPr="009A7EEE" w14:paraId="6C1309F7" w14:textId="77777777" w:rsidTr="009A7EEE">
        <w:trPr>
          <w:trHeight w:val="88"/>
        </w:trPr>
        <w:tc>
          <w:tcPr>
            <w:tcW w:w="711" w:type="dxa"/>
            <w:vMerge/>
          </w:tcPr>
          <w:p w14:paraId="7843C117" w14:textId="77777777" w:rsidR="001338D5" w:rsidRPr="009A7EEE" w:rsidRDefault="001338D5" w:rsidP="005101A1">
            <w:pPr>
              <w:spacing w:before="120"/>
              <w:jc w:val="center"/>
              <w:rPr>
                <w:rFonts w:ascii="Arial" w:hAnsi="Arial" w:cs="Arial"/>
                <w:b/>
                <w:sz w:val="20"/>
                <w:szCs w:val="20"/>
                <w:lang w:val="en-IN"/>
              </w:rPr>
            </w:pPr>
          </w:p>
        </w:tc>
        <w:tc>
          <w:tcPr>
            <w:tcW w:w="4446" w:type="dxa"/>
            <w:vMerge/>
          </w:tcPr>
          <w:p w14:paraId="5A538644" w14:textId="77777777" w:rsidR="001338D5" w:rsidRPr="009A7EEE" w:rsidRDefault="001338D5" w:rsidP="005101A1">
            <w:pPr>
              <w:spacing w:before="120"/>
              <w:jc w:val="center"/>
              <w:rPr>
                <w:rFonts w:ascii="Arial" w:hAnsi="Arial" w:cs="Arial"/>
                <w:b/>
                <w:sz w:val="20"/>
                <w:szCs w:val="20"/>
                <w:lang w:val="en-IN"/>
              </w:rPr>
            </w:pPr>
          </w:p>
        </w:tc>
        <w:tc>
          <w:tcPr>
            <w:tcW w:w="1534" w:type="dxa"/>
          </w:tcPr>
          <w:p w14:paraId="5152C2BB"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2</w:t>
            </w:r>
          </w:p>
        </w:tc>
        <w:tc>
          <w:tcPr>
            <w:tcW w:w="1403" w:type="dxa"/>
          </w:tcPr>
          <w:p w14:paraId="6F056C9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24</w:t>
            </w:r>
          </w:p>
        </w:tc>
        <w:tc>
          <w:tcPr>
            <w:tcW w:w="1148" w:type="dxa"/>
          </w:tcPr>
          <w:p w14:paraId="3E23522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48</w:t>
            </w:r>
          </w:p>
        </w:tc>
      </w:tr>
      <w:tr w:rsidR="001338D5" w:rsidRPr="009A7EEE" w14:paraId="5227595B" w14:textId="77777777" w:rsidTr="009A7EEE">
        <w:trPr>
          <w:trHeight w:val="238"/>
        </w:trPr>
        <w:tc>
          <w:tcPr>
            <w:tcW w:w="711" w:type="dxa"/>
          </w:tcPr>
          <w:p w14:paraId="31722F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w:t>
            </w:r>
          </w:p>
        </w:tc>
        <w:tc>
          <w:tcPr>
            <w:tcW w:w="4446" w:type="dxa"/>
          </w:tcPr>
          <w:p w14:paraId="048AD6DC"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Days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anthesis</w:t>
            </w:r>
          </w:p>
        </w:tc>
        <w:tc>
          <w:tcPr>
            <w:tcW w:w="1534" w:type="dxa"/>
          </w:tcPr>
          <w:p w14:paraId="5D61630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2.77</w:t>
            </w:r>
          </w:p>
        </w:tc>
        <w:tc>
          <w:tcPr>
            <w:tcW w:w="1403" w:type="dxa"/>
          </w:tcPr>
          <w:p w14:paraId="7C20EAB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49.53**</w:t>
            </w:r>
          </w:p>
        </w:tc>
        <w:tc>
          <w:tcPr>
            <w:tcW w:w="1148" w:type="dxa"/>
          </w:tcPr>
          <w:p w14:paraId="15D9734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3.55</w:t>
            </w:r>
          </w:p>
        </w:tc>
      </w:tr>
      <w:tr w:rsidR="001338D5" w:rsidRPr="009A7EEE" w14:paraId="7F2A7711" w14:textId="77777777" w:rsidTr="009A7EEE">
        <w:trPr>
          <w:trHeight w:val="244"/>
        </w:trPr>
        <w:tc>
          <w:tcPr>
            <w:tcW w:w="711" w:type="dxa"/>
          </w:tcPr>
          <w:p w14:paraId="4A9BE29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w:t>
            </w:r>
          </w:p>
        </w:tc>
        <w:tc>
          <w:tcPr>
            <w:tcW w:w="4446" w:type="dxa"/>
          </w:tcPr>
          <w:p w14:paraId="59513963"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Days to first pistillate flower anthesis</w:t>
            </w:r>
          </w:p>
        </w:tc>
        <w:tc>
          <w:tcPr>
            <w:tcW w:w="1534" w:type="dxa"/>
          </w:tcPr>
          <w:p w14:paraId="1C13661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5.99</w:t>
            </w:r>
          </w:p>
        </w:tc>
        <w:tc>
          <w:tcPr>
            <w:tcW w:w="1403" w:type="dxa"/>
          </w:tcPr>
          <w:p w14:paraId="2F3FE25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44.52**</w:t>
            </w:r>
          </w:p>
        </w:tc>
        <w:tc>
          <w:tcPr>
            <w:tcW w:w="1148" w:type="dxa"/>
          </w:tcPr>
          <w:p w14:paraId="40D9D0C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4.18</w:t>
            </w:r>
          </w:p>
        </w:tc>
      </w:tr>
      <w:tr w:rsidR="001338D5" w:rsidRPr="009A7EEE" w14:paraId="16637159" w14:textId="77777777" w:rsidTr="009A7EEE">
        <w:trPr>
          <w:trHeight w:val="409"/>
        </w:trPr>
        <w:tc>
          <w:tcPr>
            <w:tcW w:w="711" w:type="dxa"/>
          </w:tcPr>
          <w:p w14:paraId="1B26CA2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3.</w:t>
            </w:r>
          </w:p>
        </w:tc>
        <w:tc>
          <w:tcPr>
            <w:tcW w:w="4446" w:type="dxa"/>
          </w:tcPr>
          <w:p w14:paraId="3A26012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Node number of the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appearance </w:t>
            </w:r>
          </w:p>
        </w:tc>
        <w:tc>
          <w:tcPr>
            <w:tcW w:w="1534" w:type="dxa"/>
          </w:tcPr>
          <w:p w14:paraId="5F0602F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0.104</w:t>
            </w:r>
          </w:p>
        </w:tc>
        <w:tc>
          <w:tcPr>
            <w:tcW w:w="1403" w:type="dxa"/>
          </w:tcPr>
          <w:p w14:paraId="04AD80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0.705**</w:t>
            </w:r>
          </w:p>
        </w:tc>
        <w:tc>
          <w:tcPr>
            <w:tcW w:w="1148" w:type="dxa"/>
          </w:tcPr>
          <w:p w14:paraId="0F143C8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0.134</w:t>
            </w:r>
          </w:p>
        </w:tc>
      </w:tr>
      <w:tr w:rsidR="001338D5" w:rsidRPr="009A7EEE" w14:paraId="567FE3FD" w14:textId="77777777" w:rsidTr="009A7EEE">
        <w:trPr>
          <w:trHeight w:val="409"/>
        </w:trPr>
        <w:tc>
          <w:tcPr>
            <w:tcW w:w="711" w:type="dxa"/>
          </w:tcPr>
          <w:p w14:paraId="0000167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w:t>
            </w:r>
          </w:p>
        </w:tc>
        <w:tc>
          <w:tcPr>
            <w:tcW w:w="4446" w:type="dxa"/>
          </w:tcPr>
          <w:p w14:paraId="1E697585"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Node number of the first pistillate flower appearance </w:t>
            </w:r>
          </w:p>
        </w:tc>
        <w:tc>
          <w:tcPr>
            <w:tcW w:w="1534" w:type="dxa"/>
          </w:tcPr>
          <w:p w14:paraId="4ECE36F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0.008</w:t>
            </w:r>
          </w:p>
        </w:tc>
        <w:tc>
          <w:tcPr>
            <w:tcW w:w="1403" w:type="dxa"/>
          </w:tcPr>
          <w:p w14:paraId="581EE26A"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0.568**</w:t>
            </w:r>
          </w:p>
        </w:tc>
        <w:tc>
          <w:tcPr>
            <w:tcW w:w="1148" w:type="dxa"/>
          </w:tcPr>
          <w:p w14:paraId="33E0EA0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0.256</w:t>
            </w:r>
          </w:p>
        </w:tc>
      </w:tr>
      <w:tr w:rsidR="001338D5" w:rsidRPr="009A7EEE" w14:paraId="0821E07D" w14:textId="77777777" w:rsidTr="009A7EEE">
        <w:trPr>
          <w:trHeight w:val="244"/>
        </w:trPr>
        <w:tc>
          <w:tcPr>
            <w:tcW w:w="711" w:type="dxa"/>
          </w:tcPr>
          <w:p w14:paraId="035A57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w:t>
            </w:r>
          </w:p>
        </w:tc>
        <w:tc>
          <w:tcPr>
            <w:tcW w:w="4446" w:type="dxa"/>
          </w:tcPr>
          <w:p w14:paraId="3BC858AB"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Number of primary branches per plant </w:t>
            </w:r>
          </w:p>
        </w:tc>
        <w:tc>
          <w:tcPr>
            <w:tcW w:w="1534" w:type="dxa"/>
          </w:tcPr>
          <w:p w14:paraId="0FFE5E6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0.075</w:t>
            </w:r>
          </w:p>
        </w:tc>
        <w:tc>
          <w:tcPr>
            <w:tcW w:w="1403" w:type="dxa"/>
          </w:tcPr>
          <w:p w14:paraId="2C787DC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1.359**</w:t>
            </w:r>
          </w:p>
        </w:tc>
        <w:tc>
          <w:tcPr>
            <w:tcW w:w="1148" w:type="dxa"/>
          </w:tcPr>
          <w:p w14:paraId="257EAF9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0.069</w:t>
            </w:r>
          </w:p>
        </w:tc>
      </w:tr>
      <w:tr w:rsidR="001338D5" w:rsidRPr="009A7EEE" w14:paraId="260091B6" w14:textId="77777777" w:rsidTr="009A7EEE">
        <w:trPr>
          <w:trHeight w:val="238"/>
        </w:trPr>
        <w:tc>
          <w:tcPr>
            <w:tcW w:w="711" w:type="dxa"/>
          </w:tcPr>
          <w:p w14:paraId="16ADBF3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6.</w:t>
            </w:r>
          </w:p>
        </w:tc>
        <w:tc>
          <w:tcPr>
            <w:tcW w:w="4446" w:type="dxa"/>
          </w:tcPr>
          <w:p w14:paraId="228DE72B"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Internodal length (cm)</w:t>
            </w:r>
          </w:p>
        </w:tc>
        <w:tc>
          <w:tcPr>
            <w:tcW w:w="1534" w:type="dxa"/>
          </w:tcPr>
          <w:p w14:paraId="38EA20F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1.193</w:t>
            </w:r>
          </w:p>
        </w:tc>
        <w:tc>
          <w:tcPr>
            <w:tcW w:w="1403" w:type="dxa"/>
          </w:tcPr>
          <w:p w14:paraId="08FF23A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0.868**</w:t>
            </w:r>
          </w:p>
        </w:tc>
        <w:tc>
          <w:tcPr>
            <w:tcW w:w="1148" w:type="dxa"/>
          </w:tcPr>
          <w:p w14:paraId="3F07B6E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0.457</w:t>
            </w:r>
          </w:p>
        </w:tc>
      </w:tr>
      <w:tr w:rsidR="001338D5" w:rsidRPr="009A7EEE" w14:paraId="4E45100D" w14:textId="77777777" w:rsidTr="009A7EEE">
        <w:trPr>
          <w:trHeight w:val="244"/>
        </w:trPr>
        <w:tc>
          <w:tcPr>
            <w:tcW w:w="711" w:type="dxa"/>
          </w:tcPr>
          <w:p w14:paraId="7EE2CC2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w:t>
            </w:r>
          </w:p>
        </w:tc>
        <w:tc>
          <w:tcPr>
            <w:tcW w:w="4446" w:type="dxa"/>
          </w:tcPr>
          <w:p w14:paraId="5DBE0619"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Petiole length (cm)</w:t>
            </w:r>
          </w:p>
        </w:tc>
        <w:tc>
          <w:tcPr>
            <w:tcW w:w="1534" w:type="dxa"/>
          </w:tcPr>
          <w:p w14:paraId="5DFCCD8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0.05</w:t>
            </w:r>
          </w:p>
        </w:tc>
        <w:tc>
          <w:tcPr>
            <w:tcW w:w="1403" w:type="dxa"/>
          </w:tcPr>
          <w:p w14:paraId="4665120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w:t>
            </w:r>
          </w:p>
        </w:tc>
        <w:tc>
          <w:tcPr>
            <w:tcW w:w="1148" w:type="dxa"/>
          </w:tcPr>
          <w:p w14:paraId="2E715E8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0.39</w:t>
            </w:r>
          </w:p>
        </w:tc>
      </w:tr>
      <w:tr w:rsidR="001338D5" w:rsidRPr="009A7EEE" w14:paraId="4559DFBF" w14:textId="77777777" w:rsidTr="009A7EEE">
        <w:trPr>
          <w:trHeight w:val="244"/>
        </w:trPr>
        <w:tc>
          <w:tcPr>
            <w:tcW w:w="711" w:type="dxa"/>
          </w:tcPr>
          <w:p w14:paraId="4A85B1D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8.</w:t>
            </w:r>
          </w:p>
        </w:tc>
        <w:tc>
          <w:tcPr>
            <w:tcW w:w="4446" w:type="dxa"/>
          </w:tcPr>
          <w:p w14:paraId="06046D42"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Days to first fruit harvest </w:t>
            </w:r>
          </w:p>
        </w:tc>
        <w:tc>
          <w:tcPr>
            <w:tcW w:w="1534" w:type="dxa"/>
          </w:tcPr>
          <w:p w14:paraId="72E042E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3.28</w:t>
            </w:r>
          </w:p>
        </w:tc>
        <w:tc>
          <w:tcPr>
            <w:tcW w:w="1403" w:type="dxa"/>
          </w:tcPr>
          <w:p w14:paraId="2072C4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47.35**</w:t>
            </w:r>
          </w:p>
        </w:tc>
        <w:tc>
          <w:tcPr>
            <w:tcW w:w="1148" w:type="dxa"/>
          </w:tcPr>
          <w:p w14:paraId="6DD5FD0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10.14</w:t>
            </w:r>
          </w:p>
        </w:tc>
      </w:tr>
      <w:tr w:rsidR="001338D5" w:rsidRPr="009A7EEE" w14:paraId="2859E028" w14:textId="77777777" w:rsidTr="009A7EEE">
        <w:trPr>
          <w:trHeight w:val="238"/>
        </w:trPr>
        <w:tc>
          <w:tcPr>
            <w:tcW w:w="711" w:type="dxa"/>
          </w:tcPr>
          <w:p w14:paraId="23E97E5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9.</w:t>
            </w:r>
          </w:p>
        </w:tc>
        <w:tc>
          <w:tcPr>
            <w:tcW w:w="4446" w:type="dxa"/>
          </w:tcPr>
          <w:p w14:paraId="4FA00B1F"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Fruit length (cm)</w:t>
            </w:r>
          </w:p>
        </w:tc>
        <w:tc>
          <w:tcPr>
            <w:tcW w:w="1534" w:type="dxa"/>
          </w:tcPr>
          <w:p w14:paraId="49D77D5A"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0.32</w:t>
            </w:r>
          </w:p>
        </w:tc>
        <w:tc>
          <w:tcPr>
            <w:tcW w:w="1403" w:type="dxa"/>
          </w:tcPr>
          <w:p w14:paraId="6AF0BE6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19.09**</w:t>
            </w:r>
          </w:p>
        </w:tc>
        <w:tc>
          <w:tcPr>
            <w:tcW w:w="1148" w:type="dxa"/>
          </w:tcPr>
          <w:p w14:paraId="30C59E6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1.76</w:t>
            </w:r>
          </w:p>
        </w:tc>
      </w:tr>
      <w:tr w:rsidR="001338D5" w:rsidRPr="009A7EEE" w14:paraId="0C531AC6" w14:textId="77777777" w:rsidTr="009A7EEE">
        <w:trPr>
          <w:trHeight w:val="244"/>
        </w:trPr>
        <w:tc>
          <w:tcPr>
            <w:tcW w:w="711" w:type="dxa"/>
          </w:tcPr>
          <w:p w14:paraId="1AF92E1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10.</w:t>
            </w:r>
          </w:p>
        </w:tc>
        <w:tc>
          <w:tcPr>
            <w:tcW w:w="4446" w:type="dxa"/>
          </w:tcPr>
          <w:p w14:paraId="646A97E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Fruit width (cm) </w:t>
            </w:r>
          </w:p>
        </w:tc>
        <w:tc>
          <w:tcPr>
            <w:tcW w:w="1534" w:type="dxa"/>
          </w:tcPr>
          <w:p w14:paraId="6852477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0.072</w:t>
            </w:r>
          </w:p>
        </w:tc>
        <w:tc>
          <w:tcPr>
            <w:tcW w:w="1403" w:type="dxa"/>
          </w:tcPr>
          <w:p w14:paraId="378BA1A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0.299**</w:t>
            </w:r>
          </w:p>
        </w:tc>
        <w:tc>
          <w:tcPr>
            <w:tcW w:w="1148" w:type="dxa"/>
          </w:tcPr>
          <w:p w14:paraId="02C64BB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0.054</w:t>
            </w:r>
          </w:p>
        </w:tc>
      </w:tr>
      <w:tr w:rsidR="001338D5" w:rsidRPr="009A7EEE" w14:paraId="520E7F4E" w14:textId="77777777" w:rsidTr="009A7EEE">
        <w:trPr>
          <w:trHeight w:val="238"/>
        </w:trPr>
        <w:tc>
          <w:tcPr>
            <w:tcW w:w="711" w:type="dxa"/>
          </w:tcPr>
          <w:p w14:paraId="6B36E45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w:t>
            </w:r>
          </w:p>
        </w:tc>
        <w:tc>
          <w:tcPr>
            <w:tcW w:w="4446" w:type="dxa"/>
          </w:tcPr>
          <w:p w14:paraId="33E3AAB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Average fruit weight (g)</w:t>
            </w:r>
          </w:p>
        </w:tc>
        <w:tc>
          <w:tcPr>
            <w:tcW w:w="1534" w:type="dxa"/>
          </w:tcPr>
          <w:p w14:paraId="4019824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11.16</w:t>
            </w:r>
          </w:p>
        </w:tc>
        <w:tc>
          <w:tcPr>
            <w:tcW w:w="1403" w:type="dxa"/>
          </w:tcPr>
          <w:p w14:paraId="2DA8B0E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92.20**</w:t>
            </w:r>
          </w:p>
        </w:tc>
        <w:tc>
          <w:tcPr>
            <w:tcW w:w="1148" w:type="dxa"/>
          </w:tcPr>
          <w:p w14:paraId="3B98054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46.70</w:t>
            </w:r>
          </w:p>
        </w:tc>
      </w:tr>
      <w:tr w:rsidR="001338D5" w:rsidRPr="009A7EEE" w14:paraId="2A5CD493" w14:textId="77777777" w:rsidTr="009A7EEE">
        <w:trPr>
          <w:trHeight w:val="244"/>
        </w:trPr>
        <w:tc>
          <w:tcPr>
            <w:tcW w:w="711" w:type="dxa"/>
          </w:tcPr>
          <w:p w14:paraId="1136B45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12.</w:t>
            </w:r>
          </w:p>
        </w:tc>
        <w:tc>
          <w:tcPr>
            <w:tcW w:w="4446" w:type="dxa"/>
          </w:tcPr>
          <w:p w14:paraId="7AB25C9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Number of </w:t>
            </w:r>
            <w:proofErr w:type="gramStart"/>
            <w:r w:rsidRPr="009A7EEE">
              <w:rPr>
                <w:rFonts w:ascii="Arial" w:hAnsi="Arial" w:cs="Arial"/>
                <w:sz w:val="20"/>
                <w:szCs w:val="20"/>
                <w:lang w:val="en-IN"/>
              </w:rPr>
              <w:t>fruit</w:t>
            </w:r>
            <w:proofErr w:type="gramEnd"/>
            <w:r w:rsidRPr="009A7EEE">
              <w:rPr>
                <w:rFonts w:ascii="Arial" w:hAnsi="Arial" w:cs="Arial"/>
                <w:sz w:val="20"/>
                <w:szCs w:val="20"/>
                <w:lang w:val="en-IN"/>
              </w:rPr>
              <w:t xml:space="preserve"> per plant </w:t>
            </w:r>
          </w:p>
        </w:tc>
        <w:tc>
          <w:tcPr>
            <w:tcW w:w="1534" w:type="dxa"/>
          </w:tcPr>
          <w:p w14:paraId="279773B6"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0.238</w:t>
            </w:r>
          </w:p>
        </w:tc>
        <w:tc>
          <w:tcPr>
            <w:tcW w:w="1403" w:type="dxa"/>
          </w:tcPr>
          <w:p w14:paraId="783ED904"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6.453**</w:t>
            </w:r>
          </w:p>
        </w:tc>
        <w:tc>
          <w:tcPr>
            <w:tcW w:w="1148" w:type="dxa"/>
          </w:tcPr>
          <w:p w14:paraId="1E186EB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0.562</w:t>
            </w:r>
          </w:p>
        </w:tc>
      </w:tr>
      <w:tr w:rsidR="001338D5" w:rsidRPr="009A7EEE" w14:paraId="6329A5FB" w14:textId="77777777" w:rsidTr="009A7EEE">
        <w:trPr>
          <w:trHeight w:val="244"/>
        </w:trPr>
        <w:tc>
          <w:tcPr>
            <w:tcW w:w="711" w:type="dxa"/>
          </w:tcPr>
          <w:p w14:paraId="4653E0A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13.</w:t>
            </w:r>
          </w:p>
        </w:tc>
        <w:tc>
          <w:tcPr>
            <w:tcW w:w="4446" w:type="dxa"/>
          </w:tcPr>
          <w:p w14:paraId="1ADEF51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Vine length (m)</w:t>
            </w:r>
          </w:p>
        </w:tc>
        <w:tc>
          <w:tcPr>
            <w:tcW w:w="1534" w:type="dxa"/>
          </w:tcPr>
          <w:p w14:paraId="766D153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0.004</w:t>
            </w:r>
          </w:p>
        </w:tc>
        <w:tc>
          <w:tcPr>
            <w:tcW w:w="1403" w:type="dxa"/>
          </w:tcPr>
          <w:p w14:paraId="51D4097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2.196**</w:t>
            </w:r>
          </w:p>
        </w:tc>
        <w:tc>
          <w:tcPr>
            <w:tcW w:w="1148" w:type="dxa"/>
          </w:tcPr>
          <w:p w14:paraId="4E7B16E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0.130</w:t>
            </w:r>
          </w:p>
        </w:tc>
      </w:tr>
      <w:tr w:rsidR="001338D5" w:rsidRPr="009A7EEE" w14:paraId="68AABBE1" w14:textId="77777777" w:rsidTr="009A7EEE">
        <w:trPr>
          <w:trHeight w:val="238"/>
        </w:trPr>
        <w:tc>
          <w:tcPr>
            <w:tcW w:w="711" w:type="dxa"/>
          </w:tcPr>
          <w:p w14:paraId="4FD16BC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14.</w:t>
            </w:r>
          </w:p>
        </w:tc>
        <w:tc>
          <w:tcPr>
            <w:tcW w:w="4446" w:type="dxa"/>
          </w:tcPr>
          <w:p w14:paraId="30203963"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T.S.S </w:t>
            </w:r>
            <w:r w:rsidRPr="009A7EEE">
              <w:rPr>
                <w:rFonts w:ascii="Arial" w:hAnsi="Arial" w:cs="Arial"/>
                <w:sz w:val="20"/>
                <w:szCs w:val="20"/>
                <w:vertAlign w:val="superscript"/>
                <w:lang w:val="en-IN"/>
              </w:rPr>
              <w:t>0</w:t>
            </w:r>
            <w:r w:rsidRPr="009A7EEE">
              <w:rPr>
                <w:rFonts w:ascii="Arial" w:hAnsi="Arial" w:cs="Arial"/>
                <w:sz w:val="20"/>
                <w:szCs w:val="20"/>
                <w:lang w:val="en-IN"/>
              </w:rPr>
              <w:t xml:space="preserve">B </w:t>
            </w:r>
          </w:p>
        </w:tc>
        <w:tc>
          <w:tcPr>
            <w:tcW w:w="1534" w:type="dxa"/>
          </w:tcPr>
          <w:p w14:paraId="5F46561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0.019</w:t>
            </w:r>
          </w:p>
        </w:tc>
        <w:tc>
          <w:tcPr>
            <w:tcW w:w="1403" w:type="dxa"/>
          </w:tcPr>
          <w:p w14:paraId="28629DD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1.116**</w:t>
            </w:r>
          </w:p>
        </w:tc>
        <w:tc>
          <w:tcPr>
            <w:tcW w:w="1148" w:type="dxa"/>
          </w:tcPr>
          <w:p w14:paraId="6A4EB60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0.030</w:t>
            </w:r>
          </w:p>
        </w:tc>
      </w:tr>
      <w:tr w:rsidR="001338D5" w:rsidRPr="009A7EEE" w14:paraId="5F07B03A" w14:textId="77777777" w:rsidTr="009A7EEE">
        <w:trPr>
          <w:trHeight w:val="244"/>
        </w:trPr>
        <w:tc>
          <w:tcPr>
            <w:tcW w:w="711" w:type="dxa"/>
          </w:tcPr>
          <w:p w14:paraId="78F6988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15.</w:t>
            </w:r>
          </w:p>
        </w:tc>
        <w:tc>
          <w:tcPr>
            <w:tcW w:w="4446" w:type="dxa"/>
          </w:tcPr>
          <w:p w14:paraId="2747560E"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Dry matter %</w:t>
            </w:r>
          </w:p>
        </w:tc>
        <w:tc>
          <w:tcPr>
            <w:tcW w:w="1534" w:type="dxa"/>
          </w:tcPr>
          <w:p w14:paraId="76BD22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0.093</w:t>
            </w:r>
          </w:p>
        </w:tc>
        <w:tc>
          <w:tcPr>
            <w:tcW w:w="1403" w:type="dxa"/>
          </w:tcPr>
          <w:p w14:paraId="50D75F1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7.044**</w:t>
            </w:r>
          </w:p>
        </w:tc>
        <w:tc>
          <w:tcPr>
            <w:tcW w:w="1148" w:type="dxa"/>
          </w:tcPr>
          <w:p w14:paraId="7168DD8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0.073</w:t>
            </w:r>
          </w:p>
        </w:tc>
      </w:tr>
      <w:tr w:rsidR="001338D5" w:rsidRPr="009A7EEE" w14:paraId="411E42E1" w14:textId="77777777" w:rsidTr="009A7EEE">
        <w:trPr>
          <w:trHeight w:val="238"/>
        </w:trPr>
        <w:tc>
          <w:tcPr>
            <w:tcW w:w="711" w:type="dxa"/>
          </w:tcPr>
          <w:p w14:paraId="45008AC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16.</w:t>
            </w:r>
          </w:p>
        </w:tc>
        <w:tc>
          <w:tcPr>
            <w:tcW w:w="4446" w:type="dxa"/>
          </w:tcPr>
          <w:p w14:paraId="40D972E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Moisture content %</w:t>
            </w:r>
          </w:p>
        </w:tc>
        <w:tc>
          <w:tcPr>
            <w:tcW w:w="1534" w:type="dxa"/>
          </w:tcPr>
          <w:p w14:paraId="7119C3A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0.084</w:t>
            </w:r>
          </w:p>
        </w:tc>
        <w:tc>
          <w:tcPr>
            <w:tcW w:w="1403" w:type="dxa"/>
          </w:tcPr>
          <w:p w14:paraId="04731524"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7.036**</w:t>
            </w:r>
          </w:p>
        </w:tc>
        <w:tc>
          <w:tcPr>
            <w:tcW w:w="1148" w:type="dxa"/>
          </w:tcPr>
          <w:p w14:paraId="4DFEC026"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0.080</w:t>
            </w:r>
          </w:p>
        </w:tc>
      </w:tr>
      <w:tr w:rsidR="001338D5" w:rsidRPr="009A7EEE" w14:paraId="2D7BA94A" w14:textId="77777777" w:rsidTr="009A7EEE">
        <w:trPr>
          <w:trHeight w:val="244"/>
        </w:trPr>
        <w:tc>
          <w:tcPr>
            <w:tcW w:w="711" w:type="dxa"/>
          </w:tcPr>
          <w:p w14:paraId="40F879B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17.</w:t>
            </w:r>
          </w:p>
        </w:tc>
        <w:tc>
          <w:tcPr>
            <w:tcW w:w="4446" w:type="dxa"/>
          </w:tcPr>
          <w:p w14:paraId="17635D38"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Ascorbic acid (mg/100)</w:t>
            </w:r>
          </w:p>
        </w:tc>
        <w:tc>
          <w:tcPr>
            <w:tcW w:w="1534" w:type="dxa"/>
          </w:tcPr>
          <w:p w14:paraId="59FBF61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0.073</w:t>
            </w:r>
          </w:p>
        </w:tc>
        <w:tc>
          <w:tcPr>
            <w:tcW w:w="1403" w:type="dxa"/>
          </w:tcPr>
          <w:p w14:paraId="321D05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0.471**</w:t>
            </w:r>
          </w:p>
        </w:tc>
        <w:tc>
          <w:tcPr>
            <w:tcW w:w="1148" w:type="dxa"/>
          </w:tcPr>
          <w:p w14:paraId="1E5E94B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r>
      <w:tr w:rsidR="001338D5" w:rsidRPr="009A7EEE" w14:paraId="028D42A4" w14:textId="77777777" w:rsidTr="009A7EEE">
        <w:trPr>
          <w:trHeight w:val="244"/>
        </w:trPr>
        <w:tc>
          <w:tcPr>
            <w:tcW w:w="711" w:type="dxa"/>
          </w:tcPr>
          <w:p w14:paraId="7C1A44E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18.</w:t>
            </w:r>
          </w:p>
        </w:tc>
        <w:tc>
          <w:tcPr>
            <w:tcW w:w="4446" w:type="dxa"/>
          </w:tcPr>
          <w:p w14:paraId="16D388D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Chlorophyll content (mg/g)</w:t>
            </w:r>
          </w:p>
        </w:tc>
        <w:tc>
          <w:tcPr>
            <w:tcW w:w="1534" w:type="dxa"/>
          </w:tcPr>
          <w:p w14:paraId="4C35C8C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c>
          <w:tcPr>
            <w:tcW w:w="1403" w:type="dxa"/>
          </w:tcPr>
          <w:p w14:paraId="4664028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0.870**</w:t>
            </w:r>
          </w:p>
        </w:tc>
        <w:tc>
          <w:tcPr>
            <w:tcW w:w="1148" w:type="dxa"/>
          </w:tcPr>
          <w:p w14:paraId="05C21AD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0.016</w:t>
            </w:r>
          </w:p>
        </w:tc>
      </w:tr>
      <w:tr w:rsidR="001338D5" w:rsidRPr="009A7EEE" w14:paraId="108E4528" w14:textId="77777777" w:rsidTr="009A7EEE">
        <w:trPr>
          <w:trHeight w:val="238"/>
        </w:trPr>
        <w:tc>
          <w:tcPr>
            <w:tcW w:w="711" w:type="dxa"/>
          </w:tcPr>
          <w:p w14:paraId="0042437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19.</w:t>
            </w:r>
          </w:p>
        </w:tc>
        <w:tc>
          <w:tcPr>
            <w:tcW w:w="4446" w:type="dxa"/>
          </w:tcPr>
          <w:p w14:paraId="092283A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Yield per plant (kg)</w:t>
            </w:r>
          </w:p>
        </w:tc>
        <w:tc>
          <w:tcPr>
            <w:tcW w:w="1534" w:type="dxa"/>
          </w:tcPr>
          <w:p w14:paraId="0C204A5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0.022</w:t>
            </w:r>
          </w:p>
        </w:tc>
        <w:tc>
          <w:tcPr>
            <w:tcW w:w="1403" w:type="dxa"/>
          </w:tcPr>
          <w:p w14:paraId="4DD1B90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0.137**</w:t>
            </w:r>
          </w:p>
        </w:tc>
        <w:tc>
          <w:tcPr>
            <w:tcW w:w="1148" w:type="dxa"/>
          </w:tcPr>
          <w:p w14:paraId="01B4CFA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r>
      <w:tr w:rsidR="001338D5" w:rsidRPr="009A7EEE" w14:paraId="21D6ACDA" w14:textId="77777777" w:rsidTr="009A7EEE">
        <w:trPr>
          <w:trHeight w:val="50"/>
        </w:trPr>
        <w:tc>
          <w:tcPr>
            <w:tcW w:w="711" w:type="dxa"/>
          </w:tcPr>
          <w:p w14:paraId="3CFFD81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20.</w:t>
            </w:r>
          </w:p>
        </w:tc>
        <w:tc>
          <w:tcPr>
            <w:tcW w:w="4446" w:type="dxa"/>
          </w:tcPr>
          <w:p w14:paraId="3E10C81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Yield (q/ha)</w:t>
            </w:r>
          </w:p>
        </w:tc>
        <w:tc>
          <w:tcPr>
            <w:tcW w:w="1534" w:type="dxa"/>
          </w:tcPr>
          <w:p w14:paraId="24D7D70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47.99</w:t>
            </w:r>
          </w:p>
        </w:tc>
        <w:tc>
          <w:tcPr>
            <w:tcW w:w="1403" w:type="dxa"/>
          </w:tcPr>
          <w:p w14:paraId="0760A00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479.06**</w:t>
            </w:r>
          </w:p>
        </w:tc>
        <w:tc>
          <w:tcPr>
            <w:tcW w:w="1148" w:type="dxa"/>
          </w:tcPr>
          <w:p w14:paraId="20E8E64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50.70</w:t>
            </w:r>
          </w:p>
        </w:tc>
      </w:tr>
    </w:tbl>
    <w:p w14:paraId="43B1DB1F" w14:textId="77777777" w:rsidR="001338D5" w:rsidRDefault="001338D5"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19300962" w14:textId="24289DD9" w:rsidR="00084D5B" w:rsidRPr="009A7EEE" w:rsidRDefault="00B066EF" w:rsidP="00B066EF">
      <w:pPr>
        <w:autoSpaceDE w:val="0"/>
        <w:autoSpaceDN w:val="0"/>
        <w:adjustRightInd w:val="0"/>
        <w:spacing w:before="240" w:after="0" w:line="360" w:lineRule="auto"/>
        <w:jc w:val="both"/>
        <w:rPr>
          <w:rFonts w:ascii="Arial" w:hAnsi="Arial" w:cs="Arial"/>
          <w:sz w:val="20"/>
          <w:szCs w:val="20"/>
          <w:lang w:val="en-IN"/>
        </w:rPr>
      </w:pPr>
      <w:r w:rsidRPr="009A7EEE">
        <w:rPr>
          <w:rFonts w:ascii="Arial" w:hAnsi="Arial" w:cs="Arial"/>
          <w:sz w:val="20"/>
          <w:szCs w:val="20"/>
          <w:lang w:val="en-IN"/>
        </w:rPr>
        <w:t xml:space="preserve">The genotype VRSG-154 showed early for days to first </w:t>
      </w:r>
      <w:proofErr w:type="spellStart"/>
      <w:r w:rsidRPr="009A7EEE">
        <w:rPr>
          <w:rFonts w:ascii="Arial" w:hAnsi="Arial" w:cs="Arial"/>
          <w:sz w:val="20"/>
          <w:szCs w:val="20"/>
          <w:lang w:val="en-IN"/>
        </w:rPr>
        <w:t>stamina</w:t>
      </w:r>
      <w:r w:rsidR="00E567E4" w:rsidRPr="009A7EEE">
        <w:rPr>
          <w:rFonts w:ascii="Arial" w:hAnsi="Arial" w:cs="Arial"/>
          <w:sz w:val="20"/>
          <w:szCs w:val="20"/>
          <w:lang w:val="en-IN"/>
        </w:rPr>
        <w:t>te</w:t>
      </w:r>
      <w:proofErr w:type="spellEnd"/>
      <w:r w:rsidR="00E567E4" w:rsidRPr="009A7EEE">
        <w:rPr>
          <w:rFonts w:ascii="Arial" w:hAnsi="Arial" w:cs="Arial"/>
          <w:sz w:val="20"/>
          <w:szCs w:val="20"/>
          <w:lang w:val="en-IN"/>
        </w:rPr>
        <w:t xml:space="preserve"> flower anthesis (30.67 days)</w:t>
      </w:r>
      <w:r w:rsidRPr="009A7EEE">
        <w:rPr>
          <w:rFonts w:ascii="Arial" w:hAnsi="Arial" w:cs="Arial"/>
          <w:sz w:val="20"/>
          <w:szCs w:val="20"/>
          <w:lang w:val="en-IN"/>
        </w:rPr>
        <w:t>, earliest days for anthesis of first pistillate flower was recor</w:t>
      </w:r>
      <w:r w:rsidR="00E567E4" w:rsidRPr="009A7EEE">
        <w:rPr>
          <w:rFonts w:ascii="Arial" w:hAnsi="Arial" w:cs="Arial"/>
          <w:sz w:val="20"/>
          <w:szCs w:val="20"/>
          <w:lang w:val="en-IN"/>
        </w:rPr>
        <w:t>ded in genotype VRSG-68 (38.33)</w:t>
      </w:r>
      <w:r w:rsidRPr="009A7EEE">
        <w:rPr>
          <w:rFonts w:ascii="Arial" w:hAnsi="Arial" w:cs="Arial"/>
          <w:sz w:val="20"/>
          <w:szCs w:val="20"/>
          <w:lang w:val="en-IN"/>
        </w:rPr>
        <w:t xml:space="preserve">, node no. for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appearance was hig</w:t>
      </w:r>
      <w:r w:rsidR="00E567E4" w:rsidRPr="009A7EEE">
        <w:rPr>
          <w:rFonts w:ascii="Arial" w:hAnsi="Arial" w:cs="Arial"/>
          <w:sz w:val="20"/>
          <w:szCs w:val="20"/>
          <w:lang w:val="en-IN"/>
        </w:rPr>
        <w:t>hest in genotype VRSG-11 (5.40)</w:t>
      </w:r>
      <w:r w:rsidRPr="009A7EEE">
        <w:rPr>
          <w:rFonts w:ascii="Arial" w:hAnsi="Arial" w:cs="Arial"/>
          <w:sz w:val="20"/>
          <w:szCs w:val="20"/>
          <w:lang w:val="en-IN"/>
        </w:rPr>
        <w:t>, node no. for first pistillate flower appearance was highest in genotype</w:t>
      </w:r>
      <w:r w:rsidR="00E567E4" w:rsidRPr="009A7EEE">
        <w:rPr>
          <w:rFonts w:ascii="Arial" w:hAnsi="Arial" w:cs="Arial"/>
          <w:sz w:val="20"/>
          <w:szCs w:val="20"/>
          <w:lang w:val="en-IN"/>
        </w:rPr>
        <w:t xml:space="preserve"> Manipur (local)</w:t>
      </w:r>
      <w:r w:rsidRPr="009A7EEE">
        <w:rPr>
          <w:rFonts w:ascii="Arial" w:hAnsi="Arial" w:cs="Arial"/>
          <w:sz w:val="20"/>
          <w:szCs w:val="20"/>
          <w:lang w:val="en-IN"/>
        </w:rPr>
        <w:t xml:space="preserve">, Maximum primary branches per plant was recorded in NDSG-23-8 (5.03), highest value of internodal length was noticed for NDSG-23-4 </w:t>
      </w:r>
      <w:r w:rsidR="00E567E4" w:rsidRPr="009A7EEE">
        <w:rPr>
          <w:rFonts w:ascii="Arial" w:hAnsi="Arial" w:cs="Arial"/>
          <w:sz w:val="20"/>
          <w:szCs w:val="20"/>
          <w:lang w:val="en-IN"/>
        </w:rPr>
        <w:t>(9.50 cm)</w:t>
      </w:r>
      <w:r w:rsidRPr="009A7EEE">
        <w:rPr>
          <w:rFonts w:ascii="Arial" w:hAnsi="Arial" w:cs="Arial"/>
          <w:sz w:val="20"/>
          <w:szCs w:val="20"/>
          <w:lang w:val="en-IN"/>
        </w:rPr>
        <w:t xml:space="preserve">, </w:t>
      </w:r>
      <w:r w:rsidR="0078292D" w:rsidRPr="009A7EEE">
        <w:rPr>
          <w:rFonts w:ascii="Arial" w:hAnsi="Arial" w:cs="Arial"/>
          <w:sz w:val="20"/>
          <w:szCs w:val="20"/>
          <w:lang w:val="en-IN"/>
        </w:rPr>
        <w:t>maximum petiole length was reported in the genotype VRSG-68-1 (9.09cm),</w:t>
      </w:r>
      <w:r w:rsidR="00E567E4" w:rsidRPr="009A7EEE">
        <w:rPr>
          <w:rFonts w:ascii="Arial" w:hAnsi="Arial" w:cs="Arial"/>
          <w:sz w:val="20"/>
          <w:szCs w:val="20"/>
          <w:lang w:val="en-IN"/>
        </w:rPr>
        <w:t xml:space="preserve"> </w:t>
      </w:r>
      <w:r w:rsidR="0078292D" w:rsidRPr="009A7EEE">
        <w:rPr>
          <w:rFonts w:ascii="Arial" w:hAnsi="Arial" w:cs="Arial"/>
          <w:sz w:val="20"/>
          <w:szCs w:val="20"/>
          <w:lang w:val="en-IN"/>
        </w:rPr>
        <w:t>days to first fruit harvest was earliest in the</w:t>
      </w:r>
      <w:r w:rsidR="00E567E4" w:rsidRPr="009A7EEE">
        <w:rPr>
          <w:rFonts w:ascii="Arial" w:hAnsi="Arial" w:cs="Arial"/>
          <w:sz w:val="20"/>
          <w:szCs w:val="20"/>
          <w:lang w:val="en-IN"/>
        </w:rPr>
        <w:t xml:space="preserve"> genotype VRSG-68  (48.17 days)</w:t>
      </w:r>
      <w:r w:rsidR="0078292D" w:rsidRPr="009A7EEE">
        <w:rPr>
          <w:rFonts w:ascii="Arial" w:hAnsi="Arial" w:cs="Arial"/>
          <w:sz w:val="20"/>
          <w:szCs w:val="20"/>
          <w:lang w:val="en-IN"/>
        </w:rPr>
        <w:t>, Highest fruit length was no</w:t>
      </w:r>
      <w:r w:rsidR="008C30FB" w:rsidRPr="009A7EEE">
        <w:rPr>
          <w:rFonts w:ascii="Arial" w:hAnsi="Arial" w:cs="Arial"/>
          <w:sz w:val="20"/>
          <w:szCs w:val="20"/>
          <w:lang w:val="en-IN"/>
        </w:rPr>
        <w:t xml:space="preserve">ticed in Pusa </w:t>
      </w:r>
      <w:proofErr w:type="spellStart"/>
      <w:r w:rsidR="008C30FB" w:rsidRPr="009A7EEE">
        <w:rPr>
          <w:rFonts w:ascii="Arial" w:hAnsi="Arial" w:cs="Arial"/>
          <w:sz w:val="20"/>
          <w:szCs w:val="20"/>
          <w:lang w:val="en-IN"/>
        </w:rPr>
        <w:t>C</w:t>
      </w:r>
      <w:r w:rsidR="00E567E4" w:rsidRPr="009A7EEE">
        <w:rPr>
          <w:rFonts w:ascii="Arial" w:hAnsi="Arial" w:cs="Arial"/>
          <w:sz w:val="20"/>
          <w:szCs w:val="20"/>
          <w:lang w:val="en-IN"/>
        </w:rPr>
        <w:t>hikni</w:t>
      </w:r>
      <w:proofErr w:type="spellEnd"/>
      <w:r w:rsidR="00E567E4" w:rsidRPr="009A7EEE">
        <w:rPr>
          <w:rFonts w:ascii="Arial" w:hAnsi="Arial" w:cs="Arial"/>
          <w:sz w:val="20"/>
          <w:szCs w:val="20"/>
          <w:lang w:val="en-IN"/>
        </w:rPr>
        <w:t xml:space="preserve"> (28.65 cm)</w:t>
      </w:r>
      <w:r w:rsidR="0078292D" w:rsidRPr="009A7EEE">
        <w:rPr>
          <w:rFonts w:ascii="Arial" w:hAnsi="Arial" w:cs="Arial"/>
          <w:sz w:val="20"/>
          <w:szCs w:val="20"/>
          <w:lang w:val="en-IN"/>
        </w:rPr>
        <w:t>, Highest fruit width was observed significantly in the genotype VRSG-66 (4.37cm) , average fruit weight w</w:t>
      </w:r>
      <w:r w:rsidR="00E567E4" w:rsidRPr="009A7EEE">
        <w:rPr>
          <w:rFonts w:ascii="Arial" w:hAnsi="Arial" w:cs="Arial"/>
          <w:sz w:val="20"/>
          <w:szCs w:val="20"/>
          <w:lang w:val="en-IN"/>
        </w:rPr>
        <w:t>as highest in VRSG-2-15 (142gm)</w:t>
      </w:r>
      <w:r w:rsidR="0078292D" w:rsidRPr="009A7EEE">
        <w:rPr>
          <w:rFonts w:ascii="Arial" w:hAnsi="Arial" w:cs="Arial"/>
          <w:sz w:val="20"/>
          <w:szCs w:val="20"/>
          <w:lang w:val="en-IN"/>
        </w:rPr>
        <w:t xml:space="preserve">, </w:t>
      </w:r>
      <w:r w:rsidR="00E567E4" w:rsidRPr="009A7EEE">
        <w:rPr>
          <w:rFonts w:ascii="Arial" w:hAnsi="Arial" w:cs="Arial"/>
          <w:sz w:val="20"/>
          <w:szCs w:val="20"/>
          <w:lang w:val="en-IN"/>
        </w:rPr>
        <w:t xml:space="preserve"> h</w:t>
      </w:r>
      <w:r w:rsidR="00DD444A" w:rsidRPr="009A7EEE">
        <w:rPr>
          <w:rFonts w:ascii="Arial" w:hAnsi="Arial" w:cs="Arial"/>
          <w:sz w:val="20"/>
          <w:szCs w:val="20"/>
          <w:lang w:val="en-IN"/>
        </w:rPr>
        <w:t>ighest number of fruits plant</w:t>
      </w:r>
      <w:r w:rsidR="00DD444A" w:rsidRPr="009A7EEE">
        <w:rPr>
          <w:rFonts w:ascii="Arial" w:hAnsi="Arial" w:cs="Arial"/>
          <w:sz w:val="20"/>
          <w:szCs w:val="20"/>
          <w:vertAlign w:val="superscript"/>
          <w:lang w:val="en-IN"/>
        </w:rPr>
        <w:t>-1</w:t>
      </w:r>
      <w:r w:rsidR="00DD444A" w:rsidRPr="009A7EEE">
        <w:rPr>
          <w:rFonts w:ascii="Arial" w:hAnsi="Arial" w:cs="Arial"/>
          <w:sz w:val="20"/>
          <w:szCs w:val="20"/>
          <w:lang w:val="en-IN"/>
        </w:rPr>
        <w:t xml:space="preserve"> was </w:t>
      </w:r>
      <w:r w:rsidR="00E567E4" w:rsidRPr="009A7EEE">
        <w:rPr>
          <w:rFonts w:ascii="Arial" w:hAnsi="Arial" w:cs="Arial"/>
          <w:sz w:val="20"/>
          <w:szCs w:val="20"/>
          <w:lang w:val="en-IN"/>
        </w:rPr>
        <w:t>noticed in NDSG-23-1 (14.95), l</w:t>
      </w:r>
      <w:r w:rsidR="00DD444A" w:rsidRPr="009A7EEE">
        <w:rPr>
          <w:rFonts w:ascii="Arial" w:hAnsi="Arial" w:cs="Arial"/>
          <w:sz w:val="20"/>
          <w:szCs w:val="20"/>
          <w:lang w:val="en-IN"/>
        </w:rPr>
        <w:t>ongest vine wa</w:t>
      </w:r>
      <w:r w:rsidR="00E567E4" w:rsidRPr="009A7EEE">
        <w:rPr>
          <w:rFonts w:ascii="Arial" w:hAnsi="Arial" w:cs="Arial"/>
          <w:sz w:val="20"/>
          <w:szCs w:val="20"/>
          <w:lang w:val="en-IN"/>
        </w:rPr>
        <w:t>s observed at NDSG-23-4 (6.16m)</w:t>
      </w:r>
      <w:r w:rsidR="00DD444A" w:rsidRPr="009A7EEE">
        <w:rPr>
          <w:rFonts w:ascii="Arial" w:hAnsi="Arial" w:cs="Arial"/>
          <w:sz w:val="20"/>
          <w:szCs w:val="20"/>
          <w:lang w:val="en-IN"/>
        </w:rPr>
        <w:t xml:space="preserve">, highest T.S.S </w:t>
      </w:r>
      <w:r w:rsidR="00DD444A" w:rsidRPr="009A7EEE">
        <w:rPr>
          <w:rFonts w:ascii="Arial" w:hAnsi="Arial" w:cs="Arial"/>
          <w:sz w:val="20"/>
          <w:szCs w:val="20"/>
          <w:vertAlign w:val="superscript"/>
          <w:lang w:val="en-IN"/>
        </w:rPr>
        <w:t>0</w:t>
      </w:r>
      <w:r w:rsidR="00274AC1" w:rsidRPr="009A7EEE">
        <w:rPr>
          <w:rFonts w:ascii="Arial" w:hAnsi="Arial" w:cs="Arial"/>
          <w:sz w:val="20"/>
          <w:szCs w:val="20"/>
          <w:lang w:val="en-IN"/>
        </w:rPr>
        <w:t>B</w:t>
      </w:r>
      <w:r w:rsidR="00DD444A" w:rsidRPr="009A7EEE">
        <w:rPr>
          <w:rFonts w:ascii="Arial" w:hAnsi="Arial" w:cs="Arial"/>
          <w:sz w:val="20"/>
          <w:szCs w:val="20"/>
          <w:lang w:val="en-IN"/>
        </w:rPr>
        <w:t xml:space="preserve"> was obs</w:t>
      </w:r>
      <w:r w:rsidR="00E567E4" w:rsidRPr="009A7EEE">
        <w:rPr>
          <w:rFonts w:ascii="Arial" w:hAnsi="Arial" w:cs="Arial"/>
          <w:sz w:val="20"/>
          <w:szCs w:val="20"/>
          <w:lang w:val="en-IN"/>
        </w:rPr>
        <w:t>erved in Manipur (local) (6.13)</w:t>
      </w:r>
      <w:r w:rsidR="00DD444A" w:rsidRPr="009A7EEE">
        <w:rPr>
          <w:rFonts w:ascii="Arial" w:hAnsi="Arial" w:cs="Arial"/>
          <w:sz w:val="20"/>
          <w:szCs w:val="20"/>
          <w:lang w:val="en-IN"/>
        </w:rPr>
        <w:t xml:space="preserve">, </w:t>
      </w:r>
      <w:r w:rsidR="00E567E4" w:rsidRPr="009A7EEE">
        <w:rPr>
          <w:rFonts w:ascii="Arial" w:hAnsi="Arial" w:cs="Arial"/>
          <w:sz w:val="20"/>
          <w:szCs w:val="20"/>
          <w:lang w:val="en-IN"/>
        </w:rPr>
        <w:t>m</w:t>
      </w:r>
      <w:r w:rsidR="00DD444A" w:rsidRPr="009A7EEE">
        <w:rPr>
          <w:rFonts w:ascii="Arial" w:hAnsi="Arial" w:cs="Arial"/>
          <w:sz w:val="20"/>
          <w:szCs w:val="20"/>
          <w:lang w:val="en-IN"/>
        </w:rPr>
        <w:t>aximum amount of dry matter was observed from the genotype Manipur (local)</w:t>
      </w:r>
      <w:r w:rsidR="00E567E4" w:rsidRPr="009A7EEE">
        <w:rPr>
          <w:rFonts w:ascii="Arial" w:hAnsi="Arial" w:cs="Arial"/>
          <w:sz w:val="20"/>
          <w:szCs w:val="20"/>
          <w:lang w:val="en-IN"/>
        </w:rPr>
        <w:t xml:space="preserve"> (9.01), m</w:t>
      </w:r>
      <w:r w:rsidR="00DD444A" w:rsidRPr="009A7EEE">
        <w:rPr>
          <w:rFonts w:ascii="Arial" w:hAnsi="Arial" w:cs="Arial"/>
          <w:sz w:val="20"/>
          <w:szCs w:val="20"/>
          <w:lang w:val="en-IN"/>
        </w:rPr>
        <w:t>aximum amount of moisture content was observed from</w:t>
      </w:r>
      <w:r w:rsidR="00E567E4" w:rsidRPr="009A7EEE">
        <w:rPr>
          <w:rFonts w:ascii="Arial" w:hAnsi="Arial" w:cs="Arial"/>
          <w:sz w:val="20"/>
          <w:szCs w:val="20"/>
          <w:lang w:val="en-IN"/>
        </w:rPr>
        <w:t xml:space="preserve"> the genotype NDSG-23-8 (96.40)</w:t>
      </w:r>
      <w:r w:rsidR="00DD444A" w:rsidRPr="009A7EEE">
        <w:rPr>
          <w:rFonts w:ascii="Arial" w:hAnsi="Arial" w:cs="Arial"/>
          <w:sz w:val="20"/>
          <w:szCs w:val="20"/>
          <w:lang w:val="en-IN"/>
        </w:rPr>
        <w:t xml:space="preserve">, </w:t>
      </w:r>
      <w:r w:rsidR="00E567E4" w:rsidRPr="009A7EEE">
        <w:rPr>
          <w:rFonts w:ascii="Arial" w:hAnsi="Arial" w:cs="Arial"/>
          <w:sz w:val="20"/>
          <w:szCs w:val="20"/>
          <w:lang w:val="en-IN"/>
        </w:rPr>
        <w:t>t</w:t>
      </w:r>
      <w:r w:rsidR="00DD444A" w:rsidRPr="009A7EEE">
        <w:rPr>
          <w:rFonts w:ascii="Arial" w:hAnsi="Arial" w:cs="Arial"/>
          <w:sz w:val="20"/>
          <w:szCs w:val="20"/>
          <w:lang w:val="en-IN"/>
        </w:rPr>
        <w:t>he ascorbic was recorded highest</w:t>
      </w:r>
      <w:r w:rsidR="00E567E4" w:rsidRPr="009A7EEE">
        <w:rPr>
          <w:rFonts w:ascii="Arial" w:hAnsi="Arial" w:cs="Arial"/>
          <w:sz w:val="20"/>
          <w:szCs w:val="20"/>
          <w:lang w:val="en-IN"/>
        </w:rPr>
        <w:t xml:space="preserve"> in the </w:t>
      </w:r>
      <w:r w:rsidR="00E567E4" w:rsidRPr="009A7EEE">
        <w:rPr>
          <w:rFonts w:ascii="Arial" w:hAnsi="Arial" w:cs="Arial"/>
          <w:sz w:val="20"/>
          <w:szCs w:val="20"/>
          <w:lang w:val="en-IN"/>
        </w:rPr>
        <w:lastRenderedPageBreak/>
        <w:t>genotype VRSG-84 (3.93), t</w:t>
      </w:r>
      <w:r w:rsidR="006B1761" w:rsidRPr="009A7EEE">
        <w:rPr>
          <w:rFonts w:ascii="Arial" w:hAnsi="Arial" w:cs="Arial"/>
          <w:sz w:val="20"/>
          <w:szCs w:val="20"/>
          <w:lang w:val="en-IN"/>
        </w:rPr>
        <w:t>he ch</w:t>
      </w:r>
      <w:r w:rsidR="00DD444A" w:rsidRPr="009A7EEE">
        <w:rPr>
          <w:rFonts w:ascii="Arial" w:hAnsi="Arial" w:cs="Arial"/>
          <w:sz w:val="20"/>
          <w:szCs w:val="20"/>
          <w:lang w:val="en-IN"/>
        </w:rPr>
        <w:t>lorophyll content was found to be the highest in the genotype (NDSG-3) 3.62</w:t>
      </w:r>
      <w:r w:rsidR="00E567E4" w:rsidRPr="009A7EEE">
        <w:rPr>
          <w:rFonts w:ascii="Arial" w:hAnsi="Arial" w:cs="Arial"/>
          <w:sz w:val="20"/>
          <w:szCs w:val="20"/>
          <w:lang w:val="en-IN"/>
        </w:rPr>
        <w:t>, t</w:t>
      </w:r>
      <w:r w:rsidR="00DD444A" w:rsidRPr="009A7EEE">
        <w:rPr>
          <w:rFonts w:ascii="Arial" w:hAnsi="Arial" w:cs="Arial"/>
          <w:sz w:val="20"/>
          <w:szCs w:val="20"/>
          <w:lang w:val="en-IN"/>
        </w:rPr>
        <w:t>he highest yield per plant was found in t</w:t>
      </w:r>
      <w:r w:rsidR="00E567E4" w:rsidRPr="009A7EEE">
        <w:rPr>
          <w:rFonts w:ascii="Arial" w:hAnsi="Arial" w:cs="Arial"/>
          <w:sz w:val="20"/>
          <w:szCs w:val="20"/>
          <w:lang w:val="en-IN"/>
        </w:rPr>
        <w:t>he genotype VRSG-5-17 (2.03 Kg), t</w:t>
      </w:r>
      <w:r w:rsidR="00DD444A" w:rsidRPr="009A7EEE">
        <w:rPr>
          <w:rFonts w:ascii="Arial" w:hAnsi="Arial" w:cs="Arial"/>
          <w:sz w:val="20"/>
          <w:szCs w:val="20"/>
          <w:lang w:val="en-IN"/>
        </w:rPr>
        <w:t xml:space="preserve">he highest yield (q/ha) was observed in the genotype VRSG-5-17 (122.49) . </w:t>
      </w:r>
      <w:r w:rsidR="00B63A06" w:rsidRPr="009A7EEE">
        <w:rPr>
          <w:rFonts w:ascii="Arial" w:hAnsi="Arial" w:cs="Arial"/>
          <w:sz w:val="20"/>
          <w:szCs w:val="20"/>
          <w:lang w:val="en-IN"/>
        </w:rPr>
        <w:t>Similar findings</w:t>
      </w:r>
      <w:r w:rsidR="008A6059" w:rsidRPr="009A7EEE">
        <w:rPr>
          <w:rFonts w:ascii="Arial" w:hAnsi="Arial" w:cs="Arial"/>
          <w:sz w:val="20"/>
          <w:szCs w:val="20"/>
          <w:lang w:val="en-IN"/>
        </w:rPr>
        <w:t xml:space="preserve"> were </w:t>
      </w:r>
      <w:r w:rsidR="00B63A06" w:rsidRPr="009A7EEE">
        <w:rPr>
          <w:rFonts w:ascii="Arial" w:hAnsi="Arial" w:cs="Arial"/>
          <w:sz w:val="20"/>
          <w:szCs w:val="20"/>
          <w:lang w:val="en-IN"/>
        </w:rPr>
        <w:t xml:space="preserve">reported by Abhijeet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(2018</w:t>
      </w:r>
      <w:r w:rsidR="00C42F17" w:rsidRPr="009A7EEE">
        <w:rPr>
          <w:rFonts w:ascii="Arial" w:hAnsi="Arial" w:cs="Arial"/>
          <w:sz w:val="20"/>
          <w:szCs w:val="20"/>
          <w:lang w:val="en-IN"/>
        </w:rPr>
        <w:t>), Sharma</w:t>
      </w:r>
      <w:r w:rsidR="00B63A06" w:rsidRPr="009A7EEE">
        <w:rPr>
          <w:rFonts w:ascii="Arial" w:hAnsi="Arial" w:cs="Arial"/>
          <w:sz w:val="20"/>
          <w:szCs w:val="20"/>
          <w:lang w:val="en-IN"/>
        </w:rPr>
        <w:t xml:space="preserve">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Madhavi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Mohiddin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(2022)</w:t>
      </w:r>
      <w:r w:rsidR="00B63A06" w:rsidRPr="009A7EEE">
        <w:rPr>
          <w:rFonts w:ascii="Arial" w:hAnsi="Arial" w:cs="Arial"/>
          <w:sz w:val="20"/>
          <w:szCs w:val="20"/>
          <w:lang w:val="en-IN"/>
        </w:rPr>
        <w:t xml:space="preserve">, Dubey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(2022)</w:t>
      </w:r>
      <w:r w:rsidR="00B63A06" w:rsidRPr="009A7EEE">
        <w:rPr>
          <w:rFonts w:ascii="Arial" w:hAnsi="Arial" w:cs="Arial"/>
          <w:sz w:val="20"/>
          <w:szCs w:val="20"/>
          <w:lang w:val="en-IN"/>
        </w:rPr>
        <w:t xml:space="preserve">, </w:t>
      </w:r>
      <w:proofErr w:type="spellStart"/>
      <w:r w:rsidR="00B63A06" w:rsidRPr="009A7EEE">
        <w:rPr>
          <w:rFonts w:ascii="Arial" w:hAnsi="Arial" w:cs="Arial"/>
          <w:sz w:val="20"/>
          <w:szCs w:val="20"/>
          <w:lang w:val="en-IN"/>
        </w:rPr>
        <w:t>Annigeri</w:t>
      </w:r>
      <w:proofErr w:type="spellEnd"/>
      <w:r w:rsidR="00B63A06" w:rsidRPr="009A7EEE">
        <w:rPr>
          <w:rFonts w:ascii="Arial" w:hAnsi="Arial" w:cs="Arial"/>
          <w:sz w:val="20"/>
          <w:szCs w:val="20"/>
          <w:lang w:val="en-IN"/>
        </w:rPr>
        <w:t xml:space="preserve">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w:t>
      </w:r>
    </w:p>
    <w:p w14:paraId="62E4B543" w14:textId="7BC036AD" w:rsidR="001338D5" w:rsidRPr="009A7EEE" w:rsidRDefault="009A7EEE" w:rsidP="00ED7FF1">
      <w:pPr>
        <w:ind w:left="851" w:hanging="851"/>
        <w:jc w:val="both"/>
        <w:rPr>
          <w:rFonts w:ascii="Times New Roman" w:hAnsi="Times New Roman" w:cs="Times New Roman"/>
          <w:b/>
          <w:szCs w:val="24"/>
          <w:lang w:val="en-IN"/>
        </w:rPr>
      </w:pPr>
      <w:r>
        <w:rPr>
          <w:rFonts w:ascii="Times New Roman" w:hAnsi="Times New Roman" w:cs="Times New Roman"/>
          <w:b/>
          <w:szCs w:val="24"/>
          <w:lang w:val="en-IN"/>
        </w:rPr>
        <w:t>Table.2. Estimates o</w:t>
      </w:r>
      <w:r w:rsidRPr="00B343CC">
        <w:rPr>
          <w:rFonts w:ascii="Times New Roman" w:hAnsi="Times New Roman" w:cs="Times New Roman"/>
          <w:b/>
          <w:szCs w:val="24"/>
          <w:lang w:val="en-IN"/>
        </w:rPr>
        <w:t xml:space="preserve">f </w:t>
      </w:r>
      <w:r w:rsidR="00ED7FF1" w:rsidRPr="00B343CC">
        <w:rPr>
          <w:rFonts w:ascii="Times New Roman" w:hAnsi="Times New Roman" w:cs="Times New Roman"/>
          <w:b/>
          <w:szCs w:val="24"/>
          <w:lang w:val="en-IN"/>
        </w:rPr>
        <w:t>range,</w:t>
      </w:r>
      <w:r w:rsidRPr="00B343CC">
        <w:rPr>
          <w:rFonts w:ascii="Times New Roman" w:hAnsi="Times New Roman" w:cs="Times New Roman"/>
          <w:b/>
          <w:szCs w:val="24"/>
          <w:lang w:val="en-IN"/>
        </w:rPr>
        <w:t xml:space="preserve"> grand </w:t>
      </w:r>
      <w:r w:rsidR="00ED7FF1" w:rsidRPr="00B343CC">
        <w:rPr>
          <w:rFonts w:ascii="Times New Roman" w:hAnsi="Times New Roman" w:cs="Times New Roman"/>
          <w:b/>
          <w:szCs w:val="24"/>
          <w:lang w:val="en-IN"/>
        </w:rPr>
        <w:t>mean,</w:t>
      </w:r>
      <w:r w:rsidRPr="00B343CC">
        <w:rPr>
          <w:rFonts w:ascii="Times New Roman" w:hAnsi="Times New Roman" w:cs="Times New Roman"/>
          <w:b/>
          <w:szCs w:val="24"/>
          <w:lang w:val="en-IN"/>
        </w:rPr>
        <w:t xml:space="preserve"> phenotypic coefficient of variation (PCV</w:t>
      </w:r>
      <w:r w:rsidR="00ED7FF1" w:rsidRPr="00B343CC">
        <w:rPr>
          <w:rFonts w:ascii="Times New Roman" w:hAnsi="Times New Roman" w:cs="Times New Roman"/>
          <w:b/>
          <w:szCs w:val="24"/>
          <w:lang w:val="en-IN"/>
        </w:rPr>
        <w:t>),</w:t>
      </w:r>
      <w:r w:rsidRPr="00B343CC">
        <w:rPr>
          <w:rFonts w:ascii="Times New Roman" w:hAnsi="Times New Roman" w:cs="Times New Roman"/>
          <w:b/>
          <w:szCs w:val="24"/>
          <w:lang w:val="en-IN"/>
        </w:rPr>
        <w:t xml:space="preserve"> genotypic coefficient of variation (GCV</w:t>
      </w:r>
      <w:r w:rsidR="00ED7FF1" w:rsidRPr="00B343CC">
        <w:rPr>
          <w:rFonts w:ascii="Times New Roman" w:hAnsi="Times New Roman" w:cs="Times New Roman"/>
          <w:b/>
          <w:szCs w:val="24"/>
          <w:lang w:val="en-IN"/>
        </w:rPr>
        <w:t>),</w:t>
      </w:r>
      <w:r w:rsidRPr="00B343CC">
        <w:rPr>
          <w:rFonts w:ascii="Times New Roman" w:hAnsi="Times New Roman" w:cs="Times New Roman"/>
          <w:b/>
          <w:szCs w:val="24"/>
          <w:lang w:val="en-IN"/>
        </w:rPr>
        <w:t xml:space="preserve"> heritability in broad </w:t>
      </w:r>
      <w:r w:rsidR="00ED7FF1" w:rsidRPr="00B343CC">
        <w:rPr>
          <w:rFonts w:ascii="Times New Roman" w:hAnsi="Times New Roman" w:cs="Times New Roman"/>
          <w:b/>
          <w:szCs w:val="24"/>
          <w:lang w:val="en-IN"/>
        </w:rPr>
        <w:t>sense,</w:t>
      </w:r>
      <w:r w:rsidRPr="00B343CC">
        <w:rPr>
          <w:rFonts w:ascii="Times New Roman" w:hAnsi="Times New Roman" w:cs="Times New Roman"/>
          <w:b/>
          <w:szCs w:val="24"/>
          <w:lang w:val="en-IN"/>
        </w:rPr>
        <w:t xml:space="preserve"> genetic advance (Ga) and Ga in per cent of mean for twenty characters in sponge gourd germplasm. </w:t>
      </w:r>
    </w:p>
    <w:tbl>
      <w:tblPr>
        <w:tblStyle w:val="TableGrid"/>
        <w:tblpPr w:leftFromText="180" w:rightFromText="180" w:vertAnchor="text" w:horzAnchor="margin" w:tblpXSpec="center" w:tblpY="908"/>
        <w:tblW w:w="5016" w:type="pct"/>
        <w:tblLook w:val="04A0" w:firstRow="1" w:lastRow="0" w:firstColumn="1" w:lastColumn="0" w:noHBand="0" w:noVBand="1"/>
      </w:tblPr>
      <w:tblGrid>
        <w:gridCol w:w="2353"/>
        <w:gridCol w:w="794"/>
        <w:gridCol w:w="766"/>
        <w:gridCol w:w="787"/>
        <w:gridCol w:w="860"/>
        <w:gridCol w:w="733"/>
        <w:gridCol w:w="1216"/>
        <w:gridCol w:w="795"/>
        <w:gridCol w:w="1076"/>
      </w:tblGrid>
      <w:tr w:rsidR="003C05D1" w:rsidRPr="00D42EA8" w14:paraId="4FEBE142" w14:textId="77777777" w:rsidTr="003C05D1">
        <w:trPr>
          <w:trHeight w:val="79"/>
        </w:trPr>
        <w:tc>
          <w:tcPr>
            <w:tcW w:w="1258" w:type="pct"/>
            <w:vMerge w:val="restart"/>
            <w:vAlign w:val="center"/>
          </w:tcPr>
          <w:p w14:paraId="7B0AC22C"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Characters</w:t>
            </w:r>
          </w:p>
        </w:tc>
        <w:tc>
          <w:tcPr>
            <w:tcW w:w="427" w:type="pct"/>
            <w:vMerge w:val="restart"/>
            <w:vAlign w:val="center"/>
          </w:tcPr>
          <w:p w14:paraId="66C81555"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Mean</w:t>
            </w:r>
          </w:p>
        </w:tc>
        <w:tc>
          <w:tcPr>
            <w:tcW w:w="821" w:type="pct"/>
            <w:gridSpan w:val="2"/>
            <w:vAlign w:val="center"/>
          </w:tcPr>
          <w:p w14:paraId="24E747C1"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Range</w:t>
            </w:r>
          </w:p>
        </w:tc>
        <w:tc>
          <w:tcPr>
            <w:tcW w:w="462" w:type="pct"/>
            <w:vMerge w:val="restart"/>
            <w:vAlign w:val="center"/>
          </w:tcPr>
          <w:p w14:paraId="57B883D7"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GCV (%)</w:t>
            </w:r>
          </w:p>
        </w:tc>
        <w:tc>
          <w:tcPr>
            <w:tcW w:w="394" w:type="pct"/>
            <w:vMerge w:val="restart"/>
            <w:vAlign w:val="center"/>
          </w:tcPr>
          <w:p w14:paraId="5CA6A8F1"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PCV (%)</w:t>
            </w:r>
          </w:p>
        </w:tc>
        <w:tc>
          <w:tcPr>
            <w:tcW w:w="633" w:type="pct"/>
            <w:vMerge w:val="restart"/>
            <w:vAlign w:val="center"/>
          </w:tcPr>
          <w:p w14:paraId="00AC1D97"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Heritability</w:t>
            </w:r>
          </w:p>
          <w:p w14:paraId="65F7DCE1"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w:t>
            </w:r>
          </w:p>
        </w:tc>
        <w:tc>
          <w:tcPr>
            <w:tcW w:w="427" w:type="pct"/>
            <w:vMerge w:val="restart"/>
            <w:vAlign w:val="center"/>
          </w:tcPr>
          <w:p w14:paraId="70E19853"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GA</w:t>
            </w:r>
          </w:p>
        </w:tc>
        <w:tc>
          <w:tcPr>
            <w:tcW w:w="578" w:type="pct"/>
            <w:vMerge w:val="restart"/>
            <w:vAlign w:val="center"/>
          </w:tcPr>
          <w:p w14:paraId="199DA5BC"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GA% mean</w:t>
            </w:r>
          </w:p>
        </w:tc>
      </w:tr>
      <w:tr w:rsidR="003C05D1" w:rsidRPr="00D42EA8" w14:paraId="3BC65A57" w14:textId="77777777" w:rsidTr="003C05D1">
        <w:trPr>
          <w:trHeight w:val="79"/>
        </w:trPr>
        <w:tc>
          <w:tcPr>
            <w:tcW w:w="1258" w:type="pct"/>
            <w:vMerge/>
          </w:tcPr>
          <w:p w14:paraId="272D7127" w14:textId="77777777" w:rsidR="001338D5" w:rsidRPr="00D42EA8" w:rsidRDefault="001338D5" w:rsidP="005101A1">
            <w:pPr>
              <w:jc w:val="both"/>
              <w:rPr>
                <w:rFonts w:ascii="Times New Roman" w:hAnsi="Times New Roman" w:cs="Times New Roman"/>
                <w:b/>
                <w:sz w:val="20"/>
                <w:szCs w:val="24"/>
                <w:lang w:val="en-IN"/>
              </w:rPr>
            </w:pPr>
          </w:p>
        </w:tc>
        <w:tc>
          <w:tcPr>
            <w:tcW w:w="427" w:type="pct"/>
            <w:vMerge/>
          </w:tcPr>
          <w:p w14:paraId="155AA649" w14:textId="77777777" w:rsidR="001338D5" w:rsidRPr="00D42EA8" w:rsidRDefault="001338D5" w:rsidP="005101A1">
            <w:pPr>
              <w:jc w:val="both"/>
              <w:rPr>
                <w:rFonts w:ascii="Times New Roman" w:hAnsi="Times New Roman" w:cs="Times New Roman"/>
                <w:b/>
                <w:sz w:val="20"/>
                <w:szCs w:val="24"/>
                <w:lang w:val="en-IN"/>
              </w:rPr>
            </w:pPr>
          </w:p>
        </w:tc>
        <w:tc>
          <w:tcPr>
            <w:tcW w:w="399" w:type="pct"/>
            <w:vAlign w:val="center"/>
          </w:tcPr>
          <w:p w14:paraId="51A9EC13"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Min</w:t>
            </w:r>
          </w:p>
        </w:tc>
        <w:tc>
          <w:tcPr>
            <w:tcW w:w="423" w:type="pct"/>
            <w:vAlign w:val="center"/>
          </w:tcPr>
          <w:p w14:paraId="7ED27F86" w14:textId="77777777" w:rsidR="001338D5" w:rsidRPr="00D42EA8" w:rsidRDefault="001338D5" w:rsidP="005101A1">
            <w:pPr>
              <w:jc w:val="center"/>
              <w:rPr>
                <w:rFonts w:ascii="Times New Roman" w:hAnsi="Times New Roman" w:cs="Times New Roman"/>
                <w:b/>
                <w:sz w:val="20"/>
                <w:szCs w:val="24"/>
                <w:lang w:val="en-IN"/>
              </w:rPr>
            </w:pPr>
            <w:r w:rsidRPr="00D42EA8">
              <w:rPr>
                <w:rFonts w:ascii="Times New Roman" w:hAnsi="Times New Roman" w:cs="Times New Roman"/>
                <w:b/>
                <w:sz w:val="20"/>
                <w:szCs w:val="24"/>
                <w:lang w:val="en-IN"/>
              </w:rPr>
              <w:t>Max</w:t>
            </w:r>
          </w:p>
        </w:tc>
        <w:tc>
          <w:tcPr>
            <w:tcW w:w="462" w:type="pct"/>
            <w:vMerge/>
          </w:tcPr>
          <w:p w14:paraId="6C7323B9" w14:textId="77777777" w:rsidR="001338D5" w:rsidRPr="00D42EA8" w:rsidRDefault="001338D5" w:rsidP="005101A1">
            <w:pPr>
              <w:jc w:val="both"/>
              <w:rPr>
                <w:rFonts w:ascii="Times New Roman" w:hAnsi="Times New Roman" w:cs="Times New Roman"/>
                <w:b/>
                <w:sz w:val="20"/>
                <w:szCs w:val="24"/>
                <w:lang w:val="en-IN"/>
              </w:rPr>
            </w:pPr>
          </w:p>
        </w:tc>
        <w:tc>
          <w:tcPr>
            <w:tcW w:w="394" w:type="pct"/>
            <w:vMerge/>
          </w:tcPr>
          <w:p w14:paraId="182E6DB7" w14:textId="77777777" w:rsidR="001338D5" w:rsidRPr="00D42EA8" w:rsidRDefault="001338D5" w:rsidP="005101A1">
            <w:pPr>
              <w:jc w:val="both"/>
              <w:rPr>
                <w:rFonts w:ascii="Times New Roman" w:hAnsi="Times New Roman" w:cs="Times New Roman"/>
                <w:b/>
                <w:sz w:val="20"/>
                <w:szCs w:val="24"/>
                <w:lang w:val="en-IN"/>
              </w:rPr>
            </w:pPr>
          </w:p>
        </w:tc>
        <w:tc>
          <w:tcPr>
            <w:tcW w:w="633" w:type="pct"/>
            <w:vMerge/>
          </w:tcPr>
          <w:p w14:paraId="4833C28C" w14:textId="77777777" w:rsidR="001338D5" w:rsidRPr="00D42EA8" w:rsidRDefault="001338D5" w:rsidP="005101A1">
            <w:pPr>
              <w:jc w:val="both"/>
              <w:rPr>
                <w:rFonts w:ascii="Times New Roman" w:hAnsi="Times New Roman" w:cs="Times New Roman"/>
                <w:b/>
                <w:sz w:val="20"/>
                <w:szCs w:val="24"/>
                <w:lang w:val="en-IN"/>
              </w:rPr>
            </w:pPr>
          </w:p>
        </w:tc>
        <w:tc>
          <w:tcPr>
            <w:tcW w:w="427" w:type="pct"/>
            <w:vMerge/>
          </w:tcPr>
          <w:p w14:paraId="04BB5020" w14:textId="77777777" w:rsidR="001338D5" w:rsidRPr="00D42EA8" w:rsidRDefault="001338D5" w:rsidP="005101A1">
            <w:pPr>
              <w:jc w:val="both"/>
              <w:rPr>
                <w:rFonts w:ascii="Times New Roman" w:hAnsi="Times New Roman" w:cs="Times New Roman"/>
                <w:b/>
                <w:sz w:val="20"/>
                <w:szCs w:val="24"/>
                <w:lang w:val="en-IN"/>
              </w:rPr>
            </w:pPr>
          </w:p>
        </w:tc>
        <w:tc>
          <w:tcPr>
            <w:tcW w:w="578" w:type="pct"/>
            <w:vMerge/>
          </w:tcPr>
          <w:p w14:paraId="20FD983F" w14:textId="77777777" w:rsidR="001338D5" w:rsidRPr="00D42EA8" w:rsidRDefault="001338D5" w:rsidP="005101A1">
            <w:pPr>
              <w:jc w:val="both"/>
              <w:rPr>
                <w:rFonts w:ascii="Times New Roman" w:hAnsi="Times New Roman" w:cs="Times New Roman"/>
                <w:b/>
                <w:sz w:val="20"/>
                <w:szCs w:val="24"/>
                <w:lang w:val="en-IN"/>
              </w:rPr>
            </w:pPr>
          </w:p>
        </w:tc>
      </w:tr>
      <w:tr w:rsidR="003C05D1" w:rsidRPr="00D42EA8" w14:paraId="6119E82F" w14:textId="77777777" w:rsidTr="003C05D1">
        <w:trPr>
          <w:trHeight w:val="79"/>
        </w:trPr>
        <w:tc>
          <w:tcPr>
            <w:tcW w:w="1258" w:type="pct"/>
          </w:tcPr>
          <w:p w14:paraId="438490F3"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Days to first </w:t>
            </w:r>
            <w:proofErr w:type="spellStart"/>
            <w:r w:rsidRPr="00D42EA8">
              <w:rPr>
                <w:rFonts w:ascii="Times New Roman" w:hAnsi="Times New Roman" w:cs="Times New Roman"/>
                <w:sz w:val="20"/>
                <w:szCs w:val="24"/>
                <w:lang w:val="en-IN"/>
              </w:rPr>
              <w:t>staminate</w:t>
            </w:r>
            <w:proofErr w:type="spellEnd"/>
            <w:r w:rsidRPr="00D42EA8">
              <w:rPr>
                <w:rFonts w:ascii="Times New Roman" w:hAnsi="Times New Roman" w:cs="Times New Roman"/>
                <w:sz w:val="20"/>
                <w:szCs w:val="24"/>
                <w:lang w:val="en-IN"/>
              </w:rPr>
              <w:t xml:space="preserve"> flower appearance </w:t>
            </w:r>
          </w:p>
        </w:tc>
        <w:tc>
          <w:tcPr>
            <w:tcW w:w="427" w:type="pct"/>
          </w:tcPr>
          <w:p w14:paraId="4FB98FD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36.83</w:t>
            </w:r>
          </w:p>
        </w:tc>
        <w:tc>
          <w:tcPr>
            <w:tcW w:w="399" w:type="pct"/>
          </w:tcPr>
          <w:p w14:paraId="1CD03BF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30.67</w:t>
            </w:r>
          </w:p>
        </w:tc>
        <w:tc>
          <w:tcPr>
            <w:tcW w:w="423" w:type="pct"/>
          </w:tcPr>
          <w:p w14:paraId="7B986AA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43.67</w:t>
            </w:r>
          </w:p>
        </w:tc>
        <w:tc>
          <w:tcPr>
            <w:tcW w:w="462" w:type="pct"/>
          </w:tcPr>
          <w:p w14:paraId="2140B4A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10.63</w:t>
            </w:r>
          </w:p>
        </w:tc>
        <w:tc>
          <w:tcPr>
            <w:tcW w:w="394" w:type="pct"/>
          </w:tcPr>
          <w:p w14:paraId="4A5E593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11.80</w:t>
            </w:r>
          </w:p>
        </w:tc>
        <w:tc>
          <w:tcPr>
            <w:tcW w:w="633" w:type="pct"/>
          </w:tcPr>
          <w:p w14:paraId="209216F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81.18</w:t>
            </w:r>
          </w:p>
        </w:tc>
        <w:tc>
          <w:tcPr>
            <w:tcW w:w="427" w:type="pct"/>
          </w:tcPr>
          <w:p w14:paraId="1F88804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7.27</w:t>
            </w:r>
          </w:p>
        </w:tc>
        <w:tc>
          <w:tcPr>
            <w:tcW w:w="578" w:type="pct"/>
          </w:tcPr>
          <w:p w14:paraId="52AD657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19.73</w:t>
            </w:r>
          </w:p>
        </w:tc>
      </w:tr>
      <w:tr w:rsidR="003C05D1" w:rsidRPr="00D42EA8" w14:paraId="40A36C8C" w14:textId="77777777" w:rsidTr="003C05D1">
        <w:trPr>
          <w:trHeight w:val="79"/>
        </w:trPr>
        <w:tc>
          <w:tcPr>
            <w:tcW w:w="1258" w:type="pct"/>
          </w:tcPr>
          <w:p w14:paraId="39ED3322"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Days to first pistillate flower appearance </w:t>
            </w:r>
          </w:p>
        </w:tc>
        <w:tc>
          <w:tcPr>
            <w:tcW w:w="427" w:type="pct"/>
          </w:tcPr>
          <w:p w14:paraId="5BCF73F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44.34</w:t>
            </w:r>
          </w:p>
        </w:tc>
        <w:tc>
          <w:tcPr>
            <w:tcW w:w="399" w:type="pct"/>
          </w:tcPr>
          <w:p w14:paraId="409FE78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38.33</w:t>
            </w:r>
          </w:p>
        </w:tc>
        <w:tc>
          <w:tcPr>
            <w:tcW w:w="423" w:type="pct"/>
          </w:tcPr>
          <w:p w14:paraId="5181ED0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50.59</w:t>
            </w:r>
          </w:p>
        </w:tc>
        <w:tc>
          <w:tcPr>
            <w:tcW w:w="462" w:type="pct"/>
          </w:tcPr>
          <w:p w14:paraId="006DF35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8.27</w:t>
            </w:r>
          </w:p>
        </w:tc>
        <w:tc>
          <w:tcPr>
            <w:tcW w:w="394" w:type="pct"/>
          </w:tcPr>
          <w:p w14:paraId="151E12E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9.47</w:t>
            </w:r>
          </w:p>
        </w:tc>
        <w:tc>
          <w:tcPr>
            <w:tcW w:w="633" w:type="pct"/>
          </w:tcPr>
          <w:p w14:paraId="3DC6D7E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76.27</w:t>
            </w:r>
          </w:p>
        </w:tc>
        <w:tc>
          <w:tcPr>
            <w:tcW w:w="427" w:type="pct"/>
          </w:tcPr>
          <w:p w14:paraId="10562EB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6.60</w:t>
            </w:r>
          </w:p>
        </w:tc>
        <w:tc>
          <w:tcPr>
            <w:tcW w:w="578" w:type="pct"/>
          </w:tcPr>
          <w:p w14:paraId="554B30F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14.88</w:t>
            </w:r>
          </w:p>
        </w:tc>
      </w:tr>
      <w:tr w:rsidR="003C05D1" w:rsidRPr="00D42EA8" w14:paraId="4BE8AF6C" w14:textId="77777777" w:rsidTr="003C05D1">
        <w:trPr>
          <w:trHeight w:val="79"/>
        </w:trPr>
        <w:tc>
          <w:tcPr>
            <w:tcW w:w="1258" w:type="pct"/>
          </w:tcPr>
          <w:p w14:paraId="5887FC64"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Node number to first </w:t>
            </w:r>
            <w:proofErr w:type="spellStart"/>
            <w:r w:rsidRPr="00D42EA8">
              <w:rPr>
                <w:rFonts w:ascii="Times New Roman" w:hAnsi="Times New Roman" w:cs="Times New Roman"/>
                <w:sz w:val="20"/>
                <w:szCs w:val="24"/>
                <w:lang w:val="en-IN"/>
              </w:rPr>
              <w:t>staminate</w:t>
            </w:r>
            <w:proofErr w:type="spellEnd"/>
            <w:r w:rsidRPr="00D42EA8">
              <w:rPr>
                <w:rFonts w:ascii="Times New Roman" w:hAnsi="Times New Roman" w:cs="Times New Roman"/>
                <w:sz w:val="20"/>
                <w:szCs w:val="24"/>
                <w:lang w:val="en-IN"/>
              </w:rPr>
              <w:t xml:space="preserve"> flower appearance </w:t>
            </w:r>
          </w:p>
        </w:tc>
        <w:tc>
          <w:tcPr>
            <w:tcW w:w="427" w:type="pct"/>
          </w:tcPr>
          <w:p w14:paraId="73EA77B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4.74</w:t>
            </w:r>
          </w:p>
        </w:tc>
        <w:tc>
          <w:tcPr>
            <w:tcW w:w="399" w:type="pct"/>
          </w:tcPr>
          <w:p w14:paraId="0500B80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3.53</w:t>
            </w:r>
          </w:p>
        </w:tc>
        <w:tc>
          <w:tcPr>
            <w:tcW w:w="423" w:type="pct"/>
          </w:tcPr>
          <w:p w14:paraId="07A1804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5.40</w:t>
            </w:r>
          </w:p>
        </w:tc>
        <w:tc>
          <w:tcPr>
            <w:tcW w:w="462" w:type="pct"/>
          </w:tcPr>
          <w:p w14:paraId="59C3B89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9.21</w:t>
            </w:r>
          </w:p>
        </w:tc>
        <w:tc>
          <w:tcPr>
            <w:tcW w:w="394" w:type="pct"/>
          </w:tcPr>
          <w:p w14:paraId="448CDED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12.02</w:t>
            </w:r>
          </w:p>
        </w:tc>
        <w:tc>
          <w:tcPr>
            <w:tcW w:w="633" w:type="pct"/>
          </w:tcPr>
          <w:p w14:paraId="6B4E504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58.71</w:t>
            </w:r>
          </w:p>
        </w:tc>
        <w:tc>
          <w:tcPr>
            <w:tcW w:w="427" w:type="pct"/>
          </w:tcPr>
          <w:p w14:paraId="366A69A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0.69</w:t>
            </w:r>
          </w:p>
        </w:tc>
        <w:tc>
          <w:tcPr>
            <w:tcW w:w="578" w:type="pct"/>
          </w:tcPr>
          <w:p w14:paraId="2B648FA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14.54</w:t>
            </w:r>
          </w:p>
        </w:tc>
      </w:tr>
      <w:tr w:rsidR="003C05D1" w:rsidRPr="00D42EA8" w14:paraId="7D5EE22E" w14:textId="77777777" w:rsidTr="003C05D1">
        <w:trPr>
          <w:trHeight w:val="79"/>
        </w:trPr>
        <w:tc>
          <w:tcPr>
            <w:tcW w:w="1258" w:type="pct"/>
          </w:tcPr>
          <w:p w14:paraId="389E9854"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Node number to first pistillate flower appearance </w:t>
            </w:r>
          </w:p>
        </w:tc>
        <w:tc>
          <w:tcPr>
            <w:tcW w:w="427" w:type="pct"/>
          </w:tcPr>
          <w:p w14:paraId="37469D0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7.63</w:t>
            </w:r>
          </w:p>
        </w:tc>
        <w:tc>
          <w:tcPr>
            <w:tcW w:w="399" w:type="pct"/>
          </w:tcPr>
          <w:p w14:paraId="2B03704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6.67</w:t>
            </w:r>
          </w:p>
        </w:tc>
        <w:tc>
          <w:tcPr>
            <w:tcW w:w="423" w:type="pct"/>
          </w:tcPr>
          <w:p w14:paraId="3DF675D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8.51</w:t>
            </w:r>
          </w:p>
        </w:tc>
        <w:tc>
          <w:tcPr>
            <w:tcW w:w="462" w:type="pct"/>
          </w:tcPr>
          <w:p w14:paraId="33134EC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4.22</w:t>
            </w:r>
          </w:p>
        </w:tc>
        <w:tc>
          <w:tcPr>
            <w:tcW w:w="394" w:type="pct"/>
          </w:tcPr>
          <w:p w14:paraId="06C1554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7.86</w:t>
            </w:r>
          </w:p>
        </w:tc>
        <w:tc>
          <w:tcPr>
            <w:tcW w:w="633" w:type="pct"/>
          </w:tcPr>
          <w:p w14:paraId="41F12E6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28.81</w:t>
            </w:r>
          </w:p>
        </w:tc>
        <w:tc>
          <w:tcPr>
            <w:tcW w:w="427" w:type="pct"/>
          </w:tcPr>
          <w:p w14:paraId="5C8D11C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0.36</w:t>
            </w:r>
          </w:p>
        </w:tc>
        <w:tc>
          <w:tcPr>
            <w:tcW w:w="578" w:type="pct"/>
          </w:tcPr>
          <w:p w14:paraId="2AF1127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4.66</w:t>
            </w:r>
          </w:p>
        </w:tc>
      </w:tr>
      <w:tr w:rsidR="003C05D1" w:rsidRPr="00D42EA8" w14:paraId="235EE631" w14:textId="77777777" w:rsidTr="003C05D1">
        <w:trPr>
          <w:trHeight w:val="79"/>
        </w:trPr>
        <w:tc>
          <w:tcPr>
            <w:tcW w:w="1258" w:type="pct"/>
          </w:tcPr>
          <w:p w14:paraId="3C17F553"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Number of primary branches </w:t>
            </w:r>
          </w:p>
        </w:tc>
        <w:tc>
          <w:tcPr>
            <w:tcW w:w="427" w:type="pct"/>
          </w:tcPr>
          <w:p w14:paraId="7E2B394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3.63</w:t>
            </w:r>
          </w:p>
        </w:tc>
        <w:tc>
          <w:tcPr>
            <w:tcW w:w="399" w:type="pct"/>
          </w:tcPr>
          <w:p w14:paraId="5B42627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2.83</w:t>
            </w:r>
          </w:p>
        </w:tc>
        <w:tc>
          <w:tcPr>
            <w:tcW w:w="423" w:type="pct"/>
          </w:tcPr>
          <w:p w14:paraId="1CC8564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5.03</w:t>
            </w:r>
          </w:p>
        </w:tc>
        <w:tc>
          <w:tcPr>
            <w:tcW w:w="462" w:type="pct"/>
          </w:tcPr>
          <w:p w14:paraId="4CA1F27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18.07</w:t>
            </w:r>
          </w:p>
        </w:tc>
        <w:tc>
          <w:tcPr>
            <w:tcW w:w="394" w:type="pct"/>
          </w:tcPr>
          <w:p w14:paraId="7BDF02C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19.47</w:t>
            </w:r>
          </w:p>
        </w:tc>
        <w:tc>
          <w:tcPr>
            <w:tcW w:w="633" w:type="pct"/>
          </w:tcPr>
          <w:p w14:paraId="3579DCA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86.13</w:t>
            </w:r>
          </w:p>
        </w:tc>
        <w:tc>
          <w:tcPr>
            <w:tcW w:w="427" w:type="pct"/>
          </w:tcPr>
          <w:p w14:paraId="1F12455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1.25</w:t>
            </w:r>
          </w:p>
        </w:tc>
        <w:tc>
          <w:tcPr>
            <w:tcW w:w="578" w:type="pct"/>
          </w:tcPr>
          <w:p w14:paraId="1AFAD23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34.54</w:t>
            </w:r>
          </w:p>
        </w:tc>
      </w:tr>
      <w:tr w:rsidR="003C05D1" w:rsidRPr="00D42EA8" w14:paraId="4EE8C77D" w14:textId="77777777" w:rsidTr="003C05D1">
        <w:trPr>
          <w:trHeight w:val="79"/>
        </w:trPr>
        <w:tc>
          <w:tcPr>
            <w:tcW w:w="1258" w:type="pct"/>
          </w:tcPr>
          <w:p w14:paraId="0AB19C5A"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Internodal length (cm) </w:t>
            </w:r>
          </w:p>
        </w:tc>
        <w:tc>
          <w:tcPr>
            <w:tcW w:w="427" w:type="pct"/>
          </w:tcPr>
          <w:p w14:paraId="5AC7E52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8.28</w:t>
            </w:r>
          </w:p>
        </w:tc>
        <w:tc>
          <w:tcPr>
            <w:tcW w:w="399" w:type="pct"/>
          </w:tcPr>
          <w:p w14:paraId="41AF462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7.32</w:t>
            </w:r>
          </w:p>
        </w:tc>
        <w:tc>
          <w:tcPr>
            <w:tcW w:w="423" w:type="pct"/>
          </w:tcPr>
          <w:p w14:paraId="7C228A4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9.50</w:t>
            </w:r>
          </w:p>
        </w:tc>
        <w:tc>
          <w:tcPr>
            <w:tcW w:w="462" w:type="pct"/>
          </w:tcPr>
          <w:p w14:paraId="542080C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4.47</w:t>
            </w:r>
          </w:p>
        </w:tc>
        <w:tc>
          <w:tcPr>
            <w:tcW w:w="394" w:type="pct"/>
          </w:tcPr>
          <w:p w14:paraId="7DF9B6E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9.31</w:t>
            </w:r>
          </w:p>
        </w:tc>
        <w:tc>
          <w:tcPr>
            <w:tcW w:w="633" w:type="pct"/>
          </w:tcPr>
          <w:p w14:paraId="6FEA768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23.09</w:t>
            </w:r>
          </w:p>
        </w:tc>
        <w:tc>
          <w:tcPr>
            <w:tcW w:w="427" w:type="pct"/>
          </w:tcPr>
          <w:p w14:paraId="10D15B3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0.37</w:t>
            </w:r>
          </w:p>
        </w:tc>
        <w:tc>
          <w:tcPr>
            <w:tcW w:w="578" w:type="pct"/>
          </w:tcPr>
          <w:p w14:paraId="4AA59F9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4.43</w:t>
            </w:r>
          </w:p>
        </w:tc>
      </w:tr>
      <w:tr w:rsidR="003C05D1" w:rsidRPr="00D42EA8" w14:paraId="2115B14C" w14:textId="77777777" w:rsidTr="003C05D1">
        <w:trPr>
          <w:trHeight w:val="79"/>
        </w:trPr>
        <w:tc>
          <w:tcPr>
            <w:tcW w:w="1258" w:type="pct"/>
          </w:tcPr>
          <w:p w14:paraId="5339D981"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Petiole length (cm) </w:t>
            </w:r>
          </w:p>
        </w:tc>
        <w:tc>
          <w:tcPr>
            <w:tcW w:w="427" w:type="pct"/>
          </w:tcPr>
          <w:p w14:paraId="6D5A148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8.14</w:t>
            </w:r>
          </w:p>
        </w:tc>
        <w:tc>
          <w:tcPr>
            <w:tcW w:w="399" w:type="pct"/>
          </w:tcPr>
          <w:p w14:paraId="33D3A4F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6.70</w:t>
            </w:r>
          </w:p>
        </w:tc>
        <w:tc>
          <w:tcPr>
            <w:tcW w:w="423" w:type="pct"/>
          </w:tcPr>
          <w:p w14:paraId="596C6AA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9.09</w:t>
            </w:r>
          </w:p>
        </w:tc>
        <w:tc>
          <w:tcPr>
            <w:tcW w:w="462" w:type="pct"/>
          </w:tcPr>
          <w:p w14:paraId="2F454B9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6.06</w:t>
            </w:r>
          </w:p>
        </w:tc>
        <w:tc>
          <w:tcPr>
            <w:tcW w:w="394" w:type="pct"/>
          </w:tcPr>
          <w:p w14:paraId="1072749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9.74</w:t>
            </w:r>
          </w:p>
        </w:tc>
        <w:tc>
          <w:tcPr>
            <w:tcW w:w="633" w:type="pct"/>
          </w:tcPr>
          <w:p w14:paraId="11EEB0C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38.62</w:t>
            </w:r>
          </w:p>
        </w:tc>
        <w:tc>
          <w:tcPr>
            <w:tcW w:w="427" w:type="pct"/>
          </w:tcPr>
          <w:p w14:paraId="0D015EF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0.63</w:t>
            </w:r>
          </w:p>
        </w:tc>
        <w:tc>
          <w:tcPr>
            <w:tcW w:w="578" w:type="pct"/>
          </w:tcPr>
          <w:p w14:paraId="08A445C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7.75</w:t>
            </w:r>
          </w:p>
        </w:tc>
      </w:tr>
      <w:tr w:rsidR="003C05D1" w:rsidRPr="00D42EA8" w14:paraId="6B29CEC6" w14:textId="77777777" w:rsidTr="003C05D1">
        <w:trPr>
          <w:trHeight w:val="79"/>
        </w:trPr>
        <w:tc>
          <w:tcPr>
            <w:tcW w:w="1258" w:type="pct"/>
          </w:tcPr>
          <w:p w14:paraId="583F6775"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Days to first fruit harvest </w:t>
            </w:r>
          </w:p>
        </w:tc>
        <w:tc>
          <w:tcPr>
            <w:tcW w:w="427" w:type="pct"/>
          </w:tcPr>
          <w:p w14:paraId="1370CBD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54.25</w:t>
            </w:r>
          </w:p>
        </w:tc>
        <w:tc>
          <w:tcPr>
            <w:tcW w:w="399" w:type="pct"/>
          </w:tcPr>
          <w:p w14:paraId="6948FD3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48.17</w:t>
            </w:r>
          </w:p>
        </w:tc>
        <w:tc>
          <w:tcPr>
            <w:tcW w:w="423" w:type="pct"/>
          </w:tcPr>
          <w:p w14:paraId="3027792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60.59</w:t>
            </w:r>
          </w:p>
        </w:tc>
        <w:tc>
          <w:tcPr>
            <w:tcW w:w="462" w:type="pct"/>
          </w:tcPr>
          <w:p w14:paraId="755FBA4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6.49</w:t>
            </w:r>
          </w:p>
        </w:tc>
        <w:tc>
          <w:tcPr>
            <w:tcW w:w="394" w:type="pct"/>
          </w:tcPr>
          <w:p w14:paraId="7479882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8.75</w:t>
            </w:r>
          </w:p>
        </w:tc>
        <w:tc>
          <w:tcPr>
            <w:tcW w:w="633" w:type="pct"/>
          </w:tcPr>
          <w:p w14:paraId="7569756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55.04</w:t>
            </w:r>
          </w:p>
        </w:tc>
        <w:tc>
          <w:tcPr>
            <w:tcW w:w="427" w:type="pct"/>
          </w:tcPr>
          <w:p w14:paraId="69CA72B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5.38</w:t>
            </w:r>
          </w:p>
        </w:tc>
        <w:tc>
          <w:tcPr>
            <w:tcW w:w="578" w:type="pct"/>
          </w:tcPr>
          <w:p w14:paraId="169EF50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9.92</w:t>
            </w:r>
          </w:p>
        </w:tc>
      </w:tr>
      <w:tr w:rsidR="003C05D1" w:rsidRPr="00D42EA8" w14:paraId="5F8FFC06" w14:textId="77777777" w:rsidTr="003C05D1">
        <w:trPr>
          <w:trHeight w:val="79"/>
        </w:trPr>
        <w:tc>
          <w:tcPr>
            <w:tcW w:w="1258" w:type="pct"/>
          </w:tcPr>
          <w:p w14:paraId="3DEE7099"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Fruit length (cm) </w:t>
            </w:r>
          </w:p>
        </w:tc>
        <w:tc>
          <w:tcPr>
            <w:tcW w:w="427" w:type="pct"/>
          </w:tcPr>
          <w:p w14:paraId="7F62825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21.96</w:t>
            </w:r>
          </w:p>
        </w:tc>
        <w:tc>
          <w:tcPr>
            <w:tcW w:w="399" w:type="pct"/>
          </w:tcPr>
          <w:p w14:paraId="012FE90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18.17</w:t>
            </w:r>
          </w:p>
        </w:tc>
        <w:tc>
          <w:tcPr>
            <w:tcW w:w="423" w:type="pct"/>
          </w:tcPr>
          <w:p w14:paraId="260B70B6"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28.65</w:t>
            </w:r>
          </w:p>
        </w:tc>
        <w:tc>
          <w:tcPr>
            <w:tcW w:w="462" w:type="pct"/>
          </w:tcPr>
          <w:p w14:paraId="1FEFAE5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10.94</w:t>
            </w:r>
          </w:p>
        </w:tc>
        <w:tc>
          <w:tcPr>
            <w:tcW w:w="394" w:type="pct"/>
          </w:tcPr>
          <w:p w14:paraId="48FF213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12.50</w:t>
            </w:r>
          </w:p>
        </w:tc>
        <w:tc>
          <w:tcPr>
            <w:tcW w:w="633" w:type="pct"/>
          </w:tcPr>
          <w:p w14:paraId="7EAB387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76.64</w:t>
            </w:r>
          </w:p>
        </w:tc>
        <w:tc>
          <w:tcPr>
            <w:tcW w:w="427" w:type="pct"/>
          </w:tcPr>
          <w:p w14:paraId="09A2868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4.33</w:t>
            </w:r>
          </w:p>
        </w:tc>
        <w:tc>
          <w:tcPr>
            <w:tcW w:w="578" w:type="pct"/>
          </w:tcPr>
          <w:p w14:paraId="3B0F933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19.73</w:t>
            </w:r>
          </w:p>
        </w:tc>
      </w:tr>
      <w:tr w:rsidR="003C05D1" w:rsidRPr="00D42EA8" w14:paraId="0EBF5DFA" w14:textId="77777777" w:rsidTr="003C05D1">
        <w:trPr>
          <w:trHeight w:val="79"/>
        </w:trPr>
        <w:tc>
          <w:tcPr>
            <w:tcW w:w="1258" w:type="pct"/>
          </w:tcPr>
          <w:p w14:paraId="31C457DC"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Fruit width (cm)</w:t>
            </w:r>
          </w:p>
        </w:tc>
        <w:tc>
          <w:tcPr>
            <w:tcW w:w="427" w:type="pct"/>
          </w:tcPr>
          <w:p w14:paraId="546B590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3.99</w:t>
            </w:r>
          </w:p>
        </w:tc>
        <w:tc>
          <w:tcPr>
            <w:tcW w:w="399" w:type="pct"/>
          </w:tcPr>
          <w:p w14:paraId="35444886"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3.32</w:t>
            </w:r>
          </w:p>
        </w:tc>
        <w:tc>
          <w:tcPr>
            <w:tcW w:w="423" w:type="pct"/>
          </w:tcPr>
          <w:p w14:paraId="179F1FB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4.37</w:t>
            </w:r>
          </w:p>
        </w:tc>
        <w:tc>
          <w:tcPr>
            <w:tcW w:w="462" w:type="pct"/>
          </w:tcPr>
          <w:p w14:paraId="4E914E1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7.15</w:t>
            </w:r>
          </w:p>
        </w:tc>
        <w:tc>
          <w:tcPr>
            <w:tcW w:w="394" w:type="pct"/>
          </w:tcPr>
          <w:p w14:paraId="376D4CD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9.22</w:t>
            </w:r>
          </w:p>
        </w:tc>
        <w:tc>
          <w:tcPr>
            <w:tcW w:w="633" w:type="pct"/>
          </w:tcPr>
          <w:p w14:paraId="772A1D2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60.21</w:t>
            </w:r>
          </w:p>
        </w:tc>
        <w:tc>
          <w:tcPr>
            <w:tcW w:w="427" w:type="pct"/>
          </w:tcPr>
          <w:p w14:paraId="25ACAEA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0.46</w:t>
            </w:r>
          </w:p>
        </w:tc>
        <w:tc>
          <w:tcPr>
            <w:tcW w:w="578" w:type="pct"/>
          </w:tcPr>
          <w:p w14:paraId="6CB59FC6"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11.44</w:t>
            </w:r>
          </w:p>
        </w:tc>
      </w:tr>
      <w:tr w:rsidR="003C05D1" w:rsidRPr="00D42EA8" w14:paraId="03CEAB5A" w14:textId="77777777" w:rsidTr="003C05D1">
        <w:trPr>
          <w:trHeight w:val="79"/>
        </w:trPr>
        <w:tc>
          <w:tcPr>
            <w:tcW w:w="1258" w:type="pct"/>
          </w:tcPr>
          <w:p w14:paraId="5E84FACA"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Average fruit weight (g) </w:t>
            </w:r>
          </w:p>
        </w:tc>
        <w:tc>
          <w:tcPr>
            <w:tcW w:w="427" w:type="pct"/>
          </w:tcPr>
          <w:p w14:paraId="2E95EF5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132.58</w:t>
            </w:r>
          </w:p>
        </w:tc>
        <w:tc>
          <w:tcPr>
            <w:tcW w:w="399" w:type="pct"/>
          </w:tcPr>
          <w:p w14:paraId="490C0C9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121.00</w:t>
            </w:r>
          </w:p>
        </w:tc>
        <w:tc>
          <w:tcPr>
            <w:tcW w:w="423" w:type="pct"/>
          </w:tcPr>
          <w:p w14:paraId="6E4CB05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142.00</w:t>
            </w:r>
          </w:p>
        </w:tc>
        <w:tc>
          <w:tcPr>
            <w:tcW w:w="462" w:type="pct"/>
          </w:tcPr>
          <w:p w14:paraId="0F16A4A6"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2.94</w:t>
            </w:r>
          </w:p>
        </w:tc>
        <w:tc>
          <w:tcPr>
            <w:tcW w:w="394" w:type="pct"/>
          </w:tcPr>
          <w:p w14:paraId="72B7251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5.93</w:t>
            </w:r>
          </w:p>
        </w:tc>
        <w:tc>
          <w:tcPr>
            <w:tcW w:w="633" w:type="pct"/>
          </w:tcPr>
          <w:p w14:paraId="771679F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24.51</w:t>
            </w:r>
          </w:p>
        </w:tc>
        <w:tc>
          <w:tcPr>
            <w:tcW w:w="427" w:type="pct"/>
          </w:tcPr>
          <w:p w14:paraId="34528CF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3.97</w:t>
            </w:r>
          </w:p>
        </w:tc>
        <w:tc>
          <w:tcPr>
            <w:tcW w:w="578" w:type="pct"/>
          </w:tcPr>
          <w:p w14:paraId="5DF7BB06"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3.00</w:t>
            </w:r>
          </w:p>
        </w:tc>
      </w:tr>
      <w:tr w:rsidR="003C05D1" w:rsidRPr="00D42EA8" w14:paraId="2205387B" w14:textId="77777777" w:rsidTr="003C05D1">
        <w:trPr>
          <w:trHeight w:val="79"/>
        </w:trPr>
        <w:tc>
          <w:tcPr>
            <w:tcW w:w="1258" w:type="pct"/>
          </w:tcPr>
          <w:p w14:paraId="2A904AD4"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Number of </w:t>
            </w:r>
            <w:proofErr w:type="gramStart"/>
            <w:r w:rsidRPr="00D42EA8">
              <w:rPr>
                <w:rFonts w:ascii="Times New Roman" w:hAnsi="Times New Roman" w:cs="Times New Roman"/>
                <w:sz w:val="20"/>
                <w:szCs w:val="24"/>
                <w:lang w:val="en-IN"/>
              </w:rPr>
              <w:t>fruit</w:t>
            </w:r>
            <w:proofErr w:type="gramEnd"/>
            <w:r w:rsidRPr="00D42EA8">
              <w:rPr>
                <w:rFonts w:ascii="Times New Roman" w:hAnsi="Times New Roman" w:cs="Times New Roman"/>
                <w:sz w:val="20"/>
                <w:szCs w:val="24"/>
                <w:lang w:val="en-IN"/>
              </w:rPr>
              <w:t xml:space="preserve"> per plant </w:t>
            </w:r>
          </w:p>
        </w:tc>
        <w:tc>
          <w:tcPr>
            <w:tcW w:w="427" w:type="pct"/>
          </w:tcPr>
          <w:p w14:paraId="7C93642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12.08</w:t>
            </w:r>
          </w:p>
        </w:tc>
        <w:tc>
          <w:tcPr>
            <w:tcW w:w="399" w:type="pct"/>
          </w:tcPr>
          <w:p w14:paraId="3D7634C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9.53</w:t>
            </w:r>
          </w:p>
        </w:tc>
        <w:tc>
          <w:tcPr>
            <w:tcW w:w="423" w:type="pct"/>
          </w:tcPr>
          <w:p w14:paraId="7AD2FBC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14.95</w:t>
            </w:r>
          </w:p>
        </w:tc>
        <w:tc>
          <w:tcPr>
            <w:tcW w:w="462" w:type="pct"/>
          </w:tcPr>
          <w:p w14:paraId="0B11BA1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11.60</w:t>
            </w:r>
          </w:p>
        </w:tc>
        <w:tc>
          <w:tcPr>
            <w:tcW w:w="394" w:type="pct"/>
          </w:tcPr>
          <w:p w14:paraId="421CD23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13.15</w:t>
            </w:r>
          </w:p>
        </w:tc>
        <w:tc>
          <w:tcPr>
            <w:tcW w:w="633" w:type="pct"/>
          </w:tcPr>
          <w:p w14:paraId="66B90A8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77.73</w:t>
            </w:r>
          </w:p>
        </w:tc>
        <w:tc>
          <w:tcPr>
            <w:tcW w:w="427" w:type="pct"/>
          </w:tcPr>
          <w:p w14:paraId="63D5BDA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2.54</w:t>
            </w:r>
          </w:p>
        </w:tc>
        <w:tc>
          <w:tcPr>
            <w:tcW w:w="578" w:type="pct"/>
          </w:tcPr>
          <w:p w14:paraId="19D8822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21.06</w:t>
            </w:r>
          </w:p>
        </w:tc>
      </w:tr>
      <w:tr w:rsidR="003C05D1" w:rsidRPr="00D42EA8" w14:paraId="27F3A1AE" w14:textId="77777777" w:rsidTr="003C05D1">
        <w:trPr>
          <w:trHeight w:val="79"/>
        </w:trPr>
        <w:tc>
          <w:tcPr>
            <w:tcW w:w="1258" w:type="pct"/>
          </w:tcPr>
          <w:p w14:paraId="3D549043"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Vine length (m) </w:t>
            </w:r>
          </w:p>
        </w:tc>
        <w:tc>
          <w:tcPr>
            <w:tcW w:w="427" w:type="pct"/>
          </w:tcPr>
          <w:p w14:paraId="702F426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4.37</w:t>
            </w:r>
          </w:p>
        </w:tc>
        <w:tc>
          <w:tcPr>
            <w:tcW w:w="399" w:type="pct"/>
          </w:tcPr>
          <w:p w14:paraId="6013C1C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2.91</w:t>
            </w:r>
          </w:p>
        </w:tc>
        <w:tc>
          <w:tcPr>
            <w:tcW w:w="423" w:type="pct"/>
          </w:tcPr>
          <w:p w14:paraId="70FF123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6.16</w:t>
            </w:r>
          </w:p>
        </w:tc>
        <w:tc>
          <w:tcPr>
            <w:tcW w:w="462" w:type="pct"/>
          </w:tcPr>
          <w:p w14:paraId="046AB70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18.99</w:t>
            </w:r>
          </w:p>
        </w:tc>
        <w:tc>
          <w:tcPr>
            <w:tcW w:w="394" w:type="pct"/>
          </w:tcPr>
          <w:p w14:paraId="0CFC428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20.71</w:t>
            </w:r>
          </w:p>
        </w:tc>
        <w:tc>
          <w:tcPr>
            <w:tcW w:w="633" w:type="pct"/>
          </w:tcPr>
          <w:p w14:paraId="4490738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84.09</w:t>
            </w:r>
          </w:p>
        </w:tc>
        <w:tc>
          <w:tcPr>
            <w:tcW w:w="427" w:type="pct"/>
          </w:tcPr>
          <w:p w14:paraId="74ADF1D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1.57</w:t>
            </w:r>
          </w:p>
        </w:tc>
        <w:tc>
          <w:tcPr>
            <w:tcW w:w="578" w:type="pct"/>
          </w:tcPr>
          <w:p w14:paraId="50249EF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35.88</w:t>
            </w:r>
          </w:p>
        </w:tc>
      </w:tr>
      <w:tr w:rsidR="003C05D1" w:rsidRPr="00D42EA8" w14:paraId="792A476F" w14:textId="77777777" w:rsidTr="003C05D1">
        <w:trPr>
          <w:trHeight w:val="79"/>
        </w:trPr>
        <w:tc>
          <w:tcPr>
            <w:tcW w:w="1258" w:type="pct"/>
          </w:tcPr>
          <w:p w14:paraId="488E6747"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T.S.S</w:t>
            </w:r>
            <w:r>
              <w:rPr>
                <w:rFonts w:ascii="Times New Roman" w:hAnsi="Times New Roman" w:cs="Times New Roman"/>
                <w:sz w:val="20"/>
                <w:szCs w:val="24"/>
                <w:lang w:val="en-IN"/>
              </w:rPr>
              <w:t xml:space="preserve"> (</w:t>
            </w:r>
            <w:r w:rsidRPr="00D42EA8">
              <w:rPr>
                <w:rFonts w:ascii="Times New Roman" w:hAnsi="Times New Roman" w:cs="Times New Roman"/>
                <w:sz w:val="20"/>
                <w:szCs w:val="24"/>
                <w:vertAlign w:val="superscript"/>
                <w:lang w:val="en-IN"/>
              </w:rPr>
              <w:t>0</w:t>
            </w:r>
            <w:r w:rsidRPr="00D42EA8">
              <w:rPr>
                <w:rFonts w:ascii="Times New Roman" w:hAnsi="Times New Roman" w:cs="Times New Roman"/>
                <w:sz w:val="20"/>
                <w:szCs w:val="24"/>
                <w:lang w:val="en-IN"/>
              </w:rPr>
              <w:t>B</w:t>
            </w:r>
            <w:r>
              <w:rPr>
                <w:rFonts w:ascii="Times New Roman" w:hAnsi="Times New Roman" w:cs="Times New Roman"/>
                <w:sz w:val="20"/>
                <w:szCs w:val="24"/>
                <w:lang w:val="en-IN"/>
              </w:rPr>
              <w:t>)</w:t>
            </w:r>
          </w:p>
        </w:tc>
        <w:tc>
          <w:tcPr>
            <w:tcW w:w="427" w:type="pct"/>
          </w:tcPr>
          <w:p w14:paraId="1A1CEB2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4.84</w:t>
            </w:r>
          </w:p>
        </w:tc>
        <w:tc>
          <w:tcPr>
            <w:tcW w:w="399" w:type="pct"/>
          </w:tcPr>
          <w:p w14:paraId="62771C2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3.87</w:t>
            </w:r>
          </w:p>
        </w:tc>
        <w:tc>
          <w:tcPr>
            <w:tcW w:w="423" w:type="pct"/>
          </w:tcPr>
          <w:p w14:paraId="0E7EDE5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6.13</w:t>
            </w:r>
          </w:p>
        </w:tc>
        <w:tc>
          <w:tcPr>
            <w:tcW w:w="462" w:type="pct"/>
          </w:tcPr>
          <w:p w14:paraId="3424FDA9"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12.42</w:t>
            </w:r>
          </w:p>
        </w:tc>
        <w:tc>
          <w:tcPr>
            <w:tcW w:w="394" w:type="pct"/>
          </w:tcPr>
          <w:p w14:paraId="0A24038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12.93</w:t>
            </w:r>
          </w:p>
        </w:tc>
        <w:tc>
          <w:tcPr>
            <w:tcW w:w="633" w:type="pct"/>
          </w:tcPr>
          <w:p w14:paraId="22A72DC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92.26</w:t>
            </w:r>
          </w:p>
        </w:tc>
        <w:tc>
          <w:tcPr>
            <w:tcW w:w="427" w:type="pct"/>
          </w:tcPr>
          <w:p w14:paraId="0294E552"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1.19</w:t>
            </w:r>
          </w:p>
        </w:tc>
        <w:tc>
          <w:tcPr>
            <w:tcW w:w="578" w:type="pct"/>
          </w:tcPr>
          <w:p w14:paraId="252E381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24.58</w:t>
            </w:r>
          </w:p>
        </w:tc>
      </w:tr>
      <w:tr w:rsidR="003C05D1" w:rsidRPr="00D42EA8" w14:paraId="01FB7471" w14:textId="77777777" w:rsidTr="003C05D1">
        <w:trPr>
          <w:trHeight w:val="79"/>
        </w:trPr>
        <w:tc>
          <w:tcPr>
            <w:tcW w:w="1258" w:type="pct"/>
          </w:tcPr>
          <w:p w14:paraId="66035AF1"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Dry matter </w:t>
            </w:r>
            <w:r>
              <w:rPr>
                <w:rFonts w:ascii="Times New Roman" w:hAnsi="Times New Roman" w:cs="Times New Roman"/>
                <w:sz w:val="20"/>
                <w:szCs w:val="24"/>
                <w:lang w:val="en-IN"/>
              </w:rPr>
              <w:t>(</w:t>
            </w:r>
            <w:r w:rsidRPr="00D42EA8">
              <w:rPr>
                <w:rFonts w:ascii="Times New Roman" w:hAnsi="Times New Roman" w:cs="Times New Roman"/>
                <w:sz w:val="20"/>
                <w:szCs w:val="24"/>
                <w:lang w:val="en-IN"/>
              </w:rPr>
              <w:t>%</w:t>
            </w:r>
            <w:r>
              <w:rPr>
                <w:rFonts w:ascii="Times New Roman" w:hAnsi="Times New Roman" w:cs="Times New Roman"/>
                <w:sz w:val="20"/>
                <w:szCs w:val="24"/>
                <w:lang w:val="en-IN"/>
              </w:rPr>
              <w:t>)</w:t>
            </w:r>
            <w:r w:rsidRPr="00D42EA8">
              <w:rPr>
                <w:rFonts w:ascii="Times New Roman" w:hAnsi="Times New Roman" w:cs="Times New Roman"/>
                <w:sz w:val="20"/>
                <w:szCs w:val="24"/>
                <w:lang w:val="en-IN"/>
              </w:rPr>
              <w:t xml:space="preserve"> </w:t>
            </w:r>
          </w:p>
        </w:tc>
        <w:tc>
          <w:tcPr>
            <w:tcW w:w="427" w:type="pct"/>
          </w:tcPr>
          <w:p w14:paraId="29C4C5D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5.80</w:t>
            </w:r>
          </w:p>
        </w:tc>
        <w:tc>
          <w:tcPr>
            <w:tcW w:w="399" w:type="pct"/>
          </w:tcPr>
          <w:p w14:paraId="7CE781D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3.60</w:t>
            </w:r>
          </w:p>
        </w:tc>
        <w:tc>
          <w:tcPr>
            <w:tcW w:w="423" w:type="pct"/>
          </w:tcPr>
          <w:p w14:paraId="586D8ED7" w14:textId="77777777" w:rsidR="001338D5" w:rsidRPr="00D42EA8" w:rsidRDefault="001338D5" w:rsidP="005101A1">
            <w:pPr>
              <w:spacing w:line="312" w:lineRule="auto"/>
              <w:jc w:val="center"/>
              <w:rPr>
                <w:rFonts w:ascii="Times New Roman" w:hAnsi="Times New Roman" w:cs="Times New Roman"/>
                <w:sz w:val="20"/>
                <w:szCs w:val="24"/>
                <w:lang w:val="en-IN"/>
              </w:rPr>
            </w:pPr>
            <w:r>
              <w:rPr>
                <w:rFonts w:ascii="Times New Roman" w:hAnsi="Times New Roman" w:cs="Times New Roman"/>
                <w:sz w:val="20"/>
                <w:szCs w:val="24"/>
                <w:lang w:val="en-IN"/>
              </w:rPr>
              <w:t>9.01</w:t>
            </w:r>
          </w:p>
        </w:tc>
        <w:tc>
          <w:tcPr>
            <w:tcW w:w="462" w:type="pct"/>
          </w:tcPr>
          <w:p w14:paraId="7E0DB7A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26.30</w:t>
            </w:r>
          </w:p>
        </w:tc>
        <w:tc>
          <w:tcPr>
            <w:tcW w:w="394" w:type="pct"/>
          </w:tcPr>
          <w:p w14:paraId="6F4C656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26.71</w:t>
            </w:r>
          </w:p>
        </w:tc>
        <w:tc>
          <w:tcPr>
            <w:tcW w:w="633" w:type="pct"/>
          </w:tcPr>
          <w:p w14:paraId="60DBF0E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96.96</w:t>
            </w:r>
          </w:p>
        </w:tc>
        <w:tc>
          <w:tcPr>
            <w:tcW w:w="427" w:type="pct"/>
          </w:tcPr>
          <w:p w14:paraId="70B65DF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3.09</w:t>
            </w:r>
          </w:p>
        </w:tc>
        <w:tc>
          <w:tcPr>
            <w:tcW w:w="578" w:type="pct"/>
          </w:tcPr>
          <w:p w14:paraId="1F4054A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53.34</w:t>
            </w:r>
          </w:p>
        </w:tc>
      </w:tr>
      <w:tr w:rsidR="003C05D1" w:rsidRPr="00D42EA8" w14:paraId="40EC119D" w14:textId="77777777" w:rsidTr="003C05D1">
        <w:trPr>
          <w:trHeight w:val="148"/>
        </w:trPr>
        <w:tc>
          <w:tcPr>
            <w:tcW w:w="1258" w:type="pct"/>
          </w:tcPr>
          <w:p w14:paraId="26AEBF43"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Moisture content</w:t>
            </w:r>
            <w:r>
              <w:rPr>
                <w:rFonts w:ascii="Times New Roman" w:hAnsi="Times New Roman" w:cs="Times New Roman"/>
                <w:sz w:val="20"/>
                <w:szCs w:val="24"/>
                <w:lang w:val="en-IN"/>
              </w:rPr>
              <w:t xml:space="preserve"> (</w:t>
            </w:r>
            <w:r w:rsidRPr="00D42EA8">
              <w:rPr>
                <w:rFonts w:ascii="Times New Roman" w:hAnsi="Times New Roman" w:cs="Times New Roman"/>
                <w:sz w:val="20"/>
                <w:szCs w:val="24"/>
                <w:lang w:val="en-IN"/>
              </w:rPr>
              <w:t>%</w:t>
            </w:r>
            <w:r>
              <w:rPr>
                <w:rFonts w:ascii="Times New Roman" w:hAnsi="Times New Roman" w:cs="Times New Roman"/>
                <w:sz w:val="20"/>
                <w:szCs w:val="24"/>
                <w:lang w:val="en-IN"/>
              </w:rPr>
              <w:t>)</w:t>
            </w:r>
            <w:r w:rsidRPr="00D42EA8">
              <w:rPr>
                <w:rFonts w:ascii="Times New Roman" w:hAnsi="Times New Roman" w:cs="Times New Roman"/>
                <w:sz w:val="20"/>
                <w:szCs w:val="24"/>
                <w:lang w:val="en-IN"/>
              </w:rPr>
              <w:t xml:space="preserve"> </w:t>
            </w:r>
          </w:p>
        </w:tc>
        <w:tc>
          <w:tcPr>
            <w:tcW w:w="427" w:type="pct"/>
          </w:tcPr>
          <w:p w14:paraId="18EC274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94.20</w:t>
            </w:r>
          </w:p>
        </w:tc>
        <w:tc>
          <w:tcPr>
            <w:tcW w:w="399" w:type="pct"/>
          </w:tcPr>
          <w:p w14:paraId="36AB0F7B"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90.99</w:t>
            </w:r>
          </w:p>
        </w:tc>
        <w:tc>
          <w:tcPr>
            <w:tcW w:w="423" w:type="pct"/>
          </w:tcPr>
          <w:p w14:paraId="5B7DA8D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96.40</w:t>
            </w:r>
          </w:p>
        </w:tc>
        <w:tc>
          <w:tcPr>
            <w:tcW w:w="462" w:type="pct"/>
          </w:tcPr>
          <w:p w14:paraId="7EC4158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1.62</w:t>
            </w:r>
          </w:p>
        </w:tc>
        <w:tc>
          <w:tcPr>
            <w:tcW w:w="394" w:type="pct"/>
          </w:tcPr>
          <w:p w14:paraId="437BB84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1.64</w:t>
            </w:r>
          </w:p>
        </w:tc>
        <w:tc>
          <w:tcPr>
            <w:tcW w:w="633" w:type="pct"/>
          </w:tcPr>
          <w:p w14:paraId="7C5A92B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96.65</w:t>
            </w:r>
          </w:p>
        </w:tc>
        <w:tc>
          <w:tcPr>
            <w:tcW w:w="427" w:type="pct"/>
          </w:tcPr>
          <w:p w14:paraId="39BBD63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3.08</w:t>
            </w:r>
          </w:p>
        </w:tc>
        <w:tc>
          <w:tcPr>
            <w:tcW w:w="578" w:type="pct"/>
          </w:tcPr>
          <w:p w14:paraId="7615E48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3.27</w:t>
            </w:r>
          </w:p>
        </w:tc>
      </w:tr>
      <w:tr w:rsidR="003C05D1" w:rsidRPr="00D42EA8" w14:paraId="0B830BD7" w14:textId="77777777" w:rsidTr="003C05D1">
        <w:trPr>
          <w:trHeight w:val="148"/>
        </w:trPr>
        <w:tc>
          <w:tcPr>
            <w:tcW w:w="1258" w:type="pct"/>
          </w:tcPr>
          <w:p w14:paraId="3B6C8B7A"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Ascorbic acid (mg/100g) </w:t>
            </w:r>
          </w:p>
        </w:tc>
        <w:tc>
          <w:tcPr>
            <w:tcW w:w="427" w:type="pct"/>
          </w:tcPr>
          <w:p w14:paraId="4E2FA02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3.13</w:t>
            </w:r>
          </w:p>
        </w:tc>
        <w:tc>
          <w:tcPr>
            <w:tcW w:w="399" w:type="pct"/>
          </w:tcPr>
          <w:p w14:paraId="1421154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2.50</w:t>
            </w:r>
          </w:p>
        </w:tc>
        <w:tc>
          <w:tcPr>
            <w:tcW w:w="423" w:type="pct"/>
          </w:tcPr>
          <w:p w14:paraId="5438FA7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3.93</w:t>
            </w:r>
          </w:p>
        </w:tc>
        <w:tc>
          <w:tcPr>
            <w:tcW w:w="462" w:type="pct"/>
          </w:tcPr>
          <w:p w14:paraId="28EE56C4"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12.49</w:t>
            </w:r>
          </w:p>
        </w:tc>
        <w:tc>
          <w:tcPr>
            <w:tcW w:w="394" w:type="pct"/>
          </w:tcPr>
          <w:p w14:paraId="5A83705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13.05</w:t>
            </w:r>
          </w:p>
        </w:tc>
        <w:tc>
          <w:tcPr>
            <w:tcW w:w="633" w:type="pct"/>
          </w:tcPr>
          <w:p w14:paraId="7F7ADE2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91.59</w:t>
            </w:r>
          </w:p>
        </w:tc>
        <w:tc>
          <w:tcPr>
            <w:tcW w:w="427" w:type="pct"/>
          </w:tcPr>
          <w:p w14:paraId="27AA533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0.77</w:t>
            </w:r>
          </w:p>
        </w:tc>
        <w:tc>
          <w:tcPr>
            <w:tcW w:w="578" w:type="pct"/>
          </w:tcPr>
          <w:p w14:paraId="4C4844C5"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24.62</w:t>
            </w:r>
          </w:p>
        </w:tc>
      </w:tr>
      <w:tr w:rsidR="003C05D1" w:rsidRPr="00D42EA8" w14:paraId="67559AB0" w14:textId="77777777" w:rsidTr="003C05D1">
        <w:trPr>
          <w:trHeight w:val="148"/>
        </w:trPr>
        <w:tc>
          <w:tcPr>
            <w:tcW w:w="1258" w:type="pct"/>
          </w:tcPr>
          <w:p w14:paraId="3D69FB84"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Chlorophyll content (mg/g) </w:t>
            </w:r>
          </w:p>
        </w:tc>
        <w:tc>
          <w:tcPr>
            <w:tcW w:w="427" w:type="pct"/>
          </w:tcPr>
          <w:p w14:paraId="25E2CA9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2.68</w:t>
            </w:r>
          </w:p>
        </w:tc>
        <w:tc>
          <w:tcPr>
            <w:tcW w:w="399" w:type="pct"/>
          </w:tcPr>
          <w:p w14:paraId="0882382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1.66</w:t>
            </w:r>
          </w:p>
        </w:tc>
        <w:tc>
          <w:tcPr>
            <w:tcW w:w="423" w:type="pct"/>
          </w:tcPr>
          <w:p w14:paraId="06B1065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3.62</w:t>
            </w:r>
          </w:p>
        </w:tc>
        <w:tc>
          <w:tcPr>
            <w:tcW w:w="462" w:type="pct"/>
          </w:tcPr>
          <w:p w14:paraId="504CE6B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19.89</w:t>
            </w:r>
          </w:p>
        </w:tc>
        <w:tc>
          <w:tcPr>
            <w:tcW w:w="394" w:type="pct"/>
          </w:tcPr>
          <w:p w14:paraId="313C9DC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20.42</w:t>
            </w:r>
          </w:p>
        </w:tc>
        <w:tc>
          <w:tcPr>
            <w:tcW w:w="633" w:type="pct"/>
          </w:tcPr>
          <w:p w14:paraId="7D7EA3B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94.84</w:t>
            </w:r>
          </w:p>
        </w:tc>
        <w:tc>
          <w:tcPr>
            <w:tcW w:w="427" w:type="pct"/>
          </w:tcPr>
          <w:p w14:paraId="7E5B0F3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1.07</w:t>
            </w:r>
          </w:p>
        </w:tc>
        <w:tc>
          <w:tcPr>
            <w:tcW w:w="578" w:type="pct"/>
          </w:tcPr>
          <w:p w14:paraId="0664E29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39.90</w:t>
            </w:r>
          </w:p>
        </w:tc>
      </w:tr>
      <w:tr w:rsidR="003C05D1" w:rsidRPr="00D42EA8" w14:paraId="429E0E7C" w14:textId="77777777" w:rsidTr="003C05D1">
        <w:trPr>
          <w:trHeight w:val="148"/>
        </w:trPr>
        <w:tc>
          <w:tcPr>
            <w:tcW w:w="1258" w:type="pct"/>
          </w:tcPr>
          <w:p w14:paraId="5A1C37FD"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Yield per plant (kg) </w:t>
            </w:r>
          </w:p>
        </w:tc>
        <w:tc>
          <w:tcPr>
            <w:tcW w:w="427" w:type="pct"/>
          </w:tcPr>
          <w:p w14:paraId="079CCDE3"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1.60</w:t>
            </w:r>
          </w:p>
        </w:tc>
        <w:tc>
          <w:tcPr>
            <w:tcW w:w="399" w:type="pct"/>
          </w:tcPr>
          <w:p w14:paraId="2593434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1.26</w:t>
            </w:r>
          </w:p>
        </w:tc>
        <w:tc>
          <w:tcPr>
            <w:tcW w:w="423" w:type="pct"/>
          </w:tcPr>
          <w:p w14:paraId="1D899F8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2.03</w:t>
            </w:r>
          </w:p>
        </w:tc>
        <w:tc>
          <w:tcPr>
            <w:tcW w:w="462" w:type="pct"/>
          </w:tcPr>
          <w:p w14:paraId="43BA3E4F"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12.68</w:t>
            </w:r>
          </w:p>
        </w:tc>
        <w:tc>
          <w:tcPr>
            <w:tcW w:w="394" w:type="pct"/>
          </w:tcPr>
          <w:p w14:paraId="5AF539F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14.61</w:t>
            </w:r>
          </w:p>
        </w:tc>
        <w:tc>
          <w:tcPr>
            <w:tcW w:w="633" w:type="pct"/>
          </w:tcPr>
          <w:p w14:paraId="0CBE57DC"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72.25</w:t>
            </w:r>
          </w:p>
        </w:tc>
        <w:tc>
          <w:tcPr>
            <w:tcW w:w="427" w:type="pct"/>
          </w:tcPr>
          <w:p w14:paraId="7D3D4831"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0.36</w:t>
            </w:r>
          </w:p>
        </w:tc>
        <w:tc>
          <w:tcPr>
            <w:tcW w:w="578" w:type="pct"/>
          </w:tcPr>
          <w:p w14:paraId="330785A0"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22.65</w:t>
            </w:r>
          </w:p>
        </w:tc>
      </w:tr>
      <w:tr w:rsidR="003C05D1" w:rsidRPr="00D42EA8" w14:paraId="60129B73" w14:textId="77777777" w:rsidTr="003C05D1">
        <w:trPr>
          <w:trHeight w:val="148"/>
        </w:trPr>
        <w:tc>
          <w:tcPr>
            <w:tcW w:w="1258" w:type="pct"/>
          </w:tcPr>
          <w:p w14:paraId="449E9033" w14:textId="77777777" w:rsidR="001338D5" w:rsidRPr="00D42EA8" w:rsidRDefault="001338D5" w:rsidP="005101A1">
            <w:pPr>
              <w:spacing w:line="312" w:lineRule="auto"/>
              <w:jc w:val="both"/>
              <w:rPr>
                <w:rFonts w:ascii="Times New Roman" w:hAnsi="Times New Roman" w:cs="Times New Roman"/>
                <w:sz w:val="20"/>
                <w:szCs w:val="24"/>
                <w:lang w:val="en-IN"/>
              </w:rPr>
            </w:pPr>
            <w:r w:rsidRPr="00D42EA8">
              <w:rPr>
                <w:rFonts w:ascii="Times New Roman" w:hAnsi="Times New Roman" w:cs="Times New Roman"/>
                <w:sz w:val="20"/>
                <w:szCs w:val="24"/>
                <w:lang w:val="en-IN"/>
              </w:rPr>
              <w:t xml:space="preserve">Yield (q/ha) </w:t>
            </w:r>
          </w:p>
        </w:tc>
        <w:tc>
          <w:tcPr>
            <w:tcW w:w="427" w:type="pct"/>
          </w:tcPr>
          <w:p w14:paraId="120ED69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95.84</w:t>
            </w:r>
          </w:p>
        </w:tc>
        <w:tc>
          <w:tcPr>
            <w:tcW w:w="399" w:type="pct"/>
          </w:tcPr>
          <w:p w14:paraId="5E4BEF9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73.68</w:t>
            </w:r>
          </w:p>
        </w:tc>
        <w:tc>
          <w:tcPr>
            <w:tcW w:w="423" w:type="pct"/>
          </w:tcPr>
          <w:p w14:paraId="22337AA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122.49</w:t>
            </w:r>
          </w:p>
        </w:tc>
        <w:tc>
          <w:tcPr>
            <w:tcW w:w="462" w:type="pct"/>
          </w:tcPr>
          <w:p w14:paraId="2BF529BE"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12.47</w:t>
            </w:r>
          </w:p>
        </w:tc>
        <w:tc>
          <w:tcPr>
            <w:tcW w:w="394" w:type="pct"/>
          </w:tcPr>
          <w:p w14:paraId="774F2607"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14.51</w:t>
            </w:r>
          </w:p>
        </w:tc>
        <w:tc>
          <w:tcPr>
            <w:tcW w:w="633" w:type="pct"/>
          </w:tcPr>
          <w:p w14:paraId="3272C9BD"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73.80</w:t>
            </w:r>
          </w:p>
        </w:tc>
        <w:tc>
          <w:tcPr>
            <w:tcW w:w="427" w:type="pct"/>
          </w:tcPr>
          <w:p w14:paraId="78B2206A"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21.15</w:t>
            </w:r>
          </w:p>
        </w:tc>
        <w:tc>
          <w:tcPr>
            <w:tcW w:w="578" w:type="pct"/>
          </w:tcPr>
          <w:p w14:paraId="64926AA8" w14:textId="77777777" w:rsidR="001338D5" w:rsidRPr="00D42EA8" w:rsidRDefault="001338D5" w:rsidP="005101A1">
            <w:pPr>
              <w:spacing w:line="312" w:lineRule="auto"/>
              <w:jc w:val="center"/>
              <w:rPr>
                <w:rFonts w:ascii="Times New Roman" w:hAnsi="Times New Roman" w:cs="Times New Roman"/>
                <w:sz w:val="20"/>
                <w:szCs w:val="24"/>
                <w:lang w:val="en-IN"/>
              </w:rPr>
            </w:pPr>
            <w:r w:rsidRPr="00D42EA8">
              <w:rPr>
                <w:rFonts w:ascii="Times New Roman" w:hAnsi="Times New Roman" w:cs="Times New Roman"/>
                <w:sz w:val="20"/>
                <w:szCs w:val="24"/>
                <w:lang w:val="en-IN"/>
              </w:rPr>
              <w:t>22.07</w:t>
            </w:r>
          </w:p>
        </w:tc>
      </w:tr>
    </w:tbl>
    <w:p w14:paraId="41063BD9" w14:textId="77777777" w:rsidR="00B640B8" w:rsidRDefault="00B640B8"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2732D23E" w14:textId="3B6915BB" w:rsidR="00B640B8" w:rsidRPr="009A7EEE" w:rsidRDefault="00B640B8" w:rsidP="009A7EEE">
      <w:pPr>
        <w:pStyle w:val="ListParagraph"/>
        <w:numPr>
          <w:ilvl w:val="1"/>
          <w:numId w:val="2"/>
        </w:numPr>
        <w:autoSpaceDE w:val="0"/>
        <w:autoSpaceDN w:val="0"/>
        <w:adjustRightInd w:val="0"/>
        <w:spacing w:after="0" w:line="360" w:lineRule="auto"/>
        <w:ind w:left="426" w:hanging="426"/>
        <w:jc w:val="both"/>
        <w:rPr>
          <w:rFonts w:ascii="Arial" w:eastAsia="TimesNewRomanPSMT" w:hAnsi="Arial" w:cs="Arial"/>
          <w:b/>
        </w:rPr>
      </w:pPr>
      <w:r w:rsidRPr="009A7EEE">
        <w:rPr>
          <w:rFonts w:ascii="Arial" w:eastAsia="TimesNewRomanPSMT" w:hAnsi="Arial" w:cs="Arial"/>
          <w:b/>
        </w:rPr>
        <w:t xml:space="preserve">Genotypic and Phenotypic coefficient of variation </w:t>
      </w:r>
    </w:p>
    <w:p w14:paraId="63B86944" w14:textId="254871A7" w:rsidR="002B2471" w:rsidRPr="009A7EEE" w:rsidRDefault="00D50219" w:rsidP="00E15E63">
      <w:pPr>
        <w:autoSpaceDE w:val="0"/>
        <w:autoSpaceDN w:val="0"/>
        <w:adjustRightInd w:val="0"/>
        <w:spacing w:after="0" w:line="360" w:lineRule="auto"/>
        <w:jc w:val="both"/>
        <w:rPr>
          <w:rFonts w:ascii="Arial" w:hAnsi="Arial" w:cs="Arial"/>
          <w:sz w:val="20"/>
          <w:szCs w:val="20"/>
          <w:lang w:val="en-IN"/>
        </w:rPr>
      </w:pPr>
      <w:r w:rsidRPr="009A7EEE">
        <w:rPr>
          <w:rFonts w:ascii="Arial" w:hAnsi="Arial" w:cs="Arial"/>
          <w:sz w:val="20"/>
          <w:szCs w:val="20"/>
          <w:lang w:val="en-IN"/>
        </w:rPr>
        <w:lastRenderedPageBreak/>
        <w:t xml:space="preserve">The estimates of phenotypic coefficients of variations (PCV) were higher than genotypic coefficient of variations (GCV) for all the </w:t>
      </w:r>
      <w:r w:rsidR="009A7EEE" w:rsidRPr="009A7EEE">
        <w:rPr>
          <w:rFonts w:ascii="Arial" w:hAnsi="Arial" w:cs="Arial"/>
          <w:sz w:val="20"/>
          <w:szCs w:val="20"/>
          <w:lang w:val="en-IN"/>
        </w:rPr>
        <w:t>characters.</w:t>
      </w:r>
      <w:r w:rsidRPr="009A7EEE">
        <w:rPr>
          <w:rFonts w:ascii="Arial" w:hAnsi="Arial" w:cs="Arial"/>
          <w:sz w:val="20"/>
          <w:szCs w:val="20"/>
          <w:lang w:val="en-IN"/>
        </w:rPr>
        <w:t xml:space="preserve"> The highest (&gt;20%) phenotypic as well as genotypic coefficients</w:t>
      </w:r>
      <w:r w:rsidR="00274AC1" w:rsidRPr="009A7EEE">
        <w:rPr>
          <w:rFonts w:ascii="Arial" w:hAnsi="Arial" w:cs="Arial"/>
          <w:sz w:val="20"/>
          <w:szCs w:val="20"/>
          <w:lang w:val="en-IN"/>
        </w:rPr>
        <w:t xml:space="preserve"> of variation were observed in d</w:t>
      </w:r>
      <w:r w:rsidRPr="009A7EEE">
        <w:rPr>
          <w:rFonts w:ascii="Arial" w:hAnsi="Arial" w:cs="Arial"/>
          <w:sz w:val="20"/>
          <w:szCs w:val="20"/>
          <w:lang w:val="en-IN"/>
        </w:rPr>
        <w:t xml:space="preserve">ry matter % (26.71% and 26.30%). Moderate (10-20%) estimates of PCV and GCV were estimated for days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w:t>
      </w:r>
      <w:r w:rsidR="00E567E4" w:rsidRPr="009A7EEE">
        <w:rPr>
          <w:rFonts w:ascii="Arial" w:hAnsi="Arial" w:cs="Arial"/>
          <w:sz w:val="20"/>
          <w:szCs w:val="20"/>
          <w:lang w:val="en-IN"/>
        </w:rPr>
        <w:t xml:space="preserve"> appearance (11.80% and 10.63%)</w:t>
      </w:r>
      <w:r w:rsidRPr="009A7EEE">
        <w:rPr>
          <w:rFonts w:ascii="Arial" w:hAnsi="Arial" w:cs="Arial"/>
          <w:sz w:val="20"/>
          <w:szCs w:val="20"/>
          <w:lang w:val="en-IN"/>
        </w:rPr>
        <w:t xml:space="preserve">, node number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t>
      </w:r>
      <w:r w:rsidR="00E567E4" w:rsidRPr="009A7EEE">
        <w:rPr>
          <w:rFonts w:ascii="Arial" w:hAnsi="Arial" w:cs="Arial"/>
          <w:sz w:val="20"/>
          <w:szCs w:val="20"/>
          <w:lang w:val="en-IN"/>
        </w:rPr>
        <w:t>wer anthesis (12.02% and 9.21%)</w:t>
      </w:r>
      <w:r w:rsidRPr="009A7EEE">
        <w:rPr>
          <w:rFonts w:ascii="Arial" w:hAnsi="Arial" w:cs="Arial"/>
          <w:sz w:val="20"/>
          <w:szCs w:val="20"/>
          <w:lang w:val="en-IN"/>
        </w:rPr>
        <w:t>, number of primary branches (19.47% and 18.07%) , f</w:t>
      </w:r>
      <w:r w:rsidR="00E567E4" w:rsidRPr="009A7EEE">
        <w:rPr>
          <w:rFonts w:ascii="Arial" w:hAnsi="Arial" w:cs="Arial"/>
          <w:sz w:val="20"/>
          <w:szCs w:val="20"/>
          <w:lang w:val="en-IN"/>
        </w:rPr>
        <w:t>ruit length (12.50% and 10.94%)</w:t>
      </w:r>
      <w:r w:rsidRPr="009A7EEE">
        <w:rPr>
          <w:rFonts w:ascii="Arial" w:hAnsi="Arial" w:cs="Arial"/>
          <w:sz w:val="20"/>
          <w:szCs w:val="20"/>
          <w:lang w:val="en-IN"/>
        </w:rPr>
        <w:t>, number of frui</w:t>
      </w:r>
      <w:r w:rsidR="00E567E4" w:rsidRPr="009A7EEE">
        <w:rPr>
          <w:rFonts w:ascii="Arial" w:hAnsi="Arial" w:cs="Arial"/>
          <w:sz w:val="20"/>
          <w:szCs w:val="20"/>
          <w:lang w:val="en-IN"/>
        </w:rPr>
        <w:t>t per plant (13.15% and 11.60%)</w:t>
      </w:r>
      <w:r w:rsidRPr="009A7EEE">
        <w:rPr>
          <w:rFonts w:ascii="Arial" w:hAnsi="Arial" w:cs="Arial"/>
          <w:sz w:val="20"/>
          <w:szCs w:val="20"/>
          <w:lang w:val="en-IN"/>
        </w:rPr>
        <w:t>, T.S.S. (12.93% and 12.42%), as</w:t>
      </w:r>
      <w:r w:rsidR="00E567E4" w:rsidRPr="009A7EEE">
        <w:rPr>
          <w:rFonts w:ascii="Arial" w:hAnsi="Arial" w:cs="Arial"/>
          <w:sz w:val="20"/>
          <w:szCs w:val="20"/>
          <w:lang w:val="en-IN"/>
        </w:rPr>
        <w:t>corbic acid (13.05% and 12.49%)</w:t>
      </w:r>
      <w:r w:rsidRPr="009A7EEE">
        <w:rPr>
          <w:rFonts w:ascii="Arial" w:hAnsi="Arial" w:cs="Arial"/>
          <w:sz w:val="20"/>
          <w:szCs w:val="20"/>
          <w:lang w:val="en-IN"/>
        </w:rPr>
        <w:t>, yiel</w:t>
      </w:r>
      <w:r w:rsidR="00E567E4" w:rsidRPr="009A7EEE">
        <w:rPr>
          <w:rFonts w:ascii="Arial" w:hAnsi="Arial" w:cs="Arial"/>
          <w:sz w:val="20"/>
          <w:szCs w:val="20"/>
          <w:lang w:val="en-IN"/>
        </w:rPr>
        <w:t>d per plant (14.61% and 12.68%)</w:t>
      </w:r>
      <w:r w:rsidRPr="009A7EEE">
        <w:rPr>
          <w:rFonts w:ascii="Arial" w:hAnsi="Arial" w:cs="Arial"/>
          <w:sz w:val="20"/>
          <w:szCs w:val="20"/>
          <w:lang w:val="en-IN"/>
        </w:rPr>
        <w:t>, and yie</w:t>
      </w:r>
      <w:r w:rsidR="00E567E4" w:rsidRPr="009A7EEE">
        <w:rPr>
          <w:rFonts w:ascii="Arial" w:hAnsi="Arial" w:cs="Arial"/>
          <w:sz w:val="20"/>
          <w:szCs w:val="20"/>
          <w:lang w:val="en-IN"/>
        </w:rPr>
        <w:t>ld (q/ha) (14.51 % and 12.47% )</w:t>
      </w:r>
      <w:r w:rsidRPr="009A7EEE">
        <w:rPr>
          <w:rFonts w:ascii="Arial" w:hAnsi="Arial" w:cs="Arial"/>
          <w:sz w:val="20"/>
          <w:szCs w:val="20"/>
          <w:lang w:val="en-IN"/>
        </w:rPr>
        <w:t>. The phenotypic and genotypic coefficients of variations were lower (&lt;10%) for days to first pistillate flower anthesis (9.47% and 8.27%), node number of first pistillate flower anthesis (7.86% and 4.22%), int</w:t>
      </w:r>
      <w:r w:rsidR="00E567E4" w:rsidRPr="009A7EEE">
        <w:rPr>
          <w:rFonts w:ascii="Arial" w:hAnsi="Arial" w:cs="Arial"/>
          <w:sz w:val="20"/>
          <w:szCs w:val="20"/>
          <w:lang w:val="en-IN"/>
        </w:rPr>
        <w:t>ernodal length (9.31% and 4.47)</w:t>
      </w:r>
      <w:r w:rsidRPr="009A7EEE">
        <w:rPr>
          <w:rFonts w:ascii="Arial" w:hAnsi="Arial" w:cs="Arial"/>
          <w:sz w:val="20"/>
          <w:szCs w:val="20"/>
          <w:lang w:val="en-IN"/>
        </w:rPr>
        <w:t>, p</w:t>
      </w:r>
      <w:r w:rsidR="00E567E4" w:rsidRPr="009A7EEE">
        <w:rPr>
          <w:rFonts w:ascii="Arial" w:hAnsi="Arial" w:cs="Arial"/>
          <w:sz w:val="20"/>
          <w:szCs w:val="20"/>
          <w:lang w:val="en-IN"/>
        </w:rPr>
        <w:t>etiole length (9.74% and 6.06%)</w:t>
      </w:r>
      <w:r w:rsidRPr="009A7EEE">
        <w:rPr>
          <w:rFonts w:ascii="Arial" w:hAnsi="Arial" w:cs="Arial"/>
          <w:sz w:val="20"/>
          <w:szCs w:val="20"/>
          <w:lang w:val="en-IN"/>
        </w:rPr>
        <w:t xml:space="preserve">, days to first </w:t>
      </w:r>
      <w:r w:rsidR="00E567E4" w:rsidRPr="009A7EEE">
        <w:rPr>
          <w:rFonts w:ascii="Arial" w:hAnsi="Arial" w:cs="Arial"/>
          <w:sz w:val="20"/>
          <w:szCs w:val="20"/>
          <w:lang w:val="en-IN"/>
        </w:rPr>
        <w:t>fruit harvest (8.75% and 6.49%), fruit width (9.22% and 7.15%)</w:t>
      </w:r>
      <w:r w:rsidRPr="009A7EEE">
        <w:rPr>
          <w:rFonts w:ascii="Arial" w:hAnsi="Arial" w:cs="Arial"/>
          <w:sz w:val="20"/>
          <w:szCs w:val="20"/>
          <w:lang w:val="en-IN"/>
        </w:rPr>
        <w:t>, average</w:t>
      </w:r>
      <w:r w:rsidR="00E567E4" w:rsidRPr="009A7EEE">
        <w:rPr>
          <w:rFonts w:ascii="Arial" w:hAnsi="Arial" w:cs="Arial"/>
          <w:sz w:val="20"/>
          <w:szCs w:val="20"/>
          <w:lang w:val="en-IN"/>
        </w:rPr>
        <w:t xml:space="preserve"> fruit weight (5.93% and 2.94%</w:t>
      </w:r>
      <w:r w:rsidR="009A7EEE" w:rsidRPr="009A7EEE">
        <w:rPr>
          <w:rFonts w:ascii="Arial" w:hAnsi="Arial" w:cs="Arial"/>
          <w:sz w:val="20"/>
          <w:szCs w:val="20"/>
          <w:lang w:val="en-IN"/>
        </w:rPr>
        <w:t>), moisture</w:t>
      </w:r>
      <w:r w:rsidR="00E567E4" w:rsidRPr="009A7EEE">
        <w:rPr>
          <w:rFonts w:ascii="Arial" w:hAnsi="Arial" w:cs="Arial"/>
          <w:sz w:val="20"/>
          <w:szCs w:val="20"/>
          <w:lang w:val="en-IN"/>
        </w:rPr>
        <w:t xml:space="preserve"> content (1.64% and 1.62%)</w:t>
      </w:r>
      <w:r w:rsidRPr="009A7EEE">
        <w:rPr>
          <w:rFonts w:ascii="Arial" w:hAnsi="Arial" w:cs="Arial"/>
          <w:sz w:val="20"/>
          <w:szCs w:val="20"/>
          <w:lang w:val="en-IN"/>
        </w:rPr>
        <w:t xml:space="preserve">. </w:t>
      </w:r>
      <w:r w:rsidR="00D74DA5" w:rsidRPr="009A7EEE">
        <w:rPr>
          <w:rFonts w:ascii="Arial" w:hAnsi="Arial" w:cs="Arial"/>
          <w:sz w:val="20"/>
          <w:szCs w:val="20"/>
          <w:lang w:val="en-IN"/>
        </w:rPr>
        <w:t xml:space="preserve">Similar results have been reported by Som </w:t>
      </w:r>
      <w:r w:rsidR="00D74DA5" w:rsidRPr="009A7EEE">
        <w:rPr>
          <w:rFonts w:ascii="Arial" w:hAnsi="Arial" w:cs="Arial"/>
          <w:i/>
          <w:sz w:val="20"/>
          <w:szCs w:val="20"/>
          <w:lang w:val="en-IN"/>
        </w:rPr>
        <w:t xml:space="preserve">et al., </w:t>
      </w:r>
      <w:r w:rsidR="00D74DA5" w:rsidRPr="009A7EEE">
        <w:rPr>
          <w:rFonts w:ascii="Arial" w:hAnsi="Arial" w:cs="Arial"/>
          <w:sz w:val="20"/>
          <w:szCs w:val="20"/>
          <w:lang w:val="en-IN"/>
        </w:rPr>
        <w:t xml:space="preserve">(2020). </w:t>
      </w:r>
    </w:p>
    <w:p w14:paraId="34AB4041"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28CCBC54"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5161BDA1"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2DB49E89"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0532A778"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r w:rsidRPr="001338D5">
        <w:rPr>
          <w:rFonts w:ascii="Times New Roman" w:hAnsi="Times New Roman" w:cs="Times New Roman"/>
          <w:noProof/>
          <w:sz w:val="24"/>
          <w:szCs w:val="24"/>
          <w:lang w:val="en-IN"/>
        </w:rPr>
        <w:drawing>
          <wp:inline distT="0" distB="0" distL="0" distR="0" wp14:anchorId="2A00F1C9" wp14:editId="01486CB0">
            <wp:extent cx="6737350" cy="26987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348B25" w14:textId="2C5DCD1D" w:rsidR="009A7EEE" w:rsidRPr="008E389A" w:rsidRDefault="009A7EEE" w:rsidP="009A7EEE">
      <w:pPr>
        <w:autoSpaceDE w:val="0"/>
        <w:autoSpaceDN w:val="0"/>
        <w:adjustRightInd w:val="0"/>
        <w:ind w:left="709" w:hanging="709"/>
        <w:jc w:val="both"/>
        <w:rPr>
          <w:rFonts w:ascii="Arial" w:hAnsi="Arial" w:cs="Arial"/>
          <w:b/>
          <w:sz w:val="20"/>
          <w:szCs w:val="20"/>
        </w:rPr>
      </w:pPr>
      <w:r w:rsidRPr="008E389A">
        <w:rPr>
          <w:rFonts w:ascii="Arial" w:hAnsi="Arial" w:cs="Arial"/>
          <w:b/>
          <w:bCs/>
          <w:sz w:val="20"/>
          <w:szCs w:val="20"/>
        </w:rPr>
        <w:t xml:space="preserve">Fig. 1. Effect of </w:t>
      </w:r>
      <w:r w:rsidRPr="008E389A">
        <w:rPr>
          <w:rFonts w:ascii="Arial" w:hAnsi="Arial" w:cs="Arial"/>
          <w:b/>
          <w:sz w:val="20"/>
          <w:szCs w:val="20"/>
        </w:rPr>
        <w:t xml:space="preserve">phenotypic coefficient of variation (PCV) and genotypic coefficient of variation (GCV) for fourteen characters of </w:t>
      </w:r>
      <w:r w:rsidR="00A50B13">
        <w:rPr>
          <w:rFonts w:ascii="Arial" w:hAnsi="Arial" w:cs="Arial"/>
          <w:b/>
          <w:sz w:val="20"/>
          <w:szCs w:val="20"/>
        </w:rPr>
        <w:t>sponge gourd</w:t>
      </w:r>
    </w:p>
    <w:p w14:paraId="034F54D4" w14:textId="77777777" w:rsidR="00AE5B2B" w:rsidRDefault="00AE5B2B" w:rsidP="00E15E63">
      <w:pPr>
        <w:autoSpaceDE w:val="0"/>
        <w:autoSpaceDN w:val="0"/>
        <w:adjustRightInd w:val="0"/>
        <w:spacing w:after="0" w:line="360" w:lineRule="auto"/>
        <w:jc w:val="both"/>
        <w:rPr>
          <w:rFonts w:ascii="Times New Roman" w:hAnsi="Times New Roman" w:cs="Times New Roman"/>
          <w:sz w:val="24"/>
          <w:szCs w:val="24"/>
          <w:lang w:val="en-IN"/>
        </w:rPr>
      </w:pPr>
    </w:p>
    <w:p w14:paraId="1575FF44" w14:textId="65CCE373" w:rsidR="002353BC" w:rsidRPr="00A50B13" w:rsidRDefault="002353BC" w:rsidP="00A50B13">
      <w:pPr>
        <w:pStyle w:val="ListParagraph"/>
        <w:numPr>
          <w:ilvl w:val="1"/>
          <w:numId w:val="2"/>
        </w:numPr>
        <w:autoSpaceDE w:val="0"/>
        <w:autoSpaceDN w:val="0"/>
        <w:adjustRightInd w:val="0"/>
        <w:spacing w:after="0" w:line="360" w:lineRule="auto"/>
        <w:ind w:left="426" w:hanging="426"/>
        <w:jc w:val="both"/>
        <w:rPr>
          <w:rFonts w:ascii="Arial" w:eastAsia="TimesNewRomanPSMT" w:hAnsi="Arial" w:cs="Arial"/>
          <w:b/>
        </w:rPr>
      </w:pPr>
      <w:r w:rsidRPr="00A50B13">
        <w:rPr>
          <w:rFonts w:ascii="Arial" w:eastAsia="TimesNewRomanPSMT" w:hAnsi="Arial" w:cs="Arial"/>
          <w:b/>
        </w:rPr>
        <w:t xml:space="preserve">Heritability and genetic advance </w:t>
      </w:r>
    </w:p>
    <w:p w14:paraId="6ACE9AA9" w14:textId="77777777" w:rsidR="00AE5B2B" w:rsidRPr="00A50B13" w:rsidRDefault="00AE5B2B" w:rsidP="00A50B13">
      <w:pPr>
        <w:spacing w:before="120" w:after="0" w:line="360" w:lineRule="auto"/>
        <w:jc w:val="both"/>
        <w:rPr>
          <w:rFonts w:ascii="Arial" w:hAnsi="Arial" w:cs="Arial"/>
          <w:sz w:val="20"/>
          <w:szCs w:val="20"/>
          <w:lang w:val="en-IN"/>
        </w:rPr>
      </w:pPr>
      <w:r w:rsidRPr="00A50B13">
        <w:rPr>
          <w:rFonts w:ascii="Arial" w:hAnsi="Arial" w:cs="Arial"/>
          <w:sz w:val="20"/>
          <w:szCs w:val="20"/>
          <w:lang w:val="en-IN"/>
        </w:rPr>
        <w:t xml:space="preserve">High estimates of heritability (&gt;80%) were recorded in the characters days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(81.18%), number of primary branches (86.13%), </w:t>
      </w:r>
      <w:r w:rsidR="00274AC1" w:rsidRPr="00A50B13">
        <w:rPr>
          <w:rFonts w:ascii="Arial" w:hAnsi="Arial" w:cs="Arial"/>
          <w:sz w:val="20"/>
          <w:szCs w:val="20"/>
          <w:lang w:val="en-IN"/>
        </w:rPr>
        <w:t>vine length (84.09%), T.S.S</w:t>
      </w:r>
      <w:r w:rsidRPr="00A50B13">
        <w:rPr>
          <w:rFonts w:ascii="Arial" w:hAnsi="Arial" w:cs="Arial"/>
          <w:sz w:val="20"/>
          <w:szCs w:val="20"/>
          <w:lang w:val="en-IN"/>
        </w:rPr>
        <w:t xml:space="preserve"> </w:t>
      </w:r>
      <w:r w:rsidRPr="00A50B13">
        <w:rPr>
          <w:rFonts w:ascii="Arial" w:hAnsi="Arial" w:cs="Arial"/>
          <w:sz w:val="20"/>
          <w:szCs w:val="20"/>
          <w:vertAlign w:val="superscript"/>
          <w:lang w:val="en-IN"/>
        </w:rPr>
        <w:t>0</w:t>
      </w:r>
      <w:r w:rsidRPr="00A50B13">
        <w:rPr>
          <w:rFonts w:ascii="Arial" w:hAnsi="Arial" w:cs="Arial"/>
          <w:sz w:val="20"/>
          <w:szCs w:val="20"/>
          <w:lang w:val="en-IN"/>
        </w:rPr>
        <w:t xml:space="preserve">B (92.26%), dry matter (96.96%), moisture content (96.65%), ascorbic acid (91.59%), chlorophyll content (94.84%). The moderate </w:t>
      </w:r>
      <w:r w:rsidRPr="00A50B13">
        <w:rPr>
          <w:rFonts w:ascii="Arial" w:hAnsi="Arial" w:cs="Arial"/>
          <w:sz w:val="20"/>
          <w:szCs w:val="20"/>
          <w:lang w:val="en-IN"/>
        </w:rPr>
        <w:lastRenderedPageBreak/>
        <w:t xml:space="preserve">heritability (&gt;60% and &lt;80%) was recorded in following characters: </w:t>
      </w:r>
      <w:r w:rsidR="00F31FBB" w:rsidRPr="00A50B13">
        <w:rPr>
          <w:rFonts w:ascii="Arial" w:hAnsi="Arial" w:cs="Arial"/>
          <w:sz w:val="20"/>
          <w:szCs w:val="20"/>
          <w:lang w:val="en-IN"/>
        </w:rPr>
        <w:t>fruit width (60.21%)</w:t>
      </w:r>
      <w:r w:rsidRPr="00A50B13">
        <w:rPr>
          <w:rFonts w:ascii="Arial" w:hAnsi="Arial" w:cs="Arial"/>
          <w:sz w:val="20"/>
          <w:szCs w:val="20"/>
          <w:lang w:val="en-IN"/>
        </w:rPr>
        <w:t xml:space="preserve">, yield (q/ha) (73.80%), days to first pistillate flower anthesis (76.27%), fruit length (76.64%), </w:t>
      </w:r>
      <w:r w:rsidR="006C0628" w:rsidRPr="00A50B13">
        <w:rPr>
          <w:rFonts w:ascii="Arial" w:hAnsi="Arial" w:cs="Arial"/>
          <w:sz w:val="20"/>
          <w:szCs w:val="20"/>
          <w:lang w:val="en-IN"/>
        </w:rPr>
        <w:t>no. of fruits plant</w:t>
      </w:r>
      <w:r w:rsidR="006C0628" w:rsidRPr="00A50B13">
        <w:rPr>
          <w:rFonts w:ascii="Arial" w:hAnsi="Arial" w:cs="Arial"/>
          <w:sz w:val="20"/>
          <w:szCs w:val="20"/>
          <w:vertAlign w:val="superscript"/>
          <w:lang w:val="en-IN"/>
        </w:rPr>
        <w:t xml:space="preserve">-1 </w:t>
      </w:r>
      <w:r w:rsidRPr="00A50B13">
        <w:rPr>
          <w:rFonts w:ascii="Arial" w:hAnsi="Arial" w:cs="Arial"/>
          <w:sz w:val="20"/>
          <w:szCs w:val="20"/>
          <w:lang w:val="en-IN"/>
        </w:rPr>
        <w:t xml:space="preserve">(77.73%), and yield </w:t>
      </w:r>
      <w:r w:rsidR="007B5227" w:rsidRPr="00A50B13">
        <w:rPr>
          <w:rFonts w:ascii="Arial" w:hAnsi="Arial" w:cs="Arial"/>
          <w:sz w:val="20"/>
          <w:szCs w:val="20"/>
          <w:lang w:val="en-IN"/>
        </w:rPr>
        <w:t xml:space="preserve">(q/ha) </w:t>
      </w:r>
      <w:r w:rsidRPr="00A50B13">
        <w:rPr>
          <w:rFonts w:ascii="Arial" w:hAnsi="Arial" w:cs="Arial"/>
          <w:sz w:val="20"/>
          <w:szCs w:val="20"/>
          <w:lang w:val="en-IN"/>
        </w:rPr>
        <w:t xml:space="preserve">(75.25%). Lower heritability (&lt;60%) was recorded in the following </w:t>
      </w:r>
      <w:proofErr w:type="gramStart"/>
      <w:r w:rsidRPr="00A50B13">
        <w:rPr>
          <w:rFonts w:ascii="Arial" w:hAnsi="Arial" w:cs="Arial"/>
          <w:sz w:val="20"/>
          <w:szCs w:val="20"/>
          <w:lang w:val="en-IN"/>
        </w:rPr>
        <w:t>characters :</w:t>
      </w:r>
      <w:proofErr w:type="gramEnd"/>
      <w:r w:rsidRPr="00A50B13">
        <w:rPr>
          <w:rFonts w:ascii="Arial" w:hAnsi="Arial" w:cs="Arial"/>
          <w:sz w:val="20"/>
          <w:szCs w:val="20"/>
          <w:lang w:val="en-IN"/>
        </w:rPr>
        <w:t xml:space="preserve"> node number to </w:t>
      </w:r>
      <w:proofErr w:type="spellStart"/>
      <w:r w:rsidRPr="00A50B13">
        <w:rPr>
          <w:rFonts w:ascii="Arial" w:hAnsi="Arial" w:cs="Arial"/>
          <w:sz w:val="20"/>
          <w:szCs w:val="20"/>
          <w:lang w:val="en-IN"/>
        </w:rPr>
        <w:t>frist</w:t>
      </w:r>
      <w:proofErr w:type="spellEnd"/>
      <w:r w:rsidRPr="00A50B13">
        <w:rPr>
          <w:rFonts w:ascii="Arial" w:hAnsi="Arial" w:cs="Arial"/>
          <w:sz w:val="20"/>
          <w:szCs w:val="20"/>
          <w:lang w:val="en-IN"/>
        </w:rPr>
        <w:t xml:space="preserve"> pistillate flower anthesis </w:t>
      </w:r>
      <w:proofErr w:type="gramStart"/>
      <w:r w:rsidRPr="00A50B13">
        <w:rPr>
          <w:rFonts w:ascii="Arial" w:hAnsi="Arial" w:cs="Arial"/>
          <w:sz w:val="20"/>
          <w:szCs w:val="20"/>
          <w:lang w:val="en-IN"/>
        </w:rPr>
        <w:t>( (</w:t>
      </w:r>
      <w:proofErr w:type="gramEnd"/>
      <w:r w:rsidRPr="00A50B13">
        <w:rPr>
          <w:rFonts w:ascii="Arial" w:hAnsi="Arial" w:cs="Arial"/>
          <w:sz w:val="20"/>
          <w:szCs w:val="20"/>
          <w:lang w:val="en-IN"/>
        </w:rPr>
        <w:t xml:space="preserve">28.81%), internodal length (23.09%), petiole length (38.62%) and average fruit weight (24.51%), node number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(58.71%</w:t>
      </w:r>
      <w:proofErr w:type="gramStart"/>
      <w:r w:rsidRPr="00A50B13">
        <w:rPr>
          <w:rFonts w:ascii="Arial" w:hAnsi="Arial" w:cs="Arial"/>
          <w:sz w:val="20"/>
          <w:szCs w:val="20"/>
          <w:lang w:val="en-IN"/>
        </w:rPr>
        <w:t>) ,</w:t>
      </w:r>
      <w:proofErr w:type="gramEnd"/>
      <w:r w:rsidRPr="00A50B13">
        <w:rPr>
          <w:rFonts w:ascii="Arial" w:hAnsi="Arial" w:cs="Arial"/>
          <w:sz w:val="20"/>
          <w:szCs w:val="20"/>
          <w:lang w:val="en-IN"/>
        </w:rPr>
        <w:t xml:space="preserve"> days to first fruit harvest (55.04%). The result ar</w:t>
      </w:r>
      <w:r w:rsidR="00F26B59" w:rsidRPr="00A50B13">
        <w:rPr>
          <w:rFonts w:ascii="Arial" w:hAnsi="Arial" w:cs="Arial"/>
          <w:sz w:val="20"/>
          <w:szCs w:val="20"/>
          <w:lang w:val="en-IN"/>
        </w:rPr>
        <w:t>e conformity with the study of S</w:t>
      </w:r>
      <w:r w:rsidRPr="00A50B13">
        <w:rPr>
          <w:rFonts w:ascii="Arial" w:hAnsi="Arial" w:cs="Arial"/>
          <w:sz w:val="20"/>
          <w:szCs w:val="20"/>
          <w:lang w:val="en-IN"/>
        </w:rPr>
        <w:t xml:space="preserve">ingh </w:t>
      </w:r>
      <w:r w:rsidRPr="00A50B13">
        <w:rPr>
          <w:rFonts w:ascii="Arial" w:hAnsi="Arial" w:cs="Arial"/>
          <w:i/>
          <w:sz w:val="20"/>
          <w:szCs w:val="20"/>
          <w:lang w:val="en-IN"/>
        </w:rPr>
        <w:t>et al</w:t>
      </w:r>
      <w:r w:rsidRPr="00A50B13">
        <w:rPr>
          <w:rFonts w:ascii="Arial" w:hAnsi="Arial" w:cs="Arial"/>
          <w:sz w:val="20"/>
          <w:szCs w:val="20"/>
          <w:lang w:val="en-IN"/>
        </w:rPr>
        <w:t xml:space="preserve">., (2023) , the high estimates of heritability in broad sense (&gt;80%) were observed for node number to first pistillate flower (96%), node number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(91%), vine length at last harvest (91%), marketable f</w:t>
      </w:r>
      <w:r w:rsidR="006C0628" w:rsidRPr="00A50B13">
        <w:rPr>
          <w:rFonts w:ascii="Arial" w:hAnsi="Arial" w:cs="Arial"/>
          <w:sz w:val="20"/>
          <w:szCs w:val="20"/>
          <w:lang w:val="en-IN"/>
        </w:rPr>
        <w:t xml:space="preserve">ruit yield per plant (90%), no. </w:t>
      </w:r>
      <w:r w:rsidRPr="00A50B13">
        <w:rPr>
          <w:rFonts w:ascii="Arial" w:hAnsi="Arial" w:cs="Arial"/>
          <w:sz w:val="20"/>
          <w:szCs w:val="20"/>
          <w:lang w:val="en-IN"/>
        </w:rPr>
        <w:t xml:space="preserve">of fruits </w:t>
      </w:r>
      <w:r w:rsidR="00FE0807" w:rsidRPr="00A50B13">
        <w:rPr>
          <w:rFonts w:ascii="Arial" w:hAnsi="Arial" w:cs="Arial"/>
          <w:sz w:val="20"/>
          <w:szCs w:val="20"/>
          <w:lang w:val="en-IN"/>
        </w:rPr>
        <w:t>plant</w:t>
      </w:r>
      <w:r w:rsidR="00FE0807" w:rsidRPr="00A50B13">
        <w:rPr>
          <w:rFonts w:ascii="Arial" w:hAnsi="Arial" w:cs="Arial"/>
          <w:sz w:val="20"/>
          <w:szCs w:val="20"/>
          <w:vertAlign w:val="superscript"/>
          <w:lang w:val="en-IN"/>
        </w:rPr>
        <w:t>-1</w:t>
      </w:r>
      <w:r w:rsidR="006C0628" w:rsidRPr="00A50B13">
        <w:rPr>
          <w:rFonts w:ascii="Arial" w:hAnsi="Arial" w:cs="Arial"/>
          <w:sz w:val="20"/>
          <w:szCs w:val="20"/>
          <w:vertAlign w:val="superscript"/>
          <w:lang w:val="en-IN"/>
        </w:rPr>
        <w:t xml:space="preserve"> </w:t>
      </w:r>
      <w:r w:rsidRPr="00A50B13">
        <w:rPr>
          <w:rFonts w:ascii="Arial" w:hAnsi="Arial" w:cs="Arial"/>
          <w:sz w:val="20"/>
          <w:szCs w:val="20"/>
          <w:lang w:val="en-IN"/>
        </w:rPr>
        <w:t>(87%), marketable fruit yield per plant (90%), average fruit weight (87%), number of primary branches per vine at last harvest (86%), whereas moderate heritability in broad sense (&gt;60% and 80%) were noticed for days to first pistillate flower anthesis (70%),  and number of nodes per vine at last harvest (78%).</w:t>
      </w:r>
      <w:r w:rsidR="00F31FBB" w:rsidRPr="00A50B13">
        <w:rPr>
          <w:rFonts w:ascii="Arial" w:hAnsi="Arial" w:cs="Arial"/>
          <w:sz w:val="20"/>
          <w:szCs w:val="20"/>
          <w:lang w:val="en-IN"/>
        </w:rPr>
        <w:t xml:space="preserve"> D</w:t>
      </w:r>
      <w:r w:rsidRPr="00A50B13">
        <w:rPr>
          <w:rFonts w:ascii="Arial" w:hAnsi="Arial" w:cs="Arial"/>
          <w:sz w:val="20"/>
          <w:szCs w:val="20"/>
          <w:lang w:val="en-IN"/>
        </w:rPr>
        <w:t xml:space="preserve">ays to first fruit harvest and fruit diameter (54%) showed low heritability (&lt;50%). </w:t>
      </w:r>
    </w:p>
    <w:p w14:paraId="7011A9EF" w14:textId="77777777" w:rsidR="009347FA" w:rsidRDefault="00D34028" w:rsidP="009347FA">
      <w:pPr>
        <w:autoSpaceDE w:val="0"/>
        <w:autoSpaceDN w:val="0"/>
        <w:adjustRightInd w:val="0"/>
        <w:spacing w:after="0" w:line="360" w:lineRule="auto"/>
        <w:jc w:val="both"/>
        <w:rPr>
          <w:rFonts w:ascii="Arial" w:hAnsi="Arial" w:cs="Arial"/>
          <w:sz w:val="20"/>
          <w:szCs w:val="20"/>
          <w:lang w:val="en-IN"/>
        </w:rPr>
      </w:pPr>
      <w:r w:rsidRPr="00A50B13">
        <w:rPr>
          <w:rFonts w:ascii="Arial" w:hAnsi="Arial" w:cs="Arial"/>
          <w:sz w:val="20"/>
          <w:szCs w:val="20"/>
          <w:lang w:val="en-IN"/>
        </w:rPr>
        <w:t>Highest value of genetic advance in percent of mean w</w:t>
      </w:r>
      <w:r w:rsidR="008802F6" w:rsidRPr="00A50B13">
        <w:rPr>
          <w:rFonts w:ascii="Arial" w:hAnsi="Arial" w:cs="Arial"/>
          <w:sz w:val="20"/>
          <w:szCs w:val="20"/>
          <w:lang w:val="en-IN"/>
        </w:rPr>
        <w:t>as shown by dry matter (53.34%)</w:t>
      </w:r>
      <w:r w:rsidRPr="00A50B13">
        <w:rPr>
          <w:rFonts w:ascii="Arial" w:hAnsi="Arial" w:cs="Arial"/>
          <w:sz w:val="20"/>
          <w:szCs w:val="20"/>
          <w:lang w:val="en-IN"/>
        </w:rPr>
        <w:t>. While average fruit weight exhibited the lowest v</w:t>
      </w:r>
      <w:r w:rsidR="008802F6" w:rsidRPr="00A50B13">
        <w:rPr>
          <w:rFonts w:ascii="Arial" w:hAnsi="Arial" w:cs="Arial"/>
          <w:sz w:val="20"/>
          <w:szCs w:val="20"/>
          <w:lang w:val="en-IN"/>
        </w:rPr>
        <w:t>alue (3.00%) for this parameter</w:t>
      </w:r>
      <w:r w:rsidRPr="00A50B13">
        <w:rPr>
          <w:rFonts w:ascii="Arial" w:hAnsi="Arial" w:cs="Arial"/>
          <w:sz w:val="20"/>
          <w:szCs w:val="20"/>
          <w:lang w:val="en-IN"/>
        </w:rPr>
        <w:t>. The characters which observed very high estimates of genetic advance was yield (q/ha) (21.15) and lowest genetic advance was estimated for fruit yield per plant (0.36) and node number to first pi</w:t>
      </w:r>
      <w:r w:rsidR="008802F6" w:rsidRPr="00A50B13">
        <w:rPr>
          <w:rFonts w:ascii="Arial" w:hAnsi="Arial" w:cs="Arial"/>
          <w:sz w:val="20"/>
          <w:szCs w:val="20"/>
          <w:lang w:val="en-IN"/>
        </w:rPr>
        <w:t>stillate flower anthesis (0.36)</w:t>
      </w:r>
      <w:r w:rsidRPr="00A50B13">
        <w:rPr>
          <w:rFonts w:ascii="Arial" w:hAnsi="Arial" w:cs="Arial"/>
          <w:sz w:val="20"/>
          <w:szCs w:val="20"/>
          <w:lang w:val="en-IN"/>
        </w:rPr>
        <w:t xml:space="preserve">. Similar result was also reported by Yadav </w:t>
      </w:r>
      <w:r w:rsidRPr="00A50B13">
        <w:rPr>
          <w:rFonts w:ascii="Arial" w:hAnsi="Arial" w:cs="Arial"/>
          <w:i/>
          <w:sz w:val="20"/>
          <w:szCs w:val="20"/>
          <w:lang w:val="en-IN"/>
        </w:rPr>
        <w:t>et al</w:t>
      </w:r>
      <w:r w:rsidR="008802F6" w:rsidRPr="00A50B13">
        <w:rPr>
          <w:rFonts w:ascii="Arial" w:hAnsi="Arial" w:cs="Arial"/>
          <w:sz w:val="20"/>
          <w:szCs w:val="20"/>
          <w:lang w:val="en-IN"/>
        </w:rPr>
        <w:t>., (2024)</w:t>
      </w:r>
      <w:r w:rsidRPr="00A50B13">
        <w:rPr>
          <w:rFonts w:ascii="Arial" w:hAnsi="Arial" w:cs="Arial"/>
          <w:sz w:val="20"/>
          <w:szCs w:val="20"/>
          <w:lang w:val="en-IN"/>
        </w:rPr>
        <w:t>. They recorded high genetic advance as per cent of mean in</w:t>
      </w:r>
      <w:r w:rsidR="008802F6" w:rsidRPr="00A50B13">
        <w:rPr>
          <w:rFonts w:ascii="Arial" w:hAnsi="Arial" w:cs="Arial"/>
          <w:sz w:val="20"/>
          <w:szCs w:val="20"/>
          <w:lang w:val="en-IN"/>
        </w:rPr>
        <w:t xml:space="preserve"> fruit yield per plant (73.84%)</w:t>
      </w:r>
      <w:r w:rsidRPr="00A50B13">
        <w:rPr>
          <w:rFonts w:ascii="Arial" w:hAnsi="Arial" w:cs="Arial"/>
          <w:sz w:val="20"/>
          <w:szCs w:val="20"/>
          <w:lang w:val="en-IN"/>
        </w:rPr>
        <w:t>, followed by number of fruits per plant (56.32</w:t>
      </w:r>
      <w:r w:rsidR="00D00063" w:rsidRPr="00A50B13">
        <w:rPr>
          <w:rFonts w:ascii="Arial" w:hAnsi="Arial" w:cs="Arial"/>
          <w:sz w:val="20"/>
          <w:szCs w:val="20"/>
          <w:lang w:val="en-IN"/>
        </w:rPr>
        <w:t>%</w:t>
      </w:r>
      <w:r w:rsidRPr="00A50B13">
        <w:rPr>
          <w:rFonts w:ascii="Arial" w:hAnsi="Arial" w:cs="Arial"/>
          <w:sz w:val="20"/>
          <w:szCs w:val="20"/>
          <w:lang w:val="en-IN"/>
        </w:rPr>
        <w:t>), and internodal length (41.73%) while low genetic advance in per cent of mean found in days to first fruit harvest (9.83</w:t>
      </w:r>
      <w:r w:rsidR="00D00063" w:rsidRPr="00A50B13">
        <w:rPr>
          <w:rFonts w:ascii="Arial" w:hAnsi="Arial" w:cs="Arial"/>
          <w:sz w:val="20"/>
          <w:szCs w:val="20"/>
          <w:lang w:val="en-IN"/>
        </w:rPr>
        <w:t>%</w:t>
      </w:r>
      <w:r w:rsidRPr="00A50B13">
        <w:rPr>
          <w:rFonts w:ascii="Arial" w:hAnsi="Arial" w:cs="Arial"/>
          <w:sz w:val="20"/>
          <w:szCs w:val="20"/>
          <w:lang w:val="en-IN"/>
        </w:rPr>
        <w:t>) followed by days to first male flower appearance (9.81%) and days to first fe</w:t>
      </w:r>
      <w:r w:rsidR="008802F6" w:rsidRPr="00A50B13">
        <w:rPr>
          <w:rFonts w:ascii="Arial" w:hAnsi="Arial" w:cs="Arial"/>
          <w:sz w:val="20"/>
          <w:szCs w:val="20"/>
          <w:lang w:val="en-IN"/>
        </w:rPr>
        <w:t>male flower appearance (12.93%)</w:t>
      </w:r>
      <w:r w:rsidRPr="00A50B13">
        <w:rPr>
          <w:rFonts w:ascii="Arial" w:hAnsi="Arial" w:cs="Arial"/>
          <w:sz w:val="20"/>
          <w:szCs w:val="20"/>
          <w:lang w:val="en-IN"/>
        </w:rPr>
        <w:t xml:space="preserve">. </w:t>
      </w:r>
      <w:r w:rsidR="00633BB0" w:rsidRPr="00A50B13">
        <w:rPr>
          <w:rFonts w:ascii="Arial" w:hAnsi="Arial" w:cs="Arial"/>
          <w:sz w:val="20"/>
          <w:szCs w:val="20"/>
          <w:lang w:val="en-IN"/>
        </w:rPr>
        <w:t xml:space="preserve">Similar result was also reported by Yadav </w:t>
      </w:r>
      <w:r w:rsidR="00633BB0" w:rsidRPr="00A50B13">
        <w:rPr>
          <w:rFonts w:ascii="Arial" w:hAnsi="Arial" w:cs="Arial"/>
          <w:i/>
          <w:sz w:val="20"/>
          <w:szCs w:val="20"/>
          <w:lang w:val="en-IN"/>
        </w:rPr>
        <w:t>et al</w:t>
      </w:r>
      <w:r w:rsidR="008802F6" w:rsidRPr="00A50B13">
        <w:rPr>
          <w:rFonts w:ascii="Arial" w:hAnsi="Arial" w:cs="Arial"/>
          <w:sz w:val="20"/>
          <w:szCs w:val="20"/>
          <w:lang w:val="en-IN"/>
        </w:rPr>
        <w:t>., (2024)</w:t>
      </w:r>
      <w:r w:rsidR="00AE5B2B" w:rsidRPr="00A50B13">
        <w:rPr>
          <w:rFonts w:ascii="Arial" w:hAnsi="Arial" w:cs="Arial"/>
          <w:sz w:val="20"/>
          <w:szCs w:val="20"/>
          <w:lang w:val="en-IN"/>
        </w:rPr>
        <w:t xml:space="preserve"> for traits like number of fruits per plant and </w:t>
      </w:r>
      <w:r w:rsidR="00D145A8" w:rsidRPr="00A50B13">
        <w:rPr>
          <w:rFonts w:ascii="Arial" w:hAnsi="Arial" w:cs="Arial"/>
          <w:sz w:val="20"/>
          <w:szCs w:val="20"/>
          <w:lang w:val="en-IN"/>
        </w:rPr>
        <w:t>yield (q/ha).</w:t>
      </w:r>
    </w:p>
    <w:p w14:paraId="34295F4B" w14:textId="77777777" w:rsidR="00C42F17" w:rsidRPr="00A50B13" w:rsidRDefault="00C42F17" w:rsidP="009347FA">
      <w:pPr>
        <w:autoSpaceDE w:val="0"/>
        <w:autoSpaceDN w:val="0"/>
        <w:adjustRightInd w:val="0"/>
        <w:spacing w:after="0" w:line="360" w:lineRule="auto"/>
        <w:jc w:val="both"/>
        <w:rPr>
          <w:rFonts w:ascii="Arial" w:hAnsi="Arial" w:cs="Arial"/>
          <w:sz w:val="20"/>
          <w:szCs w:val="20"/>
          <w:lang w:val="en-IN"/>
        </w:rPr>
      </w:pPr>
    </w:p>
    <w:p w14:paraId="56398155" w14:textId="7E732829" w:rsidR="005503DE" w:rsidRPr="00A50B13" w:rsidRDefault="00A50B13" w:rsidP="00A50B13">
      <w:pPr>
        <w:pStyle w:val="ListParagraph"/>
        <w:numPr>
          <w:ilvl w:val="0"/>
          <w:numId w:val="2"/>
        </w:numPr>
        <w:ind w:left="284" w:hanging="284"/>
        <w:jc w:val="both"/>
        <w:rPr>
          <w:rFonts w:ascii="Arial" w:hAnsi="Arial" w:cs="Arial"/>
          <w:b/>
          <w:lang w:val="en-IN"/>
        </w:rPr>
      </w:pPr>
      <w:r w:rsidRPr="00A50B13">
        <w:rPr>
          <w:rFonts w:ascii="Arial" w:hAnsi="Arial" w:cs="Arial"/>
          <w:b/>
          <w:lang w:val="en-IN"/>
        </w:rPr>
        <w:t xml:space="preserve">CONCLUSION </w:t>
      </w:r>
    </w:p>
    <w:p w14:paraId="77236CD2" w14:textId="77777777" w:rsidR="005503DE" w:rsidRPr="00A50B13" w:rsidRDefault="005503DE" w:rsidP="005503DE">
      <w:pPr>
        <w:pStyle w:val="NoSpacing"/>
        <w:spacing w:line="360" w:lineRule="auto"/>
        <w:jc w:val="both"/>
        <w:rPr>
          <w:rFonts w:ascii="Arial" w:hAnsi="Arial" w:cs="Arial"/>
          <w:sz w:val="20"/>
          <w:szCs w:val="20"/>
          <w:lang w:val="en-IN"/>
        </w:rPr>
      </w:pPr>
      <w:r w:rsidRPr="00A50B13">
        <w:rPr>
          <w:rFonts w:ascii="Arial" w:eastAsia="TimesNewRomanPSMT" w:hAnsi="Arial" w:cs="Arial"/>
          <w:sz w:val="20"/>
          <w:szCs w:val="20"/>
        </w:rPr>
        <w:t xml:space="preserve">The current study showed that the experimental material had a significant exploitable variability in twenty yield and quality related traits. The phenotypic coefficient of variation (PCV) was generally higher than the genotypic coefficient of variation (GCV), indicating the presence of both genetic and environmental influences, though the relatively small difference suggests that genetic factors had a predominant role in the expression of the traits. </w:t>
      </w:r>
      <w:r w:rsidRPr="00A50B13">
        <w:rPr>
          <w:rFonts w:ascii="Arial" w:hAnsi="Arial" w:cs="Arial"/>
          <w:sz w:val="20"/>
          <w:szCs w:val="20"/>
        </w:rPr>
        <w:t xml:space="preserve">Certain genotypes, such as VRSG-517 and NDSG-23-1, showed superior performance in yield from that of the check variety (Pusa </w:t>
      </w:r>
      <w:proofErr w:type="spellStart"/>
      <w:r w:rsidRPr="00A50B13">
        <w:rPr>
          <w:rFonts w:ascii="Arial" w:hAnsi="Arial" w:cs="Arial"/>
          <w:sz w:val="20"/>
          <w:szCs w:val="20"/>
        </w:rPr>
        <w:t>Chikni</w:t>
      </w:r>
      <w:proofErr w:type="spellEnd"/>
      <w:r w:rsidRPr="00A50B13">
        <w:rPr>
          <w:rFonts w:ascii="Arial" w:hAnsi="Arial" w:cs="Arial"/>
          <w:sz w:val="20"/>
          <w:szCs w:val="20"/>
        </w:rPr>
        <w:t>)</w:t>
      </w:r>
      <w:r w:rsidRPr="00A50B13">
        <w:rPr>
          <w:rFonts w:ascii="Arial" w:eastAsia="TimesNewRomanPSMT" w:hAnsi="Arial" w:cs="Arial"/>
          <w:sz w:val="20"/>
          <w:szCs w:val="20"/>
        </w:rPr>
        <w:t>. Overall, the genetic variability, high heritability, and substantial genetic advance observed in traits like dry matter, chlorophyll content, vine length, number of primary branches per plant, suggest that these traits offer significant potential for improvement through conventional breeding methods in sponge gourd</w:t>
      </w:r>
      <w:r w:rsidRPr="00A50B13">
        <w:rPr>
          <w:rFonts w:ascii="Arial" w:hAnsi="Arial" w:cs="Arial"/>
          <w:sz w:val="20"/>
          <w:szCs w:val="20"/>
          <w:lang w:val="en-IN"/>
        </w:rPr>
        <w:t xml:space="preserve">. </w:t>
      </w:r>
    </w:p>
    <w:p w14:paraId="784FE902" w14:textId="77777777" w:rsidR="005503DE" w:rsidRDefault="005503DE" w:rsidP="005503DE">
      <w:pPr>
        <w:pStyle w:val="NoSpacing"/>
        <w:spacing w:line="360" w:lineRule="auto"/>
        <w:jc w:val="both"/>
        <w:rPr>
          <w:rFonts w:ascii="Times New Roman" w:hAnsi="Times New Roman" w:cs="Times New Roman"/>
          <w:szCs w:val="24"/>
        </w:rPr>
      </w:pPr>
    </w:p>
    <w:p w14:paraId="5A7411D4" w14:textId="5721A1D4" w:rsidR="0098638B" w:rsidRPr="007A63C4" w:rsidRDefault="0098638B" w:rsidP="0098638B">
      <w:pPr>
        <w:pStyle w:val="Default"/>
        <w:spacing w:line="360" w:lineRule="auto"/>
        <w:jc w:val="both"/>
        <w:rPr>
          <w:rFonts w:ascii="Arial" w:hAnsi="Arial" w:cs="Arial"/>
          <w:b/>
          <w:bCs/>
          <w:sz w:val="22"/>
          <w:szCs w:val="22"/>
        </w:rPr>
      </w:pPr>
      <w:r w:rsidRPr="007A63C4">
        <w:rPr>
          <w:rFonts w:ascii="Arial" w:hAnsi="Arial" w:cs="Arial"/>
          <w:b/>
          <w:bCs/>
          <w:sz w:val="22"/>
          <w:szCs w:val="22"/>
        </w:rPr>
        <w:t>REFERENCES</w:t>
      </w:r>
    </w:p>
    <w:p w14:paraId="31DCE661" w14:textId="7777777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Abhijeet, S.K., Yadav, N.P., Singh, V.B. &amp; Mishra, S.K. (2018). Genetic variability studies on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(L.) Roem]. </w:t>
      </w:r>
      <w:r w:rsidRPr="007A63C4">
        <w:rPr>
          <w:rFonts w:ascii="Arial" w:hAnsi="Arial" w:cs="Arial"/>
          <w:iCs/>
          <w:color w:val="000000"/>
          <w:sz w:val="20"/>
          <w:szCs w:val="20"/>
        </w:rPr>
        <w:t xml:space="preserve">International Journal of Environment, Agriculture and Biotechnology, </w:t>
      </w:r>
      <w:r w:rsidRPr="007A63C4">
        <w:rPr>
          <w:rFonts w:ascii="Arial" w:hAnsi="Arial" w:cs="Arial"/>
          <w:color w:val="000000"/>
          <w:sz w:val="20"/>
          <w:szCs w:val="20"/>
        </w:rPr>
        <w:t>11, 941-45.</w:t>
      </w:r>
    </w:p>
    <w:p w14:paraId="027EF474" w14:textId="7777777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proofErr w:type="spellStart"/>
      <w:r w:rsidRPr="007A63C4">
        <w:rPr>
          <w:rFonts w:ascii="Arial" w:hAnsi="Arial" w:cs="Arial"/>
          <w:color w:val="000000"/>
          <w:sz w:val="20"/>
          <w:szCs w:val="20"/>
        </w:rPr>
        <w:lastRenderedPageBreak/>
        <w:t>Annigeri</w:t>
      </w:r>
      <w:proofErr w:type="spellEnd"/>
      <w:r w:rsidRPr="007A63C4">
        <w:rPr>
          <w:rFonts w:ascii="Arial" w:hAnsi="Arial" w:cs="Arial"/>
          <w:color w:val="000000"/>
          <w:sz w:val="20"/>
          <w:szCs w:val="20"/>
        </w:rPr>
        <w:t>, S.V., Shashidhar, T.R., Patil, R.V., Kulkarni, S. &amp; Patil, B.R. (2023). Performance of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(Roem.) L.] genotypes for growth, yield and quality traits. </w:t>
      </w:r>
      <w:r w:rsidRPr="007A63C4">
        <w:rPr>
          <w:rFonts w:ascii="Arial" w:hAnsi="Arial" w:cs="Arial"/>
          <w:iCs/>
          <w:color w:val="000000"/>
          <w:sz w:val="20"/>
          <w:szCs w:val="20"/>
        </w:rPr>
        <w:t>Pharma Innovation Journal,</w:t>
      </w:r>
      <w:r w:rsidRPr="007A63C4">
        <w:rPr>
          <w:rFonts w:ascii="Arial" w:hAnsi="Arial" w:cs="Arial"/>
          <w:i/>
          <w:color w:val="000000"/>
          <w:sz w:val="20"/>
          <w:szCs w:val="20"/>
        </w:rPr>
        <w:t xml:space="preserve"> </w:t>
      </w:r>
      <w:r w:rsidRPr="007A63C4">
        <w:rPr>
          <w:rFonts w:ascii="Arial" w:hAnsi="Arial" w:cs="Arial"/>
          <w:color w:val="000000"/>
          <w:sz w:val="20"/>
          <w:szCs w:val="20"/>
        </w:rPr>
        <w:t>12, 461-68.</w:t>
      </w:r>
    </w:p>
    <w:p w14:paraId="5B74B81E" w14:textId="7777777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bCs/>
          <w:sz w:val="20"/>
          <w:szCs w:val="20"/>
        </w:rPr>
        <w:t xml:space="preserve">Anonymous, 2022. Third Advance Estimate of Area and production of Horticulture crops-All India 2021-2022. National Horticulture Database. National Horticulture Board, Ministry of Agriculture, Govt. of India. </w:t>
      </w:r>
    </w:p>
    <w:p w14:paraId="27C836A9"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Burton, G.W. &amp; Dewane, E.V.M. (1953). Estimating heritability in tall fescue (</w:t>
      </w:r>
      <w:r w:rsidRPr="007A63C4">
        <w:rPr>
          <w:rFonts w:ascii="Arial" w:hAnsi="Arial" w:cs="Arial"/>
          <w:i/>
          <w:iCs/>
          <w:sz w:val="20"/>
          <w:szCs w:val="20"/>
        </w:rPr>
        <w:t>Festuca arundinacea</w:t>
      </w:r>
      <w:r w:rsidRPr="007A63C4">
        <w:rPr>
          <w:rFonts w:ascii="Arial" w:hAnsi="Arial" w:cs="Arial"/>
          <w:sz w:val="20"/>
          <w:szCs w:val="20"/>
        </w:rPr>
        <w:t xml:space="preserve"> L.) from replicated clonal material. Agronomy Journal, 45, 478 481. doi:10.2134/agronj1953.00021962004500100005x</w:t>
      </w:r>
    </w:p>
    <w:p w14:paraId="46E5C11E" w14:textId="7777777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 xml:space="preserve">Cho, S.E., Hong, S.H., Kim, B.S., Kim, J.Y. &amp; Shin, H.D. (2015). First report of powdery mildew caused by </w:t>
      </w:r>
      <w:proofErr w:type="spellStart"/>
      <w:r w:rsidRPr="007A63C4">
        <w:rPr>
          <w:rFonts w:ascii="Arial" w:hAnsi="Arial" w:cs="Arial"/>
          <w:i/>
          <w:iCs/>
          <w:color w:val="000000"/>
          <w:sz w:val="20"/>
          <w:szCs w:val="20"/>
        </w:rPr>
        <w:t>Podosphaera</w:t>
      </w:r>
      <w:proofErr w:type="spellEnd"/>
      <w:r w:rsidRPr="007A63C4">
        <w:rPr>
          <w:rFonts w:ascii="Arial" w:hAnsi="Arial" w:cs="Arial"/>
          <w:i/>
          <w:iCs/>
          <w:color w:val="000000"/>
          <w:sz w:val="20"/>
          <w:szCs w:val="20"/>
        </w:rPr>
        <w:t xml:space="preserve"> </w:t>
      </w:r>
      <w:proofErr w:type="spellStart"/>
      <w:r w:rsidRPr="007A63C4">
        <w:rPr>
          <w:rFonts w:ascii="Arial" w:hAnsi="Arial" w:cs="Arial"/>
          <w:i/>
          <w:iCs/>
          <w:color w:val="000000"/>
          <w:sz w:val="20"/>
          <w:szCs w:val="20"/>
        </w:rPr>
        <w:t>xanthii</w:t>
      </w:r>
      <w:proofErr w:type="spellEnd"/>
      <w:r w:rsidRPr="007A63C4">
        <w:rPr>
          <w:rFonts w:ascii="Arial" w:hAnsi="Arial" w:cs="Arial"/>
          <w:i/>
          <w:iCs/>
          <w:color w:val="000000"/>
          <w:sz w:val="20"/>
          <w:szCs w:val="20"/>
        </w:rPr>
        <w:t xml:space="preserve"> </w:t>
      </w:r>
      <w:r w:rsidRPr="007A63C4">
        <w:rPr>
          <w:rFonts w:ascii="Arial" w:hAnsi="Arial" w:cs="Arial"/>
          <w:color w:val="000000"/>
          <w:sz w:val="20"/>
          <w:szCs w:val="20"/>
        </w:rPr>
        <w:t xml:space="preserve">on </w:t>
      </w:r>
      <w:r w:rsidRPr="007A63C4">
        <w:rPr>
          <w:rFonts w:ascii="Arial" w:hAnsi="Arial" w:cs="Arial"/>
          <w:i/>
          <w:iCs/>
          <w:color w:val="000000"/>
          <w:sz w:val="20"/>
          <w:szCs w:val="20"/>
        </w:rPr>
        <w:t xml:space="preserve">Luffa cylindrica </w:t>
      </w:r>
      <w:r w:rsidRPr="007A63C4">
        <w:rPr>
          <w:rFonts w:ascii="Arial" w:hAnsi="Arial" w:cs="Arial"/>
          <w:color w:val="000000"/>
          <w:sz w:val="20"/>
          <w:szCs w:val="20"/>
        </w:rPr>
        <w:t xml:space="preserve">in Korea. </w:t>
      </w:r>
      <w:r w:rsidRPr="007A63C4">
        <w:rPr>
          <w:rFonts w:ascii="Arial" w:hAnsi="Arial" w:cs="Arial"/>
          <w:iCs/>
          <w:color w:val="000000"/>
          <w:sz w:val="20"/>
          <w:szCs w:val="20"/>
        </w:rPr>
        <w:t>Plant Disease,</w:t>
      </w:r>
      <w:r w:rsidRPr="007A63C4">
        <w:rPr>
          <w:rFonts w:ascii="Arial" w:hAnsi="Arial" w:cs="Arial"/>
          <w:color w:val="000000"/>
          <w:sz w:val="20"/>
          <w:szCs w:val="20"/>
        </w:rPr>
        <w:t xml:space="preserve"> 99 (12), 1861. </w:t>
      </w:r>
    </w:p>
    <w:p w14:paraId="772E7FED"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Dewey, D.R &amp; Lu, K.H. (1959). A correlation and path coefficient analysis of components of crested wheat grass seed production. Agronomy Journal, 51, 515-518.</w:t>
      </w:r>
    </w:p>
    <w:p w14:paraId="4DEE93BE"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Dubey, A., C.N., Shukla, R., Alam, K. &amp; Pandey, V., 2022. To study the genetic variability, heritability and genetic advance for agronomic traits in bottle gourd [</w:t>
      </w:r>
      <w:r w:rsidRPr="007A63C4">
        <w:rPr>
          <w:rFonts w:ascii="Arial" w:hAnsi="Arial" w:cs="Arial"/>
          <w:i/>
          <w:color w:val="000000"/>
          <w:sz w:val="20"/>
          <w:szCs w:val="20"/>
        </w:rPr>
        <w:t>Lagenaria siceraria</w:t>
      </w:r>
      <w:r w:rsidRPr="007A63C4">
        <w:rPr>
          <w:rFonts w:ascii="Arial" w:hAnsi="Arial" w:cs="Arial"/>
          <w:color w:val="000000"/>
          <w:sz w:val="20"/>
          <w:szCs w:val="20"/>
        </w:rPr>
        <w:t xml:space="preserve"> (Mol.) </w:t>
      </w:r>
      <w:proofErr w:type="spellStart"/>
      <w:r w:rsidRPr="007A63C4">
        <w:rPr>
          <w:rFonts w:ascii="Arial" w:hAnsi="Arial" w:cs="Arial"/>
          <w:color w:val="000000"/>
          <w:sz w:val="20"/>
          <w:szCs w:val="20"/>
        </w:rPr>
        <w:t>Standl</w:t>
      </w:r>
      <w:proofErr w:type="spellEnd"/>
      <w:r w:rsidRPr="007A63C4">
        <w:rPr>
          <w:rFonts w:ascii="Arial" w:hAnsi="Arial" w:cs="Arial"/>
          <w:color w:val="000000"/>
          <w:sz w:val="20"/>
          <w:szCs w:val="20"/>
        </w:rPr>
        <w:t xml:space="preserve">]. </w:t>
      </w:r>
      <w:r w:rsidRPr="007A63C4">
        <w:rPr>
          <w:rFonts w:ascii="Arial" w:hAnsi="Arial" w:cs="Arial"/>
          <w:iCs/>
          <w:color w:val="000000"/>
          <w:sz w:val="20"/>
          <w:szCs w:val="20"/>
        </w:rPr>
        <w:t>Pharma Innovation Journal,</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11, 1362-66. </w:t>
      </w:r>
    </w:p>
    <w:p w14:paraId="54A6C88C"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Gong, Y., Luo, X., Zhang, T., Zhou, G., Li, J., Zhang, B., Li, P. &amp; Huang, H. (2024). Assembly and comparative analysis of the complete mitochondrial genome of white towel gourd (</w:t>
      </w:r>
      <w:r w:rsidRPr="007A63C4">
        <w:rPr>
          <w:rFonts w:ascii="Arial" w:hAnsi="Arial" w:cs="Arial"/>
          <w:i/>
          <w:iCs/>
          <w:color w:val="000000"/>
          <w:sz w:val="20"/>
          <w:szCs w:val="20"/>
        </w:rPr>
        <w:t>Luffa cylindrica</w:t>
      </w:r>
      <w:r w:rsidRPr="007A63C4">
        <w:rPr>
          <w:rFonts w:ascii="Arial" w:hAnsi="Arial" w:cs="Arial"/>
          <w:color w:val="000000"/>
          <w:sz w:val="20"/>
          <w:szCs w:val="20"/>
        </w:rPr>
        <w:t xml:space="preserve">). </w:t>
      </w:r>
      <w:r w:rsidRPr="007A63C4">
        <w:rPr>
          <w:rFonts w:ascii="Arial" w:hAnsi="Arial" w:cs="Arial"/>
          <w:iCs/>
          <w:color w:val="000000"/>
          <w:sz w:val="20"/>
          <w:szCs w:val="20"/>
        </w:rPr>
        <w:t>Genomics</w:t>
      </w:r>
      <w:r w:rsidRPr="007A63C4">
        <w:rPr>
          <w:rFonts w:ascii="Arial" w:hAnsi="Arial" w:cs="Arial"/>
          <w:color w:val="000000"/>
          <w:sz w:val="20"/>
          <w:szCs w:val="20"/>
        </w:rPr>
        <w:t>, 116, 110859.</w:t>
      </w:r>
    </w:p>
    <w:p w14:paraId="1D688B9D"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Hanson, C.H. &amp; Robinson, C.R.E. (1956). Biometrical studies of yield in segregating populations of Korean </w:t>
      </w:r>
      <w:proofErr w:type="spellStart"/>
      <w:r w:rsidRPr="007A63C4">
        <w:rPr>
          <w:rFonts w:ascii="Arial" w:hAnsi="Arial" w:cs="Arial"/>
          <w:sz w:val="20"/>
          <w:szCs w:val="20"/>
        </w:rPr>
        <w:t>Leaspedeza</w:t>
      </w:r>
      <w:proofErr w:type="spellEnd"/>
      <w:r w:rsidRPr="007A63C4">
        <w:rPr>
          <w:rFonts w:ascii="Arial" w:hAnsi="Arial" w:cs="Arial"/>
          <w:sz w:val="20"/>
          <w:szCs w:val="20"/>
        </w:rPr>
        <w:t>. Agronomy Journal, 48, 268–72. https:// doi.org/10.2134/agronj1956.00021962004800060008x.</w:t>
      </w:r>
    </w:p>
    <w:p w14:paraId="4EC0B6F6"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Johnson,</w:t>
      </w:r>
      <w:r w:rsidRPr="007A63C4">
        <w:rPr>
          <w:rFonts w:ascii="Arial" w:hAnsi="Arial" w:cs="Arial"/>
          <w:spacing w:val="5"/>
          <w:sz w:val="20"/>
          <w:szCs w:val="20"/>
        </w:rPr>
        <w:t xml:space="preserve"> </w:t>
      </w:r>
      <w:r w:rsidRPr="007A63C4">
        <w:rPr>
          <w:rFonts w:ascii="Arial" w:hAnsi="Arial" w:cs="Arial"/>
          <w:sz w:val="20"/>
          <w:szCs w:val="20"/>
        </w:rPr>
        <w:t>H.W.,</w:t>
      </w:r>
      <w:r w:rsidRPr="007A63C4">
        <w:rPr>
          <w:rFonts w:ascii="Arial" w:hAnsi="Arial" w:cs="Arial"/>
          <w:spacing w:val="5"/>
          <w:sz w:val="20"/>
          <w:szCs w:val="20"/>
        </w:rPr>
        <w:t xml:space="preserve"> </w:t>
      </w:r>
      <w:r w:rsidRPr="007A63C4">
        <w:rPr>
          <w:rFonts w:ascii="Arial" w:hAnsi="Arial" w:cs="Arial"/>
          <w:sz w:val="20"/>
          <w:szCs w:val="20"/>
        </w:rPr>
        <w:t>Robinson,</w:t>
      </w:r>
      <w:r w:rsidRPr="007A63C4">
        <w:rPr>
          <w:rFonts w:ascii="Arial" w:hAnsi="Arial" w:cs="Arial"/>
          <w:spacing w:val="4"/>
          <w:sz w:val="20"/>
          <w:szCs w:val="20"/>
        </w:rPr>
        <w:t xml:space="preserve"> </w:t>
      </w:r>
      <w:r w:rsidRPr="007A63C4">
        <w:rPr>
          <w:rFonts w:ascii="Arial" w:hAnsi="Arial" w:cs="Arial"/>
          <w:sz w:val="20"/>
          <w:szCs w:val="20"/>
        </w:rPr>
        <w:t>H.F.</w:t>
      </w:r>
      <w:r w:rsidRPr="007A63C4">
        <w:rPr>
          <w:rFonts w:ascii="Arial" w:hAnsi="Arial" w:cs="Arial"/>
          <w:spacing w:val="6"/>
          <w:sz w:val="20"/>
          <w:szCs w:val="20"/>
        </w:rPr>
        <w:t xml:space="preserve"> </w:t>
      </w:r>
      <w:r w:rsidRPr="007A63C4">
        <w:rPr>
          <w:rFonts w:ascii="Arial" w:hAnsi="Arial" w:cs="Arial"/>
          <w:sz w:val="20"/>
          <w:szCs w:val="20"/>
        </w:rPr>
        <w:t>&amp;</w:t>
      </w:r>
      <w:r w:rsidRPr="007A63C4">
        <w:rPr>
          <w:rFonts w:ascii="Arial" w:hAnsi="Arial" w:cs="Arial"/>
          <w:spacing w:val="4"/>
          <w:sz w:val="20"/>
          <w:szCs w:val="20"/>
        </w:rPr>
        <w:t xml:space="preserve"> </w:t>
      </w:r>
      <w:r w:rsidRPr="007A63C4">
        <w:rPr>
          <w:rFonts w:ascii="Arial" w:hAnsi="Arial" w:cs="Arial"/>
          <w:sz w:val="20"/>
          <w:szCs w:val="20"/>
        </w:rPr>
        <w:t>Comstock,</w:t>
      </w:r>
      <w:r w:rsidRPr="007A63C4">
        <w:rPr>
          <w:rFonts w:ascii="Arial" w:hAnsi="Arial" w:cs="Arial"/>
          <w:spacing w:val="4"/>
          <w:sz w:val="20"/>
          <w:szCs w:val="20"/>
        </w:rPr>
        <w:t xml:space="preserve"> </w:t>
      </w:r>
      <w:r w:rsidRPr="007A63C4">
        <w:rPr>
          <w:rFonts w:ascii="Arial" w:hAnsi="Arial" w:cs="Arial"/>
          <w:sz w:val="20"/>
          <w:szCs w:val="20"/>
        </w:rPr>
        <w:t>R.E.</w:t>
      </w:r>
      <w:r w:rsidRPr="007A63C4">
        <w:rPr>
          <w:rFonts w:ascii="Arial" w:hAnsi="Arial" w:cs="Arial"/>
          <w:spacing w:val="4"/>
          <w:sz w:val="20"/>
          <w:szCs w:val="20"/>
        </w:rPr>
        <w:t xml:space="preserve"> (</w:t>
      </w:r>
      <w:r w:rsidRPr="007A63C4">
        <w:rPr>
          <w:rFonts w:ascii="Arial" w:hAnsi="Arial" w:cs="Arial"/>
          <w:sz w:val="20"/>
          <w:szCs w:val="20"/>
        </w:rPr>
        <w:t>1955).</w:t>
      </w:r>
      <w:r w:rsidRPr="007A63C4">
        <w:rPr>
          <w:rFonts w:ascii="Arial" w:hAnsi="Arial" w:cs="Arial"/>
          <w:spacing w:val="4"/>
          <w:sz w:val="20"/>
          <w:szCs w:val="20"/>
        </w:rPr>
        <w:t xml:space="preserve"> </w:t>
      </w:r>
      <w:r w:rsidRPr="007A63C4">
        <w:rPr>
          <w:rFonts w:ascii="Arial" w:hAnsi="Arial" w:cs="Arial"/>
          <w:sz w:val="20"/>
          <w:szCs w:val="20"/>
        </w:rPr>
        <w:t>Genetic</w:t>
      </w:r>
      <w:r w:rsidRPr="007A63C4">
        <w:rPr>
          <w:rFonts w:ascii="Arial" w:hAnsi="Arial" w:cs="Arial"/>
          <w:spacing w:val="3"/>
          <w:sz w:val="20"/>
          <w:szCs w:val="20"/>
        </w:rPr>
        <w:t xml:space="preserve"> </w:t>
      </w:r>
      <w:r w:rsidRPr="007A63C4">
        <w:rPr>
          <w:rFonts w:ascii="Arial" w:hAnsi="Arial" w:cs="Arial"/>
          <w:sz w:val="20"/>
          <w:szCs w:val="20"/>
        </w:rPr>
        <w:t>and</w:t>
      </w:r>
      <w:r w:rsidRPr="007A63C4">
        <w:rPr>
          <w:rFonts w:ascii="Arial" w:hAnsi="Arial" w:cs="Arial"/>
          <w:spacing w:val="4"/>
          <w:sz w:val="20"/>
          <w:szCs w:val="20"/>
        </w:rPr>
        <w:t xml:space="preserve"> </w:t>
      </w:r>
      <w:r w:rsidRPr="007A63C4">
        <w:rPr>
          <w:rFonts w:ascii="Arial" w:hAnsi="Arial" w:cs="Arial"/>
          <w:sz w:val="20"/>
          <w:szCs w:val="20"/>
        </w:rPr>
        <w:t>environmental</w:t>
      </w:r>
      <w:r w:rsidRPr="007A63C4">
        <w:rPr>
          <w:rFonts w:ascii="Arial" w:hAnsi="Arial" w:cs="Arial"/>
          <w:spacing w:val="-57"/>
          <w:sz w:val="20"/>
          <w:szCs w:val="20"/>
        </w:rPr>
        <w:t xml:space="preserve"> </w:t>
      </w:r>
      <w:r w:rsidRPr="007A63C4">
        <w:rPr>
          <w:rFonts w:ascii="Arial" w:hAnsi="Arial" w:cs="Arial"/>
          <w:sz w:val="20"/>
          <w:szCs w:val="20"/>
        </w:rPr>
        <w:t>variability</w:t>
      </w:r>
      <w:r w:rsidRPr="007A63C4">
        <w:rPr>
          <w:rFonts w:ascii="Arial" w:hAnsi="Arial" w:cs="Arial"/>
          <w:spacing w:val="-1"/>
          <w:sz w:val="20"/>
          <w:szCs w:val="20"/>
        </w:rPr>
        <w:t xml:space="preserve"> </w:t>
      </w:r>
      <w:r w:rsidRPr="007A63C4">
        <w:rPr>
          <w:rFonts w:ascii="Arial" w:hAnsi="Arial" w:cs="Arial"/>
          <w:sz w:val="20"/>
          <w:szCs w:val="20"/>
        </w:rPr>
        <w:t>in soyabean.</w:t>
      </w:r>
      <w:r w:rsidRPr="007A63C4">
        <w:rPr>
          <w:rFonts w:ascii="Arial" w:hAnsi="Arial" w:cs="Arial"/>
          <w:spacing w:val="1"/>
          <w:sz w:val="20"/>
          <w:szCs w:val="20"/>
        </w:rPr>
        <w:t xml:space="preserve"> </w:t>
      </w:r>
      <w:r w:rsidRPr="007A63C4">
        <w:rPr>
          <w:rFonts w:ascii="Arial" w:hAnsi="Arial" w:cs="Arial"/>
          <w:sz w:val="20"/>
          <w:szCs w:val="20"/>
        </w:rPr>
        <w:t>Agronomy Journal, 47, 314-318.</w:t>
      </w:r>
    </w:p>
    <w:p w14:paraId="5237ECA8"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Kallo, G. &amp; Bergh. (1993). Loofah-Luffa, Genetic Improvement of vegetable crops, </w:t>
      </w:r>
      <w:r w:rsidRPr="007A63C4">
        <w:rPr>
          <w:rFonts w:ascii="Arial" w:hAnsi="Arial" w:cs="Arial"/>
          <w:i/>
          <w:color w:val="000000"/>
          <w:sz w:val="20"/>
          <w:szCs w:val="20"/>
        </w:rPr>
        <w:t>Pergamon Pres</w:t>
      </w:r>
      <w:r w:rsidRPr="007A63C4">
        <w:rPr>
          <w:rFonts w:ascii="Arial" w:hAnsi="Arial" w:cs="Arial"/>
          <w:color w:val="000000"/>
          <w:sz w:val="20"/>
          <w:szCs w:val="20"/>
        </w:rPr>
        <w:t>: 265-266.</w:t>
      </w:r>
    </w:p>
    <w:p w14:paraId="467EDB72"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222222"/>
          <w:sz w:val="20"/>
          <w:szCs w:val="20"/>
          <w:shd w:val="clear" w:color="auto" w:fill="FFFFFF"/>
        </w:rPr>
        <w:t>Kumar, J. S., &amp; Pandit, M. K. (2022). Genetic variability, diversity, heterosis and combining ability in sponge gourd [</w:t>
      </w:r>
      <w:r w:rsidRPr="007A63C4">
        <w:rPr>
          <w:rFonts w:ascii="Arial" w:hAnsi="Arial" w:cs="Arial"/>
          <w:i/>
          <w:color w:val="222222"/>
          <w:sz w:val="20"/>
          <w:szCs w:val="20"/>
          <w:shd w:val="clear" w:color="auto" w:fill="FFFFFF"/>
        </w:rPr>
        <w:t>Luffa cylindrica</w:t>
      </w:r>
      <w:r w:rsidRPr="007A63C4">
        <w:rPr>
          <w:rFonts w:ascii="Arial" w:hAnsi="Arial" w:cs="Arial"/>
          <w:color w:val="222222"/>
          <w:sz w:val="20"/>
          <w:szCs w:val="20"/>
          <w:shd w:val="clear" w:color="auto" w:fill="FFFFFF"/>
        </w:rPr>
        <w:t xml:space="preserve"> (Roem.) l.]. International Journal of Bio-resource and Stress Management, 13(10), 1047-1056.</w:t>
      </w:r>
    </w:p>
    <w:p w14:paraId="0BB58C45"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Kumar, J.S, Pandit, M.K, &amp; Pathy, T.L. (2019). Genetic variability, diversity and character association in sponge gourd [</w:t>
      </w:r>
      <w:r w:rsidRPr="007A63C4">
        <w:rPr>
          <w:rFonts w:ascii="Arial" w:hAnsi="Arial" w:cs="Arial"/>
          <w:i/>
          <w:sz w:val="20"/>
          <w:szCs w:val="20"/>
        </w:rPr>
        <w:t>Luffa cylindrica</w:t>
      </w:r>
      <w:r w:rsidRPr="007A63C4">
        <w:rPr>
          <w:rFonts w:ascii="Arial" w:hAnsi="Arial" w:cs="Arial"/>
          <w:sz w:val="20"/>
          <w:szCs w:val="20"/>
        </w:rPr>
        <w:t xml:space="preserve"> (L.) Roem.]. </w:t>
      </w:r>
      <w:r w:rsidRPr="007A63C4">
        <w:rPr>
          <w:rFonts w:ascii="Arial" w:hAnsi="Arial" w:cs="Arial"/>
          <w:iCs/>
          <w:sz w:val="20"/>
          <w:szCs w:val="20"/>
        </w:rPr>
        <w:t>International Journal of Current Microbiology and Applied Sciences,</w:t>
      </w:r>
      <w:r w:rsidRPr="007A63C4">
        <w:rPr>
          <w:rFonts w:ascii="Arial" w:hAnsi="Arial" w:cs="Arial"/>
          <w:sz w:val="20"/>
          <w:szCs w:val="20"/>
        </w:rPr>
        <w:t xml:space="preserve"> 8 (3), 278-290.</w:t>
      </w:r>
    </w:p>
    <w:p w14:paraId="4ED2DD1A"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Kumar, V., Singh, V.B., Yadav, G.C., Maurya, D &amp; Kumar, M. (2020). Studies on genetic divergence in sponge gourd (</w:t>
      </w:r>
      <w:r w:rsidRPr="007A63C4">
        <w:rPr>
          <w:rFonts w:ascii="Arial" w:hAnsi="Arial" w:cs="Arial"/>
          <w:i/>
          <w:sz w:val="20"/>
          <w:szCs w:val="20"/>
        </w:rPr>
        <w:t>Luffa cylindrical</w:t>
      </w:r>
      <w:r w:rsidRPr="007A63C4">
        <w:rPr>
          <w:rFonts w:ascii="Arial" w:hAnsi="Arial" w:cs="Arial"/>
          <w:sz w:val="20"/>
          <w:szCs w:val="20"/>
        </w:rPr>
        <w:t xml:space="preserve"> L. Roem), </w:t>
      </w:r>
      <w:r w:rsidRPr="007A63C4">
        <w:rPr>
          <w:rFonts w:ascii="Arial" w:hAnsi="Arial" w:cs="Arial"/>
          <w:iCs/>
          <w:sz w:val="20"/>
          <w:szCs w:val="20"/>
        </w:rPr>
        <w:t>Journal of Pharmacognosy and Phytochemistry, 9</w:t>
      </w:r>
      <w:r w:rsidRPr="007A63C4">
        <w:rPr>
          <w:rFonts w:ascii="Arial" w:hAnsi="Arial" w:cs="Arial"/>
          <w:sz w:val="20"/>
          <w:szCs w:val="20"/>
        </w:rPr>
        <w:t>(1), 1410-2.</w:t>
      </w:r>
    </w:p>
    <w:p w14:paraId="0A790477"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Kumari, S.A.S.M., </w:t>
      </w:r>
      <w:proofErr w:type="spellStart"/>
      <w:r w:rsidRPr="007A63C4">
        <w:rPr>
          <w:rFonts w:ascii="Arial" w:hAnsi="Arial" w:cs="Arial"/>
          <w:color w:val="000000"/>
          <w:sz w:val="20"/>
          <w:szCs w:val="20"/>
        </w:rPr>
        <w:t>Nakandala</w:t>
      </w:r>
      <w:proofErr w:type="spellEnd"/>
      <w:r w:rsidRPr="007A63C4">
        <w:rPr>
          <w:rFonts w:ascii="Arial" w:hAnsi="Arial" w:cs="Arial"/>
          <w:color w:val="000000"/>
          <w:sz w:val="20"/>
          <w:szCs w:val="20"/>
        </w:rPr>
        <w:t xml:space="preserve">, N.D.U.S., </w:t>
      </w:r>
      <w:proofErr w:type="spellStart"/>
      <w:r w:rsidRPr="007A63C4">
        <w:rPr>
          <w:rFonts w:ascii="Arial" w:hAnsi="Arial" w:cs="Arial"/>
          <w:color w:val="000000"/>
          <w:sz w:val="20"/>
          <w:szCs w:val="20"/>
        </w:rPr>
        <w:t>Nawanjana</w:t>
      </w:r>
      <w:proofErr w:type="spellEnd"/>
      <w:r w:rsidRPr="007A63C4">
        <w:rPr>
          <w:rFonts w:ascii="Arial" w:hAnsi="Arial" w:cs="Arial"/>
          <w:color w:val="000000"/>
          <w:sz w:val="20"/>
          <w:szCs w:val="20"/>
        </w:rPr>
        <w:t xml:space="preserve">, P.W.I., Rathnayake, R.M.S.K. &amp; </w:t>
      </w:r>
      <w:proofErr w:type="spellStart"/>
      <w:r w:rsidRPr="007A63C4">
        <w:rPr>
          <w:rFonts w:ascii="Arial" w:hAnsi="Arial" w:cs="Arial"/>
          <w:color w:val="000000"/>
          <w:sz w:val="20"/>
          <w:szCs w:val="20"/>
        </w:rPr>
        <w:t>Senavirathna</w:t>
      </w:r>
      <w:proofErr w:type="spellEnd"/>
      <w:r w:rsidRPr="007A63C4">
        <w:rPr>
          <w:rFonts w:ascii="Arial" w:hAnsi="Arial" w:cs="Arial"/>
          <w:color w:val="000000"/>
          <w:sz w:val="20"/>
          <w:szCs w:val="20"/>
        </w:rPr>
        <w:t xml:space="preserve">, H.M.T.N. (2019). The establishment of the species-delimits and varietal-identities of the cultivated </w:t>
      </w:r>
      <w:r w:rsidRPr="007A63C4">
        <w:rPr>
          <w:rFonts w:ascii="Arial" w:hAnsi="Arial" w:cs="Arial"/>
          <w:color w:val="000000"/>
          <w:sz w:val="20"/>
          <w:szCs w:val="20"/>
        </w:rPr>
        <w:lastRenderedPageBreak/>
        <w:t xml:space="preserve">germplasm of </w:t>
      </w:r>
      <w:r w:rsidRPr="007A63C4">
        <w:rPr>
          <w:rFonts w:ascii="Arial" w:hAnsi="Arial" w:cs="Arial"/>
          <w:i/>
          <w:iCs/>
          <w:color w:val="000000"/>
          <w:sz w:val="20"/>
          <w:szCs w:val="20"/>
        </w:rPr>
        <w:t xml:space="preserve">Luffa </w:t>
      </w:r>
      <w:proofErr w:type="spellStart"/>
      <w:r w:rsidRPr="007A63C4">
        <w:rPr>
          <w:rFonts w:ascii="Arial" w:hAnsi="Arial" w:cs="Arial"/>
          <w:i/>
          <w:iCs/>
          <w:color w:val="000000"/>
          <w:sz w:val="20"/>
          <w:szCs w:val="20"/>
        </w:rPr>
        <w:t>acutangula</w:t>
      </w:r>
      <w:proofErr w:type="spellEnd"/>
      <w:r w:rsidRPr="007A63C4">
        <w:rPr>
          <w:rFonts w:ascii="Arial" w:hAnsi="Arial" w:cs="Arial"/>
          <w:i/>
          <w:iCs/>
          <w:color w:val="000000"/>
          <w:sz w:val="20"/>
          <w:szCs w:val="20"/>
        </w:rPr>
        <w:t xml:space="preserve"> </w:t>
      </w:r>
      <w:r w:rsidRPr="007A63C4">
        <w:rPr>
          <w:rFonts w:ascii="Arial" w:hAnsi="Arial" w:cs="Arial"/>
          <w:color w:val="000000"/>
          <w:sz w:val="20"/>
          <w:szCs w:val="20"/>
        </w:rPr>
        <w:t xml:space="preserve">and </w:t>
      </w:r>
      <w:r w:rsidRPr="007A63C4">
        <w:rPr>
          <w:rFonts w:ascii="Arial" w:hAnsi="Arial" w:cs="Arial"/>
          <w:i/>
          <w:iCs/>
          <w:color w:val="000000"/>
          <w:sz w:val="20"/>
          <w:szCs w:val="20"/>
        </w:rPr>
        <w:t xml:space="preserve">Luffa aegyptiaca </w:t>
      </w:r>
      <w:r w:rsidRPr="007A63C4">
        <w:rPr>
          <w:rFonts w:ascii="Arial" w:hAnsi="Arial" w:cs="Arial"/>
          <w:color w:val="000000"/>
          <w:sz w:val="20"/>
          <w:szCs w:val="20"/>
        </w:rPr>
        <w:t xml:space="preserve">in Sri Lanka using morphometric, organoleptic and phylogenetic approaches. </w:t>
      </w:r>
      <w:proofErr w:type="spellStart"/>
      <w:r w:rsidRPr="007A63C4">
        <w:rPr>
          <w:rFonts w:ascii="Arial" w:hAnsi="Arial" w:cs="Arial"/>
          <w:iCs/>
          <w:color w:val="000000"/>
          <w:sz w:val="20"/>
          <w:szCs w:val="20"/>
        </w:rPr>
        <w:t>PLoS</w:t>
      </w:r>
      <w:proofErr w:type="spellEnd"/>
      <w:r w:rsidRPr="007A63C4">
        <w:rPr>
          <w:rFonts w:ascii="Arial" w:hAnsi="Arial" w:cs="Arial"/>
          <w:iCs/>
          <w:color w:val="000000"/>
          <w:sz w:val="20"/>
          <w:szCs w:val="20"/>
        </w:rPr>
        <w:t xml:space="preserve"> One</w:t>
      </w:r>
      <w:r w:rsidRPr="007A63C4">
        <w:rPr>
          <w:rFonts w:ascii="Arial" w:hAnsi="Arial" w:cs="Arial"/>
          <w:color w:val="000000"/>
          <w:sz w:val="20"/>
          <w:szCs w:val="20"/>
        </w:rPr>
        <w:t xml:space="preserve">, 14 (4), 0215176. </w:t>
      </w:r>
    </w:p>
    <w:p w14:paraId="5FAD10C9"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Madhavi, N., Naidu, L.N., Reddy, R.V.S.K., Jyothi, K.U., Babu, D.R. &amp; Krishna, U. (2023). Mean performance of ridge gourd parents and hybrids for yield and quality characters. </w:t>
      </w:r>
      <w:r w:rsidRPr="007A63C4">
        <w:rPr>
          <w:rFonts w:ascii="Arial" w:hAnsi="Arial" w:cs="Arial"/>
          <w:iCs/>
          <w:color w:val="000000"/>
          <w:sz w:val="20"/>
          <w:szCs w:val="20"/>
        </w:rPr>
        <w:t>Journal of Pharmaceutical Innovation,</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10(11), 1230-1240.  </w:t>
      </w:r>
    </w:p>
    <w:p w14:paraId="0D69DAC5"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proofErr w:type="spellStart"/>
      <w:r w:rsidRPr="007A63C4">
        <w:rPr>
          <w:rFonts w:ascii="Arial" w:hAnsi="Arial" w:cs="Arial"/>
          <w:color w:val="000000"/>
          <w:sz w:val="20"/>
          <w:szCs w:val="20"/>
        </w:rPr>
        <w:t>Mim</w:t>
      </w:r>
      <w:proofErr w:type="spellEnd"/>
      <w:r w:rsidRPr="007A63C4">
        <w:rPr>
          <w:rFonts w:ascii="Arial" w:hAnsi="Arial" w:cs="Arial"/>
          <w:color w:val="000000"/>
          <w:sz w:val="20"/>
          <w:szCs w:val="20"/>
        </w:rPr>
        <w:t xml:space="preserve">, T.T., Sheikh, M.H., Chowdhury, S., Akter, R., Khan, M.A.A. &amp; Habib, M.T. (2021). Deep learning-based sponge gourd diseases recognition for commercial cultivation in Bangladesh. In: Masrour, T., </w:t>
      </w:r>
      <w:proofErr w:type="spellStart"/>
      <w:r w:rsidRPr="007A63C4">
        <w:rPr>
          <w:rFonts w:ascii="Arial" w:hAnsi="Arial" w:cs="Arial"/>
          <w:color w:val="000000"/>
          <w:sz w:val="20"/>
          <w:szCs w:val="20"/>
        </w:rPr>
        <w:t>Cherrafi</w:t>
      </w:r>
      <w:proofErr w:type="spellEnd"/>
      <w:r w:rsidRPr="007A63C4">
        <w:rPr>
          <w:rFonts w:ascii="Arial" w:hAnsi="Arial" w:cs="Arial"/>
          <w:color w:val="000000"/>
          <w:sz w:val="20"/>
          <w:szCs w:val="20"/>
        </w:rPr>
        <w:t xml:space="preserve">, A., El Hassani, I. (Eds.), Artificial Intelligence and Industrial Applications. A2IA 2020. Advances in Intelligent Systems and Computing, 1193. </w:t>
      </w:r>
      <w:r w:rsidRPr="007A63C4">
        <w:rPr>
          <w:rFonts w:ascii="Arial" w:hAnsi="Arial" w:cs="Arial"/>
          <w:iCs/>
          <w:color w:val="000000"/>
          <w:sz w:val="20"/>
          <w:szCs w:val="20"/>
        </w:rPr>
        <w:t>Springer, Cham.</w:t>
      </w:r>
      <w:r w:rsidRPr="007A63C4">
        <w:rPr>
          <w:rFonts w:ascii="Arial" w:hAnsi="Arial" w:cs="Arial"/>
          <w:color w:val="000000"/>
          <w:sz w:val="20"/>
          <w:szCs w:val="20"/>
        </w:rPr>
        <w:t xml:space="preserve"> </w:t>
      </w:r>
    </w:p>
    <w:p w14:paraId="30FA72B0"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Mohiddin, S.G., </w:t>
      </w:r>
      <w:proofErr w:type="spellStart"/>
      <w:r w:rsidRPr="007A63C4">
        <w:rPr>
          <w:rFonts w:ascii="Arial" w:hAnsi="Arial" w:cs="Arial"/>
          <w:color w:val="000000"/>
          <w:sz w:val="20"/>
          <w:szCs w:val="20"/>
        </w:rPr>
        <w:t>Kerketta</w:t>
      </w:r>
      <w:proofErr w:type="spellEnd"/>
      <w:r w:rsidRPr="007A63C4">
        <w:rPr>
          <w:rFonts w:ascii="Arial" w:hAnsi="Arial" w:cs="Arial"/>
          <w:color w:val="000000"/>
          <w:sz w:val="20"/>
          <w:szCs w:val="20"/>
        </w:rPr>
        <w:t xml:space="preserve">, A., Bahadur, V., </w:t>
      </w:r>
      <w:proofErr w:type="spellStart"/>
      <w:r w:rsidRPr="007A63C4">
        <w:rPr>
          <w:rFonts w:ascii="Arial" w:hAnsi="Arial" w:cs="Arial"/>
          <w:color w:val="000000"/>
          <w:sz w:val="20"/>
          <w:szCs w:val="20"/>
        </w:rPr>
        <w:t>Tpno</w:t>
      </w:r>
      <w:proofErr w:type="spellEnd"/>
      <w:r w:rsidRPr="007A63C4">
        <w:rPr>
          <w:rFonts w:ascii="Arial" w:hAnsi="Arial" w:cs="Arial"/>
          <w:color w:val="000000"/>
          <w:sz w:val="20"/>
          <w:szCs w:val="20"/>
        </w:rPr>
        <w:t>, S.E., Priyanka, T.S. &amp; Mohiddin, S.A.K. (2022). Evaluation of different genotypes of sponge gourds (</w:t>
      </w:r>
      <w:r w:rsidRPr="007A63C4">
        <w:rPr>
          <w:rFonts w:ascii="Arial" w:hAnsi="Arial" w:cs="Arial"/>
          <w:i/>
          <w:color w:val="000000"/>
          <w:sz w:val="20"/>
          <w:szCs w:val="20"/>
        </w:rPr>
        <w:t xml:space="preserve">Luffa cylindrica </w:t>
      </w:r>
      <w:r w:rsidRPr="007A63C4">
        <w:rPr>
          <w:rFonts w:ascii="Arial" w:hAnsi="Arial" w:cs="Arial"/>
          <w:color w:val="000000"/>
          <w:sz w:val="20"/>
          <w:szCs w:val="20"/>
        </w:rPr>
        <w:t xml:space="preserve">M. Roem.) for growth yield and fruit quality in Prayagraj </w:t>
      </w:r>
      <w:proofErr w:type="spellStart"/>
      <w:r w:rsidRPr="007A63C4">
        <w:rPr>
          <w:rFonts w:ascii="Arial" w:hAnsi="Arial" w:cs="Arial"/>
          <w:color w:val="000000"/>
          <w:sz w:val="20"/>
          <w:szCs w:val="20"/>
        </w:rPr>
        <w:t>agro</w:t>
      </w:r>
      <w:proofErr w:type="spellEnd"/>
      <w:r w:rsidRPr="007A63C4">
        <w:rPr>
          <w:rFonts w:ascii="Arial" w:hAnsi="Arial" w:cs="Arial"/>
          <w:color w:val="000000"/>
          <w:sz w:val="20"/>
          <w:szCs w:val="20"/>
        </w:rPr>
        <w:t xml:space="preserve">-climatic conditions. </w:t>
      </w:r>
      <w:r w:rsidRPr="007A63C4">
        <w:rPr>
          <w:rFonts w:ascii="Arial" w:hAnsi="Arial" w:cs="Arial"/>
          <w:iCs/>
          <w:color w:val="000000"/>
          <w:sz w:val="20"/>
          <w:szCs w:val="20"/>
        </w:rPr>
        <w:t>International Journal of Environment and Climate Change,</w:t>
      </w:r>
      <w:r w:rsidRPr="007A63C4">
        <w:rPr>
          <w:rFonts w:ascii="Arial" w:hAnsi="Arial" w:cs="Arial"/>
          <w:i/>
          <w:color w:val="000000"/>
          <w:sz w:val="20"/>
          <w:szCs w:val="20"/>
        </w:rPr>
        <w:t xml:space="preserve"> </w:t>
      </w:r>
      <w:r w:rsidRPr="007A63C4">
        <w:rPr>
          <w:rFonts w:ascii="Arial" w:hAnsi="Arial" w:cs="Arial"/>
          <w:color w:val="000000"/>
          <w:sz w:val="20"/>
          <w:szCs w:val="20"/>
        </w:rPr>
        <w:t>12(11), 66-72.</w:t>
      </w:r>
    </w:p>
    <w:p w14:paraId="130E897B"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iCs/>
          <w:sz w:val="20"/>
          <w:szCs w:val="20"/>
        </w:rPr>
        <w:t xml:space="preserve">Panse, V.G. &amp; </w:t>
      </w:r>
      <w:proofErr w:type="spellStart"/>
      <w:r w:rsidRPr="007A63C4">
        <w:rPr>
          <w:rFonts w:ascii="Arial" w:hAnsi="Arial" w:cs="Arial"/>
          <w:iCs/>
          <w:sz w:val="20"/>
          <w:szCs w:val="20"/>
        </w:rPr>
        <w:t>Sukhatme</w:t>
      </w:r>
      <w:proofErr w:type="spellEnd"/>
      <w:r w:rsidRPr="007A63C4">
        <w:rPr>
          <w:rFonts w:ascii="Arial" w:hAnsi="Arial" w:cs="Arial"/>
          <w:iCs/>
          <w:sz w:val="20"/>
          <w:szCs w:val="20"/>
        </w:rPr>
        <w:t xml:space="preserve">, P.V. (2000). Statistical methods for agricultural workers. Publication and Information, Division of ICAR, New Delhi. </w:t>
      </w:r>
      <w:r w:rsidRPr="007A63C4">
        <w:rPr>
          <w:rFonts w:ascii="Arial" w:hAnsi="Arial" w:cs="Arial"/>
          <w:sz w:val="20"/>
          <w:szCs w:val="20"/>
        </w:rPr>
        <w:t>328p.</w:t>
      </w:r>
    </w:p>
    <w:p w14:paraId="2FBCE85C"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Searle, S.R. (1961). The value of endive selection. Mass selection. </w:t>
      </w:r>
      <w:proofErr w:type="spellStart"/>
      <w:r w:rsidRPr="007A63C4">
        <w:rPr>
          <w:rFonts w:ascii="Arial" w:hAnsi="Arial" w:cs="Arial"/>
          <w:iCs/>
          <w:sz w:val="20"/>
          <w:szCs w:val="20"/>
        </w:rPr>
        <w:t>Biometrika</w:t>
      </w:r>
      <w:proofErr w:type="spellEnd"/>
      <w:r w:rsidRPr="007A63C4">
        <w:rPr>
          <w:rFonts w:ascii="Arial" w:hAnsi="Arial" w:cs="Arial"/>
          <w:iCs/>
          <w:sz w:val="20"/>
          <w:szCs w:val="20"/>
        </w:rPr>
        <w:t>,</w:t>
      </w:r>
      <w:r w:rsidRPr="007A63C4">
        <w:rPr>
          <w:rFonts w:ascii="Arial" w:hAnsi="Arial" w:cs="Arial"/>
          <w:i/>
          <w:sz w:val="20"/>
          <w:szCs w:val="20"/>
        </w:rPr>
        <w:t xml:space="preserve"> </w:t>
      </w:r>
      <w:r w:rsidRPr="007A63C4">
        <w:rPr>
          <w:rFonts w:ascii="Arial" w:hAnsi="Arial" w:cs="Arial"/>
          <w:sz w:val="20"/>
          <w:szCs w:val="20"/>
        </w:rPr>
        <w:t>21, 682-709.</w:t>
      </w:r>
    </w:p>
    <w:p w14:paraId="7D2ADF7E"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Sharma, N., </w:t>
      </w:r>
      <w:proofErr w:type="spellStart"/>
      <w:r w:rsidRPr="007A63C4">
        <w:rPr>
          <w:rFonts w:ascii="Arial" w:hAnsi="Arial" w:cs="Arial"/>
          <w:color w:val="000000"/>
          <w:sz w:val="20"/>
          <w:szCs w:val="20"/>
        </w:rPr>
        <w:t>Gasti</w:t>
      </w:r>
      <w:proofErr w:type="spellEnd"/>
      <w:r w:rsidRPr="007A63C4">
        <w:rPr>
          <w:rFonts w:ascii="Arial" w:hAnsi="Arial" w:cs="Arial"/>
          <w:color w:val="000000"/>
          <w:sz w:val="20"/>
          <w:szCs w:val="20"/>
        </w:rPr>
        <w:t xml:space="preserve">, V.D., </w:t>
      </w:r>
      <w:proofErr w:type="spellStart"/>
      <w:r w:rsidRPr="007A63C4">
        <w:rPr>
          <w:rFonts w:ascii="Arial" w:hAnsi="Arial" w:cs="Arial"/>
          <w:color w:val="000000"/>
          <w:sz w:val="20"/>
          <w:szCs w:val="20"/>
        </w:rPr>
        <w:t>Kerutagi</w:t>
      </w:r>
      <w:proofErr w:type="spellEnd"/>
      <w:r w:rsidRPr="007A63C4">
        <w:rPr>
          <w:rFonts w:ascii="Arial" w:hAnsi="Arial" w:cs="Arial"/>
          <w:color w:val="000000"/>
          <w:sz w:val="20"/>
          <w:szCs w:val="20"/>
        </w:rPr>
        <w:t xml:space="preserve">, M.G., Rathod, V., Raut, N.B. &amp; </w:t>
      </w:r>
      <w:proofErr w:type="spellStart"/>
      <w:r w:rsidRPr="007A63C4">
        <w:rPr>
          <w:rFonts w:ascii="Arial" w:hAnsi="Arial" w:cs="Arial"/>
          <w:color w:val="000000"/>
          <w:sz w:val="20"/>
          <w:szCs w:val="20"/>
        </w:rPr>
        <w:t>Masuthi</w:t>
      </w:r>
      <w:proofErr w:type="spellEnd"/>
      <w:r w:rsidRPr="007A63C4">
        <w:rPr>
          <w:rFonts w:ascii="Arial" w:hAnsi="Arial" w:cs="Arial"/>
          <w:color w:val="000000"/>
          <w:sz w:val="20"/>
          <w:szCs w:val="20"/>
        </w:rPr>
        <w:t>, D.A. (2023). A character association and path coefficient analysis for yield and yield contributing traits in F2 population of bitter gourd (</w:t>
      </w:r>
      <w:r w:rsidRPr="007A63C4">
        <w:rPr>
          <w:rFonts w:ascii="Arial" w:hAnsi="Arial" w:cs="Arial"/>
          <w:i/>
          <w:color w:val="000000"/>
          <w:sz w:val="20"/>
          <w:szCs w:val="20"/>
        </w:rPr>
        <w:t xml:space="preserve">Momordica </w:t>
      </w:r>
      <w:proofErr w:type="spellStart"/>
      <w:r w:rsidRPr="007A63C4">
        <w:rPr>
          <w:rFonts w:ascii="Arial" w:hAnsi="Arial" w:cs="Arial"/>
          <w:i/>
          <w:color w:val="000000"/>
          <w:sz w:val="20"/>
          <w:szCs w:val="20"/>
        </w:rPr>
        <w:t>charantia</w:t>
      </w:r>
      <w:proofErr w:type="spellEnd"/>
      <w:r w:rsidRPr="007A63C4">
        <w:rPr>
          <w:rFonts w:ascii="Arial" w:hAnsi="Arial" w:cs="Arial"/>
          <w:i/>
          <w:color w:val="000000"/>
          <w:sz w:val="20"/>
          <w:szCs w:val="20"/>
        </w:rPr>
        <w:t xml:space="preserve"> </w:t>
      </w:r>
      <w:r w:rsidRPr="007A63C4">
        <w:rPr>
          <w:rFonts w:ascii="Arial" w:hAnsi="Arial" w:cs="Arial"/>
          <w:color w:val="000000"/>
          <w:sz w:val="20"/>
          <w:szCs w:val="20"/>
        </w:rPr>
        <w:t>L</w:t>
      </w:r>
      <w:r w:rsidRPr="007A63C4">
        <w:rPr>
          <w:rFonts w:ascii="Arial" w:hAnsi="Arial" w:cs="Arial"/>
          <w:i/>
          <w:color w:val="000000"/>
          <w:sz w:val="20"/>
          <w:szCs w:val="20"/>
        </w:rPr>
        <w:t xml:space="preserve">.) </w:t>
      </w:r>
      <w:r w:rsidRPr="007A63C4">
        <w:rPr>
          <w:rFonts w:ascii="Arial" w:hAnsi="Arial" w:cs="Arial"/>
          <w:iCs/>
          <w:color w:val="000000"/>
          <w:sz w:val="20"/>
          <w:szCs w:val="20"/>
        </w:rPr>
        <w:t>Biological Forum – An International Journal,</w:t>
      </w:r>
      <w:r w:rsidRPr="007A63C4">
        <w:rPr>
          <w:rFonts w:ascii="Arial" w:hAnsi="Arial" w:cs="Arial"/>
          <w:i/>
          <w:color w:val="000000"/>
          <w:sz w:val="20"/>
          <w:szCs w:val="20"/>
        </w:rPr>
        <w:t xml:space="preserve"> </w:t>
      </w:r>
      <w:r w:rsidRPr="007A63C4">
        <w:rPr>
          <w:rFonts w:ascii="Arial" w:hAnsi="Arial" w:cs="Arial"/>
          <w:color w:val="000000"/>
          <w:sz w:val="20"/>
          <w:szCs w:val="20"/>
        </w:rPr>
        <w:t>15(1), 124-128.</w:t>
      </w:r>
    </w:p>
    <w:p w14:paraId="70CCEF50"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Singh, B.P., Singh, R.B., Pandey, P., Kashyap, N., Kumar, S., Mishra, A., Yadav, L. &amp; Gupta, H. (2023). Studies on character association and path coefficient analysis for various qualitative and quantitative traits in bottle gourd (Lagenaria</w:t>
      </w:r>
      <w:r w:rsidRPr="007A63C4">
        <w:rPr>
          <w:rFonts w:ascii="Arial" w:hAnsi="Arial" w:cs="Arial"/>
          <w:i/>
          <w:color w:val="000000"/>
          <w:sz w:val="20"/>
          <w:szCs w:val="20"/>
        </w:rPr>
        <w:t xml:space="preserve"> siceraria </w:t>
      </w:r>
      <w:r w:rsidRPr="007A63C4">
        <w:rPr>
          <w:rFonts w:ascii="Arial" w:hAnsi="Arial" w:cs="Arial"/>
          <w:color w:val="000000"/>
          <w:sz w:val="20"/>
          <w:szCs w:val="20"/>
        </w:rPr>
        <w:t xml:space="preserve">Mol. </w:t>
      </w:r>
      <w:proofErr w:type="spellStart"/>
      <w:r w:rsidRPr="007A63C4">
        <w:rPr>
          <w:rFonts w:ascii="Arial" w:hAnsi="Arial" w:cs="Arial"/>
          <w:color w:val="000000"/>
          <w:sz w:val="20"/>
          <w:szCs w:val="20"/>
        </w:rPr>
        <w:t>Standl</w:t>
      </w:r>
      <w:proofErr w:type="spellEnd"/>
      <w:r w:rsidRPr="007A63C4">
        <w:rPr>
          <w:rFonts w:ascii="Arial" w:hAnsi="Arial" w:cs="Arial"/>
          <w:color w:val="000000"/>
          <w:sz w:val="20"/>
          <w:szCs w:val="20"/>
        </w:rPr>
        <w:t xml:space="preserve">.). </w:t>
      </w:r>
      <w:r w:rsidRPr="007A63C4">
        <w:rPr>
          <w:rFonts w:ascii="Arial" w:hAnsi="Arial" w:cs="Arial"/>
          <w:iCs/>
          <w:color w:val="000000"/>
          <w:sz w:val="20"/>
          <w:szCs w:val="20"/>
        </w:rPr>
        <w:t>Journal of Pharmaceutical Innovation,</w:t>
      </w:r>
      <w:r w:rsidRPr="007A63C4">
        <w:rPr>
          <w:rFonts w:ascii="Arial" w:hAnsi="Arial" w:cs="Arial"/>
          <w:color w:val="000000"/>
          <w:sz w:val="20"/>
          <w:szCs w:val="20"/>
        </w:rPr>
        <w:t xml:space="preserve"> 11 (7), 3511-3513.</w:t>
      </w:r>
    </w:p>
    <w:p w14:paraId="0105CAB9"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Som, I., </w:t>
      </w:r>
      <w:proofErr w:type="spellStart"/>
      <w:r w:rsidRPr="007A63C4">
        <w:rPr>
          <w:rFonts w:ascii="Arial" w:hAnsi="Arial" w:cs="Arial"/>
          <w:color w:val="000000"/>
          <w:sz w:val="20"/>
          <w:szCs w:val="20"/>
        </w:rPr>
        <w:t>Kunjam</w:t>
      </w:r>
      <w:proofErr w:type="spellEnd"/>
      <w:r w:rsidRPr="007A63C4">
        <w:rPr>
          <w:rFonts w:ascii="Arial" w:hAnsi="Arial" w:cs="Arial"/>
          <w:color w:val="000000"/>
          <w:sz w:val="20"/>
          <w:szCs w:val="20"/>
        </w:rPr>
        <w:t>, K. &amp; Thakur, R. (2020). Correlation and path analysis in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L. Roem.). </w:t>
      </w:r>
      <w:r w:rsidRPr="007A63C4">
        <w:rPr>
          <w:rFonts w:ascii="Arial" w:hAnsi="Arial" w:cs="Arial"/>
          <w:iCs/>
          <w:color w:val="000000"/>
          <w:sz w:val="20"/>
          <w:szCs w:val="20"/>
        </w:rPr>
        <w:t>Journal of Pharmacognosy and Phytochemistry, 9</w:t>
      </w:r>
      <w:r w:rsidRPr="007A63C4">
        <w:rPr>
          <w:rFonts w:ascii="Arial" w:hAnsi="Arial" w:cs="Arial"/>
          <w:color w:val="000000"/>
          <w:sz w:val="20"/>
          <w:szCs w:val="20"/>
        </w:rPr>
        <w:t>(1), 327-329.</w:t>
      </w:r>
    </w:p>
    <w:p w14:paraId="563EDC05"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Webber, C.R. &amp; Moorthy, B.R. 1952. Heritable and non-heritable relationship and variability of oil content and agronomic characters in the F2 generation of soyabean cross. Agronomy Journal, </w:t>
      </w:r>
      <w:r w:rsidRPr="007A63C4">
        <w:rPr>
          <w:rFonts w:ascii="Arial" w:hAnsi="Arial" w:cs="Arial"/>
          <w:bCs/>
          <w:sz w:val="20"/>
          <w:szCs w:val="20"/>
        </w:rPr>
        <w:t>44</w:t>
      </w:r>
      <w:r w:rsidRPr="007A63C4">
        <w:rPr>
          <w:rFonts w:ascii="Arial" w:hAnsi="Arial" w:cs="Arial"/>
          <w:sz w:val="20"/>
          <w:szCs w:val="20"/>
        </w:rPr>
        <w:t>, 202-209.</w:t>
      </w:r>
    </w:p>
    <w:p w14:paraId="448B8A3A" w14:textId="77777777" w:rsidR="0098638B" w:rsidRPr="007A63C4"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Yadav, V., Mishra, A.C., Singh, R.B., Kumar, P., Kumar, S., Singh, R. &amp; Yadav, G. (2024). Assessment of genetic variability, heritability and genetic advance among the characters of sponge gourd (</w:t>
      </w:r>
      <w:r w:rsidRPr="007A63C4">
        <w:rPr>
          <w:rFonts w:ascii="Arial" w:hAnsi="Arial" w:cs="Arial"/>
          <w:i/>
          <w:color w:val="000000"/>
          <w:sz w:val="20"/>
          <w:szCs w:val="20"/>
        </w:rPr>
        <w:t xml:space="preserve">Luffa </w:t>
      </w:r>
      <w:proofErr w:type="spellStart"/>
      <w:r w:rsidRPr="007A63C4">
        <w:rPr>
          <w:rFonts w:ascii="Arial" w:hAnsi="Arial" w:cs="Arial"/>
          <w:i/>
          <w:color w:val="000000"/>
          <w:sz w:val="20"/>
          <w:szCs w:val="20"/>
        </w:rPr>
        <w:t>cylindrca</w:t>
      </w:r>
      <w:proofErr w:type="spellEnd"/>
      <w:r w:rsidRPr="007A63C4">
        <w:rPr>
          <w:rFonts w:ascii="Arial" w:hAnsi="Arial" w:cs="Arial"/>
          <w:color w:val="000000"/>
          <w:sz w:val="20"/>
          <w:szCs w:val="20"/>
        </w:rPr>
        <w:t xml:space="preserve"> L. Roem). </w:t>
      </w:r>
      <w:r w:rsidRPr="007A63C4">
        <w:rPr>
          <w:rFonts w:ascii="Arial" w:hAnsi="Arial" w:cs="Arial"/>
          <w:iCs/>
          <w:color w:val="000000"/>
          <w:sz w:val="20"/>
          <w:szCs w:val="20"/>
        </w:rPr>
        <w:t>International Journal of Environment and Climate Change,</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14(1), 71-478. </w:t>
      </w:r>
    </w:p>
    <w:p w14:paraId="56497988" w14:textId="77777777" w:rsidR="00C153E1" w:rsidRDefault="00C153E1" w:rsidP="0024106E">
      <w:pPr>
        <w:autoSpaceDE w:val="0"/>
        <w:autoSpaceDN w:val="0"/>
        <w:adjustRightInd w:val="0"/>
        <w:spacing w:after="0" w:line="360" w:lineRule="auto"/>
        <w:ind w:left="720" w:hanging="720"/>
        <w:jc w:val="both"/>
        <w:rPr>
          <w:rFonts w:ascii="Times New Roman" w:hAnsi="Times New Roman" w:cs="Times New Roman"/>
          <w:color w:val="000000"/>
          <w:sz w:val="24"/>
          <w:szCs w:val="24"/>
        </w:rPr>
      </w:pPr>
    </w:p>
    <w:sectPr w:rsidR="00C153E1" w:rsidSect="00F902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49B4" w14:textId="77777777" w:rsidR="00EE3389" w:rsidRDefault="00EE3389" w:rsidP="000F7F9A">
      <w:pPr>
        <w:spacing w:after="0" w:line="240" w:lineRule="auto"/>
      </w:pPr>
      <w:r>
        <w:separator/>
      </w:r>
    </w:p>
  </w:endnote>
  <w:endnote w:type="continuationSeparator" w:id="0">
    <w:p w14:paraId="72AA2702" w14:textId="77777777" w:rsidR="00EE3389" w:rsidRDefault="00EE3389" w:rsidP="000F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D50A" w14:textId="77777777" w:rsidR="00041722" w:rsidRDefault="0004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B22" w14:textId="77777777" w:rsidR="00041722" w:rsidRDefault="00041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A83C" w14:textId="77777777" w:rsidR="00041722" w:rsidRDefault="0004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71AC" w14:textId="77777777" w:rsidR="00EE3389" w:rsidRDefault="00EE3389" w:rsidP="000F7F9A">
      <w:pPr>
        <w:spacing w:after="0" w:line="240" w:lineRule="auto"/>
      </w:pPr>
      <w:r>
        <w:separator/>
      </w:r>
    </w:p>
  </w:footnote>
  <w:footnote w:type="continuationSeparator" w:id="0">
    <w:p w14:paraId="13A02432" w14:textId="77777777" w:rsidR="00EE3389" w:rsidRDefault="00EE3389" w:rsidP="000F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0F80" w14:textId="1A82F780" w:rsidR="00041722" w:rsidRDefault="00041722">
    <w:pPr>
      <w:pStyle w:val="Header"/>
    </w:pPr>
    <w:r>
      <w:rPr>
        <w:noProof/>
      </w:rPr>
      <w:pict w14:anchorId="20D1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3A80" w14:textId="1255E3A7" w:rsidR="00041722" w:rsidRDefault="00041722">
    <w:pPr>
      <w:pStyle w:val="Header"/>
    </w:pPr>
    <w:r>
      <w:rPr>
        <w:noProof/>
      </w:rPr>
      <w:pict w14:anchorId="5E984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8D29" w14:textId="7F9939C5" w:rsidR="00041722" w:rsidRDefault="00041722">
    <w:pPr>
      <w:pStyle w:val="Header"/>
    </w:pPr>
    <w:r>
      <w:rPr>
        <w:noProof/>
      </w:rPr>
      <w:pict w14:anchorId="4C309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7B79"/>
    <w:multiLevelType w:val="multilevel"/>
    <w:tmpl w:val="07360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BF09AC"/>
    <w:multiLevelType w:val="hybridMultilevel"/>
    <w:tmpl w:val="ADD8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24016">
    <w:abstractNumId w:val="1"/>
  </w:num>
  <w:num w:numId="2" w16cid:durableId="74876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F1"/>
    <w:rsid w:val="000150F1"/>
    <w:rsid w:val="00041722"/>
    <w:rsid w:val="0005040B"/>
    <w:rsid w:val="00084D5B"/>
    <w:rsid w:val="00090BF4"/>
    <w:rsid w:val="00091C12"/>
    <w:rsid w:val="000A3D2C"/>
    <w:rsid w:val="000A7958"/>
    <w:rsid w:val="000F5A36"/>
    <w:rsid w:val="000F7F9A"/>
    <w:rsid w:val="001103FA"/>
    <w:rsid w:val="001338D5"/>
    <w:rsid w:val="00160264"/>
    <w:rsid w:val="00166B81"/>
    <w:rsid w:val="00167FEC"/>
    <w:rsid w:val="001C2CD5"/>
    <w:rsid w:val="001F063A"/>
    <w:rsid w:val="001F0F15"/>
    <w:rsid w:val="0021234F"/>
    <w:rsid w:val="002353BC"/>
    <w:rsid w:val="00235785"/>
    <w:rsid w:val="0024106E"/>
    <w:rsid w:val="00264B0E"/>
    <w:rsid w:val="002671AB"/>
    <w:rsid w:val="002747F3"/>
    <w:rsid w:val="00274AC1"/>
    <w:rsid w:val="0027504A"/>
    <w:rsid w:val="00275EB9"/>
    <w:rsid w:val="002860E9"/>
    <w:rsid w:val="002B2471"/>
    <w:rsid w:val="00302074"/>
    <w:rsid w:val="003C05D1"/>
    <w:rsid w:val="003C1030"/>
    <w:rsid w:val="00440F98"/>
    <w:rsid w:val="00442192"/>
    <w:rsid w:val="0047263F"/>
    <w:rsid w:val="004B76AA"/>
    <w:rsid w:val="004C7E16"/>
    <w:rsid w:val="004D631E"/>
    <w:rsid w:val="00511ED2"/>
    <w:rsid w:val="00542ABF"/>
    <w:rsid w:val="005445EC"/>
    <w:rsid w:val="005503DE"/>
    <w:rsid w:val="0056389B"/>
    <w:rsid w:val="00575E23"/>
    <w:rsid w:val="00576E7E"/>
    <w:rsid w:val="00593866"/>
    <w:rsid w:val="0061082A"/>
    <w:rsid w:val="00612DCC"/>
    <w:rsid w:val="00633BB0"/>
    <w:rsid w:val="006443F2"/>
    <w:rsid w:val="0067470D"/>
    <w:rsid w:val="00675747"/>
    <w:rsid w:val="006865CA"/>
    <w:rsid w:val="006B1761"/>
    <w:rsid w:val="006C0628"/>
    <w:rsid w:val="006C382D"/>
    <w:rsid w:val="006D4154"/>
    <w:rsid w:val="00717B10"/>
    <w:rsid w:val="0078292D"/>
    <w:rsid w:val="007B00E4"/>
    <w:rsid w:val="007B5227"/>
    <w:rsid w:val="007F0775"/>
    <w:rsid w:val="007F3DDF"/>
    <w:rsid w:val="007F4A2D"/>
    <w:rsid w:val="00803927"/>
    <w:rsid w:val="008232DD"/>
    <w:rsid w:val="008632C6"/>
    <w:rsid w:val="00865A9D"/>
    <w:rsid w:val="008802F6"/>
    <w:rsid w:val="0088427D"/>
    <w:rsid w:val="008916F8"/>
    <w:rsid w:val="008A40E7"/>
    <w:rsid w:val="008A6059"/>
    <w:rsid w:val="008C1B49"/>
    <w:rsid w:val="008C30FB"/>
    <w:rsid w:val="008D5348"/>
    <w:rsid w:val="008E5D90"/>
    <w:rsid w:val="009347FA"/>
    <w:rsid w:val="00937E99"/>
    <w:rsid w:val="009471F9"/>
    <w:rsid w:val="00950ED2"/>
    <w:rsid w:val="0096057C"/>
    <w:rsid w:val="0098638B"/>
    <w:rsid w:val="00987DDA"/>
    <w:rsid w:val="009976F4"/>
    <w:rsid w:val="009A55D8"/>
    <w:rsid w:val="009A7EEE"/>
    <w:rsid w:val="009E6124"/>
    <w:rsid w:val="00A0436E"/>
    <w:rsid w:val="00A06E6F"/>
    <w:rsid w:val="00A103E1"/>
    <w:rsid w:val="00A127B8"/>
    <w:rsid w:val="00A14CF0"/>
    <w:rsid w:val="00A15EE8"/>
    <w:rsid w:val="00A24D70"/>
    <w:rsid w:val="00A40EF1"/>
    <w:rsid w:val="00A50B13"/>
    <w:rsid w:val="00A50C6A"/>
    <w:rsid w:val="00A63AAB"/>
    <w:rsid w:val="00A763A5"/>
    <w:rsid w:val="00AA6BEB"/>
    <w:rsid w:val="00AC0A03"/>
    <w:rsid w:val="00AC258F"/>
    <w:rsid w:val="00AC2A1C"/>
    <w:rsid w:val="00AE5B2B"/>
    <w:rsid w:val="00B066EF"/>
    <w:rsid w:val="00B52572"/>
    <w:rsid w:val="00B5364C"/>
    <w:rsid w:val="00B63A06"/>
    <w:rsid w:val="00B640B8"/>
    <w:rsid w:val="00B7282B"/>
    <w:rsid w:val="00B8573D"/>
    <w:rsid w:val="00BA39B3"/>
    <w:rsid w:val="00C153E1"/>
    <w:rsid w:val="00C22578"/>
    <w:rsid w:val="00C42F17"/>
    <w:rsid w:val="00CF1587"/>
    <w:rsid w:val="00CF55FB"/>
    <w:rsid w:val="00D00063"/>
    <w:rsid w:val="00D07D48"/>
    <w:rsid w:val="00D145A8"/>
    <w:rsid w:val="00D23794"/>
    <w:rsid w:val="00D33937"/>
    <w:rsid w:val="00D34028"/>
    <w:rsid w:val="00D4499B"/>
    <w:rsid w:val="00D4668B"/>
    <w:rsid w:val="00D50219"/>
    <w:rsid w:val="00D74DA5"/>
    <w:rsid w:val="00D846FD"/>
    <w:rsid w:val="00D9375E"/>
    <w:rsid w:val="00DB0CD2"/>
    <w:rsid w:val="00DC3623"/>
    <w:rsid w:val="00DD444A"/>
    <w:rsid w:val="00DE3A8E"/>
    <w:rsid w:val="00DF6BBC"/>
    <w:rsid w:val="00E10F97"/>
    <w:rsid w:val="00E14F57"/>
    <w:rsid w:val="00E15E63"/>
    <w:rsid w:val="00E16F1A"/>
    <w:rsid w:val="00E24A43"/>
    <w:rsid w:val="00E25F03"/>
    <w:rsid w:val="00E567E4"/>
    <w:rsid w:val="00E62BEB"/>
    <w:rsid w:val="00E67857"/>
    <w:rsid w:val="00EA1713"/>
    <w:rsid w:val="00EA2417"/>
    <w:rsid w:val="00EB0DBF"/>
    <w:rsid w:val="00EB5389"/>
    <w:rsid w:val="00EB732A"/>
    <w:rsid w:val="00EB7F67"/>
    <w:rsid w:val="00ED4E4E"/>
    <w:rsid w:val="00ED5F46"/>
    <w:rsid w:val="00ED7FF1"/>
    <w:rsid w:val="00EE3389"/>
    <w:rsid w:val="00F26B59"/>
    <w:rsid w:val="00F31FBB"/>
    <w:rsid w:val="00F75B86"/>
    <w:rsid w:val="00F90272"/>
    <w:rsid w:val="00FA53D7"/>
    <w:rsid w:val="00FA6607"/>
    <w:rsid w:val="00FB0F52"/>
    <w:rsid w:val="00FB2D36"/>
    <w:rsid w:val="00FD0907"/>
    <w:rsid w:val="00FE0807"/>
    <w:rsid w:val="00FE27F6"/>
    <w:rsid w:val="00FF24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4CB1"/>
  <w15:docId w15:val="{F5E26768-282C-433F-ACEF-3D56F603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0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0E4"/>
    <w:rPr>
      <w:rFonts w:ascii="Tahoma" w:hAnsi="Tahoma" w:cs="Tahoma"/>
      <w:sz w:val="16"/>
      <w:szCs w:val="16"/>
    </w:rPr>
  </w:style>
  <w:style w:type="paragraph" w:styleId="BodyText">
    <w:name w:val="Body Text"/>
    <w:basedOn w:val="Normal"/>
    <w:link w:val="BodyTextChar"/>
    <w:uiPriority w:val="1"/>
    <w:qFormat/>
    <w:rsid w:val="00A63AAB"/>
    <w:pPr>
      <w:widowControl w:val="0"/>
      <w:autoSpaceDE w:val="0"/>
      <w:autoSpaceDN w:val="0"/>
      <w:spacing w:after="0" w:line="240" w:lineRule="auto"/>
      <w:ind w:left="5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3AAB"/>
    <w:rPr>
      <w:rFonts w:ascii="Times New Roman" w:eastAsia="Times New Roman" w:hAnsi="Times New Roman" w:cs="Times New Roman"/>
      <w:sz w:val="24"/>
      <w:szCs w:val="24"/>
    </w:rPr>
  </w:style>
  <w:style w:type="table" w:styleId="TableGrid">
    <w:name w:val="Table Grid"/>
    <w:basedOn w:val="TableNormal"/>
    <w:uiPriority w:val="59"/>
    <w:rsid w:val="00A63A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37E99"/>
    <w:rPr>
      <w:color w:val="0000FF" w:themeColor="hyperlink"/>
      <w:u w:val="single"/>
    </w:rPr>
  </w:style>
  <w:style w:type="paragraph" w:styleId="Header">
    <w:name w:val="header"/>
    <w:basedOn w:val="Normal"/>
    <w:link w:val="HeaderChar"/>
    <w:uiPriority w:val="99"/>
    <w:unhideWhenUsed/>
    <w:rsid w:val="000F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9A"/>
  </w:style>
  <w:style w:type="paragraph" w:styleId="Footer">
    <w:name w:val="footer"/>
    <w:basedOn w:val="Normal"/>
    <w:link w:val="FooterChar"/>
    <w:uiPriority w:val="99"/>
    <w:unhideWhenUsed/>
    <w:rsid w:val="000F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9A"/>
  </w:style>
  <w:style w:type="paragraph" w:styleId="ListParagraph">
    <w:name w:val="List Paragraph"/>
    <w:basedOn w:val="Normal"/>
    <w:uiPriority w:val="34"/>
    <w:qFormat/>
    <w:rsid w:val="00090BF4"/>
    <w:pPr>
      <w:ind w:left="720"/>
      <w:contextualSpacing/>
    </w:pPr>
  </w:style>
  <w:style w:type="paragraph" w:styleId="NoSpacing">
    <w:name w:val="No Spacing"/>
    <w:uiPriority w:val="1"/>
    <w:qFormat/>
    <w:rsid w:val="00E25F03"/>
    <w:pPr>
      <w:spacing w:after="0" w:line="240" w:lineRule="auto"/>
    </w:pPr>
    <w:rPr>
      <w:kern w:val="2"/>
      <w:sz w:val="24"/>
      <w:szCs w:val="21"/>
      <w:lang w:bidi="hi-IN"/>
    </w:rPr>
  </w:style>
  <w:style w:type="paragraph" w:customStyle="1" w:styleId="References">
    <w:name w:val="References"/>
    <w:basedOn w:val="Normal"/>
    <w:rsid w:val="00A50B13"/>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19012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Premeheswari-fi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14085739282593E-2"/>
          <c:y val="9.4554542265871774E-2"/>
          <c:w val="0.81155862536986068"/>
          <c:h val="0.73519736503525257"/>
        </c:manualLayout>
      </c:layout>
      <c:barChart>
        <c:barDir val="col"/>
        <c:grouping val="clustered"/>
        <c:varyColors val="0"/>
        <c:ser>
          <c:idx val="0"/>
          <c:order val="0"/>
          <c:tx>
            <c:strRef>
              <c:f>'tab fig'!$C$118</c:f>
              <c:strCache>
                <c:ptCount val="1"/>
                <c:pt idx="0">
                  <c:v>GCV (%)</c:v>
                </c:pt>
              </c:strCache>
            </c:strRef>
          </c:tx>
          <c:spPr>
            <a:solidFill>
              <a:srgbClr val="00B050"/>
            </a:solidFill>
          </c:spPr>
          <c:invertIfNegative val="0"/>
          <c:cat>
            <c:strRef>
              <c:f>'tab fig'!$B$119:$B$138</c:f>
              <c:strCache>
                <c:ptCount val="20"/>
                <c:pt idx="0">
                  <c:v>DFSFA</c:v>
                </c:pt>
                <c:pt idx="1">
                  <c:v>DFPFA</c:v>
                </c:pt>
                <c:pt idx="2">
                  <c:v>NNFSFA</c:v>
                </c:pt>
                <c:pt idx="3">
                  <c:v>NNFPFA</c:v>
                </c:pt>
                <c:pt idx="4">
                  <c:v>NPB</c:v>
                </c:pt>
                <c:pt idx="5">
                  <c:v>INL</c:v>
                </c:pt>
                <c:pt idx="6">
                  <c:v>PL</c:v>
                </c:pt>
                <c:pt idx="7">
                  <c:v>DFFH</c:v>
                </c:pt>
                <c:pt idx="8">
                  <c:v>FL</c:v>
                </c:pt>
                <c:pt idx="9">
                  <c:v>FW</c:v>
                </c:pt>
                <c:pt idx="10">
                  <c:v>AFW</c:v>
                </c:pt>
                <c:pt idx="11">
                  <c:v>NFPP</c:v>
                </c:pt>
                <c:pt idx="12">
                  <c:v>VL</c:v>
                </c:pt>
                <c:pt idx="13">
                  <c:v>T.S.S </c:v>
                </c:pt>
                <c:pt idx="14">
                  <c:v>DM</c:v>
                </c:pt>
                <c:pt idx="15">
                  <c:v>MC</c:v>
                </c:pt>
                <c:pt idx="16">
                  <c:v>AA</c:v>
                </c:pt>
                <c:pt idx="17">
                  <c:v>CHL</c:v>
                </c:pt>
                <c:pt idx="18">
                  <c:v>YPP</c:v>
                </c:pt>
                <c:pt idx="19">
                  <c:v>YQH</c:v>
                </c:pt>
              </c:strCache>
            </c:strRef>
          </c:cat>
          <c:val>
            <c:numRef>
              <c:f>'tab fig'!$C$119:$C$138</c:f>
              <c:numCache>
                <c:formatCode>0.00</c:formatCode>
                <c:ptCount val="20"/>
                <c:pt idx="0">
                  <c:v>10.63071342049423</c:v>
                </c:pt>
                <c:pt idx="1">
                  <c:v>8.2700985898787582</c:v>
                </c:pt>
                <c:pt idx="2">
                  <c:v>9.2129122040089992</c:v>
                </c:pt>
                <c:pt idx="3">
                  <c:v>4.2189350548506317</c:v>
                </c:pt>
                <c:pt idx="4">
                  <c:v>18.067953567891511</c:v>
                </c:pt>
                <c:pt idx="5">
                  <c:v>4.4719521716430224</c:v>
                </c:pt>
                <c:pt idx="6">
                  <c:v>6.0554896450330737</c:v>
                </c:pt>
                <c:pt idx="7">
                  <c:v>6.4919965290236972</c:v>
                </c:pt>
                <c:pt idx="8">
                  <c:v>10.94207801897651</c:v>
                </c:pt>
                <c:pt idx="9">
                  <c:v>7.1537370740417972</c:v>
                </c:pt>
                <c:pt idx="10">
                  <c:v>2.937377172362412</c:v>
                </c:pt>
                <c:pt idx="11">
                  <c:v>11.597357769078503</c:v>
                </c:pt>
                <c:pt idx="12">
                  <c:v>18.993012204575152</c:v>
                </c:pt>
                <c:pt idx="13">
                  <c:v>12.422951082107241</c:v>
                </c:pt>
                <c:pt idx="14">
                  <c:v>26.29860473248203</c:v>
                </c:pt>
                <c:pt idx="15">
                  <c:v>1.6163385547156754</c:v>
                </c:pt>
                <c:pt idx="16">
                  <c:v>12.486297451179929</c:v>
                </c:pt>
                <c:pt idx="17">
                  <c:v>19.888781176092206</c:v>
                </c:pt>
                <c:pt idx="18">
                  <c:v>12.675515172027954</c:v>
                </c:pt>
                <c:pt idx="19">
                  <c:v>12.468693867601091</c:v>
                </c:pt>
              </c:numCache>
            </c:numRef>
          </c:val>
          <c:extLst>
            <c:ext xmlns:c16="http://schemas.microsoft.com/office/drawing/2014/chart" uri="{C3380CC4-5D6E-409C-BE32-E72D297353CC}">
              <c16:uniqueId val="{00000000-6CFA-4284-89D3-718DBFBA6129}"/>
            </c:ext>
          </c:extLst>
        </c:ser>
        <c:ser>
          <c:idx val="1"/>
          <c:order val="1"/>
          <c:tx>
            <c:strRef>
              <c:f>'tab fig'!$D$118</c:f>
              <c:strCache>
                <c:ptCount val="1"/>
                <c:pt idx="0">
                  <c:v>PCV (%)</c:v>
                </c:pt>
              </c:strCache>
            </c:strRef>
          </c:tx>
          <c:spPr>
            <a:solidFill>
              <a:srgbClr val="FF0000"/>
            </a:solidFill>
          </c:spPr>
          <c:invertIfNegative val="0"/>
          <c:cat>
            <c:strRef>
              <c:f>'tab fig'!$B$120:$B$138</c:f>
              <c:strCache>
                <c:ptCount val="19"/>
                <c:pt idx="0">
                  <c:v>DFPFA</c:v>
                </c:pt>
                <c:pt idx="1">
                  <c:v>NNFSFA</c:v>
                </c:pt>
                <c:pt idx="2">
                  <c:v>NNFPFA</c:v>
                </c:pt>
                <c:pt idx="3">
                  <c:v>NPB</c:v>
                </c:pt>
                <c:pt idx="4">
                  <c:v>INL</c:v>
                </c:pt>
                <c:pt idx="5">
                  <c:v>PL</c:v>
                </c:pt>
                <c:pt idx="6">
                  <c:v>DFFH</c:v>
                </c:pt>
                <c:pt idx="7">
                  <c:v>FL</c:v>
                </c:pt>
                <c:pt idx="8">
                  <c:v>FW</c:v>
                </c:pt>
                <c:pt idx="9">
                  <c:v>AFW</c:v>
                </c:pt>
                <c:pt idx="10">
                  <c:v>NFPP</c:v>
                </c:pt>
                <c:pt idx="11">
                  <c:v>VL</c:v>
                </c:pt>
                <c:pt idx="12">
                  <c:v>T.S.S </c:v>
                </c:pt>
                <c:pt idx="13">
                  <c:v>DM</c:v>
                </c:pt>
                <c:pt idx="14">
                  <c:v>MC</c:v>
                </c:pt>
                <c:pt idx="15">
                  <c:v>AA</c:v>
                </c:pt>
                <c:pt idx="16">
                  <c:v>CHL</c:v>
                </c:pt>
                <c:pt idx="17">
                  <c:v>YPP</c:v>
                </c:pt>
                <c:pt idx="18">
                  <c:v>YQH</c:v>
                </c:pt>
              </c:strCache>
            </c:strRef>
          </c:cat>
          <c:val>
            <c:numRef>
              <c:f>'tab fig'!$D$120:$D$138</c:f>
              <c:numCache>
                <c:formatCode>0.00</c:formatCode>
                <c:ptCount val="19"/>
                <c:pt idx="0">
                  <c:v>9.4696611840664193</c:v>
                </c:pt>
                <c:pt idx="1">
                  <c:v>12.023529318244192</c:v>
                </c:pt>
                <c:pt idx="2">
                  <c:v>7.8605675776813744</c:v>
                </c:pt>
                <c:pt idx="3">
                  <c:v>19.468557528065304</c:v>
                </c:pt>
                <c:pt idx="4">
                  <c:v>9.3066254329878948</c:v>
                </c:pt>
                <c:pt idx="5">
                  <c:v>9.74411834692072</c:v>
                </c:pt>
                <c:pt idx="6">
                  <c:v>8.7509833474972591</c:v>
                </c:pt>
                <c:pt idx="7">
                  <c:v>12.498661015556319</c:v>
                </c:pt>
                <c:pt idx="8">
                  <c:v>9.2191434696272516</c:v>
                </c:pt>
                <c:pt idx="9">
                  <c:v>5.9327406775425651</c:v>
                </c:pt>
                <c:pt idx="10">
                  <c:v>13.154019877782135</c:v>
                </c:pt>
                <c:pt idx="11">
                  <c:v>20.711979750173924</c:v>
                </c:pt>
                <c:pt idx="12">
                  <c:v>12.933260141841487</c:v>
                </c:pt>
                <c:pt idx="13">
                  <c:v>26.708377535238828</c:v>
                </c:pt>
                <c:pt idx="14">
                  <c:v>1.6441170085973589</c:v>
                </c:pt>
                <c:pt idx="15">
                  <c:v>13.046814151834718</c:v>
                </c:pt>
                <c:pt idx="16">
                  <c:v>20.422533420184589</c:v>
                </c:pt>
                <c:pt idx="17">
                  <c:v>14.611721350125549</c:v>
                </c:pt>
                <c:pt idx="18">
                  <c:v>14.514299788500836</c:v>
                </c:pt>
              </c:numCache>
            </c:numRef>
          </c:val>
          <c:extLst>
            <c:ext xmlns:c16="http://schemas.microsoft.com/office/drawing/2014/chart" uri="{C3380CC4-5D6E-409C-BE32-E72D297353CC}">
              <c16:uniqueId val="{00000001-6CFA-4284-89D3-718DBFBA6129}"/>
            </c:ext>
          </c:extLst>
        </c:ser>
        <c:dLbls>
          <c:showLegendKey val="0"/>
          <c:showVal val="0"/>
          <c:showCatName val="0"/>
          <c:showSerName val="0"/>
          <c:showPercent val="0"/>
          <c:showBubbleSize val="0"/>
        </c:dLbls>
        <c:gapWidth val="150"/>
        <c:axId val="343442176"/>
        <c:axId val="351123712"/>
      </c:barChart>
      <c:catAx>
        <c:axId val="343442176"/>
        <c:scaling>
          <c:orientation val="minMax"/>
        </c:scaling>
        <c:delete val="0"/>
        <c:axPos val="b"/>
        <c:numFmt formatCode="General" sourceLinked="0"/>
        <c:majorTickMark val="out"/>
        <c:minorTickMark val="none"/>
        <c:tickLblPos val="nextTo"/>
        <c:spPr>
          <a:ln w="19050">
            <a:solidFill>
              <a:srgbClr val="002060"/>
            </a:solidFill>
          </a:ln>
        </c:spPr>
        <c:crossAx val="351123712"/>
        <c:crosses val="autoZero"/>
        <c:auto val="1"/>
        <c:lblAlgn val="ctr"/>
        <c:lblOffset val="100"/>
        <c:noMultiLvlLbl val="0"/>
      </c:catAx>
      <c:valAx>
        <c:axId val="351123712"/>
        <c:scaling>
          <c:orientation val="minMax"/>
          <c:max val="30"/>
        </c:scaling>
        <c:delete val="0"/>
        <c:axPos val="l"/>
        <c:title>
          <c:tx>
            <c:rich>
              <a:bodyPr rot="-5400000" vert="horz"/>
              <a:lstStyle/>
              <a:p>
                <a:pPr>
                  <a:defRPr/>
                </a:pPr>
                <a:r>
                  <a:rPr lang="en-US"/>
                  <a:t>GCV/PCV (%)</a:t>
                </a:r>
              </a:p>
            </c:rich>
          </c:tx>
          <c:overlay val="0"/>
        </c:title>
        <c:numFmt formatCode="0" sourceLinked="0"/>
        <c:majorTickMark val="out"/>
        <c:minorTickMark val="none"/>
        <c:tickLblPos val="nextTo"/>
        <c:spPr>
          <a:ln w="19050">
            <a:solidFill>
              <a:srgbClr val="002060"/>
            </a:solidFill>
          </a:ln>
        </c:spPr>
        <c:crossAx val="343442176"/>
        <c:crosses val="autoZero"/>
        <c:crossBetween val="between"/>
        <c:majorUnit val="10"/>
      </c:valAx>
    </c:plotArea>
    <c:legend>
      <c:legendPos val="r"/>
      <c:layout>
        <c:manualLayout>
          <c:xMode val="edge"/>
          <c:yMode val="edge"/>
          <c:x val="0.54335817418965526"/>
          <c:y val="9.6438680459060271E-3"/>
          <c:w val="0.23217580658458487"/>
          <c:h val="0.1377968195152079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515D-F52A-4371-9825-1441DB20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cp:revision>
  <dcterms:created xsi:type="dcterms:W3CDTF">2025-06-28T13:53:00Z</dcterms:created>
  <dcterms:modified xsi:type="dcterms:W3CDTF">2025-06-30T05:32:00Z</dcterms:modified>
</cp:coreProperties>
</file>