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F9B56" w14:textId="77777777" w:rsidR="00BC5489" w:rsidRPr="00BC5489" w:rsidRDefault="00BC5489" w:rsidP="00BC5489">
      <w:pPr>
        <w:spacing w:before="100" w:beforeAutospacing="1" w:after="0" w:line="276" w:lineRule="auto"/>
        <w:contextualSpacing/>
        <w:jc w:val="left"/>
        <w:rPr>
          <w:rFonts w:eastAsia="Times New Roman" w:cs="Times New Roman"/>
          <w:b/>
          <w:bCs/>
          <w:i/>
          <w:iCs/>
          <w:color w:val="000000"/>
          <w:kern w:val="0"/>
          <w:u w:val="single"/>
          <w14:ligatures w14:val="none"/>
        </w:rPr>
      </w:pPr>
      <w:r w:rsidRPr="00BC5489">
        <w:rPr>
          <w:rFonts w:eastAsia="Times New Roman" w:cs="Times New Roman"/>
          <w:b/>
          <w:bCs/>
          <w:i/>
          <w:iCs/>
          <w:color w:val="000000"/>
          <w:kern w:val="0"/>
          <w:u w:val="single"/>
          <w14:ligatures w14:val="none"/>
        </w:rPr>
        <w:t>Original Research Article</w:t>
      </w:r>
    </w:p>
    <w:p w14:paraId="5EAC29FE" w14:textId="77777777" w:rsidR="00084A63" w:rsidRPr="00C6358B" w:rsidRDefault="00084A63">
      <w:pPr>
        <w:spacing w:before="100" w:beforeAutospacing="1" w:after="0" w:line="276" w:lineRule="auto"/>
        <w:contextualSpacing/>
        <w:jc w:val="left"/>
        <w:rPr>
          <w:rFonts w:eastAsia="Times New Roman" w:cs="Times New Roman"/>
          <w:b/>
          <w:bCs/>
          <w:iCs/>
          <w:color w:val="000000"/>
          <w:kern w:val="0"/>
          <w14:ligatures w14:val="none"/>
        </w:rPr>
      </w:pPr>
    </w:p>
    <w:p w14:paraId="0DD3CC6B" w14:textId="73F7F0CF" w:rsidR="00084A63" w:rsidRPr="00C6358B" w:rsidRDefault="00083BFB">
      <w:pPr>
        <w:spacing w:before="100" w:beforeAutospacing="1" w:after="0" w:line="276" w:lineRule="auto"/>
        <w:contextualSpacing/>
        <w:jc w:val="left"/>
        <w:rPr>
          <w:rFonts w:eastAsia="Calibri" w:cs="Times New Roman"/>
          <w:b/>
          <w:bCs/>
          <w:kern w:val="0"/>
          <w14:ligatures w14:val="none"/>
        </w:rPr>
      </w:pPr>
      <w:r w:rsidRPr="00C6358B">
        <w:rPr>
          <w:rFonts w:eastAsia="Times New Roman" w:cs="Times New Roman"/>
          <w:b/>
          <w:bCs/>
          <w:iCs/>
          <w:color w:val="000000"/>
          <w:kern w:val="0"/>
          <w14:ligatures w14:val="none"/>
        </w:rPr>
        <w:t xml:space="preserve">Knowledge, Perceptions and Uptake of Human Papilloma Virus (HPV) vaccination among </w:t>
      </w:r>
      <w:r w:rsidR="00444F37" w:rsidRPr="00C6358B">
        <w:rPr>
          <w:rFonts w:eastAsia="Calibri" w:cs="Times New Roman"/>
          <w:b/>
          <w:bCs/>
          <w:kern w:val="0"/>
          <w14:ligatures w14:val="none"/>
        </w:rPr>
        <w:t xml:space="preserve">Female Healthcare Professionals </w:t>
      </w:r>
      <w:r w:rsidRPr="00C6358B">
        <w:rPr>
          <w:rFonts w:eastAsia="Calibri" w:cs="Times New Roman"/>
          <w:b/>
          <w:bCs/>
          <w:kern w:val="0"/>
          <w14:ligatures w14:val="none"/>
        </w:rPr>
        <w:t xml:space="preserve">in a State in Southern Nigeria. </w:t>
      </w:r>
    </w:p>
    <w:p w14:paraId="1155E1DE" w14:textId="77777777" w:rsidR="00084A63" w:rsidRPr="00C6358B" w:rsidRDefault="00084A63">
      <w:pPr>
        <w:spacing w:after="0" w:line="276" w:lineRule="auto"/>
        <w:jc w:val="left"/>
        <w:rPr>
          <w:rFonts w:eastAsia="Times New Roman" w:cs="Times New Roman"/>
          <w:b/>
          <w:bCs/>
          <w:color w:val="000000"/>
          <w:kern w:val="0"/>
          <w14:ligatures w14:val="none"/>
        </w:rPr>
      </w:pPr>
    </w:p>
    <w:p w14:paraId="69CBF499" w14:textId="58818619" w:rsidR="00084A63" w:rsidRPr="00C6358B" w:rsidRDefault="00084A63">
      <w:pPr>
        <w:spacing w:after="0" w:line="240" w:lineRule="auto"/>
        <w:jc w:val="left"/>
        <w:rPr>
          <w:rFonts w:eastAsia="Times New Roman" w:cs="Times New Roman"/>
          <w:b/>
          <w:bCs/>
          <w:color w:val="000000"/>
          <w:kern w:val="0"/>
          <w14:ligatures w14:val="none"/>
        </w:rPr>
      </w:pPr>
    </w:p>
    <w:p w14:paraId="50738712" w14:textId="77777777" w:rsidR="00084A63" w:rsidRPr="00C6358B" w:rsidRDefault="00083BFB">
      <w:pPr>
        <w:keepNext/>
        <w:keepLines/>
        <w:spacing w:before="240" w:after="0" w:line="240" w:lineRule="auto"/>
        <w:outlineLvl w:val="0"/>
        <w:rPr>
          <w:rFonts w:eastAsia="Times New Roman" w:cs="Times New Roman"/>
          <w:b/>
          <w:kern w:val="0"/>
          <w:lang w:val="en-GB"/>
          <w14:ligatures w14:val="none"/>
        </w:rPr>
      </w:pPr>
      <w:r w:rsidRPr="00C6358B">
        <w:rPr>
          <w:rFonts w:eastAsia="Times New Roman" w:cs="Times New Roman"/>
          <w:b/>
          <w:kern w:val="0"/>
          <w:lang w:val="en-GB"/>
          <w14:ligatures w14:val="none"/>
        </w:rPr>
        <w:t>ABSTRACT</w:t>
      </w:r>
    </w:p>
    <w:p w14:paraId="7B11902F" w14:textId="77777777" w:rsidR="00084A63" w:rsidRPr="00C6358B" w:rsidRDefault="00083BFB">
      <w:pPr>
        <w:rPr>
          <w:rFonts w:eastAsia="Times New Roman" w:cs="Times New Roman"/>
          <w:lang w:val="en-GB"/>
        </w:rPr>
      </w:pPr>
      <w:r w:rsidRPr="00C6358B">
        <w:rPr>
          <w:rFonts w:cs="Times New Roman"/>
        </w:rPr>
        <w:t xml:space="preserve"> </w:t>
      </w:r>
    </w:p>
    <w:p w14:paraId="4931FE0F" w14:textId="386A9981" w:rsidR="006464FE" w:rsidRDefault="00083BFB" w:rsidP="0047665B">
      <w:pPr>
        <w:spacing w:line="360" w:lineRule="auto"/>
      </w:pPr>
      <w:r w:rsidRPr="00C6358B">
        <w:rPr>
          <w:rFonts w:eastAsia="Calibri"/>
          <w:b/>
        </w:rPr>
        <w:t>Aims:</w:t>
      </w:r>
      <w:r w:rsidRPr="00C6358B">
        <w:rPr>
          <w:rFonts w:eastAsia="Calibri"/>
          <w:lang w:val="en-GB"/>
        </w:rPr>
        <w:t xml:space="preserve"> </w:t>
      </w:r>
      <w:r w:rsidRPr="00C6358B">
        <w:t>Cervical cancer remains a major public health problem and a leading cause of cancer related dea</w:t>
      </w:r>
      <w:r w:rsidRPr="00C6358B">
        <w:t xml:space="preserve">th among women in developing countries. The Human Papilloma virus (HPV) vaccine is a major preventative measure for Cervical cancer; however global vaccine uptake is low in low and middle-income countries like ours. </w:t>
      </w:r>
      <w:r w:rsidR="006464FE" w:rsidRPr="00243869">
        <w:t>This study assessed the awareness, knowledge, attitude, and uptake of HPV vaccination among healthcare pr</w:t>
      </w:r>
      <w:bookmarkStart w:id="0" w:name="_GoBack"/>
      <w:bookmarkEnd w:id="0"/>
      <w:r w:rsidR="006464FE" w:rsidRPr="00243869">
        <w:t>ofessionals in Nigeria</w:t>
      </w:r>
      <w:r w:rsidR="006464FE">
        <w:t xml:space="preserve">. </w:t>
      </w:r>
    </w:p>
    <w:p w14:paraId="6F5E4FAD" w14:textId="59EBE160" w:rsidR="00084A63" w:rsidRPr="00C6358B" w:rsidRDefault="00083BFB" w:rsidP="0047665B">
      <w:pPr>
        <w:spacing w:line="360" w:lineRule="auto"/>
        <w:rPr>
          <w:rFonts w:eastAsia="Calibri"/>
          <w:bCs/>
        </w:rPr>
      </w:pPr>
      <w:r w:rsidRPr="00C6358B">
        <w:rPr>
          <w:rFonts w:eastAsia="Calibri"/>
          <w:b/>
        </w:rPr>
        <w:t>Study design</w:t>
      </w:r>
      <w:r w:rsidRPr="00C6358B">
        <w:rPr>
          <w:rFonts w:eastAsia="Calibri"/>
          <w:bCs/>
        </w:rPr>
        <w:t>: This was a cross – sectional study</w:t>
      </w:r>
    </w:p>
    <w:p w14:paraId="1023A4D9" w14:textId="3AF64C31" w:rsidR="00084A63" w:rsidRPr="00C6358B" w:rsidRDefault="00083BFB" w:rsidP="0047665B">
      <w:pPr>
        <w:spacing w:line="360" w:lineRule="auto"/>
        <w:rPr>
          <w:rFonts w:eastAsia="Calibri"/>
          <w:bCs/>
        </w:rPr>
      </w:pPr>
      <w:r w:rsidRPr="00C6358B">
        <w:rPr>
          <w:rFonts w:eastAsia="Calibri"/>
          <w:b/>
        </w:rPr>
        <w:t>Place &amp; Duration</w:t>
      </w:r>
      <w:r w:rsidRPr="00C6358B">
        <w:rPr>
          <w:rFonts w:eastAsia="Calibri"/>
          <w:bCs/>
        </w:rPr>
        <w:t xml:space="preserve"> of Study: This study was carried out in Bayelsa state Nigeria</w:t>
      </w:r>
      <w:r w:rsidR="00E96003">
        <w:rPr>
          <w:rFonts w:eastAsia="Calibri"/>
          <w:bCs/>
        </w:rPr>
        <w:t>.</w:t>
      </w:r>
      <w:r w:rsidRPr="00C6358B">
        <w:rPr>
          <w:rFonts w:eastAsia="Calibri"/>
          <w:bCs/>
        </w:rPr>
        <w:t xml:space="preserve"> between January 2024 and March 2024.</w:t>
      </w:r>
    </w:p>
    <w:p w14:paraId="4277DC31" w14:textId="6C9F6BC5" w:rsidR="00084A63" w:rsidRPr="00C6358B" w:rsidRDefault="00083BFB" w:rsidP="0047665B">
      <w:pPr>
        <w:spacing w:line="360" w:lineRule="auto"/>
        <w:rPr>
          <w:rFonts w:eastAsia="Calibri"/>
          <w:bCs/>
        </w:rPr>
      </w:pPr>
      <w:r w:rsidRPr="00C6358B">
        <w:rPr>
          <w:rFonts w:eastAsia="Calibri"/>
          <w:b/>
        </w:rPr>
        <w:t xml:space="preserve">Method: </w:t>
      </w:r>
      <w:r w:rsidRPr="00C6358B">
        <w:rPr>
          <w:rFonts w:eastAsia="Calibri"/>
          <w:bCs/>
        </w:rPr>
        <w:t xml:space="preserve">Study was done using </w:t>
      </w:r>
      <w:r w:rsidR="00E96003">
        <w:rPr>
          <w:rFonts w:eastAsia="Calibri"/>
          <w:bCs/>
        </w:rPr>
        <w:t xml:space="preserve">self-administered </w:t>
      </w:r>
      <w:r w:rsidRPr="00C6358B">
        <w:rPr>
          <w:rFonts w:eastAsia="Calibri"/>
          <w:bCs/>
        </w:rPr>
        <w:t>semi-structured questionnaires on 178 consenting female health care professionals. Data was represented using simple percentages and tables. The questions were made to capture the objectives of the study.</w:t>
      </w:r>
    </w:p>
    <w:p w14:paraId="0B4728F5" w14:textId="069B2B64" w:rsidR="00084A63" w:rsidRPr="00C6358B" w:rsidRDefault="00083BFB" w:rsidP="0047665B">
      <w:pPr>
        <w:spacing w:line="360" w:lineRule="auto"/>
        <w:rPr>
          <w:rFonts w:eastAsia="Calibri"/>
        </w:rPr>
      </w:pPr>
      <w:r w:rsidRPr="00C6358B">
        <w:rPr>
          <w:rFonts w:eastAsia="Calibri"/>
          <w:b/>
        </w:rPr>
        <w:t>Resu</w:t>
      </w:r>
      <w:r w:rsidRPr="00C6358B">
        <w:rPr>
          <w:rFonts w:eastAsia="Calibri"/>
          <w:b/>
        </w:rPr>
        <w:t>lts:</w:t>
      </w:r>
      <w:r w:rsidRPr="00C6358B">
        <w:rPr>
          <w:rFonts w:eastAsia="Calibri"/>
          <w:lang w:val="en-GB"/>
        </w:rPr>
        <w:t xml:space="preserve"> </w:t>
      </w:r>
      <w:r w:rsidRPr="00C6358B">
        <w:rPr>
          <w:rFonts w:eastAsia="Calibri"/>
        </w:rPr>
        <w:t xml:space="preserve">Majority (85.5%) of the respondents </w:t>
      </w:r>
      <w:r w:rsidR="00E96003">
        <w:rPr>
          <w:rFonts w:eastAsia="Calibri"/>
        </w:rPr>
        <w:t>were</w:t>
      </w:r>
      <w:r w:rsidRPr="00C6358B">
        <w:rPr>
          <w:rFonts w:eastAsia="Calibri"/>
        </w:rPr>
        <w:t xml:space="preserve"> aware of the HPV vaccine. Uptake of the vaccine was poor (5.1%). Lack of information on where to get the vaccine (34.7%) was the most identified barrier to uptake. Majority of the respondents are willing to acc</w:t>
      </w:r>
      <w:r w:rsidRPr="00C6358B">
        <w:rPr>
          <w:rFonts w:eastAsia="Calibri"/>
        </w:rPr>
        <w:t>ept 92.0%) and recommend the vaccine (90.0%). About 98.3% and 96% of the respondents would recommend the</w:t>
      </w:r>
      <w:r w:rsidRPr="00C6358B">
        <w:rPr>
          <w:rFonts w:eastAsia="Calibri"/>
          <w:b/>
          <w:bCs/>
        </w:rPr>
        <w:t xml:space="preserve"> </w:t>
      </w:r>
      <w:r w:rsidRPr="00C6358B">
        <w:rPr>
          <w:rFonts w:eastAsia="Calibri"/>
          <w:bCs/>
        </w:rPr>
        <w:t>HPV vaccine to be taught about in schools for teenagers and adolescents as well as included in the Nigerian National Immunization Schedule.</w:t>
      </w:r>
    </w:p>
    <w:p w14:paraId="43FAFAB9" w14:textId="77777777" w:rsidR="00084A63" w:rsidRPr="00C6358B" w:rsidRDefault="00083BFB" w:rsidP="0047665B">
      <w:pPr>
        <w:spacing w:line="360" w:lineRule="auto"/>
      </w:pPr>
      <w:r w:rsidRPr="00C6358B">
        <w:rPr>
          <w:rFonts w:eastAsia="Calibri"/>
          <w:b/>
        </w:rPr>
        <w:t>Conclusions</w:t>
      </w:r>
      <w:r w:rsidRPr="00C6358B">
        <w:rPr>
          <w:rFonts w:eastAsia="Calibri"/>
        </w:rPr>
        <w:t>:</w:t>
      </w:r>
      <w:r w:rsidRPr="00C6358B">
        <w:t xml:space="preserve"> </w:t>
      </w:r>
      <w:r w:rsidRPr="00C6358B">
        <w:rPr>
          <w:color w:val="000000" w:themeColor="text1"/>
        </w:rPr>
        <w:t xml:space="preserve">Female healthcare professionals, who are vital in influencing public health behaviors, themselves demonstrate poor vaccination uptake </w:t>
      </w:r>
      <w:r w:rsidRPr="00C6358B">
        <w:t>despite high knowledge and acceptance of the HPV vaccine</w:t>
      </w:r>
      <w:r w:rsidRPr="00C6358B">
        <w:rPr>
          <w:color w:val="000000" w:themeColor="text1"/>
        </w:rPr>
        <w:t>. This can potentially undermine public health intervention driv</w:t>
      </w:r>
      <w:r w:rsidRPr="00C6358B">
        <w:rPr>
          <w:color w:val="000000" w:themeColor="text1"/>
        </w:rPr>
        <w:t xml:space="preserve">e towards elimination. </w:t>
      </w:r>
      <w:r w:rsidRPr="00C6358B">
        <w:t xml:space="preserve"> </w:t>
      </w:r>
    </w:p>
    <w:p w14:paraId="0E715C22" w14:textId="77777777" w:rsidR="00084A63" w:rsidRPr="00C6358B" w:rsidRDefault="00084A63" w:rsidP="0047665B">
      <w:pPr>
        <w:spacing w:line="360" w:lineRule="auto"/>
        <w:rPr>
          <w:rFonts w:eastAsia="Calibri"/>
          <w:b/>
          <w:bCs/>
        </w:rPr>
      </w:pPr>
    </w:p>
    <w:p w14:paraId="2DE83E6C" w14:textId="77777777" w:rsidR="00084A63" w:rsidRPr="00C6358B" w:rsidRDefault="00083BFB" w:rsidP="0047665B">
      <w:pPr>
        <w:spacing w:line="360" w:lineRule="auto"/>
        <w:rPr>
          <w:rFonts w:eastAsia="Calibri"/>
          <w:b/>
          <w:bCs/>
        </w:rPr>
      </w:pPr>
      <w:r w:rsidRPr="00C6358B">
        <w:rPr>
          <w:rFonts w:eastAsia="Calibri"/>
          <w:b/>
          <w:bCs/>
        </w:rPr>
        <w:t>Keywords: </w:t>
      </w:r>
    </w:p>
    <w:p w14:paraId="41AF864F" w14:textId="77777777" w:rsidR="00084A63" w:rsidRPr="00C6358B" w:rsidRDefault="00083BFB" w:rsidP="0047665B">
      <w:pPr>
        <w:spacing w:line="360" w:lineRule="auto"/>
        <w:rPr>
          <w:rFonts w:eastAsia="Calibri"/>
          <w:i/>
          <w:iCs/>
          <w:lang w:val="en-GB"/>
        </w:rPr>
      </w:pPr>
      <w:r w:rsidRPr="00C6358B">
        <w:rPr>
          <w:rFonts w:eastAsia="Calibri"/>
          <w:i/>
          <w:iCs/>
        </w:rPr>
        <w:lastRenderedPageBreak/>
        <w:t xml:space="preserve"> Cervical cancer, Knowledge, Attitude, Uptake, Vaccination, Females, Healthcare professionals</w:t>
      </w:r>
      <w:r w:rsidRPr="00C6358B">
        <w:rPr>
          <w:rFonts w:eastAsia="Calibri"/>
          <w:i/>
          <w:iCs/>
          <w:lang w:val="en-GB"/>
        </w:rPr>
        <w:t xml:space="preserve">                                                                            </w:t>
      </w:r>
    </w:p>
    <w:p w14:paraId="05C04CB6" w14:textId="77777777" w:rsidR="00084A63" w:rsidRPr="00C6358B" w:rsidRDefault="00084A63" w:rsidP="0047665B">
      <w:pPr>
        <w:spacing w:line="360" w:lineRule="auto"/>
        <w:rPr>
          <w:rFonts w:eastAsia="Calibri"/>
          <w:lang w:val="en-GB"/>
        </w:rPr>
      </w:pPr>
    </w:p>
    <w:p w14:paraId="3D4B8496" w14:textId="77777777" w:rsidR="00084A63" w:rsidRPr="00C6358B" w:rsidRDefault="00084A63">
      <w:pPr>
        <w:spacing w:after="200" w:line="480" w:lineRule="auto"/>
        <w:jc w:val="left"/>
        <w:rPr>
          <w:rFonts w:eastAsia="Calibri" w:cs="Times New Roman"/>
          <w:kern w:val="0"/>
          <w14:ligatures w14:val="none"/>
        </w:rPr>
        <w:sectPr w:rsidR="00084A63" w:rsidRPr="00C635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pPr>
    </w:p>
    <w:p w14:paraId="0F96540A" w14:textId="77777777" w:rsidR="00084A63" w:rsidRPr="00C6358B" w:rsidRDefault="00083BFB">
      <w:pPr>
        <w:keepNext/>
        <w:keepLines/>
        <w:spacing w:before="240" w:after="0" w:line="240" w:lineRule="auto"/>
        <w:outlineLvl w:val="0"/>
        <w:rPr>
          <w:rFonts w:eastAsia="Calibri" w:cs="Times New Roman"/>
          <w:b/>
          <w:kern w:val="0"/>
          <w:lang w:val="en-GB"/>
          <w14:ligatures w14:val="none"/>
        </w:rPr>
      </w:pPr>
      <w:r w:rsidRPr="00C6358B">
        <w:rPr>
          <w:rFonts w:eastAsia="Calibri" w:cs="Times New Roman"/>
          <w:b/>
          <w:kern w:val="0"/>
          <w:lang w:val="en-GB"/>
          <w14:ligatures w14:val="none"/>
        </w:rPr>
        <w:lastRenderedPageBreak/>
        <w:t>INTRODUCTION</w:t>
      </w:r>
    </w:p>
    <w:p w14:paraId="1522C98B" w14:textId="77777777" w:rsidR="00084A63" w:rsidRPr="00C6358B" w:rsidRDefault="00083BFB">
      <w:pPr>
        <w:rPr>
          <w:rFonts w:cs="Times New Roman"/>
          <w:color w:val="000000" w:themeColor="text1"/>
        </w:rPr>
      </w:pPr>
      <w:r w:rsidRPr="00C6358B">
        <w:rPr>
          <w:rFonts w:cs="Times New Roman"/>
          <w:color w:val="000000" w:themeColor="text1"/>
        </w:rPr>
        <w:t>Cervical cancer is the fourth most common cancer among women worldwide and remains the most prevalent malignancy linked to Human Papillomavirus (HPV) infection.</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{"citationItems":[{"id":"ITEM-1","itemData":{"ISBN":"97892400404</w:instrText>
      </w:r>
      <w:r w:rsidRPr="00C6358B">
        <w:rPr>
          <w:rFonts w:cs="Times New Roman"/>
          <w:color w:val="000000" w:themeColor="text1"/>
        </w:rPr>
        <w:instrText>34","abstract":"Second edition. Includes bibliographical references. - Description based on online resource; title from PDF title page (viewed February 8, 2022). This current guideline delivers the initial output of the second phase of the guideline update</w:instrText>
      </w:r>
      <w:r w:rsidRPr="00C6358B">
        <w:rPr>
          <w:rFonts w:cs="Times New Roman"/>
          <w:color w:val="000000" w:themeColor="text1"/>
        </w:rPr>
        <w:instrText>: recommendations for the use of HPV mRNA (messenger ribonucleic acid) tests for screening to detect cervical pre-cancer and prevent cervical cancer.","author":[{"dropping-particle":"","family":"World health organisation","given":"","non-dropping-particle"</w:instrText>
      </w:r>
      <w:r w:rsidRPr="00C6358B">
        <w:rPr>
          <w:rFonts w:cs="Times New Roman"/>
          <w:color w:val="000000" w:themeColor="text1"/>
        </w:rPr>
        <w:instrText>:"","parse-names":false,"suffix":""}],"id":"ITEM-1","issued":{"date-parts":[["2023"]]},"number-of-pages":"51","title":"WHO guideline for screening and treatment of cervical pre-cancer lesions for cervical cancer prevention use of mRNA tests for human papil</w:instrText>
      </w:r>
      <w:r w:rsidRPr="00C6358B">
        <w:rPr>
          <w:rFonts w:cs="Times New Roman"/>
          <w:color w:val="000000" w:themeColor="text1"/>
        </w:rPr>
        <w:instrText>lomavirus (HPV).","type":"book"},"uris":["http://www.mendeley.com/documents/?uuid=dface4da-0164-41ff-9752-a932ca7b966d"]}],"mendeley":{"formattedCitation":"(World health organisation, 2023)","plainTextFormattedCitation":"(World health organisation, 2023)",</w:instrText>
      </w:r>
      <w:r w:rsidRPr="00C6358B">
        <w:rPr>
          <w:rFonts w:cs="Times New Roman"/>
          <w:color w:val="000000" w:themeColor="text1"/>
        </w:rPr>
        <w:instrText>"previouslyFormattedCitation":"(World health organisation, 2023)"},"properties":{"noteIndex":0},"schema":"https://github.com/citation-style-language/schema/raw/master/csl-citation.json"}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organisation, 2023)</w:t>
      </w:r>
      <w:r w:rsidRPr="00C6358B">
        <w:rPr>
          <w:rFonts w:cs="Times New Roman"/>
          <w:color w:val="000000" w:themeColor="text1"/>
        </w:rPr>
        <w:fldChar w:fldCharType="end"/>
      </w:r>
      <w:r w:rsidRPr="00C6358B">
        <w:rPr>
          <w:rFonts w:cs="Times New Roman"/>
          <w:color w:val="000000" w:themeColor="text1"/>
        </w:rPr>
        <w:t xml:space="preserve"> Globally, approximately 500,000 n</w:t>
      </w:r>
      <w:r w:rsidRPr="00C6358B">
        <w:rPr>
          <w:rFonts w:cs="Times New Roman"/>
          <w:color w:val="000000" w:themeColor="text1"/>
        </w:rPr>
        <w:t xml:space="preserve">ew cases of cervical cancer are diagnosed each year, resulting in about 273,000 deaths annually. </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{"citationItems":[{"id":"ITEM-1","itemData":{"ISBN":"9789240014107","author":[{"dropping-particle":"","family":"World Health Organization","</w:instrText>
      </w:r>
      <w:r w:rsidRPr="00C6358B">
        <w:rPr>
          <w:rFonts w:cs="Times New Roman"/>
          <w:color w:val="000000" w:themeColor="text1"/>
        </w:rPr>
        <w:instrText>given":"","non-dropping-particle":"","parse-names":false,"suffix":""}],"container-title":"World Health Organization","id":"ITEM-1","issued":{"date-parts":[["2020"]]},"page":"1-56","title":"Global strategy to accelerate the elimination of cervical cancer as</w:instrText>
      </w:r>
      <w:r w:rsidRPr="00C6358B">
        <w:rPr>
          <w:rFonts w:cs="Times New Roman"/>
          <w:color w:val="000000" w:themeColor="text1"/>
        </w:rPr>
        <w:instrText xml:space="preserve"> a public health problem","type":"article-journal"},"uris":["http://www.mendeley.com/documents/?uuid=b3c352bd-4eab-38b1-bb93-9888000aac1a"]}],"mendeley":{"formattedCitation":"(World Health Organization, 2020)","plainTextFormattedCitation":"(World Health Or</w:instrText>
      </w:r>
      <w:r w:rsidRPr="00C6358B">
        <w:rPr>
          <w:rFonts w:cs="Times New Roman"/>
          <w:color w:val="000000" w:themeColor="text1"/>
        </w:rPr>
        <w:instrText>ganization, 2020)","previouslyFormattedCitation":"(World Health Organization, 2020)"},"properties":{"noteIndex":0},"schema":"https://github.com/citation-style-language/schema/raw/master/csl-citation.json"}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2020)</w:t>
      </w:r>
      <w:r w:rsidRPr="00C6358B">
        <w:rPr>
          <w:rFonts w:cs="Times New Roman"/>
          <w:color w:val="000000" w:themeColor="text1"/>
        </w:rPr>
        <w:fldChar w:fldCharType="end"/>
      </w:r>
      <w:r w:rsidRPr="00C6358B">
        <w:rPr>
          <w:rFonts w:cs="Times New Roman"/>
          <w:color w:val="000000" w:themeColor="text1"/>
        </w:rPr>
        <w:t xml:space="preserve"> Alarmingly, ab</w:t>
      </w:r>
      <w:r w:rsidRPr="00C6358B">
        <w:rPr>
          <w:rFonts w:cs="Times New Roman"/>
          <w:color w:val="000000" w:themeColor="text1"/>
        </w:rPr>
        <w:t>out 80% of these cases occur in developing countries, including Nigeria, where healthcare systems often face significant challenges such as limited resources, inadequate infrastructure, and competing health priorities.</w:t>
      </w:r>
      <w:r w:rsidRPr="00C6358B">
        <w:rPr>
          <w:rFonts w:cs="Times New Roman"/>
          <w:color w:val="000000" w:themeColor="text1"/>
        </w:rPr>
        <w:fldChar w:fldCharType="begin" w:fldLock="1"/>
      </w:r>
      <w:r w:rsidRPr="00C6358B">
        <w:rPr>
          <w:rFonts w:cs="Times New Roman"/>
          <w:color w:val="000000" w:themeColor="text1"/>
        </w:rPr>
        <w:instrText>ADDIN CSL_CITATION {"citationItems":[{</w:instrText>
      </w:r>
      <w:r w:rsidRPr="00C6358B">
        <w:rPr>
          <w:rFonts w:cs="Times New Roman"/>
          <w:color w:val="000000" w:themeColor="text1"/>
        </w:rPr>
        <w:instrText>"id":"ITEM-1","itemData":{"DOI":"10.1016/j.jvacx.2024.100549","ISSN":"25901362","abstract":"Human papillomaviruses (HPV) cause 99% of all cervical cancer cases globally, with the high-risk genotypes 16 and 18 causing at least 70% of these cases. An estimat</w:instrText>
      </w:r>
      <w:r w:rsidRPr="00C6358B">
        <w:rPr>
          <w:rFonts w:cs="Times New Roman"/>
          <w:color w:val="000000" w:themeColor="text1"/>
        </w:rPr>
        <w:instrText>ed 90% of the global cervical cancer burden occurs in low-to-middle-income countries (LMICs), particularly in sub-Saharan Africa (SSA). Primary prevention through the administration of efficacious HPV vaccines is key to the World Health Organization's glob</w:instrText>
      </w:r>
      <w:r w:rsidRPr="00C6358B">
        <w:rPr>
          <w:rFonts w:cs="Times New Roman"/>
          <w:color w:val="000000" w:themeColor="text1"/>
        </w:rPr>
        <w:instrText>al strategy for accelerating the elimination of cervical cancer as a disease of public health concern. The rollout of HPV vaccination in SSA is faced with several challenges, such as the high cost of vaccine procurement, a lack of funding and political wil</w:instrText>
      </w:r>
      <w:r w:rsidRPr="00C6358B">
        <w:rPr>
          <w:rFonts w:cs="Times New Roman"/>
          <w:color w:val="000000" w:themeColor="text1"/>
        </w:rPr>
        <w:instrText>l from the central governments of countries, and inadequate infrastructure for vaccine cold chain storage and transport. Stigma, misinformation, lack of education and awareness, and vaccine hesitancy constitute the social factors that affect the successful</w:instrText>
      </w:r>
      <w:r w:rsidRPr="00C6358B">
        <w:rPr>
          <w:rFonts w:cs="Times New Roman"/>
          <w:color w:val="000000" w:themeColor="text1"/>
        </w:rPr>
        <w:instrText xml:space="preserve"> rollout or implementation of vaccination programs in SSA. Based on the challenges SSA faces in rolling out HPV vaccination, we recommend using strategies that address both the demand-side and supply-side obstacles to HPV vaccination uptake. These include </w:instrText>
      </w:r>
      <w:r w:rsidRPr="00C6358B">
        <w:rPr>
          <w:rFonts w:cs="Times New Roman"/>
          <w:color w:val="000000" w:themeColor="text1"/>
        </w:rPr>
        <w:instrText>costs and availability, fighting vaccine hesitancy, and increasing vaccine confidence.","author":[{"dropping-particle":"","family":"Murewanhema","given":"Grant","non-dropping-particle":"","parse-names":false,"suffix":""},{"dropping-particle":"","family":"M</w:instrText>
      </w:r>
      <w:r w:rsidRPr="00C6358B">
        <w:rPr>
          <w:rFonts w:cs="Times New Roman"/>
          <w:color w:val="000000" w:themeColor="text1"/>
        </w:rPr>
        <w:instrText>oyo","given":"Enos","non-dropping-particle":"","parse-names":false,"suffix":""},{"dropping-particle":"","family":"Dzobo","given":"Mathias","non-dropping-particle":"","parse-names":false,"suffix":""},{"dropping-particle":"","family":"Mandishora-Dube","given</w:instrText>
      </w:r>
      <w:r w:rsidRPr="00C6358B">
        <w:rPr>
          <w:rFonts w:cs="Times New Roman"/>
          <w:color w:val="000000" w:themeColor="text1"/>
        </w:rPr>
        <w:instrText>":"Rachel S.","non-dropping-particle":"","parse-names":false,"suffix":""},{"dropping-particle":"","family":"Dzinamarira","given":"Tafadzwa","non-dropping-particle":"","parse-names":false,"suffix":""}],"container-title":"Vaccine: X","id":"ITEM-1","issue":"A</w:instrText>
      </w:r>
      <w:r w:rsidRPr="00C6358B">
        <w:rPr>
          <w:rFonts w:cs="Times New Roman"/>
          <w:color w:val="000000" w:themeColor="text1"/>
        </w:rPr>
        <w:instrText>ugust","issued":{"date-parts":[["2024"]]},"page":"100549","publisher":"Elsevier Ltd","title":"Human papilloma virus vaccination in the resource-limited settings of sub-Saharan Africa: Challenges and recommendations","type":"article-journal","volume":"20"},</w:instrText>
      </w:r>
      <w:r w:rsidRPr="00C6358B">
        <w:rPr>
          <w:rFonts w:cs="Times New Roman"/>
          <w:color w:val="000000" w:themeColor="text1"/>
        </w:rPr>
        <w:instrText>"uris":["http://www.mendeley.com/documents/?uuid=12d9e9e3-f30d-4306-bce3-0aac7eec379c"]},{"id":"ITEM-2","itemData":{"ISBN":"9789240014107","author":[{"dropping-particle":"","family":"World Health Organization","given":"","non-dropping-particle":"","parse-n</w:instrText>
      </w:r>
      <w:r w:rsidRPr="00C6358B">
        <w:rPr>
          <w:rFonts w:cs="Times New Roman"/>
          <w:color w:val="000000" w:themeColor="text1"/>
        </w:rPr>
        <w:instrText>ames":false,"suffix":""}],"container-title":"World Health Organization","id":"ITEM-2","issued":{"date-parts":[["2020"]]},"page":"1-56","title":"Global strategy to accelerate the elimination of cervical cancer as a public health problem","type":"article-jou</w:instrText>
      </w:r>
      <w:r w:rsidRPr="00C6358B">
        <w:rPr>
          <w:rFonts w:cs="Times New Roman"/>
          <w:color w:val="000000" w:themeColor="text1"/>
        </w:rPr>
        <w:instrText>rnal"},"uris":["http://www.mendeley.com/documents/?uuid=b3c352bd-4eab-38b1-bb93-9888000aac1a"]},{"id":"ITEM-3","itemData":{"author":[{"dropping-particle":"","family":"ICO/IARC Information Centre","given":"","non-dropping-particle":"","parse-names":false,"s</w:instrText>
      </w:r>
      <w:r w:rsidRPr="00C6358B">
        <w:rPr>
          <w:rFonts w:cs="Times New Roman"/>
          <w:color w:val="000000" w:themeColor="text1"/>
        </w:rPr>
        <w:instrText>uffix":""}],"container-title":"Fact Sheet 2023","id":"ITEM-3","issued":{"date-parts":[["2023"]]},"number-of-pages":"12-14","title":"Nigeria Human Papillomavirus and Related Cancers","type":"report","volume":"2023"},"uris":["http://www.mendeley.com/document</w:instrText>
      </w:r>
      <w:r w:rsidRPr="00C6358B">
        <w:rPr>
          <w:rFonts w:cs="Times New Roman"/>
          <w:color w:val="000000" w:themeColor="text1"/>
        </w:rPr>
        <w:instrText>s/?uuid=27c89b25-7bf2-45c0-8a09-369762a9ab83"]}],"mendeley":{"formattedCitation":"(World Health Organization, 2020; ICO/IARC Information Centre, 2023; Murewanhema &lt;i&gt;et al.&lt;/i&gt;, 2024)","plainTextFormattedCitation":"(World Health Organization, 2020; ICO/IAR</w:instrText>
      </w:r>
      <w:r w:rsidRPr="00C6358B">
        <w:rPr>
          <w:rFonts w:cs="Times New Roman"/>
          <w:color w:val="000000" w:themeColor="text1"/>
        </w:rPr>
        <w:instrText>C Information Centre, 2023; Murewanhema et al., 2024)","previouslyFormattedCitation":"(World Health Organization, 2020; ICO/IARC Information Centre, 2023; Murewanhema &lt;i&gt;et al.&lt;/i&gt;, 2024)"},"properties":{"noteIndex":0},"schema":"https://github.com/citation</w:instrText>
      </w:r>
      <w:r w:rsidRPr="00C6358B">
        <w:rPr>
          <w:rFonts w:cs="Times New Roman"/>
          <w:color w:val="000000" w:themeColor="text1"/>
        </w:rPr>
        <w:instrText>-style-language/schema/raw/master/csl-citation.json"}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(World Health Organization, 2020; ICO/IARC Information Centre, 2023; Murewanhema </w:t>
      </w:r>
      <w:r w:rsidRPr="00C6358B">
        <w:rPr>
          <w:rFonts w:cs="Times New Roman"/>
          <w:i/>
          <w:noProof/>
          <w:color w:val="000000" w:themeColor="text1"/>
        </w:rPr>
        <w:t>et al.</w:t>
      </w:r>
      <w:r w:rsidRPr="00C6358B">
        <w:rPr>
          <w:rFonts w:cs="Times New Roman"/>
          <w:noProof/>
          <w:color w:val="000000" w:themeColor="text1"/>
        </w:rPr>
        <w:t>, 2024)</w:t>
      </w:r>
      <w:r w:rsidRPr="00C6358B">
        <w:rPr>
          <w:rFonts w:cs="Times New Roman"/>
          <w:color w:val="000000" w:themeColor="text1"/>
        </w:rPr>
        <w:fldChar w:fldCharType="end"/>
      </w:r>
      <w:r w:rsidRPr="00C6358B">
        <w:rPr>
          <w:rFonts w:cs="Times New Roman"/>
          <w:color w:val="000000" w:themeColor="text1"/>
        </w:rPr>
        <w:t xml:space="preserve"> Without effective interventions, the burden of cervical cancer in these regions is expected to escalate. </w:t>
      </w:r>
    </w:p>
    <w:p w14:paraId="729A9F07" w14:textId="77777777" w:rsidR="00084A63" w:rsidRPr="00C6358B" w:rsidRDefault="00083BFB">
      <w:pPr>
        <w:rPr>
          <w:rFonts w:cs="Times New Roman"/>
          <w:color w:val="000000" w:themeColor="text1"/>
        </w:rPr>
      </w:pPr>
      <w:r w:rsidRPr="00C6358B">
        <w:rPr>
          <w:rFonts w:cs="Times New Roman"/>
          <w:color w:val="000000" w:themeColor="text1"/>
        </w:rPr>
        <w:t>The global drive to eliminate cervical cancer as a public health problem led to the adoption of the 90-70-90 strategy. This aims to ensure that 90% of girls are fully vaccinated by 15years of age; 70% of women are screened two times at 35years and 45 year</w:t>
      </w:r>
      <w:r w:rsidRPr="00C6358B">
        <w:rPr>
          <w:rFonts w:cs="Times New Roman"/>
          <w:color w:val="000000" w:themeColor="text1"/>
        </w:rPr>
        <w:t>s and 90% of diagnosed cases receive treatment.</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{"citationItems":[{"id":"ITEM-1","itemData":{"ISBN":"9789240014107","author":[{"dropping-particle":"","family":"World Health Organization","given":"","non-dropping-particle":"","parse-names"</w:instrText>
      </w:r>
      <w:r w:rsidRPr="00C6358B">
        <w:rPr>
          <w:rFonts w:cs="Times New Roman"/>
          <w:color w:val="000000" w:themeColor="text1"/>
        </w:rPr>
        <w:instrText>:false,"suffix":""}],"container-title":"World Health Organization","id":"ITEM-1","issued":{"date-parts":[["2020"]]},"page":"1-56","title":"Global strategy to accelerate the elimination of cervical cancer as a public health problem","type":"article-journal"</w:instrText>
      </w:r>
      <w:r w:rsidRPr="00C6358B">
        <w:rPr>
          <w:rFonts w:cs="Times New Roman"/>
          <w:color w:val="000000" w:themeColor="text1"/>
        </w:rPr>
        <w:instrText>},"uris":["http://www.mendeley.com/documents/?uuid=b3c352bd-4eab-38b1-bb93-9888000aac1a"]}],"mendeley":{"formattedCitation":"(World Health Organization, 2020)","plainTextFormattedCitation":"(World Health Organization, 2020)","previouslyFormattedCitation":"</w:instrText>
      </w:r>
      <w:r w:rsidRPr="00C6358B">
        <w:rPr>
          <w:rFonts w:cs="Times New Roman"/>
          <w:color w:val="000000" w:themeColor="text1"/>
        </w:rPr>
        <w:instrText>(World Health Organization, 2020)"},"properties":{"noteIndex":0},"schema":"https://github.com/citation-style-language/schema/raw/master/csl-citation.json"}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2020)</w:t>
      </w:r>
      <w:r w:rsidRPr="00C6358B">
        <w:rPr>
          <w:rFonts w:cs="Times New Roman"/>
          <w:color w:val="000000" w:themeColor="text1"/>
        </w:rPr>
        <w:fldChar w:fldCharType="end"/>
      </w:r>
      <w:r w:rsidRPr="00C6358B">
        <w:rPr>
          <w:rFonts w:cs="Times New Roman"/>
          <w:color w:val="000000" w:themeColor="text1"/>
        </w:rPr>
        <w:t xml:space="preserve">. In high-income countries, organized population-based screening </w:t>
      </w:r>
      <w:r w:rsidRPr="00C6358B">
        <w:rPr>
          <w:rFonts w:cs="Times New Roman"/>
          <w:color w:val="000000" w:themeColor="text1"/>
        </w:rPr>
        <w:t>programs for precancerous cervical lesions have led to an 80% reduction in cervical cancer incidence.</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{"citationItems":[{"id":"ITEM-1","itemData":{"ISBN":"9789240040434","abstract":"Second edition. Includes bibliographical references. - D</w:instrText>
      </w:r>
      <w:r w:rsidRPr="00C6358B">
        <w:rPr>
          <w:rFonts w:cs="Times New Roman"/>
          <w:color w:val="000000" w:themeColor="text1"/>
        </w:rPr>
        <w:instrText>escription based on online resource; title from PDF title page (viewed February 8, 2022). This current guideline delivers the initial output of the second phase of the guideline update: recommendations for the use of HPV mRNA (messenger ribonucleic acid) t</w:instrText>
      </w:r>
      <w:r w:rsidRPr="00C6358B">
        <w:rPr>
          <w:rFonts w:cs="Times New Roman"/>
          <w:color w:val="000000" w:themeColor="text1"/>
        </w:rPr>
        <w:instrText>ests for screening to detect cervical pre-cancer and prevent cervical cancer.","author":[{"dropping-particle":"","family":"World health organisation","given":"","non-dropping-particle":"","parse-names":false,"suffix":""}],"id":"ITEM-1","issued":{"date-part</w:instrText>
      </w:r>
      <w:r w:rsidRPr="00C6358B">
        <w:rPr>
          <w:rFonts w:cs="Times New Roman"/>
          <w:color w:val="000000" w:themeColor="text1"/>
        </w:rPr>
        <w:instrText>s":[["2023"]]},"number-of-pages":"51","title":"WHO guideline for screening and treatment of cervical pre-cancer lesions for cervical cancer prevention use of mRNA tests for human papillomavirus (HPV).","type":"book"},"uris":["http://www.mendeley.com/docume</w:instrText>
      </w:r>
      <w:r w:rsidRPr="00C6358B">
        <w:rPr>
          <w:rFonts w:cs="Times New Roman"/>
          <w:color w:val="000000" w:themeColor="text1"/>
        </w:rPr>
        <w:instrText>nts/?uuid=dface4da-0164-41ff-9752-a932ca7b966d"]}],"mendeley":{"formattedCitation":"(World health organisation, 2023)","plainTextFormattedCitation":"(World health organisation, 2023)","previouslyFormattedCitation":"(World health organisation, 2023)"},"prop</w:instrText>
      </w:r>
      <w:r w:rsidRPr="00C6358B">
        <w:rPr>
          <w:rFonts w:cs="Times New Roman"/>
          <w:color w:val="000000" w:themeColor="text1"/>
        </w:rPr>
        <w:instrText>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organisation, 2023)</w:t>
      </w:r>
      <w:r w:rsidRPr="00C6358B">
        <w:rPr>
          <w:rFonts w:cs="Times New Roman"/>
          <w:color w:val="000000" w:themeColor="text1"/>
        </w:rPr>
        <w:fldChar w:fldCharType="end"/>
      </w:r>
      <w:r w:rsidRPr="00C6358B">
        <w:rPr>
          <w:rFonts w:cs="Times New Roman"/>
          <w:color w:val="000000" w:themeColor="text1"/>
        </w:rPr>
        <w:t xml:space="preserve"> However, this success has not been replicated in many low- and middle-income countries (LMICs) due to log</w:t>
      </w:r>
      <w:r w:rsidRPr="00C6358B">
        <w:rPr>
          <w:rFonts w:cs="Times New Roman"/>
          <w:color w:val="000000" w:themeColor="text1"/>
        </w:rPr>
        <w:t>istical, financial, and systemic barriers.</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{"citationItems":[{"id":"ITEM-1","itemData":{"DOI":"10.1002/IJGO.12186","ISSN":"18793479","PMID":"28691329","abstract":"The past 10 years have seen remarkable progress in the global scale-up of h</w:instrText>
      </w:r>
      <w:r w:rsidRPr="00C6358B">
        <w:rPr>
          <w:rFonts w:cs="Times New Roman"/>
          <w:color w:val="000000" w:themeColor="text1"/>
        </w:rPr>
        <w:instrText>uman papillomavirus (HPV) vaccinations. Forty-three low- and lower-middle-income countries (LLMICs) have gained experience in delivering this vaccine to young adolescent girls through pilot programs, demonstration programs, and national introductions and m</w:instrText>
      </w:r>
      <w:r w:rsidRPr="00C6358B">
        <w:rPr>
          <w:rFonts w:cs="Times New Roman"/>
          <w:color w:val="000000" w:themeColor="text1"/>
        </w:rPr>
        <w:instrText>ost of these have occurred in the last 4 years. The experience of Senegal is summarized as an illustrative country case study. Publication of numerous delivery experiences and lessons learned has demonstrated the acceptability and feasibility of HPV vaccin</w:instrText>
      </w:r>
      <w:r w:rsidRPr="00C6358B">
        <w:rPr>
          <w:rFonts w:cs="Times New Roman"/>
          <w:color w:val="000000" w:themeColor="text1"/>
        </w:rPr>
        <w:instrText>ations in LLMICs. Four areas require dedicated action to overcome remaining challenges to national scaling-up: maintaining momentum politically, planning successfully, securing financing, and fostering sustainability. Advances in policy, programming, and s</w:instrText>
      </w:r>
      <w:r w:rsidRPr="00C6358B">
        <w:rPr>
          <w:rFonts w:cs="Times New Roman"/>
          <w:color w:val="000000" w:themeColor="text1"/>
        </w:rPr>
        <w:instrText>cience may help accelerate reaching 30 million girls in LLMICs with HPV vaccine by 2020.","author":[{"dropping-particle":"","family":"LaMontagne","given":"D. Scott","non-dropping-particle":"","parse-names":false,"suffix":""},{"dropping-particle":"","family</w:instrText>
      </w:r>
      <w:r w:rsidRPr="00C6358B">
        <w:rPr>
          <w:rFonts w:cs="Times New Roman"/>
          <w:color w:val="000000" w:themeColor="text1"/>
        </w:rPr>
        <w:instrText>":"Bloem","given":"Paul J.N.","non-dropping-particle":"","parse-names":false,"suffix":""},{"dropping-particle":"","family":"Brotherton","given":"Julia M.L.","non-dropping-particle":"","parse-names":false,"suffix":""},{"dropping-particle":"","family":"Galla</w:instrText>
      </w:r>
      <w:r w:rsidRPr="00C6358B">
        <w:rPr>
          <w:rFonts w:cs="Times New Roman"/>
          <w:color w:val="000000" w:themeColor="text1"/>
        </w:rPr>
        <w:instrText>gher","given":"Katherine E.","non-dropping-particle":"","parse-names":false,"suffix":""},{"dropping-particle":"","family":"Badiane","given":"Ousseynou","non-dropping-particle":"","parse-names":false,"suffix":""},{"dropping-particle":"","family":"Ndiaye","g</w:instrText>
      </w:r>
      <w:r w:rsidRPr="00C6358B">
        <w:rPr>
          <w:rFonts w:cs="Times New Roman"/>
          <w:color w:val="000000" w:themeColor="text1"/>
        </w:rPr>
        <w:instrText>iven":"Cathy","non-dropping-particle":"","parse-names":false,"suffix":""}],"container-title":"International Journal of Gynecology and Obstetrics","id":"ITEM-1","issued":{"date-parts":[["2017","7","1"]]},"page":"7-14","publisher":"Wiley Blackwell","title":"</w:instrText>
      </w:r>
      <w:r w:rsidRPr="00C6358B">
        <w:rPr>
          <w:rFonts w:cs="Times New Roman"/>
          <w:color w:val="000000" w:themeColor="text1"/>
        </w:rPr>
        <w:instrText>Progress in HPV vaccination in low- and lower-middle-income countries","type":"article-journal","volume":"138"},"uris":["http://www.mendeley.com/documents/?uuid=4edeb255-24a8-38cd-aba7-2ed452a6d98e"]},{"id":"ITEM-2","itemData":{"DOI":"10.1016/J.VACCINE.201</w:instrText>
      </w:r>
      <w:r w:rsidRPr="00C6358B">
        <w:rPr>
          <w:rFonts w:cs="Times New Roman"/>
          <w:color w:val="000000" w:themeColor="text1"/>
        </w:rPr>
        <w:instrText>8.02.003","ISSN":"0264-410X","PMID":"29580641","abstract":"During the last 12 years, over 80 countries have introduced national HPV vaccination programs. The majority of these countries are high or upper-middle income countries. The barriers to HPV vaccine</w:instrText>
      </w:r>
      <w:r w:rsidRPr="00C6358B">
        <w:rPr>
          <w:rFonts w:cs="Times New Roman"/>
          <w:color w:val="000000" w:themeColor="text1"/>
        </w:rPr>
        <w:instrText xml:space="preserve"> introduction remain greatest in those countries with the highest burden of cervical cancer and the most need for vaccination. Innovation and global leadership is required to increase and sustain introductions in low income and lower-middle income countrie</w:instrText>
      </w:r>
      <w:r w:rsidRPr="00C6358B">
        <w:rPr>
          <w:rFonts w:cs="Times New Roman"/>
          <w:color w:val="000000" w:themeColor="text1"/>
        </w:rPr>
        <w:instrText>s.","author":[{"dropping-particle":"","family":"Gallagher","given":"K. E.","non-dropping-particle":"","parse-names":false,"suffix":""},{"dropping-particle":"","family":"LaMontagne","given":"D. S.","non-dropping-particle":"","parse-names":false,"suffix":""}</w:instrText>
      </w:r>
      <w:r w:rsidRPr="00C6358B">
        <w:rPr>
          <w:rFonts w:cs="Times New Roman"/>
          <w:color w:val="000000" w:themeColor="text1"/>
        </w:rPr>
        <w:instrText>,{"dropping-particle":"","family":"Watson-Jones","given":"D.","non-dropping-particle":"","parse-names":false,"suffix":""}],"container-title":"Vaccine","id":"ITEM-2","issue":"32","issued":{"date-parts":[["2018","8","6"]]},"page":"4761-4767","publisher":"Els</w:instrText>
      </w:r>
      <w:r w:rsidRPr="00C6358B">
        <w:rPr>
          <w:rFonts w:cs="Times New Roman"/>
          <w:color w:val="000000" w:themeColor="text1"/>
        </w:rPr>
        <w:instrText>evier","title":"Status of HPV vaccine introduction and barriers to country uptake","type":"article-journal","volume":"36"},"uris":["http://www.mendeley.com/documents/?uuid=7f2dbd3d-d8df-3dde-925e-2e3cc4f34c36"]}],"mendeley":{"formattedCitation":"(LaMontagn</w:instrText>
      </w:r>
      <w:r w:rsidRPr="00C6358B">
        <w:rPr>
          <w:rFonts w:cs="Times New Roman"/>
          <w:color w:val="000000" w:themeColor="text1"/>
        </w:rPr>
        <w:instrText>e &lt;i&gt;et al.&lt;/i&gt;, 2017; Gallagher, LaMontagne and Watson-Jones, 2018)","plainTextFormattedCitation":"(LaMontagne et al., 2017; Gallagher, LaMontagne and Watson-Jones, 2018)","previouslyFormattedCitation":"(LaMontagne &lt;i&gt;et al.&lt;/i&gt;, 2017; Gallagher, LaMontag</w:instrText>
      </w:r>
      <w:r w:rsidRPr="00C6358B">
        <w:rPr>
          <w:rFonts w:cs="Times New Roman"/>
          <w:color w:val="000000" w:themeColor="text1"/>
        </w:rPr>
        <w:instrText>ne and Watson-Jones, 2018)"},"properties":{"noteIndex":0},"schema":"https://github.com/citation-style-language/schema/raw/master/csl-citation.json"}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(LaMontagne </w:t>
      </w:r>
      <w:r w:rsidRPr="00C6358B">
        <w:rPr>
          <w:rFonts w:cs="Times New Roman"/>
          <w:i/>
          <w:noProof/>
          <w:color w:val="000000" w:themeColor="text1"/>
        </w:rPr>
        <w:t>et al.</w:t>
      </w:r>
      <w:r w:rsidRPr="00C6358B">
        <w:rPr>
          <w:rFonts w:cs="Times New Roman"/>
          <w:noProof/>
          <w:color w:val="000000" w:themeColor="text1"/>
        </w:rPr>
        <w:t>, 2017; Gallagher, LaMontagne and Watson-Jones, 2018)</w:t>
      </w:r>
      <w:r w:rsidRPr="00C6358B">
        <w:rPr>
          <w:rFonts w:cs="Times New Roman"/>
          <w:color w:val="000000" w:themeColor="text1"/>
        </w:rPr>
        <w:fldChar w:fldCharType="end"/>
      </w:r>
      <w:r w:rsidRPr="00C6358B">
        <w:rPr>
          <w:rFonts w:cs="Times New Roman"/>
          <w:color w:val="000000" w:themeColor="text1"/>
        </w:rPr>
        <w:t xml:space="preserve"> In response to these challenges, </w:t>
      </w:r>
      <w:r w:rsidRPr="00C6358B">
        <w:rPr>
          <w:rFonts w:cs="Times New Roman"/>
          <w:color w:val="000000" w:themeColor="text1"/>
        </w:rPr>
        <w:t xml:space="preserve">HPV vaccines, have been developed over the past decade and offer a promising preventive strategy. </w:t>
      </w:r>
    </w:p>
    <w:p w14:paraId="4969E533" w14:textId="19512A9D" w:rsidR="00084A63" w:rsidRPr="00C6358B" w:rsidRDefault="00083BFB">
      <w:pPr>
        <w:rPr>
          <w:rFonts w:cs="Times New Roman"/>
          <w:color w:val="000000" w:themeColor="text1"/>
        </w:rPr>
      </w:pPr>
      <w:r w:rsidRPr="00C6358B">
        <w:rPr>
          <w:rFonts w:cs="Times New Roman"/>
          <w:color w:val="000000" w:themeColor="text1"/>
        </w:rPr>
        <w:t>A Systematic review highlighted a 90% decrease in HPV infection rates following 10 years of vaccination as part of a structured immunization initiative.</w:t>
      </w:r>
      <w:r w:rsidRPr="00C6358B">
        <w:rPr>
          <w:rFonts w:cs="Times New Roman"/>
          <w:color w:val="000000" w:themeColor="text1"/>
        </w:rPr>
        <w:fldChar w:fldCharType="begin" w:fldLock="1"/>
      </w:r>
      <w:r w:rsidRPr="00C6358B">
        <w:rPr>
          <w:rFonts w:cs="Times New Roman"/>
          <w:color w:val="000000" w:themeColor="text1"/>
        </w:rPr>
        <w:instrText>ADDIN</w:instrText>
      </w:r>
      <w:r w:rsidRPr="00C6358B">
        <w:rPr>
          <w:rFonts w:cs="Times New Roman"/>
          <w:color w:val="000000" w:themeColor="text1"/>
        </w:rPr>
        <w:instrText xml:space="preserve"> CSL_CITATION {"citationItems":[{"id":"ITEM-1","itemData":{"DOI":"10.1016/S0140-6736(19)30298-3","ISSN":"1474547X","PMID":"31255301","abstract":"Background: More than 10 years have elapsed since human papillomavirus (HPV) vaccination was implemented. We di</w:instrText>
      </w:r>
      <w:r w:rsidRPr="00C6358B">
        <w:rPr>
          <w:rFonts w:cs="Times New Roman"/>
          <w:color w:val="000000" w:themeColor="text1"/>
        </w:rPr>
        <w:instrText>d a systematic review and meta-analysis of the population-level impact of vaccinating girls and women against human papillomavirus on HPV infections, anogenital wart diagnoses, and cervical intraepithelial neoplasia grade 2+ (CIN2+) to summarise the most r</w:instrText>
      </w:r>
      <w:r w:rsidRPr="00C6358B">
        <w:rPr>
          <w:rFonts w:cs="Times New Roman"/>
          <w:color w:val="000000" w:themeColor="text1"/>
        </w:rPr>
        <w:instrText>ecent evidence about the effectiveness of HPV vaccines in real-world settings and to quantify the impact of multiple age-cohort vaccination. Methods: In this updated systematic review and meta-analysis, we used the same search strategy as in our previous p</w:instrText>
      </w:r>
      <w:r w:rsidRPr="00C6358B">
        <w:rPr>
          <w:rFonts w:cs="Times New Roman"/>
          <w:color w:val="000000" w:themeColor="text1"/>
        </w:rPr>
        <w:instrText>aper. We searched MEDLINE and Embase for studies published between Feb 1, 2014, and Oct 11, 2018. Studies were eligible if they compared the frequency (prevalence or incidence) of at least one HPV-related endpoint (genital HPV infections, anogenital wart d</w:instrText>
      </w:r>
      <w:r w:rsidRPr="00C6358B">
        <w:rPr>
          <w:rFonts w:cs="Times New Roman"/>
          <w:color w:val="000000" w:themeColor="text1"/>
        </w:rPr>
        <w:instrText>iagnoses, or histologically confirmed CIN2+) between pre-vaccination and post-vaccination periods among the general population and if they used the same population sources and recruitment methods before and after vaccination. Our primary assessment was the</w:instrText>
      </w:r>
      <w:r w:rsidRPr="00C6358B">
        <w:rPr>
          <w:rFonts w:cs="Times New Roman"/>
          <w:color w:val="000000" w:themeColor="text1"/>
        </w:rPr>
        <w:instrText xml:space="preserve"> relative risk (RR) comparing the frequency (prevalence or incidence) of HPV-related endpoints between the pre-vaccination and post-vaccination periods. We stratified all analyses by sex, age, and years since introduction of HPV vaccination. We used random</w:instrText>
      </w:r>
      <w:r w:rsidRPr="00C6358B">
        <w:rPr>
          <w:rFonts w:cs="Times New Roman"/>
          <w:color w:val="000000" w:themeColor="text1"/>
        </w:rPr>
        <w:instrText>-effects models to estimate pooled relative risks. Findings: We identified 1702 potentially eligible articles for this systematic review and meta-analysis, and included 65 articles in 14 high-income countries: 23 for HPV infection, 29 for anogenital warts,</w:instrText>
      </w:r>
      <w:r w:rsidRPr="00C6358B">
        <w:rPr>
          <w:rFonts w:cs="Times New Roman"/>
          <w:color w:val="000000" w:themeColor="text1"/>
        </w:rPr>
        <w:instrText xml:space="preserve"> and 13 for CIN2+. After 5–8 years of vaccination, the prevalence of HPV 16 and 18 decreased significantly by 83% (RR 0·17, 95% CI 0·11–0·25) among girls aged 13–19 years, and decreased significantly by 66% (RR 0·34, 95% CI 0·23–0·49) among women aged 20–2</w:instrText>
      </w:r>
      <w:r w:rsidRPr="00C6358B">
        <w:rPr>
          <w:rFonts w:cs="Times New Roman"/>
          <w:color w:val="000000" w:themeColor="text1"/>
        </w:rPr>
        <w:instrText>4 years. The prevalence of HPV 31, 33, and 45 decreased significantly by 54% (RR 0·46, 95% CI 0·33–0·66) among girls aged 13–19 years. Anogenital wart diagnoses decreased significantly by 67% (RR 0·33, 95% CI 0·24–0·46) among girls aged 15–19 years, decrea</w:instrText>
      </w:r>
      <w:r w:rsidRPr="00C6358B">
        <w:rPr>
          <w:rFonts w:cs="Times New Roman"/>
          <w:color w:val="000000" w:themeColor="text1"/>
        </w:rPr>
        <w:instrText>sed significantly by 54% (RR 0·46, 95% CI 0.36–0.60) among women aged 20–24 years, and decreased significantly by 31% (RR 0·69, 95% CI 0·53–0·89) among women aged 25–29 years. Among boys aged 15–19 years anogenital wart diagnoses decreased significantly by</w:instrText>
      </w:r>
      <w:r w:rsidRPr="00C6358B">
        <w:rPr>
          <w:rFonts w:cs="Times New Roman"/>
          <w:color w:val="000000" w:themeColor="text1"/>
        </w:rPr>
        <w:instrText xml:space="preserve"> 48% (RR 0·52, 95% CI 0·37–0·75) and among men aged 20–24 years they decreased sig…","author":[{"dropping-particle":"","family":"Drolet","given":"Mélanie","non-dropping-particle":"","parse-names":false,"suffix":""},{"dropping-particle":"","family":"Bénard"</w:instrText>
      </w:r>
      <w:r w:rsidRPr="00C6358B">
        <w:rPr>
          <w:rFonts w:cs="Times New Roman"/>
          <w:color w:val="000000" w:themeColor="text1"/>
        </w:rPr>
        <w:instrText>,"given":"Élodie","non-dropping-particle":"","parse-names":false,"suffix":""},{"dropping-particle":"","family":"Pérez","given":"N.","non-dropping-particle":"","parse-names":false,"suffix":""},{"dropping-particle":"","family":"Brisson","given":"Marc","non-d</w:instrText>
      </w:r>
      <w:r w:rsidRPr="00C6358B">
        <w:rPr>
          <w:rFonts w:cs="Times New Roman"/>
          <w:color w:val="000000" w:themeColor="text1"/>
        </w:rPr>
        <w:instrText>ropping-particle":"","parse-names":false,"suffix":""},{"dropping-particle":"","family":"Ali","given":"Hammad","non-dropping-particle":"","parse-names":false,"suffix":""},{"dropping-particle":"","family":"Boily","given":"Marie Claude","non-dropping-particle</w:instrText>
      </w:r>
      <w:r w:rsidRPr="00C6358B">
        <w:rPr>
          <w:rFonts w:cs="Times New Roman"/>
          <w:color w:val="000000" w:themeColor="text1"/>
        </w:rPr>
        <w:instrText>":"","parse-names":false,"suffix":""},{"dropping-particle":"","family":"Baldo","given":"Vincenzo","non-dropping-particle":"","parse-names":false,"suffix":""},{"dropping-particle":"","family":"Brassard","given":"Paul","non-dropping-particle":"","parse-names</w:instrText>
      </w:r>
      <w:r w:rsidRPr="00C6358B">
        <w:rPr>
          <w:rFonts w:cs="Times New Roman"/>
          <w:color w:val="000000" w:themeColor="text1"/>
        </w:rPr>
        <w:instrText>":false,"suffix":""},{"dropping-particle":"","family":"Brotherton","given":"Julia M.L.","non-dropping-particle":"","parse-names":false,"suffix":""},{"dropping-particle":"","family":"Callander","given":"Denton","non-dropping-particle":"","parse-names":false</w:instrText>
      </w:r>
      <w:r w:rsidRPr="00C6358B">
        <w:rPr>
          <w:rFonts w:cs="Times New Roman"/>
          <w:color w:val="000000" w:themeColor="text1"/>
        </w:rPr>
        <w:instrText>,"suffix":""},{"dropping-particle":"","family":"Checchi","given":"M.","non-dropping-particle":"","parse-names":false,"suffix":""},{"dropping-particle":"","family":"Chow","given":"Eric P.F.","non-dropping-particle":"","parse-names":false,"suffix":""},{"drop</w:instrText>
      </w:r>
      <w:r w:rsidRPr="00C6358B">
        <w:rPr>
          <w:rFonts w:cs="Times New Roman"/>
          <w:color w:val="000000" w:themeColor="text1"/>
        </w:rPr>
        <w:instrText>ping-particle":"","family":"Cocchio","given":"Silvia","non-dropping-particle":"","parse-names":false,"suffix":""},{"dropping-particle":"","family":"Dalianis","given":"Tina","non-dropping-particle":"","parse-names":false,"suffix":""},{"dropping-particle":""</w:instrText>
      </w:r>
      <w:r w:rsidRPr="00C6358B">
        <w:rPr>
          <w:rFonts w:cs="Times New Roman"/>
          <w:color w:val="000000" w:themeColor="text1"/>
        </w:rPr>
        <w:instrText>,"family":"Deeks","given":"Shelley L.","non-dropping-particle":"","parse-names":false,"suffix":""},{"dropping-particle":"","family":"Dehlendorff","given":"Christian","non-dropping-particle":"","parse-names":false,"suffix":""},{"dropping-particle":"","famil</w:instrText>
      </w:r>
      <w:r w:rsidRPr="00C6358B">
        <w:rPr>
          <w:rFonts w:cs="Times New Roman"/>
          <w:color w:val="000000" w:themeColor="text1"/>
        </w:rPr>
        <w:instrText>y":"Donovan","given":"B.","non-dropping-particle":"","parse-names":false,"suffix":""},{"dropping-particle":"","family":"Fairley","given":"Christopher K.","non-dropping-particle":"","parse-names":false,"suffix":""},{"dropping-particle":"","family":"Flagg","</w:instrText>
      </w:r>
      <w:r w:rsidRPr="00C6358B">
        <w:rPr>
          <w:rFonts w:cs="Times New Roman"/>
          <w:color w:val="000000" w:themeColor="text1"/>
        </w:rPr>
        <w:instrText>given":"Elaine W.","non-dropping-particle":"","parse-names":false,"suffix":""},{"dropping-particle":"","family":"Gargano","given":"Julia W.","non-dropping-particle":"","parse-names":false,"suffix":""},{"dropping-particle":"","family":"Garland","given":"Suz</w:instrText>
      </w:r>
      <w:r w:rsidRPr="00C6358B">
        <w:rPr>
          <w:rFonts w:cs="Times New Roman"/>
          <w:color w:val="000000" w:themeColor="text1"/>
        </w:rPr>
        <w:instrText>anne M.","non-dropping-particle":"","parse-names":false,"suffix":""},{"dropping-particle":"","family":"Grün","given":"Nathalie","non-dropping-particle":"","parse-names":false,"suffix":""},{"dropping-particle":"","family":"Hansen","given":"Bo T.","non-dropp</w:instrText>
      </w:r>
      <w:r w:rsidRPr="00C6358B">
        <w:rPr>
          <w:rFonts w:cs="Times New Roman"/>
          <w:color w:val="000000" w:themeColor="text1"/>
        </w:rPr>
        <w:instrText>ing-particle":"","parse-names":false,"suffix":""},{"dropping-particle":"","family":"Harrison","given":"Christopher","non-dropping-particle":"","parse-names":false,"suffix":""},{"dropping-particle":"","family":"Herweijer","given":"Eva","non-dropping-particl</w:instrText>
      </w:r>
      <w:r w:rsidRPr="00C6358B">
        <w:rPr>
          <w:rFonts w:cs="Times New Roman"/>
          <w:color w:val="000000" w:themeColor="text1"/>
        </w:rPr>
        <w:instrText>e":"","parse-names":false,"suffix":""},{"dropping-particle":"","family":"Imburgia","given":"Teresa M.","non-dropping-particle":"","parse-names":false,"suffix":""},{"dropping-particle":"","family":"Johnson","given":"Anne M.","non-dropping-particle":"","pars</w:instrText>
      </w:r>
      <w:r w:rsidRPr="00C6358B">
        <w:rPr>
          <w:rFonts w:cs="Times New Roman"/>
          <w:color w:val="000000" w:themeColor="text1"/>
        </w:rPr>
        <w:instrText>e-names":false,"suffix":""},{"dropping-particle":"","family":"Kahn","given":"Jessica A.","non-dropping-particle":"","parse-names":false,"suffix":""},{"dropping-particle":"","family":"Kavanagh","given":"Kimberley","non-dropping-particle":"","parse-names":fa</w:instrText>
      </w:r>
      <w:r w:rsidRPr="00C6358B">
        <w:rPr>
          <w:rFonts w:cs="Times New Roman"/>
          <w:color w:val="000000" w:themeColor="text1"/>
        </w:rPr>
        <w:instrText>lse,"suffix":""},{"dropping-particle":"","family":"Kjaer","given":"Susanne K.","non-dropping-particle":"","parse-names":false,"suffix":""},{"dropping-particle":"V.","family":"Kliewer","given":"Erich","non-dropping-particle":"","parse-names":false,"suffix":</w:instrText>
      </w:r>
      <w:r w:rsidRPr="00C6358B">
        <w:rPr>
          <w:rFonts w:cs="Times New Roman"/>
          <w:color w:val="000000" w:themeColor="text1"/>
        </w:rPr>
        <w:instrText>""},{"dropping-particle":"","family":"Liu","given":"B.","non-dropping-particle":"","parse-names":false,"suffix":""},{"dropping-particle":"","family":"Machalek","given":"Dorothy A.","non-dropping-particle":"","parse-names":false,"suffix":""},{"dropping-part</w:instrText>
      </w:r>
      <w:r w:rsidRPr="00C6358B">
        <w:rPr>
          <w:rFonts w:cs="Times New Roman"/>
          <w:color w:val="000000" w:themeColor="text1"/>
        </w:rPr>
        <w:instrText>icle":"","family":"Markowitz","given":"L.","non-dropping-particle":"","parse-names":false,"suffix":""},{"dropping-particle":"","family":"Mesher","given":"D.","non-dropping-particle":"","parse-names":false,"suffix":""},{"dropping-particle":"","family":"Munk</w:instrText>
      </w:r>
      <w:r w:rsidRPr="00C6358B">
        <w:rPr>
          <w:rFonts w:cs="Times New Roman"/>
          <w:color w:val="000000" w:themeColor="text1"/>
        </w:rPr>
        <w:instrText>","given":"Christian","non-dropping-particle":"","parse-names":false,"suffix":""},{"dropping-particle":"","family":"Niccolai","given":"L.","non-dropping-particle":"","parse-names":false,"suffix":""},{"dropping-particle":"","family":"Nygård","given":"Mari",</w:instrText>
      </w:r>
      <w:r w:rsidRPr="00C6358B">
        <w:rPr>
          <w:rFonts w:cs="Times New Roman"/>
          <w:color w:val="000000" w:themeColor="text1"/>
        </w:rPr>
        <w:instrText>"non-dropping-particle":"","parse-names":false,"suffix":""},{"dropping-particle":"","family":"Ogilvie","given":"Gina","non-dropping-particle":"","parse-names":false,"suffix":""},{"dropping-particle":"","family":"Oliphant","given":"Jeannie","non-dropping-pa</w:instrText>
      </w:r>
      <w:r w:rsidRPr="00C6358B">
        <w:rPr>
          <w:rFonts w:cs="Times New Roman"/>
          <w:color w:val="000000" w:themeColor="text1"/>
        </w:rPr>
        <w:instrText>rticle":"","parse-names":false,"suffix":""},{"dropping-particle":"","family":"Pollock","given":"Kevin G.","non-dropping-particle":"","parse-names":false,"suffix":""},{"dropping-particle":"","family":"Purriños-Hermida","given":"Maria Jesús","non-dropping-pa</w:instrText>
      </w:r>
      <w:r w:rsidRPr="00C6358B">
        <w:rPr>
          <w:rFonts w:cs="Times New Roman"/>
          <w:color w:val="000000" w:themeColor="text1"/>
        </w:rPr>
        <w:instrText>rticle":"","parse-names":false,"suffix":""},{"dropping-particle":"","family":"Smith","given":"Megan A.","non-dropping-particle":"","parse-names":false,"suffix":""},{"dropping-particle":"","family":"Steben","given":"Marc","non-dropping-particle":"","parse-n</w:instrText>
      </w:r>
      <w:r w:rsidRPr="00C6358B">
        <w:rPr>
          <w:rFonts w:cs="Times New Roman"/>
          <w:color w:val="000000" w:themeColor="text1"/>
        </w:rPr>
        <w:instrText>ames":false,"suffix":""},{"dropping-particle":"","family":"Söderlund-Strand","given":"Anna","non-dropping-particle":"","parse-names":false,"suffix":""},{"dropping-particle":"","family":"Sonnenberg","given":"Pam","non-dropping-particle":"","parse-names":fal</w:instrText>
      </w:r>
      <w:r w:rsidRPr="00C6358B">
        <w:rPr>
          <w:rFonts w:cs="Times New Roman"/>
          <w:color w:val="000000" w:themeColor="text1"/>
        </w:rPr>
        <w:instrText>se,"suffix":""},{"dropping-particle":"","family":"Sparen","given":"Pär","non-dropping-particle":"","parse-names":false,"suffix":""},{"dropping-particle":"","family":"Tanton","given":"C.","non-dropping-particle":"","parse-names":false,"suffix":""},{"droppin</w:instrText>
      </w:r>
      <w:r w:rsidRPr="00C6358B">
        <w:rPr>
          <w:rFonts w:cs="Times New Roman"/>
          <w:color w:val="000000" w:themeColor="text1"/>
        </w:rPr>
        <w:instrText>g-particle":"","family":"Wheeler","given":"Cosette M.","non-dropping-particle":"","parse-names":false,"suffix":""},{"dropping-particle":"","family":"Woestenberg","given":"Petra J.","non-dropping-particle":"","parse-names":false,"suffix":""},{"dropping-part</w:instrText>
      </w:r>
      <w:r w:rsidRPr="00C6358B">
        <w:rPr>
          <w:rFonts w:cs="Times New Roman"/>
          <w:color w:val="000000" w:themeColor="text1"/>
        </w:rPr>
        <w:instrText>icle":"","family":"Yu","given":"Bo Nancy","non-dropping-particle":"","parse-names":false,"suffix":""}],"container-title":"The Lancet","id":"ITEM-1","issue":"10197","issued":{"date-parts":[["2019"]]},"page":"497-509","title":"Population-level impact and her</w:instrText>
      </w:r>
      <w:r w:rsidRPr="00C6358B">
        <w:rPr>
          <w:rFonts w:cs="Times New Roman"/>
          <w:color w:val="000000" w:themeColor="text1"/>
        </w:rPr>
        <w:instrText>d effects following the introduction of human papillomavirus vaccination programmes: updated systematic review and meta-analysis","type":"article-journal","volume":"394"},"uris":["http://www.mendeley.com/documents/?uuid=c2f3b637-7b2c-472c-b03e-cd832605fe31</w:instrText>
      </w:r>
      <w:r w:rsidRPr="00C6358B">
        <w:rPr>
          <w:rFonts w:cs="Times New Roman"/>
          <w:color w:val="000000" w:themeColor="text1"/>
        </w:rPr>
        <w:instrText>"]}],"mendeley":{"formattedCitation":"(Drolet &lt;i&gt;et al.&lt;/i&gt;, 2019)","plainTextFormattedCitation":"(Drolet et al., 2019)","previouslyFormattedCitation":"(Drolet &lt;i&gt;et al.&lt;/i&gt;, 2019)"},"properties":{"noteIndex":0},"schema":"https://github.com/citation-style-</w:instrText>
      </w:r>
      <w:r w:rsidRPr="00C6358B">
        <w:rPr>
          <w:rFonts w:cs="Times New Roman"/>
          <w:color w:val="000000" w:themeColor="text1"/>
        </w:rPr>
        <w:instrText>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(Drolet </w:t>
      </w:r>
      <w:r w:rsidRPr="00C6358B">
        <w:rPr>
          <w:rFonts w:cs="Times New Roman"/>
          <w:i/>
          <w:noProof/>
          <w:color w:val="000000" w:themeColor="text1"/>
        </w:rPr>
        <w:t>et al.</w:t>
      </w:r>
      <w:r w:rsidRPr="00C6358B">
        <w:rPr>
          <w:rFonts w:cs="Times New Roman"/>
          <w:noProof/>
          <w:color w:val="000000" w:themeColor="text1"/>
        </w:rPr>
        <w:t>, 2019)</w:t>
      </w:r>
      <w:r w:rsidRPr="00C6358B">
        <w:rPr>
          <w:rFonts w:cs="Times New Roman"/>
          <w:color w:val="000000" w:themeColor="text1"/>
        </w:rPr>
        <w:fldChar w:fldCharType="end"/>
      </w:r>
      <w:r w:rsidRPr="00C6358B">
        <w:rPr>
          <w:rFonts w:cs="Times New Roman"/>
          <w:color w:val="000000" w:themeColor="text1"/>
        </w:rPr>
        <w:t>The vaccines primarily target girls aged 9–14 years but can be extended up to 26 years of age.</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{"citationItems":[{"id":"ITEM-1","itemData":{"ISBN":"9789240014107","auth</w:instrText>
      </w:r>
      <w:r w:rsidRPr="00C6358B">
        <w:rPr>
          <w:rFonts w:cs="Times New Roman"/>
          <w:color w:val="000000" w:themeColor="text1"/>
        </w:rPr>
        <w:instrText>or":[{"dropping-particle":"","family":"World Health Organization","given":"","non-dropping-particle":"","parse-names":false,"suffix":""}],"container-title":"World Health Organization","id":"ITEM-1","issued":{"date-parts":[["2020"]]},"page":"1-56","title":"</w:instrText>
      </w:r>
      <w:r w:rsidRPr="00C6358B">
        <w:rPr>
          <w:rFonts w:cs="Times New Roman"/>
          <w:color w:val="000000" w:themeColor="text1"/>
        </w:rPr>
        <w:instrText xml:space="preserve">Global strategy to accelerate the elimination of cervical cancer as a public health problem","type":"article-journal"},"uris":["http://www.mendeley.com/documents/?uuid=b3c352bd-4eab-38b1-bb93-9888000aac1a"]}],"mendeley":{"formattedCitation":"(World Health </w:instrText>
      </w:r>
      <w:r w:rsidRPr="00C6358B">
        <w:rPr>
          <w:rFonts w:cs="Times New Roman"/>
          <w:color w:val="000000" w:themeColor="text1"/>
        </w:rPr>
        <w:instrText>Organization, 2020)","plainTextFormattedCitation":"(World Health Organization, 2020)","previouslyFormattedCitation":"(World Health Organization, 2020)"},"properties":{"noteIndex":0},"schema":"https://github.com/citation-style-language/schema/raw/master/csl</w:instrText>
      </w:r>
      <w:r w:rsidRPr="00C6358B">
        <w:rPr>
          <w:rFonts w:cs="Times New Roman"/>
          <w:color w:val="000000" w:themeColor="text1"/>
        </w:rPr>
        <w:instrText>-citation.json"}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2020)</w:t>
      </w:r>
      <w:r w:rsidRPr="00C6358B">
        <w:rPr>
          <w:rFonts w:cs="Times New Roman"/>
          <w:color w:val="000000" w:themeColor="text1"/>
        </w:rPr>
        <w:fldChar w:fldCharType="end"/>
      </w:r>
      <w:r w:rsidRPr="00C6358B">
        <w:rPr>
          <w:rFonts w:cs="Times New Roman"/>
          <w:color w:val="000000" w:themeColor="text1"/>
        </w:rPr>
        <w:t xml:space="preserve"> Furthermore, the WHO has endorsed the HPV vaccine as a key intervention and recommends its integration into national immunization programs.</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w:instrText>
      </w:r>
      <w:r w:rsidRPr="00C6358B">
        <w:rPr>
          <w:rFonts w:cs="Times New Roman"/>
          <w:color w:val="000000" w:themeColor="text1"/>
        </w:rPr>
        <w:instrText>"ISBN":"978 92 4 151154 4","abstract":"Vaccine Introduction Guidelines Adding a vaccine to a national immunization programme: decision and implementation","author":[{"dropping-particle":"","family":"World Health Organization","given":"","non-dropping-parti</w:instrText>
      </w:r>
      <w:r w:rsidRPr="00C6358B">
        <w:rPr>
          <w:rFonts w:cs="Times New Roman"/>
          <w:color w:val="000000" w:themeColor="text1"/>
        </w:rPr>
        <w:instrText>cle":"","parse-names":false,"suffix":""}],"container-title":"National Health Programs. I.World Health Organization","id":"ITEM-1","issued":{"date-parts":[["2016"]]},"page":"1-64","title":"Scaling-up HPV vaccine introduction","type":"article-journal","volum</w:instrText>
      </w:r>
      <w:r w:rsidRPr="00C6358B">
        <w:rPr>
          <w:rFonts w:cs="Times New Roman"/>
          <w:color w:val="000000" w:themeColor="text1"/>
        </w:rPr>
        <w:instrText>e":"1"},"uris":["http://www.mendeley.com/documents/?uuid=7730c146-95f1-4349-a8b9-b2811ccf49e2"]}],"mendeley":{"formattedCitation":"(World Health Organization, 2016)","plainTextFormattedCitation":"(World Health Organization, 2016)","previouslyFormattedCitat</w:instrText>
      </w:r>
      <w:r w:rsidRPr="00C6358B">
        <w:rPr>
          <w:rFonts w:cs="Times New Roman"/>
          <w:color w:val="000000" w:themeColor="text1"/>
        </w:rPr>
        <w:instrText>ion":"(World Health Organization, 2016)"},"properties":{"noteIndex":0},"schema":"https://github.com/citation-style-language/schema/raw/master/csl-citation.json"}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2016)</w:t>
      </w:r>
      <w:r w:rsidRPr="00C6358B">
        <w:rPr>
          <w:rFonts w:cs="Times New Roman"/>
          <w:color w:val="000000" w:themeColor="text1"/>
        </w:rPr>
        <w:fldChar w:fldCharType="end"/>
      </w:r>
      <w:r w:rsidRPr="00C6358B">
        <w:rPr>
          <w:rFonts w:cs="Times New Roman"/>
          <w:color w:val="000000" w:themeColor="text1"/>
        </w:rPr>
        <w:t xml:space="preserve"> Despite this, many LMICs, have not yet fully implemented H</w:t>
      </w:r>
      <w:r w:rsidRPr="00C6358B">
        <w:rPr>
          <w:rFonts w:cs="Times New Roman"/>
          <w:color w:val="000000" w:themeColor="text1"/>
        </w:rPr>
        <w:t>PV vaccination programs, largely due to high vaccine costs, fragile healthcare systems, logistical challenges, and insufficient political commitment.</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{"citationItems":[{"id":"ITEM-1","itemData":{"DOI":"10.1002/IJGO.12186","ISSN":"18793479</w:instrText>
      </w:r>
      <w:r w:rsidRPr="00C6358B">
        <w:rPr>
          <w:rFonts w:cs="Times New Roman"/>
          <w:color w:val="000000" w:themeColor="text1"/>
        </w:rPr>
        <w:instrText>","PMID":"28691329","abstract":"The past 10 years have seen remarkable progress in the global scale-up of human papillomavirus (HPV) vaccinations. Forty-three low- and lower-middle-income countries (LLMICs) have gained experience in delivering this vaccine</w:instrText>
      </w:r>
      <w:r w:rsidRPr="00C6358B">
        <w:rPr>
          <w:rFonts w:cs="Times New Roman"/>
          <w:color w:val="000000" w:themeColor="text1"/>
        </w:rPr>
        <w:instrText xml:space="preserve"> to young adolescent girls through pilot programs, demonstration programs, and national introductions and most of these have occurred in the last 4 years. The experience of Senegal is summarized as an illustrative country case study. Publication of numerou</w:instrText>
      </w:r>
      <w:r w:rsidRPr="00C6358B">
        <w:rPr>
          <w:rFonts w:cs="Times New Roman"/>
          <w:color w:val="000000" w:themeColor="text1"/>
        </w:rPr>
        <w:instrText>s delivery experiences and lessons learned has demonstrated the acceptability and feasibility of HPV vaccinations in LLMICs. Four areas require dedicated action to overcome remaining challenges to national scaling-up: maintaining momentum politically, plan</w:instrText>
      </w:r>
      <w:r w:rsidRPr="00C6358B">
        <w:rPr>
          <w:rFonts w:cs="Times New Roman"/>
          <w:color w:val="000000" w:themeColor="text1"/>
        </w:rPr>
        <w:instrText>ning successfully, securing financing, and fostering sustainability. Advances in policy, programming, and science may help accelerate reaching 30 million girls in LLMICs with HPV vaccine by 2020.","author":[{"dropping-particle":"","family":"LaMontagne","gi</w:instrText>
      </w:r>
      <w:r w:rsidRPr="00C6358B">
        <w:rPr>
          <w:rFonts w:cs="Times New Roman"/>
          <w:color w:val="000000" w:themeColor="text1"/>
        </w:rPr>
        <w:instrText>ven":"D. Scott","non-dropping-particle":"","parse-names":false,"suffix":""},{"dropping-particle":"","family":"Bloem","given":"Paul J.N.","non-dropping-particle":"","parse-names":false,"suffix":""},{"dropping-particle":"","family":"Brotherton","given":"Juli</w:instrText>
      </w:r>
      <w:r w:rsidRPr="00C6358B">
        <w:rPr>
          <w:rFonts w:cs="Times New Roman"/>
          <w:color w:val="000000" w:themeColor="text1"/>
        </w:rPr>
        <w:instrText>a M.L.","non-dropping-particle":"","parse-names":false,"suffix":""},{"dropping-particle":"","family":"Gallagher","given":"Katherine E.","non-dropping-particle":"","parse-names":false,"suffix":""},{"dropping-particle":"","family":"Badiane","given":"Ousseyno</w:instrText>
      </w:r>
      <w:r w:rsidRPr="00C6358B">
        <w:rPr>
          <w:rFonts w:cs="Times New Roman"/>
          <w:color w:val="000000" w:themeColor="text1"/>
        </w:rPr>
        <w:instrText>u","non-dropping-particle":"","parse-names":false,"suffix":""},{"dropping-particle":"","family":"Ndiaye","given":"Cathy","non-dropping-particle":"","parse-names":false,"suffix":""}],"container-title":"International Journal of Gynecology and Obstetrics","id</w:instrText>
      </w:r>
      <w:r w:rsidRPr="00C6358B">
        <w:rPr>
          <w:rFonts w:cs="Times New Roman"/>
          <w:color w:val="000000" w:themeColor="text1"/>
        </w:rPr>
        <w:instrText>":"ITEM-1","issued":{"date-parts":[["2017","7","1"]]},"page":"7-14","publisher":"Wiley Blackwell","title":"Progress in HPV vaccination in low- and lower-middle-income countries","type":"article-journal","volume":"138"},"uris":["http://www.mendeley.com/docu</w:instrText>
      </w:r>
      <w:r w:rsidRPr="00C6358B">
        <w:rPr>
          <w:rFonts w:cs="Times New Roman"/>
          <w:color w:val="000000" w:themeColor="text1"/>
        </w:rPr>
        <w:instrText>ments/?uuid=4edeb255-24a8-38cd-aba7-2ed452a6d98e"]},{"id":"ITEM-2","itemData":{"DOI":"10.1016/S2214-109X(16)30099-7","ISSN":"2214109X","PMID":"27340003","abstract":"Background: Since 2006, many countries have implemented publicly funded human papillomaviru</w:instrText>
      </w:r>
      <w:r w:rsidRPr="00C6358B">
        <w:rPr>
          <w:rFonts w:cs="Times New Roman"/>
          <w:color w:val="000000" w:themeColor="text1"/>
        </w:rPr>
        <w:instrText>s (HPV) immunisation programmes. However, global estimates of the extent and impact of vaccine coverage are still unavailable. We aimed to quantify worldwide cumulative coverage of publicly funded HPV immunisation programmes up to 2014, and the potential i</w:instrText>
      </w:r>
      <w:r w:rsidRPr="00C6358B">
        <w:rPr>
          <w:rFonts w:cs="Times New Roman"/>
          <w:color w:val="000000" w:themeColor="text1"/>
        </w:rPr>
        <w:instrText>mpact on future cervical cancer cases and deaths. Methods: Between Nov 1 and Dec 22, 2014, we systematically reviewed PubMed, Scopus, and official websites to identify HPV immunisation programmes worldwide, and retrieved age-specific HPV vaccination covera</w:instrText>
      </w:r>
      <w:r w:rsidRPr="00C6358B">
        <w:rPr>
          <w:rFonts w:cs="Times New Roman"/>
          <w:color w:val="000000" w:themeColor="text1"/>
        </w:rPr>
        <w:instrText>ge rates up to October, 2014. To estimate the coverage and number of vaccinated women, retrieved coverage rates were converted into birth-cohort-specific rates, with an imputation algorithm to impute missing data, and applied to global population estimates</w:instrText>
      </w:r>
      <w:r w:rsidRPr="00C6358B">
        <w:rPr>
          <w:rFonts w:cs="Times New Roman"/>
          <w:color w:val="000000" w:themeColor="text1"/>
        </w:rPr>
        <w:instrText xml:space="preserve"> and cervical cancer projections by country and income level. Findings: From June, 2006, to October, 2014, 64 countries nationally, four countries subnationally, and 12 overseas territories had implemented HPV immunisation programmes. An estimated 118 mill</w:instrText>
      </w:r>
      <w:r w:rsidRPr="00C6358B">
        <w:rPr>
          <w:rFonts w:cs="Times New Roman"/>
          <w:color w:val="000000" w:themeColor="text1"/>
        </w:rPr>
        <w:instrText>ion women had been targeted through these programmes, but only 1% were from low-income or lower-middle-income countries. 47 million women (95% CI 39-55 million) received the full course of vaccine, representing a total population coverage of 1·4% (95% CI 1</w:instrText>
      </w:r>
      <w:r w:rsidRPr="00C6358B">
        <w:rPr>
          <w:rFonts w:cs="Times New Roman"/>
          <w:color w:val="000000" w:themeColor="text1"/>
        </w:rPr>
        <w:instrText>·1-1·6), and 59 million women (48-71 million) had received at least one dose, representing a total population coverage of 1·7% (1·4-2·1). In more developed regions, 33·6% (95% CI 25·9-41·7) of females aged 10-20 years received the full course of vaccine, c</w:instrText>
      </w:r>
      <w:r w:rsidRPr="00C6358B">
        <w:rPr>
          <w:rFonts w:cs="Times New Roman"/>
          <w:color w:val="000000" w:themeColor="text1"/>
        </w:rPr>
        <w:instrText>ompared with only 2·7% (1·8-3·6) of females in less developed regions. The impact of the vaccine will be higher in upper-middle-income countries (178 192 averted cases by age 75 years) than in high-income countries (165 033 averted cases), despite the lowe</w:instrText>
      </w:r>
      <w:r w:rsidRPr="00C6358B">
        <w:rPr>
          <w:rFonts w:cs="Times New Roman"/>
          <w:color w:val="000000" w:themeColor="text1"/>
        </w:rPr>
        <w:instrText>r number of vaccinated women (13·3 million vs 32·2 million). Interpretation: Many women from high-income and upper-middle-income countries have been vaccinated against HPV. However, populations with the highest incidence and mortality of disease remain lar</w:instrText>
      </w:r>
      <w:r w:rsidRPr="00C6358B">
        <w:rPr>
          <w:rFonts w:cs="Times New Roman"/>
          <w:color w:val="000000" w:themeColor="text1"/>
        </w:rPr>
        <w:instrText>gely unprotected. Rapid roll-out of the vaccine in low-income and middle-income countries might be the only feasible way to narrow present inequalities in cervical cancer burden and prevention. Funding: PATH, Instituto de Salud Carlos III, and Agència de G</w:instrText>
      </w:r>
      <w:r w:rsidRPr="00C6358B">
        <w:rPr>
          <w:rFonts w:cs="Times New Roman"/>
          <w:color w:val="000000" w:themeColor="text1"/>
        </w:rPr>
        <w:instrText>estió d'Ajuts Universitaris i de Recerca (AGAUR).","author":[{"dropping-particle":"","family":"Bruni","given":"Laia","non-dropping-particle":"","parse-names":false,"suffix":""},{"dropping-particle":"","family":"Diaz","given":"Mireia","non-dropping-particle</w:instrText>
      </w:r>
      <w:r w:rsidRPr="00C6358B">
        <w:rPr>
          <w:rFonts w:cs="Times New Roman"/>
          <w:color w:val="000000" w:themeColor="text1"/>
        </w:rPr>
        <w:instrText>":"","parse-names":false,"suffix":""},{"dropping-particle":"","family":"Barrionuevo-Rosas","given":"Leslie","non-dropping-particle":"","parse-names":false,"suffix":""},{"dropping-particle":"","family":"Herrero","given":"Rolando","non-dropping-particle":"",</w:instrText>
      </w:r>
      <w:r w:rsidRPr="00C6358B">
        <w:rPr>
          <w:rFonts w:cs="Times New Roman"/>
          <w:color w:val="000000" w:themeColor="text1"/>
        </w:rPr>
        <w:instrText>"parse-names":false,"suffix":""},{"dropping-particle":"","family":"Bray","given":"Freddie","non-dropping-particle":"","parse-names":false,"suffix":""},{"dropping-particle":"","family":"Bosch","given":"F. Xavier","non-dropping-particle":"","parse-names":fal</w:instrText>
      </w:r>
      <w:r w:rsidRPr="00C6358B">
        <w:rPr>
          <w:rFonts w:cs="Times New Roman"/>
          <w:color w:val="000000" w:themeColor="text1"/>
        </w:rPr>
        <w:instrText>se,"suffix":""},{"dropping-particle":"","family":"Sanjosé","given":"Silvia","non-dropping-particle":"de","parse-names":false,"suffix":""},{"dropping-particle":"","family":"Castellsagué","given":"Xavier","non-dropping-particle":"","parse-names":false,"suffi</w:instrText>
      </w:r>
      <w:r w:rsidRPr="00C6358B">
        <w:rPr>
          <w:rFonts w:cs="Times New Roman"/>
          <w:color w:val="000000" w:themeColor="text1"/>
        </w:rPr>
        <w:instrText>x":""}],"container-title":"The Lancet Global Health","id":"ITEM-2","issue":"7","issued":{"date-parts":[["2016","7","1"]]},"page":"e453-e463","publisher":"Elsevier Ltd","title":"Global estimates of human papillomavirus vaccination coverage by region and inc</w:instrText>
      </w:r>
      <w:r w:rsidRPr="00C6358B">
        <w:rPr>
          <w:rFonts w:cs="Times New Roman"/>
          <w:color w:val="000000" w:themeColor="text1"/>
        </w:rPr>
        <w:instrText>ome level: A pooled analysis","type":"article-journal","volume":"4"},"uris":["http://www.mendeley.com/documents/?uuid=f222f02a-e43a-3b9d-bcd2-cc64e25f971e"]},{"id":"ITEM-3","itemData":{"DOI":"10.1371/JOURNAL.PONE.0177773","ISSN":"19326203","PMID":"28575074</w:instrText>
      </w:r>
      <w:r w:rsidRPr="00C6358B">
        <w:rPr>
          <w:rFonts w:cs="Times New Roman"/>
          <w:color w:val="000000" w:themeColor="text1"/>
        </w:rPr>
        <w:instrText xml:space="preserve">","abstract":"Objective To synthesise lessons learnt and determinants of success from human papillomavirus (HPV) vaccine demonstration projects and national programmes in low- and middle-income countries (LAMICs). Methods Interviews were conducted with 56 </w:instrText>
      </w:r>
      <w:r w:rsidRPr="00C6358B">
        <w:rPr>
          <w:rFonts w:cs="Times New Roman"/>
          <w:color w:val="000000" w:themeColor="text1"/>
        </w:rPr>
        <w:instrText xml:space="preserve">key informants. A systematic literature review identified 2936 abstracts from five databases; after screening 61 full texts were included. Unpublished literature, including evaluation reports, was solicited from country representatives; 188 documents were </w:instrText>
      </w:r>
      <w:r w:rsidRPr="00C6358B">
        <w:rPr>
          <w:rFonts w:cs="Times New Roman"/>
          <w:color w:val="000000" w:themeColor="text1"/>
        </w:rPr>
        <w:instrText>received. A data extraction tool and interview topic guide outlining key areas of inquiry were informed by World Health Organization guidelines for new vaccine introduction. Results were synthesised thematically. Results Data were analysed from 12 national</w:instrText>
      </w:r>
      <w:r w:rsidRPr="00C6358B">
        <w:rPr>
          <w:rFonts w:cs="Times New Roman"/>
          <w:color w:val="000000" w:themeColor="text1"/>
        </w:rPr>
        <w:instrText xml:space="preserve"> programmes and 66 demonstration projects in 46 countries. Among demonstration projects, 30 were supported by the GARDASIL® Access Program, 20 by Gavi, four by PATH and 12 by other means. School-based vaccine delivery supplemented with health facility-base</w:instrText>
      </w:r>
      <w:r w:rsidRPr="00C6358B">
        <w:rPr>
          <w:rFonts w:cs="Times New Roman"/>
          <w:color w:val="000000" w:themeColor="text1"/>
        </w:rPr>
        <w:instrText>d delivery for out-of-school girls attained high coverage. There were limited data on facility-only strategies and little evaluation of strategies to reach out-of-school girls. Early engagement of teachers as partners in social mobilisation, consent, vacci</w:instrText>
      </w:r>
      <w:r w:rsidRPr="00C6358B">
        <w:rPr>
          <w:rFonts w:cs="Times New Roman"/>
          <w:color w:val="000000" w:themeColor="text1"/>
        </w:rPr>
        <w:instrText>nation day coordination, follow-up of non-completers and adverse events was considered invaluable. Micro-planning using school/facility registers most effectively enumerated target populations; other estimates proved inaccurate, leading to vaccine under- o</w:instrText>
      </w:r>
      <w:r w:rsidRPr="00C6358B">
        <w:rPr>
          <w:rFonts w:cs="Times New Roman"/>
          <w:color w:val="000000" w:themeColor="text1"/>
        </w:rPr>
        <w:instrText>r over-estimation. Refresher training on adverse events and safe injection procedures was usually necessary. Conclusion Considerable experience in HPV vaccine delivery in LAMICs is available. Lessons are generally consistent across countries and disseminat</w:instrText>
      </w:r>
      <w:r w:rsidRPr="00C6358B">
        <w:rPr>
          <w:rFonts w:cs="Times New Roman"/>
          <w:color w:val="000000" w:themeColor="text1"/>
        </w:rPr>
        <w:instrText>ion of these could improve HPV vaccine introduction. :","author":[{"dropping-particle":"","family":"Gallagher","given":"Katherine E.","non-dropping-particle":"","parse-names":false,"suffix":""},{"dropping-particle":"","family":"Howard","given":"Natasha","n</w:instrText>
      </w:r>
      <w:r w:rsidRPr="00C6358B">
        <w:rPr>
          <w:rFonts w:cs="Times New Roman"/>
          <w:color w:val="000000" w:themeColor="text1"/>
        </w:rPr>
        <w:instrText>on-dropping-particle":"","parse-names":false,"suffix":""},{"dropping-particle":"","family":"Kabakama","given":"Severin","non-dropping-particle":"","parse-names":false,"suffix":""},{"dropping-particle":"","family":"Mounier-Jack","given":"Sandra","non-droppi</w:instrText>
      </w:r>
      <w:r w:rsidRPr="00C6358B">
        <w:rPr>
          <w:rFonts w:cs="Times New Roman"/>
          <w:color w:val="000000" w:themeColor="text1"/>
        </w:rPr>
        <w:instrText>ng-particle":"","parse-names":false,"suffix":""},{"dropping-particle":"","family":"Griffiths","given":"Ulla K.","non-dropping-particle":"","parse-names":false,"suffix":""},{"dropping-particle":"","family":"Feletto","given":"Marta","non-dropping-particle":"</w:instrText>
      </w:r>
      <w:r w:rsidRPr="00C6358B">
        <w:rPr>
          <w:rFonts w:cs="Times New Roman"/>
          <w:color w:val="000000" w:themeColor="text1"/>
        </w:rPr>
        <w:instrText>","parse-names":false,"suffix":""},{"dropping-particle":"","family":"Burchett","given":"Helen E.D.","non-dropping-particle":"","parse-names":false,"suffix":""},{"dropping-particle":"","family":"LaMontagne","given":"D. Scott","non-dropping-particle":"","par</w:instrText>
      </w:r>
      <w:r w:rsidRPr="00C6358B">
        <w:rPr>
          <w:rFonts w:cs="Times New Roman"/>
          <w:color w:val="000000" w:themeColor="text1"/>
        </w:rPr>
        <w:instrText>se-names":false,"suffix":""},{"dropping-particle":"","family":"Watson-Jones","given":"Deborah","non-dropping-particle":"","parse-names":false,"suffix":""}],"container-title":"PLoS ONE","id":"ITEM-3","issue":"6","issued":{"date-parts":[["2017","6","1"]]},"p</w:instrText>
      </w:r>
      <w:r w:rsidRPr="00C6358B">
        <w:rPr>
          <w:rFonts w:cs="Times New Roman"/>
          <w:color w:val="000000" w:themeColor="text1"/>
        </w:rPr>
        <w:instrText>ublisher":"Public Library of Science","title":"Lessons learnt from human papillomavirus (HPV) vaccination in 45 low- and middleincome countries","type":"article-journal","volume":"12"},"uris":["http://www.mendeley.com/documents/?uuid=d92abb6a-d152-3e3e-8e5</w:instrText>
      </w:r>
      <w:r w:rsidRPr="00C6358B">
        <w:rPr>
          <w:rFonts w:cs="Times New Roman"/>
          <w:color w:val="000000" w:themeColor="text1"/>
        </w:rPr>
        <w:instrText>9-481b30849ee5"]},{"id":"ITEM-4","itemData":{"DOI":"10.1016/J.VACCINE.2018.02.003","ISSN":"0264-410X","PMID":"29580641","abstract":"During the last 12 years, over 80 countries have introduced national HPV vaccination programs. The majority of these countri</w:instrText>
      </w:r>
      <w:r w:rsidRPr="00C6358B">
        <w:rPr>
          <w:rFonts w:cs="Times New Roman"/>
          <w:color w:val="000000" w:themeColor="text1"/>
        </w:rPr>
        <w:instrText>es are high or upper-middle income countries. The barriers to HPV vaccine introduction remain greatest in those countries with the highest burden of cervical cancer and the most need for vaccination. Innovation and global leadership is required to increase</w:instrText>
      </w:r>
      <w:r w:rsidRPr="00C6358B">
        <w:rPr>
          <w:rFonts w:cs="Times New Roman"/>
          <w:color w:val="000000" w:themeColor="text1"/>
        </w:rPr>
        <w:instrText xml:space="preserve"> and sustain introductions in low income and lower-middle income countries.","author":[{"dropping-particle":"","family":"Gallagher","given":"K. E.","non-dropping-particle":"","parse-names":false,"suffix":""},{"dropping-particle":"","family":"LaMontagne","g</w:instrText>
      </w:r>
      <w:r w:rsidRPr="00C6358B">
        <w:rPr>
          <w:rFonts w:cs="Times New Roman"/>
          <w:color w:val="000000" w:themeColor="text1"/>
        </w:rPr>
        <w:instrText>iven":"D. S.","non-dropping-particle":"","parse-names":false,"suffix":""},{"dropping-particle":"","family":"Watson-Jones","given":"D.","non-dropping-particle":"","parse-names":false,"suffix":""}],"container-title":"Vaccine","id":"ITEM-4","issue":"32","issu</w:instrText>
      </w:r>
      <w:r w:rsidRPr="00C6358B">
        <w:rPr>
          <w:rFonts w:cs="Times New Roman"/>
          <w:color w:val="000000" w:themeColor="text1"/>
        </w:rPr>
        <w:instrText>ed":{"date-parts":[["2018","8","6"]]},"page":"4761-4767","publisher":"Elsevier","title":"Status of HPV vaccine introduction and barriers to country uptake","type":"article-journal","volume":"36"},"uris":["http://www.mendeley.com/documents/?uuid=7f2dbd3d-d8</w:instrText>
      </w:r>
      <w:r w:rsidRPr="00C6358B">
        <w:rPr>
          <w:rFonts w:cs="Times New Roman"/>
          <w:color w:val="000000" w:themeColor="text1"/>
        </w:rPr>
        <w:instrText xml:space="preserve">df-3dde-925e-2e3cc4f34c36"]},{"id":"ITEM-5","itemData":{"DOI":"10.1016/j.jvacx.2024.100549","ISSN":"25901362","abstract":"Human papillomaviruses (HPV) cause 99% of all cervical cancer cases globally, with the high-risk genotypes 16 and 18 causing at least </w:instrText>
      </w:r>
      <w:r w:rsidRPr="00C6358B">
        <w:rPr>
          <w:rFonts w:cs="Times New Roman"/>
          <w:color w:val="000000" w:themeColor="text1"/>
        </w:rPr>
        <w:instrText>70% of these cases. An estimated 90% of the global cervical cancer burden occurs in low-to-middle-income countries (LMICs), particularly in sub-Saharan Africa (SSA). Primary prevention through the administration of efficacious HPV vaccines is key to the Wo</w:instrText>
      </w:r>
      <w:r w:rsidRPr="00C6358B">
        <w:rPr>
          <w:rFonts w:cs="Times New Roman"/>
          <w:color w:val="000000" w:themeColor="text1"/>
        </w:rPr>
        <w:instrText>rld Health Organization's global strategy for accelerating the elimination of cervical cancer as a disease of public health concern. The rollout of HPV vaccination in SSA is faced with several challenges, such as the high cost of vaccine procurement, a lac</w:instrText>
      </w:r>
      <w:r w:rsidRPr="00C6358B">
        <w:rPr>
          <w:rFonts w:cs="Times New Roman"/>
          <w:color w:val="000000" w:themeColor="text1"/>
        </w:rPr>
        <w:instrText>k of funding and political will from the central governments of countries, and inadequate infrastructure for vaccine cold chain storage and transport. Stigma, misinformation, lack of education and awareness, and vaccine hesitancy constitute the social fact</w:instrText>
      </w:r>
      <w:r w:rsidRPr="00C6358B">
        <w:rPr>
          <w:rFonts w:cs="Times New Roman"/>
          <w:color w:val="000000" w:themeColor="text1"/>
        </w:rPr>
        <w:instrText>ors that affect the successful rollout or implementation of vaccination programs in SSA. Based on the challenges SSA faces in rolling out HPV vaccination, we recommend using strategies that address both the demand-side and supply-side obstacles to HPV vacc</w:instrText>
      </w:r>
      <w:r w:rsidRPr="00C6358B">
        <w:rPr>
          <w:rFonts w:cs="Times New Roman"/>
          <w:color w:val="000000" w:themeColor="text1"/>
        </w:rPr>
        <w:instrText>ination uptake. These include costs and availability, fighting vaccine hesitancy, and increasing vaccine confidence.","author":[{"dropping-particle":"","family":"Murewanhema","given":"Grant","non-dropping-particle":"","parse-names":false,"suffix":""},{"dro</w:instrText>
      </w:r>
      <w:r w:rsidRPr="00C6358B">
        <w:rPr>
          <w:rFonts w:cs="Times New Roman"/>
          <w:color w:val="000000" w:themeColor="text1"/>
        </w:rPr>
        <w:instrText>pping-particle":"","family":"Moyo","given":"Enos","non-dropping-particle":"","parse-names":false,"suffix":""},{"dropping-particle":"","family":"Dzobo","given":"Mathias","non-dropping-particle":"","parse-names":false,"suffix":""},{"dropping-particle":"","fa</w:instrText>
      </w:r>
      <w:r w:rsidRPr="00C6358B">
        <w:rPr>
          <w:rFonts w:cs="Times New Roman"/>
          <w:color w:val="000000" w:themeColor="text1"/>
        </w:rPr>
        <w:instrText>mily":"Mandishora-Dube","given":"Rachel S.","non-dropping-particle":"","parse-names":false,"suffix":""},{"dropping-particle":"","family":"Dzinamarira","given":"Tafadzwa","non-dropping-particle":"","parse-names":false,"suffix":""}],"container-title":"Vaccin</w:instrText>
      </w:r>
      <w:r w:rsidRPr="00C6358B">
        <w:rPr>
          <w:rFonts w:cs="Times New Roman"/>
          <w:color w:val="000000" w:themeColor="text1"/>
        </w:rPr>
        <w:instrText>e: X","id":"ITEM-5","issue":"August","issued":{"date-parts":[["2024"]]},"page":"100549","publisher":"Elsevier Ltd","title":"Human papilloma virus vaccination in the resource-limited settings of sub-Saharan Africa: Challenges and recommendations","type":"ar</w:instrText>
      </w:r>
      <w:r w:rsidRPr="00C6358B">
        <w:rPr>
          <w:rFonts w:cs="Times New Roman"/>
          <w:color w:val="000000" w:themeColor="text1"/>
        </w:rPr>
        <w:instrText>ticle-journal","volume":"20"},"uris":["http://www.mendeley.com/documents/?uuid=12d9e9e3-f30d-4306-bce3-0aac7eec379c"]}],"mendeley":{"formattedCitation":"(Bruni &lt;i&gt;et al.&lt;/i&gt;, 2016; Gallagher &lt;i&gt;et al.&lt;/i&gt;, 2017; LaMontagne &lt;i&gt;et al.&lt;/i&gt;, 2017; Gallagher, L</w:instrText>
      </w:r>
      <w:r w:rsidRPr="00C6358B">
        <w:rPr>
          <w:rFonts w:cs="Times New Roman"/>
          <w:color w:val="000000" w:themeColor="text1"/>
        </w:rPr>
        <w:instrText>aMontagne and Watson-Jones, 2018; Murewanhema &lt;i&gt;et al.&lt;/i&gt;, 2024)","plainTextFormattedCitation":"(Bruni et al., 2016; Gallagher et al., 2017; LaMontagne et al., 2017; Gallagher, LaMontagne and Watson-Jones, 2018; Murewanhema et al., 2024)","previouslyForm</w:instrText>
      </w:r>
      <w:r w:rsidRPr="00C6358B">
        <w:rPr>
          <w:rFonts w:cs="Times New Roman"/>
          <w:color w:val="000000" w:themeColor="text1"/>
        </w:rPr>
        <w:instrText>attedCitation":"(Bruni &lt;i&gt;et al.&lt;/i&gt;, 2016; Gallagher &lt;i&gt;et al.&lt;/i&gt;, 2017; LaMontagne &lt;i&gt;et al.&lt;/i&gt;, 2017; Gallagher, LaMontagne and Watson-Jones, 2018; Murewanhema &lt;i&gt;et al.&lt;/i&gt;, 2024)"},"properties":{"noteIndex":0},"schema":"https://github.com/citation-s</w:instrText>
      </w:r>
      <w:r w:rsidRPr="00C6358B">
        <w:rPr>
          <w:rFonts w:cs="Times New Roman"/>
          <w:color w:val="000000" w:themeColor="text1"/>
        </w:rPr>
        <w:instrText>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(Bruni </w:t>
      </w:r>
      <w:r w:rsidRPr="00C6358B">
        <w:rPr>
          <w:rFonts w:cs="Times New Roman"/>
          <w:i/>
          <w:noProof/>
          <w:color w:val="000000" w:themeColor="text1"/>
        </w:rPr>
        <w:t>et al.</w:t>
      </w:r>
      <w:r w:rsidRPr="00C6358B">
        <w:rPr>
          <w:rFonts w:cs="Times New Roman"/>
          <w:noProof/>
          <w:color w:val="000000" w:themeColor="text1"/>
        </w:rPr>
        <w:t xml:space="preserve">, 2016; Gallagher </w:t>
      </w:r>
      <w:r w:rsidRPr="00C6358B">
        <w:rPr>
          <w:rFonts w:cs="Times New Roman"/>
          <w:i/>
          <w:noProof/>
          <w:color w:val="000000" w:themeColor="text1"/>
        </w:rPr>
        <w:t>et al.</w:t>
      </w:r>
      <w:r w:rsidRPr="00C6358B">
        <w:rPr>
          <w:rFonts w:cs="Times New Roman"/>
          <w:noProof/>
          <w:color w:val="000000" w:themeColor="text1"/>
        </w:rPr>
        <w:t xml:space="preserve">, 2017; LaMontagne </w:t>
      </w:r>
      <w:r w:rsidRPr="00C6358B">
        <w:rPr>
          <w:rFonts w:cs="Times New Roman"/>
          <w:i/>
          <w:noProof/>
          <w:color w:val="000000" w:themeColor="text1"/>
        </w:rPr>
        <w:t>et al.</w:t>
      </w:r>
      <w:r w:rsidRPr="00C6358B">
        <w:rPr>
          <w:rFonts w:cs="Times New Roman"/>
          <w:noProof/>
          <w:color w:val="000000" w:themeColor="text1"/>
        </w:rPr>
        <w:t xml:space="preserve">, 2017; Gallagher, LaMontagne and Watson-Jones, 2018; Murewanhema </w:t>
      </w:r>
      <w:r w:rsidRPr="00C6358B">
        <w:rPr>
          <w:rFonts w:cs="Times New Roman"/>
          <w:i/>
          <w:noProof/>
          <w:color w:val="000000" w:themeColor="text1"/>
        </w:rPr>
        <w:t>et al.</w:t>
      </w:r>
      <w:r w:rsidRPr="00C6358B">
        <w:rPr>
          <w:rFonts w:cs="Times New Roman"/>
          <w:noProof/>
          <w:color w:val="000000" w:themeColor="text1"/>
        </w:rPr>
        <w:t>, 2024)</w:t>
      </w:r>
      <w:r w:rsidRPr="00C6358B">
        <w:rPr>
          <w:rFonts w:cs="Times New Roman"/>
          <w:color w:val="000000" w:themeColor="text1"/>
        </w:rPr>
        <w:fldChar w:fldCharType="end"/>
      </w:r>
      <w:r w:rsidRPr="00C6358B">
        <w:rPr>
          <w:rFonts w:cs="Times New Roman"/>
          <w:color w:val="000000" w:themeColor="text1"/>
        </w:rPr>
        <w:t xml:space="preserve"> In 2023, Nigeria, HPV vaccine was introduced into routine im</w:t>
      </w:r>
      <w:r w:rsidRPr="00C6358B">
        <w:rPr>
          <w:rFonts w:cs="Times New Roman"/>
          <w:color w:val="000000" w:themeColor="text1"/>
        </w:rPr>
        <w:t xml:space="preserve">munization schedule </w:t>
      </w:r>
      <w:r w:rsidR="006464FE">
        <w:rPr>
          <w:rFonts w:cs="Times New Roman"/>
          <w:color w:val="000000" w:themeColor="text1"/>
        </w:rPr>
        <w:t xml:space="preserve">for children </w:t>
      </w:r>
      <w:r w:rsidRPr="00C6358B">
        <w:rPr>
          <w:rFonts w:cs="Times New Roman"/>
          <w:color w:val="000000" w:themeColor="text1"/>
        </w:rPr>
        <w:t>with the goal of reaching almost 8 million girls which is one of the largest drives in Africa.</w:t>
      </w:r>
      <w:r w:rsidRPr="00C6358B">
        <w:rPr>
          <w:rFonts w:cs="Times New Roman"/>
          <w:color w:val="000000" w:themeColor="text1"/>
        </w:rPr>
        <w:fldChar w:fldCharType="begin" w:fldLock="1"/>
      </w:r>
      <w:r w:rsidRPr="00C6358B">
        <w:rPr>
          <w:rFonts w:cs="Times New Roman"/>
          <w:color w:val="000000" w:themeColor="text1"/>
        </w:rPr>
        <w:instrText xml:space="preserve">ADDIN CSL_CITATION </w:instrText>
      </w:r>
      <w:r w:rsidRPr="00C6358B">
        <w:rPr>
          <w:rFonts w:cs="Times New Roman"/>
          <w:color w:val="000000" w:themeColor="text1"/>
        </w:rPr>
        <w:instrText>{"citationItems":[{"id":"ITEM-1","itemData":{"ISBN":"9789240014107","author":[{"dropping-particle":"","family":"World Health Organization","given":"","non-dropping-particle":"","parse-names":false,"suffix":""}],"container-title":"World Health Organization"</w:instrText>
      </w:r>
      <w:r w:rsidRPr="00C6358B">
        <w:rPr>
          <w:rFonts w:cs="Times New Roman"/>
          <w:color w:val="000000" w:themeColor="text1"/>
        </w:rPr>
        <w:instrText>,"id":"ITEM-1","issued":{"date-parts":[["2020"]]},"page":"1-56","title":"Global strategy to accelerate the elimination of cervical cancer as a public health problem","type":"article-journal"},"uris":["http://www.mendeley.com/documents/?uuid=b3c352bd-4eab-3</w:instrText>
      </w:r>
      <w:r w:rsidRPr="00C6358B">
        <w:rPr>
          <w:rFonts w:cs="Times New Roman"/>
          <w:color w:val="000000" w:themeColor="text1"/>
        </w:rPr>
        <w:instrText>8b1-bb93-9888000aac1a"]}],"mendeley":{"formattedCitation":"(World Health Organization, 2020)","plainTextFormattedCitation":"(World Health Organization, 2020)","previouslyFormattedCitation":"(World Health Organization, 2020)"},"properties":{"noteIndex":0},"</w:instrText>
      </w:r>
      <w:r w:rsidRPr="00C6358B">
        <w:rPr>
          <w:rFonts w:cs="Times New Roman"/>
          <w:color w:val="000000" w:themeColor="text1"/>
        </w:rPr>
        <w:instrText>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2020)</w:t>
      </w:r>
      <w:r w:rsidRPr="00C6358B">
        <w:rPr>
          <w:rFonts w:cs="Times New Roman"/>
          <w:color w:val="000000" w:themeColor="text1"/>
        </w:rPr>
        <w:fldChar w:fldCharType="end"/>
      </w:r>
      <w:r w:rsidRPr="00C6358B">
        <w:rPr>
          <w:rFonts w:cs="Times New Roman"/>
          <w:color w:val="000000" w:themeColor="text1"/>
        </w:rPr>
        <w:t xml:space="preserve"> </w:t>
      </w:r>
      <w:r w:rsidRPr="00C6358B">
        <w:rPr>
          <w:rFonts w:cs="Times New Roman"/>
          <w:color w:val="000000" w:themeColor="text1"/>
        </w:rPr>
        <w:br/>
      </w:r>
      <w:r w:rsidRPr="00C6358B">
        <w:rPr>
          <w:rFonts w:cs="Times New Roman"/>
          <w:color w:val="000000" w:themeColor="text1"/>
        </w:rPr>
        <w:br/>
        <w:t>Healthcare professionals by virtue of their roles play a critical role in vaccine promotion, education, and acceptance. Their ac</w:t>
      </w:r>
      <w:r w:rsidRPr="00C6358B">
        <w:rPr>
          <w:rFonts w:cs="Times New Roman"/>
          <w:color w:val="000000" w:themeColor="text1"/>
        </w:rPr>
        <w:t xml:space="preserve">tions or inactions can have great implications for patient </w:t>
      </w:r>
      <w:proofErr w:type="spellStart"/>
      <w:r w:rsidRPr="00C6358B">
        <w:rPr>
          <w:rFonts w:cs="Times New Roman"/>
          <w:color w:val="000000" w:themeColor="text1"/>
        </w:rPr>
        <w:t>behaviour</w:t>
      </w:r>
      <w:proofErr w:type="spellEnd"/>
      <w:r w:rsidRPr="00C6358B">
        <w:rPr>
          <w:rFonts w:cs="Times New Roman"/>
          <w:color w:val="000000" w:themeColor="text1"/>
        </w:rPr>
        <w:t xml:space="preserve"> especially related to the adoption of health interventions. Studies show that strong recommendations from healthcare professionals can influence HPV vaccine uptake among the general popul</w:t>
      </w:r>
      <w:r w:rsidRPr="00C6358B">
        <w:rPr>
          <w:rFonts w:cs="Times New Roman"/>
          <w:color w:val="000000" w:themeColor="text1"/>
        </w:rPr>
        <w:t>ation.</w:t>
      </w:r>
      <w:r w:rsidRPr="00C6358B">
        <w:rPr>
          <w:rFonts w:cs="Times New Roman"/>
          <w:color w:val="000000" w:themeColor="text1"/>
        </w:rPr>
        <w:fldChar w:fldCharType="begin" w:fldLock="1"/>
      </w:r>
      <w:r w:rsidR="0093112E">
        <w:rPr>
          <w:rFonts w:cs="Times New Roman"/>
          <w:color w:val="000000" w:themeColor="text1"/>
        </w:rPr>
        <w:instrText>ADDIN CSL_CITATION {"citationItems":[{"id":"ITEM-1","itemData":{"DOI":"10.4103/IJMR.IJMR_1106_14,","ISSN":"09715916","PMID":"28361828","abstract":"Background &amp; objectives: Cervical cancer is a major health problem and a leading cause of death among women in India. Of all the associated risk factors, high-risk human papillomavirus (HPV) infections being the principal aetiologic agent, two HPV vaccines are in use for the control of cervical cancer. The present study was undertaken to explore the knowledge, attitude and practice (KAP) on HPV vaccination among the healthcare providers in India. Methods: A cross-sectional study was conducted among 590 healthcare professionals from 232 hospitals and 80 PHCs of nine districts of Delhi-NCR (National Capital Region). A total of 590 (526 female, 64 male) healthcare providers were surveyed. Results: Only 47 per cent of respondents recommended young women to get vaccinated against HPV. Majority of respondents (81%) were found to be aware about the existence of vaccines for cervical cancer prevention. District-wise, highest (88.3%) awareness about the existence of vaccines against HPV was reported from Gautam Budh Nagar and lowest (64%) in Faridabad. Although 86 per cent of gynaecologists were aware about the names of HPV vaccines available in the market, only 27 per cent of paramedical staff had this knowledge. There was a significant difference between the respondents from government and private sectors regarding their awareness about HPV vaccines. Lack of awareness about the principal cause, risk factors and symptoms for cervical cancer and HPV vaccination was significantly (P&lt;0.05) reported in the respondents from paramedical staff category. Interpretation &amp; conclusions: The findings reinforce continued medical education of healthcare providers, particularly those from the government sector on HPV vaccination for cervical cancer prevention. Public education is also pertinent for a successful HPV vaccination programme in the country.","author":[{"dropping-particle":"","family":"Chawla","given":"P. Cheena","non-dropping-particle":"","parse-names":false,"suffix":""},{"dropping-particle":"","family":"Chawla","given":"Anil","non-dropping-particle":"","parse-names":false,"suffix":""},{"dropping-particle":"","family":"Chaudhary","given":"Seema","non-dropping-particle":"","parse-names":false,"suffix":""}],"container-title":"Indian Journal of Medical Research","id":"ITEM-1","issue":"NOVEMBER","issued":{"date-parts":[["2016","11","1"]]},"page":"741-749","publisher":"Indian Council of Medical Research","title":"Knowledge, attitude &amp; practice on human papillomavirus vaccination: A cross-sectional study among healthcare providers","type":"article-journal","volume":"144"},"uris":["http://www.mendeley.com/documents/?uuid=faec92ab-a432-3d12-b2e3-8c901fdc2f02"]},{"id":"ITEM-2","itemData":{"DOI":"10.1080/21645515.2020.1780093","ISSN":"2164554X","PMID":"32692948","abstract":"Background: Healthcare workers (HCWs) play a key role in the recommendation of HPV vaccination. Our study aimed to understand to what extent a structured health intervention could change the knowledge and attitudes toward HPV and its vaccines among HCWs in Western China. Methods: This was a multi-center, questionnaire-based interventional study conducted across 12 cities of seven provinces in Western China, from November 2018 to July 2019. Participants were recruited from local health systems by e-invitation. Questionnaires were administered to participants before and after the intervention. Results: A total of 1448 HCWs attended the educational lectures and 1354 participants completed both pre- and post-study questionnaires. In general, HCWs had satisfactory baseline knowledge regarding HPV and its vaccines compared with other populations, and a significantly higher knowledge level was observed after the intervention. However, some more specific knowledge on the vaccination procedures, other HPV-related diseases and whether HPV testing was required before vaccination was relatively poor. Following the educational intervention, the correct responses to the above questions increased (P &lt; .001). However, it was still lower compared with answers to other questions. Change was also detected regarding HCWs’ willingness to recommend HPV vaccines to the appropriate population (P &lt; .001). Conclusion: Educational intervention on HPV and its vaccines is effective in improving HCWs’ knowledge levels and willingness to recommend HPV vaccines. Future educational interventions should focus more on knowledge regarding HPV-related diseases and HPV vaccination. Education campaigns targeting rural HCWs are urgently needed in the near future.","author":[{"dropping-particle":"","family":"Chen","given":"Hui","non-dropping-particle":"","parse-names":false,"suffix":""},{"dropping-particle":"","family":"Zhang","given":"Xi","non-dropping-particle":"","parse-names":false,"suffix":""},{"dropping-particle":"","family":"Wang","given":"Wei","non-dropping-particle":"","parse-names":false,"suffix":""},{"dropping-particle":"","family":"Zhang","given":"Rong","non-dropping-particle":"","parse-names":false,"suffix":""},{"dropping-particle":"","family":"Du","given":"Mei","non-dropping-particle":"","parse-names":false,"suffix":""},{"dropping-particle":"","family":"Shan","given":"Li","non-dropping-particle":"","parse-names":false,"suffix":""},{"dropping-particle":"","family":"Li","given":"Yucong","non-dropping-particle":"","parse-names":false,"suffix":""},{"dropping-particle":"","family":"Wang","given":"Xiaohui","non-dropping-particle":"","parse-names":false,"suffix":""},{"dropping-particle":"","family":"Liu","given":"Yijun","non-dropping-particle":"","parse-names":false,"suffix":""},{"dropping-particle":"","family":"Zhang","given":"Wen","non-dropping-particle":"","parse-names":false,"suffix":""},{"dropping-particle":"","family":"Li","given":"Xiaoling","non-dropping-particle":"","parse-names":false,"suffix":""},{"dropping-particle":"","family":"Qiao","given":"Youlin","non-dropping-particle":"","parse-names":false,"suffix":""},{"dropping-particle":"","family":"Ma","given":"Jianqiao","non-dropping-particle":"","parse-names":false,"suffix":""},{"dropping-particle":"","family":"Zhou","given":"Jing","non-dropping-particle":"","parse-names":false,"suffix":""},{"dropping-particle":"","family":"Li","given":"Jing","non-dropping-particle":"","parse-names":false,"suffix":""}],"container-title":"Human Vaccines and Immunotherapeutics","id":"ITEM-2","issue":"2","issued":{"date-parts":[["2020"]]},"page":"1-8","publisher":"Taylor &amp; Francis","title":"Effect of an educational intervention on human papillomavirus (HPV) knowledge and attitudes towards HPV vaccines among healthcare workers (HCWs) in Western China","type":"article-journal","volume":"17"},"uris":["http://www.mendeley.com/documents/?uuid=b6a4aae1-060c-4d37-95f1-c818ac4e69d9"]},{"id":"ITEM-3","itemData":{"DOI":"10.7759/cureus.30855","ISSN":"2168-8184","PMID":"36457617","abstract":"Human Papilloma Virus (HPV) infection is the most common sexually transmitted disease and the leading cause of cervical cancer. The undeniable causal link between HPV and cervical cancer led to the creation of HPV prophylactic vaccines. Health professionals are key in counseling parents about their children's immunization, as they are considered valid and reliable sources of information. The systematic review aimed to determine doctors' and nurses' knowledge of HPV, their awareness of the vaccine, and their willingness to accept vaccination. Systematic studies were conducted from 2015 to January 2022 in Medline/PubMed and Google Scholar online databases. The systematic review included 10 good-quality cross-sectional studies and a total of 6700 participants who were administered self-administered questionnaires or personal interviews. From the analysis of most of the studies, it is demonstrated that health professionals have a satisfactory level of knowledge about HPV infection and its effects on human health, even if their knowledge gap in essential details regarding the virus and HPV vaccination is apparent. It was found that various factors regarding health professionals, such as their specialty, gender, working environment, weekly working hours, and the interval since their last HPV training, contribute to forming their knowledge level about HPV and vaccination. In addition, most studies show that most healthcare professionals knew about the existence of HPV vaccines but did not know many details about how their work and their potential benefits. In conclusion, the provision of counseling by health professionals is currently estimated to be the strongest predictor of target group compliance with the HPV vaccine. Consequently, it is essentially considered to investigate the HPV-related knowledge level among health workers and to intensively reeducate them regarding the HPV infection risks and the necessity of HPV vaccination to improve their awareness and strengthen their attitude in favor of vaccination against cervical cancer.","author":[{"dropping-particle":"","family":"Thanasa","given":"Efthymia","non-dropping-particle":"","parse-names":false,"suffix":""},{"dropping-particle":"","family":"Thanasa","given":"Anna","non-dropping-particle":"","parse-names":false,"suffix":""},{"dropping-particle":"","family":"Kamaretsos","given":"Evangelos","non-dropping-particle":"","parse-names":false,"suffix":""},{"dropping-particle":"","family":"Paraoulakis","given":"Ioannis","non-dropping-particle":"","parse-names":false,"suffix":""},{"dropping-particle":"","family":"Balafa","given":"Konstantina","non-dropping-particle":"","parse-names":false,"suffix":""},{"dropping-particle":"","family":"Gerokostas","given":"Ektoras-Evangelos","non-dropping-particle":"","parse-names":false,"suffix":""},{"dropping-particle":"","family":"Kontogeorgis","given":"Gerasimos","non-dropping-particle":"","parse-names":false,"suffix":""},{"dropping-particle":"","family":"Koutalia","given":"Nikoleta","non-dropping-particle":"","parse-names":false,"suffix":""},{"dropping-particle":"","family":"Stamouli","given":"Dimitra","non-dropping-particle":"","parse-names":false,"suffix":""},{"dropping-particle":"","family":"Grapsidi","given":"Vasiliki","non-dropping-particle":"","parse-names":false,"suffix":""},{"dropping-particle":"","family":"Alexopoulou","given":"Efthymia","non-dropping-particle":"","parse-names":false,"suffix":""},{"dropping-particle":"","family":"Ntella","given":"Georgia","non-dropping-particle":"","parse-names":false,"suffix":""},{"dropping-particle":"","family":"Sfondyli","given":"Elena","non-dropping-particle":"","parse-names":false,"suffix":""},{"dropping-particle":"","family":"Thanasas","given":"Ioannis","non-dropping-particle":"","parse-names":false,"suffix":""}],"container-title":"Cureus","id":"ITEM-3","issue":"10","issued":{"date-parts":[["2022","10","30"]]},"page":"e30855","publisher":"Springer Science and Business Media LLC","title":"Awareness Regarding Human Papilloma Virus Among Health Professionals and Will to Accept Vaccination: A Systematic Review.","type":"article-journal","volume":"14"},"uris":["http://www.mendeley.com/documents/?uuid=77cfd105-dd8c-3565-80ab-aff7e3130bb2"]},{"id":"ITEM-4","itemData":{"DOI":"10.1016/J.JVACX.2024.100591","ISSN":"2590-1362","abstract":"Background: The recent introduction of the HPV vaccine into Nigeria's routine immunization schedule has brought parental vaccine hesitancy to the forefront. This cross-sectional study, conducted in Kano State, a region with historically low immunization rates, is crucial in assessing the level of parental hesitancy and uncovering its determinants, potentially informing future public health policies. Methods: The participants were a representative sample of parents or caregivers of children aged 9–14 years (n = 1071) in Kano State and were selected via a multi-stage sampling method. We administered structured questionnaires anchored in the Socio-ecological Model and the Precaution Adoption Process Model. We utilized validated measures to assess intent to vaccinate against HPV and potential key indicators of intent to vaccinate adolescent boys and girls. Multivariate logistic regression analysis was performed to determine predictors of parental HPV vaccine hesitancy. Result: If the HPV vaccine were free or subsidized, about one-third [32.7 %] of parents would choose not to vaccinate their children against the virus. Only 4.2 % had ever heard of HPV, and a mere 5.1 % had heard of the cervical cancer vaccine or HPV vaccine. Compared to those who were aware of the virus, those who had never heard of HPV had higher adjusted odds of vaccine hesitancy [OR: 2.86, 95 %CI: 1.28–6.40]. Some of the top reasons for parental hesitancy were their concerns about the safety of the vaccine and the lack of doctors' recommendations. Conclusion: The study revealed that parental hesitancy is a significant barrier to HPV uptake in Kano State. There is an urgent need for a multi-faceted HPV knowledge enhancement approach focusing on elevating parental awareness about the HPV vaccine and, particularly, its relationship to cervical cancer prevention.","author":[{"dropping-particle":"","family":"Yusuf","given":"Korede K.","non-dropping-particle":"","parse-names":false,"suffix":""},{"dropping-particle":"","family":"Olorunsaiye","given":"Comfort Z.","non-dropping-particle":"","parse-names":false,"suffix":""},{"dropping-particle":"","family":"Gadanya","given":"Muktar A.","non-dropping-particle":"","parse-names":false,"suffix":""},{"dropping-particle":"","family":"Ouedraogo","given":"Samira","non-dropping-particle":"","parse-names":false,"suffix":""},{"dropping-particle":"","family":"Abdullahi","given":"Aisha A.","non-dropping-particle":"","parse-names":false,"suffix":""},{"dropping-particle":"","family":"Salihu","given":"Hamisu M.","non-dropping-particle":"","parse-names":false,"suffix":""}],"container-title":"Vaccine: X","id":"ITEM-4","issued":{"date-parts":[["2024","12","1"]]},"page":"100591","publisher":"Elsevier","title":"HPV vaccine hesitancy among parents and caregivers of adolescents in Northern Nigeria","type":"article-journal","volume":"21"},"uris":["http://www.mendeley.com/documents/?uuid=fe27ac98-1e84-3d0a-9739-41ecc2a55bb1"]}],"mendeley":{"formattedCitation":"(Chawla, Chawla and Chaudhary, 2016; Chen &lt;i&gt;et al.&lt;/i&gt;, 2020; Thanasa &lt;i&gt;et al.&lt;/i&gt;, 2022; Yusuf &lt;i&gt;et al.&lt;/i&gt;, 2024)","plainTextFormattedCitation":"(Chawla, Chawla and Chaudhary, 2016; Chen et al., 2020; Thanasa et al., 2022; Yusuf et al., 2024)","previouslyFormattedCitation":"(Chawla, Chawla and Chaudhary, 2016; Chen &lt;i&gt;et al.&lt;/i&gt;, 2020; Thanasa &lt;i&gt;et al.&lt;/i&gt;, 2022; Yusuf &lt;i&gt;et al.&lt;/i&gt;, 2024)"},"properties":{"noteIndex":0},"schema":"https://github.com/citation-style-language/schema/raw/master/csl-citation.json"}</w:instrText>
      </w:r>
      <w:r w:rsidRPr="00C6358B">
        <w:rPr>
          <w:rFonts w:cs="Times New Roman"/>
          <w:color w:val="000000" w:themeColor="text1"/>
        </w:rPr>
        <w:fldChar w:fldCharType="separate"/>
      </w:r>
      <w:r w:rsidR="00903F87" w:rsidRPr="00903F87">
        <w:rPr>
          <w:rFonts w:cs="Times New Roman"/>
          <w:noProof/>
          <w:color w:val="000000" w:themeColor="text1"/>
        </w:rPr>
        <w:t xml:space="preserve">(Chawla, Chawla and Chaudhary, 2016; Chen </w:t>
      </w:r>
      <w:r w:rsidR="00903F87" w:rsidRPr="00903F87">
        <w:rPr>
          <w:rFonts w:cs="Times New Roman"/>
          <w:i/>
          <w:noProof/>
          <w:color w:val="000000" w:themeColor="text1"/>
        </w:rPr>
        <w:t>et al.</w:t>
      </w:r>
      <w:r w:rsidR="00903F87" w:rsidRPr="00903F87">
        <w:rPr>
          <w:rFonts w:cs="Times New Roman"/>
          <w:noProof/>
          <w:color w:val="000000" w:themeColor="text1"/>
        </w:rPr>
        <w:t xml:space="preserve">, 2020; Thanasa </w:t>
      </w:r>
      <w:r w:rsidR="00903F87" w:rsidRPr="00903F87">
        <w:rPr>
          <w:rFonts w:cs="Times New Roman"/>
          <w:i/>
          <w:noProof/>
          <w:color w:val="000000" w:themeColor="text1"/>
        </w:rPr>
        <w:t>et al.</w:t>
      </w:r>
      <w:r w:rsidR="00903F87" w:rsidRPr="00903F87">
        <w:rPr>
          <w:rFonts w:cs="Times New Roman"/>
          <w:noProof/>
          <w:color w:val="000000" w:themeColor="text1"/>
        </w:rPr>
        <w:t xml:space="preserve">, 2022; Yusuf </w:t>
      </w:r>
      <w:r w:rsidR="00903F87" w:rsidRPr="00903F87">
        <w:rPr>
          <w:rFonts w:cs="Times New Roman"/>
          <w:i/>
          <w:noProof/>
          <w:color w:val="000000" w:themeColor="text1"/>
        </w:rPr>
        <w:t>et al.</w:t>
      </w:r>
      <w:r w:rsidR="00903F87" w:rsidRPr="00903F87">
        <w:rPr>
          <w:rFonts w:cs="Times New Roman"/>
          <w:noProof/>
          <w:color w:val="000000" w:themeColor="text1"/>
        </w:rPr>
        <w:t>, 2024)</w:t>
      </w:r>
      <w:r w:rsidRPr="00C6358B">
        <w:rPr>
          <w:rFonts w:cs="Times New Roman"/>
          <w:color w:val="000000" w:themeColor="text1"/>
        </w:rPr>
        <w:fldChar w:fldCharType="end"/>
      </w:r>
      <w:r w:rsidR="00117FA8">
        <w:rPr>
          <w:rFonts w:cs="Times New Roman"/>
          <w:color w:val="000000" w:themeColor="text1"/>
        </w:rPr>
        <w:t xml:space="preserve"> </w:t>
      </w:r>
      <w:r w:rsidRPr="00C6358B">
        <w:rPr>
          <w:rFonts w:cs="Times New Roman"/>
          <w:color w:val="000000" w:themeColor="text1"/>
        </w:rPr>
        <w:t>However, misconceptions, lack of awareness, and personal hesitancy among healthcare professionals themselves present barriers to vaccin</w:t>
      </w:r>
      <w:r w:rsidRPr="00C6358B">
        <w:rPr>
          <w:rFonts w:cs="Times New Roman"/>
          <w:color w:val="000000" w:themeColor="text1"/>
        </w:rPr>
        <w:t>e advocacy.</w:t>
      </w:r>
      <w:r w:rsidRPr="00C6358B">
        <w:rPr>
          <w:rFonts w:cs="Times New Roman"/>
          <w:color w:val="000000" w:themeColor="text1"/>
        </w:rPr>
        <w:fldChar w:fldCharType="begin" w:fldLock="1"/>
      </w:r>
      <w:r w:rsidR="00903F87">
        <w:rPr>
          <w:rFonts w:cs="Times New Roman"/>
          <w:color w:val="000000" w:themeColor="text1"/>
        </w:rPr>
        <w:instrText>ADDIN CSL_CITATION {"citationItems":[{"id":"ITEM-1","itemData":{"DOI":"10.3109/01443615.2014.925431","ISSN":"13646893","PMID":"24922093","abstract":"Human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Gynaecology","id":"ITEM-1","issue":"8","issued":{"date-parts":[["2014"]]},"page":"714-717","title":"Awareness and perception of human papilloma virus vaccine among healthcare professionals in Nigeria","type":"article-journal","volume":"34"},"uris":["http://www.mendeley.com/documents/?uuid=1ca1ca31-c40c-4873-8499-1fd25a5c5196"]},{"id":"ITEM-2","itemData":{"DOI":"10.4103/IJMR.IJMR_1106_14,","ISSN":"09715916","PMID":"28361828","abstract":"Background &amp; objectives: Cervical cancer is a major health problem and a leading cause of death among women in India. Of all the associated risk factors, high-risk human papillomavirus (HPV) infections being the principal aetiologic agent, two HPV vaccines are in use for the control of cervical cancer. The present study was undertaken to explore the knowledge, attitude and practice (KAP) on HPV vaccination among the healthcare providers in India. Methods: A cross-sectional study was conducted among 590 healthcare professionals from 232 hospitals and 80 PHCs of nine districts of Delhi-NCR (National Capital Region). A total of 590 (526 female, 64 male) healthcare providers were surveyed. Results: Only 47 per cent of respondents recommended young women to get vaccinated against HPV. Majority of respondents (81%) were found to be aware about the existence of vaccines for cervical cancer prevention. District-wise, highest (88.3%) awareness about the existence of vaccines against HPV was reported from Gautam Budh Nagar and lowest (64%) in Faridabad. Although 86 per cent of gynaecologists were aware about the names of HPV vaccines available in the market, only 27 per cent of paramedical staff had this knowledge. There was a significant difference between the respondents from government and private sectors regarding their awareness about HPV vaccines. Lack of awareness about the principal cause, risk factors and symptoms for cervical cancer and HPV vaccination was significantly (P&lt;0.05) reported in the respondents from paramedical staff category. Interpretation &amp; conclusions: The findings reinforce continued medical education of healthcare providers, particularly those from the government sector on HPV vaccination for cervical cancer prevention. Public education is also pertinent for a successful HPV vaccination programme in the country.","author":[{"dropping-particle":"","family":"Chawla","given":"P. Cheena","non-dropping-particle":"","parse-names":false,"suffix":""},{"dropping-particle":"","family":"Chawla","given":"Anil","non-dropping-particle":"","parse-names":false,"suffix":""},{"dropping-particle":"","family":"Chaudhary","given":"Seema","non-dropping-particle":"","parse-names":false,"suffix":""}],"container-title":"Indian Journal of Medical Research","id":"ITEM-2","issue":"NOVEMBER","issued":{"date-parts":[["2016","11","1"]]},"page":"741-749","publisher":"Indian Council of Medical Research","title":"Knowledge, attitude &amp; practice on human papillomavirus vaccination: A cross-sectional study among healthcare providers","type":"article-journal","volume":"144"},"uris":["http://www.mendeley.com/documents/?uuid=faec92ab-a432-3d12-b2e3-8c901fdc2f02"]},{"id":"ITEM-3","itemData":{"DOI":"10.5334/aogh.2890","ISSN":"22149996","PMID":"32983914","abstract":"Background: Cervical cancer deaths are disproportionately higher in developing countries depicting one of the most profound health disparities existing today and is ranked as the second most frequent cancer among women in Nigeria. The Human Papillomavirus (HPV) vaccine as a primary prevention strategy is not widely used in Nigeria. This study investigated perceived barriers to HPV vaccination in a Nigerian com-munity, targeting health workers’ perceptions. Methods: This descriptive study captured responses from a cross-sectional, convenience sample of adult health workers within Anambra State, Nigeria. An anonymous 42-item survey with multiple validated scales was developed based on the Theory of Planned Behavior model and previous studies. The self-administered survey was distributed by research assistants at study sites within Anambra State which were identified through local constituents by the regional zones Adazi-Ani, Onitsha, and Awka. Data analyses were performed using Microsoft Excel for descriptive statistics and R software for the logistic regression, with a statistical significance level of 5%. Subgroup analysis was performed for the baseline knowledge questionnaire to determine if there were any differences in correct responses based on demo-graphics such as: Institution type, profession, age, sex, religion and parental status. Results: Responses were collected from 137 Nigerian health workers; 44% nurses, 14% physicians, 6% pharmacists and 31% other health workers. The majority of respondents were female (69%), between 18 and 39 years of age (78%), from urban settings (82%), and identified as having Christian religious beliefs (97%). The most significant barriers identified were lack of awareness (39%), vaccine availability (39%), and cost (13%). When asked baseline knowledge questions regarding HPV, females were more likely to answer incorrectly as compared to males. Significant differences were found for statements: (1) HPV is sexually transmitted (p = 0.008) and (2) HPV is an infection that only affects women (p = 0.004). Conclusions: Perceived barriers to HPV vaccination identified by Nigerian health workers include lack of awareness, vaccine availability/accessibility, cost, and concerns about acceptability. Ongoing efforts to subsidize vaccine costs, campaigns to increase awareness of HPV vaccine, and interventions to improve attainability could advance administration rates in Nigeria, and ultimately improve death rates due to cervica…","author":[{"dropping-particle":"","family":"Nguyen","given":"Nicole Yvonne","non-dropping-particle":"","parse-names":false,"suffix":""},{"dropping-particle":"","family":"Okeke","given":"Emeka","non-dropping-particle":"","parse-names":false,"suffix":""},{"dropping-particle":"","family":"Anglemyer","given":"Andrew","non-dropping-particle":"","parse-names":false,"suffix":""},{"dropping-particle":"","family":"Brock","given":"Tina","non-dropping-particle":"","parse-names":false,"suffix":""}],"container-title":"Annals of Global Health","id":"ITEM-3","issue":"1","issued":{"date-parts":[["2020"]]},"page":"1-8","title":"Identifying perceived barriers to human papillomavirus vaccination as a preventative strategy for cervical cancer in Nigeria","type":"article-journal","volume":"86"},"uris":["http://www.mendeley.com/documents/?uuid=c4fa5a4c-34f4-4d4a-a484-2f7624bd1201"]},{"id":"ITEM-4","itemData":{"DOI":"10.4103/0976-9668.159993","ISSN":"22297707","PMID":"26283822","abstract":"Background: Cervical cancer is the most common cancer among Indian women of reproductive age. Unfortunately, despite the evidence of methods for prevention, most of the women remain unscreened. The reported barriers to screening include unawareness of risk factors, symptoms and prevention; stigma and misconceptions about gynecological diseases and lack of national cervical cancer screening guidelines and policies. This study attempts to assess the knowledge, attitude, and practices related to cervical cancer and its screening among women of reproductive age (15-45 years). Materials and Methods: A facility-based cross-sectional study was done on 400 females of reproductive age who presented to out-patient-department of All India Institute of Medical Sciences Bhopal. Structured questionnaire consisting 20 knowledge items and 7-items for attitude and history of pap smear for practices were administered by one of the investigators after informed consent. Data were entered and analyzed using Epi-Info version 7. Qualitative variables were summarized as counts and percentages while quantitative variables as mean and standard deviation. Predictors of better knowledge, attitude, and practices were identified by binary logistic regression analysis. Results: A total of 442 women were approached for interview of which 400 responded of which two-third (65.5%) had heard of cervical cancer. At least one symptom and one risk factor were known to 35.25% and 39.75% participants. Only 34.5% participants had heard, and 9.5% actually underwent screening test, however, 76.25% of the participants expressed a favorable attitude for screening. Binary logistic regression analysis revealed that education age and income were independent predictors of better knowledge. Education level influences attitude toward screening and actual practice depends on age, income, and marital status. This study shows that despite the fact that women had suboptimal level of knowledge regarding cervical cancer, their attitude is favorable for screening. However, uptake is low in actual practice. Strategic communication targeting eligible women may increase the uptake of screening.","author":[{"dropping-particle":"","family":"Bansal","given":"Agam B.","non-dropping-particle":"","parse-names":false,"suffix":""},{"dropping-particle":"","family":"Pakhare","given":"Abhijit P.","non-dropping-particle":"","parse-names":false,"suffix":""},{"dropping-particle":"","family":"Kapoor","given":"Neelkamal","non-dropping-particle":"","parse-names":false,"suffix":""},{"dropping-particle":"","family":"Mehrotra","given":"Ragini","non-dropping-particle":"","parse-names":false,"suffix":""},{"dropping-particle":"","family":"Kokane","given":"Arun Mahadeo","non-dropping-particle":"","parse-names":false,"suffix":""}],"container-title":"Journal of Natural Science, Biology and Medicine","id":"ITEM-4","issue":"2","issued":{"date-parts":[["2015"]]},"page":"324-328","title":"Knowledge, attitude, and practices related to cervical cancer among adult women: A hospital-based cross-sectional study","type":"article-journal","volume":"6"},"uris":["http://www.mendeley.com/documents/?uuid=a1fbf0ea-ba86-4617-b3a9-40a3b971b000"]}],"mendeley":{"formattedCitation":"(Audu &lt;i&gt;et al.&lt;/i&gt;, 2014; Bansal &lt;i&gt;et al.&lt;/i&gt;, 2015; Chawla, Chawla and Chaudhary, 2016; Nguyen &lt;i&gt;et al.&lt;/i&gt;, 2020)","plainTextFormattedCitation":"(Audu et al., 2014; Bansal et al., 2015; Chawla, Chawla and Chaudhary, 2016; Nguyen et al., 2020)","previouslyFormattedCitation":"(Audu &lt;i&gt;et al.&lt;/i&gt;, 2014; Bansal &lt;i&gt;et al.&lt;/i&gt;, 2015; Chawla, Chawla and Chaudhary, 2016; Nguyen &lt;i&gt;et al.&lt;/i&gt;, 2020)"},"properties":{"noteIndex":0},"schema":"https://github.com/citation-style-language/schema/raw/master/csl-citation.json"}</w:instrText>
      </w:r>
      <w:r w:rsidRPr="00C6358B">
        <w:rPr>
          <w:rFonts w:cs="Times New Roman"/>
          <w:color w:val="000000" w:themeColor="text1"/>
        </w:rPr>
        <w:fldChar w:fldCharType="separate"/>
      </w:r>
      <w:r w:rsidR="00465A52" w:rsidRPr="00465A52">
        <w:rPr>
          <w:rFonts w:cs="Times New Roman"/>
          <w:noProof/>
          <w:color w:val="000000" w:themeColor="text1"/>
        </w:rPr>
        <w:t xml:space="preserve">(Audu </w:t>
      </w:r>
      <w:r w:rsidR="00465A52" w:rsidRPr="00465A52">
        <w:rPr>
          <w:rFonts w:cs="Times New Roman"/>
          <w:i/>
          <w:noProof/>
          <w:color w:val="000000" w:themeColor="text1"/>
        </w:rPr>
        <w:t>et al.</w:t>
      </w:r>
      <w:r w:rsidR="00465A52" w:rsidRPr="00465A52">
        <w:rPr>
          <w:rFonts w:cs="Times New Roman"/>
          <w:noProof/>
          <w:color w:val="000000" w:themeColor="text1"/>
        </w:rPr>
        <w:t xml:space="preserve">, 2014; Bansal </w:t>
      </w:r>
      <w:r w:rsidR="00465A52" w:rsidRPr="00465A52">
        <w:rPr>
          <w:rFonts w:cs="Times New Roman"/>
          <w:i/>
          <w:noProof/>
          <w:color w:val="000000" w:themeColor="text1"/>
        </w:rPr>
        <w:t>et al.</w:t>
      </w:r>
      <w:r w:rsidR="00465A52" w:rsidRPr="00465A52">
        <w:rPr>
          <w:rFonts w:cs="Times New Roman"/>
          <w:noProof/>
          <w:color w:val="000000" w:themeColor="text1"/>
        </w:rPr>
        <w:t xml:space="preserve">, 2015; Chawla, Chawla and Chaudhary, 2016; Nguyen </w:t>
      </w:r>
      <w:r w:rsidR="00465A52" w:rsidRPr="00465A52">
        <w:rPr>
          <w:rFonts w:cs="Times New Roman"/>
          <w:i/>
          <w:noProof/>
          <w:color w:val="000000" w:themeColor="text1"/>
        </w:rPr>
        <w:t>et al.</w:t>
      </w:r>
      <w:r w:rsidR="00465A52" w:rsidRPr="00465A52">
        <w:rPr>
          <w:rFonts w:cs="Times New Roman"/>
          <w:noProof/>
          <w:color w:val="000000" w:themeColor="text1"/>
        </w:rPr>
        <w:t>, 2020)</w:t>
      </w:r>
      <w:r w:rsidRPr="00C6358B">
        <w:rPr>
          <w:rFonts w:cs="Times New Roman"/>
          <w:color w:val="000000" w:themeColor="text1"/>
        </w:rPr>
        <w:fldChar w:fldCharType="end"/>
      </w:r>
      <w:r w:rsidR="00117FA8">
        <w:rPr>
          <w:rFonts w:cs="Times New Roman"/>
          <w:color w:val="000000" w:themeColor="text1"/>
        </w:rPr>
        <w:t xml:space="preserve"> </w:t>
      </w:r>
      <w:r w:rsidRPr="00C6358B">
        <w:rPr>
          <w:rFonts w:cs="Times New Roman"/>
          <w:color w:val="000000" w:themeColor="text1"/>
        </w:rPr>
        <w:t>Despite HPV vaccines proven efficacy in re</w:t>
      </w:r>
      <w:r w:rsidRPr="00C6358B">
        <w:rPr>
          <w:rFonts w:cs="Times New Roman"/>
          <w:color w:val="000000" w:themeColor="text1"/>
        </w:rPr>
        <w:t xml:space="preserve">ducing cervical cancer incidence, uptake remains critically </w:t>
      </w:r>
      <w:r w:rsidRPr="00C6358B">
        <w:rPr>
          <w:rFonts w:cs="Times New Roman"/>
          <w:color w:val="000000" w:themeColor="text1"/>
        </w:rPr>
        <w:lastRenderedPageBreak/>
        <w:t xml:space="preserve">low among women in Nigeria. The factors contributing to their low uptake and hesitancy are poorly understood. There is a notable gap in the literature regarding the self-uptake of the HPV vaccine </w:t>
      </w:r>
      <w:r w:rsidRPr="00C6358B">
        <w:rPr>
          <w:rFonts w:cs="Times New Roman"/>
          <w:color w:val="000000" w:themeColor="text1"/>
        </w:rPr>
        <w:t xml:space="preserve">among female healthcare professionals in Nigeria. While several studies </w:t>
      </w:r>
      <w:r w:rsidRPr="00C6358B">
        <w:rPr>
          <w:rFonts w:cs="Times New Roman"/>
          <w:color w:val="000000" w:themeColor="text1"/>
        </w:rPr>
        <w:fldChar w:fldCharType="begin" w:fldLock="1"/>
      </w:r>
      <w:r w:rsidR="003E5650">
        <w:rPr>
          <w:rFonts w:cs="Times New Roman"/>
          <w:color w:val="000000" w:themeColor="text1"/>
        </w:rPr>
        <w:instrText>ADDIN CSL_CITATION {"citationItems":[{"id":"ITEM-1","itemData":{"DOI":"10.3390/vaccines12010084","ISSN":"2076393X","abstract":"Human papillomavirus (HPV) vaccine uptake among adolescent girls is critical to reducing the burden of HPV-related cancers in Nigeria. This study assesses the factors influencing caregivers’ acceptance of HPV vaccination for their charges, using the Fogg Behavior Model (FBM) as a theoretical framework. We analyzed cross-sectional data from 1429 caregivers of girls aged 9–17 in six Nigerian states, using a survey instrument based on the FBM. Participants were recruited via Facebook and Instagram advertisements and interviewed through Facebook Messenger in August and September 2023. The study received ethical clearance from Nigeria’s National Health Research Ethics Committee. We applied bivariate and multivariate analyses to assess the relationships between the caregiver’s perception of how likely their adolescent girl was to get vaccinated in the next 12 months and motivation, ability, social factors (such as discussions with family and friends), injunctive norms, previous COVID-19 vaccination, and respondents’ sociodemographic characteristics. Adjusted odds ratios derived from logistic regression analyses revealed that caregivers’ motivation and ability, as well as social factors, were significantly associated with their perception that the adolescent girl in their care would get vaccinated within the next 12 months. Our findings suggest that behavioral interventions tailored to enhance motivation, ability, and social support among caregivers could significantly increase HPV vaccine uptake among adolescent girls in Nigeria.","author":[{"dropping-particle":"","family":"Agha","given":"Sohail","non-dropping-particle":"","parse-names":false,"suffix":""},{"dropping-particle":"","family":"Bernard","given":"Drew","non-dropping-particle":"","parse-names":false,"suffix":""},{"dropping-particle":"","family":"Francis","given":"Sarah","non-dropping-particle":"","parse-names":false,"suffix":""},{"dropping-particle":"","family":"Fareed","given":"Aslam","non-dropping-particle":"","parse-names":false,"suffix":""},{"dropping-particle":"","family":"Nsofor","given":"Ifeanyi","non-dropping-particle":"","parse-names":false,"suffix":""}],"container-title":"Vaccines","id":"ITEM-1","issue":"1","issued":{"date-parts":[["2024"]]},"page":"1-12","title":"Determinants of Human Papillomavirus Vaccine Acceptance among Caregivers in Nigeria: A Fogg Behavior Model-Based Approach","type":"article-journal","volume":"12"},"uris":["http://www.mendeley.com/documents/?uuid=30fb6d11-50c1-4b6a-ae02-319c5750e53b"]},{"id":"ITEM-2","itemData":{"DOI":"10.4314/ejhs.v34i1.3","ISSN":"24137170","PMID":"38370567","abstract":"Background: Knowledge, attitudes and practices (KAP) of human papilloma virus (HPV) is a necessary measure in curtailing delayed diagnosis and poor control practices. The objective of this study was to assess the knowledge, attitudes and practices vis-à-vis HPV infection, cervical cancer and vaccination among women. Methods: This cross-sectional study was conducted at 15 selected health-care facilities in Otukpo metropolis and it involved 168 pregnant women. The data were collected using structured questionnaire, and analysed for descriptive and analytical statistics using Epi Data Version 3.1 and SPSS statistical package Version 21. Results: Most of the respondents (75.0%) have heard of human papilloma virus and their information source were mostly the health-care providers. In total, 132(78.6%) agreed to take the vaccine if offered for free but 152(90.5%) stated that it is imperative to seek the opinion of health providers before vaccine uptake. However, only 27(16.1%) have undergone recommended checkup for human papilloma virus/cervical cancer and 23(13.7%) have taken at least a vaccine dose. Some respondents 66(39.3%) had good knowledge while 95(56.6%) demonstrated positive attitude. However, most respondents 161(95.8%) demonstrated poor practices. Conclusions: There is enormous need to improve HPV sensitization especially in women due to cervical cancer associated risks. Healthcare personnel are therefore encouraged to create more awareness on HPV infection and screening of cervical cancer (CC) via counseling sessions and communications tool like the new media. KAP approach is a critical tool towards successful CC screening and HPV control.","author":[{"dropping-particle":"","family":"Akinnibosun","given":"Olajide","non-dropping-particle":"","parse-names":false,"suffix":""},{"dropping-particle":"","family":"Abakpa","given":"Onyukwo Grace","non-dropping-particle":"","parse-names":false,"suffix":""},{"dropping-particle":"","family":"Ujoh","given":"Adole John","non-dropping-particle":"","parse-names":false,"suffix":""},{"dropping-particle":"","family":"Oche","given":"Dominic Agbo","non-dropping-particle":"","parse-names":false,"suffix":""},{"dropping-particle":"","family":"Zakari","given":"Suleiman","non-dropping-particle":"","parse-names":false,"suffix":""},{"dropping-particle":"","family":"Yandev","given":"Doowuese","non-dropping-particle":"","parse-names":false,"suffix":""},{"dropping-particle":"","family":"Adikwu","given":"Peter","non-dropping-particle":"","parse-names":false,"suffix":""},{"dropping-particle":"","family":"David","given":"Onyemowo Okewu","non-dropping-particle":"","parse-names":false,"suffix":""},{"dropping-particle":"","family":"Agboola","given":"Oludare","non-dropping-particle":"","parse-names":false,"suffix":""},{"dropping-particle":"","family":"Paul","given":"Simon","non-dropping-particle":"","parse-names":false,"suffix":""},{"dropping-particle":"","family":"Audu","given":"Onyemocho","non-dropping-particle":"","parse-names":false,"suffix":""},{"dropping-particle":"","family":"Odu","given":"Emmanuel","non-dropping-particle":"","parse-names":false,"suffix":""},{"dropping-particle":"","family":"Ujah","given":"Innocent Achanya O.","non-dropping-particle":"","parse-names":false,"suffix":""},{"dropping-particle":"","family":"Anejo-Okopi","given":"Joseph","non-dropping-particle":"","parse-names":false,"suffix":""}],"container-title":"Ethiopian journal of health sciences","id":"ITEM-2","issue":"1","issued":{"date-parts":[["2024"]]},"page":"15-26","title":"Knowledge, Attitudes and Practices among Women of Reproductive Age on Human Papillomavirus Infection, Cervical Cancer and Vaccination in Otukpo, Nigeria","type":"article-journal","volume":"34"},"uris":["http://www.mendeley.com/documents/?uuid=c8149e08-e20e-44c0-b973-86ae70e85569"]},{"id":"ITEM-3","itemData":{"DOI":"10.1186/s12889-025-22000-2","ISBN":"1288902522","ISSN":"14712458","abstract":"Background: The Nigerian Federal Government planned to launch the Human Papillomavirus (HPV) vaccine on September 25, 2023. We therefore aimed to assess caregiver awareness and willingness regarding HPV vaccine uptake for girls aged 9–14 across eight states (Abia, Adamawa, Bayelsa, Benue, Enugu, FCT, Jigawa, and Taraba), evaluating public readiness for the vaccine rollout. Methods: A cross-sectional telephone survey was conducted in the eight states using a structured questionnaire. Stratified random sampling was employed to ensure representation from each state’s three senatorial districts. Adult participants’ socio-demographic characteristics—including their relationship to the child, gender, settlement type (rural/urban), and age group—were analyzed. Local Government Area and Senatorial Zone were used solely for geographical representation. Awareness, perceived severity, susceptibility, and willingness for HPV vaccine uptake were calculated based on questionnaire responses. Descriptive statistics, correlation analyses, ordinal and linear regression, and mediation regression were applied to derive results. Results: Our findings indicated low general HPV awareness but high willingness for vaccine uptake among caregivers. Northern states exhibited higher awareness, perceived severity, susceptibility, and willingness compared to Southern states. Significant differences emerged across states in awareness and willingness, with positive correlations observed among awareness, severity, susceptibility, and willingness. Multiple linear regression revealed that awareness does not directly predict willingness, while mediation regression demonstrated that awareness indirectly influences willingness through severity and susceptibility. The study’s implications were analyzed using the Health Belief Model (HBM). Conclusion: Our survey found geopolitical disparities in HPV awareness and willingness across Nigeria. Future interventions should prioritize emphasizing the severity and susceptibility of HPV-related diseases, particularly in low-resource settings. Providing accurate information from trusted sources and addressing misconceptions through evidence-based strategies can enhance informed decision-making regarding HPV vaccination.","author":[{"dropping-particle":"","family":"Okagbue","given":"Hilary I.","non-dropping-particle":"","parse-names":false,"suffix":""},{"dropping-particle":"","family":"Erekosima","given":"Grace","non-dropping-particle":"","parse-names":false,"suffix":""},{"dropping-particle":"","family":"Sampson","given":"Sidney","non-dropping-particle":"","parse-names":false,"suffix":""},{"dropping-particle":"","family":"Atuhaire","given":"Brian","non-dropping-particle":"","parse-names":false,"suffix":""},{"dropping-particle":"","family":"Samuel","given":"Olugbemisola","non-dropping-particle":"","parse-names":false,"suffix":""},{"dropping-particle":"","family":"Chimezie","given":"Bright","non-dropping-particle":"","parse-names":false,"suffix":""},{"dropping-particle":"","family":"Dauda","given":"Mahfus","non-dropping-particle":"","parse-names":false,"suffix":""},{"dropping-particle":"","family":"Jimoh","given":"Akolade","non-dropping-particle":"","parse-names":false,"suffix":""},{"dropping-particle":"","family":"Ogbu","given":"Gideon","non-dropping-particle":"","parse-names":false,"suffix":""},{"dropping-particle":"","family":"Ayuba","given":"Joshua","non-dropping-particle":"","parse-names":false,"suffix":""},{"dropping-particle":"","family":"Shinshima","given":"Iveren","non-dropping-particle":"","parse-names":false,"suffix":""}],"container-title":"BMC Public Health","id":"ITEM-3","issue":"1","issued":{"date-parts":[["2025"]]},"publisher":"BioMed Central","title":"Predictors of willingness of HPV vaccine uptake across Eight States in Nigeria","type":"article-journal","volume":"25"},"uris":["http://www.mendeley.com/documents/?uuid=81468a2d-4566-4ac3-b3c0-0a8ae7b4695e"]},{"id":"ITEM-4","itemData":{"DOI":"10.1016/j.pmedr.2021.101643","ISSN":"22113355","PMID":"34987955","abstract":"Human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Reports","id":"ITEM-4","issue":"November","issued":{"date-parts":[["2021"]]},"page":"101643","publisher":"Elsevier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Nigeria","type":"article-journal","volume":"24"},"uris":["http://www.mendeley.com/documents/?uuid=041a479a-e993-431b-89ff-f30d276de186"]}],"mendeley":{"formattedCitation":"(Okunowo &lt;i&gt;et al.&lt;/i&gt;, 2021; Agha &lt;i&gt;et al.&lt;/i&gt;, 2024; Akinnibosun &lt;i&gt;et al.&lt;/i&gt;, 2024; Okagbue &lt;i&gt;et al.&lt;/i&gt;, 2025a)","plainTextFormattedCitation":"(Okunowo et al., 2021; Agha et al., 2024; Akinnibosun et al., 2024; Okagbue et al., 2025a)","previouslyFormattedCitation":"(Okunowo &lt;i&gt;et al.&lt;/i&gt;, 2021; Agha &lt;i&gt;et al.&lt;/i&gt;, 2024; Akinnibosun &lt;i&gt;et al.&lt;/i&gt;, 2024; Okagbue &lt;i&gt;et al.&lt;/i&gt;, 2025a)"},"properties":{"noteIndex":0},"schema":"https://github.com/citation-style-language/schema/raw/master/csl-citation.json"}</w:instrText>
      </w:r>
      <w:r w:rsidRPr="00C6358B">
        <w:rPr>
          <w:rFonts w:cs="Times New Roman"/>
          <w:color w:val="000000" w:themeColor="text1"/>
        </w:rPr>
        <w:fldChar w:fldCharType="separate"/>
      </w:r>
      <w:r w:rsidR="003E5650" w:rsidRPr="003E5650">
        <w:rPr>
          <w:rFonts w:cs="Times New Roman"/>
          <w:noProof/>
          <w:color w:val="000000" w:themeColor="text1"/>
        </w:rPr>
        <w:t xml:space="preserve">(Okunowo </w:t>
      </w:r>
      <w:r w:rsidR="003E5650" w:rsidRPr="003E5650">
        <w:rPr>
          <w:rFonts w:cs="Times New Roman"/>
          <w:i/>
          <w:noProof/>
          <w:color w:val="000000" w:themeColor="text1"/>
        </w:rPr>
        <w:t>et al.</w:t>
      </w:r>
      <w:r w:rsidR="003E5650" w:rsidRPr="003E5650">
        <w:rPr>
          <w:rFonts w:cs="Times New Roman"/>
          <w:noProof/>
          <w:color w:val="000000" w:themeColor="text1"/>
        </w:rPr>
        <w:t xml:space="preserve">, 2021; Agha </w:t>
      </w:r>
      <w:r w:rsidR="003E5650" w:rsidRPr="003E5650">
        <w:rPr>
          <w:rFonts w:cs="Times New Roman"/>
          <w:i/>
          <w:noProof/>
          <w:color w:val="000000" w:themeColor="text1"/>
        </w:rPr>
        <w:t>et al.</w:t>
      </w:r>
      <w:r w:rsidR="003E5650" w:rsidRPr="003E5650">
        <w:rPr>
          <w:rFonts w:cs="Times New Roman"/>
          <w:noProof/>
          <w:color w:val="000000" w:themeColor="text1"/>
        </w:rPr>
        <w:t xml:space="preserve">, 2024; Akinnibosun </w:t>
      </w:r>
      <w:r w:rsidR="003E5650" w:rsidRPr="003E5650">
        <w:rPr>
          <w:rFonts w:cs="Times New Roman"/>
          <w:i/>
          <w:noProof/>
          <w:color w:val="000000" w:themeColor="text1"/>
        </w:rPr>
        <w:t>et al.</w:t>
      </w:r>
      <w:r w:rsidR="003E5650" w:rsidRPr="003E5650">
        <w:rPr>
          <w:rFonts w:cs="Times New Roman"/>
          <w:noProof/>
          <w:color w:val="000000" w:themeColor="text1"/>
        </w:rPr>
        <w:t xml:space="preserve">, 2024; Okagbue </w:t>
      </w:r>
      <w:r w:rsidR="003E5650" w:rsidRPr="003E5650">
        <w:rPr>
          <w:rFonts w:cs="Times New Roman"/>
          <w:i/>
          <w:noProof/>
          <w:color w:val="000000" w:themeColor="text1"/>
        </w:rPr>
        <w:t>et al.</w:t>
      </w:r>
      <w:r w:rsidR="003E5650" w:rsidRPr="003E5650">
        <w:rPr>
          <w:rFonts w:cs="Times New Roman"/>
          <w:noProof/>
          <w:color w:val="000000" w:themeColor="text1"/>
        </w:rPr>
        <w:t>, 2025a)</w:t>
      </w:r>
      <w:r w:rsidRPr="00C6358B">
        <w:rPr>
          <w:rFonts w:cs="Times New Roman"/>
          <w:color w:val="000000" w:themeColor="text1"/>
        </w:rPr>
        <w:fldChar w:fldCharType="end"/>
      </w:r>
      <w:r w:rsidRPr="00C6358B">
        <w:rPr>
          <w:rFonts w:cs="Times New Roman"/>
          <w:color w:val="000000" w:themeColor="text1"/>
        </w:rPr>
        <w:t xml:space="preserve"> have assessed general awareness and attitudes toward HPV vaccination, limited research has focused specifically on healthcare workers’ personal vaccination behaviors and the barriers they encounter. The only study in Nigeria that could be located focused </w:t>
      </w:r>
      <w:r w:rsidRPr="00C6358B">
        <w:rPr>
          <w:rFonts w:cs="Times New Roman"/>
          <w:color w:val="000000" w:themeColor="text1"/>
        </w:rPr>
        <w:t>on perspectives of both male and female healthcare workers</w:t>
      </w:r>
      <w:r w:rsidRPr="00C6358B">
        <w:rPr>
          <w:rFonts w:cs="Times New Roman"/>
          <w:color w:val="000000" w:themeColor="text1"/>
        </w:rPr>
        <w:fldChar w:fldCharType="begin" w:fldLock="1"/>
      </w:r>
      <w:r w:rsidRPr="00C6358B">
        <w:rPr>
          <w:rFonts w:cs="Times New Roman"/>
          <w:color w:val="000000" w:themeColor="text1"/>
        </w:rPr>
        <w:instrText xml:space="preserve">ADDIN CSL_CITATION {"citationItems":[{"id":"ITEM-1","itemData":{"DOI":"10.3109/01443615.2014.925431","ISSN":"13646893","PMID":"24922093","abstract":"Human papilloma virus (HPV) is a necessary cause </w:instrText>
      </w:r>
      <w:r w:rsidRPr="00C6358B">
        <w:rPr>
          <w:rFonts w:cs="Times New Roman"/>
          <w:color w:val="000000" w:themeColor="text1"/>
        </w:rPr>
        <w:instrText>of cervical cancer and cervical cancer is largely a vaccine-preventable disease. The aim of the study was to document the knowledge of healthcare professionals of the HPV vaccine and its acceptability. It was a cross-sectional study in three of the six geo</w:instrText>
      </w:r>
      <w:r w:rsidRPr="00C6358B">
        <w:rPr>
          <w:rFonts w:cs="Times New Roman"/>
          <w:color w:val="000000" w:themeColor="text1"/>
        </w:rPr>
        <w:instrText>-political zones of Nigeria, carried out between June 2010 and January 2011. The 602 adult Nigerian respondents were made up of 147 (24.4%) males and 455 (75.6%) females aged 20-57 years, with a mean of 34.3 ± 7.9 years; most were under 40 years (70.1%) an</w:instrText>
      </w:r>
      <w:r w:rsidRPr="00C6358B">
        <w:rPr>
          <w:rFonts w:cs="Times New Roman"/>
          <w:color w:val="000000" w:themeColor="text1"/>
        </w:rPr>
        <w:instrText>d married (n = 394; 65.5%). In total, 548 (91%) were aware of HPV; 83.4% knew HPV as an STI; 78.2% knew HPV can cause cervical cancer but only 265 (44.0%) were aware of the HPV vaccine. Among the healthcare professionals studied, nurses were the least awar</w:instrText>
      </w:r>
      <w:r w:rsidRPr="00C6358B">
        <w:rPr>
          <w:rFonts w:cs="Times New Roman"/>
          <w:color w:val="000000" w:themeColor="text1"/>
        </w:rPr>
        <w:instrText>e of the existence of the HPV vaccine (χ2 = 1.54, p = 0.001). A total of 489 (81.0%) would approve HPV vaccine for their teenage daughters. The men were more likely to accept the vaccination of their daughters than the women (χ2 = 14.76, p = 0.002). The un</w:instrText>
      </w:r>
      <w:r w:rsidRPr="00C6358B">
        <w:rPr>
          <w:rFonts w:cs="Times New Roman"/>
          <w:color w:val="000000" w:themeColor="text1"/>
        </w:rPr>
        <w:instrText>married were more favourably disposed to vaccination of teenagers than the married (χ2 = 27.37, p = 0.001). Safety concerns were the commonest reasons expressed by the 7% who were reluctant to accept the vaccination of their teenage daughters. In conclusio</w:instrText>
      </w:r>
      <w:r w:rsidRPr="00C6358B">
        <w:rPr>
          <w:rFonts w:cs="Times New Roman"/>
          <w:color w:val="000000" w:themeColor="text1"/>
        </w:rPr>
        <w:instrText>n, healthcare providers are the custodians of health in a community, yet have low knowledge of a vaccine that can prevent the commonest cancer in women in sub-Saharan Africa.","author":[{"dropping-particle":"","family":"Audu","given":"B. M.","non-dropping-</w:instrText>
      </w:r>
      <w:r w:rsidRPr="00C6358B">
        <w:rPr>
          <w:rFonts w:cs="Times New Roman"/>
          <w:color w:val="000000" w:themeColor="text1"/>
        </w:rPr>
        <w:instrText>particle":"","parse-names":false,"suffix":""},{"dropping-particle":"","family":"Bukar","given":"M.","non-dropping-particle":"","parse-names":false,"suffix":""},{"dropping-particle":"","family":"Ibrahim","given":"A. I.","non-dropping-particle":"","parse-nam</w:instrText>
      </w:r>
      <w:r w:rsidRPr="00C6358B">
        <w:rPr>
          <w:rFonts w:cs="Times New Roman"/>
          <w:color w:val="000000" w:themeColor="text1"/>
        </w:rPr>
        <w:instrText>es":false,"suffix":""},{"dropping-particle":"","family":"Swende","given":"T. Z.","non-dropping-particle":"","parse-names":false,"suffix":""}],"container-title":"Journal of Obstetrics and Gynaecology","id":"ITEM-1","issue":"8","issued":{"date-parts":[["2014</w:instrText>
      </w:r>
      <w:r w:rsidRPr="00C6358B">
        <w:rPr>
          <w:rFonts w:cs="Times New Roman"/>
          <w:color w:val="000000" w:themeColor="text1"/>
        </w:rPr>
        <w:instrText>"]]},"page":"714-717","title":"Awareness and perception of human papilloma virus vaccine among healthcare professionals in Nigeria","type":"article-journal","volume":"34"},"uris":["http://www.mendeley.com/documents/?uuid=1ca1ca31-c40c-4873-8499-1fd25a5c519</w:instrText>
      </w:r>
      <w:r w:rsidRPr="00C6358B">
        <w:rPr>
          <w:rFonts w:cs="Times New Roman"/>
          <w:color w:val="000000" w:themeColor="text1"/>
        </w:rPr>
        <w:instrText>6"]}],"mendeley":{"formattedCitation":"(Audu &lt;i&gt;et al.&lt;/i&gt;, 2014)","plainTextFormattedCitation":"(Audu et al., 2014)","previouslyFormattedCitation":"(Audu &lt;i&gt;et al.&lt;/i&gt;, 2014)"},"properties":{"noteIndex":0},"schema":"https://github.com/citation-style-langu</w:instrText>
      </w:r>
      <w:r w:rsidRPr="00C6358B">
        <w:rPr>
          <w:rFonts w:cs="Times New Roman"/>
          <w:color w:val="000000" w:themeColor="text1"/>
        </w:rPr>
        <w:instrText>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(Audu </w:t>
      </w:r>
      <w:r w:rsidRPr="00C6358B">
        <w:rPr>
          <w:rFonts w:cs="Times New Roman"/>
          <w:i/>
          <w:noProof/>
          <w:color w:val="000000" w:themeColor="text1"/>
        </w:rPr>
        <w:t>et al.</w:t>
      </w:r>
      <w:r w:rsidRPr="00C6358B">
        <w:rPr>
          <w:rFonts w:cs="Times New Roman"/>
          <w:noProof/>
          <w:color w:val="000000" w:themeColor="text1"/>
        </w:rPr>
        <w:t>, 2014)</w:t>
      </w:r>
      <w:r w:rsidRPr="00C6358B">
        <w:rPr>
          <w:rFonts w:cs="Times New Roman"/>
          <w:color w:val="000000" w:themeColor="text1"/>
        </w:rPr>
        <w:fldChar w:fldCharType="end"/>
      </w:r>
      <w:r w:rsidRPr="00C6358B">
        <w:rPr>
          <w:rFonts w:cs="Times New Roman"/>
          <w:color w:val="000000" w:themeColor="text1"/>
        </w:rPr>
        <w:t xml:space="preserve"> and was published well over a decade ago. Therefore, this innovative study aimed to assess the level of knowledge, personal uptake, and barriers to HPV vaccination among female healthcare prof</w:t>
      </w:r>
      <w:r w:rsidRPr="00C6358B">
        <w:rPr>
          <w:rFonts w:cs="Times New Roman"/>
          <w:color w:val="000000" w:themeColor="text1"/>
        </w:rPr>
        <w:t xml:space="preserve">essionals in Bayelsa State, Nigeria. </w:t>
      </w:r>
      <w:r w:rsidRPr="00C6358B">
        <w:rPr>
          <w:rFonts w:eastAsia="Aptos" w:cs="Times New Roman"/>
          <w:color w:val="000000"/>
          <w:lang w:bidi="ar"/>
        </w:rPr>
        <w:t xml:space="preserve">This study offers a unique assessment of Nigerian health practitioners to embracing HPV vaccination. By gaining insights from practicing female professionals and this research throws light on the possible challenges in </w:t>
      </w:r>
      <w:r w:rsidRPr="00C6358B">
        <w:rPr>
          <w:rFonts w:eastAsia="Aptos" w:cs="Times New Roman"/>
          <w:color w:val="000000"/>
          <w:lang w:bidi="ar"/>
        </w:rPr>
        <w:t>the uptake of HPV vaccination and identify the potential obstacles that could hinder their successful uptake in the general population.</w:t>
      </w:r>
    </w:p>
    <w:p w14:paraId="57F21979" w14:textId="77777777" w:rsidR="00084A63" w:rsidRPr="00C6358B" w:rsidRDefault="00083BFB">
      <w:pPr>
        <w:pStyle w:val="Heading1"/>
        <w:rPr>
          <w:rFonts w:cs="Times New Roman"/>
          <w:szCs w:val="24"/>
        </w:rPr>
      </w:pPr>
      <w:r w:rsidRPr="00C6358B">
        <w:rPr>
          <w:rFonts w:cs="Times New Roman"/>
          <w:szCs w:val="24"/>
        </w:rPr>
        <w:t>MATERIALS AND METHODS:</w:t>
      </w:r>
    </w:p>
    <w:p w14:paraId="7DC81C8E" w14:textId="77777777" w:rsidR="00084A63" w:rsidRPr="00C6358B" w:rsidRDefault="00083BFB">
      <w:pPr>
        <w:keepNext/>
        <w:keepLines/>
        <w:spacing w:before="40" w:after="0" w:line="240" w:lineRule="auto"/>
        <w:jc w:val="left"/>
        <w:outlineLvl w:val="2"/>
        <w:rPr>
          <w:rFonts w:eastAsia="Calibri" w:cs="Times New Roman"/>
          <w:b/>
          <w:iCs/>
          <w:kern w:val="0"/>
          <w14:ligatures w14:val="none"/>
        </w:rPr>
      </w:pPr>
      <w:r w:rsidRPr="00C6358B">
        <w:rPr>
          <w:rFonts w:eastAsia="Calibri" w:cs="Times New Roman"/>
          <w:b/>
          <w:iCs/>
          <w:kern w:val="0"/>
          <w14:ligatures w14:val="none"/>
        </w:rPr>
        <w:t>Study design</w:t>
      </w:r>
    </w:p>
    <w:p w14:paraId="00FC7F7B" w14:textId="77777777" w:rsidR="00084A63" w:rsidRPr="00C6358B" w:rsidRDefault="00083BFB">
      <w:pPr>
        <w:spacing w:after="200" w:line="240" w:lineRule="auto"/>
        <w:jc w:val="left"/>
        <w:rPr>
          <w:rFonts w:eastAsia="Calibri" w:cs="Times New Roman"/>
          <w:kern w:val="0"/>
          <w14:ligatures w14:val="none"/>
        </w:rPr>
      </w:pPr>
      <w:r w:rsidRPr="00C6358B">
        <w:rPr>
          <w:rFonts w:eastAsia="Calibri" w:cs="Times New Roman"/>
          <w:kern w:val="0"/>
          <w14:ligatures w14:val="none"/>
        </w:rPr>
        <w:t xml:space="preserve">This descriptive cross-sectional survey </w:t>
      </w:r>
      <w:r w:rsidRPr="00C6358B">
        <w:rPr>
          <w:rFonts w:eastAsia="Calibri" w:cs="Times New Roman"/>
          <w:kern w:val="0"/>
          <w:lang w:val="en-GB"/>
          <w14:ligatures w14:val="none"/>
        </w:rPr>
        <w:t xml:space="preserve">was carried out in </w:t>
      </w:r>
      <w:r w:rsidRPr="00C6358B">
        <w:rPr>
          <w:rFonts w:eastAsia="Calibri" w:cs="Times New Roman"/>
          <w:kern w:val="0"/>
          <w14:ligatures w14:val="none"/>
        </w:rPr>
        <w:t xml:space="preserve">Yenagoa local government </w:t>
      </w:r>
      <w:r w:rsidRPr="00C6358B">
        <w:rPr>
          <w:rFonts w:eastAsia="Calibri" w:cs="Times New Roman"/>
          <w:kern w:val="0"/>
          <w14:ligatures w14:val="none"/>
        </w:rPr>
        <w:t xml:space="preserve">area (LGA) of Bayelsa State, South-south Nigeria. </w:t>
      </w:r>
    </w:p>
    <w:p w14:paraId="71B349F4" w14:textId="77777777" w:rsidR="00084A63" w:rsidRPr="00C6358B" w:rsidRDefault="00083BFB">
      <w:pPr>
        <w:keepNext/>
        <w:keepLines/>
        <w:spacing w:before="40" w:after="0" w:line="240" w:lineRule="auto"/>
        <w:jc w:val="left"/>
        <w:outlineLvl w:val="2"/>
        <w:rPr>
          <w:rFonts w:eastAsia="Calibri" w:cs="Times New Roman"/>
          <w:b/>
          <w:iCs/>
          <w:kern w:val="0"/>
          <w14:ligatures w14:val="none"/>
        </w:rPr>
      </w:pPr>
      <w:r w:rsidRPr="00C6358B">
        <w:rPr>
          <w:rFonts w:eastAsia="Calibri" w:cs="Times New Roman"/>
          <w:b/>
          <w:iCs/>
          <w:kern w:val="0"/>
          <w14:ligatures w14:val="none"/>
        </w:rPr>
        <w:t>Study population</w:t>
      </w:r>
    </w:p>
    <w:p w14:paraId="0628FF4B" w14:textId="77777777" w:rsidR="00084A63" w:rsidRPr="00C6358B" w:rsidRDefault="00083BFB" w:rsidP="00117FA8">
      <w:r w:rsidRPr="00C6358B">
        <w:t xml:space="preserve">The study was conducted among female heath care professions (doctors, nurses, pharmacist, laboratory scientists, physiotherapist) working in various hospitals in Yenagoa LGA of Bayelsa State, Nigeria, </w:t>
      </w:r>
    </w:p>
    <w:p w14:paraId="6DD6A39B" w14:textId="77777777" w:rsidR="00084A63" w:rsidRPr="00C6358B" w:rsidRDefault="00083BFB">
      <w:pPr>
        <w:keepNext/>
        <w:keepLines/>
        <w:spacing w:before="40" w:after="0" w:line="240" w:lineRule="auto"/>
        <w:jc w:val="left"/>
        <w:outlineLvl w:val="2"/>
        <w:rPr>
          <w:rFonts w:eastAsia="Calibri" w:cs="Times New Roman"/>
          <w:b/>
          <w:iCs/>
          <w:kern w:val="0"/>
          <w14:ligatures w14:val="none"/>
        </w:rPr>
      </w:pPr>
      <w:r w:rsidRPr="00C6358B">
        <w:rPr>
          <w:rFonts w:eastAsia="Calibri" w:cs="Times New Roman"/>
          <w:b/>
          <w:iCs/>
          <w:kern w:val="0"/>
          <w14:ligatures w14:val="none"/>
        </w:rPr>
        <w:t xml:space="preserve">Sample size determination </w:t>
      </w:r>
    </w:p>
    <w:p w14:paraId="5E4F5676" w14:textId="714CB1CC" w:rsidR="00084A63" w:rsidRPr="00C6358B" w:rsidRDefault="00083BFB" w:rsidP="00117FA8">
      <w:r w:rsidRPr="00C6358B">
        <w:t>The sample size was determi</w:t>
      </w:r>
      <w:r w:rsidRPr="00C6358B">
        <w:t>ned using the Cochrane formula N = z</w:t>
      </w:r>
      <w:r w:rsidRPr="00C6358B">
        <w:rPr>
          <w:vertAlign w:val="superscript"/>
        </w:rPr>
        <w:t>2</w:t>
      </w:r>
      <w:r w:rsidRPr="00C6358B">
        <w:t>pq/d</w:t>
      </w:r>
      <w:r w:rsidRPr="00C6358B">
        <w:rPr>
          <w:vertAlign w:val="superscript"/>
        </w:rPr>
        <w:t xml:space="preserve">2 </w:t>
      </w:r>
      <w:r w:rsidRPr="00C6358B">
        <w:t>where N is the minimum sample size required for the study, z is the standard normal deviate at 95% confidence interval which is 1.96; p’ is the prevalence of uptake of 13.3%.</w:t>
      </w:r>
      <w:r w:rsidR="00903F87">
        <w:t xml:space="preserve"> </w:t>
      </w:r>
      <w:r w:rsidRPr="00C6358B">
        <w:fldChar w:fldCharType="begin" w:fldLock="1"/>
      </w:r>
      <w:r w:rsidRPr="00C6358B">
        <w:instrText>ADDIN CSL_CITATION {"citationItems":[{</w:instrText>
      </w:r>
      <w:r w:rsidRPr="00C6358B">
        <w:instrText xml:space="preserve">"id":"ITEM-1","itemData":{"ISSN":"2319-5886","abstract":"Background: Human papillomavirus (HPV) has been described as an 'equal opportunity' pathogen affecting both sexes and the leading cause of cervical cancer. Vaccination against oncogenic HPV types is </w:instrText>
      </w:r>
      <w:r w:rsidRPr="00C6358B">
        <w:instrText>a significant step towards decreasing the prevalence, morbidity, and mortality associated with cervical cancer. Objectives: To investigate attitude and perceived barriers to uptake of HPV vaccine among female students in a Nigerian Tertiary Institution. Me</w:instrText>
      </w:r>
      <w:r w:rsidRPr="00C6358B">
        <w:instrText>thods: A cross-sectional questionnaire-based study that was conducted in the University of Nigeria, Enugu Campus from March 01 to April 01, 2017. The representative sample size of 320 female undergraduates was selected using a multistage sampling technique</w:instrText>
      </w:r>
      <w:r w:rsidRPr="00C6358B">
        <w:instrText>. Data were entered using Microsoft Excel Windows 7 and exported to IBM SPSS version 20.0 software for analysis. Results: Total 38 (13.0%) participants had received HPV vaccine. Majority of the participants had a positive attitude towards HPV vaccination (</w:instrText>
      </w:r>
      <w:r w:rsidRPr="00C6358B">
        <w:instrText>2.5 ± 6.4). The major perceived barriers to uptake of vaccination were: exorbitant cost of the vaccine (94.1%) and lack of time due to lectures (53.0%). Age of the participants had no influence on the uptake of HPV vaccine whereas department, ethnic group,</w:instrText>
      </w:r>
      <w:r w:rsidRPr="00C6358B">
        <w:instrText xml:space="preserve"> and marital status had a strong influence on vaccination uptake (p&lt;0.05). Conclusion: A low proportion of the participants had received the HPV vaccine. Majority of the participants had a positive attitude towards HPV vaccination. The major perceived barr</w:instrText>
      </w:r>
      <w:r w:rsidRPr="00C6358B">
        <w:instrText>ier to vaccination was the exorbitant cost of the vaccine. The university in collaboration with the Ministry of Health should design strategies to enlighten the university community on HPV infection through seminars and workshops.","author":[{"dropping-par</w:instrText>
      </w:r>
      <w:r w:rsidRPr="00C6358B">
        <w:instrText>ticle":"","family":"Ihudiebube-Splendor","given":"","non-dropping-particle":"","parse-names":false,"suffix":""}],"container-title":"International Journal of Medical Research &amp; Health Sciences,","id":"ITEM-1","issued":{"date-parts":[["2019"]]},"page":"85-92</w:instrText>
      </w:r>
      <w:r w:rsidRPr="00C6358B">
        <w:instrText>","title":"Attitude and Perceived Barriers to Uptake of Human Papillomavirus Vaccine among Female Students in a Nigerian Tertiary Institution","type":"article-journal"},"uris":["http://www.mendeley.com/documents/?uuid=8eb7f4bf-5bcc-407b-861a-cc0a6c896e32"]</w:instrText>
      </w:r>
      <w:r w:rsidRPr="00C6358B">
        <w:instrText>}],"mendeley":{"formattedCitation":"(Ihudiebube-Splendor, 2019)","plainTextFormattedCitation":"(Ihudiebube-Splendor, 2019)","previouslyFormattedCitation":"(Ihudiebube-Splendor, 2019)"},"properties":{"noteIndex":0},"schema":"https://github.com/citation-styl</w:instrText>
      </w:r>
      <w:r w:rsidRPr="00C6358B">
        <w:instrText>e-language/schema/raw/master/csl-citation.json"}</w:instrText>
      </w:r>
      <w:r w:rsidRPr="00C6358B">
        <w:fldChar w:fldCharType="separate"/>
      </w:r>
      <w:r w:rsidRPr="00C6358B">
        <w:rPr>
          <w:noProof/>
        </w:rPr>
        <w:t>(Ihudiebube-Splendor, 2019)</w:t>
      </w:r>
      <w:r w:rsidRPr="00C6358B">
        <w:fldChar w:fldCharType="end"/>
      </w:r>
      <w:r w:rsidRPr="00C6358B">
        <w:rPr>
          <w:vertAlign w:val="superscript"/>
        </w:rPr>
        <w:t xml:space="preserve"> </w:t>
      </w:r>
      <w:r w:rsidRPr="00C6358B">
        <w:t xml:space="preserve"> In a previous study. ‘q’ is the complimentary proportion of ‘p’ given by q = 1 – p; while ‘d’ was the tolerable alpha error set at 5% for this study. A minimum sample size of 1</w:t>
      </w:r>
      <w:r w:rsidRPr="00C6358B">
        <w:t xml:space="preserve">78 was obtained. </w:t>
      </w:r>
    </w:p>
    <w:p w14:paraId="24B4CF1A" w14:textId="77777777" w:rsidR="00084A63" w:rsidRPr="00C6358B" w:rsidRDefault="00083BFB">
      <w:pPr>
        <w:keepNext/>
        <w:keepLines/>
        <w:spacing w:before="40" w:after="0" w:line="240" w:lineRule="auto"/>
        <w:jc w:val="left"/>
        <w:outlineLvl w:val="2"/>
        <w:rPr>
          <w:rFonts w:eastAsia="Calibri" w:cs="Times New Roman"/>
          <w:b/>
          <w:iCs/>
          <w:kern w:val="0"/>
          <w14:ligatures w14:val="none"/>
        </w:rPr>
      </w:pPr>
      <w:r w:rsidRPr="00C6358B">
        <w:rPr>
          <w:rFonts w:eastAsia="Calibri" w:cs="Times New Roman"/>
          <w:b/>
          <w:iCs/>
          <w:kern w:val="0"/>
          <w14:ligatures w14:val="none"/>
        </w:rPr>
        <w:t>Sampling and Data collection</w:t>
      </w:r>
    </w:p>
    <w:p w14:paraId="4779D0F1" w14:textId="77777777" w:rsidR="00084A63" w:rsidRPr="00C6358B" w:rsidRDefault="00083BFB" w:rsidP="00C6358B">
      <w:pPr>
        <w:rPr>
          <w:rFonts w:cs="Times New Roman"/>
        </w:rPr>
      </w:pPr>
      <w:r w:rsidRPr="00C6358B">
        <w:rPr>
          <w:rFonts w:cs="Times New Roman"/>
        </w:rPr>
        <w:t>Convenience sampling technique was done and health care professional who opted to be part of the study filled in the online questionnaire. Data was collected using a structured self-administered google questio</w:t>
      </w:r>
      <w:r w:rsidRPr="00C6358B">
        <w:rPr>
          <w:rFonts w:cs="Times New Roman"/>
        </w:rPr>
        <w:t>nnaire which was developed and pretested by the research team. The questionnaire consists of questions/statements on demographics characteristics and information pertaining to cervical cancer awareness, attitudes, uptake and barriers to uptake. The socio-d</w:t>
      </w:r>
      <w:r w:rsidRPr="00C6358B">
        <w:rPr>
          <w:rFonts w:cs="Times New Roman"/>
        </w:rPr>
        <w:t>emographic variables include Age, Sex, Profession, Educational Qualification, number of children, amongst others. The survey had one question aimed at exploring the plausible reasons reported for not administering HPV and the respondents were instructed to</w:t>
      </w:r>
      <w:r w:rsidRPr="00C6358B">
        <w:rPr>
          <w:rFonts w:cs="Times New Roman"/>
        </w:rPr>
        <w:t xml:space="preserve"> record their choices from pre-pooled identified barriers to the uptake of the vaccine. Some of which include choices/reasons (Lack of awareness/High cost/Fear of side effects/Doubt on efficacy/Lack of interest/Do not know the importance of the administrat</w:t>
      </w:r>
      <w:r w:rsidRPr="00C6358B">
        <w:rPr>
          <w:rFonts w:cs="Times New Roman"/>
        </w:rPr>
        <w:t xml:space="preserve">ion of HPV vaccine). Depending on the statement, participants were asked to choose Yes or No options or Tick as </w:t>
      </w:r>
      <w:r w:rsidRPr="00C6358B">
        <w:rPr>
          <w:rFonts w:cs="Times New Roman"/>
        </w:rPr>
        <w:lastRenderedPageBreak/>
        <w:t>many as applied. The participants could choose more than one option among the choices provided. The study was conducted over a 3-month period fr</w:t>
      </w:r>
      <w:r w:rsidRPr="00C6358B">
        <w:rPr>
          <w:rFonts w:cs="Times New Roman"/>
        </w:rPr>
        <w:t>om and as part of a larger study.</w:t>
      </w:r>
    </w:p>
    <w:p w14:paraId="275185BE" w14:textId="77777777" w:rsidR="00084A63" w:rsidRPr="00C6358B" w:rsidRDefault="00083BFB">
      <w:pPr>
        <w:keepNext/>
        <w:keepLines/>
        <w:spacing w:before="40" w:after="0" w:line="240" w:lineRule="auto"/>
        <w:outlineLvl w:val="2"/>
        <w:rPr>
          <w:rFonts w:eastAsia="Calibri" w:cs="Times New Roman"/>
          <w:b/>
          <w:iCs/>
          <w:kern w:val="0"/>
          <w:lang w:eastAsia="zh-CN" w:bidi="ar"/>
          <w14:ligatures w14:val="none"/>
        </w:rPr>
      </w:pPr>
      <w:r w:rsidRPr="00C6358B">
        <w:rPr>
          <w:rFonts w:eastAsia="Calibri" w:cs="Times New Roman"/>
          <w:b/>
          <w:iCs/>
          <w:kern w:val="0"/>
          <w:lang w:eastAsia="zh-CN" w:bidi="ar"/>
          <w14:ligatures w14:val="none"/>
        </w:rPr>
        <w:t>Statistical Analysis</w:t>
      </w:r>
    </w:p>
    <w:p w14:paraId="7D849BD7" w14:textId="77777777" w:rsidR="00084A63" w:rsidRPr="00C6358B" w:rsidRDefault="00083BFB">
      <w:pPr>
        <w:spacing w:after="200" w:line="240" w:lineRule="auto"/>
        <w:rPr>
          <w:rFonts w:eastAsia="Calibri" w:cs="Times New Roman"/>
          <w:kern w:val="0"/>
          <w14:ligatures w14:val="none"/>
        </w:rPr>
      </w:pPr>
      <w:r w:rsidRPr="00C6358B">
        <w:rPr>
          <w:rFonts w:eastAsia="Calibri" w:cs="Times New Roman"/>
          <w:kern w:val="0"/>
          <w14:ligatures w14:val="none"/>
        </w:rPr>
        <w:t xml:space="preserve">Data entry, cleaning and analyses was done using the </w:t>
      </w:r>
      <w:bookmarkStart w:id="1" w:name="_Hlk513212193"/>
      <w:r w:rsidRPr="00C6358B">
        <w:rPr>
          <w:rFonts w:eastAsia="Calibri" w:cs="Times New Roman"/>
          <w:kern w:val="0"/>
          <w14:ligatures w14:val="none"/>
        </w:rPr>
        <w:t>IBM Statistical Pa</w:t>
      </w:r>
      <w:bookmarkStart w:id="2" w:name="_Hlk140571353"/>
      <w:r w:rsidRPr="00C6358B">
        <w:rPr>
          <w:rFonts w:eastAsia="Calibri" w:cs="Times New Roman"/>
          <w:kern w:val="0"/>
          <w14:ligatures w14:val="none"/>
        </w:rPr>
        <w:t>c</w:t>
      </w:r>
      <w:bookmarkEnd w:id="2"/>
      <w:r w:rsidRPr="00C6358B">
        <w:rPr>
          <w:rFonts w:eastAsia="Calibri" w:cs="Times New Roman"/>
          <w:kern w:val="0"/>
          <w14:ligatures w14:val="none"/>
        </w:rPr>
        <w:t>kage for Social Science</w:t>
      </w:r>
      <w:bookmarkEnd w:id="1"/>
      <w:r w:rsidRPr="00C6358B">
        <w:rPr>
          <w:rFonts w:eastAsia="Calibri" w:cs="Times New Roman"/>
          <w:kern w:val="0"/>
          <w14:ligatures w14:val="none"/>
        </w:rPr>
        <w:t xml:space="preserve"> (SPSS) version 25.0.</w:t>
      </w:r>
      <w:r w:rsidRPr="00C6358B">
        <w:rPr>
          <w:rFonts w:eastAsia="Calibri" w:cs="Times New Roman"/>
          <w:kern w:val="0"/>
          <w14:ligatures w14:val="none"/>
        </w:rPr>
        <w:fldChar w:fldCharType="begin" w:fldLock="1"/>
      </w:r>
      <w:r w:rsidRPr="00C6358B">
        <w:rPr>
          <w:rFonts w:eastAsia="Calibri" w:cs="Times New Roman"/>
          <w:kern w:val="0"/>
          <w14:ligatures w14:val="none"/>
        </w:rPr>
        <w:instrText xml:space="preserve">ADDIN CSL_CITATION </w:instrText>
      </w:r>
      <w:r w:rsidRPr="00C6358B">
        <w:rPr>
          <w:rFonts w:eastAsia="Calibri" w:cs="Times New Roman"/>
          <w:kern w:val="0"/>
          <w14:ligatures w14:val="none"/>
        </w:rPr>
        <w:instrText>{"citationItems":[{"id":"ITEM-1","itemData":{"author":[{"dropping-particle":"","family":"IBM Corp.","given":"","non-dropping-particle":"","parse-names":false,"suffix":""}],"id":"ITEM-1","issued":{"date-parts":[["2015"]]},"number":"23.0","publisher":"IBM Co</w:instrText>
      </w:r>
      <w:r w:rsidRPr="00C6358B">
        <w:rPr>
          <w:rFonts w:eastAsia="Calibri" w:cs="Times New Roman"/>
          <w:kern w:val="0"/>
          <w14:ligatures w14:val="none"/>
        </w:rPr>
        <w:instrText>rp.","publisher-place":"Armonk, New York","title":"IBM SPSS Statistics for Windows","type":"article"},"uris":["http://www.mendeley.com/documents/?uuid=7c3b44e8-e6aa-47d4-8a84-51d35a0ad918"]}],"mendeley":{"formattedCitation":"(IBM Corp., 2015)","plainTextFo</w:instrText>
      </w:r>
      <w:r w:rsidRPr="00C6358B">
        <w:rPr>
          <w:rFonts w:eastAsia="Calibri" w:cs="Times New Roman"/>
          <w:kern w:val="0"/>
          <w14:ligatures w14:val="none"/>
        </w:rPr>
        <w:instrText>rmattedCitation":"(IBM Corp., 2015)","previouslyFormattedCitation":"(IBM Corp., 2015)"},"properties":{"noteIndex":0},"schema":"https://github.com/citation-style-language/schema/raw/master/csl-citation.json"}</w:instrText>
      </w:r>
      <w:r w:rsidRPr="00C6358B">
        <w:rPr>
          <w:rFonts w:eastAsia="Calibri" w:cs="Times New Roman"/>
          <w:kern w:val="0"/>
          <w14:ligatures w14:val="none"/>
        </w:rPr>
        <w:fldChar w:fldCharType="separate"/>
      </w:r>
      <w:r w:rsidRPr="00C6358B">
        <w:rPr>
          <w:rFonts w:eastAsia="Calibri" w:cs="Times New Roman"/>
          <w:noProof/>
          <w:kern w:val="0"/>
          <w14:ligatures w14:val="none"/>
        </w:rPr>
        <w:t>(IBM Corp., 2015)</w:t>
      </w:r>
      <w:r w:rsidRPr="00C6358B">
        <w:rPr>
          <w:rFonts w:eastAsia="Calibri" w:cs="Times New Roman"/>
          <w:kern w:val="0"/>
          <w14:ligatures w14:val="none"/>
        </w:rPr>
        <w:fldChar w:fldCharType="end"/>
      </w:r>
      <w:r w:rsidRPr="00C6358B">
        <w:rPr>
          <w:rFonts w:eastAsia="Calibri" w:cs="Times New Roman"/>
          <w:kern w:val="0"/>
          <w14:ligatures w14:val="none"/>
        </w:rPr>
        <w:t xml:space="preserve"> </w:t>
      </w:r>
    </w:p>
    <w:p w14:paraId="635B94CB" w14:textId="77777777" w:rsidR="00084A63" w:rsidRPr="00C6358B" w:rsidRDefault="00083BFB" w:rsidP="00D1523E">
      <w:r w:rsidRPr="00C6358B">
        <w:rPr>
          <w:b/>
        </w:rPr>
        <w:t xml:space="preserve">Awareness of HPV vaccines: </w:t>
      </w:r>
      <w:r w:rsidRPr="00C6358B">
        <w:t>Summarized based on proportions of responses as Yes or No.</w:t>
      </w:r>
    </w:p>
    <w:p w14:paraId="4B681C2B" w14:textId="77777777" w:rsidR="00084A63" w:rsidRPr="00C6358B" w:rsidRDefault="00083BFB" w:rsidP="00D1523E">
      <w:r w:rsidRPr="00C6358B">
        <w:rPr>
          <w:b/>
        </w:rPr>
        <w:t xml:space="preserve">Knowledge of HPV vaccines: </w:t>
      </w:r>
      <w:r w:rsidRPr="00C6358B">
        <w:t xml:space="preserve">These were a set of questions to participants who were aware of HPV vaccines. The proportions of correct and incorrect responses were summarized and presented in tabular form.  </w:t>
      </w:r>
    </w:p>
    <w:p w14:paraId="740D7117" w14:textId="36264E78" w:rsidR="00084A63" w:rsidRPr="00C6358B" w:rsidRDefault="00083BFB" w:rsidP="00D1523E">
      <w:r w:rsidRPr="00C6358B">
        <w:rPr>
          <w:b/>
        </w:rPr>
        <w:t xml:space="preserve">Attitude towards HPV vaccines: </w:t>
      </w:r>
      <w:r w:rsidRPr="00C6358B">
        <w:t>Summarized based on proportions of responses as</w:t>
      </w:r>
      <w:r w:rsidRPr="00C6358B">
        <w:t xml:space="preserve"> Yes or No to </w:t>
      </w:r>
      <w:r w:rsidR="00E96003">
        <w:t xml:space="preserve">a </w:t>
      </w:r>
      <w:r w:rsidRPr="00C6358B">
        <w:t xml:space="preserve">set of questions assessing attitude and presented using a bar </w:t>
      </w:r>
      <w:proofErr w:type="gramStart"/>
      <w:r w:rsidRPr="00C6358B">
        <w:t>graph</w:t>
      </w:r>
      <w:r w:rsidR="00E96003">
        <w:t>.</w:t>
      </w:r>
      <w:r w:rsidRPr="00C6358B">
        <w:t>`</w:t>
      </w:r>
      <w:proofErr w:type="gramEnd"/>
    </w:p>
    <w:p w14:paraId="42B86688" w14:textId="77777777" w:rsidR="00084A63" w:rsidRPr="00C6358B" w:rsidRDefault="00083BFB" w:rsidP="00D1523E">
      <w:r w:rsidRPr="00C6358B">
        <w:rPr>
          <w:b/>
        </w:rPr>
        <w:t xml:space="preserve">Uptake of HPV vaccines: </w:t>
      </w:r>
      <w:r w:rsidRPr="00C6358B">
        <w:t>Summarized based on proportions of responses as Yes or No. To respondents who stated uptake, further details were obtained to capture the type and</w:t>
      </w:r>
      <w:r w:rsidRPr="00C6358B">
        <w:t xml:space="preserve"> dose completion.</w:t>
      </w:r>
    </w:p>
    <w:p w14:paraId="37424DE4" w14:textId="77777777" w:rsidR="00084A63" w:rsidRPr="00C6358B" w:rsidRDefault="00083BFB" w:rsidP="00D1523E">
      <w:r w:rsidRPr="00C6358B">
        <w:rPr>
          <w:b/>
        </w:rPr>
        <w:t xml:space="preserve">Reasons for non-uptake of HPV vaccines: </w:t>
      </w:r>
      <w:r w:rsidRPr="00C6358B">
        <w:t>These were summarized based on their multiple responses on various outline reasons and presented in a table.</w:t>
      </w:r>
    </w:p>
    <w:p w14:paraId="05B2FF8B" w14:textId="77777777" w:rsidR="00084A63" w:rsidRPr="00C6358B" w:rsidRDefault="00083BFB" w:rsidP="00D1523E">
      <w:r w:rsidRPr="00C6358B">
        <w:rPr>
          <w:b/>
        </w:rPr>
        <w:t>Determinants of uptake of HPV vaccines:</w:t>
      </w:r>
      <w:r w:rsidRPr="00C6358B">
        <w:t xml:space="preserve"> This was determined by crosstabulation and Chi-sq</w:t>
      </w:r>
      <w:r w:rsidRPr="00C6358B">
        <w:t xml:space="preserve">uared analysis of socio-demographic variables and the awareness and uptake of HPV vaccines. The level of statistical significance was considered as </w:t>
      </w:r>
      <w:r w:rsidRPr="00C6358B">
        <w:rPr>
          <w:i/>
        </w:rPr>
        <w:t>P-value</w:t>
      </w:r>
      <w:r w:rsidRPr="00C6358B">
        <w:t xml:space="preserve"> &lt;0.05.</w:t>
      </w:r>
    </w:p>
    <w:p w14:paraId="3F02378F" w14:textId="77777777" w:rsidR="00084A63" w:rsidRPr="00C6358B" w:rsidRDefault="00083BFB">
      <w:pPr>
        <w:keepNext/>
        <w:keepLines/>
        <w:spacing w:before="40" w:after="0" w:line="240" w:lineRule="auto"/>
        <w:jc w:val="left"/>
        <w:outlineLvl w:val="2"/>
        <w:rPr>
          <w:rFonts w:eastAsia="DengXian Light" w:cs="Times New Roman"/>
          <w:b/>
          <w:iCs/>
          <w:kern w:val="0"/>
          <w14:ligatures w14:val="none"/>
        </w:rPr>
      </w:pPr>
      <w:bookmarkStart w:id="3" w:name="_Toc55990335"/>
      <w:bookmarkStart w:id="4" w:name="_Toc436031035"/>
      <w:r w:rsidRPr="00C6358B">
        <w:rPr>
          <w:rFonts w:eastAsia="DengXian Light" w:cs="Times New Roman"/>
          <w:b/>
          <w:iCs/>
          <w:kern w:val="0"/>
          <w14:ligatures w14:val="none"/>
        </w:rPr>
        <w:t xml:space="preserve">Ethical </w:t>
      </w:r>
      <w:bookmarkEnd w:id="3"/>
      <w:bookmarkEnd w:id="4"/>
      <w:r w:rsidRPr="00C6358B">
        <w:rPr>
          <w:rFonts w:eastAsia="DengXian Light" w:cs="Times New Roman"/>
          <w:b/>
          <w:iCs/>
          <w:kern w:val="0"/>
          <w14:ligatures w14:val="none"/>
        </w:rPr>
        <w:t>Statement</w:t>
      </w:r>
    </w:p>
    <w:p w14:paraId="531A4E67" w14:textId="77777777" w:rsidR="00084A63" w:rsidRPr="00C6358B" w:rsidRDefault="00083BFB">
      <w:pPr>
        <w:spacing w:after="200" w:line="240" w:lineRule="auto"/>
        <w:jc w:val="left"/>
        <w:rPr>
          <w:rFonts w:eastAsia="Calibri" w:cs="Times New Roman"/>
          <w:kern w:val="0"/>
          <w14:ligatures w14:val="none"/>
        </w:rPr>
      </w:pPr>
      <w:r w:rsidRPr="00C6358B">
        <w:rPr>
          <w:rFonts w:eastAsia="Calibri" w:cs="Times New Roman"/>
          <w:kern w:val="0"/>
          <w14:ligatures w14:val="none"/>
        </w:rPr>
        <w:t>The Ethical review committee of the Federal Medical Centre, Yenagoa, grante</w:t>
      </w:r>
      <w:r w:rsidRPr="00C6358B">
        <w:rPr>
          <w:rFonts w:eastAsia="Calibri" w:cs="Times New Roman"/>
          <w:kern w:val="0"/>
          <w14:ligatures w14:val="none"/>
        </w:rPr>
        <w:t>d ethical approval for this study. All the questionnaires were anonymized, and information obtained kept confidential.</w:t>
      </w:r>
    </w:p>
    <w:p w14:paraId="6E1BBE8B" w14:textId="77777777" w:rsidR="00084A63" w:rsidRPr="00C6358B" w:rsidRDefault="00083BFB">
      <w:pPr>
        <w:keepNext/>
        <w:keepLines/>
        <w:spacing w:before="240" w:after="0" w:line="240" w:lineRule="auto"/>
        <w:jc w:val="left"/>
        <w:outlineLvl w:val="0"/>
        <w:rPr>
          <w:rFonts w:eastAsia="Times New Roman" w:cs="Times New Roman"/>
          <w:b/>
          <w:kern w:val="0"/>
          <w:lang w:val="en-GB"/>
          <w14:ligatures w14:val="none"/>
        </w:rPr>
      </w:pPr>
      <w:r w:rsidRPr="00C6358B">
        <w:rPr>
          <w:rFonts w:eastAsia="Times New Roman" w:cs="Times New Roman"/>
          <w:b/>
          <w:kern w:val="0"/>
          <w:lang w:val="en-GB"/>
          <w14:ligatures w14:val="none"/>
        </w:rPr>
        <w:t>RESULTS</w:t>
      </w:r>
    </w:p>
    <w:p w14:paraId="4A99A81D" w14:textId="77777777" w:rsidR="00084A63" w:rsidRPr="00C6358B" w:rsidRDefault="00083BFB">
      <w:pPr>
        <w:pStyle w:val="Heading3"/>
        <w:rPr>
          <w:rFonts w:cs="Times New Roman"/>
        </w:rPr>
      </w:pPr>
      <w:r w:rsidRPr="00C6358B">
        <w:rPr>
          <w:rFonts w:cs="Times New Roman"/>
        </w:rPr>
        <w:t>Sociodemographic profile of respondents (Table 1)</w:t>
      </w:r>
    </w:p>
    <w:p w14:paraId="7E0F6CE4" w14:textId="77777777" w:rsidR="00084A63" w:rsidRPr="00C6358B" w:rsidRDefault="00083BFB" w:rsidP="008F03EE">
      <w:r w:rsidRPr="00C6358B">
        <w:t>Majority of the respondents were aged 20–39 (70.8%), married (62.4%), and had t</w:t>
      </w:r>
      <w:r w:rsidRPr="00C6358B">
        <w:t>ertiary education (55.6%). Most were healthcare professionals in medicine or nursing with under 10 years of practice.</w:t>
      </w:r>
    </w:p>
    <w:p w14:paraId="6F6CDE09" w14:textId="77777777" w:rsidR="00084A63" w:rsidRPr="00C6358B" w:rsidRDefault="00083BFB">
      <w:pPr>
        <w:pStyle w:val="Heading3"/>
        <w:rPr>
          <w:rFonts w:cs="Times New Roman"/>
        </w:rPr>
      </w:pPr>
      <w:r w:rsidRPr="00C6358B">
        <w:rPr>
          <w:rFonts w:cs="Times New Roman"/>
        </w:rPr>
        <w:t>Awareness and Knowledge of HPV Vaccination (Figure 1 and Table 2)</w:t>
      </w:r>
    </w:p>
    <w:p w14:paraId="0E8C68DA" w14:textId="6A9D0957" w:rsidR="00084A63" w:rsidRPr="00C6358B" w:rsidRDefault="00083BFB" w:rsidP="008F03EE">
      <w:pPr>
        <w:rPr>
          <w:rFonts w:eastAsia="Calibri"/>
        </w:rPr>
      </w:pPr>
      <w:r w:rsidRPr="00C6358B">
        <w:rPr>
          <w:lang w:val="en-GB"/>
        </w:rPr>
        <w:t>Results show a greater majority of respondents were aware of HPV vaccina</w:t>
      </w:r>
      <w:r w:rsidRPr="00C6358B">
        <w:rPr>
          <w:lang w:val="en-GB"/>
        </w:rPr>
        <w:t xml:space="preserve">tion as shown in Figure 1. A review of responses on HPV vaccines show that </w:t>
      </w:r>
      <w:r w:rsidRPr="00C6358B">
        <w:rPr>
          <w:rFonts w:eastAsia="Calibri"/>
        </w:rPr>
        <w:t>Knowledge was generally high, with correct responses being scored by majority of respondents in all but 2 questions</w:t>
      </w:r>
      <w:r w:rsidR="00E96003">
        <w:rPr>
          <w:rFonts w:eastAsia="Calibri"/>
        </w:rPr>
        <w:t>. These were</w:t>
      </w:r>
      <w:r w:rsidRPr="00C6358B">
        <w:rPr>
          <w:rFonts w:eastAsia="Calibri"/>
        </w:rPr>
        <w:t xml:space="preserve"> on administering HPV vaccine to persons less than 15 </w:t>
      </w:r>
      <w:r w:rsidRPr="00C6358B">
        <w:rPr>
          <w:rFonts w:eastAsia="Calibri"/>
        </w:rPr>
        <w:t xml:space="preserve">years of </w:t>
      </w:r>
      <w:proofErr w:type="gramStart"/>
      <w:r w:rsidRPr="00C6358B">
        <w:rPr>
          <w:rFonts w:eastAsia="Calibri"/>
        </w:rPr>
        <w:t>age  and</w:t>
      </w:r>
      <w:proofErr w:type="gramEnd"/>
      <w:r w:rsidRPr="00C6358B">
        <w:rPr>
          <w:rFonts w:eastAsia="Calibri"/>
        </w:rPr>
        <w:t xml:space="preserve"> that HPV vaccine protects against all strains of HPV to which proportion of correct responses were by less than 50% of respondents as shown in Table 2.</w:t>
      </w:r>
    </w:p>
    <w:p w14:paraId="0C36D5F3" w14:textId="77777777" w:rsidR="00084A63" w:rsidRPr="00C6358B" w:rsidRDefault="00083BFB">
      <w:pPr>
        <w:pStyle w:val="Heading3"/>
        <w:rPr>
          <w:rFonts w:cs="Times New Roman"/>
        </w:rPr>
      </w:pPr>
      <w:r w:rsidRPr="00C6358B">
        <w:rPr>
          <w:rFonts w:cs="Times New Roman"/>
        </w:rPr>
        <w:t>Attitude towards HPV Vaccine (Figure 2)</w:t>
      </w:r>
    </w:p>
    <w:p w14:paraId="0D63F3D2" w14:textId="77777777" w:rsidR="00084A63" w:rsidRPr="00C6358B" w:rsidRDefault="00083BFB">
      <w:pPr>
        <w:spacing w:line="240" w:lineRule="auto"/>
        <w:rPr>
          <w:rFonts w:cs="Times New Roman"/>
        </w:rPr>
      </w:pPr>
      <w:r w:rsidRPr="00C6358B">
        <w:rPr>
          <w:rFonts w:cs="Times New Roman"/>
        </w:rPr>
        <w:t xml:space="preserve">Respondents showed generally positive </w:t>
      </w:r>
      <w:r w:rsidRPr="00C6358B">
        <w:rPr>
          <w:rFonts w:cs="Times New Roman"/>
        </w:rPr>
        <w:t>attitudes toward the HPV vaccine. However, concerns around safety and effectiveness still existed for a minority.</w:t>
      </w:r>
    </w:p>
    <w:p w14:paraId="2EBA87F8" w14:textId="77777777" w:rsidR="00084A63" w:rsidRPr="00C6358B" w:rsidRDefault="00083BFB">
      <w:pPr>
        <w:pStyle w:val="Heading3"/>
        <w:rPr>
          <w:rFonts w:cs="Times New Roman"/>
        </w:rPr>
      </w:pPr>
      <w:r w:rsidRPr="00C6358B">
        <w:rPr>
          <w:rFonts w:cs="Times New Roman"/>
        </w:rPr>
        <w:lastRenderedPageBreak/>
        <w:t xml:space="preserve">Uptake of HPV vaccine and characteristics </w:t>
      </w:r>
      <w:r w:rsidRPr="00C6358B">
        <w:rPr>
          <w:rFonts w:eastAsia="Calibri" w:cs="Times New Roman"/>
          <w:color w:val="000000" w:themeColor="text1"/>
          <w:lang w:val="en-GB"/>
        </w:rPr>
        <w:t>of Cervical cancer vaccine uptake</w:t>
      </w:r>
      <w:r w:rsidRPr="00C6358B">
        <w:rPr>
          <w:rFonts w:cs="Times New Roman"/>
        </w:rPr>
        <w:t xml:space="preserve"> (Figure 3 and Table 3)</w:t>
      </w:r>
    </w:p>
    <w:p w14:paraId="42BCED6C" w14:textId="77777777" w:rsidR="00084A63" w:rsidRPr="00C6358B" w:rsidRDefault="00083BFB">
      <w:pPr>
        <w:spacing w:line="240" w:lineRule="auto"/>
        <w:rPr>
          <w:rFonts w:eastAsia="Calibri" w:cs="Times New Roman"/>
        </w:rPr>
      </w:pPr>
      <w:r w:rsidRPr="00C6358B">
        <w:rPr>
          <w:rFonts w:cs="Times New Roman"/>
          <w:lang w:val="en-GB"/>
        </w:rPr>
        <w:t>HPV vaccine uptake was extremely low (5%) a</w:t>
      </w:r>
      <w:r w:rsidRPr="00C6358B">
        <w:rPr>
          <w:rFonts w:cs="Times New Roman"/>
          <w:lang w:val="en-GB"/>
        </w:rPr>
        <w:t xml:space="preserve">mong respondents as presented in Figure 3. As shown in Table 3, Among the few respondents who had taken the vaccine, </w:t>
      </w:r>
      <w:r w:rsidRPr="00C6358B">
        <w:rPr>
          <w:rFonts w:eastAsia="Calibri" w:cs="Times New Roman"/>
        </w:rPr>
        <w:t xml:space="preserve">most had incomplete doses and could not recall vaccine type. A third took it less than a year ago. Only about one-third of respondents had </w:t>
      </w:r>
      <w:r w:rsidRPr="00C6358B">
        <w:rPr>
          <w:rFonts w:eastAsia="Calibri" w:cs="Times New Roman"/>
        </w:rPr>
        <w:t xml:space="preserve">completed the dose of HPV vaccine. </w:t>
      </w:r>
    </w:p>
    <w:p w14:paraId="44FF13E1" w14:textId="77777777" w:rsidR="00084A63" w:rsidRPr="00C6358B" w:rsidRDefault="00083BFB">
      <w:pPr>
        <w:pStyle w:val="Heading3"/>
        <w:rPr>
          <w:rFonts w:cs="Times New Roman"/>
        </w:rPr>
      </w:pPr>
      <w:r w:rsidRPr="00C6358B">
        <w:rPr>
          <w:rFonts w:cs="Times New Roman"/>
        </w:rPr>
        <w:t>Reasons for not taking HPV Vaccination (Table 4)</w:t>
      </w:r>
    </w:p>
    <w:p w14:paraId="51177128" w14:textId="77777777" w:rsidR="00084A63" w:rsidRPr="00C6358B" w:rsidRDefault="00083BFB">
      <w:pPr>
        <w:spacing w:line="276" w:lineRule="auto"/>
        <w:rPr>
          <w:rFonts w:cs="Times New Roman"/>
        </w:rPr>
      </w:pPr>
      <w:r w:rsidRPr="00C6358B">
        <w:rPr>
          <w:rFonts w:cs="Times New Roman"/>
        </w:rPr>
        <w:t xml:space="preserve">The main reasons for non-uptake were lack of information on where to get the vaccine (36%) and indecision (22%). About 27% had no reason for not being vaccinated. Cost and time were also significant barriers. There were no reports of cultural or religious </w:t>
      </w:r>
      <w:r w:rsidRPr="00C6358B">
        <w:rPr>
          <w:rFonts w:cs="Times New Roman"/>
        </w:rPr>
        <w:t xml:space="preserve">or family members as reasons for non-uptake. </w:t>
      </w:r>
    </w:p>
    <w:p w14:paraId="08AA6FF7" w14:textId="77777777" w:rsidR="00084A63" w:rsidRPr="00C6358B" w:rsidRDefault="00083BFB">
      <w:pPr>
        <w:pStyle w:val="Heading3"/>
        <w:rPr>
          <w:rFonts w:cs="Times New Roman"/>
        </w:rPr>
      </w:pPr>
      <w:r w:rsidRPr="00C6358B">
        <w:rPr>
          <w:rFonts w:cs="Times New Roman"/>
        </w:rPr>
        <w:t>Factors associated with Awareness and Uptake of HPV Vaccination (Table 5 and Table 6)</w:t>
      </w:r>
    </w:p>
    <w:p w14:paraId="7D919CA7" w14:textId="77777777" w:rsidR="00084A63" w:rsidRPr="00C6358B" w:rsidRDefault="00083BFB">
      <w:pPr>
        <w:spacing w:line="240" w:lineRule="auto"/>
        <w:rPr>
          <w:rFonts w:cs="Times New Roman"/>
        </w:rPr>
      </w:pPr>
      <w:r w:rsidRPr="00C6358B">
        <w:rPr>
          <w:rFonts w:eastAsia="Calibri" w:cs="Times New Roman"/>
        </w:rPr>
        <w:t>Table 5 shows that awareness was significantly associated with the healthcare profession (p=0.001), with medical doctors hav</w:t>
      </w:r>
      <w:r w:rsidRPr="00C6358B">
        <w:rPr>
          <w:rFonts w:eastAsia="Calibri" w:cs="Times New Roman"/>
        </w:rPr>
        <w:t xml:space="preserve">ing the highest awareness. Other factors like age and marital status were not statistically significant. </w:t>
      </w:r>
      <w:r w:rsidRPr="00C6358B">
        <w:rPr>
          <w:rFonts w:cs="Times New Roman"/>
        </w:rPr>
        <w:t>Overall uptake remained low across all groups although there was no statistical association with uptake of HPV vaccine as presented in Table 6.</w:t>
      </w:r>
    </w:p>
    <w:p w14:paraId="51A98290" w14:textId="77777777" w:rsidR="00084A63" w:rsidRPr="00C6358B" w:rsidRDefault="00084A63">
      <w:pPr>
        <w:spacing w:line="240" w:lineRule="auto"/>
        <w:rPr>
          <w:rFonts w:cs="Times New Roman"/>
        </w:rPr>
      </w:pPr>
    </w:p>
    <w:p w14:paraId="5A5371D7" w14:textId="77777777" w:rsidR="008F03EE" w:rsidRDefault="008F03EE">
      <w:pPr>
        <w:spacing w:line="240" w:lineRule="auto"/>
        <w:rPr>
          <w:rFonts w:cs="Times New Roman"/>
        </w:rPr>
        <w:sectPr w:rsidR="008F03EE">
          <w:headerReference w:type="even" r:id="rId14"/>
          <w:headerReference w:type="default" r:id="rId15"/>
          <w:footerReference w:type="default" r:id="rId16"/>
          <w:headerReference w:type="first" r:id="rId17"/>
          <w:pgSz w:w="11906" w:h="16838"/>
          <w:pgMar w:top="1440" w:right="1440" w:bottom="1440" w:left="1440" w:header="720" w:footer="720" w:gutter="0"/>
          <w:cols w:space="720"/>
          <w:docGrid w:linePitch="360"/>
        </w:sectPr>
      </w:pPr>
    </w:p>
    <w:p w14:paraId="2826AE55"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bookmarkStart w:id="5" w:name="_Hlk143762636"/>
      <w:r w:rsidRPr="00C6358B">
        <w:rPr>
          <w:rFonts w:eastAsia="Calibri" w:cs="Times New Roman"/>
          <w:b/>
          <w:kern w:val="0"/>
          <w:lang w:val="en-GB"/>
          <w14:ligatures w14:val="none"/>
        </w:rPr>
        <w:lastRenderedPageBreak/>
        <w:t xml:space="preserve">Table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Table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1</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Socio</w:t>
      </w:r>
      <w:r w:rsidRPr="00C6358B">
        <w:rPr>
          <w:rFonts w:eastAsia="Calibri" w:cs="Times New Roman"/>
          <w:b/>
          <w:kern w:val="0"/>
          <w14:ligatures w14:val="none"/>
        </w:rPr>
        <w:t>-</w:t>
      </w:r>
      <w:r w:rsidRPr="00C6358B">
        <w:rPr>
          <w:rFonts w:eastAsia="Calibri" w:cs="Times New Roman"/>
          <w:b/>
          <w:kern w:val="0"/>
          <w:lang w:val="en-GB"/>
          <w14:ligatures w14:val="none"/>
        </w:rPr>
        <w:t>demographic profile of respondents</w:t>
      </w:r>
    </w:p>
    <w:tbl>
      <w:tblPr>
        <w:tblW w:w="9588" w:type="dxa"/>
        <w:tblInd w:w="135" w:type="dxa"/>
        <w:tblLook w:val="04A0" w:firstRow="1" w:lastRow="0" w:firstColumn="1" w:lastColumn="0" w:noHBand="0" w:noVBand="1"/>
      </w:tblPr>
      <w:tblGrid>
        <w:gridCol w:w="3955"/>
        <w:gridCol w:w="2550"/>
        <w:gridCol w:w="3083"/>
      </w:tblGrid>
      <w:tr w:rsidR="00084A63" w:rsidRPr="00C6358B" w14:paraId="13875078" w14:textId="77777777">
        <w:trPr>
          <w:trHeight w:val="181"/>
        </w:trPr>
        <w:tc>
          <w:tcPr>
            <w:tcW w:w="3955" w:type="dxa"/>
            <w:tcBorders>
              <w:top w:val="single" w:sz="12" w:space="0" w:color="auto"/>
              <w:left w:val="nil"/>
              <w:bottom w:val="single" w:sz="12" w:space="0" w:color="auto"/>
              <w:right w:val="nil"/>
            </w:tcBorders>
            <w:vAlign w:val="center"/>
          </w:tcPr>
          <w:p w14:paraId="6EFAB710"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 xml:space="preserve">Sociodemographic characteristics  </w:t>
            </w:r>
          </w:p>
        </w:tc>
        <w:tc>
          <w:tcPr>
            <w:tcW w:w="2550" w:type="dxa"/>
            <w:tcBorders>
              <w:top w:val="single" w:sz="12" w:space="0" w:color="auto"/>
              <w:left w:val="nil"/>
              <w:bottom w:val="single" w:sz="12" w:space="0" w:color="auto"/>
              <w:right w:val="nil"/>
            </w:tcBorders>
            <w:vAlign w:val="center"/>
          </w:tcPr>
          <w:p w14:paraId="234DC5E5"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Frequency N=178</w:t>
            </w:r>
          </w:p>
        </w:tc>
        <w:tc>
          <w:tcPr>
            <w:tcW w:w="3083" w:type="dxa"/>
            <w:tcBorders>
              <w:top w:val="single" w:sz="12" w:space="0" w:color="auto"/>
              <w:left w:val="nil"/>
              <w:bottom w:val="single" w:sz="12" w:space="0" w:color="auto"/>
              <w:right w:val="nil"/>
            </w:tcBorders>
            <w:vAlign w:val="center"/>
          </w:tcPr>
          <w:p w14:paraId="79AD9703" w14:textId="77777777" w:rsidR="00084A63" w:rsidRPr="00C6358B" w:rsidRDefault="00083BFB">
            <w:pPr>
              <w:spacing w:before="100" w:beforeAutospacing="1" w:after="0" w:line="360" w:lineRule="auto"/>
              <w:jc w:val="center"/>
              <w:rPr>
                <w:rFonts w:eastAsia="Calibri" w:cs="Times New Roman"/>
                <w:b/>
                <w:bCs/>
                <w:kern w:val="0"/>
                <w14:ligatures w14:val="none"/>
              </w:rPr>
            </w:pPr>
            <w:r w:rsidRPr="00C6358B">
              <w:rPr>
                <w:rFonts w:eastAsia="Calibri" w:cs="Times New Roman"/>
                <w:b/>
                <w:bCs/>
                <w:kern w:val="0"/>
                <w14:ligatures w14:val="none"/>
              </w:rPr>
              <w:t>Percent (%)</w:t>
            </w:r>
          </w:p>
        </w:tc>
      </w:tr>
      <w:tr w:rsidR="00084A63" w:rsidRPr="00C6358B" w14:paraId="3963CCB4" w14:textId="77777777">
        <w:trPr>
          <w:trHeight w:val="114"/>
        </w:trPr>
        <w:tc>
          <w:tcPr>
            <w:tcW w:w="3955" w:type="dxa"/>
            <w:tcBorders>
              <w:top w:val="single" w:sz="12" w:space="0" w:color="auto"/>
              <w:left w:val="nil"/>
              <w:bottom w:val="nil"/>
              <w:right w:val="nil"/>
            </w:tcBorders>
          </w:tcPr>
          <w:p w14:paraId="4926C12B" w14:textId="77777777" w:rsidR="00084A63" w:rsidRPr="00C6358B" w:rsidRDefault="00084A63">
            <w:pPr>
              <w:spacing w:before="100" w:beforeAutospacing="1" w:after="0" w:line="360" w:lineRule="auto"/>
              <w:rPr>
                <w:rFonts w:eastAsia="Calibri" w:cs="Times New Roman"/>
                <w:b/>
                <w:bCs/>
                <w:kern w:val="0"/>
                <w14:ligatures w14:val="none"/>
              </w:rPr>
            </w:pPr>
          </w:p>
        </w:tc>
        <w:tc>
          <w:tcPr>
            <w:tcW w:w="2550" w:type="dxa"/>
            <w:tcBorders>
              <w:top w:val="single" w:sz="12" w:space="0" w:color="auto"/>
              <w:left w:val="nil"/>
              <w:bottom w:val="nil"/>
              <w:right w:val="nil"/>
            </w:tcBorders>
          </w:tcPr>
          <w:p w14:paraId="6ECD6396"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single" w:sz="12" w:space="0" w:color="auto"/>
              <w:left w:val="nil"/>
              <w:bottom w:val="nil"/>
              <w:right w:val="nil"/>
            </w:tcBorders>
          </w:tcPr>
          <w:p w14:paraId="587270F2"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766C2918" w14:textId="77777777">
        <w:trPr>
          <w:trHeight w:val="119"/>
        </w:trPr>
        <w:tc>
          <w:tcPr>
            <w:tcW w:w="3955" w:type="dxa"/>
            <w:tcBorders>
              <w:top w:val="nil"/>
              <w:left w:val="nil"/>
              <w:bottom w:val="nil"/>
              <w:right w:val="nil"/>
            </w:tcBorders>
          </w:tcPr>
          <w:p w14:paraId="44B0F899"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Age groups (years)</w:t>
            </w:r>
          </w:p>
        </w:tc>
        <w:tc>
          <w:tcPr>
            <w:tcW w:w="2550" w:type="dxa"/>
            <w:tcBorders>
              <w:top w:val="nil"/>
              <w:left w:val="nil"/>
              <w:bottom w:val="nil"/>
              <w:right w:val="nil"/>
            </w:tcBorders>
          </w:tcPr>
          <w:p w14:paraId="543DCBF0"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61C5A587"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4D6E71A2" w14:textId="77777777">
        <w:trPr>
          <w:trHeight w:val="119"/>
        </w:trPr>
        <w:tc>
          <w:tcPr>
            <w:tcW w:w="3955" w:type="dxa"/>
            <w:tcBorders>
              <w:top w:val="nil"/>
              <w:left w:val="nil"/>
              <w:bottom w:val="nil"/>
              <w:right w:val="nil"/>
            </w:tcBorders>
          </w:tcPr>
          <w:p w14:paraId="2E7183FE"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20-39</w:t>
            </w:r>
          </w:p>
        </w:tc>
        <w:tc>
          <w:tcPr>
            <w:tcW w:w="2550" w:type="dxa"/>
            <w:tcBorders>
              <w:top w:val="nil"/>
              <w:left w:val="nil"/>
              <w:bottom w:val="nil"/>
              <w:right w:val="nil"/>
            </w:tcBorders>
            <w:vAlign w:val="center"/>
          </w:tcPr>
          <w:p w14:paraId="53E16DEE"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126</w:t>
            </w:r>
          </w:p>
        </w:tc>
        <w:tc>
          <w:tcPr>
            <w:tcW w:w="3083" w:type="dxa"/>
            <w:tcBorders>
              <w:top w:val="nil"/>
              <w:left w:val="nil"/>
              <w:bottom w:val="nil"/>
              <w:right w:val="nil"/>
            </w:tcBorders>
            <w:vAlign w:val="center"/>
          </w:tcPr>
          <w:p w14:paraId="0A432851"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70.8</w:t>
            </w:r>
          </w:p>
        </w:tc>
      </w:tr>
      <w:tr w:rsidR="00084A63" w:rsidRPr="00C6358B" w14:paraId="598BFC17" w14:textId="77777777">
        <w:trPr>
          <w:trHeight w:val="477"/>
        </w:trPr>
        <w:tc>
          <w:tcPr>
            <w:tcW w:w="3955" w:type="dxa"/>
            <w:tcBorders>
              <w:top w:val="nil"/>
              <w:left w:val="nil"/>
              <w:bottom w:val="nil"/>
              <w:right w:val="nil"/>
            </w:tcBorders>
          </w:tcPr>
          <w:p w14:paraId="2877CC16"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u w:val="single"/>
                <w14:ligatures w14:val="none"/>
              </w:rPr>
              <w:t>&gt;</w:t>
            </w:r>
            <w:r w:rsidRPr="00C6358B">
              <w:rPr>
                <w:rFonts w:eastAsia="Calibri" w:cs="Times New Roman"/>
                <w:kern w:val="0"/>
                <w14:ligatures w14:val="none"/>
              </w:rPr>
              <w:t>40</w:t>
            </w:r>
          </w:p>
        </w:tc>
        <w:tc>
          <w:tcPr>
            <w:tcW w:w="2550" w:type="dxa"/>
            <w:tcBorders>
              <w:top w:val="nil"/>
              <w:left w:val="nil"/>
              <w:bottom w:val="nil"/>
              <w:right w:val="nil"/>
            </w:tcBorders>
            <w:vAlign w:val="center"/>
          </w:tcPr>
          <w:p w14:paraId="16DD3936"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52</w:t>
            </w:r>
          </w:p>
        </w:tc>
        <w:tc>
          <w:tcPr>
            <w:tcW w:w="3083" w:type="dxa"/>
            <w:tcBorders>
              <w:top w:val="nil"/>
              <w:left w:val="nil"/>
              <w:bottom w:val="nil"/>
              <w:right w:val="nil"/>
            </w:tcBorders>
            <w:vAlign w:val="center"/>
          </w:tcPr>
          <w:p w14:paraId="3FE89AEB"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29.2</w:t>
            </w:r>
          </w:p>
        </w:tc>
      </w:tr>
      <w:tr w:rsidR="00084A63" w:rsidRPr="00C6358B" w14:paraId="0B58E9B0" w14:textId="77777777">
        <w:trPr>
          <w:trHeight w:val="477"/>
        </w:trPr>
        <w:tc>
          <w:tcPr>
            <w:tcW w:w="3955" w:type="dxa"/>
            <w:tcBorders>
              <w:top w:val="nil"/>
              <w:left w:val="nil"/>
              <w:bottom w:val="nil"/>
              <w:right w:val="nil"/>
            </w:tcBorders>
          </w:tcPr>
          <w:p w14:paraId="237988F8"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Mean age (SD) (years)</w:t>
            </w:r>
          </w:p>
        </w:tc>
        <w:tc>
          <w:tcPr>
            <w:tcW w:w="2550" w:type="dxa"/>
            <w:tcBorders>
              <w:top w:val="nil"/>
              <w:left w:val="nil"/>
              <w:bottom w:val="nil"/>
              <w:right w:val="nil"/>
            </w:tcBorders>
            <w:vAlign w:val="center"/>
          </w:tcPr>
          <w:p w14:paraId="08884CFE"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 xml:space="preserve">36.2 </w:t>
            </w:r>
            <w:r w:rsidRPr="00C6358B">
              <w:rPr>
                <w:rFonts w:eastAsia="Calibri" w:cs="Times New Roman"/>
                <w:kern w:val="0"/>
                <w14:ligatures w14:val="none"/>
              </w:rPr>
              <w:t>(7.7)</w:t>
            </w:r>
          </w:p>
        </w:tc>
        <w:tc>
          <w:tcPr>
            <w:tcW w:w="3083" w:type="dxa"/>
            <w:tcBorders>
              <w:top w:val="nil"/>
              <w:left w:val="nil"/>
              <w:bottom w:val="nil"/>
              <w:right w:val="nil"/>
            </w:tcBorders>
            <w:vAlign w:val="center"/>
          </w:tcPr>
          <w:p w14:paraId="6FFE56E8"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2CFDBBBB" w14:textId="77777777">
        <w:trPr>
          <w:trHeight w:val="119"/>
        </w:trPr>
        <w:tc>
          <w:tcPr>
            <w:tcW w:w="3955" w:type="dxa"/>
            <w:tcBorders>
              <w:top w:val="nil"/>
              <w:left w:val="nil"/>
              <w:bottom w:val="nil"/>
              <w:right w:val="nil"/>
            </w:tcBorders>
          </w:tcPr>
          <w:p w14:paraId="6A52EC93"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b/>
                <w:bCs/>
                <w:kern w:val="0"/>
                <w14:ligatures w14:val="none"/>
              </w:rPr>
              <w:t>Marital Status</w:t>
            </w:r>
          </w:p>
        </w:tc>
        <w:tc>
          <w:tcPr>
            <w:tcW w:w="2550" w:type="dxa"/>
            <w:tcBorders>
              <w:top w:val="nil"/>
              <w:left w:val="nil"/>
              <w:bottom w:val="nil"/>
              <w:right w:val="nil"/>
            </w:tcBorders>
          </w:tcPr>
          <w:p w14:paraId="0A4AA4AA"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6C9BB864"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7F1B1297" w14:textId="77777777">
        <w:trPr>
          <w:trHeight w:val="119"/>
        </w:trPr>
        <w:tc>
          <w:tcPr>
            <w:tcW w:w="3955" w:type="dxa"/>
            <w:tcBorders>
              <w:top w:val="nil"/>
              <w:left w:val="nil"/>
              <w:bottom w:val="nil"/>
              <w:right w:val="nil"/>
            </w:tcBorders>
          </w:tcPr>
          <w:p w14:paraId="1D17C1E3"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Single</w:t>
            </w:r>
          </w:p>
        </w:tc>
        <w:tc>
          <w:tcPr>
            <w:tcW w:w="2550" w:type="dxa"/>
            <w:tcBorders>
              <w:top w:val="nil"/>
              <w:left w:val="nil"/>
              <w:bottom w:val="nil"/>
              <w:right w:val="nil"/>
            </w:tcBorders>
          </w:tcPr>
          <w:p w14:paraId="3375E9D9"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67</w:t>
            </w:r>
          </w:p>
        </w:tc>
        <w:tc>
          <w:tcPr>
            <w:tcW w:w="3083" w:type="dxa"/>
            <w:tcBorders>
              <w:top w:val="nil"/>
              <w:left w:val="nil"/>
              <w:bottom w:val="nil"/>
              <w:right w:val="nil"/>
            </w:tcBorders>
          </w:tcPr>
          <w:p w14:paraId="4D98EF24"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37.6</w:t>
            </w:r>
          </w:p>
        </w:tc>
      </w:tr>
      <w:tr w:rsidR="00084A63" w:rsidRPr="00C6358B" w14:paraId="2E7178EB" w14:textId="77777777">
        <w:trPr>
          <w:trHeight w:val="119"/>
        </w:trPr>
        <w:tc>
          <w:tcPr>
            <w:tcW w:w="3955" w:type="dxa"/>
            <w:tcBorders>
              <w:top w:val="nil"/>
              <w:left w:val="nil"/>
              <w:bottom w:val="nil"/>
              <w:right w:val="nil"/>
            </w:tcBorders>
          </w:tcPr>
          <w:p w14:paraId="4CA514E1"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Married</w:t>
            </w:r>
          </w:p>
        </w:tc>
        <w:tc>
          <w:tcPr>
            <w:tcW w:w="2550" w:type="dxa"/>
            <w:tcBorders>
              <w:top w:val="nil"/>
              <w:left w:val="nil"/>
              <w:bottom w:val="nil"/>
              <w:right w:val="nil"/>
            </w:tcBorders>
          </w:tcPr>
          <w:p w14:paraId="741ED679"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 xml:space="preserve">111 </w:t>
            </w:r>
          </w:p>
        </w:tc>
        <w:tc>
          <w:tcPr>
            <w:tcW w:w="3083" w:type="dxa"/>
            <w:tcBorders>
              <w:top w:val="nil"/>
              <w:left w:val="nil"/>
              <w:bottom w:val="nil"/>
              <w:right w:val="nil"/>
            </w:tcBorders>
          </w:tcPr>
          <w:p w14:paraId="5E16DEE2"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62.4</w:t>
            </w:r>
          </w:p>
        </w:tc>
      </w:tr>
      <w:tr w:rsidR="00084A63" w:rsidRPr="00C6358B" w14:paraId="487CD44A" w14:textId="77777777">
        <w:trPr>
          <w:trHeight w:val="119"/>
        </w:trPr>
        <w:tc>
          <w:tcPr>
            <w:tcW w:w="3955" w:type="dxa"/>
            <w:tcBorders>
              <w:top w:val="nil"/>
              <w:left w:val="nil"/>
              <w:bottom w:val="nil"/>
              <w:right w:val="nil"/>
            </w:tcBorders>
          </w:tcPr>
          <w:p w14:paraId="523889AA"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b/>
                <w:bCs/>
                <w:kern w:val="0"/>
                <w14:ligatures w14:val="none"/>
              </w:rPr>
              <w:t xml:space="preserve">Number of children </w:t>
            </w:r>
          </w:p>
        </w:tc>
        <w:tc>
          <w:tcPr>
            <w:tcW w:w="2550" w:type="dxa"/>
            <w:tcBorders>
              <w:top w:val="nil"/>
              <w:left w:val="nil"/>
              <w:bottom w:val="nil"/>
              <w:right w:val="nil"/>
            </w:tcBorders>
          </w:tcPr>
          <w:p w14:paraId="5E0624BC"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2CBC224E"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65093814" w14:textId="77777777">
        <w:trPr>
          <w:trHeight w:val="119"/>
        </w:trPr>
        <w:tc>
          <w:tcPr>
            <w:tcW w:w="3955" w:type="dxa"/>
            <w:tcBorders>
              <w:top w:val="nil"/>
              <w:left w:val="nil"/>
              <w:bottom w:val="nil"/>
              <w:right w:val="nil"/>
            </w:tcBorders>
          </w:tcPr>
          <w:p w14:paraId="77E8FF6F"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0-2</w:t>
            </w:r>
          </w:p>
        </w:tc>
        <w:tc>
          <w:tcPr>
            <w:tcW w:w="2550" w:type="dxa"/>
            <w:tcBorders>
              <w:top w:val="nil"/>
              <w:left w:val="nil"/>
              <w:bottom w:val="nil"/>
              <w:right w:val="nil"/>
            </w:tcBorders>
          </w:tcPr>
          <w:p w14:paraId="409C3C63"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127</w:t>
            </w:r>
          </w:p>
        </w:tc>
        <w:tc>
          <w:tcPr>
            <w:tcW w:w="3083" w:type="dxa"/>
            <w:tcBorders>
              <w:top w:val="nil"/>
              <w:left w:val="nil"/>
              <w:bottom w:val="nil"/>
              <w:right w:val="nil"/>
            </w:tcBorders>
          </w:tcPr>
          <w:p w14:paraId="44C56D91"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71.4</w:t>
            </w:r>
          </w:p>
        </w:tc>
      </w:tr>
      <w:tr w:rsidR="00084A63" w:rsidRPr="00C6358B" w14:paraId="4739327E" w14:textId="77777777">
        <w:trPr>
          <w:trHeight w:val="119"/>
        </w:trPr>
        <w:tc>
          <w:tcPr>
            <w:tcW w:w="3955" w:type="dxa"/>
            <w:tcBorders>
              <w:top w:val="nil"/>
              <w:left w:val="nil"/>
              <w:bottom w:val="nil"/>
              <w:right w:val="nil"/>
            </w:tcBorders>
          </w:tcPr>
          <w:p w14:paraId="2DB94064"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3-5</w:t>
            </w:r>
          </w:p>
        </w:tc>
        <w:tc>
          <w:tcPr>
            <w:tcW w:w="2550" w:type="dxa"/>
            <w:tcBorders>
              <w:top w:val="nil"/>
              <w:left w:val="nil"/>
              <w:bottom w:val="nil"/>
              <w:right w:val="nil"/>
            </w:tcBorders>
          </w:tcPr>
          <w:p w14:paraId="36E81019"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51</w:t>
            </w:r>
          </w:p>
        </w:tc>
        <w:tc>
          <w:tcPr>
            <w:tcW w:w="3083" w:type="dxa"/>
            <w:tcBorders>
              <w:top w:val="nil"/>
              <w:left w:val="nil"/>
              <w:bottom w:val="nil"/>
              <w:right w:val="nil"/>
            </w:tcBorders>
          </w:tcPr>
          <w:p w14:paraId="7FBE6BC4"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28.6</w:t>
            </w:r>
          </w:p>
        </w:tc>
      </w:tr>
      <w:tr w:rsidR="00084A63" w:rsidRPr="00C6358B" w14:paraId="714C15AC" w14:textId="77777777">
        <w:trPr>
          <w:trHeight w:val="119"/>
        </w:trPr>
        <w:tc>
          <w:tcPr>
            <w:tcW w:w="3955" w:type="dxa"/>
            <w:tcBorders>
              <w:top w:val="nil"/>
              <w:left w:val="nil"/>
              <w:bottom w:val="nil"/>
              <w:right w:val="nil"/>
            </w:tcBorders>
          </w:tcPr>
          <w:p w14:paraId="7852E203"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 xml:space="preserve">Educational level </w:t>
            </w:r>
          </w:p>
        </w:tc>
        <w:tc>
          <w:tcPr>
            <w:tcW w:w="2550" w:type="dxa"/>
            <w:tcBorders>
              <w:top w:val="nil"/>
              <w:left w:val="nil"/>
              <w:bottom w:val="nil"/>
              <w:right w:val="nil"/>
            </w:tcBorders>
          </w:tcPr>
          <w:p w14:paraId="1EB58FEB"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365EE38B"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2D3AF9AE" w14:textId="77777777">
        <w:trPr>
          <w:trHeight w:val="119"/>
        </w:trPr>
        <w:tc>
          <w:tcPr>
            <w:tcW w:w="3955" w:type="dxa"/>
            <w:tcBorders>
              <w:top w:val="nil"/>
              <w:left w:val="nil"/>
              <w:bottom w:val="nil"/>
              <w:right w:val="nil"/>
            </w:tcBorders>
          </w:tcPr>
          <w:p w14:paraId="0EE860F2"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Post-tertiary</w:t>
            </w:r>
          </w:p>
        </w:tc>
        <w:tc>
          <w:tcPr>
            <w:tcW w:w="2550" w:type="dxa"/>
            <w:tcBorders>
              <w:top w:val="nil"/>
              <w:left w:val="nil"/>
              <w:bottom w:val="nil"/>
              <w:right w:val="nil"/>
            </w:tcBorders>
            <w:vAlign w:val="center"/>
          </w:tcPr>
          <w:p w14:paraId="03DBE854"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79</w:t>
            </w:r>
          </w:p>
        </w:tc>
        <w:tc>
          <w:tcPr>
            <w:tcW w:w="3083" w:type="dxa"/>
            <w:tcBorders>
              <w:top w:val="nil"/>
              <w:left w:val="nil"/>
              <w:bottom w:val="nil"/>
              <w:right w:val="nil"/>
            </w:tcBorders>
            <w:vAlign w:val="center"/>
          </w:tcPr>
          <w:p w14:paraId="266C8BC6"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44.4</w:t>
            </w:r>
          </w:p>
        </w:tc>
      </w:tr>
      <w:tr w:rsidR="00084A63" w:rsidRPr="00C6358B" w14:paraId="6A91F3EB" w14:textId="77777777">
        <w:trPr>
          <w:trHeight w:val="119"/>
        </w:trPr>
        <w:tc>
          <w:tcPr>
            <w:tcW w:w="3955" w:type="dxa"/>
            <w:tcBorders>
              <w:top w:val="nil"/>
              <w:left w:val="nil"/>
              <w:bottom w:val="nil"/>
              <w:right w:val="nil"/>
            </w:tcBorders>
          </w:tcPr>
          <w:p w14:paraId="4A895E61"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Tertiary</w:t>
            </w:r>
          </w:p>
        </w:tc>
        <w:tc>
          <w:tcPr>
            <w:tcW w:w="2550" w:type="dxa"/>
            <w:tcBorders>
              <w:top w:val="nil"/>
              <w:left w:val="nil"/>
              <w:bottom w:val="nil"/>
              <w:right w:val="nil"/>
            </w:tcBorders>
            <w:vAlign w:val="center"/>
          </w:tcPr>
          <w:p w14:paraId="12F684BC"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99</w:t>
            </w:r>
          </w:p>
        </w:tc>
        <w:tc>
          <w:tcPr>
            <w:tcW w:w="3083" w:type="dxa"/>
            <w:tcBorders>
              <w:top w:val="nil"/>
              <w:left w:val="nil"/>
              <w:bottom w:val="nil"/>
              <w:right w:val="nil"/>
            </w:tcBorders>
            <w:vAlign w:val="center"/>
          </w:tcPr>
          <w:p w14:paraId="164EDD71"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55.6</w:t>
            </w:r>
          </w:p>
        </w:tc>
      </w:tr>
      <w:tr w:rsidR="00084A63" w:rsidRPr="00C6358B" w14:paraId="3B23D62E" w14:textId="77777777">
        <w:trPr>
          <w:trHeight w:val="119"/>
        </w:trPr>
        <w:tc>
          <w:tcPr>
            <w:tcW w:w="3955" w:type="dxa"/>
            <w:tcBorders>
              <w:top w:val="nil"/>
              <w:left w:val="nil"/>
              <w:bottom w:val="nil"/>
              <w:right w:val="nil"/>
            </w:tcBorders>
          </w:tcPr>
          <w:p w14:paraId="34CEFD68"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b/>
                <w:bCs/>
                <w:kern w:val="0"/>
                <w14:ligatures w14:val="none"/>
              </w:rPr>
              <w:t>Number of years of practice</w:t>
            </w:r>
          </w:p>
        </w:tc>
        <w:tc>
          <w:tcPr>
            <w:tcW w:w="2550" w:type="dxa"/>
            <w:tcBorders>
              <w:top w:val="nil"/>
              <w:left w:val="nil"/>
              <w:bottom w:val="nil"/>
              <w:right w:val="nil"/>
            </w:tcBorders>
            <w:vAlign w:val="center"/>
          </w:tcPr>
          <w:p w14:paraId="03DC54E1"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vAlign w:val="center"/>
          </w:tcPr>
          <w:p w14:paraId="36B0E3E7"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3E84BEBC" w14:textId="77777777">
        <w:trPr>
          <w:trHeight w:val="119"/>
        </w:trPr>
        <w:tc>
          <w:tcPr>
            <w:tcW w:w="3955" w:type="dxa"/>
            <w:tcBorders>
              <w:top w:val="nil"/>
              <w:left w:val="nil"/>
              <w:bottom w:val="nil"/>
              <w:right w:val="nil"/>
            </w:tcBorders>
          </w:tcPr>
          <w:p w14:paraId="72C1CE5A"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&lt;10</w:t>
            </w:r>
          </w:p>
        </w:tc>
        <w:tc>
          <w:tcPr>
            <w:tcW w:w="2550" w:type="dxa"/>
            <w:tcBorders>
              <w:top w:val="nil"/>
              <w:left w:val="nil"/>
              <w:bottom w:val="nil"/>
              <w:right w:val="nil"/>
            </w:tcBorders>
          </w:tcPr>
          <w:p w14:paraId="10164C75"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91</w:t>
            </w:r>
          </w:p>
        </w:tc>
        <w:tc>
          <w:tcPr>
            <w:tcW w:w="3083" w:type="dxa"/>
            <w:tcBorders>
              <w:top w:val="nil"/>
              <w:left w:val="nil"/>
              <w:bottom w:val="nil"/>
              <w:right w:val="nil"/>
            </w:tcBorders>
          </w:tcPr>
          <w:p w14:paraId="427FDE6C"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51.1</w:t>
            </w:r>
          </w:p>
        </w:tc>
      </w:tr>
      <w:tr w:rsidR="00084A63" w:rsidRPr="00C6358B" w14:paraId="0903BB5C" w14:textId="77777777">
        <w:trPr>
          <w:trHeight w:val="119"/>
        </w:trPr>
        <w:tc>
          <w:tcPr>
            <w:tcW w:w="3955" w:type="dxa"/>
            <w:tcBorders>
              <w:top w:val="nil"/>
              <w:left w:val="nil"/>
              <w:bottom w:val="nil"/>
              <w:right w:val="nil"/>
            </w:tcBorders>
          </w:tcPr>
          <w:p w14:paraId="797DECA3"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10-19</w:t>
            </w:r>
          </w:p>
        </w:tc>
        <w:tc>
          <w:tcPr>
            <w:tcW w:w="2550" w:type="dxa"/>
            <w:tcBorders>
              <w:top w:val="nil"/>
              <w:left w:val="nil"/>
              <w:bottom w:val="nil"/>
              <w:right w:val="nil"/>
            </w:tcBorders>
          </w:tcPr>
          <w:p w14:paraId="6EEC19FB"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62</w:t>
            </w:r>
          </w:p>
        </w:tc>
        <w:tc>
          <w:tcPr>
            <w:tcW w:w="3083" w:type="dxa"/>
            <w:tcBorders>
              <w:top w:val="nil"/>
              <w:left w:val="nil"/>
              <w:bottom w:val="nil"/>
              <w:right w:val="nil"/>
            </w:tcBorders>
          </w:tcPr>
          <w:p w14:paraId="72AD9A42"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34.8</w:t>
            </w:r>
          </w:p>
        </w:tc>
      </w:tr>
      <w:tr w:rsidR="00084A63" w:rsidRPr="00C6358B" w14:paraId="2038D94D" w14:textId="77777777">
        <w:trPr>
          <w:trHeight w:val="119"/>
        </w:trPr>
        <w:tc>
          <w:tcPr>
            <w:tcW w:w="3955" w:type="dxa"/>
            <w:tcBorders>
              <w:top w:val="nil"/>
              <w:left w:val="nil"/>
              <w:bottom w:val="nil"/>
              <w:right w:val="nil"/>
            </w:tcBorders>
          </w:tcPr>
          <w:p w14:paraId="0731F363"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&gt;20</w:t>
            </w:r>
          </w:p>
        </w:tc>
        <w:tc>
          <w:tcPr>
            <w:tcW w:w="2550" w:type="dxa"/>
            <w:tcBorders>
              <w:top w:val="nil"/>
              <w:left w:val="nil"/>
              <w:bottom w:val="nil"/>
              <w:right w:val="nil"/>
            </w:tcBorders>
          </w:tcPr>
          <w:p w14:paraId="2252CD39"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25</w:t>
            </w:r>
          </w:p>
        </w:tc>
        <w:tc>
          <w:tcPr>
            <w:tcW w:w="3083" w:type="dxa"/>
            <w:tcBorders>
              <w:top w:val="nil"/>
              <w:left w:val="nil"/>
              <w:bottom w:val="nil"/>
              <w:right w:val="nil"/>
            </w:tcBorders>
          </w:tcPr>
          <w:p w14:paraId="5D97B648"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14.1</w:t>
            </w:r>
          </w:p>
        </w:tc>
      </w:tr>
      <w:tr w:rsidR="00084A63" w:rsidRPr="00C6358B" w14:paraId="19FA021D" w14:textId="77777777">
        <w:trPr>
          <w:trHeight w:val="119"/>
        </w:trPr>
        <w:tc>
          <w:tcPr>
            <w:tcW w:w="3955" w:type="dxa"/>
            <w:tcBorders>
              <w:top w:val="nil"/>
              <w:left w:val="nil"/>
              <w:right w:val="nil"/>
            </w:tcBorders>
          </w:tcPr>
          <w:p w14:paraId="7C475D3A"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b/>
                <w:bCs/>
                <w:kern w:val="0"/>
                <w14:ligatures w14:val="none"/>
              </w:rPr>
              <w:t>Healthcare</w:t>
            </w:r>
            <w:r w:rsidRPr="00C6358B">
              <w:rPr>
                <w:rFonts w:eastAsia="Calibri" w:cs="Times New Roman"/>
                <w:b/>
                <w:bCs/>
                <w:kern w:val="0"/>
                <w14:ligatures w14:val="none"/>
              </w:rPr>
              <w:t xml:space="preserve"> profession</w:t>
            </w:r>
          </w:p>
        </w:tc>
        <w:tc>
          <w:tcPr>
            <w:tcW w:w="2550" w:type="dxa"/>
            <w:tcBorders>
              <w:top w:val="nil"/>
              <w:left w:val="nil"/>
              <w:bottom w:val="nil"/>
              <w:right w:val="nil"/>
            </w:tcBorders>
          </w:tcPr>
          <w:p w14:paraId="58D0789F"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50B06405"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3E8398AA" w14:textId="77777777">
        <w:trPr>
          <w:trHeight w:val="119"/>
        </w:trPr>
        <w:tc>
          <w:tcPr>
            <w:tcW w:w="3955" w:type="dxa"/>
          </w:tcPr>
          <w:p w14:paraId="272FD466"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kern w:val="0"/>
                <w14:ligatures w14:val="none"/>
              </w:rPr>
              <w:t xml:space="preserve">   Medicine</w:t>
            </w:r>
          </w:p>
        </w:tc>
        <w:tc>
          <w:tcPr>
            <w:tcW w:w="2550" w:type="dxa"/>
            <w:tcBorders>
              <w:top w:val="nil"/>
              <w:left w:val="nil"/>
              <w:bottom w:val="nil"/>
              <w:right w:val="nil"/>
            </w:tcBorders>
            <w:vAlign w:val="center"/>
          </w:tcPr>
          <w:p w14:paraId="70F419EE"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74</w:t>
            </w:r>
          </w:p>
        </w:tc>
        <w:tc>
          <w:tcPr>
            <w:tcW w:w="3083" w:type="dxa"/>
            <w:tcBorders>
              <w:top w:val="nil"/>
              <w:left w:val="nil"/>
              <w:bottom w:val="nil"/>
              <w:right w:val="nil"/>
            </w:tcBorders>
            <w:vAlign w:val="center"/>
          </w:tcPr>
          <w:p w14:paraId="5F93A73C"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41.6</w:t>
            </w:r>
          </w:p>
        </w:tc>
      </w:tr>
      <w:tr w:rsidR="00084A63" w:rsidRPr="00C6358B" w14:paraId="1DD8E142" w14:textId="77777777">
        <w:trPr>
          <w:trHeight w:val="237"/>
        </w:trPr>
        <w:tc>
          <w:tcPr>
            <w:tcW w:w="3955" w:type="dxa"/>
          </w:tcPr>
          <w:p w14:paraId="598492DD"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kern w:val="0"/>
                <w14:ligatures w14:val="none"/>
              </w:rPr>
              <w:t xml:space="preserve">   Nursing </w:t>
            </w:r>
          </w:p>
        </w:tc>
        <w:tc>
          <w:tcPr>
            <w:tcW w:w="2550" w:type="dxa"/>
            <w:tcBorders>
              <w:top w:val="nil"/>
              <w:left w:val="nil"/>
              <w:bottom w:val="nil"/>
              <w:right w:val="nil"/>
            </w:tcBorders>
            <w:vAlign w:val="center"/>
          </w:tcPr>
          <w:p w14:paraId="4E0311B5"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74</w:t>
            </w:r>
          </w:p>
        </w:tc>
        <w:tc>
          <w:tcPr>
            <w:tcW w:w="3083" w:type="dxa"/>
            <w:tcBorders>
              <w:top w:val="nil"/>
              <w:left w:val="nil"/>
              <w:bottom w:val="nil"/>
              <w:right w:val="nil"/>
            </w:tcBorders>
            <w:vAlign w:val="center"/>
          </w:tcPr>
          <w:p w14:paraId="66CB3C65"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41.6</w:t>
            </w:r>
          </w:p>
        </w:tc>
      </w:tr>
      <w:tr w:rsidR="00084A63" w:rsidRPr="00C6358B" w14:paraId="339BDB64" w14:textId="77777777">
        <w:trPr>
          <w:trHeight w:val="237"/>
        </w:trPr>
        <w:tc>
          <w:tcPr>
            <w:tcW w:w="3955" w:type="dxa"/>
          </w:tcPr>
          <w:p w14:paraId="5A93BA09"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kern w:val="0"/>
                <w14:ligatures w14:val="none"/>
              </w:rPr>
              <w:t xml:space="preserve">   Others*</w:t>
            </w:r>
          </w:p>
        </w:tc>
        <w:tc>
          <w:tcPr>
            <w:tcW w:w="2550" w:type="dxa"/>
            <w:tcBorders>
              <w:top w:val="nil"/>
              <w:left w:val="nil"/>
              <w:bottom w:val="nil"/>
              <w:right w:val="nil"/>
            </w:tcBorders>
            <w:vAlign w:val="center"/>
          </w:tcPr>
          <w:p w14:paraId="7054D07F"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30</w:t>
            </w:r>
          </w:p>
        </w:tc>
        <w:tc>
          <w:tcPr>
            <w:tcW w:w="3083" w:type="dxa"/>
            <w:tcBorders>
              <w:top w:val="nil"/>
              <w:left w:val="nil"/>
              <w:bottom w:val="nil"/>
              <w:right w:val="nil"/>
            </w:tcBorders>
            <w:vAlign w:val="center"/>
          </w:tcPr>
          <w:p w14:paraId="00CF8131"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16.8</w:t>
            </w:r>
          </w:p>
        </w:tc>
      </w:tr>
      <w:tr w:rsidR="00084A63" w:rsidRPr="00C6358B" w14:paraId="4F9C7675" w14:textId="77777777">
        <w:trPr>
          <w:trHeight w:val="162"/>
        </w:trPr>
        <w:tc>
          <w:tcPr>
            <w:tcW w:w="3955" w:type="dxa"/>
            <w:tcBorders>
              <w:left w:val="nil"/>
              <w:bottom w:val="single" w:sz="12" w:space="0" w:color="000000"/>
              <w:right w:val="nil"/>
            </w:tcBorders>
          </w:tcPr>
          <w:p w14:paraId="65693E2C" w14:textId="77777777" w:rsidR="00084A63" w:rsidRPr="00C6358B" w:rsidRDefault="00084A63">
            <w:pPr>
              <w:spacing w:before="100" w:beforeAutospacing="1" w:after="0" w:line="360" w:lineRule="auto"/>
              <w:ind w:firstLineChars="100" w:firstLine="241"/>
              <w:rPr>
                <w:rFonts w:eastAsia="Calibri" w:cs="Times New Roman"/>
                <w:b/>
                <w:bCs/>
                <w:kern w:val="0"/>
                <w14:ligatures w14:val="none"/>
              </w:rPr>
            </w:pPr>
          </w:p>
        </w:tc>
        <w:tc>
          <w:tcPr>
            <w:tcW w:w="2550" w:type="dxa"/>
            <w:tcBorders>
              <w:left w:val="nil"/>
              <w:bottom w:val="single" w:sz="12" w:space="0" w:color="000000"/>
              <w:right w:val="nil"/>
            </w:tcBorders>
            <w:vAlign w:val="center"/>
          </w:tcPr>
          <w:p w14:paraId="118306F6"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0" w:type="auto"/>
            <w:tcBorders>
              <w:left w:val="nil"/>
              <w:bottom w:val="single" w:sz="12" w:space="0" w:color="000000"/>
              <w:right w:val="nil"/>
            </w:tcBorders>
            <w:vAlign w:val="center"/>
          </w:tcPr>
          <w:p w14:paraId="6AAED133" w14:textId="77777777" w:rsidR="00084A63" w:rsidRPr="00C6358B" w:rsidRDefault="00084A63">
            <w:pPr>
              <w:spacing w:before="100" w:beforeAutospacing="1" w:after="0" w:line="360" w:lineRule="auto"/>
              <w:jc w:val="center"/>
              <w:rPr>
                <w:rFonts w:eastAsia="Calibri" w:cs="Times New Roman"/>
                <w:kern w:val="0"/>
                <w14:ligatures w14:val="none"/>
              </w:rPr>
            </w:pPr>
          </w:p>
        </w:tc>
      </w:tr>
    </w:tbl>
    <w:p w14:paraId="407933AE" w14:textId="77777777" w:rsidR="00084A63" w:rsidRPr="00C6358B" w:rsidRDefault="00083BFB">
      <w:pPr>
        <w:spacing w:after="200" w:line="240" w:lineRule="auto"/>
        <w:rPr>
          <w:rFonts w:eastAsia="Calibri" w:cs="Times New Roman"/>
          <w:i/>
          <w:iCs/>
          <w:kern w:val="0"/>
          <w14:ligatures w14:val="none"/>
        </w:rPr>
      </w:pPr>
      <w:r w:rsidRPr="00C6358B">
        <w:rPr>
          <w:rFonts w:eastAsia="Calibri" w:cs="Times New Roman"/>
          <w:i/>
          <w:iCs/>
          <w:kern w:val="0"/>
          <w14:ligatures w14:val="none"/>
        </w:rPr>
        <w:t>*Others include Pharmacy, Laboratory science Optometry, Physiotherapy</w:t>
      </w:r>
    </w:p>
    <w:p w14:paraId="04C07780" w14:textId="77777777" w:rsidR="00084A63" w:rsidRPr="00C6358B" w:rsidRDefault="00083BFB">
      <w:pPr>
        <w:tabs>
          <w:tab w:val="left" w:pos="3514"/>
        </w:tabs>
        <w:spacing w:after="200" w:line="240" w:lineRule="auto"/>
        <w:rPr>
          <w:rFonts w:eastAsia="Calibri" w:cs="Times New Roman"/>
          <w:kern w:val="0"/>
          <w14:ligatures w14:val="none"/>
        </w:rPr>
      </w:pPr>
      <w:r w:rsidRPr="00C6358B">
        <w:rPr>
          <w:rFonts w:eastAsia="Calibri" w:cs="Times New Roman"/>
          <w:kern w:val="0"/>
          <w14:ligatures w14:val="none"/>
        </w:rPr>
        <w:tab/>
      </w:r>
    </w:p>
    <w:p w14:paraId="66B52272" w14:textId="77777777" w:rsidR="00084A63" w:rsidRPr="00C6358B" w:rsidRDefault="00084A63">
      <w:pPr>
        <w:tabs>
          <w:tab w:val="left" w:pos="3514"/>
        </w:tabs>
        <w:spacing w:after="200" w:line="240" w:lineRule="auto"/>
        <w:rPr>
          <w:rFonts w:eastAsia="Calibri" w:cs="Times New Roman"/>
          <w:kern w:val="0"/>
          <w14:ligatures w14:val="none"/>
        </w:rPr>
      </w:pPr>
    </w:p>
    <w:p w14:paraId="4DF74B0D" w14:textId="77777777" w:rsidR="00084A63" w:rsidRPr="00C6358B" w:rsidRDefault="00084A63">
      <w:pPr>
        <w:tabs>
          <w:tab w:val="left" w:pos="3514"/>
        </w:tabs>
        <w:spacing w:after="200" w:line="240" w:lineRule="auto"/>
        <w:rPr>
          <w:rFonts w:eastAsia="Calibri" w:cs="Times New Roman"/>
          <w:kern w:val="0"/>
          <w14:ligatures w14:val="none"/>
        </w:rPr>
      </w:pPr>
    </w:p>
    <w:p w14:paraId="2307112F" w14:textId="77777777" w:rsidR="00084A63" w:rsidRPr="00C6358B" w:rsidRDefault="00084A63">
      <w:pPr>
        <w:tabs>
          <w:tab w:val="left" w:pos="3514"/>
        </w:tabs>
        <w:spacing w:after="200" w:line="240" w:lineRule="auto"/>
        <w:rPr>
          <w:rFonts w:eastAsia="Calibri" w:cs="Times New Roman"/>
          <w:kern w:val="0"/>
          <w14:ligatures w14:val="none"/>
        </w:rPr>
      </w:pPr>
    </w:p>
    <w:p w14:paraId="612AFB48" w14:textId="77777777" w:rsidR="00084A63" w:rsidRPr="00C6358B" w:rsidRDefault="00084A63">
      <w:pPr>
        <w:spacing w:after="200" w:line="240" w:lineRule="auto"/>
        <w:rPr>
          <w:rFonts w:eastAsia="Calibri" w:cs="Times New Roman"/>
          <w:kern w:val="0"/>
          <w14:ligatures w14:val="none"/>
        </w:rPr>
      </w:pPr>
    </w:p>
    <w:p w14:paraId="48F6F6BC" w14:textId="77777777" w:rsidR="00084A63" w:rsidRPr="00C6358B" w:rsidRDefault="00083BFB">
      <w:pPr>
        <w:keepNext/>
        <w:spacing w:after="200" w:line="240" w:lineRule="auto"/>
        <w:rPr>
          <w:rFonts w:eastAsia="Calibri" w:cs="Times New Roman"/>
          <w:kern w:val="0"/>
          <w14:ligatures w14:val="none"/>
        </w:rPr>
      </w:pPr>
      <w:r w:rsidRPr="00C6358B">
        <w:rPr>
          <w:rFonts w:cs="Times New Roman"/>
          <w:noProof/>
        </w:rPr>
        <w:lastRenderedPageBreak/>
        <w:drawing>
          <wp:inline distT="0" distB="0" distL="0" distR="0" wp14:anchorId="6A824027" wp14:editId="21E3F54E">
            <wp:extent cx="4572000" cy="2743200"/>
            <wp:effectExtent l="0" t="0" r="0" b="0"/>
            <wp:docPr id="18920511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84E489"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r w:rsidRPr="00C6358B">
        <w:rPr>
          <w:rFonts w:eastAsia="Calibri" w:cs="Times New Roman"/>
          <w:b/>
          <w:kern w:val="0"/>
          <w:lang w:val="en-GB"/>
          <w14:ligatures w14:val="none"/>
        </w:rPr>
        <w:t xml:space="preserve">Figure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Figure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1</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Awareness of HPV Vaccination</w:t>
      </w:r>
    </w:p>
    <w:p w14:paraId="584FA4BF" w14:textId="77777777" w:rsidR="00084A63" w:rsidRPr="00C6358B" w:rsidRDefault="00084A63">
      <w:pPr>
        <w:rPr>
          <w:rFonts w:cs="Times New Roman"/>
          <w:lang w:val="en-GB"/>
        </w:rPr>
      </w:pPr>
    </w:p>
    <w:p w14:paraId="0820C796" w14:textId="77777777" w:rsidR="00084A63" w:rsidRPr="00C6358B" w:rsidRDefault="00084A63">
      <w:pPr>
        <w:rPr>
          <w:rFonts w:cs="Times New Roman"/>
          <w:lang w:val="en-GB"/>
        </w:rPr>
      </w:pPr>
    </w:p>
    <w:p w14:paraId="4A4B3EB3" w14:textId="77777777" w:rsidR="00084A63" w:rsidRPr="00C6358B" w:rsidRDefault="00083BFB">
      <w:pPr>
        <w:keepNext/>
        <w:keepLines/>
        <w:spacing w:before="40" w:after="0" w:line="240" w:lineRule="auto"/>
        <w:jc w:val="left"/>
        <w:outlineLvl w:val="2"/>
        <w:rPr>
          <w:rFonts w:eastAsia="Calibri" w:cs="Times New Roman"/>
          <w:b/>
          <w:color w:val="FF0000"/>
          <w:kern w:val="0"/>
          <w:lang w:val="en-GB"/>
          <w14:ligatures w14:val="none"/>
        </w:rPr>
      </w:pPr>
      <w:r w:rsidRPr="00C6358B">
        <w:rPr>
          <w:rFonts w:eastAsia="Calibri" w:cs="Times New Roman"/>
          <w:b/>
          <w:kern w:val="0"/>
          <w:lang w:val="en-GB"/>
          <w14:ligatures w14:val="none"/>
        </w:rPr>
        <w:t xml:space="preserve">Table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Table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2</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xml:space="preserve">: Knowledge of HPV vaccination </w:t>
      </w:r>
    </w:p>
    <w:tbl>
      <w:tblPr>
        <w:tblStyle w:val="TableGrid"/>
        <w:tblW w:w="8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1577"/>
        <w:gridCol w:w="1417"/>
        <w:gridCol w:w="1641"/>
      </w:tblGrid>
      <w:tr w:rsidR="00084A63" w:rsidRPr="00C6358B" w14:paraId="7A8BEABF" w14:textId="77777777">
        <w:trPr>
          <w:trHeight w:val="636"/>
        </w:trPr>
        <w:tc>
          <w:tcPr>
            <w:tcW w:w="4190" w:type="dxa"/>
            <w:vMerge w:val="restart"/>
            <w:tcBorders>
              <w:top w:val="single" w:sz="4" w:space="0" w:color="auto"/>
            </w:tcBorders>
            <w:vAlign w:val="center"/>
          </w:tcPr>
          <w:p w14:paraId="018EC508" w14:textId="77777777" w:rsidR="00084A63" w:rsidRPr="00C6358B" w:rsidRDefault="00083BFB">
            <w:pPr>
              <w:spacing w:after="0" w:line="240" w:lineRule="auto"/>
              <w:jc w:val="left"/>
              <w:rPr>
                <w:rFonts w:eastAsia="Calibri" w:cs="Times New Roman"/>
                <w:b/>
                <w:kern w:val="0"/>
                <w14:ligatures w14:val="none"/>
              </w:rPr>
            </w:pPr>
            <w:bookmarkStart w:id="6" w:name="_Hlk195046421"/>
            <w:r w:rsidRPr="00C6358B">
              <w:rPr>
                <w:rFonts w:eastAsia="Calibri" w:cs="Times New Roman"/>
                <w:b/>
                <w:kern w:val="0"/>
                <w14:ligatures w14:val="none"/>
              </w:rPr>
              <w:t>Questions</w:t>
            </w:r>
          </w:p>
          <w:p w14:paraId="43B1332B" w14:textId="77777777" w:rsidR="00084A63" w:rsidRPr="00C6358B" w:rsidRDefault="00083BFB">
            <w:pPr>
              <w:spacing w:after="0" w:line="240" w:lineRule="auto"/>
              <w:jc w:val="left"/>
              <w:rPr>
                <w:rFonts w:eastAsia="Calibri" w:cs="Times New Roman"/>
                <w:b/>
                <w:kern w:val="0"/>
                <w14:ligatures w14:val="none"/>
              </w:rPr>
            </w:pPr>
            <w:r w:rsidRPr="00C6358B">
              <w:rPr>
                <w:rFonts w:eastAsia="Calibri" w:cs="Times New Roman"/>
                <w:b/>
                <w:color w:val="000000" w:themeColor="text1"/>
                <w:kern w:val="0"/>
                <w14:ligatures w14:val="none"/>
              </w:rPr>
              <w:t>(n= 152)</w:t>
            </w:r>
          </w:p>
        </w:tc>
        <w:tc>
          <w:tcPr>
            <w:tcW w:w="1577" w:type="dxa"/>
            <w:vMerge w:val="restart"/>
            <w:tcBorders>
              <w:top w:val="single" w:sz="4" w:space="0" w:color="auto"/>
            </w:tcBorders>
            <w:vAlign w:val="center"/>
          </w:tcPr>
          <w:p w14:paraId="0004BFCF" w14:textId="77777777" w:rsidR="00084A63" w:rsidRPr="00C6358B" w:rsidRDefault="00083BFB">
            <w:pPr>
              <w:spacing w:after="0" w:line="240" w:lineRule="auto"/>
              <w:rPr>
                <w:rFonts w:eastAsia="Calibri" w:cs="Times New Roman"/>
                <w:b/>
                <w:kern w:val="0"/>
                <w14:ligatures w14:val="none"/>
              </w:rPr>
            </w:pPr>
            <w:r w:rsidRPr="00C6358B">
              <w:rPr>
                <w:rFonts w:eastAsia="Calibri" w:cs="Times New Roman"/>
                <w:b/>
                <w:kern w:val="0"/>
                <w14:ligatures w14:val="none"/>
              </w:rPr>
              <w:t>Right answer</w:t>
            </w:r>
          </w:p>
        </w:tc>
        <w:tc>
          <w:tcPr>
            <w:tcW w:w="3058" w:type="dxa"/>
            <w:gridSpan w:val="2"/>
            <w:tcBorders>
              <w:top w:val="single" w:sz="4" w:space="0" w:color="auto"/>
              <w:bottom w:val="single" w:sz="4" w:space="0" w:color="auto"/>
            </w:tcBorders>
            <w:vAlign w:val="center"/>
          </w:tcPr>
          <w:p w14:paraId="29998FBA"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Frequency (n)</w:t>
            </w:r>
          </w:p>
          <w:p w14:paraId="5E522A4C"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 xml:space="preserve"> Percent (%)</w:t>
            </w:r>
          </w:p>
        </w:tc>
      </w:tr>
      <w:tr w:rsidR="00084A63" w:rsidRPr="00C6358B" w14:paraId="5FD6037A" w14:textId="77777777">
        <w:trPr>
          <w:trHeight w:val="636"/>
        </w:trPr>
        <w:tc>
          <w:tcPr>
            <w:tcW w:w="4190" w:type="dxa"/>
            <w:vMerge/>
            <w:tcBorders>
              <w:bottom w:val="single" w:sz="4" w:space="0" w:color="auto"/>
            </w:tcBorders>
          </w:tcPr>
          <w:p w14:paraId="64B99347" w14:textId="77777777" w:rsidR="00084A63" w:rsidRPr="00C6358B" w:rsidRDefault="00084A63">
            <w:pPr>
              <w:spacing w:after="0" w:line="240" w:lineRule="auto"/>
              <w:rPr>
                <w:rFonts w:eastAsia="Calibri" w:cs="Times New Roman"/>
                <w:b/>
                <w:kern w:val="0"/>
                <w14:ligatures w14:val="none"/>
              </w:rPr>
            </w:pPr>
          </w:p>
        </w:tc>
        <w:tc>
          <w:tcPr>
            <w:tcW w:w="1577" w:type="dxa"/>
            <w:vMerge/>
            <w:tcBorders>
              <w:bottom w:val="single" w:sz="4" w:space="0" w:color="auto"/>
            </w:tcBorders>
          </w:tcPr>
          <w:p w14:paraId="3E53E83B" w14:textId="77777777" w:rsidR="00084A63" w:rsidRPr="00C6358B" w:rsidRDefault="00084A63">
            <w:pPr>
              <w:spacing w:after="0" w:line="240" w:lineRule="auto"/>
              <w:rPr>
                <w:rFonts w:eastAsia="Calibri" w:cs="Times New Roman"/>
                <w:b/>
                <w:kern w:val="0"/>
                <w14:ligatures w14:val="none"/>
              </w:rPr>
            </w:pPr>
          </w:p>
        </w:tc>
        <w:tc>
          <w:tcPr>
            <w:tcW w:w="1417" w:type="dxa"/>
            <w:tcBorders>
              <w:top w:val="single" w:sz="4" w:space="0" w:color="auto"/>
              <w:bottom w:val="single" w:sz="4" w:space="0" w:color="auto"/>
            </w:tcBorders>
          </w:tcPr>
          <w:p w14:paraId="3400E651" w14:textId="77777777" w:rsidR="00084A63" w:rsidRPr="00C6358B" w:rsidRDefault="00083BFB">
            <w:pPr>
              <w:spacing w:after="0" w:line="276" w:lineRule="auto"/>
              <w:rPr>
                <w:rFonts w:eastAsia="Calibri" w:cs="Times New Roman"/>
                <w:b/>
                <w:kern w:val="0"/>
                <w14:ligatures w14:val="none"/>
              </w:rPr>
            </w:pPr>
            <w:r w:rsidRPr="00C6358B">
              <w:rPr>
                <w:rFonts w:eastAsia="Calibri" w:cs="Times New Roman"/>
                <w:b/>
                <w:kern w:val="0"/>
                <w14:ligatures w14:val="none"/>
              </w:rPr>
              <w:t>Correct</w:t>
            </w:r>
          </w:p>
          <w:p w14:paraId="219084D3" w14:textId="77777777" w:rsidR="00084A63" w:rsidRPr="00C6358B" w:rsidRDefault="00083BFB">
            <w:pPr>
              <w:spacing w:after="0" w:line="276" w:lineRule="auto"/>
              <w:rPr>
                <w:rFonts w:eastAsia="Calibri" w:cs="Times New Roman"/>
                <w:b/>
                <w:kern w:val="0"/>
                <w14:ligatures w14:val="none"/>
              </w:rPr>
            </w:pPr>
            <w:r w:rsidRPr="00C6358B">
              <w:rPr>
                <w:rFonts w:eastAsia="Calibri" w:cs="Times New Roman"/>
                <w:b/>
                <w:kern w:val="0"/>
                <w14:ligatures w14:val="none"/>
              </w:rPr>
              <w:t>responses</w:t>
            </w:r>
          </w:p>
        </w:tc>
        <w:tc>
          <w:tcPr>
            <w:tcW w:w="1641" w:type="dxa"/>
            <w:tcBorders>
              <w:top w:val="single" w:sz="4" w:space="0" w:color="auto"/>
              <w:bottom w:val="single" w:sz="4" w:space="0" w:color="auto"/>
            </w:tcBorders>
          </w:tcPr>
          <w:p w14:paraId="40444C7F" w14:textId="77777777" w:rsidR="00084A63" w:rsidRPr="00C6358B" w:rsidRDefault="00083BFB">
            <w:pPr>
              <w:spacing w:after="0" w:line="276" w:lineRule="auto"/>
              <w:rPr>
                <w:rFonts w:eastAsia="Calibri" w:cs="Times New Roman"/>
                <w:b/>
                <w:kern w:val="0"/>
                <w14:ligatures w14:val="none"/>
              </w:rPr>
            </w:pPr>
            <w:r w:rsidRPr="00C6358B">
              <w:rPr>
                <w:rFonts w:eastAsia="Calibri" w:cs="Times New Roman"/>
                <w:b/>
                <w:kern w:val="0"/>
                <w14:ligatures w14:val="none"/>
              </w:rPr>
              <w:t xml:space="preserve">Incorrect </w:t>
            </w:r>
          </w:p>
          <w:p w14:paraId="173786AC" w14:textId="77777777" w:rsidR="00084A63" w:rsidRPr="00C6358B" w:rsidRDefault="00083BFB">
            <w:pPr>
              <w:spacing w:after="0" w:line="276" w:lineRule="auto"/>
              <w:rPr>
                <w:rFonts w:eastAsia="Calibri" w:cs="Times New Roman"/>
                <w:b/>
                <w:kern w:val="0"/>
                <w14:ligatures w14:val="none"/>
              </w:rPr>
            </w:pPr>
            <w:r w:rsidRPr="00C6358B">
              <w:rPr>
                <w:rFonts w:eastAsia="Calibri" w:cs="Times New Roman"/>
                <w:b/>
                <w:kern w:val="0"/>
                <w14:ligatures w14:val="none"/>
              </w:rPr>
              <w:t>responses</w:t>
            </w:r>
          </w:p>
        </w:tc>
      </w:tr>
      <w:tr w:rsidR="00084A63" w:rsidRPr="00C6358B" w14:paraId="763E0F32" w14:textId="77777777">
        <w:trPr>
          <w:trHeight w:val="636"/>
        </w:trPr>
        <w:tc>
          <w:tcPr>
            <w:tcW w:w="4190" w:type="dxa"/>
            <w:tcBorders>
              <w:top w:val="single" w:sz="4" w:space="0" w:color="auto"/>
            </w:tcBorders>
          </w:tcPr>
          <w:p w14:paraId="30505901" w14:textId="77777777" w:rsidR="00084A63" w:rsidRPr="00C6358B" w:rsidRDefault="00083BFB">
            <w:pPr>
              <w:spacing w:after="200" w:line="240" w:lineRule="auto"/>
              <w:jc w:val="left"/>
              <w:rPr>
                <w:rFonts w:eastAsia="Calibri" w:cs="Times New Roman"/>
                <w:b/>
                <w:kern w:val="0"/>
                <w14:ligatures w14:val="none"/>
              </w:rPr>
            </w:pPr>
            <w:r w:rsidRPr="00C6358B">
              <w:rPr>
                <w:rFonts w:eastAsia="Calibri" w:cs="Times New Roman"/>
                <w:kern w:val="0"/>
                <w14:ligatures w14:val="none"/>
              </w:rPr>
              <w:t>HPV vaccines protect against all strains of HPV</w:t>
            </w:r>
          </w:p>
        </w:tc>
        <w:tc>
          <w:tcPr>
            <w:tcW w:w="1577" w:type="dxa"/>
            <w:tcBorders>
              <w:top w:val="single" w:sz="4" w:space="0" w:color="auto"/>
            </w:tcBorders>
          </w:tcPr>
          <w:p w14:paraId="1573549B"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Borders>
              <w:top w:val="single" w:sz="4" w:space="0" w:color="auto"/>
            </w:tcBorders>
          </w:tcPr>
          <w:p w14:paraId="04817E9A"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90(59.0)</w:t>
            </w:r>
          </w:p>
        </w:tc>
        <w:tc>
          <w:tcPr>
            <w:tcW w:w="1641" w:type="dxa"/>
            <w:tcBorders>
              <w:top w:val="single" w:sz="4" w:space="0" w:color="auto"/>
            </w:tcBorders>
          </w:tcPr>
          <w:p w14:paraId="76E28793"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62(41.0)</w:t>
            </w:r>
          </w:p>
        </w:tc>
      </w:tr>
      <w:tr w:rsidR="00084A63" w:rsidRPr="00C6358B" w14:paraId="7B1DEB63" w14:textId="77777777">
        <w:trPr>
          <w:trHeight w:val="636"/>
        </w:trPr>
        <w:tc>
          <w:tcPr>
            <w:tcW w:w="4190" w:type="dxa"/>
          </w:tcPr>
          <w:p w14:paraId="45D9EEF8" w14:textId="77777777" w:rsidR="00084A63" w:rsidRPr="00C6358B" w:rsidRDefault="00083BFB">
            <w:pPr>
              <w:spacing w:after="200" w:line="240" w:lineRule="auto"/>
              <w:jc w:val="left"/>
              <w:rPr>
                <w:rFonts w:eastAsia="Calibri" w:cs="Times New Roman"/>
                <w:bCs/>
                <w:kern w:val="0"/>
                <w14:ligatures w14:val="none"/>
              </w:rPr>
            </w:pPr>
            <w:r w:rsidRPr="00C6358B">
              <w:rPr>
                <w:rFonts w:eastAsia="Calibri" w:cs="Times New Roman"/>
                <w:kern w:val="0"/>
                <w14:ligatures w14:val="none"/>
              </w:rPr>
              <w:t>HPV vaccine is for females only</w:t>
            </w:r>
          </w:p>
        </w:tc>
        <w:tc>
          <w:tcPr>
            <w:tcW w:w="1577" w:type="dxa"/>
          </w:tcPr>
          <w:p w14:paraId="54B17908"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377D190C"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99(65.0)</w:t>
            </w:r>
          </w:p>
        </w:tc>
        <w:tc>
          <w:tcPr>
            <w:tcW w:w="1641" w:type="dxa"/>
          </w:tcPr>
          <w:p w14:paraId="5536C5D6"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53(35.0)</w:t>
            </w:r>
          </w:p>
        </w:tc>
      </w:tr>
      <w:tr w:rsidR="00084A63" w:rsidRPr="00C6358B" w14:paraId="05EDAD88" w14:textId="77777777">
        <w:trPr>
          <w:trHeight w:val="636"/>
        </w:trPr>
        <w:tc>
          <w:tcPr>
            <w:tcW w:w="4190" w:type="dxa"/>
          </w:tcPr>
          <w:p w14:paraId="45DC3864" w14:textId="77777777" w:rsidR="00084A63" w:rsidRPr="00C6358B" w:rsidRDefault="00083BFB">
            <w:pPr>
              <w:spacing w:after="200" w:line="240" w:lineRule="auto"/>
              <w:jc w:val="left"/>
              <w:rPr>
                <w:rFonts w:eastAsia="Calibri" w:cs="Times New Roman"/>
                <w:bCs/>
                <w:kern w:val="0"/>
                <w14:ligatures w14:val="none"/>
              </w:rPr>
            </w:pPr>
            <w:r w:rsidRPr="00C6358B">
              <w:rPr>
                <w:rFonts w:eastAsia="Calibri" w:cs="Times New Roman"/>
                <w:kern w:val="0"/>
                <w14:ligatures w14:val="none"/>
              </w:rPr>
              <w:t>HPV vaccine can be given to a person less than 15years of age</w:t>
            </w:r>
          </w:p>
        </w:tc>
        <w:tc>
          <w:tcPr>
            <w:tcW w:w="1577" w:type="dxa"/>
          </w:tcPr>
          <w:p w14:paraId="2C6C1EE2"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TRUE</w:t>
            </w:r>
          </w:p>
        </w:tc>
        <w:tc>
          <w:tcPr>
            <w:tcW w:w="1417" w:type="dxa"/>
          </w:tcPr>
          <w:p w14:paraId="4AE993AD"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71(47.0)</w:t>
            </w:r>
          </w:p>
        </w:tc>
        <w:tc>
          <w:tcPr>
            <w:tcW w:w="1641" w:type="dxa"/>
          </w:tcPr>
          <w:p w14:paraId="7DD329F0"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107(60.0)</w:t>
            </w:r>
          </w:p>
        </w:tc>
      </w:tr>
      <w:tr w:rsidR="00084A63" w:rsidRPr="00C6358B" w14:paraId="2E721E5F" w14:textId="77777777">
        <w:trPr>
          <w:trHeight w:val="636"/>
        </w:trPr>
        <w:tc>
          <w:tcPr>
            <w:tcW w:w="4190" w:type="dxa"/>
          </w:tcPr>
          <w:p w14:paraId="0A26F5E7" w14:textId="77777777" w:rsidR="00084A63" w:rsidRPr="00C6358B" w:rsidRDefault="00083BFB">
            <w:pPr>
              <w:spacing w:after="200" w:line="240" w:lineRule="auto"/>
              <w:jc w:val="left"/>
              <w:rPr>
                <w:rFonts w:eastAsia="Calibri" w:cs="Times New Roman"/>
                <w:bCs/>
                <w:kern w:val="0"/>
                <w14:ligatures w14:val="none"/>
              </w:rPr>
            </w:pPr>
            <w:r w:rsidRPr="00C6358B">
              <w:rPr>
                <w:rFonts w:eastAsia="Calibri" w:cs="Times New Roman"/>
                <w:kern w:val="0"/>
                <w14:ligatures w14:val="none"/>
              </w:rPr>
              <w:t>HPV vaccine can be effective even when a person is infected with HPV</w:t>
            </w:r>
          </w:p>
        </w:tc>
        <w:tc>
          <w:tcPr>
            <w:tcW w:w="1577" w:type="dxa"/>
          </w:tcPr>
          <w:p w14:paraId="13B45AF0"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09116FA0"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131(86.0)</w:t>
            </w:r>
          </w:p>
        </w:tc>
        <w:tc>
          <w:tcPr>
            <w:tcW w:w="1641" w:type="dxa"/>
          </w:tcPr>
          <w:p w14:paraId="7CF3F6B5"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21(14.0)</w:t>
            </w:r>
          </w:p>
        </w:tc>
      </w:tr>
      <w:tr w:rsidR="00084A63" w:rsidRPr="00C6358B" w14:paraId="291A687A" w14:textId="77777777">
        <w:trPr>
          <w:trHeight w:val="636"/>
        </w:trPr>
        <w:tc>
          <w:tcPr>
            <w:tcW w:w="4190" w:type="dxa"/>
          </w:tcPr>
          <w:p w14:paraId="6B03F395" w14:textId="77777777" w:rsidR="00084A63" w:rsidRPr="00C6358B" w:rsidRDefault="00083BFB">
            <w:pPr>
              <w:spacing w:after="200" w:line="240" w:lineRule="auto"/>
              <w:jc w:val="left"/>
              <w:rPr>
                <w:rFonts w:eastAsia="Calibri" w:cs="Times New Roman"/>
                <w:bCs/>
                <w:kern w:val="0"/>
                <w14:ligatures w14:val="none"/>
              </w:rPr>
            </w:pPr>
            <w:r w:rsidRPr="00C6358B">
              <w:rPr>
                <w:rFonts w:eastAsia="Calibri" w:cs="Times New Roman"/>
                <w:kern w:val="0"/>
                <w14:ligatures w14:val="none"/>
              </w:rPr>
              <w:t>Only sexually active persons should take the HPV vaccine</w:t>
            </w:r>
          </w:p>
        </w:tc>
        <w:tc>
          <w:tcPr>
            <w:tcW w:w="1577" w:type="dxa"/>
          </w:tcPr>
          <w:p w14:paraId="11A48980"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703BBC67"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132(87.0)</w:t>
            </w:r>
          </w:p>
        </w:tc>
        <w:tc>
          <w:tcPr>
            <w:tcW w:w="1641" w:type="dxa"/>
          </w:tcPr>
          <w:p w14:paraId="3EB7B181"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20(13.0)</w:t>
            </w:r>
          </w:p>
        </w:tc>
      </w:tr>
      <w:tr w:rsidR="00084A63" w:rsidRPr="00C6358B" w14:paraId="7676269A" w14:textId="77777777">
        <w:trPr>
          <w:trHeight w:val="636"/>
        </w:trPr>
        <w:tc>
          <w:tcPr>
            <w:tcW w:w="4190" w:type="dxa"/>
          </w:tcPr>
          <w:p w14:paraId="7526D254" w14:textId="77777777" w:rsidR="00084A63" w:rsidRPr="00C6358B" w:rsidRDefault="00083BFB">
            <w:pPr>
              <w:spacing w:after="200" w:line="240" w:lineRule="auto"/>
              <w:jc w:val="left"/>
              <w:rPr>
                <w:rFonts w:eastAsia="Calibri" w:cs="Times New Roman"/>
                <w:b/>
                <w:kern w:val="0"/>
                <w14:ligatures w14:val="none"/>
              </w:rPr>
            </w:pPr>
            <w:r w:rsidRPr="00C6358B">
              <w:rPr>
                <w:rFonts w:eastAsia="Calibri" w:cs="Times New Roman"/>
                <w:kern w:val="0"/>
                <w14:ligatures w14:val="none"/>
              </w:rPr>
              <w:t>HPV vaccine can cause Cancer</w:t>
            </w:r>
          </w:p>
        </w:tc>
        <w:tc>
          <w:tcPr>
            <w:tcW w:w="1577" w:type="dxa"/>
          </w:tcPr>
          <w:p w14:paraId="6D5FE1B1"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126222D6"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146(98.0)</w:t>
            </w:r>
          </w:p>
        </w:tc>
        <w:tc>
          <w:tcPr>
            <w:tcW w:w="1641" w:type="dxa"/>
          </w:tcPr>
          <w:p w14:paraId="59DF35FF"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6(4.0)</w:t>
            </w:r>
          </w:p>
        </w:tc>
      </w:tr>
      <w:tr w:rsidR="00084A63" w:rsidRPr="00C6358B" w14:paraId="467D892F" w14:textId="77777777">
        <w:trPr>
          <w:trHeight w:val="636"/>
        </w:trPr>
        <w:tc>
          <w:tcPr>
            <w:tcW w:w="4190" w:type="dxa"/>
          </w:tcPr>
          <w:p w14:paraId="2DB3D556" w14:textId="77777777" w:rsidR="00084A63" w:rsidRPr="00C6358B" w:rsidRDefault="00083BFB">
            <w:pPr>
              <w:spacing w:after="200" w:line="240" w:lineRule="auto"/>
              <w:jc w:val="left"/>
              <w:rPr>
                <w:rFonts w:eastAsia="Calibri" w:cs="Times New Roman"/>
                <w:b/>
                <w:kern w:val="0"/>
                <w14:ligatures w14:val="none"/>
              </w:rPr>
            </w:pPr>
            <w:r w:rsidRPr="00C6358B">
              <w:rPr>
                <w:rFonts w:eastAsia="Calibri" w:cs="Times New Roman"/>
                <w:kern w:val="0"/>
                <w14:ligatures w14:val="none"/>
              </w:rPr>
              <w:t>HPV vaccine can cause HPV infection</w:t>
            </w:r>
          </w:p>
        </w:tc>
        <w:tc>
          <w:tcPr>
            <w:tcW w:w="1577" w:type="dxa"/>
          </w:tcPr>
          <w:p w14:paraId="670C1397"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55586F68"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149(98.0)</w:t>
            </w:r>
          </w:p>
        </w:tc>
        <w:tc>
          <w:tcPr>
            <w:tcW w:w="1641" w:type="dxa"/>
          </w:tcPr>
          <w:p w14:paraId="3CB6C3AB"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3(2.0)</w:t>
            </w:r>
          </w:p>
        </w:tc>
      </w:tr>
      <w:tr w:rsidR="00084A63" w:rsidRPr="00C6358B" w14:paraId="108CE398" w14:textId="77777777">
        <w:trPr>
          <w:trHeight w:val="636"/>
        </w:trPr>
        <w:tc>
          <w:tcPr>
            <w:tcW w:w="4190" w:type="dxa"/>
            <w:tcBorders>
              <w:bottom w:val="single" w:sz="4" w:space="0" w:color="auto"/>
            </w:tcBorders>
          </w:tcPr>
          <w:p w14:paraId="5904A38B" w14:textId="77777777" w:rsidR="00084A63" w:rsidRPr="00C6358B" w:rsidRDefault="00083BFB">
            <w:pPr>
              <w:spacing w:after="200" w:line="240" w:lineRule="auto"/>
              <w:jc w:val="left"/>
              <w:rPr>
                <w:rFonts w:eastAsia="Calibri" w:cs="Times New Roman"/>
                <w:bCs/>
                <w:kern w:val="0"/>
                <w14:ligatures w14:val="none"/>
              </w:rPr>
            </w:pPr>
            <w:r w:rsidRPr="00C6358B">
              <w:rPr>
                <w:rFonts w:eastAsia="Calibri" w:cs="Times New Roman"/>
                <w:bCs/>
                <w:kern w:val="0"/>
                <w14:ligatures w14:val="none"/>
              </w:rPr>
              <w:t>HPV vaccine protects against other Sexually Transmitted diseases (STDs)</w:t>
            </w:r>
          </w:p>
        </w:tc>
        <w:tc>
          <w:tcPr>
            <w:tcW w:w="1577" w:type="dxa"/>
            <w:tcBorders>
              <w:bottom w:val="single" w:sz="4" w:space="0" w:color="auto"/>
            </w:tcBorders>
          </w:tcPr>
          <w:p w14:paraId="2202F2AD"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Borders>
              <w:bottom w:val="single" w:sz="4" w:space="0" w:color="auto"/>
            </w:tcBorders>
          </w:tcPr>
          <w:p w14:paraId="66248EE4"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141(93.0)</w:t>
            </w:r>
          </w:p>
        </w:tc>
        <w:tc>
          <w:tcPr>
            <w:tcW w:w="1641" w:type="dxa"/>
            <w:tcBorders>
              <w:bottom w:val="single" w:sz="4" w:space="0" w:color="auto"/>
            </w:tcBorders>
          </w:tcPr>
          <w:p w14:paraId="238ABBF0" w14:textId="77777777" w:rsidR="00084A63" w:rsidRPr="00C6358B" w:rsidRDefault="00083BFB">
            <w:pPr>
              <w:spacing w:after="200" w:line="240" w:lineRule="auto"/>
              <w:rPr>
                <w:rFonts w:eastAsia="Calibri" w:cs="Times New Roman"/>
                <w:b/>
                <w:kern w:val="0"/>
                <w14:ligatures w14:val="none"/>
              </w:rPr>
            </w:pPr>
            <w:r w:rsidRPr="00C6358B">
              <w:rPr>
                <w:rFonts w:eastAsia="Calibri" w:cs="Times New Roman"/>
                <w:b/>
                <w:kern w:val="0"/>
                <w14:ligatures w14:val="none"/>
              </w:rPr>
              <w:t>11(6.0)</w:t>
            </w:r>
          </w:p>
        </w:tc>
      </w:tr>
      <w:bookmarkEnd w:id="6"/>
    </w:tbl>
    <w:p w14:paraId="0803F2F9" w14:textId="77777777" w:rsidR="00084A63" w:rsidRPr="00C6358B" w:rsidRDefault="00084A63">
      <w:pPr>
        <w:spacing w:after="200" w:line="240" w:lineRule="auto"/>
        <w:rPr>
          <w:rFonts w:eastAsia="Calibri" w:cs="Times New Roman"/>
          <w:kern w:val="0"/>
          <w:lang w:val="en-GB"/>
          <w14:ligatures w14:val="none"/>
        </w:rPr>
        <w:sectPr w:rsidR="00084A63" w:rsidRPr="00C6358B">
          <w:pgSz w:w="11906" w:h="16838"/>
          <w:pgMar w:top="1440" w:right="1440" w:bottom="1440" w:left="1440" w:header="720" w:footer="720" w:gutter="0"/>
          <w:cols w:space="720"/>
          <w:docGrid w:linePitch="360"/>
        </w:sectPr>
      </w:pPr>
    </w:p>
    <w:p w14:paraId="0767B953" w14:textId="77777777" w:rsidR="00084A63" w:rsidRPr="00C6358B" w:rsidRDefault="00084A63">
      <w:pPr>
        <w:spacing w:after="200" w:line="240" w:lineRule="auto"/>
        <w:rPr>
          <w:rFonts w:eastAsia="Calibri" w:cs="Times New Roman"/>
          <w:kern w:val="0"/>
          <w14:ligatures w14:val="none"/>
        </w:rPr>
      </w:pPr>
    </w:p>
    <w:p w14:paraId="313D59AE" w14:textId="77777777" w:rsidR="00084A63" w:rsidRPr="00C6358B" w:rsidRDefault="00083BFB">
      <w:pPr>
        <w:spacing w:after="200" w:line="240" w:lineRule="auto"/>
        <w:ind w:hanging="720"/>
        <w:jc w:val="center"/>
        <w:rPr>
          <w:rFonts w:eastAsia="Calibri" w:cs="Times New Roman"/>
          <w:kern w:val="0"/>
          <w14:ligatures w14:val="none"/>
        </w:rPr>
      </w:pPr>
      <w:r w:rsidRPr="00C6358B">
        <w:rPr>
          <w:rFonts w:cs="Times New Roman"/>
          <w:noProof/>
        </w:rPr>
        <w:drawing>
          <wp:inline distT="0" distB="0" distL="0" distR="0" wp14:anchorId="414682B5" wp14:editId="60D6933B">
            <wp:extent cx="6705600" cy="4157980"/>
            <wp:effectExtent l="0" t="0" r="0" b="0"/>
            <wp:docPr id="16977167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A6285A" w14:textId="77777777" w:rsidR="00084A63" w:rsidRPr="00C6358B" w:rsidRDefault="00083BFB">
      <w:pPr>
        <w:pStyle w:val="Heading3"/>
        <w:rPr>
          <w:rFonts w:eastAsia="Calibri" w:cs="Times New Roman"/>
        </w:rPr>
        <w:sectPr w:rsidR="00084A63" w:rsidRPr="00C6358B">
          <w:pgSz w:w="11906" w:h="16838"/>
          <w:pgMar w:top="1440" w:right="1440" w:bottom="1440" w:left="1440" w:header="720" w:footer="720" w:gutter="0"/>
          <w:cols w:space="720"/>
          <w:docGrid w:linePitch="360"/>
        </w:sectPr>
      </w:pPr>
      <w:r w:rsidRPr="00C6358B">
        <w:rPr>
          <w:rFonts w:eastAsia="Calibri" w:cs="Times New Roman"/>
        </w:rPr>
        <w:t xml:space="preserve">Figure </w:t>
      </w:r>
      <w:r w:rsidRPr="00C6358B">
        <w:rPr>
          <w:rFonts w:eastAsia="Calibri" w:cs="Times New Roman"/>
        </w:rPr>
        <w:t>2: Attitude towards HPV Vaccine</w:t>
      </w:r>
    </w:p>
    <w:p w14:paraId="1666CAC2" w14:textId="77777777" w:rsidR="00084A63" w:rsidRPr="00C6358B" w:rsidRDefault="00084A63">
      <w:pPr>
        <w:spacing w:after="200" w:line="240" w:lineRule="auto"/>
        <w:rPr>
          <w:rFonts w:eastAsia="Calibri" w:cs="Times New Roman"/>
          <w:kern w:val="0"/>
          <w:lang w:val="en-GB"/>
          <w14:ligatures w14:val="none"/>
        </w:rPr>
      </w:pPr>
    </w:p>
    <w:p w14:paraId="3AC3B37D" w14:textId="77777777" w:rsidR="00084A63" w:rsidRPr="00C6358B" w:rsidRDefault="00084A63">
      <w:pPr>
        <w:rPr>
          <w:rFonts w:cs="Times New Roman"/>
          <w:lang w:val="en-GB"/>
        </w:rPr>
      </w:pPr>
    </w:p>
    <w:p w14:paraId="5D8C37F6" w14:textId="77777777" w:rsidR="00084A63" w:rsidRPr="00C6358B" w:rsidRDefault="00084A63">
      <w:pPr>
        <w:rPr>
          <w:rFonts w:cs="Times New Roman"/>
          <w:lang w:val="en-GB"/>
        </w:rPr>
      </w:pPr>
    </w:p>
    <w:p w14:paraId="4B4D95F9" w14:textId="77777777" w:rsidR="00084A63" w:rsidRPr="00C6358B" w:rsidRDefault="00083BFB">
      <w:pPr>
        <w:keepNext/>
        <w:spacing w:after="200" w:line="240" w:lineRule="auto"/>
        <w:rPr>
          <w:rFonts w:eastAsia="Calibri" w:cs="Times New Roman"/>
          <w:kern w:val="0"/>
          <w14:ligatures w14:val="none"/>
        </w:rPr>
      </w:pPr>
      <w:r w:rsidRPr="00C6358B">
        <w:rPr>
          <w:rFonts w:cs="Times New Roman"/>
          <w:noProof/>
        </w:rPr>
        <w:drawing>
          <wp:inline distT="0" distB="0" distL="0" distR="0" wp14:anchorId="35764E90" wp14:editId="16B0B492">
            <wp:extent cx="4923155" cy="3415030"/>
            <wp:effectExtent l="0" t="0" r="10795" b="13970"/>
            <wp:docPr id="20672129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7F6046"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r w:rsidRPr="00C6358B">
        <w:rPr>
          <w:rFonts w:eastAsia="Calibri" w:cs="Times New Roman"/>
          <w:b/>
          <w:kern w:val="0"/>
          <w:lang w:val="en-GB"/>
          <w14:ligatures w14:val="none"/>
        </w:rPr>
        <w:t>Figure 3: Uptake of HPV Vaccine</w:t>
      </w:r>
    </w:p>
    <w:p w14:paraId="5EFA81AC" w14:textId="77777777" w:rsidR="00084A63" w:rsidRPr="00C6358B" w:rsidRDefault="00084A63">
      <w:pPr>
        <w:rPr>
          <w:rFonts w:cs="Times New Roman"/>
          <w:lang w:val="en-GB"/>
        </w:rPr>
      </w:pPr>
    </w:p>
    <w:p w14:paraId="5308C313" w14:textId="77777777" w:rsidR="00084A63" w:rsidRPr="00C6358B" w:rsidRDefault="00084A63">
      <w:pPr>
        <w:rPr>
          <w:rFonts w:cs="Times New Roman"/>
          <w:lang w:val="en-GB"/>
        </w:rPr>
      </w:pPr>
    </w:p>
    <w:p w14:paraId="4564749F" w14:textId="77777777" w:rsidR="00084A63" w:rsidRPr="00C6358B" w:rsidRDefault="00084A63">
      <w:pPr>
        <w:rPr>
          <w:rFonts w:cs="Times New Roman"/>
          <w:lang w:val="en-GB"/>
        </w:rPr>
        <w:sectPr w:rsidR="00084A63" w:rsidRPr="00C6358B">
          <w:pgSz w:w="11906" w:h="16838"/>
          <w:pgMar w:top="1440" w:right="1440" w:bottom="1440" w:left="1440" w:header="720" w:footer="720" w:gutter="0"/>
          <w:cols w:space="720"/>
          <w:docGrid w:linePitch="360"/>
        </w:sectPr>
      </w:pPr>
    </w:p>
    <w:p w14:paraId="5A793D3E"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r w:rsidRPr="00C6358B">
        <w:rPr>
          <w:rFonts w:eastAsia="Calibri" w:cs="Times New Roman"/>
          <w:b/>
          <w:kern w:val="0"/>
          <w:lang w:val="en-GB"/>
          <w14:ligatures w14:val="none"/>
        </w:rPr>
        <w:lastRenderedPageBreak/>
        <w:t xml:space="preserve">Table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Table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3</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xml:space="preserve">: </w:t>
      </w:r>
      <w:r w:rsidRPr="00C6358B">
        <w:rPr>
          <w:rFonts w:eastAsia="Calibri" w:cs="Times New Roman"/>
          <w:b/>
          <w:color w:val="000000" w:themeColor="text1"/>
          <w:kern w:val="0"/>
          <w:lang w:val="en-GB"/>
          <w14:ligatures w14:val="none"/>
        </w:rPr>
        <w:t xml:space="preserve">Characteristics of Cervical cancer vaccine uptake </w:t>
      </w:r>
    </w:p>
    <w:tbl>
      <w:tblPr>
        <w:tblStyle w:val="TableGrid"/>
        <w:tblW w:w="89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1703"/>
        <w:gridCol w:w="1793"/>
      </w:tblGrid>
      <w:tr w:rsidR="00084A63" w:rsidRPr="00C6358B" w14:paraId="350C5C3E" w14:textId="77777777">
        <w:trPr>
          <w:trHeight w:val="633"/>
        </w:trPr>
        <w:tc>
          <w:tcPr>
            <w:tcW w:w="5472" w:type="dxa"/>
            <w:tcBorders>
              <w:top w:val="single" w:sz="4" w:space="0" w:color="auto"/>
              <w:bottom w:val="single" w:sz="4" w:space="0" w:color="auto"/>
            </w:tcBorders>
            <w:vAlign w:val="center"/>
          </w:tcPr>
          <w:p w14:paraId="782F6736" w14:textId="77777777" w:rsidR="00084A63" w:rsidRPr="00C6358B" w:rsidRDefault="00083BFB">
            <w:pPr>
              <w:spacing w:after="0" w:line="240" w:lineRule="auto"/>
              <w:jc w:val="left"/>
              <w:rPr>
                <w:rFonts w:eastAsia="Calibri" w:cs="Times New Roman"/>
                <w:b/>
                <w:kern w:val="0"/>
                <w14:ligatures w14:val="none"/>
              </w:rPr>
            </w:pPr>
            <w:r w:rsidRPr="00C6358B">
              <w:rPr>
                <w:rFonts w:eastAsia="Calibri" w:cs="Times New Roman"/>
                <w:b/>
                <w:kern w:val="0"/>
                <w14:ligatures w14:val="none"/>
              </w:rPr>
              <w:t>Variables</w:t>
            </w:r>
          </w:p>
        </w:tc>
        <w:tc>
          <w:tcPr>
            <w:tcW w:w="1703" w:type="dxa"/>
            <w:tcBorders>
              <w:top w:val="single" w:sz="4" w:space="0" w:color="auto"/>
              <w:bottom w:val="single" w:sz="4" w:space="0" w:color="auto"/>
            </w:tcBorders>
            <w:vAlign w:val="center"/>
          </w:tcPr>
          <w:p w14:paraId="4D976DD7" w14:textId="77777777" w:rsidR="00084A63" w:rsidRPr="00C6358B" w:rsidRDefault="00083BFB">
            <w:pPr>
              <w:spacing w:after="0" w:line="276" w:lineRule="auto"/>
              <w:jc w:val="center"/>
              <w:rPr>
                <w:rFonts w:eastAsia="Calibri" w:cs="Times New Roman"/>
                <w:b/>
                <w:kern w:val="0"/>
                <w14:ligatures w14:val="none"/>
              </w:rPr>
            </w:pPr>
            <w:r w:rsidRPr="00C6358B">
              <w:rPr>
                <w:rFonts w:eastAsia="Calibri" w:cs="Times New Roman"/>
                <w:b/>
                <w:kern w:val="0"/>
                <w14:ligatures w14:val="none"/>
              </w:rPr>
              <w:t>Frequency (N)</w:t>
            </w:r>
          </w:p>
        </w:tc>
        <w:tc>
          <w:tcPr>
            <w:tcW w:w="1793" w:type="dxa"/>
            <w:tcBorders>
              <w:top w:val="single" w:sz="4" w:space="0" w:color="auto"/>
              <w:bottom w:val="single" w:sz="4" w:space="0" w:color="auto"/>
            </w:tcBorders>
            <w:vAlign w:val="center"/>
          </w:tcPr>
          <w:p w14:paraId="455DA83F" w14:textId="77777777" w:rsidR="00084A63" w:rsidRPr="00C6358B" w:rsidRDefault="00083BFB">
            <w:pPr>
              <w:spacing w:after="0" w:line="276" w:lineRule="auto"/>
              <w:jc w:val="center"/>
              <w:rPr>
                <w:rFonts w:eastAsia="Calibri" w:cs="Times New Roman"/>
                <w:b/>
                <w:kern w:val="0"/>
                <w14:ligatures w14:val="none"/>
              </w:rPr>
            </w:pPr>
            <w:r w:rsidRPr="00C6358B">
              <w:rPr>
                <w:rFonts w:eastAsia="Calibri" w:cs="Times New Roman"/>
                <w:b/>
                <w:kern w:val="0"/>
                <w14:ligatures w14:val="none"/>
              </w:rPr>
              <w:t>Percent %</w:t>
            </w:r>
          </w:p>
        </w:tc>
      </w:tr>
      <w:tr w:rsidR="00084A63" w:rsidRPr="00C6358B" w14:paraId="52B78669" w14:textId="77777777">
        <w:trPr>
          <w:trHeight w:val="633"/>
        </w:trPr>
        <w:tc>
          <w:tcPr>
            <w:tcW w:w="5472" w:type="dxa"/>
            <w:tcBorders>
              <w:top w:val="single" w:sz="4" w:space="0" w:color="auto"/>
            </w:tcBorders>
            <w:vAlign w:val="center"/>
          </w:tcPr>
          <w:p w14:paraId="363B8AD2" w14:textId="77777777" w:rsidR="00084A63" w:rsidRPr="00C6358B" w:rsidRDefault="00083BFB">
            <w:pPr>
              <w:spacing w:after="200" w:line="240" w:lineRule="auto"/>
              <w:jc w:val="left"/>
              <w:rPr>
                <w:rFonts w:eastAsia="Calibri" w:cs="Times New Roman"/>
                <w:b/>
                <w:bCs/>
                <w:kern w:val="0"/>
                <w14:ligatures w14:val="none"/>
              </w:rPr>
            </w:pPr>
            <w:r w:rsidRPr="00C6358B">
              <w:rPr>
                <w:rFonts w:eastAsia="Calibri" w:cs="Times New Roman"/>
                <w:b/>
                <w:bCs/>
                <w:kern w:val="0"/>
                <w14:ligatures w14:val="none"/>
              </w:rPr>
              <w:t>Type of vaccine taken (N=9)</w:t>
            </w:r>
          </w:p>
        </w:tc>
        <w:tc>
          <w:tcPr>
            <w:tcW w:w="1703" w:type="dxa"/>
            <w:tcBorders>
              <w:top w:val="single" w:sz="4" w:space="0" w:color="auto"/>
            </w:tcBorders>
            <w:vAlign w:val="center"/>
          </w:tcPr>
          <w:p w14:paraId="25495B07" w14:textId="77777777" w:rsidR="00084A63" w:rsidRPr="00C6358B" w:rsidRDefault="00084A63">
            <w:pPr>
              <w:spacing w:after="200" w:line="240" w:lineRule="auto"/>
              <w:jc w:val="left"/>
              <w:rPr>
                <w:rFonts w:eastAsia="Calibri" w:cs="Times New Roman"/>
                <w:b/>
                <w:kern w:val="0"/>
                <w14:ligatures w14:val="none"/>
              </w:rPr>
            </w:pPr>
          </w:p>
        </w:tc>
        <w:tc>
          <w:tcPr>
            <w:tcW w:w="1793" w:type="dxa"/>
            <w:tcBorders>
              <w:top w:val="single" w:sz="4" w:space="0" w:color="auto"/>
            </w:tcBorders>
            <w:vAlign w:val="center"/>
          </w:tcPr>
          <w:p w14:paraId="0A35F2FD" w14:textId="77777777" w:rsidR="00084A63" w:rsidRPr="00C6358B" w:rsidRDefault="00084A63">
            <w:pPr>
              <w:spacing w:after="200" w:line="240" w:lineRule="auto"/>
              <w:jc w:val="left"/>
              <w:rPr>
                <w:rFonts w:eastAsia="Calibri" w:cs="Times New Roman"/>
                <w:b/>
                <w:kern w:val="0"/>
                <w14:ligatures w14:val="none"/>
              </w:rPr>
            </w:pPr>
          </w:p>
        </w:tc>
      </w:tr>
      <w:tr w:rsidR="00084A63" w:rsidRPr="00C6358B" w14:paraId="0F57BBBA" w14:textId="77777777">
        <w:trPr>
          <w:trHeight w:val="633"/>
        </w:trPr>
        <w:tc>
          <w:tcPr>
            <w:tcW w:w="5472" w:type="dxa"/>
            <w:vAlign w:val="center"/>
          </w:tcPr>
          <w:p w14:paraId="65AC5451" w14:textId="77777777" w:rsidR="00084A63" w:rsidRPr="00C6358B" w:rsidRDefault="00083BFB">
            <w:pPr>
              <w:spacing w:after="200" w:line="240" w:lineRule="auto"/>
              <w:ind w:firstLine="437"/>
              <w:jc w:val="left"/>
              <w:rPr>
                <w:rFonts w:eastAsia="Calibri" w:cs="Times New Roman"/>
                <w:b/>
                <w:bCs/>
                <w:kern w:val="0"/>
                <w14:ligatures w14:val="none"/>
              </w:rPr>
            </w:pPr>
            <w:r w:rsidRPr="00C6358B">
              <w:rPr>
                <w:rFonts w:eastAsia="Calibri" w:cs="Times New Roman"/>
                <w:kern w:val="0"/>
                <w14:ligatures w14:val="none"/>
              </w:rPr>
              <w:t>Bivalent (</w:t>
            </w:r>
            <w:proofErr w:type="spellStart"/>
            <w:r w:rsidRPr="00C6358B">
              <w:rPr>
                <w:rFonts w:eastAsia="Calibri" w:cs="Times New Roman"/>
                <w:kern w:val="0"/>
                <w14:ligatures w14:val="none"/>
              </w:rPr>
              <w:t>Cervarix</w:t>
            </w:r>
            <w:proofErr w:type="spellEnd"/>
            <w:r w:rsidRPr="00C6358B">
              <w:rPr>
                <w:rFonts w:eastAsia="Calibri" w:cs="Times New Roman"/>
                <w:kern w:val="0"/>
                <w14:ligatures w14:val="none"/>
              </w:rPr>
              <w:t>)</w:t>
            </w:r>
          </w:p>
        </w:tc>
        <w:tc>
          <w:tcPr>
            <w:tcW w:w="1703" w:type="dxa"/>
            <w:vAlign w:val="center"/>
          </w:tcPr>
          <w:p w14:paraId="1F2B9007" w14:textId="77777777" w:rsidR="00084A63" w:rsidRPr="00C6358B" w:rsidRDefault="00083BF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6</w:t>
            </w:r>
          </w:p>
        </w:tc>
        <w:tc>
          <w:tcPr>
            <w:tcW w:w="1793" w:type="dxa"/>
            <w:vAlign w:val="center"/>
          </w:tcPr>
          <w:p w14:paraId="654125E5" w14:textId="77777777" w:rsidR="00084A63" w:rsidRPr="00C6358B" w:rsidRDefault="00083BF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67.0</w:t>
            </w:r>
          </w:p>
        </w:tc>
      </w:tr>
      <w:tr w:rsidR="00084A63" w:rsidRPr="00C6358B" w14:paraId="1F65C651" w14:textId="77777777">
        <w:trPr>
          <w:trHeight w:val="633"/>
        </w:trPr>
        <w:tc>
          <w:tcPr>
            <w:tcW w:w="5472" w:type="dxa"/>
            <w:vAlign w:val="center"/>
          </w:tcPr>
          <w:p w14:paraId="33C999E0" w14:textId="77777777" w:rsidR="00084A63" w:rsidRPr="00C6358B" w:rsidRDefault="00083BFB">
            <w:pPr>
              <w:spacing w:after="200" w:line="240" w:lineRule="auto"/>
              <w:ind w:firstLine="437"/>
              <w:jc w:val="left"/>
              <w:rPr>
                <w:rFonts w:eastAsia="Calibri" w:cs="Times New Roman"/>
                <w:b/>
                <w:bCs/>
                <w:kern w:val="0"/>
                <w14:ligatures w14:val="none"/>
              </w:rPr>
            </w:pPr>
            <w:r w:rsidRPr="00C6358B">
              <w:rPr>
                <w:rFonts w:eastAsia="Calibri" w:cs="Times New Roman"/>
                <w:kern w:val="0"/>
                <w14:ligatures w14:val="none"/>
              </w:rPr>
              <w:t>I can't recall the type</w:t>
            </w:r>
          </w:p>
        </w:tc>
        <w:tc>
          <w:tcPr>
            <w:tcW w:w="1703" w:type="dxa"/>
            <w:vAlign w:val="center"/>
          </w:tcPr>
          <w:p w14:paraId="5820EEE8" w14:textId="77777777" w:rsidR="00084A63" w:rsidRPr="00C6358B" w:rsidRDefault="00083BF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2</w:t>
            </w:r>
          </w:p>
        </w:tc>
        <w:tc>
          <w:tcPr>
            <w:tcW w:w="1793" w:type="dxa"/>
            <w:vAlign w:val="center"/>
          </w:tcPr>
          <w:p w14:paraId="027A0D88" w14:textId="77777777" w:rsidR="00084A63" w:rsidRPr="00C6358B" w:rsidRDefault="00083BF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22.0</w:t>
            </w:r>
          </w:p>
        </w:tc>
      </w:tr>
      <w:tr w:rsidR="00084A63" w:rsidRPr="00C6358B" w14:paraId="3683565F" w14:textId="77777777">
        <w:trPr>
          <w:trHeight w:val="633"/>
        </w:trPr>
        <w:tc>
          <w:tcPr>
            <w:tcW w:w="5472" w:type="dxa"/>
            <w:vAlign w:val="center"/>
          </w:tcPr>
          <w:p w14:paraId="1E75D5D7" w14:textId="77777777" w:rsidR="00084A63" w:rsidRPr="00C6358B" w:rsidRDefault="00083BFB">
            <w:pPr>
              <w:spacing w:after="200" w:line="240" w:lineRule="auto"/>
              <w:ind w:firstLine="437"/>
              <w:jc w:val="left"/>
              <w:rPr>
                <w:rFonts w:eastAsia="Calibri" w:cs="Times New Roman"/>
                <w:b/>
                <w:bCs/>
                <w:kern w:val="0"/>
                <w14:ligatures w14:val="none"/>
              </w:rPr>
            </w:pPr>
            <w:r w:rsidRPr="00C6358B">
              <w:rPr>
                <w:rFonts w:eastAsia="Calibri" w:cs="Times New Roman"/>
                <w:kern w:val="0"/>
                <w14:ligatures w14:val="none"/>
              </w:rPr>
              <w:t>Quadrivalent vaccine (Gardasil)</w:t>
            </w:r>
          </w:p>
        </w:tc>
        <w:tc>
          <w:tcPr>
            <w:tcW w:w="1703" w:type="dxa"/>
            <w:vAlign w:val="center"/>
          </w:tcPr>
          <w:p w14:paraId="29995D5E" w14:textId="77777777" w:rsidR="00084A63" w:rsidRPr="00C6358B" w:rsidRDefault="00083BF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1</w:t>
            </w:r>
          </w:p>
        </w:tc>
        <w:tc>
          <w:tcPr>
            <w:tcW w:w="1793" w:type="dxa"/>
            <w:vAlign w:val="center"/>
          </w:tcPr>
          <w:p w14:paraId="7B9FA4D4" w14:textId="77777777" w:rsidR="00084A63" w:rsidRPr="00C6358B" w:rsidRDefault="00083BF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11.0</w:t>
            </w:r>
          </w:p>
        </w:tc>
      </w:tr>
      <w:tr w:rsidR="00084A63" w:rsidRPr="00C6358B" w14:paraId="04E2059A" w14:textId="77777777">
        <w:trPr>
          <w:trHeight w:val="633"/>
        </w:trPr>
        <w:tc>
          <w:tcPr>
            <w:tcW w:w="5472" w:type="dxa"/>
            <w:vAlign w:val="center"/>
          </w:tcPr>
          <w:p w14:paraId="67955001" w14:textId="77777777" w:rsidR="00084A63" w:rsidRPr="00C6358B" w:rsidRDefault="00083BFB">
            <w:pPr>
              <w:spacing w:after="200" w:line="240" w:lineRule="auto"/>
              <w:jc w:val="left"/>
              <w:rPr>
                <w:rFonts w:eastAsia="Calibri" w:cs="Times New Roman"/>
                <w:b/>
                <w:bCs/>
                <w:kern w:val="0"/>
                <w14:ligatures w14:val="none"/>
              </w:rPr>
            </w:pPr>
            <w:r w:rsidRPr="00C6358B">
              <w:rPr>
                <w:rFonts w:eastAsia="Calibri" w:cs="Times New Roman"/>
                <w:b/>
                <w:bCs/>
                <w:kern w:val="0"/>
                <w14:ligatures w14:val="none"/>
              </w:rPr>
              <w:t xml:space="preserve">When was last dose of HPV vaccine taken? </w:t>
            </w:r>
          </w:p>
        </w:tc>
        <w:tc>
          <w:tcPr>
            <w:tcW w:w="1703" w:type="dxa"/>
            <w:vAlign w:val="center"/>
          </w:tcPr>
          <w:p w14:paraId="662B19DE" w14:textId="77777777" w:rsidR="00084A63" w:rsidRPr="00C6358B" w:rsidRDefault="00083BFB">
            <w:pPr>
              <w:spacing w:after="200" w:line="240" w:lineRule="auto"/>
              <w:jc w:val="center"/>
              <w:rPr>
                <w:rFonts w:eastAsia="Calibri" w:cs="Times New Roman"/>
                <w:b/>
                <w:kern w:val="0"/>
                <w14:ligatures w14:val="none"/>
              </w:rPr>
            </w:pPr>
            <w:r w:rsidRPr="00C6358B">
              <w:rPr>
                <w:rFonts w:eastAsia="Calibri" w:cs="Times New Roman"/>
                <w:b/>
                <w:bCs/>
                <w:kern w:val="0"/>
                <w14:ligatures w14:val="none"/>
              </w:rPr>
              <w:t>n=9</w:t>
            </w:r>
          </w:p>
        </w:tc>
        <w:tc>
          <w:tcPr>
            <w:tcW w:w="1793" w:type="dxa"/>
            <w:vAlign w:val="center"/>
          </w:tcPr>
          <w:p w14:paraId="1E8C3BE2" w14:textId="77777777" w:rsidR="00084A63" w:rsidRPr="00C6358B" w:rsidRDefault="00084A63">
            <w:pPr>
              <w:spacing w:after="200" w:line="240" w:lineRule="auto"/>
              <w:jc w:val="left"/>
              <w:rPr>
                <w:rFonts w:eastAsia="Calibri" w:cs="Times New Roman"/>
                <w:b/>
                <w:kern w:val="0"/>
                <w14:ligatures w14:val="none"/>
              </w:rPr>
            </w:pPr>
          </w:p>
        </w:tc>
      </w:tr>
      <w:tr w:rsidR="00084A63" w:rsidRPr="00C6358B" w14:paraId="03AAB141" w14:textId="77777777">
        <w:trPr>
          <w:trHeight w:val="360"/>
        </w:trPr>
        <w:tc>
          <w:tcPr>
            <w:tcW w:w="5472" w:type="dxa"/>
            <w:vAlign w:val="center"/>
          </w:tcPr>
          <w:p w14:paraId="6DFD96C5" w14:textId="77777777" w:rsidR="00084A63" w:rsidRPr="00C6358B" w:rsidRDefault="00083BFB">
            <w:pPr>
              <w:spacing w:after="200" w:line="240" w:lineRule="auto"/>
              <w:ind w:firstLine="352"/>
              <w:jc w:val="left"/>
              <w:rPr>
                <w:rFonts w:eastAsia="Calibri" w:cs="Times New Roman"/>
                <w:kern w:val="0"/>
                <w14:ligatures w14:val="none"/>
              </w:rPr>
            </w:pPr>
            <w:r w:rsidRPr="00C6358B">
              <w:rPr>
                <w:rFonts w:eastAsia="Calibri" w:cs="Times New Roman"/>
                <w:color w:val="000000"/>
                <w:kern w:val="0"/>
                <w14:ligatures w14:val="none"/>
              </w:rPr>
              <w:t>Less than 1year ago</w:t>
            </w:r>
          </w:p>
        </w:tc>
        <w:tc>
          <w:tcPr>
            <w:tcW w:w="1703" w:type="dxa"/>
            <w:vAlign w:val="center"/>
          </w:tcPr>
          <w:p w14:paraId="348DFBC1"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3</w:t>
            </w:r>
          </w:p>
        </w:tc>
        <w:tc>
          <w:tcPr>
            <w:tcW w:w="1793" w:type="dxa"/>
            <w:vAlign w:val="center"/>
          </w:tcPr>
          <w:p w14:paraId="45FFDC13"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33.3</w:t>
            </w:r>
          </w:p>
        </w:tc>
      </w:tr>
      <w:tr w:rsidR="00084A63" w:rsidRPr="00C6358B" w14:paraId="306E25F5" w14:textId="77777777">
        <w:trPr>
          <w:trHeight w:val="360"/>
        </w:trPr>
        <w:tc>
          <w:tcPr>
            <w:tcW w:w="5472" w:type="dxa"/>
            <w:vAlign w:val="center"/>
          </w:tcPr>
          <w:p w14:paraId="465EB0C0" w14:textId="77777777" w:rsidR="00084A63" w:rsidRPr="00C6358B" w:rsidRDefault="00083BFB">
            <w:pPr>
              <w:spacing w:after="200" w:line="240" w:lineRule="auto"/>
              <w:ind w:firstLine="352"/>
              <w:jc w:val="left"/>
              <w:rPr>
                <w:rFonts w:eastAsia="Calibri" w:cs="Times New Roman"/>
                <w:color w:val="000000"/>
                <w:kern w:val="0"/>
                <w14:ligatures w14:val="none"/>
              </w:rPr>
            </w:pPr>
            <w:r w:rsidRPr="00C6358B">
              <w:rPr>
                <w:rFonts w:eastAsia="Calibri" w:cs="Times New Roman"/>
                <w:color w:val="000000"/>
                <w:kern w:val="0"/>
                <w14:ligatures w14:val="none"/>
              </w:rPr>
              <w:t xml:space="preserve">1-2 years </w:t>
            </w:r>
            <w:proofErr w:type="gramStart"/>
            <w:r w:rsidRPr="00C6358B">
              <w:rPr>
                <w:rFonts w:eastAsia="Calibri" w:cs="Times New Roman"/>
                <w:color w:val="000000"/>
                <w:kern w:val="0"/>
                <w14:ligatures w14:val="none"/>
              </w:rPr>
              <w:t>ago</w:t>
            </w:r>
            <w:proofErr w:type="gramEnd"/>
          </w:p>
        </w:tc>
        <w:tc>
          <w:tcPr>
            <w:tcW w:w="1703" w:type="dxa"/>
            <w:vAlign w:val="center"/>
          </w:tcPr>
          <w:p w14:paraId="39AFA10C"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 xml:space="preserve">1 </w:t>
            </w:r>
          </w:p>
        </w:tc>
        <w:tc>
          <w:tcPr>
            <w:tcW w:w="1793" w:type="dxa"/>
            <w:vAlign w:val="center"/>
          </w:tcPr>
          <w:p w14:paraId="21C22766"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11.0</w:t>
            </w:r>
          </w:p>
        </w:tc>
      </w:tr>
      <w:tr w:rsidR="00084A63" w:rsidRPr="00C6358B" w14:paraId="65F8A1FA" w14:textId="77777777">
        <w:trPr>
          <w:trHeight w:val="633"/>
        </w:trPr>
        <w:tc>
          <w:tcPr>
            <w:tcW w:w="5472" w:type="dxa"/>
            <w:vAlign w:val="center"/>
          </w:tcPr>
          <w:p w14:paraId="0CB300CC" w14:textId="77777777" w:rsidR="00084A63" w:rsidRPr="00C6358B" w:rsidRDefault="00083BFB">
            <w:pPr>
              <w:spacing w:after="200" w:line="240" w:lineRule="auto"/>
              <w:ind w:firstLine="352"/>
              <w:jc w:val="left"/>
              <w:rPr>
                <w:rFonts w:eastAsia="Calibri" w:cs="Times New Roman"/>
                <w:kern w:val="0"/>
                <w14:ligatures w14:val="none"/>
              </w:rPr>
            </w:pPr>
            <w:r w:rsidRPr="00C6358B">
              <w:rPr>
                <w:rFonts w:eastAsia="Calibri" w:cs="Times New Roman"/>
                <w:color w:val="000000"/>
                <w:kern w:val="0"/>
                <w14:ligatures w14:val="none"/>
              </w:rPr>
              <w:t>More than 5 years ago</w:t>
            </w:r>
          </w:p>
        </w:tc>
        <w:tc>
          <w:tcPr>
            <w:tcW w:w="1703" w:type="dxa"/>
            <w:vAlign w:val="center"/>
          </w:tcPr>
          <w:p w14:paraId="4A324EF3"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 xml:space="preserve">5 </w:t>
            </w:r>
          </w:p>
        </w:tc>
        <w:tc>
          <w:tcPr>
            <w:tcW w:w="1793" w:type="dxa"/>
            <w:vAlign w:val="center"/>
          </w:tcPr>
          <w:p w14:paraId="070BAD01"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56.0</w:t>
            </w:r>
          </w:p>
        </w:tc>
      </w:tr>
      <w:tr w:rsidR="00084A63" w:rsidRPr="00C6358B" w14:paraId="0B558734" w14:textId="77777777">
        <w:trPr>
          <w:trHeight w:val="633"/>
        </w:trPr>
        <w:tc>
          <w:tcPr>
            <w:tcW w:w="5472" w:type="dxa"/>
            <w:vAlign w:val="center"/>
          </w:tcPr>
          <w:p w14:paraId="0E6AF0E1" w14:textId="77777777" w:rsidR="00084A63" w:rsidRPr="00C6358B" w:rsidRDefault="00083BFB">
            <w:pPr>
              <w:spacing w:after="200" w:line="240" w:lineRule="auto"/>
              <w:jc w:val="left"/>
              <w:rPr>
                <w:rFonts w:eastAsia="Calibri" w:cs="Times New Roman"/>
                <w:b/>
                <w:bCs/>
                <w:color w:val="000000"/>
                <w:kern w:val="0"/>
                <w14:ligatures w14:val="none"/>
              </w:rPr>
            </w:pPr>
            <w:r w:rsidRPr="00C6358B">
              <w:rPr>
                <w:rFonts w:eastAsia="Calibri" w:cs="Times New Roman"/>
                <w:b/>
                <w:bCs/>
                <w:color w:val="000000"/>
                <w:kern w:val="0"/>
                <w14:ligatures w14:val="none"/>
              </w:rPr>
              <w:t>Completed dose of HPV vaccination (</w:t>
            </w:r>
            <w:r w:rsidRPr="00C6358B">
              <w:rPr>
                <w:rFonts w:eastAsia="Calibri" w:cs="Times New Roman"/>
                <w:b/>
                <w:bCs/>
                <w:kern w:val="0"/>
                <w14:ligatures w14:val="none"/>
              </w:rPr>
              <w:t>N=9)</w:t>
            </w:r>
          </w:p>
        </w:tc>
        <w:tc>
          <w:tcPr>
            <w:tcW w:w="1703" w:type="dxa"/>
            <w:vAlign w:val="center"/>
          </w:tcPr>
          <w:p w14:paraId="37A7A149" w14:textId="77777777" w:rsidR="00084A63" w:rsidRPr="00C6358B" w:rsidRDefault="00084A63">
            <w:pPr>
              <w:spacing w:after="200" w:line="240" w:lineRule="auto"/>
              <w:jc w:val="center"/>
              <w:rPr>
                <w:rFonts w:eastAsia="Calibri" w:cs="Times New Roman"/>
                <w:bCs/>
                <w:kern w:val="0"/>
                <w14:ligatures w14:val="none"/>
              </w:rPr>
            </w:pPr>
          </w:p>
        </w:tc>
        <w:tc>
          <w:tcPr>
            <w:tcW w:w="1793" w:type="dxa"/>
            <w:vAlign w:val="center"/>
          </w:tcPr>
          <w:p w14:paraId="34E3342E" w14:textId="77777777" w:rsidR="00084A63" w:rsidRPr="00C6358B" w:rsidRDefault="00084A63">
            <w:pPr>
              <w:spacing w:after="200" w:line="240" w:lineRule="auto"/>
              <w:jc w:val="center"/>
              <w:rPr>
                <w:rFonts w:eastAsia="Calibri" w:cs="Times New Roman"/>
                <w:bCs/>
                <w:kern w:val="0"/>
                <w14:ligatures w14:val="none"/>
              </w:rPr>
            </w:pPr>
          </w:p>
        </w:tc>
      </w:tr>
      <w:tr w:rsidR="00084A63" w:rsidRPr="00C6358B" w14:paraId="3271AD21" w14:textId="77777777">
        <w:trPr>
          <w:trHeight w:val="633"/>
        </w:trPr>
        <w:tc>
          <w:tcPr>
            <w:tcW w:w="5472" w:type="dxa"/>
            <w:vAlign w:val="center"/>
          </w:tcPr>
          <w:p w14:paraId="6B309C19" w14:textId="77777777" w:rsidR="00084A63" w:rsidRPr="00C6358B" w:rsidRDefault="00083BFB">
            <w:pPr>
              <w:spacing w:after="200" w:line="240" w:lineRule="auto"/>
              <w:ind w:firstLine="347"/>
              <w:jc w:val="left"/>
              <w:rPr>
                <w:rFonts w:eastAsia="Calibri" w:cs="Times New Roman"/>
                <w:color w:val="000000"/>
                <w:kern w:val="0"/>
                <w14:ligatures w14:val="none"/>
              </w:rPr>
            </w:pPr>
            <w:r w:rsidRPr="00C6358B">
              <w:rPr>
                <w:rFonts w:eastAsia="Calibri" w:cs="Times New Roman"/>
                <w:color w:val="000000"/>
                <w:kern w:val="0"/>
                <w14:ligatures w14:val="none"/>
              </w:rPr>
              <w:t>Yes</w:t>
            </w:r>
          </w:p>
        </w:tc>
        <w:tc>
          <w:tcPr>
            <w:tcW w:w="1703" w:type="dxa"/>
            <w:vAlign w:val="center"/>
          </w:tcPr>
          <w:p w14:paraId="42E14C7D"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3</w:t>
            </w:r>
          </w:p>
        </w:tc>
        <w:tc>
          <w:tcPr>
            <w:tcW w:w="1793" w:type="dxa"/>
            <w:vAlign w:val="center"/>
          </w:tcPr>
          <w:p w14:paraId="58403658"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33.3</w:t>
            </w:r>
          </w:p>
        </w:tc>
      </w:tr>
      <w:tr w:rsidR="00084A63" w:rsidRPr="00C6358B" w14:paraId="299E52E5" w14:textId="77777777">
        <w:trPr>
          <w:trHeight w:val="633"/>
        </w:trPr>
        <w:tc>
          <w:tcPr>
            <w:tcW w:w="5472" w:type="dxa"/>
            <w:vAlign w:val="center"/>
          </w:tcPr>
          <w:p w14:paraId="4E0B98B0" w14:textId="77777777" w:rsidR="00084A63" w:rsidRPr="00C6358B" w:rsidRDefault="00083BFB">
            <w:pPr>
              <w:spacing w:after="200" w:line="240" w:lineRule="auto"/>
              <w:ind w:firstLine="347"/>
              <w:jc w:val="left"/>
              <w:rPr>
                <w:rFonts w:eastAsia="Calibri" w:cs="Times New Roman"/>
                <w:color w:val="000000"/>
                <w:kern w:val="0"/>
                <w14:ligatures w14:val="none"/>
              </w:rPr>
            </w:pPr>
            <w:r w:rsidRPr="00C6358B">
              <w:rPr>
                <w:rFonts w:eastAsia="Calibri" w:cs="Times New Roman"/>
                <w:color w:val="000000"/>
                <w:kern w:val="0"/>
                <w14:ligatures w14:val="none"/>
              </w:rPr>
              <w:t>No</w:t>
            </w:r>
          </w:p>
        </w:tc>
        <w:tc>
          <w:tcPr>
            <w:tcW w:w="1703" w:type="dxa"/>
            <w:vAlign w:val="center"/>
          </w:tcPr>
          <w:p w14:paraId="2DED7FA4"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6</w:t>
            </w:r>
          </w:p>
        </w:tc>
        <w:tc>
          <w:tcPr>
            <w:tcW w:w="1793" w:type="dxa"/>
            <w:vAlign w:val="center"/>
          </w:tcPr>
          <w:p w14:paraId="0B46790B"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66.7</w:t>
            </w:r>
          </w:p>
        </w:tc>
      </w:tr>
      <w:tr w:rsidR="00084A63" w:rsidRPr="00C6358B" w14:paraId="36D6B141" w14:textId="77777777">
        <w:trPr>
          <w:trHeight w:val="633"/>
        </w:trPr>
        <w:tc>
          <w:tcPr>
            <w:tcW w:w="5472" w:type="dxa"/>
            <w:vAlign w:val="center"/>
          </w:tcPr>
          <w:p w14:paraId="39DEE200" w14:textId="77777777" w:rsidR="00084A63" w:rsidRPr="00C6358B" w:rsidRDefault="00083BFB">
            <w:pPr>
              <w:spacing w:after="200" w:line="240" w:lineRule="auto"/>
              <w:jc w:val="left"/>
              <w:rPr>
                <w:rFonts w:eastAsia="Calibri" w:cs="Times New Roman"/>
                <w:b/>
                <w:kern w:val="0"/>
                <w14:ligatures w14:val="none"/>
              </w:rPr>
            </w:pPr>
            <w:r w:rsidRPr="00C6358B">
              <w:rPr>
                <w:rFonts w:eastAsia="Calibri" w:cs="Times New Roman"/>
                <w:b/>
                <w:kern w:val="0"/>
                <w14:ligatures w14:val="none"/>
              </w:rPr>
              <w:t>Has any family member or friend or colleague you know ever been diagnosed of Cervical cancer?</w:t>
            </w:r>
          </w:p>
        </w:tc>
        <w:tc>
          <w:tcPr>
            <w:tcW w:w="1703" w:type="dxa"/>
            <w:vAlign w:val="center"/>
          </w:tcPr>
          <w:p w14:paraId="3690E66E" w14:textId="77777777" w:rsidR="00084A63" w:rsidRPr="00C6358B" w:rsidRDefault="00083BFB">
            <w:pPr>
              <w:spacing w:after="200" w:line="240" w:lineRule="auto"/>
              <w:jc w:val="center"/>
              <w:rPr>
                <w:rFonts w:eastAsia="Calibri" w:cs="Times New Roman"/>
                <w:b/>
                <w:kern w:val="0"/>
                <w14:ligatures w14:val="none"/>
              </w:rPr>
            </w:pPr>
            <w:r w:rsidRPr="00C6358B">
              <w:rPr>
                <w:rFonts w:eastAsia="Calibri" w:cs="Times New Roman"/>
                <w:b/>
                <w:kern w:val="0"/>
                <w14:ligatures w14:val="none"/>
              </w:rPr>
              <w:t>N=178</w:t>
            </w:r>
          </w:p>
        </w:tc>
        <w:tc>
          <w:tcPr>
            <w:tcW w:w="1793" w:type="dxa"/>
            <w:vAlign w:val="center"/>
          </w:tcPr>
          <w:p w14:paraId="6FE4C7ED" w14:textId="77777777" w:rsidR="00084A63" w:rsidRPr="00C6358B" w:rsidRDefault="00084A63">
            <w:pPr>
              <w:spacing w:after="200" w:line="240" w:lineRule="auto"/>
              <w:jc w:val="center"/>
              <w:rPr>
                <w:rFonts w:eastAsia="Calibri" w:cs="Times New Roman"/>
                <w:bCs/>
                <w:kern w:val="0"/>
                <w14:ligatures w14:val="none"/>
              </w:rPr>
            </w:pPr>
          </w:p>
        </w:tc>
      </w:tr>
      <w:tr w:rsidR="00084A63" w:rsidRPr="00C6358B" w14:paraId="3FE2CD00" w14:textId="77777777">
        <w:trPr>
          <w:trHeight w:val="633"/>
        </w:trPr>
        <w:tc>
          <w:tcPr>
            <w:tcW w:w="5472" w:type="dxa"/>
            <w:vAlign w:val="center"/>
          </w:tcPr>
          <w:p w14:paraId="655AE2A7" w14:textId="77777777" w:rsidR="00084A63" w:rsidRPr="00C6358B" w:rsidRDefault="00083BFB">
            <w:pPr>
              <w:spacing w:after="200" w:line="240" w:lineRule="auto"/>
              <w:ind w:firstLine="347"/>
              <w:jc w:val="left"/>
              <w:rPr>
                <w:rFonts w:eastAsia="Calibri" w:cs="Times New Roman"/>
                <w:b/>
                <w:kern w:val="0"/>
                <w14:ligatures w14:val="none"/>
              </w:rPr>
            </w:pPr>
            <w:r w:rsidRPr="00C6358B">
              <w:rPr>
                <w:rFonts w:eastAsia="Calibri" w:cs="Times New Roman"/>
                <w:color w:val="000000"/>
                <w:kern w:val="0"/>
                <w14:ligatures w14:val="none"/>
              </w:rPr>
              <w:t>Yes</w:t>
            </w:r>
          </w:p>
        </w:tc>
        <w:tc>
          <w:tcPr>
            <w:tcW w:w="1703" w:type="dxa"/>
            <w:vAlign w:val="center"/>
          </w:tcPr>
          <w:p w14:paraId="6AB60AEA"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28</w:t>
            </w:r>
          </w:p>
        </w:tc>
        <w:tc>
          <w:tcPr>
            <w:tcW w:w="1793" w:type="dxa"/>
            <w:vAlign w:val="center"/>
          </w:tcPr>
          <w:p w14:paraId="64CDA293"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15.7</w:t>
            </w:r>
          </w:p>
        </w:tc>
      </w:tr>
      <w:tr w:rsidR="00084A63" w:rsidRPr="00C6358B" w14:paraId="7B724081" w14:textId="77777777">
        <w:trPr>
          <w:trHeight w:val="633"/>
        </w:trPr>
        <w:tc>
          <w:tcPr>
            <w:tcW w:w="5472" w:type="dxa"/>
            <w:tcBorders>
              <w:bottom w:val="single" w:sz="4" w:space="0" w:color="auto"/>
            </w:tcBorders>
            <w:vAlign w:val="center"/>
          </w:tcPr>
          <w:p w14:paraId="7ADF4C8B" w14:textId="77777777" w:rsidR="00084A63" w:rsidRPr="00C6358B" w:rsidRDefault="00083BFB">
            <w:pPr>
              <w:spacing w:after="200" w:line="240" w:lineRule="auto"/>
              <w:ind w:firstLine="347"/>
              <w:jc w:val="left"/>
              <w:rPr>
                <w:rFonts w:eastAsia="Calibri" w:cs="Times New Roman"/>
                <w:b/>
                <w:kern w:val="0"/>
                <w14:ligatures w14:val="none"/>
              </w:rPr>
            </w:pPr>
            <w:r w:rsidRPr="00C6358B">
              <w:rPr>
                <w:rFonts w:eastAsia="Calibri" w:cs="Times New Roman"/>
                <w:color w:val="000000"/>
                <w:kern w:val="0"/>
                <w14:ligatures w14:val="none"/>
              </w:rPr>
              <w:t>No</w:t>
            </w:r>
          </w:p>
        </w:tc>
        <w:tc>
          <w:tcPr>
            <w:tcW w:w="1703" w:type="dxa"/>
            <w:tcBorders>
              <w:bottom w:val="single" w:sz="4" w:space="0" w:color="auto"/>
            </w:tcBorders>
            <w:vAlign w:val="center"/>
          </w:tcPr>
          <w:p w14:paraId="63885EA4"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150</w:t>
            </w:r>
          </w:p>
        </w:tc>
        <w:tc>
          <w:tcPr>
            <w:tcW w:w="1793" w:type="dxa"/>
            <w:tcBorders>
              <w:bottom w:val="single" w:sz="4" w:space="0" w:color="auto"/>
            </w:tcBorders>
            <w:vAlign w:val="center"/>
          </w:tcPr>
          <w:p w14:paraId="01A39405" w14:textId="77777777" w:rsidR="00084A63" w:rsidRPr="00C6358B" w:rsidRDefault="00083BF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84.3</w:t>
            </w:r>
          </w:p>
        </w:tc>
      </w:tr>
    </w:tbl>
    <w:p w14:paraId="69219A03" w14:textId="77777777" w:rsidR="00084A63" w:rsidRPr="00C6358B" w:rsidRDefault="00084A63">
      <w:pPr>
        <w:rPr>
          <w:rFonts w:cs="Times New Roman"/>
        </w:rPr>
      </w:pPr>
    </w:p>
    <w:p w14:paraId="57C88D84" w14:textId="77777777" w:rsidR="00084A63" w:rsidRPr="00C6358B" w:rsidRDefault="00084A63">
      <w:pPr>
        <w:spacing w:after="200" w:line="240" w:lineRule="auto"/>
        <w:rPr>
          <w:rFonts w:eastAsia="Calibri" w:cs="Times New Roman"/>
          <w:kern w:val="0"/>
          <w14:ligatures w14:val="none"/>
        </w:rPr>
      </w:pPr>
    </w:p>
    <w:p w14:paraId="68B3C374" w14:textId="77777777" w:rsidR="00084A63" w:rsidRPr="00C6358B" w:rsidRDefault="00084A63">
      <w:pPr>
        <w:spacing w:after="200" w:line="240" w:lineRule="auto"/>
        <w:rPr>
          <w:rFonts w:eastAsia="Calibri" w:cs="Times New Roman"/>
          <w:kern w:val="0"/>
          <w14:ligatures w14:val="none"/>
        </w:rPr>
      </w:pPr>
    </w:p>
    <w:p w14:paraId="5DD6B8A7" w14:textId="77777777" w:rsidR="00084A63" w:rsidRPr="00C6358B" w:rsidRDefault="00084A63">
      <w:pPr>
        <w:spacing w:after="200" w:line="240" w:lineRule="auto"/>
        <w:rPr>
          <w:rFonts w:eastAsia="Calibri" w:cs="Times New Roman"/>
          <w:kern w:val="0"/>
          <w14:ligatures w14:val="none"/>
        </w:rPr>
      </w:pPr>
    </w:p>
    <w:p w14:paraId="13F2B4FF" w14:textId="77777777" w:rsidR="00084A63" w:rsidRPr="00C6358B" w:rsidRDefault="00084A63">
      <w:pPr>
        <w:spacing w:after="200" w:line="240" w:lineRule="auto"/>
        <w:rPr>
          <w:rFonts w:eastAsia="Calibri" w:cs="Times New Roman"/>
          <w:kern w:val="0"/>
          <w14:ligatures w14:val="none"/>
        </w:rPr>
      </w:pPr>
    </w:p>
    <w:p w14:paraId="2E74EF15" w14:textId="77777777" w:rsidR="00084A63" w:rsidRPr="00C6358B" w:rsidRDefault="00084A63">
      <w:pPr>
        <w:spacing w:after="200" w:line="240" w:lineRule="auto"/>
        <w:rPr>
          <w:rFonts w:eastAsia="Calibri" w:cs="Times New Roman"/>
          <w:kern w:val="0"/>
          <w14:ligatures w14:val="none"/>
        </w:rPr>
      </w:pPr>
    </w:p>
    <w:p w14:paraId="423C8904"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r w:rsidRPr="00C6358B">
        <w:rPr>
          <w:rFonts w:eastAsia="Calibri" w:cs="Times New Roman"/>
          <w:b/>
          <w:kern w:val="0"/>
          <w:lang w:val="en-GB"/>
          <w14:ligatures w14:val="none"/>
        </w:rPr>
        <w:lastRenderedPageBreak/>
        <w:t xml:space="preserve">Table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Table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4</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Reasons for not taking HPV Vaccination</w:t>
      </w:r>
    </w:p>
    <w:tbl>
      <w:tblPr>
        <w:tblW w:w="9998" w:type="dxa"/>
        <w:tblInd w:w="-275" w:type="dxa"/>
        <w:tblLook w:val="04A0" w:firstRow="1" w:lastRow="0" w:firstColumn="1" w:lastColumn="0" w:noHBand="0" w:noVBand="1"/>
      </w:tblPr>
      <w:tblGrid>
        <w:gridCol w:w="5225"/>
        <w:gridCol w:w="1690"/>
        <w:gridCol w:w="3083"/>
      </w:tblGrid>
      <w:tr w:rsidR="00084A63" w:rsidRPr="00C6358B" w14:paraId="1B45B793" w14:textId="77777777">
        <w:trPr>
          <w:trHeight w:val="681"/>
        </w:trPr>
        <w:tc>
          <w:tcPr>
            <w:tcW w:w="5225" w:type="dxa"/>
            <w:tcBorders>
              <w:top w:val="single" w:sz="12" w:space="0" w:color="auto"/>
              <w:bottom w:val="single" w:sz="12" w:space="0" w:color="auto"/>
            </w:tcBorders>
            <w:vAlign w:val="center"/>
          </w:tcPr>
          <w:p w14:paraId="2761305A" w14:textId="77777777" w:rsidR="00084A63" w:rsidRPr="00C6358B" w:rsidRDefault="00083BFB">
            <w:pPr>
              <w:spacing w:after="0" w:line="276" w:lineRule="auto"/>
              <w:rPr>
                <w:rFonts w:eastAsia="Calibri" w:cs="Times New Roman"/>
                <w:b/>
                <w:bCs/>
                <w:kern w:val="0"/>
                <w14:ligatures w14:val="none"/>
              </w:rPr>
            </w:pPr>
            <w:r w:rsidRPr="00C6358B">
              <w:rPr>
                <w:rFonts w:eastAsia="Calibri" w:cs="Times New Roman"/>
                <w:b/>
                <w:bCs/>
                <w:kern w:val="0"/>
                <w14:ligatures w14:val="none"/>
              </w:rPr>
              <w:t xml:space="preserve">Variables  </w:t>
            </w:r>
          </w:p>
        </w:tc>
        <w:tc>
          <w:tcPr>
            <w:tcW w:w="1690" w:type="dxa"/>
            <w:tcBorders>
              <w:top w:val="single" w:sz="12" w:space="0" w:color="auto"/>
              <w:left w:val="nil"/>
              <w:bottom w:val="single" w:sz="12" w:space="0" w:color="auto"/>
              <w:right w:val="nil"/>
            </w:tcBorders>
            <w:vAlign w:val="center"/>
          </w:tcPr>
          <w:p w14:paraId="5688B4A0" w14:textId="77777777" w:rsidR="00084A63" w:rsidRPr="00C6358B" w:rsidRDefault="00083BFB">
            <w:pPr>
              <w:spacing w:after="0" w:line="276" w:lineRule="auto"/>
              <w:jc w:val="center"/>
              <w:rPr>
                <w:rFonts w:eastAsia="Calibri" w:cs="Times New Roman"/>
                <w:b/>
                <w:bCs/>
                <w:kern w:val="0"/>
                <w14:ligatures w14:val="none"/>
              </w:rPr>
            </w:pPr>
            <w:r w:rsidRPr="00C6358B">
              <w:rPr>
                <w:rFonts w:eastAsia="Calibri" w:cs="Times New Roman"/>
                <w:b/>
                <w:bCs/>
                <w:kern w:val="0"/>
                <w14:ligatures w14:val="none"/>
              </w:rPr>
              <w:t>Frequency n=169</w:t>
            </w:r>
          </w:p>
        </w:tc>
        <w:tc>
          <w:tcPr>
            <w:tcW w:w="3083" w:type="dxa"/>
            <w:tcBorders>
              <w:top w:val="single" w:sz="12" w:space="0" w:color="auto"/>
              <w:left w:val="nil"/>
              <w:bottom w:val="single" w:sz="12" w:space="0" w:color="auto"/>
              <w:right w:val="nil"/>
            </w:tcBorders>
            <w:vAlign w:val="center"/>
          </w:tcPr>
          <w:p w14:paraId="55864659" w14:textId="77777777" w:rsidR="00084A63" w:rsidRPr="00C6358B" w:rsidRDefault="00083BFB">
            <w:pPr>
              <w:spacing w:after="0" w:line="276" w:lineRule="auto"/>
              <w:jc w:val="center"/>
              <w:rPr>
                <w:rFonts w:eastAsia="Calibri" w:cs="Times New Roman"/>
                <w:b/>
                <w:bCs/>
                <w:kern w:val="0"/>
                <w14:ligatures w14:val="none"/>
              </w:rPr>
            </w:pPr>
            <w:r w:rsidRPr="00C6358B">
              <w:rPr>
                <w:rFonts w:eastAsia="Calibri" w:cs="Times New Roman"/>
                <w:b/>
                <w:bCs/>
                <w:kern w:val="0"/>
                <w14:ligatures w14:val="none"/>
              </w:rPr>
              <w:t xml:space="preserve">Percent </w:t>
            </w:r>
            <w:r w:rsidRPr="00C6358B">
              <w:rPr>
                <w:rFonts w:eastAsia="Calibri" w:cs="Times New Roman"/>
                <w:b/>
                <w:bCs/>
                <w:kern w:val="0"/>
                <w14:ligatures w14:val="none"/>
              </w:rPr>
              <w:t>(%)</w:t>
            </w:r>
          </w:p>
        </w:tc>
      </w:tr>
      <w:tr w:rsidR="00084A63" w:rsidRPr="00C6358B" w14:paraId="294B56B6" w14:textId="77777777">
        <w:trPr>
          <w:trHeight w:val="119"/>
        </w:trPr>
        <w:tc>
          <w:tcPr>
            <w:tcW w:w="5225" w:type="dxa"/>
            <w:tcBorders>
              <w:top w:val="nil"/>
            </w:tcBorders>
          </w:tcPr>
          <w:p w14:paraId="5CA043D0" w14:textId="77777777" w:rsidR="00084A63" w:rsidRPr="00C6358B" w:rsidRDefault="00084A63">
            <w:pPr>
              <w:spacing w:before="100" w:beforeAutospacing="1" w:after="0" w:line="276" w:lineRule="auto"/>
              <w:rPr>
                <w:rFonts w:eastAsia="Calibri" w:cs="Times New Roman"/>
                <w:b/>
                <w:bCs/>
                <w:kern w:val="0"/>
                <w14:ligatures w14:val="none"/>
              </w:rPr>
            </w:pPr>
          </w:p>
        </w:tc>
        <w:tc>
          <w:tcPr>
            <w:tcW w:w="1690" w:type="dxa"/>
            <w:tcBorders>
              <w:top w:val="nil"/>
              <w:left w:val="nil"/>
              <w:bottom w:val="nil"/>
              <w:right w:val="nil"/>
            </w:tcBorders>
          </w:tcPr>
          <w:p w14:paraId="0B56725C" w14:textId="77777777" w:rsidR="00084A63" w:rsidRPr="00C6358B" w:rsidRDefault="00084A63">
            <w:pPr>
              <w:spacing w:before="100" w:beforeAutospacing="1" w:after="0" w:line="276" w:lineRule="auto"/>
              <w:jc w:val="center"/>
              <w:rPr>
                <w:rFonts w:eastAsia="Calibri" w:cs="Times New Roman"/>
                <w:kern w:val="0"/>
                <w14:ligatures w14:val="none"/>
              </w:rPr>
            </w:pPr>
          </w:p>
        </w:tc>
        <w:tc>
          <w:tcPr>
            <w:tcW w:w="3083" w:type="dxa"/>
            <w:tcBorders>
              <w:top w:val="nil"/>
              <w:left w:val="nil"/>
              <w:bottom w:val="nil"/>
              <w:right w:val="nil"/>
            </w:tcBorders>
          </w:tcPr>
          <w:p w14:paraId="0E6DE733" w14:textId="77777777" w:rsidR="00084A63" w:rsidRPr="00C6358B" w:rsidRDefault="00084A63">
            <w:pPr>
              <w:spacing w:before="100" w:beforeAutospacing="1" w:after="0" w:line="276" w:lineRule="auto"/>
              <w:jc w:val="center"/>
              <w:rPr>
                <w:rFonts w:eastAsia="Calibri" w:cs="Times New Roman"/>
                <w:kern w:val="0"/>
                <w14:ligatures w14:val="none"/>
              </w:rPr>
            </w:pPr>
          </w:p>
        </w:tc>
      </w:tr>
      <w:tr w:rsidR="00084A63" w:rsidRPr="00C6358B" w14:paraId="6698AB8F" w14:textId="77777777">
        <w:trPr>
          <w:trHeight w:val="117"/>
        </w:trPr>
        <w:tc>
          <w:tcPr>
            <w:tcW w:w="5225" w:type="dxa"/>
            <w:tcBorders>
              <w:top w:val="nil"/>
              <w:bottom w:val="nil"/>
            </w:tcBorders>
            <w:vAlign w:val="center"/>
          </w:tcPr>
          <w:p w14:paraId="4A4A4D06"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bookmarkStart w:id="7" w:name="_Hlk195048515"/>
            <w:r w:rsidRPr="00C6358B">
              <w:rPr>
                <w:rFonts w:cs="Times New Roman"/>
                <w:color w:val="000000"/>
              </w:rPr>
              <w:t>Did not know where to get the vaccine</w:t>
            </w:r>
          </w:p>
        </w:tc>
        <w:tc>
          <w:tcPr>
            <w:tcW w:w="1690" w:type="dxa"/>
            <w:tcBorders>
              <w:top w:val="nil"/>
              <w:left w:val="nil"/>
              <w:bottom w:val="nil"/>
              <w:right w:val="nil"/>
            </w:tcBorders>
            <w:vAlign w:val="center"/>
          </w:tcPr>
          <w:p w14:paraId="1F79AEE8"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61</w:t>
            </w:r>
          </w:p>
        </w:tc>
        <w:tc>
          <w:tcPr>
            <w:tcW w:w="3083" w:type="dxa"/>
            <w:tcBorders>
              <w:top w:val="nil"/>
              <w:left w:val="nil"/>
              <w:bottom w:val="nil"/>
              <w:right w:val="nil"/>
            </w:tcBorders>
            <w:vAlign w:val="center"/>
          </w:tcPr>
          <w:p w14:paraId="1A37B7F3"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36%</w:t>
            </w:r>
          </w:p>
        </w:tc>
      </w:tr>
      <w:tr w:rsidR="00084A63" w:rsidRPr="00C6358B" w14:paraId="58B1D4E2" w14:textId="77777777">
        <w:trPr>
          <w:trHeight w:val="351"/>
        </w:trPr>
        <w:tc>
          <w:tcPr>
            <w:tcW w:w="5225" w:type="dxa"/>
            <w:tcBorders>
              <w:top w:val="nil"/>
              <w:bottom w:val="nil"/>
            </w:tcBorders>
            <w:vAlign w:val="center"/>
          </w:tcPr>
          <w:p w14:paraId="09FA7554"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No reason</w:t>
            </w:r>
          </w:p>
        </w:tc>
        <w:tc>
          <w:tcPr>
            <w:tcW w:w="1690" w:type="dxa"/>
            <w:tcBorders>
              <w:top w:val="nil"/>
              <w:left w:val="nil"/>
              <w:bottom w:val="nil"/>
              <w:right w:val="nil"/>
            </w:tcBorders>
            <w:vAlign w:val="center"/>
          </w:tcPr>
          <w:p w14:paraId="6873CBF7"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46</w:t>
            </w:r>
          </w:p>
        </w:tc>
        <w:tc>
          <w:tcPr>
            <w:tcW w:w="3083" w:type="dxa"/>
            <w:tcBorders>
              <w:top w:val="nil"/>
              <w:left w:val="nil"/>
              <w:bottom w:val="nil"/>
              <w:right w:val="nil"/>
            </w:tcBorders>
            <w:vAlign w:val="center"/>
          </w:tcPr>
          <w:p w14:paraId="3D64A244"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27%</w:t>
            </w:r>
          </w:p>
        </w:tc>
      </w:tr>
      <w:tr w:rsidR="00084A63" w:rsidRPr="00C6358B" w14:paraId="1213FD10" w14:textId="77777777">
        <w:trPr>
          <w:trHeight w:val="119"/>
        </w:trPr>
        <w:tc>
          <w:tcPr>
            <w:tcW w:w="5225" w:type="dxa"/>
            <w:tcBorders>
              <w:top w:val="nil"/>
              <w:bottom w:val="nil"/>
            </w:tcBorders>
            <w:vAlign w:val="center"/>
          </w:tcPr>
          <w:p w14:paraId="3940B533"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I have not made up my mind</w:t>
            </w:r>
          </w:p>
        </w:tc>
        <w:tc>
          <w:tcPr>
            <w:tcW w:w="1690" w:type="dxa"/>
            <w:tcBorders>
              <w:top w:val="nil"/>
              <w:left w:val="nil"/>
              <w:bottom w:val="nil"/>
              <w:right w:val="nil"/>
            </w:tcBorders>
            <w:vAlign w:val="center"/>
          </w:tcPr>
          <w:p w14:paraId="027429DE"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37</w:t>
            </w:r>
          </w:p>
        </w:tc>
        <w:tc>
          <w:tcPr>
            <w:tcW w:w="3083" w:type="dxa"/>
            <w:tcBorders>
              <w:top w:val="nil"/>
              <w:left w:val="nil"/>
              <w:bottom w:val="nil"/>
              <w:right w:val="nil"/>
            </w:tcBorders>
            <w:vAlign w:val="center"/>
          </w:tcPr>
          <w:p w14:paraId="3D76CFF0"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22%</w:t>
            </w:r>
          </w:p>
        </w:tc>
      </w:tr>
      <w:tr w:rsidR="00084A63" w:rsidRPr="00C6358B" w14:paraId="28C05A59" w14:textId="77777777">
        <w:trPr>
          <w:trHeight w:val="119"/>
        </w:trPr>
        <w:tc>
          <w:tcPr>
            <w:tcW w:w="5225" w:type="dxa"/>
            <w:tcBorders>
              <w:top w:val="nil"/>
              <w:bottom w:val="nil"/>
            </w:tcBorders>
            <w:vAlign w:val="center"/>
          </w:tcPr>
          <w:p w14:paraId="23E0153F"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Too expensive</w:t>
            </w:r>
          </w:p>
        </w:tc>
        <w:tc>
          <w:tcPr>
            <w:tcW w:w="1690" w:type="dxa"/>
            <w:tcBorders>
              <w:top w:val="nil"/>
              <w:left w:val="nil"/>
              <w:bottom w:val="nil"/>
              <w:right w:val="nil"/>
            </w:tcBorders>
            <w:vAlign w:val="center"/>
          </w:tcPr>
          <w:p w14:paraId="669BE1D5"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30</w:t>
            </w:r>
          </w:p>
        </w:tc>
        <w:tc>
          <w:tcPr>
            <w:tcW w:w="3083" w:type="dxa"/>
            <w:tcBorders>
              <w:top w:val="nil"/>
              <w:left w:val="nil"/>
              <w:bottom w:val="nil"/>
              <w:right w:val="nil"/>
            </w:tcBorders>
            <w:vAlign w:val="center"/>
          </w:tcPr>
          <w:p w14:paraId="0533A151"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18%</w:t>
            </w:r>
          </w:p>
        </w:tc>
      </w:tr>
      <w:tr w:rsidR="00084A63" w:rsidRPr="00C6358B" w14:paraId="1985F8F8" w14:textId="77777777">
        <w:trPr>
          <w:trHeight w:val="119"/>
        </w:trPr>
        <w:tc>
          <w:tcPr>
            <w:tcW w:w="5225" w:type="dxa"/>
            <w:tcBorders>
              <w:top w:val="nil"/>
              <w:bottom w:val="nil"/>
            </w:tcBorders>
            <w:vAlign w:val="center"/>
          </w:tcPr>
          <w:p w14:paraId="7656CB77"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Didn’t have time</w:t>
            </w:r>
          </w:p>
        </w:tc>
        <w:tc>
          <w:tcPr>
            <w:tcW w:w="1690" w:type="dxa"/>
            <w:tcBorders>
              <w:top w:val="nil"/>
              <w:left w:val="nil"/>
              <w:bottom w:val="nil"/>
              <w:right w:val="nil"/>
            </w:tcBorders>
            <w:vAlign w:val="center"/>
          </w:tcPr>
          <w:p w14:paraId="7AC88AD7"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17</w:t>
            </w:r>
          </w:p>
        </w:tc>
        <w:tc>
          <w:tcPr>
            <w:tcW w:w="3083" w:type="dxa"/>
            <w:tcBorders>
              <w:top w:val="nil"/>
              <w:left w:val="nil"/>
              <w:bottom w:val="nil"/>
              <w:right w:val="nil"/>
            </w:tcBorders>
            <w:vAlign w:val="center"/>
          </w:tcPr>
          <w:p w14:paraId="7A83489F"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10%</w:t>
            </w:r>
          </w:p>
        </w:tc>
      </w:tr>
      <w:tr w:rsidR="00084A63" w:rsidRPr="00C6358B" w14:paraId="7BA20DCA" w14:textId="77777777">
        <w:trPr>
          <w:trHeight w:val="119"/>
        </w:trPr>
        <w:tc>
          <w:tcPr>
            <w:tcW w:w="5225" w:type="dxa"/>
            <w:tcBorders>
              <w:top w:val="nil"/>
              <w:bottom w:val="nil"/>
            </w:tcBorders>
            <w:vAlign w:val="center"/>
          </w:tcPr>
          <w:p w14:paraId="43AD09A6"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Fear (afraid of procedure)</w:t>
            </w:r>
          </w:p>
        </w:tc>
        <w:tc>
          <w:tcPr>
            <w:tcW w:w="1690" w:type="dxa"/>
            <w:tcBorders>
              <w:top w:val="nil"/>
              <w:left w:val="nil"/>
              <w:bottom w:val="nil"/>
              <w:right w:val="nil"/>
            </w:tcBorders>
            <w:vAlign w:val="center"/>
          </w:tcPr>
          <w:p w14:paraId="6058110D"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9</w:t>
            </w:r>
          </w:p>
        </w:tc>
        <w:tc>
          <w:tcPr>
            <w:tcW w:w="3083" w:type="dxa"/>
            <w:tcBorders>
              <w:top w:val="nil"/>
              <w:left w:val="nil"/>
              <w:bottom w:val="nil"/>
              <w:right w:val="nil"/>
            </w:tcBorders>
            <w:vAlign w:val="center"/>
          </w:tcPr>
          <w:p w14:paraId="2D930135"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5%</w:t>
            </w:r>
          </w:p>
        </w:tc>
      </w:tr>
      <w:tr w:rsidR="00084A63" w:rsidRPr="00C6358B" w14:paraId="7497D1A9" w14:textId="77777777">
        <w:trPr>
          <w:trHeight w:val="119"/>
        </w:trPr>
        <w:tc>
          <w:tcPr>
            <w:tcW w:w="5225" w:type="dxa"/>
            <w:tcBorders>
              <w:top w:val="nil"/>
              <w:bottom w:val="nil"/>
            </w:tcBorders>
            <w:vAlign w:val="center"/>
          </w:tcPr>
          <w:p w14:paraId="12F7FFC9"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Not sure if the vaccine is safe</w:t>
            </w:r>
          </w:p>
        </w:tc>
        <w:tc>
          <w:tcPr>
            <w:tcW w:w="1690" w:type="dxa"/>
            <w:tcBorders>
              <w:top w:val="nil"/>
              <w:left w:val="nil"/>
              <w:bottom w:val="nil"/>
              <w:right w:val="nil"/>
            </w:tcBorders>
            <w:vAlign w:val="center"/>
          </w:tcPr>
          <w:p w14:paraId="4F1C902B"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8</w:t>
            </w:r>
          </w:p>
        </w:tc>
        <w:tc>
          <w:tcPr>
            <w:tcW w:w="3083" w:type="dxa"/>
            <w:tcBorders>
              <w:top w:val="nil"/>
              <w:left w:val="nil"/>
              <w:bottom w:val="nil"/>
              <w:right w:val="nil"/>
            </w:tcBorders>
            <w:vAlign w:val="center"/>
          </w:tcPr>
          <w:p w14:paraId="15D3ACC5"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5%</w:t>
            </w:r>
          </w:p>
        </w:tc>
      </w:tr>
      <w:tr w:rsidR="00084A63" w:rsidRPr="00C6358B" w14:paraId="6CEAC881" w14:textId="77777777">
        <w:trPr>
          <w:trHeight w:val="119"/>
        </w:trPr>
        <w:tc>
          <w:tcPr>
            <w:tcW w:w="5225" w:type="dxa"/>
            <w:tcBorders>
              <w:top w:val="nil"/>
              <w:bottom w:val="nil"/>
            </w:tcBorders>
            <w:vAlign w:val="center"/>
          </w:tcPr>
          <w:p w14:paraId="7F534743"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 xml:space="preserve">Don't believe the vaccine is </w:t>
            </w:r>
            <w:r w:rsidRPr="00C6358B">
              <w:rPr>
                <w:rFonts w:cs="Times New Roman"/>
                <w:color w:val="000000"/>
              </w:rPr>
              <w:t>effective</w:t>
            </w:r>
          </w:p>
        </w:tc>
        <w:tc>
          <w:tcPr>
            <w:tcW w:w="1690" w:type="dxa"/>
            <w:tcBorders>
              <w:top w:val="nil"/>
              <w:left w:val="nil"/>
              <w:bottom w:val="nil"/>
              <w:right w:val="nil"/>
            </w:tcBorders>
            <w:vAlign w:val="center"/>
          </w:tcPr>
          <w:p w14:paraId="38E1D3BF"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3</w:t>
            </w:r>
          </w:p>
        </w:tc>
        <w:tc>
          <w:tcPr>
            <w:tcW w:w="3083" w:type="dxa"/>
            <w:tcBorders>
              <w:top w:val="nil"/>
              <w:left w:val="nil"/>
              <w:bottom w:val="nil"/>
              <w:right w:val="nil"/>
            </w:tcBorders>
            <w:vAlign w:val="center"/>
          </w:tcPr>
          <w:p w14:paraId="4A850A59"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2%</w:t>
            </w:r>
          </w:p>
        </w:tc>
      </w:tr>
      <w:tr w:rsidR="00084A63" w:rsidRPr="00C6358B" w14:paraId="19537BEA" w14:textId="77777777">
        <w:trPr>
          <w:trHeight w:val="119"/>
        </w:trPr>
        <w:tc>
          <w:tcPr>
            <w:tcW w:w="5225" w:type="dxa"/>
            <w:tcBorders>
              <w:top w:val="nil"/>
              <w:bottom w:val="nil"/>
            </w:tcBorders>
            <w:vAlign w:val="center"/>
          </w:tcPr>
          <w:p w14:paraId="061AE458"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Poor service quality</w:t>
            </w:r>
          </w:p>
        </w:tc>
        <w:tc>
          <w:tcPr>
            <w:tcW w:w="1690" w:type="dxa"/>
            <w:tcBorders>
              <w:top w:val="nil"/>
              <w:left w:val="nil"/>
              <w:bottom w:val="nil"/>
              <w:right w:val="nil"/>
            </w:tcBorders>
            <w:vAlign w:val="center"/>
          </w:tcPr>
          <w:p w14:paraId="50B6B199"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2</w:t>
            </w:r>
          </w:p>
        </w:tc>
        <w:tc>
          <w:tcPr>
            <w:tcW w:w="3083" w:type="dxa"/>
            <w:tcBorders>
              <w:top w:val="nil"/>
              <w:left w:val="nil"/>
              <w:bottom w:val="nil"/>
              <w:right w:val="nil"/>
            </w:tcBorders>
            <w:vAlign w:val="center"/>
          </w:tcPr>
          <w:p w14:paraId="0BC82C2D"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r>
      <w:tr w:rsidR="00084A63" w:rsidRPr="00C6358B" w14:paraId="289F0655" w14:textId="77777777">
        <w:trPr>
          <w:trHeight w:val="423"/>
        </w:trPr>
        <w:tc>
          <w:tcPr>
            <w:tcW w:w="5225" w:type="dxa"/>
            <w:tcBorders>
              <w:top w:val="nil"/>
              <w:bottom w:val="nil"/>
            </w:tcBorders>
            <w:vAlign w:val="center"/>
          </w:tcPr>
          <w:p w14:paraId="32C57103"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Clinic too far away</w:t>
            </w:r>
          </w:p>
        </w:tc>
        <w:tc>
          <w:tcPr>
            <w:tcW w:w="1690" w:type="dxa"/>
            <w:tcBorders>
              <w:top w:val="nil"/>
              <w:left w:val="nil"/>
              <w:bottom w:val="nil"/>
              <w:right w:val="nil"/>
            </w:tcBorders>
            <w:vAlign w:val="center"/>
          </w:tcPr>
          <w:p w14:paraId="5B8D51FC"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c>
          <w:tcPr>
            <w:tcW w:w="3083" w:type="dxa"/>
            <w:tcBorders>
              <w:top w:val="nil"/>
              <w:left w:val="nil"/>
              <w:bottom w:val="nil"/>
              <w:right w:val="nil"/>
            </w:tcBorders>
            <w:vAlign w:val="center"/>
          </w:tcPr>
          <w:p w14:paraId="578F1ED7"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r>
      <w:tr w:rsidR="00084A63" w:rsidRPr="00C6358B" w14:paraId="5FC37FFC" w14:textId="77777777">
        <w:trPr>
          <w:trHeight w:val="119"/>
        </w:trPr>
        <w:tc>
          <w:tcPr>
            <w:tcW w:w="5225" w:type="dxa"/>
            <w:tcBorders>
              <w:top w:val="nil"/>
              <w:bottom w:val="nil"/>
            </w:tcBorders>
            <w:vAlign w:val="center"/>
          </w:tcPr>
          <w:p w14:paraId="77C2B7C1"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Forgot the appointment</w:t>
            </w:r>
          </w:p>
        </w:tc>
        <w:tc>
          <w:tcPr>
            <w:tcW w:w="1690" w:type="dxa"/>
            <w:tcBorders>
              <w:top w:val="nil"/>
              <w:left w:val="nil"/>
              <w:bottom w:val="nil"/>
              <w:right w:val="nil"/>
            </w:tcBorders>
            <w:vAlign w:val="center"/>
          </w:tcPr>
          <w:p w14:paraId="04104EE5"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c>
          <w:tcPr>
            <w:tcW w:w="3083" w:type="dxa"/>
            <w:tcBorders>
              <w:top w:val="nil"/>
              <w:left w:val="nil"/>
              <w:bottom w:val="nil"/>
              <w:right w:val="nil"/>
            </w:tcBorders>
            <w:vAlign w:val="center"/>
          </w:tcPr>
          <w:p w14:paraId="00AF4A56"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r>
      <w:tr w:rsidR="00084A63" w:rsidRPr="00C6358B" w14:paraId="1282C8FC" w14:textId="77777777">
        <w:trPr>
          <w:trHeight w:val="119"/>
        </w:trPr>
        <w:tc>
          <w:tcPr>
            <w:tcW w:w="5225" w:type="dxa"/>
            <w:tcBorders>
              <w:top w:val="nil"/>
              <w:left w:val="nil"/>
              <w:bottom w:val="nil"/>
              <w:right w:val="nil"/>
            </w:tcBorders>
            <w:vAlign w:val="center"/>
          </w:tcPr>
          <w:p w14:paraId="6A11CFF8"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Fear of social stigma</w:t>
            </w:r>
          </w:p>
        </w:tc>
        <w:tc>
          <w:tcPr>
            <w:tcW w:w="1690" w:type="dxa"/>
            <w:tcBorders>
              <w:top w:val="nil"/>
              <w:left w:val="nil"/>
              <w:bottom w:val="nil"/>
              <w:right w:val="nil"/>
            </w:tcBorders>
            <w:vAlign w:val="center"/>
          </w:tcPr>
          <w:p w14:paraId="48645833"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c>
          <w:tcPr>
            <w:tcW w:w="3083" w:type="dxa"/>
            <w:tcBorders>
              <w:top w:val="nil"/>
              <w:left w:val="nil"/>
              <w:bottom w:val="nil"/>
              <w:right w:val="nil"/>
            </w:tcBorders>
            <w:vAlign w:val="center"/>
          </w:tcPr>
          <w:p w14:paraId="4C988713"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r>
      <w:tr w:rsidR="00084A63" w:rsidRPr="00C6358B" w14:paraId="2066DA2B" w14:textId="77777777">
        <w:trPr>
          <w:trHeight w:val="119"/>
        </w:trPr>
        <w:tc>
          <w:tcPr>
            <w:tcW w:w="5225" w:type="dxa"/>
            <w:tcBorders>
              <w:top w:val="nil"/>
              <w:left w:val="nil"/>
              <w:bottom w:val="nil"/>
              <w:right w:val="nil"/>
            </w:tcBorders>
            <w:vAlign w:val="center"/>
          </w:tcPr>
          <w:p w14:paraId="3E65204C"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Unacceptable to my cultural beliefs</w:t>
            </w:r>
          </w:p>
        </w:tc>
        <w:tc>
          <w:tcPr>
            <w:tcW w:w="1690" w:type="dxa"/>
            <w:tcBorders>
              <w:top w:val="nil"/>
              <w:left w:val="nil"/>
              <w:bottom w:val="nil"/>
              <w:right w:val="nil"/>
            </w:tcBorders>
            <w:vAlign w:val="center"/>
          </w:tcPr>
          <w:p w14:paraId="4894D8A7"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c>
          <w:tcPr>
            <w:tcW w:w="3083" w:type="dxa"/>
            <w:tcBorders>
              <w:top w:val="nil"/>
              <w:left w:val="nil"/>
              <w:bottom w:val="nil"/>
              <w:right w:val="nil"/>
            </w:tcBorders>
            <w:vAlign w:val="center"/>
          </w:tcPr>
          <w:p w14:paraId="11485EBB"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r>
      <w:tr w:rsidR="00084A63" w:rsidRPr="00C6358B" w14:paraId="21D90E98" w14:textId="77777777">
        <w:trPr>
          <w:trHeight w:val="369"/>
        </w:trPr>
        <w:tc>
          <w:tcPr>
            <w:tcW w:w="5225" w:type="dxa"/>
            <w:tcBorders>
              <w:top w:val="nil"/>
              <w:left w:val="nil"/>
              <w:right w:val="nil"/>
            </w:tcBorders>
            <w:vAlign w:val="center"/>
          </w:tcPr>
          <w:p w14:paraId="24CC59DF"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Unacceptable to my religious beliefs</w:t>
            </w:r>
          </w:p>
        </w:tc>
        <w:tc>
          <w:tcPr>
            <w:tcW w:w="1690" w:type="dxa"/>
            <w:tcBorders>
              <w:top w:val="nil"/>
              <w:left w:val="nil"/>
              <w:right w:val="nil"/>
            </w:tcBorders>
            <w:vAlign w:val="center"/>
          </w:tcPr>
          <w:p w14:paraId="4EA086F8"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c>
          <w:tcPr>
            <w:tcW w:w="3083" w:type="dxa"/>
            <w:tcBorders>
              <w:top w:val="nil"/>
              <w:left w:val="nil"/>
              <w:right w:val="nil"/>
            </w:tcBorders>
            <w:vAlign w:val="center"/>
          </w:tcPr>
          <w:p w14:paraId="7F66B274"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r>
      <w:tr w:rsidR="00084A63" w:rsidRPr="00C6358B" w14:paraId="57A457D0" w14:textId="77777777">
        <w:trPr>
          <w:trHeight w:val="119"/>
        </w:trPr>
        <w:tc>
          <w:tcPr>
            <w:tcW w:w="5225" w:type="dxa"/>
            <w:tcBorders>
              <w:top w:val="nil"/>
              <w:left w:val="nil"/>
              <w:bottom w:val="single" w:sz="4" w:space="0" w:color="auto"/>
              <w:right w:val="nil"/>
            </w:tcBorders>
            <w:vAlign w:val="center"/>
          </w:tcPr>
          <w:p w14:paraId="1F1199D7" w14:textId="77777777" w:rsidR="00084A63" w:rsidRPr="00C6358B" w:rsidRDefault="00083BFB">
            <w:pPr>
              <w:spacing w:before="100" w:beforeAutospacing="1" w:after="0" w:line="276" w:lineRule="auto"/>
              <w:ind w:firstLine="263"/>
              <w:jc w:val="left"/>
              <w:rPr>
                <w:rFonts w:eastAsia="Calibri" w:cs="Times New Roman"/>
                <w:kern w:val="0"/>
                <w14:ligatures w14:val="none"/>
              </w:rPr>
            </w:pPr>
            <w:r w:rsidRPr="00C6358B">
              <w:rPr>
                <w:rFonts w:cs="Times New Roman"/>
                <w:color w:val="000000"/>
              </w:rPr>
              <w:t>Family members would not allow it</w:t>
            </w:r>
          </w:p>
        </w:tc>
        <w:tc>
          <w:tcPr>
            <w:tcW w:w="1690" w:type="dxa"/>
            <w:tcBorders>
              <w:top w:val="nil"/>
              <w:left w:val="nil"/>
              <w:bottom w:val="single" w:sz="4" w:space="0" w:color="auto"/>
              <w:right w:val="nil"/>
            </w:tcBorders>
            <w:vAlign w:val="center"/>
          </w:tcPr>
          <w:p w14:paraId="01477E90"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c>
          <w:tcPr>
            <w:tcW w:w="3083" w:type="dxa"/>
            <w:tcBorders>
              <w:top w:val="nil"/>
              <w:left w:val="nil"/>
              <w:bottom w:val="single" w:sz="4" w:space="0" w:color="auto"/>
              <w:right w:val="nil"/>
            </w:tcBorders>
            <w:vAlign w:val="center"/>
          </w:tcPr>
          <w:p w14:paraId="2ECF094B"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r>
    </w:tbl>
    <w:bookmarkEnd w:id="7"/>
    <w:p w14:paraId="27DC217C" w14:textId="77777777" w:rsidR="00084A63" w:rsidRPr="00C6358B" w:rsidRDefault="00083BFB">
      <w:pPr>
        <w:spacing w:after="200" w:line="240" w:lineRule="auto"/>
        <w:rPr>
          <w:rFonts w:eastAsia="Calibri" w:cs="Times New Roman"/>
          <w:i/>
          <w:iCs/>
          <w:kern w:val="0"/>
          <w14:ligatures w14:val="none"/>
        </w:rPr>
      </w:pPr>
      <w:r w:rsidRPr="00C6358B">
        <w:rPr>
          <w:rFonts w:eastAsia="Calibri" w:cs="Times New Roman"/>
          <w:i/>
          <w:iCs/>
          <w:kern w:val="0"/>
          <w14:ligatures w14:val="none"/>
        </w:rPr>
        <w:t>*Multiple responses</w:t>
      </w:r>
    </w:p>
    <w:p w14:paraId="2A42066E" w14:textId="77777777" w:rsidR="00084A63" w:rsidRPr="00C6358B" w:rsidRDefault="00084A63">
      <w:pPr>
        <w:spacing w:after="200" w:line="240" w:lineRule="auto"/>
        <w:rPr>
          <w:rFonts w:eastAsia="Calibri" w:cs="Times New Roman"/>
          <w:i/>
          <w:iCs/>
          <w:color w:val="44546A"/>
          <w:kern w:val="0"/>
          <w14:ligatures w14:val="none"/>
        </w:rPr>
        <w:sectPr w:rsidR="00084A63" w:rsidRPr="00C6358B">
          <w:pgSz w:w="12240" w:h="15840"/>
          <w:pgMar w:top="1440" w:right="1440" w:bottom="1440" w:left="1440" w:header="720" w:footer="720" w:gutter="0"/>
          <w:cols w:space="720"/>
          <w:docGrid w:linePitch="360"/>
        </w:sectPr>
      </w:pPr>
    </w:p>
    <w:p w14:paraId="47D6F919" w14:textId="77777777" w:rsidR="00084A63" w:rsidRPr="00C6358B" w:rsidRDefault="00083BFB">
      <w:pPr>
        <w:pStyle w:val="Heading3"/>
        <w:rPr>
          <w:rFonts w:eastAsia="Calibri" w:cs="Times New Roman"/>
        </w:rPr>
      </w:pPr>
      <w:r w:rsidRPr="00C6358B">
        <w:rPr>
          <w:rFonts w:eastAsia="Calibri" w:cs="Times New Roman"/>
        </w:rPr>
        <w:lastRenderedPageBreak/>
        <w:t xml:space="preserve">Table 5: Factors associated with Awareness of HPV Vaccination </w:t>
      </w:r>
    </w:p>
    <w:tbl>
      <w:tblPr>
        <w:tblpPr w:leftFromText="180" w:rightFromText="180" w:vertAnchor="text" w:horzAnchor="margin" w:tblpXSpec="center" w:tblpY="319"/>
        <w:tblW w:w="8288" w:type="dxa"/>
        <w:tblLayout w:type="fixed"/>
        <w:tblLook w:val="04A0" w:firstRow="1" w:lastRow="0" w:firstColumn="1" w:lastColumn="0" w:noHBand="0" w:noVBand="1"/>
      </w:tblPr>
      <w:tblGrid>
        <w:gridCol w:w="2162"/>
        <w:gridCol w:w="1712"/>
        <w:gridCol w:w="1261"/>
        <w:gridCol w:w="1171"/>
        <w:gridCol w:w="901"/>
        <w:gridCol w:w="1081"/>
      </w:tblGrid>
      <w:tr w:rsidR="00084A63" w:rsidRPr="00C6358B" w14:paraId="24846AFF" w14:textId="77777777" w:rsidTr="00FA3196">
        <w:trPr>
          <w:trHeight w:val="208"/>
        </w:trPr>
        <w:tc>
          <w:tcPr>
            <w:tcW w:w="2162" w:type="dxa"/>
            <w:vMerge w:val="restart"/>
            <w:tcBorders>
              <w:top w:val="single" w:sz="12" w:space="0" w:color="auto"/>
              <w:left w:val="nil"/>
              <w:right w:val="nil"/>
            </w:tcBorders>
            <w:vAlign w:val="center"/>
          </w:tcPr>
          <w:p w14:paraId="2945CD28"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b/>
                <w:bCs/>
                <w:kern w:val="0"/>
                <w14:ligatures w14:val="none"/>
              </w:rPr>
              <w:t>Variables</w:t>
            </w:r>
          </w:p>
        </w:tc>
        <w:tc>
          <w:tcPr>
            <w:tcW w:w="1712" w:type="dxa"/>
            <w:vMerge w:val="restart"/>
            <w:tcBorders>
              <w:top w:val="single" w:sz="4" w:space="0" w:color="auto"/>
              <w:left w:val="nil"/>
            </w:tcBorders>
            <w:vAlign w:val="center"/>
          </w:tcPr>
          <w:p w14:paraId="75DC4B86"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N</w:t>
            </w:r>
          </w:p>
        </w:tc>
        <w:tc>
          <w:tcPr>
            <w:tcW w:w="2432" w:type="dxa"/>
            <w:gridSpan w:val="2"/>
            <w:tcBorders>
              <w:top w:val="single" w:sz="4" w:space="0" w:color="auto"/>
              <w:bottom w:val="single" w:sz="4" w:space="0" w:color="auto"/>
            </w:tcBorders>
            <w:vAlign w:val="center"/>
          </w:tcPr>
          <w:p w14:paraId="1F4A4546"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Awareness of HPV vaccine N (%)</w:t>
            </w:r>
          </w:p>
        </w:tc>
        <w:tc>
          <w:tcPr>
            <w:tcW w:w="901" w:type="dxa"/>
            <w:vMerge w:val="restart"/>
            <w:tcBorders>
              <w:top w:val="single" w:sz="4" w:space="0" w:color="auto"/>
              <w:bottom w:val="single" w:sz="4" w:space="0" w:color="auto"/>
            </w:tcBorders>
            <w:vAlign w:val="center"/>
          </w:tcPr>
          <w:p w14:paraId="7A65BDEE" w14:textId="77777777" w:rsidR="00084A63" w:rsidRPr="00C6358B" w:rsidRDefault="00083BFB">
            <w:pPr>
              <w:spacing w:after="0" w:line="360" w:lineRule="auto"/>
              <w:jc w:val="center"/>
              <w:rPr>
                <w:rFonts w:cs="Times New Roman"/>
                <w:b/>
                <w:bCs/>
                <w:vertAlign w:val="superscript"/>
              </w:rPr>
            </w:pPr>
            <w:r w:rsidRPr="00C6358B">
              <w:rPr>
                <w:rFonts w:eastAsia="Calibri" w:cs="Times New Roman"/>
                <w:b/>
                <w:bCs/>
                <w:kern w:val="0"/>
                <w:lang w:eastAsia="zh-CN" w:bidi="ar"/>
              </w:rPr>
              <w:t>X</w:t>
            </w:r>
            <w:r w:rsidRPr="00C6358B">
              <w:rPr>
                <w:rFonts w:eastAsia="Calibri" w:cs="Times New Roman"/>
                <w:b/>
                <w:bCs/>
                <w:kern w:val="0"/>
                <w:vertAlign w:val="superscript"/>
                <w:lang w:eastAsia="zh-CN" w:bidi="ar"/>
              </w:rPr>
              <w:t>2</w:t>
            </w:r>
          </w:p>
          <w:p w14:paraId="53F26032" w14:textId="77777777" w:rsidR="00084A63" w:rsidRPr="00C6358B" w:rsidRDefault="00083BFB">
            <w:pPr>
              <w:spacing w:after="0" w:line="360" w:lineRule="auto"/>
              <w:jc w:val="center"/>
              <w:rPr>
                <w:rFonts w:eastAsia="Calibri" w:cs="Times New Roman"/>
                <w:b/>
                <w:bCs/>
                <w:kern w:val="0"/>
                <w14:ligatures w14:val="none"/>
              </w:rPr>
            </w:pPr>
            <w:r w:rsidRPr="00C6358B">
              <w:rPr>
                <w:rFonts w:eastAsia="Calibri" w:cs="Times New Roman"/>
                <w:b/>
                <w:bCs/>
                <w:kern w:val="0"/>
                <w:lang w:eastAsia="zh-CN" w:bidi="ar"/>
              </w:rPr>
              <w:t>(df)</w:t>
            </w:r>
          </w:p>
        </w:tc>
        <w:tc>
          <w:tcPr>
            <w:tcW w:w="1081" w:type="dxa"/>
            <w:vMerge w:val="restart"/>
            <w:tcBorders>
              <w:top w:val="single" w:sz="4" w:space="0" w:color="auto"/>
              <w:bottom w:val="single" w:sz="4" w:space="0" w:color="auto"/>
              <w:right w:val="nil"/>
            </w:tcBorders>
            <w:vAlign w:val="center"/>
          </w:tcPr>
          <w:p w14:paraId="3C4E57A0" w14:textId="77777777" w:rsidR="00084A63" w:rsidRPr="00C6358B" w:rsidRDefault="00083BFB">
            <w:pPr>
              <w:spacing w:after="0" w:line="360" w:lineRule="auto"/>
              <w:jc w:val="center"/>
              <w:rPr>
                <w:rFonts w:eastAsia="Calibri" w:cs="Times New Roman"/>
                <w:b/>
                <w:bCs/>
                <w:kern w:val="0"/>
                <w14:ligatures w14:val="none"/>
              </w:rPr>
            </w:pPr>
            <w:r w:rsidRPr="00C6358B">
              <w:rPr>
                <w:rFonts w:eastAsia="Calibri" w:cs="Times New Roman"/>
                <w:b/>
                <w:bCs/>
                <w:i/>
                <w:iCs/>
                <w:kern w:val="0"/>
                <w:lang w:eastAsia="zh-CN" w:bidi="ar"/>
              </w:rPr>
              <w:t>p-value</w:t>
            </w:r>
          </w:p>
        </w:tc>
      </w:tr>
      <w:tr w:rsidR="00084A63" w:rsidRPr="00C6358B" w14:paraId="374CB3BE" w14:textId="77777777" w:rsidTr="00FA3196">
        <w:trPr>
          <w:trHeight w:val="208"/>
        </w:trPr>
        <w:tc>
          <w:tcPr>
            <w:tcW w:w="2162" w:type="dxa"/>
            <w:vMerge/>
            <w:tcBorders>
              <w:left w:val="nil"/>
              <w:bottom w:val="single" w:sz="4" w:space="0" w:color="auto"/>
              <w:right w:val="nil"/>
            </w:tcBorders>
            <w:vAlign w:val="center"/>
          </w:tcPr>
          <w:p w14:paraId="07097243" w14:textId="77777777" w:rsidR="00084A63" w:rsidRPr="00C6358B" w:rsidRDefault="00084A63">
            <w:pPr>
              <w:spacing w:after="0" w:line="240" w:lineRule="auto"/>
              <w:rPr>
                <w:rFonts w:eastAsia="Calibri" w:cs="Times New Roman"/>
                <w:b/>
                <w:bCs/>
                <w:kern w:val="0"/>
                <w14:ligatures w14:val="none"/>
              </w:rPr>
            </w:pPr>
          </w:p>
        </w:tc>
        <w:tc>
          <w:tcPr>
            <w:tcW w:w="1712" w:type="dxa"/>
            <w:vMerge/>
            <w:tcBorders>
              <w:left w:val="nil"/>
              <w:bottom w:val="single" w:sz="4" w:space="0" w:color="auto"/>
            </w:tcBorders>
          </w:tcPr>
          <w:p w14:paraId="10711B9B" w14:textId="77777777" w:rsidR="00084A63" w:rsidRPr="00C6358B" w:rsidRDefault="00084A63">
            <w:pPr>
              <w:spacing w:after="0" w:line="240" w:lineRule="auto"/>
              <w:jc w:val="center"/>
              <w:rPr>
                <w:rFonts w:eastAsia="Calibri" w:cs="Times New Roman"/>
                <w:b/>
                <w:bCs/>
                <w:kern w:val="0"/>
                <w14:ligatures w14:val="none"/>
              </w:rPr>
            </w:pPr>
          </w:p>
        </w:tc>
        <w:tc>
          <w:tcPr>
            <w:tcW w:w="1261" w:type="dxa"/>
            <w:tcBorders>
              <w:top w:val="single" w:sz="4" w:space="0" w:color="auto"/>
              <w:bottom w:val="single" w:sz="4" w:space="0" w:color="auto"/>
            </w:tcBorders>
            <w:vAlign w:val="center"/>
          </w:tcPr>
          <w:p w14:paraId="5E3CC3AD"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kern w:val="0"/>
                <w14:ligatures w14:val="none"/>
              </w:rPr>
              <w:t>Yes</w:t>
            </w:r>
          </w:p>
        </w:tc>
        <w:tc>
          <w:tcPr>
            <w:tcW w:w="1171" w:type="dxa"/>
            <w:tcBorders>
              <w:top w:val="single" w:sz="4" w:space="0" w:color="auto"/>
              <w:bottom w:val="single" w:sz="4" w:space="0" w:color="auto"/>
            </w:tcBorders>
            <w:vAlign w:val="center"/>
          </w:tcPr>
          <w:p w14:paraId="5C2BB0CB"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kern w:val="0"/>
                <w14:ligatures w14:val="none"/>
              </w:rPr>
              <w:t>No</w:t>
            </w:r>
          </w:p>
        </w:tc>
        <w:tc>
          <w:tcPr>
            <w:tcW w:w="901" w:type="dxa"/>
            <w:vMerge/>
            <w:tcBorders>
              <w:bottom w:val="single" w:sz="4" w:space="0" w:color="auto"/>
            </w:tcBorders>
            <w:vAlign w:val="center"/>
          </w:tcPr>
          <w:p w14:paraId="132A39A2" w14:textId="77777777" w:rsidR="00084A63" w:rsidRPr="00C6358B" w:rsidRDefault="00084A63">
            <w:pPr>
              <w:spacing w:after="0" w:line="240" w:lineRule="auto"/>
              <w:jc w:val="center"/>
              <w:rPr>
                <w:rFonts w:eastAsia="Calibri" w:cs="Times New Roman"/>
                <w:b/>
                <w:bCs/>
                <w:kern w:val="0"/>
                <w14:ligatures w14:val="none"/>
              </w:rPr>
            </w:pPr>
          </w:p>
        </w:tc>
        <w:tc>
          <w:tcPr>
            <w:tcW w:w="1081" w:type="dxa"/>
            <w:vMerge/>
            <w:tcBorders>
              <w:bottom w:val="single" w:sz="4" w:space="0" w:color="auto"/>
              <w:right w:val="nil"/>
            </w:tcBorders>
            <w:vAlign w:val="center"/>
          </w:tcPr>
          <w:p w14:paraId="55F1C62E" w14:textId="77777777" w:rsidR="00084A63" w:rsidRPr="00C6358B" w:rsidRDefault="00084A63">
            <w:pPr>
              <w:spacing w:after="0" w:line="240" w:lineRule="auto"/>
              <w:jc w:val="center"/>
              <w:rPr>
                <w:rFonts w:eastAsia="Calibri" w:cs="Times New Roman"/>
                <w:b/>
                <w:bCs/>
                <w:kern w:val="0"/>
                <w14:ligatures w14:val="none"/>
              </w:rPr>
            </w:pPr>
          </w:p>
        </w:tc>
      </w:tr>
      <w:tr w:rsidR="00084A63" w:rsidRPr="00C6358B" w14:paraId="0DDAB098" w14:textId="77777777" w:rsidTr="00FA3196">
        <w:trPr>
          <w:trHeight w:val="136"/>
        </w:trPr>
        <w:tc>
          <w:tcPr>
            <w:tcW w:w="2162" w:type="dxa"/>
            <w:tcBorders>
              <w:top w:val="single" w:sz="4" w:space="0" w:color="auto"/>
            </w:tcBorders>
          </w:tcPr>
          <w:p w14:paraId="1498627B"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Age groups (years)</w:t>
            </w:r>
          </w:p>
        </w:tc>
        <w:tc>
          <w:tcPr>
            <w:tcW w:w="1712" w:type="dxa"/>
            <w:tcBorders>
              <w:top w:val="single" w:sz="4" w:space="0" w:color="auto"/>
            </w:tcBorders>
            <w:vAlign w:val="center"/>
          </w:tcPr>
          <w:p w14:paraId="3506D616" w14:textId="77777777" w:rsidR="00084A63" w:rsidRPr="00C6358B" w:rsidRDefault="00084A63">
            <w:pPr>
              <w:spacing w:after="0" w:line="240" w:lineRule="auto"/>
              <w:jc w:val="center"/>
              <w:rPr>
                <w:rFonts w:eastAsia="Calibri" w:cs="Times New Roman"/>
                <w:kern w:val="0"/>
                <w14:ligatures w14:val="none"/>
              </w:rPr>
            </w:pPr>
          </w:p>
        </w:tc>
        <w:tc>
          <w:tcPr>
            <w:tcW w:w="1261" w:type="dxa"/>
            <w:tcBorders>
              <w:top w:val="single" w:sz="4" w:space="0" w:color="auto"/>
            </w:tcBorders>
            <w:vAlign w:val="center"/>
          </w:tcPr>
          <w:p w14:paraId="624FD5D1" w14:textId="77777777" w:rsidR="00084A63" w:rsidRPr="00C6358B" w:rsidRDefault="00084A63">
            <w:pPr>
              <w:spacing w:after="0" w:line="240" w:lineRule="auto"/>
              <w:jc w:val="center"/>
              <w:rPr>
                <w:rFonts w:eastAsia="Calibri" w:cs="Times New Roman"/>
                <w:kern w:val="0"/>
                <w14:ligatures w14:val="none"/>
              </w:rPr>
            </w:pPr>
          </w:p>
        </w:tc>
        <w:tc>
          <w:tcPr>
            <w:tcW w:w="1171" w:type="dxa"/>
            <w:tcBorders>
              <w:top w:val="single" w:sz="4" w:space="0" w:color="auto"/>
            </w:tcBorders>
            <w:vAlign w:val="center"/>
          </w:tcPr>
          <w:p w14:paraId="2BCAAC3C" w14:textId="77777777" w:rsidR="00084A63" w:rsidRPr="00C6358B" w:rsidRDefault="00084A63">
            <w:pPr>
              <w:spacing w:after="0" w:line="240" w:lineRule="auto"/>
              <w:jc w:val="center"/>
              <w:rPr>
                <w:rFonts w:eastAsia="Calibri" w:cs="Times New Roman"/>
                <w:kern w:val="0"/>
                <w14:ligatures w14:val="none"/>
              </w:rPr>
            </w:pPr>
          </w:p>
        </w:tc>
        <w:tc>
          <w:tcPr>
            <w:tcW w:w="901" w:type="dxa"/>
            <w:vMerge w:val="restart"/>
            <w:tcBorders>
              <w:top w:val="single" w:sz="4" w:space="0" w:color="auto"/>
            </w:tcBorders>
            <w:vAlign w:val="center"/>
          </w:tcPr>
          <w:p w14:paraId="285DE7B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0.430</w:t>
            </w:r>
          </w:p>
          <w:p w14:paraId="193E5690"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tcBorders>
              <w:top w:val="single" w:sz="4" w:space="0" w:color="auto"/>
            </w:tcBorders>
            <w:vAlign w:val="center"/>
          </w:tcPr>
          <w:p w14:paraId="078B80D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0.512</w:t>
            </w:r>
          </w:p>
        </w:tc>
      </w:tr>
      <w:tr w:rsidR="00084A63" w:rsidRPr="00C6358B" w14:paraId="16F319CF" w14:textId="77777777" w:rsidTr="00FA3196">
        <w:trPr>
          <w:trHeight w:val="136"/>
        </w:trPr>
        <w:tc>
          <w:tcPr>
            <w:tcW w:w="2162" w:type="dxa"/>
          </w:tcPr>
          <w:p w14:paraId="19B56DB2"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20-39</w:t>
            </w:r>
          </w:p>
        </w:tc>
        <w:tc>
          <w:tcPr>
            <w:tcW w:w="1712" w:type="dxa"/>
            <w:vAlign w:val="center"/>
          </w:tcPr>
          <w:p w14:paraId="603DFB2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126</w:t>
            </w:r>
          </w:p>
        </w:tc>
        <w:tc>
          <w:tcPr>
            <w:tcW w:w="1261" w:type="dxa"/>
            <w:vAlign w:val="center"/>
          </w:tcPr>
          <w:p w14:paraId="44D9484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109(86.5)</w:t>
            </w:r>
          </w:p>
        </w:tc>
        <w:tc>
          <w:tcPr>
            <w:tcW w:w="1171" w:type="dxa"/>
            <w:vAlign w:val="center"/>
          </w:tcPr>
          <w:p w14:paraId="5EB5E930"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17(13.5)</w:t>
            </w:r>
          </w:p>
        </w:tc>
        <w:tc>
          <w:tcPr>
            <w:tcW w:w="901" w:type="dxa"/>
            <w:vMerge/>
            <w:vAlign w:val="center"/>
          </w:tcPr>
          <w:p w14:paraId="03BFAEC8"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6BA0E80D"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89755FE" w14:textId="77777777" w:rsidTr="00FA3196">
        <w:trPr>
          <w:trHeight w:val="136"/>
        </w:trPr>
        <w:tc>
          <w:tcPr>
            <w:tcW w:w="2162" w:type="dxa"/>
          </w:tcPr>
          <w:p w14:paraId="0731E103"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u w:val="single"/>
                <w14:ligatures w14:val="none"/>
              </w:rPr>
              <w:t>&gt;</w:t>
            </w:r>
            <w:r w:rsidRPr="00C6358B">
              <w:rPr>
                <w:rFonts w:eastAsia="Calibri" w:cs="Times New Roman"/>
                <w:kern w:val="0"/>
                <w14:ligatures w14:val="none"/>
              </w:rPr>
              <w:t>40</w:t>
            </w:r>
          </w:p>
        </w:tc>
        <w:tc>
          <w:tcPr>
            <w:tcW w:w="1712" w:type="dxa"/>
            <w:vAlign w:val="center"/>
          </w:tcPr>
          <w:p w14:paraId="1F91D628"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52</w:t>
            </w:r>
          </w:p>
        </w:tc>
        <w:tc>
          <w:tcPr>
            <w:tcW w:w="1261" w:type="dxa"/>
            <w:vAlign w:val="center"/>
          </w:tcPr>
          <w:p w14:paraId="38D17A7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43(82.7)</w:t>
            </w:r>
          </w:p>
        </w:tc>
        <w:tc>
          <w:tcPr>
            <w:tcW w:w="1171" w:type="dxa"/>
            <w:vAlign w:val="center"/>
          </w:tcPr>
          <w:p w14:paraId="57553C4B"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9(17.3)</w:t>
            </w:r>
          </w:p>
        </w:tc>
        <w:tc>
          <w:tcPr>
            <w:tcW w:w="901" w:type="dxa"/>
            <w:vMerge/>
            <w:vAlign w:val="center"/>
          </w:tcPr>
          <w:p w14:paraId="7BF6E122"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4927D807"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C87C149" w14:textId="77777777" w:rsidTr="00FA3196">
        <w:trPr>
          <w:trHeight w:val="136"/>
        </w:trPr>
        <w:tc>
          <w:tcPr>
            <w:tcW w:w="2162" w:type="dxa"/>
          </w:tcPr>
          <w:p w14:paraId="00CAB5C3"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b/>
                <w:bCs/>
                <w:kern w:val="0"/>
                <w14:ligatures w14:val="none"/>
              </w:rPr>
              <w:t>Marital Status</w:t>
            </w:r>
          </w:p>
        </w:tc>
        <w:tc>
          <w:tcPr>
            <w:tcW w:w="1712" w:type="dxa"/>
          </w:tcPr>
          <w:p w14:paraId="7BABAE10" w14:textId="77777777" w:rsidR="00084A63" w:rsidRPr="00C6358B" w:rsidRDefault="00084A63">
            <w:pPr>
              <w:spacing w:after="0" w:line="240" w:lineRule="auto"/>
              <w:jc w:val="center"/>
              <w:rPr>
                <w:rFonts w:eastAsia="Calibri" w:cs="Times New Roman"/>
                <w:kern w:val="0"/>
                <w14:ligatures w14:val="none"/>
              </w:rPr>
            </w:pPr>
          </w:p>
        </w:tc>
        <w:tc>
          <w:tcPr>
            <w:tcW w:w="1261" w:type="dxa"/>
            <w:vAlign w:val="center"/>
          </w:tcPr>
          <w:p w14:paraId="04418CCF"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61C39CEA"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2867B44C"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2D7C81AE"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65C3BB78" w14:textId="77777777" w:rsidTr="00FA3196">
        <w:trPr>
          <w:trHeight w:val="136"/>
        </w:trPr>
        <w:tc>
          <w:tcPr>
            <w:tcW w:w="2162" w:type="dxa"/>
          </w:tcPr>
          <w:p w14:paraId="1F0ED587"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Single</w:t>
            </w:r>
          </w:p>
        </w:tc>
        <w:tc>
          <w:tcPr>
            <w:tcW w:w="1712" w:type="dxa"/>
          </w:tcPr>
          <w:p w14:paraId="172264E0"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67</w:t>
            </w:r>
          </w:p>
        </w:tc>
        <w:tc>
          <w:tcPr>
            <w:tcW w:w="1261" w:type="dxa"/>
            <w:vAlign w:val="center"/>
          </w:tcPr>
          <w:p w14:paraId="1D84AE2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53(79.1)</w:t>
            </w:r>
          </w:p>
        </w:tc>
        <w:tc>
          <w:tcPr>
            <w:tcW w:w="1171" w:type="dxa"/>
            <w:vAlign w:val="center"/>
          </w:tcPr>
          <w:p w14:paraId="0619102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14(20.9)</w:t>
            </w:r>
          </w:p>
        </w:tc>
        <w:tc>
          <w:tcPr>
            <w:tcW w:w="901" w:type="dxa"/>
            <w:vMerge w:val="restart"/>
            <w:vAlign w:val="center"/>
          </w:tcPr>
          <w:p w14:paraId="78F0AB4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3.407</w:t>
            </w:r>
          </w:p>
          <w:p w14:paraId="0A8CFAF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vAlign w:val="center"/>
          </w:tcPr>
          <w:p w14:paraId="5D85817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0.065</w:t>
            </w:r>
          </w:p>
        </w:tc>
      </w:tr>
      <w:tr w:rsidR="00084A63" w:rsidRPr="00C6358B" w14:paraId="7AD66EB3" w14:textId="77777777" w:rsidTr="00FA3196">
        <w:trPr>
          <w:trHeight w:val="136"/>
        </w:trPr>
        <w:tc>
          <w:tcPr>
            <w:tcW w:w="2162" w:type="dxa"/>
          </w:tcPr>
          <w:p w14:paraId="20FBC842"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Married</w:t>
            </w:r>
          </w:p>
        </w:tc>
        <w:tc>
          <w:tcPr>
            <w:tcW w:w="1712" w:type="dxa"/>
          </w:tcPr>
          <w:p w14:paraId="763E4166"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 xml:space="preserve">111 </w:t>
            </w:r>
          </w:p>
        </w:tc>
        <w:tc>
          <w:tcPr>
            <w:tcW w:w="1261" w:type="dxa"/>
            <w:vAlign w:val="center"/>
          </w:tcPr>
          <w:p w14:paraId="4D5FD37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99(89.2)</w:t>
            </w:r>
          </w:p>
        </w:tc>
        <w:tc>
          <w:tcPr>
            <w:tcW w:w="1171" w:type="dxa"/>
            <w:vAlign w:val="center"/>
          </w:tcPr>
          <w:p w14:paraId="703FC41B"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12(10.8)</w:t>
            </w:r>
          </w:p>
        </w:tc>
        <w:tc>
          <w:tcPr>
            <w:tcW w:w="901" w:type="dxa"/>
            <w:vMerge/>
            <w:vAlign w:val="center"/>
          </w:tcPr>
          <w:p w14:paraId="59533E23"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6983A824"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0E16DECD" w14:textId="77777777" w:rsidTr="00FA3196">
        <w:trPr>
          <w:trHeight w:val="136"/>
        </w:trPr>
        <w:tc>
          <w:tcPr>
            <w:tcW w:w="3874" w:type="dxa"/>
            <w:gridSpan w:val="2"/>
            <w:vAlign w:val="center"/>
          </w:tcPr>
          <w:p w14:paraId="36D05E67"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 xml:space="preserve">Number of children </w:t>
            </w:r>
          </w:p>
        </w:tc>
        <w:tc>
          <w:tcPr>
            <w:tcW w:w="1261" w:type="dxa"/>
            <w:vAlign w:val="center"/>
          </w:tcPr>
          <w:p w14:paraId="72C271BA"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2891E462"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7FF34828"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33242E74"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7BF3B83B" w14:textId="77777777" w:rsidTr="00FA3196">
        <w:trPr>
          <w:trHeight w:val="136"/>
        </w:trPr>
        <w:tc>
          <w:tcPr>
            <w:tcW w:w="2162" w:type="dxa"/>
          </w:tcPr>
          <w:p w14:paraId="1E6E1CF7" w14:textId="77777777" w:rsidR="00084A63" w:rsidRPr="00C6358B" w:rsidRDefault="00083BFB">
            <w:pPr>
              <w:spacing w:after="0" w:line="240" w:lineRule="auto"/>
              <w:ind w:firstLine="294"/>
              <w:jc w:val="left"/>
              <w:rPr>
                <w:rFonts w:eastAsia="Calibri" w:cs="Times New Roman"/>
                <w:kern w:val="0"/>
                <w14:ligatures w14:val="none"/>
              </w:rPr>
            </w:pPr>
            <w:r w:rsidRPr="00C6358B">
              <w:rPr>
                <w:rFonts w:cs="Times New Roman"/>
              </w:rPr>
              <w:t>0-2</w:t>
            </w:r>
          </w:p>
        </w:tc>
        <w:tc>
          <w:tcPr>
            <w:tcW w:w="1712" w:type="dxa"/>
          </w:tcPr>
          <w:p w14:paraId="0159F5F1"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127</w:t>
            </w:r>
          </w:p>
        </w:tc>
        <w:tc>
          <w:tcPr>
            <w:tcW w:w="1261" w:type="dxa"/>
            <w:vAlign w:val="center"/>
          </w:tcPr>
          <w:p w14:paraId="733CD99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106 (83.5)</w:t>
            </w:r>
          </w:p>
        </w:tc>
        <w:tc>
          <w:tcPr>
            <w:tcW w:w="1171" w:type="dxa"/>
            <w:vAlign w:val="center"/>
          </w:tcPr>
          <w:p w14:paraId="00747B2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21(16.5)</w:t>
            </w:r>
          </w:p>
        </w:tc>
        <w:tc>
          <w:tcPr>
            <w:tcW w:w="901" w:type="dxa"/>
            <w:vMerge w:val="restart"/>
            <w:vAlign w:val="center"/>
          </w:tcPr>
          <w:p w14:paraId="10E181E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1.322</w:t>
            </w:r>
          </w:p>
          <w:p w14:paraId="0FA571F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vAlign w:val="center"/>
          </w:tcPr>
          <w:p w14:paraId="5910FE2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0.250</w:t>
            </w:r>
          </w:p>
        </w:tc>
      </w:tr>
      <w:tr w:rsidR="00084A63" w:rsidRPr="00C6358B" w14:paraId="1A557BAF" w14:textId="77777777" w:rsidTr="00FA3196">
        <w:trPr>
          <w:trHeight w:val="136"/>
        </w:trPr>
        <w:tc>
          <w:tcPr>
            <w:tcW w:w="2162" w:type="dxa"/>
          </w:tcPr>
          <w:p w14:paraId="4FEFBAA6" w14:textId="77777777" w:rsidR="00084A63" w:rsidRPr="00C6358B" w:rsidRDefault="00083BFB">
            <w:pPr>
              <w:spacing w:after="0" w:line="240" w:lineRule="auto"/>
              <w:ind w:firstLine="294"/>
              <w:jc w:val="left"/>
              <w:rPr>
                <w:rFonts w:eastAsia="Calibri" w:cs="Times New Roman"/>
                <w:kern w:val="0"/>
                <w14:ligatures w14:val="none"/>
              </w:rPr>
            </w:pPr>
            <w:r w:rsidRPr="00C6358B">
              <w:rPr>
                <w:rFonts w:cs="Times New Roman"/>
              </w:rPr>
              <w:t>3-5</w:t>
            </w:r>
          </w:p>
        </w:tc>
        <w:tc>
          <w:tcPr>
            <w:tcW w:w="1712" w:type="dxa"/>
          </w:tcPr>
          <w:p w14:paraId="3AD85F07"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51</w:t>
            </w:r>
          </w:p>
        </w:tc>
        <w:tc>
          <w:tcPr>
            <w:tcW w:w="1261" w:type="dxa"/>
            <w:vAlign w:val="center"/>
          </w:tcPr>
          <w:p w14:paraId="19C2588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46(90.2)</w:t>
            </w:r>
          </w:p>
        </w:tc>
        <w:tc>
          <w:tcPr>
            <w:tcW w:w="1171" w:type="dxa"/>
            <w:vAlign w:val="center"/>
          </w:tcPr>
          <w:p w14:paraId="4FCAE35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5(9.8)</w:t>
            </w:r>
          </w:p>
        </w:tc>
        <w:tc>
          <w:tcPr>
            <w:tcW w:w="901" w:type="dxa"/>
            <w:vMerge/>
            <w:vAlign w:val="center"/>
          </w:tcPr>
          <w:p w14:paraId="3581936C"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47015CE4"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33377C21" w14:textId="77777777" w:rsidTr="00FA3196">
        <w:trPr>
          <w:trHeight w:val="136"/>
        </w:trPr>
        <w:tc>
          <w:tcPr>
            <w:tcW w:w="2162" w:type="dxa"/>
          </w:tcPr>
          <w:p w14:paraId="5C76AEC8"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 xml:space="preserve">Educational level </w:t>
            </w:r>
          </w:p>
        </w:tc>
        <w:tc>
          <w:tcPr>
            <w:tcW w:w="1712" w:type="dxa"/>
          </w:tcPr>
          <w:p w14:paraId="501C1010" w14:textId="77777777" w:rsidR="00084A63" w:rsidRPr="00C6358B" w:rsidRDefault="00084A63">
            <w:pPr>
              <w:spacing w:after="0" w:line="240" w:lineRule="auto"/>
              <w:jc w:val="center"/>
              <w:rPr>
                <w:rFonts w:eastAsia="Calibri" w:cs="Times New Roman"/>
                <w:kern w:val="0"/>
                <w14:ligatures w14:val="none"/>
              </w:rPr>
            </w:pPr>
          </w:p>
        </w:tc>
        <w:tc>
          <w:tcPr>
            <w:tcW w:w="1261" w:type="dxa"/>
            <w:vAlign w:val="center"/>
          </w:tcPr>
          <w:p w14:paraId="5FA114BF"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41A5C28C"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0F254290"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23774FA7"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528A7C6E" w14:textId="77777777" w:rsidTr="00FA3196">
        <w:trPr>
          <w:trHeight w:val="136"/>
        </w:trPr>
        <w:tc>
          <w:tcPr>
            <w:tcW w:w="2162" w:type="dxa"/>
          </w:tcPr>
          <w:p w14:paraId="72A1DC3F"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Post-tertiary</w:t>
            </w:r>
          </w:p>
        </w:tc>
        <w:tc>
          <w:tcPr>
            <w:tcW w:w="1712" w:type="dxa"/>
            <w:vAlign w:val="center"/>
          </w:tcPr>
          <w:p w14:paraId="468B4A0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79</w:t>
            </w:r>
          </w:p>
        </w:tc>
        <w:tc>
          <w:tcPr>
            <w:tcW w:w="1261" w:type="dxa"/>
            <w:vAlign w:val="center"/>
          </w:tcPr>
          <w:p w14:paraId="68A4EDF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72(91.1)</w:t>
            </w:r>
          </w:p>
        </w:tc>
        <w:tc>
          <w:tcPr>
            <w:tcW w:w="1171" w:type="dxa"/>
            <w:vAlign w:val="center"/>
          </w:tcPr>
          <w:p w14:paraId="1A496E9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7(8.9)</w:t>
            </w:r>
          </w:p>
        </w:tc>
        <w:tc>
          <w:tcPr>
            <w:tcW w:w="901" w:type="dxa"/>
            <w:vMerge w:val="restart"/>
            <w:vAlign w:val="center"/>
          </w:tcPr>
          <w:p w14:paraId="4044E94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3.760</w:t>
            </w:r>
          </w:p>
          <w:p w14:paraId="0E23DB7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vAlign w:val="center"/>
          </w:tcPr>
          <w:p w14:paraId="10A62FF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0.052</w:t>
            </w:r>
          </w:p>
        </w:tc>
      </w:tr>
      <w:tr w:rsidR="00084A63" w:rsidRPr="00C6358B" w14:paraId="31A9F893" w14:textId="77777777" w:rsidTr="00FA3196">
        <w:trPr>
          <w:trHeight w:val="136"/>
        </w:trPr>
        <w:tc>
          <w:tcPr>
            <w:tcW w:w="2162" w:type="dxa"/>
          </w:tcPr>
          <w:p w14:paraId="25D46B2B"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Tertiary</w:t>
            </w:r>
          </w:p>
        </w:tc>
        <w:tc>
          <w:tcPr>
            <w:tcW w:w="1712" w:type="dxa"/>
            <w:vAlign w:val="center"/>
          </w:tcPr>
          <w:p w14:paraId="612016F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99</w:t>
            </w:r>
          </w:p>
        </w:tc>
        <w:tc>
          <w:tcPr>
            <w:tcW w:w="1261" w:type="dxa"/>
            <w:vAlign w:val="center"/>
          </w:tcPr>
          <w:p w14:paraId="271E642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80(80.8)</w:t>
            </w:r>
          </w:p>
        </w:tc>
        <w:tc>
          <w:tcPr>
            <w:tcW w:w="1171" w:type="dxa"/>
            <w:vAlign w:val="center"/>
          </w:tcPr>
          <w:p w14:paraId="53F575F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19(19.2)</w:t>
            </w:r>
          </w:p>
        </w:tc>
        <w:tc>
          <w:tcPr>
            <w:tcW w:w="901" w:type="dxa"/>
            <w:vMerge/>
            <w:vAlign w:val="center"/>
          </w:tcPr>
          <w:p w14:paraId="0ABACB30"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3B11B718"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023CEAC5" w14:textId="77777777" w:rsidTr="00FA3196">
        <w:trPr>
          <w:trHeight w:val="136"/>
        </w:trPr>
        <w:tc>
          <w:tcPr>
            <w:tcW w:w="3874" w:type="dxa"/>
            <w:gridSpan w:val="2"/>
            <w:vAlign w:val="center"/>
          </w:tcPr>
          <w:p w14:paraId="23C27315"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Number of years of practice</w:t>
            </w:r>
          </w:p>
        </w:tc>
        <w:tc>
          <w:tcPr>
            <w:tcW w:w="1261" w:type="dxa"/>
            <w:vAlign w:val="center"/>
          </w:tcPr>
          <w:p w14:paraId="75C5A532"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3A5F74B0"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7B0C51C9"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22AA81A9"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66451AE7" w14:textId="77777777" w:rsidTr="00FA3196">
        <w:trPr>
          <w:trHeight w:val="136"/>
        </w:trPr>
        <w:tc>
          <w:tcPr>
            <w:tcW w:w="2162" w:type="dxa"/>
          </w:tcPr>
          <w:p w14:paraId="760727C8"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&lt;10</w:t>
            </w:r>
          </w:p>
        </w:tc>
        <w:tc>
          <w:tcPr>
            <w:tcW w:w="1712" w:type="dxa"/>
          </w:tcPr>
          <w:p w14:paraId="0B8E27E9"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91</w:t>
            </w:r>
          </w:p>
        </w:tc>
        <w:tc>
          <w:tcPr>
            <w:tcW w:w="1261" w:type="dxa"/>
            <w:vAlign w:val="center"/>
          </w:tcPr>
          <w:p w14:paraId="679DD09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76(83.5)</w:t>
            </w:r>
          </w:p>
        </w:tc>
        <w:tc>
          <w:tcPr>
            <w:tcW w:w="1171" w:type="dxa"/>
            <w:vAlign w:val="center"/>
          </w:tcPr>
          <w:p w14:paraId="2C58EF0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15(16.5)</w:t>
            </w:r>
          </w:p>
        </w:tc>
        <w:tc>
          <w:tcPr>
            <w:tcW w:w="901" w:type="dxa"/>
            <w:vMerge w:val="restart"/>
            <w:vAlign w:val="center"/>
          </w:tcPr>
          <w:p w14:paraId="235E625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2.048</w:t>
            </w:r>
          </w:p>
          <w:p w14:paraId="6AD5B64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vAlign w:val="center"/>
          </w:tcPr>
          <w:p w14:paraId="23BEB57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0.359</w:t>
            </w:r>
          </w:p>
        </w:tc>
      </w:tr>
      <w:tr w:rsidR="00084A63" w:rsidRPr="00C6358B" w14:paraId="4AC4C54D" w14:textId="77777777" w:rsidTr="00FA3196">
        <w:trPr>
          <w:trHeight w:val="136"/>
        </w:trPr>
        <w:tc>
          <w:tcPr>
            <w:tcW w:w="2162" w:type="dxa"/>
          </w:tcPr>
          <w:p w14:paraId="04260D5A"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10-19</w:t>
            </w:r>
          </w:p>
        </w:tc>
        <w:tc>
          <w:tcPr>
            <w:tcW w:w="1712" w:type="dxa"/>
          </w:tcPr>
          <w:p w14:paraId="42DAEBB8"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62</w:t>
            </w:r>
          </w:p>
        </w:tc>
        <w:tc>
          <w:tcPr>
            <w:tcW w:w="1261" w:type="dxa"/>
            <w:vAlign w:val="center"/>
          </w:tcPr>
          <w:p w14:paraId="6391CA4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56(90.3)</w:t>
            </w:r>
          </w:p>
        </w:tc>
        <w:tc>
          <w:tcPr>
            <w:tcW w:w="1171" w:type="dxa"/>
            <w:vAlign w:val="center"/>
          </w:tcPr>
          <w:p w14:paraId="6B092CB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6(9.7)</w:t>
            </w:r>
          </w:p>
        </w:tc>
        <w:tc>
          <w:tcPr>
            <w:tcW w:w="901" w:type="dxa"/>
            <w:vMerge/>
            <w:vAlign w:val="center"/>
          </w:tcPr>
          <w:p w14:paraId="5A04D05A"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05B9FA52"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3EE65336" w14:textId="77777777" w:rsidTr="00FA3196">
        <w:trPr>
          <w:trHeight w:val="136"/>
        </w:trPr>
        <w:tc>
          <w:tcPr>
            <w:tcW w:w="2162" w:type="dxa"/>
          </w:tcPr>
          <w:p w14:paraId="79D1E692"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&gt;20</w:t>
            </w:r>
          </w:p>
        </w:tc>
        <w:tc>
          <w:tcPr>
            <w:tcW w:w="1712" w:type="dxa"/>
          </w:tcPr>
          <w:p w14:paraId="048779CF"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25</w:t>
            </w:r>
          </w:p>
        </w:tc>
        <w:tc>
          <w:tcPr>
            <w:tcW w:w="1261" w:type="dxa"/>
            <w:vAlign w:val="center"/>
          </w:tcPr>
          <w:p w14:paraId="5C58BCF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20(80.0)</w:t>
            </w:r>
          </w:p>
        </w:tc>
        <w:tc>
          <w:tcPr>
            <w:tcW w:w="1171" w:type="dxa"/>
            <w:vAlign w:val="center"/>
          </w:tcPr>
          <w:p w14:paraId="5355FD2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5(20.0)</w:t>
            </w:r>
          </w:p>
        </w:tc>
        <w:tc>
          <w:tcPr>
            <w:tcW w:w="901" w:type="dxa"/>
            <w:vMerge/>
            <w:vAlign w:val="center"/>
          </w:tcPr>
          <w:p w14:paraId="24DD0467"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4DFEB158"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32EC115" w14:textId="77777777" w:rsidTr="00FA3196">
        <w:trPr>
          <w:trHeight w:val="136"/>
        </w:trPr>
        <w:tc>
          <w:tcPr>
            <w:tcW w:w="3874" w:type="dxa"/>
            <w:gridSpan w:val="2"/>
            <w:vAlign w:val="center"/>
          </w:tcPr>
          <w:p w14:paraId="6902ADA6"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Healthcare profession</w:t>
            </w:r>
          </w:p>
        </w:tc>
        <w:tc>
          <w:tcPr>
            <w:tcW w:w="1261" w:type="dxa"/>
            <w:vAlign w:val="center"/>
          </w:tcPr>
          <w:p w14:paraId="26CC9BEA"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128614FC"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3CDFCB22"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7080AB0B"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7FC2F0D1" w14:textId="77777777" w:rsidTr="00FA3196">
        <w:trPr>
          <w:trHeight w:val="136"/>
        </w:trPr>
        <w:tc>
          <w:tcPr>
            <w:tcW w:w="2162" w:type="dxa"/>
          </w:tcPr>
          <w:p w14:paraId="03B1EE51"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kern w:val="0"/>
                <w14:ligatures w14:val="none"/>
              </w:rPr>
              <w:t xml:space="preserve">   Medicine</w:t>
            </w:r>
          </w:p>
        </w:tc>
        <w:tc>
          <w:tcPr>
            <w:tcW w:w="1712" w:type="dxa"/>
            <w:vAlign w:val="center"/>
          </w:tcPr>
          <w:p w14:paraId="5C1048E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w:t>
            </w:r>
          </w:p>
        </w:tc>
        <w:tc>
          <w:tcPr>
            <w:tcW w:w="1261" w:type="dxa"/>
            <w:vAlign w:val="center"/>
          </w:tcPr>
          <w:p w14:paraId="77CAB27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72(97.3)</w:t>
            </w:r>
          </w:p>
        </w:tc>
        <w:tc>
          <w:tcPr>
            <w:tcW w:w="1171" w:type="dxa"/>
            <w:vAlign w:val="center"/>
          </w:tcPr>
          <w:p w14:paraId="362C8D0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2(2.7)</w:t>
            </w:r>
          </w:p>
        </w:tc>
        <w:tc>
          <w:tcPr>
            <w:tcW w:w="901" w:type="dxa"/>
            <w:vMerge w:val="restart"/>
            <w:vAlign w:val="center"/>
          </w:tcPr>
          <w:p w14:paraId="308793C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14.825</w:t>
            </w:r>
          </w:p>
          <w:p w14:paraId="662B995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w:t>
            </w:r>
          </w:p>
        </w:tc>
        <w:tc>
          <w:tcPr>
            <w:tcW w:w="1081" w:type="dxa"/>
            <w:vMerge w:val="restart"/>
            <w:vAlign w:val="center"/>
          </w:tcPr>
          <w:p w14:paraId="31A771BB" w14:textId="77777777" w:rsidR="00084A63" w:rsidRPr="00C6358B" w:rsidRDefault="00083BFB">
            <w:pPr>
              <w:spacing w:after="0" w:line="240" w:lineRule="auto"/>
              <w:jc w:val="center"/>
              <w:rPr>
                <w:rFonts w:eastAsia="Calibri" w:cs="Times New Roman"/>
                <w:i/>
                <w:iCs/>
                <w:kern w:val="0"/>
                <w14:ligatures w14:val="none"/>
              </w:rPr>
            </w:pPr>
            <w:r w:rsidRPr="00C6358B">
              <w:rPr>
                <w:rFonts w:eastAsia="Calibri" w:cs="Times New Roman"/>
                <w:i/>
                <w:iCs/>
                <w:kern w:val="0"/>
                <w14:ligatures w14:val="none"/>
              </w:rPr>
              <w:t>0.001*</w:t>
            </w:r>
          </w:p>
        </w:tc>
      </w:tr>
      <w:tr w:rsidR="00084A63" w:rsidRPr="00C6358B" w14:paraId="70EE04DD" w14:textId="77777777" w:rsidTr="00FA3196">
        <w:trPr>
          <w:trHeight w:val="136"/>
        </w:trPr>
        <w:tc>
          <w:tcPr>
            <w:tcW w:w="2162" w:type="dxa"/>
          </w:tcPr>
          <w:p w14:paraId="749D729D"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kern w:val="0"/>
                <w14:ligatures w14:val="none"/>
              </w:rPr>
              <w:t xml:space="preserve">   Nursing </w:t>
            </w:r>
          </w:p>
        </w:tc>
        <w:tc>
          <w:tcPr>
            <w:tcW w:w="1712" w:type="dxa"/>
            <w:vAlign w:val="center"/>
          </w:tcPr>
          <w:p w14:paraId="5742F86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w:t>
            </w:r>
          </w:p>
        </w:tc>
        <w:tc>
          <w:tcPr>
            <w:tcW w:w="1261" w:type="dxa"/>
            <w:vAlign w:val="center"/>
          </w:tcPr>
          <w:p w14:paraId="3F41767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58(78.4)</w:t>
            </w:r>
          </w:p>
        </w:tc>
        <w:tc>
          <w:tcPr>
            <w:tcW w:w="1171" w:type="dxa"/>
            <w:vAlign w:val="center"/>
          </w:tcPr>
          <w:p w14:paraId="4D6B942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16(21.6)</w:t>
            </w:r>
          </w:p>
        </w:tc>
        <w:tc>
          <w:tcPr>
            <w:tcW w:w="901" w:type="dxa"/>
            <w:vMerge/>
            <w:vAlign w:val="center"/>
          </w:tcPr>
          <w:p w14:paraId="331F1726"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4AC7E020"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772322BE" w14:textId="77777777" w:rsidTr="00FA3196">
        <w:trPr>
          <w:trHeight w:val="136"/>
        </w:trPr>
        <w:tc>
          <w:tcPr>
            <w:tcW w:w="2162" w:type="dxa"/>
            <w:tcBorders>
              <w:bottom w:val="single" w:sz="4" w:space="0" w:color="auto"/>
            </w:tcBorders>
          </w:tcPr>
          <w:p w14:paraId="763D78EF"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kern w:val="0"/>
                <w14:ligatures w14:val="none"/>
              </w:rPr>
              <w:t xml:space="preserve">   Others*</w:t>
            </w:r>
          </w:p>
        </w:tc>
        <w:tc>
          <w:tcPr>
            <w:tcW w:w="1712" w:type="dxa"/>
            <w:tcBorders>
              <w:bottom w:val="single" w:sz="4" w:space="0" w:color="auto"/>
            </w:tcBorders>
            <w:vAlign w:val="center"/>
          </w:tcPr>
          <w:p w14:paraId="2F55635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30</w:t>
            </w:r>
          </w:p>
        </w:tc>
        <w:tc>
          <w:tcPr>
            <w:tcW w:w="1261" w:type="dxa"/>
            <w:tcBorders>
              <w:bottom w:val="single" w:sz="4" w:space="0" w:color="auto"/>
            </w:tcBorders>
            <w:vAlign w:val="center"/>
          </w:tcPr>
          <w:p w14:paraId="79D08D1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22(73.3)</w:t>
            </w:r>
          </w:p>
        </w:tc>
        <w:tc>
          <w:tcPr>
            <w:tcW w:w="1171" w:type="dxa"/>
            <w:tcBorders>
              <w:bottom w:val="single" w:sz="4" w:space="0" w:color="auto"/>
            </w:tcBorders>
            <w:vAlign w:val="center"/>
          </w:tcPr>
          <w:p w14:paraId="50C29E8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8(26.7)</w:t>
            </w:r>
          </w:p>
        </w:tc>
        <w:tc>
          <w:tcPr>
            <w:tcW w:w="901" w:type="dxa"/>
            <w:vMerge/>
            <w:tcBorders>
              <w:bottom w:val="single" w:sz="4" w:space="0" w:color="auto"/>
            </w:tcBorders>
            <w:vAlign w:val="center"/>
          </w:tcPr>
          <w:p w14:paraId="55495B5E" w14:textId="77777777" w:rsidR="00084A63" w:rsidRPr="00C6358B" w:rsidRDefault="00084A63">
            <w:pPr>
              <w:spacing w:after="0" w:line="240" w:lineRule="auto"/>
              <w:jc w:val="center"/>
              <w:rPr>
                <w:rFonts w:eastAsia="Calibri" w:cs="Times New Roman"/>
                <w:kern w:val="0"/>
                <w14:ligatures w14:val="none"/>
              </w:rPr>
            </w:pPr>
          </w:p>
        </w:tc>
        <w:tc>
          <w:tcPr>
            <w:tcW w:w="1081" w:type="dxa"/>
            <w:vMerge/>
            <w:tcBorders>
              <w:bottom w:val="single" w:sz="4" w:space="0" w:color="auto"/>
            </w:tcBorders>
            <w:vAlign w:val="center"/>
          </w:tcPr>
          <w:p w14:paraId="7A42FE4F" w14:textId="77777777" w:rsidR="00084A63" w:rsidRPr="00C6358B" w:rsidRDefault="00084A63">
            <w:pPr>
              <w:spacing w:after="0" w:line="240" w:lineRule="auto"/>
              <w:jc w:val="center"/>
              <w:rPr>
                <w:rFonts w:eastAsia="Calibri" w:cs="Times New Roman"/>
                <w:kern w:val="0"/>
                <w14:ligatures w14:val="none"/>
              </w:rPr>
            </w:pPr>
          </w:p>
        </w:tc>
      </w:tr>
    </w:tbl>
    <w:p w14:paraId="35E13F35" w14:textId="77777777" w:rsidR="00084A63" w:rsidRPr="00C6358B" w:rsidRDefault="00084A63">
      <w:pPr>
        <w:spacing w:after="200" w:line="240" w:lineRule="auto"/>
        <w:rPr>
          <w:rFonts w:eastAsia="Calibri" w:cs="Times New Roman"/>
          <w:kern w:val="0"/>
          <w14:ligatures w14:val="none"/>
        </w:rPr>
      </w:pPr>
    </w:p>
    <w:p w14:paraId="7C9DB08B" w14:textId="77777777" w:rsidR="00084A63" w:rsidRPr="00C6358B" w:rsidRDefault="00084A63">
      <w:pPr>
        <w:spacing w:after="200" w:line="240" w:lineRule="auto"/>
        <w:rPr>
          <w:rFonts w:eastAsia="Calibri" w:cs="Times New Roman"/>
          <w:kern w:val="0"/>
          <w14:ligatures w14:val="none"/>
        </w:rPr>
      </w:pPr>
    </w:p>
    <w:p w14:paraId="535A1A3D" w14:textId="77777777" w:rsidR="00084A63" w:rsidRPr="00C6358B" w:rsidRDefault="00084A63">
      <w:pPr>
        <w:spacing w:after="200" w:line="240" w:lineRule="auto"/>
        <w:rPr>
          <w:rFonts w:eastAsia="Calibri" w:cs="Times New Roman"/>
          <w:kern w:val="0"/>
          <w14:ligatures w14:val="none"/>
        </w:rPr>
      </w:pPr>
    </w:p>
    <w:p w14:paraId="74347F39" w14:textId="77777777" w:rsidR="00084A63" w:rsidRPr="00C6358B" w:rsidRDefault="00084A63">
      <w:pPr>
        <w:spacing w:after="200" w:line="240" w:lineRule="auto"/>
        <w:rPr>
          <w:rFonts w:eastAsia="Calibri" w:cs="Times New Roman"/>
          <w:kern w:val="0"/>
          <w14:ligatures w14:val="none"/>
        </w:rPr>
      </w:pPr>
    </w:p>
    <w:p w14:paraId="63C47D76" w14:textId="77777777" w:rsidR="00084A63" w:rsidRPr="00C6358B" w:rsidRDefault="00084A63">
      <w:pPr>
        <w:spacing w:after="200" w:line="240" w:lineRule="auto"/>
        <w:rPr>
          <w:rFonts w:eastAsia="Calibri" w:cs="Times New Roman"/>
          <w:kern w:val="0"/>
          <w14:ligatures w14:val="none"/>
        </w:rPr>
      </w:pPr>
    </w:p>
    <w:p w14:paraId="4E431A26" w14:textId="77777777" w:rsidR="008F03EE" w:rsidRDefault="008F03EE">
      <w:pPr>
        <w:spacing w:after="200" w:line="240" w:lineRule="auto"/>
        <w:rPr>
          <w:rFonts w:eastAsia="Calibri" w:cs="Times New Roman"/>
          <w:kern w:val="0"/>
          <w14:ligatures w14:val="none"/>
        </w:rPr>
        <w:sectPr w:rsidR="008F03EE">
          <w:pgSz w:w="12240" w:h="15840"/>
          <w:pgMar w:top="1440" w:right="1440" w:bottom="1440" w:left="1440" w:header="720" w:footer="720" w:gutter="0"/>
          <w:cols w:space="720"/>
          <w:docGrid w:linePitch="360"/>
        </w:sectPr>
      </w:pPr>
    </w:p>
    <w:p w14:paraId="710B1801" w14:textId="77777777" w:rsidR="00084A63" w:rsidRPr="00C6358B" w:rsidRDefault="00083BFB">
      <w:pPr>
        <w:pStyle w:val="Heading3"/>
        <w:rPr>
          <w:rFonts w:eastAsia="Calibri" w:cs="Times New Roman"/>
        </w:rPr>
      </w:pPr>
      <w:r w:rsidRPr="00C6358B">
        <w:rPr>
          <w:rFonts w:eastAsia="Calibri" w:cs="Times New Roman"/>
        </w:rPr>
        <w:lastRenderedPageBreak/>
        <w:t xml:space="preserve">Table 6: Factors associated with Uptake of HPV Vaccination </w:t>
      </w:r>
    </w:p>
    <w:tbl>
      <w:tblPr>
        <w:tblW w:w="8738" w:type="dxa"/>
        <w:tblInd w:w="-90" w:type="dxa"/>
        <w:tblBorders>
          <w:top w:val="single" w:sz="4" w:space="0" w:color="auto"/>
          <w:bottom w:val="single" w:sz="4" w:space="0" w:color="auto"/>
        </w:tblBorders>
        <w:tblLayout w:type="fixed"/>
        <w:tblLook w:val="04A0" w:firstRow="1" w:lastRow="0" w:firstColumn="1" w:lastColumn="0" w:noHBand="0" w:noVBand="1"/>
      </w:tblPr>
      <w:tblGrid>
        <w:gridCol w:w="2160"/>
        <w:gridCol w:w="1710"/>
        <w:gridCol w:w="1260"/>
        <w:gridCol w:w="1260"/>
        <w:gridCol w:w="1348"/>
        <w:gridCol w:w="1000"/>
      </w:tblGrid>
      <w:tr w:rsidR="00084A63" w:rsidRPr="00C6358B" w14:paraId="0076852C" w14:textId="77777777">
        <w:trPr>
          <w:trHeight w:val="191"/>
        </w:trPr>
        <w:tc>
          <w:tcPr>
            <w:tcW w:w="2160" w:type="dxa"/>
            <w:vMerge w:val="restart"/>
            <w:tcBorders>
              <w:top w:val="single" w:sz="4" w:space="0" w:color="auto"/>
              <w:bottom w:val="single" w:sz="4" w:space="0" w:color="auto"/>
            </w:tcBorders>
            <w:vAlign w:val="center"/>
          </w:tcPr>
          <w:p w14:paraId="590F103D"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b/>
                <w:bCs/>
                <w:kern w:val="0"/>
                <w14:ligatures w14:val="none"/>
              </w:rPr>
              <w:t>Variables</w:t>
            </w:r>
          </w:p>
        </w:tc>
        <w:tc>
          <w:tcPr>
            <w:tcW w:w="1710" w:type="dxa"/>
            <w:vMerge w:val="restart"/>
            <w:tcBorders>
              <w:top w:val="single" w:sz="4" w:space="0" w:color="auto"/>
            </w:tcBorders>
            <w:vAlign w:val="center"/>
          </w:tcPr>
          <w:p w14:paraId="31EED498"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N</w:t>
            </w:r>
          </w:p>
        </w:tc>
        <w:tc>
          <w:tcPr>
            <w:tcW w:w="2520" w:type="dxa"/>
            <w:gridSpan w:val="2"/>
            <w:tcBorders>
              <w:top w:val="single" w:sz="4" w:space="0" w:color="auto"/>
              <w:bottom w:val="single" w:sz="4" w:space="0" w:color="auto"/>
            </w:tcBorders>
            <w:vAlign w:val="center"/>
          </w:tcPr>
          <w:p w14:paraId="325E9C4B"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Uptake of HPV vaccine N (%)</w:t>
            </w:r>
          </w:p>
        </w:tc>
        <w:tc>
          <w:tcPr>
            <w:tcW w:w="1348" w:type="dxa"/>
            <w:vMerge w:val="restart"/>
            <w:tcBorders>
              <w:top w:val="single" w:sz="4" w:space="0" w:color="auto"/>
              <w:bottom w:val="single" w:sz="4" w:space="0" w:color="auto"/>
            </w:tcBorders>
            <w:vAlign w:val="center"/>
          </w:tcPr>
          <w:p w14:paraId="00D15AB7" w14:textId="77777777" w:rsidR="00084A63" w:rsidRPr="00C6358B" w:rsidRDefault="00083BFB">
            <w:pPr>
              <w:spacing w:after="0" w:line="360" w:lineRule="auto"/>
              <w:jc w:val="center"/>
              <w:rPr>
                <w:rFonts w:cs="Times New Roman"/>
                <w:b/>
                <w:bCs/>
                <w:vertAlign w:val="superscript"/>
              </w:rPr>
            </w:pPr>
            <w:r w:rsidRPr="00C6358B">
              <w:rPr>
                <w:rFonts w:eastAsia="Calibri" w:cs="Times New Roman"/>
                <w:b/>
                <w:bCs/>
                <w:kern w:val="0"/>
                <w:lang w:eastAsia="zh-CN" w:bidi="ar"/>
              </w:rPr>
              <w:t>X</w:t>
            </w:r>
            <w:r w:rsidRPr="00C6358B">
              <w:rPr>
                <w:rFonts w:eastAsia="Calibri" w:cs="Times New Roman"/>
                <w:b/>
                <w:bCs/>
                <w:kern w:val="0"/>
                <w:vertAlign w:val="superscript"/>
                <w:lang w:eastAsia="zh-CN" w:bidi="ar"/>
              </w:rPr>
              <w:t>2</w:t>
            </w:r>
          </w:p>
          <w:p w14:paraId="7DC2F83E" w14:textId="77777777" w:rsidR="00084A63" w:rsidRPr="00C6358B" w:rsidRDefault="00083BFB">
            <w:pPr>
              <w:spacing w:after="0" w:line="360" w:lineRule="auto"/>
              <w:jc w:val="center"/>
              <w:rPr>
                <w:rFonts w:eastAsia="Calibri" w:cs="Times New Roman"/>
                <w:b/>
                <w:bCs/>
                <w:kern w:val="0"/>
                <w14:ligatures w14:val="none"/>
              </w:rPr>
            </w:pPr>
            <w:r w:rsidRPr="00C6358B">
              <w:rPr>
                <w:rFonts w:eastAsia="Calibri" w:cs="Times New Roman"/>
                <w:b/>
                <w:bCs/>
                <w:kern w:val="0"/>
                <w:lang w:eastAsia="zh-CN" w:bidi="ar"/>
              </w:rPr>
              <w:t>(df)</w:t>
            </w:r>
          </w:p>
        </w:tc>
        <w:tc>
          <w:tcPr>
            <w:tcW w:w="1000" w:type="dxa"/>
            <w:vMerge w:val="restart"/>
            <w:tcBorders>
              <w:top w:val="single" w:sz="4" w:space="0" w:color="auto"/>
              <w:bottom w:val="single" w:sz="4" w:space="0" w:color="auto"/>
            </w:tcBorders>
            <w:vAlign w:val="center"/>
          </w:tcPr>
          <w:p w14:paraId="4D02D371" w14:textId="77777777" w:rsidR="00084A63" w:rsidRPr="00C6358B" w:rsidRDefault="00083BFB">
            <w:pPr>
              <w:spacing w:after="0" w:line="360" w:lineRule="auto"/>
              <w:jc w:val="center"/>
              <w:rPr>
                <w:rFonts w:eastAsia="Calibri" w:cs="Times New Roman"/>
                <w:b/>
                <w:bCs/>
                <w:kern w:val="0"/>
                <w14:ligatures w14:val="none"/>
              </w:rPr>
            </w:pPr>
            <w:r w:rsidRPr="00C6358B">
              <w:rPr>
                <w:rFonts w:eastAsia="Calibri" w:cs="Times New Roman"/>
                <w:b/>
                <w:bCs/>
                <w:i/>
                <w:iCs/>
                <w:kern w:val="0"/>
                <w:lang w:eastAsia="zh-CN" w:bidi="ar"/>
              </w:rPr>
              <w:t>p-value</w:t>
            </w:r>
          </w:p>
        </w:tc>
      </w:tr>
      <w:tr w:rsidR="00084A63" w:rsidRPr="00C6358B" w14:paraId="47625066" w14:textId="77777777">
        <w:trPr>
          <w:trHeight w:val="191"/>
        </w:trPr>
        <w:tc>
          <w:tcPr>
            <w:tcW w:w="2160" w:type="dxa"/>
            <w:vMerge/>
            <w:tcBorders>
              <w:top w:val="single" w:sz="4" w:space="0" w:color="auto"/>
              <w:bottom w:val="single" w:sz="4" w:space="0" w:color="auto"/>
            </w:tcBorders>
            <w:vAlign w:val="center"/>
          </w:tcPr>
          <w:p w14:paraId="5DDFAAC5" w14:textId="77777777" w:rsidR="00084A63" w:rsidRPr="00C6358B" w:rsidRDefault="00084A63">
            <w:pPr>
              <w:spacing w:after="0" w:line="240" w:lineRule="auto"/>
              <w:rPr>
                <w:rFonts w:eastAsia="Calibri" w:cs="Times New Roman"/>
                <w:b/>
                <w:bCs/>
                <w:kern w:val="0"/>
                <w14:ligatures w14:val="none"/>
              </w:rPr>
            </w:pPr>
          </w:p>
        </w:tc>
        <w:tc>
          <w:tcPr>
            <w:tcW w:w="1710" w:type="dxa"/>
            <w:vMerge/>
            <w:tcBorders>
              <w:bottom w:val="single" w:sz="4" w:space="0" w:color="auto"/>
            </w:tcBorders>
          </w:tcPr>
          <w:p w14:paraId="68A733D6" w14:textId="77777777" w:rsidR="00084A63" w:rsidRPr="00C6358B" w:rsidRDefault="00084A63">
            <w:pPr>
              <w:spacing w:after="0" w:line="240" w:lineRule="auto"/>
              <w:jc w:val="center"/>
              <w:rPr>
                <w:rFonts w:eastAsia="Calibri" w:cs="Times New Roman"/>
                <w:b/>
                <w:bCs/>
                <w:kern w:val="0"/>
                <w14:ligatures w14:val="none"/>
              </w:rPr>
            </w:pPr>
          </w:p>
        </w:tc>
        <w:tc>
          <w:tcPr>
            <w:tcW w:w="1260" w:type="dxa"/>
            <w:tcBorders>
              <w:top w:val="single" w:sz="4" w:space="0" w:color="auto"/>
              <w:bottom w:val="single" w:sz="4" w:space="0" w:color="auto"/>
            </w:tcBorders>
            <w:vAlign w:val="center"/>
          </w:tcPr>
          <w:p w14:paraId="63720D64"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kern w:val="0"/>
                <w14:ligatures w14:val="none"/>
              </w:rPr>
              <w:t>Yes</w:t>
            </w:r>
          </w:p>
        </w:tc>
        <w:tc>
          <w:tcPr>
            <w:tcW w:w="1260" w:type="dxa"/>
            <w:tcBorders>
              <w:top w:val="single" w:sz="4" w:space="0" w:color="auto"/>
              <w:bottom w:val="single" w:sz="4" w:space="0" w:color="auto"/>
            </w:tcBorders>
            <w:vAlign w:val="center"/>
          </w:tcPr>
          <w:p w14:paraId="717C901A"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kern w:val="0"/>
                <w14:ligatures w14:val="none"/>
              </w:rPr>
              <w:t>No</w:t>
            </w:r>
          </w:p>
        </w:tc>
        <w:tc>
          <w:tcPr>
            <w:tcW w:w="1348" w:type="dxa"/>
            <w:vMerge/>
            <w:tcBorders>
              <w:top w:val="nil"/>
              <w:bottom w:val="single" w:sz="4" w:space="0" w:color="auto"/>
            </w:tcBorders>
            <w:vAlign w:val="center"/>
          </w:tcPr>
          <w:p w14:paraId="52B11CD8" w14:textId="77777777" w:rsidR="00084A63" w:rsidRPr="00C6358B" w:rsidRDefault="00084A63">
            <w:pPr>
              <w:spacing w:after="0" w:line="240" w:lineRule="auto"/>
              <w:jc w:val="center"/>
              <w:rPr>
                <w:rFonts w:eastAsia="Calibri" w:cs="Times New Roman"/>
                <w:b/>
                <w:bCs/>
                <w:kern w:val="0"/>
                <w14:ligatures w14:val="none"/>
              </w:rPr>
            </w:pPr>
          </w:p>
        </w:tc>
        <w:tc>
          <w:tcPr>
            <w:tcW w:w="1000" w:type="dxa"/>
            <w:vMerge/>
            <w:tcBorders>
              <w:top w:val="nil"/>
              <w:bottom w:val="single" w:sz="4" w:space="0" w:color="auto"/>
            </w:tcBorders>
            <w:vAlign w:val="center"/>
          </w:tcPr>
          <w:p w14:paraId="6FAC7DC8" w14:textId="77777777" w:rsidR="00084A63" w:rsidRPr="00C6358B" w:rsidRDefault="00084A63">
            <w:pPr>
              <w:spacing w:after="0" w:line="240" w:lineRule="auto"/>
              <w:jc w:val="center"/>
              <w:rPr>
                <w:rFonts w:eastAsia="Calibri" w:cs="Times New Roman"/>
                <w:b/>
                <w:bCs/>
                <w:kern w:val="0"/>
                <w14:ligatures w14:val="none"/>
              </w:rPr>
            </w:pPr>
          </w:p>
        </w:tc>
      </w:tr>
      <w:tr w:rsidR="00084A63" w:rsidRPr="00C6358B" w14:paraId="51ACEFC5" w14:textId="77777777">
        <w:trPr>
          <w:trHeight w:val="125"/>
        </w:trPr>
        <w:tc>
          <w:tcPr>
            <w:tcW w:w="2160" w:type="dxa"/>
            <w:tcBorders>
              <w:top w:val="single" w:sz="4" w:space="0" w:color="auto"/>
            </w:tcBorders>
          </w:tcPr>
          <w:p w14:paraId="21B344E1"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Age groups (years)</w:t>
            </w:r>
          </w:p>
        </w:tc>
        <w:tc>
          <w:tcPr>
            <w:tcW w:w="1710" w:type="dxa"/>
            <w:tcBorders>
              <w:top w:val="single" w:sz="4" w:space="0" w:color="auto"/>
            </w:tcBorders>
            <w:vAlign w:val="center"/>
          </w:tcPr>
          <w:p w14:paraId="75662DD2" w14:textId="77777777" w:rsidR="00084A63" w:rsidRPr="00C6358B" w:rsidRDefault="00084A63">
            <w:pPr>
              <w:spacing w:after="0" w:line="240" w:lineRule="auto"/>
              <w:jc w:val="center"/>
              <w:rPr>
                <w:rFonts w:eastAsia="Calibri" w:cs="Times New Roman"/>
                <w:kern w:val="0"/>
                <w14:ligatures w14:val="none"/>
              </w:rPr>
            </w:pPr>
          </w:p>
        </w:tc>
        <w:tc>
          <w:tcPr>
            <w:tcW w:w="1260" w:type="dxa"/>
            <w:tcBorders>
              <w:top w:val="single" w:sz="4" w:space="0" w:color="auto"/>
            </w:tcBorders>
            <w:vAlign w:val="center"/>
          </w:tcPr>
          <w:p w14:paraId="6BF8D96E" w14:textId="77777777" w:rsidR="00084A63" w:rsidRPr="00C6358B" w:rsidRDefault="00084A63">
            <w:pPr>
              <w:spacing w:after="0" w:line="240" w:lineRule="auto"/>
              <w:jc w:val="center"/>
              <w:rPr>
                <w:rFonts w:eastAsia="Calibri" w:cs="Times New Roman"/>
                <w:kern w:val="0"/>
                <w14:ligatures w14:val="none"/>
              </w:rPr>
            </w:pPr>
          </w:p>
        </w:tc>
        <w:tc>
          <w:tcPr>
            <w:tcW w:w="1260" w:type="dxa"/>
            <w:tcBorders>
              <w:top w:val="single" w:sz="4" w:space="0" w:color="auto"/>
            </w:tcBorders>
            <w:vAlign w:val="center"/>
          </w:tcPr>
          <w:p w14:paraId="44BA52D0" w14:textId="77777777" w:rsidR="00084A63" w:rsidRPr="00C6358B" w:rsidRDefault="00084A63">
            <w:pPr>
              <w:spacing w:after="0" w:line="240" w:lineRule="auto"/>
              <w:jc w:val="center"/>
              <w:rPr>
                <w:rFonts w:eastAsia="Calibri" w:cs="Times New Roman"/>
                <w:kern w:val="0"/>
                <w14:ligatures w14:val="none"/>
              </w:rPr>
            </w:pPr>
          </w:p>
        </w:tc>
        <w:tc>
          <w:tcPr>
            <w:tcW w:w="1348" w:type="dxa"/>
            <w:vMerge w:val="restart"/>
            <w:tcBorders>
              <w:top w:val="single" w:sz="4" w:space="0" w:color="auto"/>
            </w:tcBorders>
            <w:vAlign w:val="center"/>
          </w:tcPr>
          <w:p w14:paraId="2775130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0.224</w:t>
            </w:r>
          </w:p>
          <w:p w14:paraId="3B07C72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tcBorders>
              <w:top w:val="single" w:sz="4" w:space="0" w:color="auto"/>
            </w:tcBorders>
            <w:vAlign w:val="center"/>
          </w:tcPr>
          <w:p w14:paraId="3470425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0.636</w:t>
            </w:r>
          </w:p>
        </w:tc>
      </w:tr>
      <w:tr w:rsidR="00084A63" w:rsidRPr="00C6358B" w14:paraId="27EFBD32" w14:textId="77777777">
        <w:trPr>
          <w:trHeight w:val="125"/>
        </w:trPr>
        <w:tc>
          <w:tcPr>
            <w:tcW w:w="2160" w:type="dxa"/>
          </w:tcPr>
          <w:p w14:paraId="72774A4E"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20-39</w:t>
            </w:r>
          </w:p>
        </w:tc>
        <w:tc>
          <w:tcPr>
            <w:tcW w:w="1710" w:type="dxa"/>
            <w:vAlign w:val="center"/>
          </w:tcPr>
          <w:p w14:paraId="656A883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126</w:t>
            </w:r>
          </w:p>
        </w:tc>
        <w:tc>
          <w:tcPr>
            <w:tcW w:w="1260" w:type="dxa"/>
            <w:vAlign w:val="center"/>
          </w:tcPr>
          <w:p w14:paraId="42F7DBB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7(5.6)</w:t>
            </w:r>
          </w:p>
        </w:tc>
        <w:tc>
          <w:tcPr>
            <w:tcW w:w="1260" w:type="dxa"/>
            <w:vAlign w:val="center"/>
          </w:tcPr>
          <w:p w14:paraId="39B5482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119(94.4)</w:t>
            </w:r>
          </w:p>
        </w:tc>
        <w:tc>
          <w:tcPr>
            <w:tcW w:w="1348" w:type="dxa"/>
            <w:vMerge/>
            <w:vAlign w:val="center"/>
          </w:tcPr>
          <w:p w14:paraId="7A9F1633"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4423AEA5"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37DD619F" w14:textId="77777777">
        <w:trPr>
          <w:trHeight w:val="125"/>
        </w:trPr>
        <w:tc>
          <w:tcPr>
            <w:tcW w:w="2160" w:type="dxa"/>
          </w:tcPr>
          <w:p w14:paraId="3339E50E"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u w:val="single"/>
                <w14:ligatures w14:val="none"/>
              </w:rPr>
              <w:t>&gt;</w:t>
            </w:r>
            <w:r w:rsidRPr="00C6358B">
              <w:rPr>
                <w:rFonts w:eastAsia="Calibri" w:cs="Times New Roman"/>
                <w:kern w:val="0"/>
                <w14:ligatures w14:val="none"/>
              </w:rPr>
              <w:t>40</w:t>
            </w:r>
          </w:p>
        </w:tc>
        <w:tc>
          <w:tcPr>
            <w:tcW w:w="1710" w:type="dxa"/>
            <w:vAlign w:val="center"/>
          </w:tcPr>
          <w:p w14:paraId="4F152546"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52</w:t>
            </w:r>
          </w:p>
        </w:tc>
        <w:tc>
          <w:tcPr>
            <w:tcW w:w="1260" w:type="dxa"/>
            <w:vAlign w:val="center"/>
          </w:tcPr>
          <w:p w14:paraId="7943CA70"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2(3.8)</w:t>
            </w:r>
          </w:p>
        </w:tc>
        <w:tc>
          <w:tcPr>
            <w:tcW w:w="1260" w:type="dxa"/>
            <w:vAlign w:val="center"/>
          </w:tcPr>
          <w:p w14:paraId="38BA2CF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50(96.2)</w:t>
            </w:r>
          </w:p>
        </w:tc>
        <w:tc>
          <w:tcPr>
            <w:tcW w:w="1348" w:type="dxa"/>
            <w:vMerge/>
            <w:vAlign w:val="center"/>
          </w:tcPr>
          <w:p w14:paraId="595CBAF4"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557D02B3"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388ED700" w14:textId="77777777">
        <w:trPr>
          <w:trHeight w:val="125"/>
        </w:trPr>
        <w:tc>
          <w:tcPr>
            <w:tcW w:w="2160" w:type="dxa"/>
          </w:tcPr>
          <w:p w14:paraId="42F6ED60"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b/>
                <w:bCs/>
                <w:kern w:val="0"/>
                <w14:ligatures w14:val="none"/>
              </w:rPr>
              <w:t>Marital Status</w:t>
            </w:r>
          </w:p>
        </w:tc>
        <w:tc>
          <w:tcPr>
            <w:tcW w:w="1710" w:type="dxa"/>
          </w:tcPr>
          <w:p w14:paraId="15FD42D6"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2FF9BFBE"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1B3DB81D"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29CCED14"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35AFE91D"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075CEB9A" w14:textId="77777777">
        <w:trPr>
          <w:trHeight w:val="125"/>
        </w:trPr>
        <w:tc>
          <w:tcPr>
            <w:tcW w:w="2160" w:type="dxa"/>
          </w:tcPr>
          <w:p w14:paraId="5ADAF031"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Single</w:t>
            </w:r>
          </w:p>
        </w:tc>
        <w:tc>
          <w:tcPr>
            <w:tcW w:w="1710" w:type="dxa"/>
          </w:tcPr>
          <w:p w14:paraId="1C3D75C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67</w:t>
            </w:r>
          </w:p>
        </w:tc>
        <w:tc>
          <w:tcPr>
            <w:tcW w:w="1260" w:type="dxa"/>
            <w:vAlign w:val="center"/>
          </w:tcPr>
          <w:p w14:paraId="7CDCDF7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4(6.0)</w:t>
            </w:r>
          </w:p>
        </w:tc>
        <w:tc>
          <w:tcPr>
            <w:tcW w:w="1260" w:type="dxa"/>
            <w:vAlign w:val="center"/>
          </w:tcPr>
          <w:p w14:paraId="40758F3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63(94.0)</w:t>
            </w:r>
          </w:p>
        </w:tc>
        <w:tc>
          <w:tcPr>
            <w:tcW w:w="1348" w:type="dxa"/>
            <w:vMerge w:val="restart"/>
            <w:vAlign w:val="center"/>
          </w:tcPr>
          <w:p w14:paraId="08444F3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0.187</w:t>
            </w:r>
          </w:p>
          <w:p w14:paraId="79048A7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vAlign w:val="center"/>
          </w:tcPr>
          <w:p w14:paraId="3E420F9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0.665</w:t>
            </w:r>
          </w:p>
        </w:tc>
      </w:tr>
      <w:tr w:rsidR="00084A63" w:rsidRPr="00C6358B" w14:paraId="35791B0D" w14:textId="77777777">
        <w:trPr>
          <w:trHeight w:val="125"/>
        </w:trPr>
        <w:tc>
          <w:tcPr>
            <w:tcW w:w="2160" w:type="dxa"/>
          </w:tcPr>
          <w:p w14:paraId="12C71AF6"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Married</w:t>
            </w:r>
          </w:p>
        </w:tc>
        <w:tc>
          <w:tcPr>
            <w:tcW w:w="1710" w:type="dxa"/>
          </w:tcPr>
          <w:p w14:paraId="7B6202B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 xml:space="preserve">111 </w:t>
            </w:r>
          </w:p>
        </w:tc>
        <w:tc>
          <w:tcPr>
            <w:tcW w:w="1260" w:type="dxa"/>
            <w:vAlign w:val="center"/>
          </w:tcPr>
          <w:p w14:paraId="7A0E2A6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5(4.5)</w:t>
            </w:r>
          </w:p>
        </w:tc>
        <w:tc>
          <w:tcPr>
            <w:tcW w:w="1260" w:type="dxa"/>
            <w:vAlign w:val="center"/>
          </w:tcPr>
          <w:p w14:paraId="0C7D6CB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106(95.5)</w:t>
            </w:r>
          </w:p>
        </w:tc>
        <w:tc>
          <w:tcPr>
            <w:tcW w:w="1348" w:type="dxa"/>
            <w:vMerge/>
            <w:vAlign w:val="center"/>
          </w:tcPr>
          <w:p w14:paraId="42BF697D"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443EBA2D"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230B2F21" w14:textId="77777777">
        <w:trPr>
          <w:trHeight w:val="125"/>
        </w:trPr>
        <w:tc>
          <w:tcPr>
            <w:tcW w:w="3870" w:type="dxa"/>
            <w:gridSpan w:val="2"/>
            <w:vAlign w:val="center"/>
          </w:tcPr>
          <w:p w14:paraId="2C5C8EA6"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 xml:space="preserve">Number of children </w:t>
            </w:r>
          </w:p>
        </w:tc>
        <w:tc>
          <w:tcPr>
            <w:tcW w:w="1260" w:type="dxa"/>
            <w:vAlign w:val="center"/>
          </w:tcPr>
          <w:p w14:paraId="75D94594"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2B4F365A"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18E4F0A4"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21F0842B"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6EB96237" w14:textId="77777777">
        <w:trPr>
          <w:trHeight w:val="125"/>
        </w:trPr>
        <w:tc>
          <w:tcPr>
            <w:tcW w:w="2160" w:type="dxa"/>
          </w:tcPr>
          <w:p w14:paraId="7F1BBFBB" w14:textId="77777777" w:rsidR="00084A63" w:rsidRPr="00C6358B" w:rsidRDefault="00083BFB">
            <w:pPr>
              <w:spacing w:after="0" w:line="240" w:lineRule="auto"/>
              <w:ind w:firstLine="294"/>
              <w:jc w:val="left"/>
              <w:rPr>
                <w:rFonts w:eastAsia="Calibri" w:cs="Times New Roman"/>
                <w:kern w:val="0"/>
                <w14:ligatures w14:val="none"/>
              </w:rPr>
            </w:pPr>
            <w:r w:rsidRPr="00C6358B">
              <w:rPr>
                <w:rFonts w:cs="Times New Roman"/>
              </w:rPr>
              <w:t>0-2</w:t>
            </w:r>
          </w:p>
        </w:tc>
        <w:tc>
          <w:tcPr>
            <w:tcW w:w="1710" w:type="dxa"/>
          </w:tcPr>
          <w:p w14:paraId="6697525B"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127</w:t>
            </w:r>
          </w:p>
        </w:tc>
        <w:tc>
          <w:tcPr>
            <w:tcW w:w="1260" w:type="dxa"/>
            <w:vAlign w:val="center"/>
          </w:tcPr>
          <w:p w14:paraId="563F5CC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7(5.5)</w:t>
            </w:r>
          </w:p>
        </w:tc>
        <w:tc>
          <w:tcPr>
            <w:tcW w:w="1260" w:type="dxa"/>
            <w:vAlign w:val="center"/>
          </w:tcPr>
          <w:p w14:paraId="57D71176"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120(94.5)</w:t>
            </w:r>
          </w:p>
        </w:tc>
        <w:tc>
          <w:tcPr>
            <w:tcW w:w="1348" w:type="dxa"/>
            <w:vMerge w:val="restart"/>
            <w:vAlign w:val="center"/>
          </w:tcPr>
          <w:p w14:paraId="0E523FC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0.192</w:t>
            </w:r>
          </w:p>
          <w:p w14:paraId="70C5CD88"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vAlign w:val="center"/>
          </w:tcPr>
          <w:p w14:paraId="6F6AC94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0.662</w:t>
            </w:r>
          </w:p>
        </w:tc>
      </w:tr>
      <w:tr w:rsidR="00084A63" w:rsidRPr="00C6358B" w14:paraId="130684BC" w14:textId="77777777">
        <w:trPr>
          <w:trHeight w:val="125"/>
        </w:trPr>
        <w:tc>
          <w:tcPr>
            <w:tcW w:w="2160" w:type="dxa"/>
          </w:tcPr>
          <w:p w14:paraId="58F9D0B0" w14:textId="77777777" w:rsidR="00084A63" w:rsidRPr="00C6358B" w:rsidRDefault="00083BFB">
            <w:pPr>
              <w:spacing w:after="0" w:line="240" w:lineRule="auto"/>
              <w:ind w:firstLine="294"/>
              <w:jc w:val="left"/>
              <w:rPr>
                <w:rFonts w:eastAsia="Calibri" w:cs="Times New Roman"/>
                <w:kern w:val="0"/>
                <w14:ligatures w14:val="none"/>
              </w:rPr>
            </w:pPr>
            <w:r w:rsidRPr="00C6358B">
              <w:rPr>
                <w:rFonts w:cs="Times New Roman"/>
              </w:rPr>
              <w:t>3-5</w:t>
            </w:r>
          </w:p>
        </w:tc>
        <w:tc>
          <w:tcPr>
            <w:tcW w:w="1710" w:type="dxa"/>
          </w:tcPr>
          <w:p w14:paraId="02C7E1C2"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51</w:t>
            </w:r>
          </w:p>
        </w:tc>
        <w:tc>
          <w:tcPr>
            <w:tcW w:w="1260" w:type="dxa"/>
            <w:vAlign w:val="center"/>
          </w:tcPr>
          <w:p w14:paraId="492C7F9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2(3.9)</w:t>
            </w:r>
          </w:p>
        </w:tc>
        <w:tc>
          <w:tcPr>
            <w:tcW w:w="1260" w:type="dxa"/>
            <w:vAlign w:val="center"/>
          </w:tcPr>
          <w:p w14:paraId="4B27422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49(96.1)</w:t>
            </w:r>
          </w:p>
        </w:tc>
        <w:tc>
          <w:tcPr>
            <w:tcW w:w="1348" w:type="dxa"/>
            <w:vMerge/>
            <w:vAlign w:val="center"/>
          </w:tcPr>
          <w:p w14:paraId="3C20FC60"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587EC989"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25F1EAA" w14:textId="77777777">
        <w:trPr>
          <w:trHeight w:val="125"/>
        </w:trPr>
        <w:tc>
          <w:tcPr>
            <w:tcW w:w="2160" w:type="dxa"/>
          </w:tcPr>
          <w:p w14:paraId="7C1ECC5A"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 xml:space="preserve">Educational level </w:t>
            </w:r>
          </w:p>
        </w:tc>
        <w:tc>
          <w:tcPr>
            <w:tcW w:w="1710" w:type="dxa"/>
          </w:tcPr>
          <w:p w14:paraId="44929168"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45E10E3C"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65EBEA43"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2686FDB5"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23BFDBC7"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56BAD66A" w14:textId="77777777">
        <w:trPr>
          <w:trHeight w:val="125"/>
        </w:trPr>
        <w:tc>
          <w:tcPr>
            <w:tcW w:w="2160" w:type="dxa"/>
          </w:tcPr>
          <w:p w14:paraId="66280A2A"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Post-tertiary</w:t>
            </w:r>
          </w:p>
        </w:tc>
        <w:tc>
          <w:tcPr>
            <w:tcW w:w="1710" w:type="dxa"/>
            <w:vAlign w:val="center"/>
          </w:tcPr>
          <w:p w14:paraId="291AE61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79</w:t>
            </w:r>
          </w:p>
        </w:tc>
        <w:tc>
          <w:tcPr>
            <w:tcW w:w="1260" w:type="dxa"/>
            <w:vAlign w:val="center"/>
          </w:tcPr>
          <w:p w14:paraId="07FAE63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5(6.3)</w:t>
            </w:r>
          </w:p>
        </w:tc>
        <w:tc>
          <w:tcPr>
            <w:tcW w:w="1260" w:type="dxa"/>
            <w:vAlign w:val="center"/>
          </w:tcPr>
          <w:p w14:paraId="3F5E933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74(93.7)</w:t>
            </w:r>
          </w:p>
        </w:tc>
        <w:tc>
          <w:tcPr>
            <w:tcW w:w="1348" w:type="dxa"/>
            <w:vMerge w:val="restart"/>
            <w:vAlign w:val="center"/>
          </w:tcPr>
          <w:p w14:paraId="00577F4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0.479</w:t>
            </w:r>
          </w:p>
          <w:p w14:paraId="2A435B0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vAlign w:val="center"/>
          </w:tcPr>
          <w:p w14:paraId="750833D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0.489</w:t>
            </w:r>
          </w:p>
        </w:tc>
      </w:tr>
      <w:tr w:rsidR="00084A63" w:rsidRPr="00C6358B" w14:paraId="4E19BAA6" w14:textId="77777777">
        <w:trPr>
          <w:trHeight w:val="125"/>
        </w:trPr>
        <w:tc>
          <w:tcPr>
            <w:tcW w:w="2160" w:type="dxa"/>
          </w:tcPr>
          <w:p w14:paraId="58C089A2"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Tertiary</w:t>
            </w:r>
          </w:p>
        </w:tc>
        <w:tc>
          <w:tcPr>
            <w:tcW w:w="1710" w:type="dxa"/>
            <w:vAlign w:val="center"/>
          </w:tcPr>
          <w:p w14:paraId="6D6CDF9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99</w:t>
            </w:r>
          </w:p>
        </w:tc>
        <w:tc>
          <w:tcPr>
            <w:tcW w:w="1260" w:type="dxa"/>
            <w:vAlign w:val="center"/>
          </w:tcPr>
          <w:p w14:paraId="04CBB37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4(4.0)</w:t>
            </w:r>
          </w:p>
        </w:tc>
        <w:tc>
          <w:tcPr>
            <w:tcW w:w="1260" w:type="dxa"/>
            <w:vAlign w:val="center"/>
          </w:tcPr>
          <w:p w14:paraId="15B010C8"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95(96.0)</w:t>
            </w:r>
          </w:p>
        </w:tc>
        <w:tc>
          <w:tcPr>
            <w:tcW w:w="1348" w:type="dxa"/>
            <w:vMerge/>
            <w:vAlign w:val="center"/>
          </w:tcPr>
          <w:p w14:paraId="1E807F82"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42A85034"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2B2812AC" w14:textId="77777777">
        <w:trPr>
          <w:trHeight w:val="125"/>
        </w:trPr>
        <w:tc>
          <w:tcPr>
            <w:tcW w:w="3870" w:type="dxa"/>
            <w:gridSpan w:val="2"/>
            <w:vAlign w:val="center"/>
          </w:tcPr>
          <w:p w14:paraId="28B13010"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Number of years of practice</w:t>
            </w:r>
          </w:p>
        </w:tc>
        <w:tc>
          <w:tcPr>
            <w:tcW w:w="1260" w:type="dxa"/>
            <w:vAlign w:val="center"/>
          </w:tcPr>
          <w:p w14:paraId="308D9B46"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438A8E84"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358A3FBC"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13BBEAB6"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2DB7C531" w14:textId="77777777">
        <w:trPr>
          <w:trHeight w:val="125"/>
        </w:trPr>
        <w:tc>
          <w:tcPr>
            <w:tcW w:w="2160" w:type="dxa"/>
          </w:tcPr>
          <w:p w14:paraId="3B61200F"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&lt;10</w:t>
            </w:r>
          </w:p>
        </w:tc>
        <w:tc>
          <w:tcPr>
            <w:tcW w:w="1710" w:type="dxa"/>
          </w:tcPr>
          <w:p w14:paraId="1817B58B"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91</w:t>
            </w:r>
          </w:p>
        </w:tc>
        <w:tc>
          <w:tcPr>
            <w:tcW w:w="1260" w:type="dxa"/>
            <w:vAlign w:val="center"/>
          </w:tcPr>
          <w:p w14:paraId="609C640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5(5.5)</w:t>
            </w:r>
          </w:p>
        </w:tc>
        <w:tc>
          <w:tcPr>
            <w:tcW w:w="1260" w:type="dxa"/>
            <w:vAlign w:val="center"/>
          </w:tcPr>
          <w:p w14:paraId="6AB5FB7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86(94.5)</w:t>
            </w:r>
          </w:p>
        </w:tc>
        <w:tc>
          <w:tcPr>
            <w:tcW w:w="1348" w:type="dxa"/>
            <w:vMerge w:val="restart"/>
            <w:vAlign w:val="center"/>
          </w:tcPr>
          <w:p w14:paraId="61A65F5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0.202</w:t>
            </w:r>
          </w:p>
          <w:p w14:paraId="627BFFE8"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w:t>
            </w:r>
          </w:p>
        </w:tc>
        <w:tc>
          <w:tcPr>
            <w:tcW w:w="1000" w:type="dxa"/>
            <w:vMerge w:val="restart"/>
            <w:vAlign w:val="center"/>
          </w:tcPr>
          <w:p w14:paraId="4A1549A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0.951</w:t>
            </w:r>
          </w:p>
        </w:tc>
      </w:tr>
      <w:tr w:rsidR="00084A63" w:rsidRPr="00C6358B" w14:paraId="4313F48E" w14:textId="77777777">
        <w:trPr>
          <w:trHeight w:val="125"/>
        </w:trPr>
        <w:tc>
          <w:tcPr>
            <w:tcW w:w="2160" w:type="dxa"/>
          </w:tcPr>
          <w:p w14:paraId="7E14B8BF"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10-19</w:t>
            </w:r>
          </w:p>
        </w:tc>
        <w:tc>
          <w:tcPr>
            <w:tcW w:w="1710" w:type="dxa"/>
          </w:tcPr>
          <w:p w14:paraId="7C007051"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62</w:t>
            </w:r>
          </w:p>
        </w:tc>
        <w:tc>
          <w:tcPr>
            <w:tcW w:w="1260" w:type="dxa"/>
            <w:vAlign w:val="center"/>
          </w:tcPr>
          <w:p w14:paraId="37E1DA3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3(4.8)</w:t>
            </w:r>
          </w:p>
        </w:tc>
        <w:tc>
          <w:tcPr>
            <w:tcW w:w="1260" w:type="dxa"/>
            <w:vAlign w:val="center"/>
          </w:tcPr>
          <w:p w14:paraId="6E7D8DD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59(95.2)</w:t>
            </w:r>
          </w:p>
        </w:tc>
        <w:tc>
          <w:tcPr>
            <w:tcW w:w="1348" w:type="dxa"/>
            <w:vMerge/>
            <w:vAlign w:val="center"/>
          </w:tcPr>
          <w:p w14:paraId="61B7D988"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652121A0"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4BF47516" w14:textId="77777777">
        <w:trPr>
          <w:trHeight w:val="125"/>
        </w:trPr>
        <w:tc>
          <w:tcPr>
            <w:tcW w:w="2160" w:type="dxa"/>
          </w:tcPr>
          <w:p w14:paraId="6F99C7F8"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&gt;20</w:t>
            </w:r>
          </w:p>
        </w:tc>
        <w:tc>
          <w:tcPr>
            <w:tcW w:w="1710" w:type="dxa"/>
          </w:tcPr>
          <w:p w14:paraId="799973DF"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25</w:t>
            </w:r>
          </w:p>
        </w:tc>
        <w:tc>
          <w:tcPr>
            <w:tcW w:w="1260" w:type="dxa"/>
            <w:vAlign w:val="center"/>
          </w:tcPr>
          <w:p w14:paraId="0EFF18B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1(4.0)</w:t>
            </w:r>
          </w:p>
        </w:tc>
        <w:tc>
          <w:tcPr>
            <w:tcW w:w="1260" w:type="dxa"/>
            <w:vAlign w:val="center"/>
          </w:tcPr>
          <w:p w14:paraId="6B64E5B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24(96.0)</w:t>
            </w:r>
          </w:p>
        </w:tc>
        <w:tc>
          <w:tcPr>
            <w:tcW w:w="1348" w:type="dxa"/>
            <w:vMerge/>
            <w:vAlign w:val="center"/>
          </w:tcPr>
          <w:p w14:paraId="18CCD21B"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04A513C7"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7DD9DF07" w14:textId="77777777">
        <w:trPr>
          <w:trHeight w:val="125"/>
        </w:trPr>
        <w:tc>
          <w:tcPr>
            <w:tcW w:w="3870" w:type="dxa"/>
            <w:gridSpan w:val="2"/>
            <w:vAlign w:val="center"/>
          </w:tcPr>
          <w:p w14:paraId="3D8E4E6A"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Healthcare profession</w:t>
            </w:r>
          </w:p>
        </w:tc>
        <w:tc>
          <w:tcPr>
            <w:tcW w:w="1260" w:type="dxa"/>
            <w:vAlign w:val="center"/>
          </w:tcPr>
          <w:p w14:paraId="176309F5"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4D81C07D"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05C25601"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0B6A08A2"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2008E163" w14:textId="77777777">
        <w:trPr>
          <w:trHeight w:val="125"/>
        </w:trPr>
        <w:tc>
          <w:tcPr>
            <w:tcW w:w="2160" w:type="dxa"/>
          </w:tcPr>
          <w:p w14:paraId="2A4E07E1"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kern w:val="0"/>
                <w14:ligatures w14:val="none"/>
              </w:rPr>
              <w:t xml:space="preserve">   Medicine</w:t>
            </w:r>
          </w:p>
        </w:tc>
        <w:tc>
          <w:tcPr>
            <w:tcW w:w="1710" w:type="dxa"/>
            <w:vAlign w:val="center"/>
          </w:tcPr>
          <w:p w14:paraId="0E9111C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w:t>
            </w:r>
          </w:p>
        </w:tc>
        <w:tc>
          <w:tcPr>
            <w:tcW w:w="1260" w:type="dxa"/>
            <w:vAlign w:val="center"/>
          </w:tcPr>
          <w:p w14:paraId="6E643E0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5(6.8)</w:t>
            </w:r>
          </w:p>
        </w:tc>
        <w:tc>
          <w:tcPr>
            <w:tcW w:w="1260" w:type="dxa"/>
            <w:vAlign w:val="center"/>
          </w:tcPr>
          <w:p w14:paraId="16ADB0D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69(93.2)</w:t>
            </w:r>
          </w:p>
        </w:tc>
        <w:tc>
          <w:tcPr>
            <w:tcW w:w="1348" w:type="dxa"/>
            <w:vMerge w:val="restart"/>
            <w:vAlign w:val="center"/>
          </w:tcPr>
          <w:p w14:paraId="37F2D2D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1.462</w:t>
            </w:r>
          </w:p>
          <w:p w14:paraId="20654D5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vAlign w:val="center"/>
          </w:tcPr>
          <w:p w14:paraId="6955EA4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0.482</w:t>
            </w:r>
          </w:p>
        </w:tc>
      </w:tr>
      <w:tr w:rsidR="00084A63" w:rsidRPr="00C6358B" w14:paraId="590E6FFD" w14:textId="77777777">
        <w:trPr>
          <w:trHeight w:val="125"/>
        </w:trPr>
        <w:tc>
          <w:tcPr>
            <w:tcW w:w="2160" w:type="dxa"/>
          </w:tcPr>
          <w:p w14:paraId="0FBB4CAA"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kern w:val="0"/>
                <w14:ligatures w14:val="none"/>
              </w:rPr>
              <w:t xml:space="preserve">   Nursing </w:t>
            </w:r>
          </w:p>
        </w:tc>
        <w:tc>
          <w:tcPr>
            <w:tcW w:w="1710" w:type="dxa"/>
            <w:vAlign w:val="center"/>
          </w:tcPr>
          <w:p w14:paraId="1F78C3F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w:t>
            </w:r>
          </w:p>
        </w:tc>
        <w:tc>
          <w:tcPr>
            <w:tcW w:w="1260" w:type="dxa"/>
            <w:vAlign w:val="center"/>
          </w:tcPr>
          <w:p w14:paraId="77039D8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2(2.7)</w:t>
            </w:r>
          </w:p>
        </w:tc>
        <w:tc>
          <w:tcPr>
            <w:tcW w:w="1260" w:type="dxa"/>
            <w:vAlign w:val="center"/>
          </w:tcPr>
          <w:p w14:paraId="60BEE4A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72(97.3)</w:t>
            </w:r>
          </w:p>
        </w:tc>
        <w:tc>
          <w:tcPr>
            <w:tcW w:w="1348" w:type="dxa"/>
            <w:vMerge/>
            <w:vAlign w:val="center"/>
          </w:tcPr>
          <w:p w14:paraId="16561BA8"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006FB8BA"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DE2F519" w14:textId="77777777">
        <w:trPr>
          <w:trHeight w:val="125"/>
        </w:trPr>
        <w:tc>
          <w:tcPr>
            <w:tcW w:w="2160" w:type="dxa"/>
          </w:tcPr>
          <w:p w14:paraId="19EB3480"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kern w:val="0"/>
                <w14:ligatures w14:val="none"/>
              </w:rPr>
              <w:t xml:space="preserve">   Others*</w:t>
            </w:r>
          </w:p>
        </w:tc>
        <w:tc>
          <w:tcPr>
            <w:tcW w:w="1710" w:type="dxa"/>
            <w:vAlign w:val="center"/>
          </w:tcPr>
          <w:p w14:paraId="6F49CD8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30</w:t>
            </w:r>
          </w:p>
        </w:tc>
        <w:tc>
          <w:tcPr>
            <w:tcW w:w="1260" w:type="dxa"/>
            <w:vAlign w:val="center"/>
          </w:tcPr>
          <w:p w14:paraId="7D5F2C6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2(6.7)</w:t>
            </w:r>
          </w:p>
        </w:tc>
        <w:tc>
          <w:tcPr>
            <w:tcW w:w="1260" w:type="dxa"/>
            <w:vAlign w:val="center"/>
          </w:tcPr>
          <w:p w14:paraId="4738573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28(93.3)</w:t>
            </w:r>
          </w:p>
        </w:tc>
        <w:tc>
          <w:tcPr>
            <w:tcW w:w="1348" w:type="dxa"/>
            <w:vMerge/>
            <w:vAlign w:val="center"/>
          </w:tcPr>
          <w:p w14:paraId="5775EDE8"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6234C7D4" w14:textId="77777777" w:rsidR="00084A63" w:rsidRPr="00C6358B" w:rsidRDefault="00084A63">
            <w:pPr>
              <w:spacing w:after="0" w:line="240" w:lineRule="auto"/>
              <w:jc w:val="center"/>
              <w:rPr>
                <w:rFonts w:eastAsia="Calibri" w:cs="Times New Roman"/>
                <w:kern w:val="0"/>
                <w14:ligatures w14:val="none"/>
              </w:rPr>
            </w:pPr>
          </w:p>
        </w:tc>
      </w:tr>
    </w:tbl>
    <w:p w14:paraId="3B2FB21C" w14:textId="77777777" w:rsidR="00084A63" w:rsidRPr="00C6358B" w:rsidRDefault="00084A63">
      <w:pPr>
        <w:spacing w:after="200" w:line="240" w:lineRule="auto"/>
        <w:rPr>
          <w:rFonts w:eastAsia="Calibri" w:cs="Times New Roman"/>
          <w:kern w:val="0"/>
          <w14:ligatures w14:val="none"/>
        </w:rPr>
        <w:sectPr w:rsidR="00084A63" w:rsidRPr="00C6358B">
          <w:pgSz w:w="12240" w:h="15840"/>
          <w:pgMar w:top="1440" w:right="1440" w:bottom="1440" w:left="1440" w:header="720" w:footer="720" w:gutter="0"/>
          <w:cols w:space="720"/>
          <w:docGrid w:linePitch="360"/>
        </w:sectPr>
      </w:pPr>
    </w:p>
    <w:p w14:paraId="737E7A75" w14:textId="77777777" w:rsidR="00084A63" w:rsidRPr="00C6358B" w:rsidRDefault="00083BFB" w:rsidP="00243869">
      <w:pPr>
        <w:pStyle w:val="Heading1"/>
      </w:pPr>
      <w:r w:rsidRPr="00C6358B">
        <w:lastRenderedPageBreak/>
        <w:t>DISCUSSION</w:t>
      </w:r>
    </w:p>
    <w:p w14:paraId="2F6A5E74" w14:textId="77777777" w:rsidR="00243869" w:rsidRPr="00243869" w:rsidRDefault="00243869" w:rsidP="002C478F">
      <w:pPr>
        <w:spacing w:line="360" w:lineRule="auto"/>
      </w:pPr>
      <w:bookmarkStart w:id="8" w:name="_Hlk203063127"/>
      <w:bookmarkStart w:id="9" w:name="_Hlk149127603"/>
      <w:bookmarkEnd w:id="5"/>
      <w:r w:rsidRPr="00243869">
        <w:t xml:space="preserve">This study assessed the awareness, knowledge, attitude, and uptake of HPV vaccination among healthcare professionals in Nigeria, with findings revealing significant gaps between awareness and actual vaccine uptake. </w:t>
      </w:r>
    </w:p>
    <w:p w14:paraId="536FA7A9" w14:textId="656A0C99" w:rsidR="00243869" w:rsidRPr="00243869" w:rsidRDefault="00243869" w:rsidP="002C478F">
      <w:pPr>
        <w:spacing w:line="360" w:lineRule="auto"/>
      </w:pPr>
      <w:r w:rsidRPr="00243869">
        <w:t>Majority of respondents demonstrated high levels of awareness of the HPV vaccine consistent with previous studies conducted among health workers in Nigeria and sub-Saharan Africa</w:t>
      </w:r>
      <w:r w:rsidR="003E5650">
        <w:t>.</w:t>
      </w:r>
      <w:r w:rsidRPr="00243869">
        <w:t xml:space="preserve"> </w:t>
      </w:r>
      <w:r w:rsidR="003E5650">
        <w:fldChar w:fldCharType="begin" w:fldLock="1"/>
      </w:r>
      <w:r w:rsidR="003E5650">
        <w:instrText>ADDIN CSL_CITATION {"citationItems":[{"id":"ITEM-1","itemData":{"DOI":"10.3390/vaccines12010084","ISSN":"2076393X","abstract":"Human papillomavirus (HPV) vaccine uptake among adolescent girls is critical to reducing the burden of HPV-related cancers in Nigeria. This study assesses the factors influencing caregivers’ acceptance of HPV vaccination for their charges, using the Fogg Behavior Model (FBM) as a theoretical framework. We analyzed cross-sectional data from 1429 caregivers of girls aged 9–17 in six Nigerian states, using a survey instrument based on the FBM. Participants were recruited via Facebook and Instagram advertisements and interviewed through Facebook Messenger in August and September 2023. The study received ethical clearance from Nigeria’s National Health Research Ethics Committee. We applied bivariate and multivariate analyses to assess the relationships between the caregiver’s perception of how likely their adolescent girl was to get vaccinated in the next 12 months and motivation, ability, social factors (such as discussions with family and friends), injunctive norms, previous COVID-19 vaccination, and respondents’ sociodemographic characteristics. Adjusted odds ratios derived from logistic regression analyses revealed that caregivers’ motivation and ability, as well as social factors, were significantly associated with their perception that the adolescent girl in their care would get vaccinated within the next 12 months. Our findings suggest that behavioral interventions tailored to enhance motivation, ability, and social support among caregivers could significantly increase HPV vaccine uptake among adolescent girls in Nigeria.","author":[{"dropping-particle":"","family":"Agha","given":"Sohail","non-dropping-particle":"","parse-names":false,"suffix":""},{"dropping-particle":"","family":"Bernard","given":"Drew","non-dropping-particle":"","parse-names":false,"suffix":""},{"dropping-particle":"","family":"Francis","given":"Sarah","non-dropping-particle":"","parse-names":false,"suffix":""},{"dropping-particle":"","family":"Fareed","given":"Aslam","non-dropping-particle":"","parse-names":false,"suffix":""},{"dropping-particle":"","family":"Nsofor","given":"Ifeanyi","non-dropping-particle":"","parse-names":false,"suffix":""}],"container-title":"Vaccines","id":"ITEM-1","issue":"1","issued":{"date-parts":[["2024"]]},"page":"1-12","title":"Determinants of Human Papillomavirus Vaccine Acceptance among Caregivers in Nigeria: A Fogg Behavior Model-Based Approach","type":"article-journal","volume":"12"},"uris":["http://www.mendeley.com/documents/?uuid=30fb6d11-50c1-4b6a-ae02-319c5750e53b"]},{"id":"ITEM-2","itemData":{"DOI":"10.1016/j.jvacx.2024.100549","ISSN":"25901362","abstract":"Human papillomaviruses (HPV) cause 99% of all cervical cancer cases globally, with the high-risk genotypes 16 and 18 causing at least 70% of these cases. An estimated 90% of the global cervical cancer burden occurs in low-to-middle-income countries (LMICs), particularly in sub-Saharan Africa (SSA). Primary prevention through the administration of efficacious HPV vaccines is key to the World Health Organization's global strategy for accelerating the elimination of cervical cancer as a disease of public health concern. The rollout of HPV vaccination in SSA is faced with several challenges, such as the high cost of vaccine procurement, a lack of funding and political will from the central governments of countries, and inadequate infrastructure for vaccine cold chain storage and transport. Stigma, misinformation, lack of education and awareness, and vaccine hesitancy constitute the social factors that affect the successful rollout or implementation of vaccination programs in SSA. Based on the challenges SSA faces in rolling out HPV vaccination, we recommend using strategies that address both the demand-side and supply-side obstacles to HPV vaccination uptake. These include costs and availability, fighting vaccine hesitancy, and increasing vaccine confidence.","author":[{"dropping-particle":"","family":"Murewanhema","given":"Grant","non-dropping-particle":"","parse-names":false,"suffix":""},{"dropping-particle":"","family":"Moyo","given":"Enos","non-dropping-particle":"","parse-names":false,"suffix":""},{"dropping-particle":"","family":"Dzobo","given":"Mathias","non-dropping-particle":"","parse-names":false,"suffix":""},{"dropping-particle":"","family":"Mandishora-Dube","given":"Rachel S.","non-dropping-particle":"","parse-names":false,"suffix":""},{"dropping-particle":"","family":"Dzinamarira","given":"Tafadzwa","non-dropping-particle":"","parse-names":false,"suffix":""}],"container-title":"Vaccine: X","id":"ITEM-2","issue":"August","issued":{"date-parts":[["2024"]]},"page":"100549","publisher":"Elsevier Ltd","title":"Human papilloma virus vaccination in the resource-limited settings of sub-Saharan Africa: Challenges and recommendations","type":"article-journal","volume":"20"},"uris":["http://www.mendeley.com/documents/?uuid=12d9e9e3-f30d-4306-bce3-0aac7eec379c"]},{"id":"ITEM-3","itemData":{"DOI":"10.3109/01443615.2014.925431","ISSN":"13646893","PMID":"24922093","abstract":"Human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Gynaecology","id":"ITEM-3","issue":"8","issued":{"date-parts":[["2014"]]},"page":"714-717","title":"Awareness and perception of human papilloma virus vaccine among healthcare professionals in Nigeria","type":"article-journal","volume":"34"},"uris":["http://www.mendeley.com/documents/?uuid=1ca1ca31-c40c-4873-8499-1fd25a5c5196"]}],"mendeley":{"formattedCitation":"(Audu &lt;i&gt;et al.&lt;/i&gt;, 2014; Agha &lt;i&gt;et al.&lt;/i&gt;, 2024; Murewanhema &lt;i&gt;et al.&lt;/i&gt;, 2024)","plainTextFormattedCitation":"(Audu et al., 2014; Agha et al., 2024; Murewanhema et al., 2024)","previouslyFormattedCitation":"(Audu &lt;i&gt;et al.&lt;/i&gt;, 2014; Agha &lt;i&gt;et al.&lt;/i&gt;, 2024; Murewanhema &lt;i&gt;et al.&lt;/i&gt;, 2024)"},"properties":{"noteIndex":0},"schema":"https://github.com/citation-style-language/schema/raw/master/csl-citation.json"}</w:instrText>
      </w:r>
      <w:r w:rsidR="003E5650">
        <w:fldChar w:fldCharType="separate"/>
      </w:r>
      <w:r w:rsidR="003E5650" w:rsidRPr="003E5650">
        <w:rPr>
          <w:noProof/>
        </w:rPr>
        <w:t xml:space="preserve">(Audu </w:t>
      </w:r>
      <w:r w:rsidR="003E5650" w:rsidRPr="003E5650">
        <w:rPr>
          <w:i/>
          <w:noProof/>
        </w:rPr>
        <w:t>et al.</w:t>
      </w:r>
      <w:r w:rsidR="003E5650" w:rsidRPr="003E5650">
        <w:rPr>
          <w:noProof/>
        </w:rPr>
        <w:t xml:space="preserve">, 2014; Agha </w:t>
      </w:r>
      <w:r w:rsidR="003E5650" w:rsidRPr="003E5650">
        <w:rPr>
          <w:i/>
          <w:noProof/>
        </w:rPr>
        <w:t>et al.</w:t>
      </w:r>
      <w:r w:rsidR="003E5650" w:rsidRPr="003E5650">
        <w:rPr>
          <w:noProof/>
        </w:rPr>
        <w:t xml:space="preserve">, 2024; Murewanhema </w:t>
      </w:r>
      <w:r w:rsidR="003E5650" w:rsidRPr="003E5650">
        <w:rPr>
          <w:i/>
          <w:noProof/>
        </w:rPr>
        <w:t>et al.</w:t>
      </w:r>
      <w:r w:rsidR="003E5650" w:rsidRPr="003E5650">
        <w:rPr>
          <w:noProof/>
        </w:rPr>
        <w:t>, 2024)</w:t>
      </w:r>
      <w:r w:rsidR="003E5650">
        <w:fldChar w:fldCharType="end"/>
      </w:r>
      <w:r w:rsidRPr="00243869">
        <w:t xml:space="preserve"> In the study by </w:t>
      </w:r>
      <w:r w:rsidR="003E5650">
        <w:fldChar w:fldCharType="begin" w:fldLock="1"/>
      </w:r>
      <w:r w:rsidR="003E5650">
        <w:instrText>ADDIN CSL_CITATION {"citationItems":[{"id":"ITEM-1","itemData":{"DOI":"10.3109/01443615.2014.925431","ISSN":"13646893","PMID":"24922093","abstract":"Human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Gynaecology","id":"ITEM-1","issue":"8","issued":{"date-parts":[["2014"]]},"page":"714-717","title":"Awareness and perception of human papilloma virus vaccine among healthcare professionals in Nigeria","type":"article-journal","volume":"34"},"uris":["http://www.mendeley.com/documents/?uuid=1ca1ca31-c40c-4873-8499-1fd25a5c5196"]}],"mendeley":{"formattedCitation":"(Audu &lt;i&gt;et al.&lt;/i&gt;, 2014)","plainTextFormattedCitation":"(Audu et al., 2014)","previouslyFormattedCitation":"(Audu &lt;i&gt;et al.&lt;/i&gt;, 2014)"},"properties":{"noteIndex":0},"schema":"https://github.com/citation-style-language/schema/raw/master/csl-citation.json"}</w:instrText>
      </w:r>
      <w:r w:rsidR="003E5650">
        <w:fldChar w:fldCharType="separate"/>
      </w:r>
      <w:r w:rsidR="003E5650" w:rsidRPr="003E5650">
        <w:rPr>
          <w:noProof/>
        </w:rPr>
        <w:t xml:space="preserve">(Audu </w:t>
      </w:r>
      <w:r w:rsidR="003E5650" w:rsidRPr="003E5650">
        <w:rPr>
          <w:i/>
          <w:noProof/>
        </w:rPr>
        <w:t>et al.</w:t>
      </w:r>
      <w:r w:rsidR="003E5650" w:rsidRPr="003E5650">
        <w:rPr>
          <w:noProof/>
        </w:rPr>
        <w:t>, 2014)</w:t>
      </w:r>
      <w:r w:rsidR="003E5650">
        <w:fldChar w:fldCharType="end"/>
      </w:r>
      <w:r w:rsidRPr="00243869">
        <w:t xml:space="preserve"> healthcare workers, particularly medical doctors, demonstrated the highest levels of awareness which shows the influence of professional exposure and training on vaccine awareness. Despite the high level of awareness, there were misconceptions and knowledge gaps. particularly regarding vaccine eligibility for adolescents (&lt;15 years) and strain-specific protection. Similar misconceptions have been documented in previous studies</w:t>
      </w:r>
      <w:r w:rsidR="003E5650">
        <w:t>.</w:t>
      </w:r>
      <w:r w:rsidR="003E5650">
        <w:fldChar w:fldCharType="begin" w:fldLock="1"/>
      </w:r>
      <w:r w:rsidR="003E5650">
        <w:instrText>ADDIN CSL_CITATION {"citationItems":[{"id":"ITEM-1","itemData":{"ISSN":"2319-5886","abstract":"Background: Human papillomavirus (HPV) has been described as an 'equal opportunity' pathogen affecting both sexes and the leading cause of cervical cancer. Vaccination against oncogenic HPV types is a significant step towards decreasing the prevalence, morbidity, and mortality associated with cervical cancer. Objectives: To investigate attitude and perceived barriers to uptake of HPV vaccine among female students in a Nigerian Tertiary Institution. Methods: A cross-sectional questionnaire-based study that was conducted in the University of Nigeria, Enugu Campus from March 01 to April 01, 2017. The representative sample size of 320 female undergraduates was selected using a multistage sampling technique. Data were entered using Microsoft Excel Windows 7 and exported to IBM SPSS version 20.0 software for analysis. Results: Total 38 (13.0%) participants had received HPV vaccine. Majority of the participants had a positive attitude towards HPV vaccination (2.5 ± 6.4). The major perceived barriers to uptake of vaccination were: exorbitant cost of the vaccine (94.1%) and lack of time due to lectures (53.0%). Age of the participants had no influence on the uptake of HPV vaccine whereas department, ethnic group, and marital status had a strong influence on vaccination uptake (p&lt;0.05). Conclusion: A low proportion of the participants had received the HPV vaccine. Majority of the participants had a positive attitude towards HPV vaccination. The major perceived barrier to vaccination was the exorbitant cost of the vaccine. The university in collaboration with the Ministry of Health should design strategies to enlighten the university community on HPV infection through seminars and workshops.","author":[{"dropping-particle":"","family":"Ihudiebube-Splendor","given":"","non-dropping-particle":"","parse-names":false,"suffix":""}],"container-title":"International Journal of Medical Research &amp; Health Sciences,","id":"ITEM-1","issued":{"date-parts":[["2019"]]},"page":"85-92","title":"Attitude and Perceived Barriers to Uptake of Human Papillomavirus Vaccine among Female Students in a Nigerian Tertiary Institution","type":"article-journal"},"uris":["http://www.mendeley.com/documents/?uuid=8eb7f4bf-5bcc-407b-861a-cc0a6c896e32"]},{"id":"ITEM-2","itemData":{"ISSN":"0794-7410","abstract":"Background: Human papilloma virus (HPV) infection is implicated in the cause of cervical cancer which is the second most common cancer in women worldwide. HPV vaccination is a primary prevention toolagainst HPV infection, thus the need to assess the knowledge, attitude and uptake of HPV vaccination among female medical and dental students.Methodology: A descriptive cross sectional study was carried out among all undergraduatefemale medical and dental students in the University of Benin. Data was collected using a pretested, semi-structured, self-administered questionnaire. The questionnaires comprised ofsocio-demographic characteristics, knowledge of HPV vaccination, attitudes towards HPV vaccination and uptake of HPV vaccinationResults: Two hundred and eighty questionnaires were administered however only 215 returned their completed questionnaires giving a response rate of 76.7%.The mean age of respondents was 22.4 ± 3.0 years.Only about a third of the respondents (31.2%) had a good knowledge of HPV infection andvaccination. Age (p = 0.001), faculty (p = 0.014) and level of study (p = 0.014) was observed to be significant determinants of knowledge. A higher proportion of respondents (61.8%) had a positive attitude towards HPV vaccination while only a few (3.7%) had taken the HPV vaccine. Significant determinants of attitude towards HPV vaccination were age (p = 0.001), faculty (p = 0.014), level of study (p = 0.001) and knowledge (p = 0.031) of respondents. Uptake of HPV vaccination was significantly associated with attitude of respondents (p = 0.001).Conclusion: The knowledge and uptake of HPV vaccination among these students was generally poor though most of them had positive attitude towards HPV vaccination. This emphasizes the need for educational interventions to improve knowledge which will in turn enhance uptake.Keywords: Female, Human papilloma virus vaccine, Medical, Vaccination","author":[{"dropping-particle":"","family":"Onowhakpor","given":"A.O.","non-dropping-particle":"","parse-names":false,"suffix":""},{"dropping-particle":"","family":"Omuemu","given":"V.O.","non-dropping-particle":"","parse-names":false,"suffix":""},{"dropping-particle":"","family":"Osagie","given":"O.L.","non-dropping-particle":"","parse-names":false,"suffix":""},{"dropping-particle":"","family":"Odili","given":"C.G.","non-dropping-particle":"","parse-names":false,"suffix":""}],"container-title":"Journal of Community Medicine and Primary Health Care","id":"ITEM-2","issue":"2","issued":{"date-parts":[["2016"]]},"page":"101-108","title":"Human Papilloma Virus vaccination: knowledge, attitude and uptake among female medical and dental students in a tertiary institution in Benin-City, Nigeria","type":"article-journal","volume":"28"},"uris":["http://www.mendeley.com/documents/?uuid=34e5b115-150b-4ef6-aaca-6c9ae4545a57"]},{"id":"ITEM-3","itemData":{"DOI":"10.1016/j.pmedr.2021.101643","ISSN":"22113355","PMID":"34987955","abstract":"Human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Reports","id":"ITEM-3","issue":"November","issued":{"date-parts":[["2021"]]},"page":"101643","publisher":"Elsevier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Nigeria","type":"article-journal","volume":"24"},"uris":["http://www.mendeley.com/documents/?uuid=041a479a-e993-431b-89ff-f30d276de186"]}],"mendeley":{"formattedCitation":"(Onowhakpor &lt;i&gt;et al.&lt;/i&gt;, 2016; Ihudiebube-Splendor, 2019; Okunowo &lt;i&gt;et al.&lt;/i&gt;, 2021)","plainTextFormattedCitation":"(Onowhakpor et al., 2016; Ihudiebube-Splendor, 2019; Okunowo et al., 2021)","previouslyFormattedCitation":"(Onowhakpor &lt;i&gt;et al.&lt;/i&gt;, 2016; Ihudiebube-Splendor, 2019; Okunowo &lt;i&gt;et al.&lt;/i&gt;, 2021)"},"properties":{"noteIndex":0},"schema":"https://github.com/citation-style-language/schema/raw/master/csl-citation.json"}</w:instrText>
      </w:r>
      <w:r w:rsidR="003E5650">
        <w:fldChar w:fldCharType="separate"/>
      </w:r>
      <w:r w:rsidR="003E5650" w:rsidRPr="003E5650">
        <w:rPr>
          <w:noProof/>
        </w:rPr>
        <w:t xml:space="preserve">(Onowhakpor </w:t>
      </w:r>
      <w:r w:rsidR="003E5650" w:rsidRPr="003E5650">
        <w:rPr>
          <w:i/>
          <w:noProof/>
        </w:rPr>
        <w:t>et al.</w:t>
      </w:r>
      <w:r w:rsidR="003E5650" w:rsidRPr="003E5650">
        <w:rPr>
          <w:noProof/>
        </w:rPr>
        <w:t xml:space="preserve">, 2016; Ihudiebube-Splendor, 2019; Okunowo </w:t>
      </w:r>
      <w:r w:rsidR="003E5650" w:rsidRPr="003E5650">
        <w:rPr>
          <w:i/>
          <w:noProof/>
        </w:rPr>
        <w:t>et al.</w:t>
      </w:r>
      <w:r w:rsidR="003E5650" w:rsidRPr="003E5650">
        <w:rPr>
          <w:noProof/>
        </w:rPr>
        <w:t>, 2021)</w:t>
      </w:r>
      <w:r w:rsidR="003E5650">
        <w:fldChar w:fldCharType="end"/>
      </w:r>
      <w:r w:rsidRPr="00243869">
        <w:t xml:space="preserve"> These knowledge gaps suggest that information regarding the HPV available to HCP may require more structured and </w:t>
      </w:r>
      <w:proofErr w:type="spellStart"/>
      <w:r w:rsidRPr="00243869">
        <w:t>indepth</w:t>
      </w:r>
      <w:proofErr w:type="spellEnd"/>
      <w:r w:rsidRPr="00243869">
        <w:t xml:space="preserve"> the suggesting inadequate emphasis on HPV vaccine education in medical training and need for structured education regarding the gaps.</w:t>
      </w:r>
    </w:p>
    <w:p w14:paraId="07620712" w14:textId="34C410D2" w:rsidR="006464FE" w:rsidRPr="006464FE" w:rsidRDefault="00243869" w:rsidP="002C478F">
      <w:pPr>
        <w:spacing w:line="360" w:lineRule="auto"/>
      </w:pPr>
      <w:r w:rsidRPr="00243869">
        <w:t xml:space="preserve">Respondents generally exhibited positive attitudes toward HPV vaccination. This is similar to findings </w:t>
      </w:r>
      <w:r w:rsidR="003E5650">
        <w:t xml:space="preserve">Southern Nigeria. </w:t>
      </w:r>
      <w:r w:rsidR="003E5650">
        <w:fldChar w:fldCharType="begin" w:fldLock="1"/>
      </w:r>
      <w:r w:rsidR="003E5650">
        <w:instrText>ADDIN CSL_CITATION {"citationItems":[{"id":"ITEM-1","itemData":{"ISSN":"0794-7410","abstract":"Background: Human papilloma virus (HPV) infection is implicated in the cause of cervical cancer which is the second most common cancer in women worldwide. HPV vaccination is a primary prevention toolagainst HPV infection, thus the need to assess the knowledge, attitude and uptake of HPV vaccination among female medical and dental students.Methodology: A descriptive cross sectional study was carried out among all undergraduatefemale medical and dental students in the University of Benin. Data was collected using a pretested, semi-structured, self-administered questionnaire. The questionnaires comprised ofsocio-demographic characteristics, knowledge of HPV vaccination, attitudes towards HPV vaccination and uptake of HPV vaccinationResults: Two hundred and eighty questionnaires were administered however only 215 returned their completed questionnaires giving a response rate of 76.7%.The mean age of respondents was 22.4 ± 3.0 years.Only about a third of the respondents (31.2%) had a good knowledge of HPV infection andvaccination. Age (p = 0.001), faculty (p = 0.014) and level of study (p = 0.014) was observed to be significant determinants of knowledge. A higher proportion of respondents (61.8%) had a positive attitude towards HPV vaccination while only a few (3.7%) had taken the HPV vaccine. Significant determinants of attitude towards HPV vaccination were age (p = 0.001), faculty (p = 0.014), level of study (p = 0.001) and knowledge (p = 0.031) of respondents. Uptake of HPV vaccination was significantly associated with attitude of respondents (p = 0.001).Conclusion: The knowledge and uptake of HPV vaccination among these students was generally poor though most of them had positive attitude towards HPV vaccination. This emphasizes the need for educational interventions to improve knowledge which will in turn enhance uptake.Keywords: Female, Human papilloma virus vaccine, Medical, Vaccination","author":[{"dropping-particle":"","family":"Onowhakpor","given":"A.O.","non-dropping-particle":"","parse-names":false,"suffix":""},{"dropping-particle":"","family":"Omuemu","given":"V.O.","non-dropping-particle":"","parse-names":false,"suffix":""},{"dropping-particle":"","family":"Osagie","given":"O.L.","non-dropping-particle":"","parse-names":false,"suffix":""},{"dropping-particle":"","family":"Odili","given":"C.G.","non-dropping-particle":"","parse-names":false,"suffix":""}],"container-title":"Journal of Community Medicine and Primary Health Care","id":"ITEM-1","issue":"2","issued":{"date-parts":[["2016"]]},"page":"101-108","title":"Human Papilloma Virus vaccination: knowledge, attitude and uptake among female medical and dental students in a tertiary institution in Benin-City, Nigeria","type":"article-journal","volume":"28"},"uris":["http://www.mendeley.com/documents/?uuid=34e5b115-150b-4ef6-aaca-6c9ae4545a57"]}],"mendeley":{"formattedCitation":"(Onowhakpor &lt;i&gt;et al.&lt;/i&gt;, 2016)","plainTextFormattedCitation":"(Onowhakpor et al., 2016)","previouslyFormattedCitation":"(Onowhakpor &lt;i&gt;et al.&lt;/i&gt;, 2016)"},"properties":{"noteIndex":0},"schema":"https://github.com/citation-style-language/schema/raw/master/csl-citation.json"}</w:instrText>
      </w:r>
      <w:r w:rsidR="003E5650">
        <w:fldChar w:fldCharType="separate"/>
      </w:r>
      <w:r w:rsidR="003E5650" w:rsidRPr="003E5650">
        <w:rPr>
          <w:noProof/>
        </w:rPr>
        <w:t xml:space="preserve">(Onowhakpor </w:t>
      </w:r>
      <w:r w:rsidR="003E5650" w:rsidRPr="003E5650">
        <w:rPr>
          <w:i/>
          <w:noProof/>
        </w:rPr>
        <w:t>et al.</w:t>
      </w:r>
      <w:r w:rsidR="003E5650" w:rsidRPr="003E5650">
        <w:rPr>
          <w:noProof/>
        </w:rPr>
        <w:t>, 2016)</w:t>
      </w:r>
      <w:r w:rsidR="003E5650">
        <w:fldChar w:fldCharType="end"/>
      </w:r>
      <w:r w:rsidRPr="00243869">
        <w:t xml:space="preserve">  This may be because of the awareness of the benefits of vaccination by virtue of the healthcare background. Furthermore, our study revealed high parental acceptance of HPV vaccination of children which was much higher than studies carried out in Nigeria and globally</w:t>
      </w:r>
      <w:r w:rsidR="003E5650">
        <w:t>.</w:t>
      </w:r>
      <w:r w:rsidRPr="00243869">
        <w:t xml:space="preserve"> </w:t>
      </w:r>
      <w:r w:rsidR="003E5650">
        <w:fldChar w:fldCharType="begin" w:fldLock="1"/>
      </w:r>
      <w:r w:rsidR="003E5650">
        <w:instrText>ADDIN CSL_CITATION {"citationItems":[{"id":"ITEM-1","itemData":{"DOI":"10.1016/J.JVACX.2024.100591","ISSN":"2590-1362","abstract":"Background: The recent introduction of the HPV vaccine into Nigeria's routine immunization schedule has brought parental vaccine hesitancy to the forefront. This cross-sectional study, conducted in Kano State, a region with historically low immunization rates, is crucial in assessing the level of parental hesitancy and uncovering its determinants, potentially informing future public health policies. Methods: The participants were a representative sample of parents or caregivers of children aged 9–14 years (n = 1071) in Kano State and were selected via a multi-stage sampling method. We administered structured questionnaires anchored in the Socio-ecological Model and the Precaution Adoption Process Model. We utilized validated measures to assess intent to vaccinate against HPV and potential key indicators of intent to vaccinate adolescent boys and girls. Multivariate logistic regression analysis was performed to determine predictors of parental HPV vaccine hesitancy. Result: If the HPV vaccine were free or subsidized, about one-third [32.7 %] of parents would choose not to vaccinate their children against the virus. Only 4.2 % had ever heard of HPV, and a mere 5.1 % had heard of the cervical cancer vaccine or HPV vaccine. Compared to those who were aware of the virus, those who had never heard of HPV had higher adjusted odds of vaccine hesitancy [OR: 2.86, 95 %CI: 1.28–6.40]. Some of the top reasons for parental hesitancy were their concerns about the safety of the vaccine and the lack of doctors' recommendations. Conclusion: The study revealed that parental hesitancy is a significant barrier to HPV uptake in Kano State. There is an urgent need for a multi-faceted HPV knowledge enhancement approach focusing on elevating parental awareness about the HPV vaccine and, particularly, its relationship to cervical cancer prevention.","author":[{"dropping-particle":"","family":"Yusuf","given":"Korede K.","non-dropping-particle":"","parse-names":false,"suffix":""},{"dropping-particle":"","family":"Olorunsaiye","given":"Comfort Z.","non-dropping-particle":"","parse-names":false,"suffix":""},{"dropping-particle":"","family":"Gadanya","given":"Muktar A.","non-dropping-particle":"","parse-names":false,"suffix":""},{"dropping-particle":"","family":"Ouedraogo","given":"Samira","non-dropping-particle":"","parse-names":false,"suffix":""},{"dropping-particle":"","family":"Abdullahi","given":"Aisha A.","non-dropping-particle":"","parse-names":false,"suffix":""},{"dropping-particle":"","family":"Salihu","given":"Hamisu M.","non-dropping-particle":"","parse-names":false,"suffix":""}],"container-title":"Vaccine: X","id":"ITEM-1","issued":{"date-parts":[["2024","12","1"]]},"page":"100591","publisher":"Elsevier","title":"HPV vaccine hesitancy among parents and caregivers of adolescents in Northern Nigeria","type":"article-journal","volume":"21"},"uris":["http://www.mendeley.com/documents/?uuid=fe27ac98-1e84-3d0a-9739-41ecc2a55bb1"]},{"id":"ITEM-2","itemData":{"DOI":"10.1186/S12905-024-03377-5","ISSN":"1472-6874","PMID":"39334328","abstract":"This systematic literature review aims to summarize global research on parental acceptance, attitudes, and knowledge regarding human papillomavirus vaccinations. The literature search was conducted in PubMed, Web of Science and Scopus, and included publications from 2006 to 2023. Study quality was assessed using the Newcastle-Ottawa Scale. The Grading of Recommendations Assessment, Development, and Evaluation guidelines were used to assess the strength of evidence for the primary outcome. Meta-analyses were performed using random-effects models to estimate pooled parental acceptance of HPV vaccinations. Studies were stratified by publication years, and a subgroup analysis was conducted to estimate vaccine acceptance rates by world regions. Additionally, sensitivity analyses examined the role of parents in accepting HPV vaccinations for children of different sexes. Based on 86 studies, we found that parents generally supported HPV vaccinations for their children, yet HPV vaccine acceptance rates showed high variation (12.0&amp;nbsp;to&amp;nbsp;97.5%). The subgroup analysis revealed geographical variations in pooled parental HPV vaccine acceptance rates, with the highest rate observed in Africa (79.6%; 95% CI: 73.5–85.2; I² = 98.3%; p &amp;lt; 0.01) and the lowest in North America (56.7%; 95% CI: 49.3–64.0; I² = 99.4%; p &amp;lt; 0.01). Sensitivity analyses showed that acceptance was higher for daughters than for sons, with mothers more willing to get their daughters vaccinated. The proportion of parents reporting barriers or benefits regarding HPV vaccinations varied widely (0.3 to 95.8%) between study regions. Across all world regions, fear of adverse effects and concerns about vaccine safety were the main barriers, whereas the desire to protect their children from cancer was a significant predictor of vaccine acceptance. Knowledge levels varied widely (6.5&amp;nbsp;to&amp;nbsp;100%) between world regions and according to the questions asked. In most studies, knowledge e.g., that HPV is sexually transmitted, and that HPV vaccination provides protection against cervical cancer, ranged from moderate to high. The results indicated moderate parental acceptance of HPV vaccines. Public knowledge of HPV infection should be promoted, and special efforts should be made to minimize the existing barriers and increase vaccination accessibility and uptake.","author":[{"dropping-particle":"","family":"Heyde","given":"Sophia","non-dropping-particle":"","parse-names":false,"suffix":""},{"dropping-particle":"","family":"Osmani","given":"Vanesa","non-dropping-particle":"","parse-names":false,"suffix":""},{"dropping-particle":"","family":"Schauberger","given":"Gunther","non-dropping-particle":"","parse-names":false,"suffix":""},{"dropping-particle":"","family":"Cooney","given":"Claire","non-dropping-particle":"","parse-names":false,"suffix":""},{"dropping-particle":"","family":"Klug","given":"Stefanie J.","non-dropping-particle":"","parse-names":false,"suffix":""}],"container-title":"BMC Women's Health 2024 24:1","id":"ITEM-2","issue":"1","issued":{"date-parts":[["2024","9","27"]]},"page":"1-25","publisher":"BioMed Central","title":"Global parental acceptance, attitudes, and knowledge regarding human papillomavirus vaccinations for their children: a systematic literature review and meta-analysis","type":"article-journal","volume":"24"},"uris":["http://www.mendeley.com/documents/?uuid=3cd0f327-5717-30e4-9b08-f1d8f675c8d2"]}],"mendeley":{"formattedCitation":"(Heyde &lt;i&gt;et al.&lt;/i&gt;, 2024; Yusuf &lt;i&gt;et al.&lt;/i&gt;, 2024)","plainTextFormattedCitation":"(Heyde et al., 2024; Yusuf et al., 2024)","previouslyFormattedCitation":"(Heyde &lt;i&gt;et al.&lt;/i&gt;, 2024; Yusuf &lt;i&gt;et al.&lt;/i&gt;, 2024)"},"properties":{"noteIndex":0},"schema":"https://github.com/citation-style-language/schema/raw/master/csl-citation.json"}</w:instrText>
      </w:r>
      <w:r w:rsidR="003E5650">
        <w:fldChar w:fldCharType="separate"/>
      </w:r>
      <w:r w:rsidR="003E5650" w:rsidRPr="003E5650">
        <w:rPr>
          <w:noProof/>
        </w:rPr>
        <w:t xml:space="preserve">(Heyde </w:t>
      </w:r>
      <w:r w:rsidR="003E5650" w:rsidRPr="003E5650">
        <w:rPr>
          <w:i/>
          <w:noProof/>
        </w:rPr>
        <w:t>et al.</w:t>
      </w:r>
      <w:r w:rsidR="003E5650" w:rsidRPr="003E5650">
        <w:rPr>
          <w:noProof/>
        </w:rPr>
        <w:t xml:space="preserve">, 2024; Yusuf </w:t>
      </w:r>
      <w:r w:rsidR="003E5650" w:rsidRPr="003E5650">
        <w:rPr>
          <w:i/>
          <w:noProof/>
        </w:rPr>
        <w:t>et al.</w:t>
      </w:r>
      <w:r w:rsidR="003E5650" w:rsidRPr="003E5650">
        <w:rPr>
          <w:noProof/>
        </w:rPr>
        <w:t>, 2024)</w:t>
      </w:r>
      <w:r w:rsidR="003E5650">
        <w:fldChar w:fldCharType="end"/>
      </w:r>
      <w:r w:rsidRPr="00243869">
        <w:t xml:space="preserve"> Studies show that parental acceptance increases the likelihood of HPV vaccination among children and given the recent roll </w:t>
      </w:r>
      <w:r w:rsidR="003E5650">
        <w:t>out of</w:t>
      </w:r>
      <w:r w:rsidRPr="00243869">
        <w:t xml:space="preserve"> the HPV vaccine in the national immunization schedule, this factor is essential</w:t>
      </w:r>
      <w:r w:rsidR="003E5650">
        <w:t xml:space="preserve">. </w:t>
      </w:r>
      <w:r w:rsidR="003E5650">
        <w:fldChar w:fldCharType="begin" w:fldLock="1"/>
      </w:r>
      <w:r w:rsidR="003E5650">
        <w:instrText>ADDIN CSL_CITATION {"citationItems":[{"id":"ITEM-1","itemData":{"DOI":"10.1158/1940-6207.CAPR-22-0412","ISSN":"19406215","PMID":"36607702","abstract":"Human papillomavirus (HPV) vaccination was introduced in the National Immunization Program (NIP) in Korea targeting girls aged 12 years to receive two doses of HPV vaccine to prevent cervical cancer. This study aimed to evaluate the factors that may influence parental decision to inoculate their daughters in Korea. A cross-sectional survey was conducted in 2020 by interviewing the parents of 2,000 nationally representative girls eligible for HPV NIP. By the daughters’ status of HPV vaccination, the probabilities for each variable were compared with evaluate the factors that could affect parents’ decision to inoculate their daughters with HPV vaccines. Compared with parents who were not vaccinated with HPV, parents who were vaccinated with HPV were 2.40 times more likely to decide to vaccinate their daughters with HPV. Parents who regularly undergo cervical cancer screening were 1.39 times more likely to decide to vaccinate their daughters with HPV than parents who do not receive regular checkups. Parents’ perceived knowledge and perceived risk had a significant impact on their decision to vaccinate their daughters with HPV vaccines. Parents who had strong belief that HPV vaccine is safe in terms of adverse effects were 10 times more likely to decide to vaccinate their daughters against HPV. Parental factors including HPV-related health behavior and awareness were found to be associated with parental decision to vaccinate their daughters against HPV. To improve HPV vaccine uptake at 12 years, it is required to improve parental awareness on HPV through public communication supported by scientific-based evidence.","author":[{"dropping-particle":"","family":"Park","given":"Yoon","non-dropping-particle":"","parse-names":false,"suffix":""},{"dropping-particle":"","family":"Ki","given":"Moran","non-dropping-particle":"","parse-names":false,"suffix":""},{"dropping-particle":"","family":"Lee","given":"Hyunju","non-dropping-particle":"","parse-names":false,"suffix":""},{"dropping-particle":"","family":"Lee","given":"Jae Kwan","non-dropping-particle":"","parse-names":false,"suffix":""},{"dropping-particle":"","family":"Oh","given":"Jin Kyoung","non-dropping-particle":"","parse-names":false,"suffix":""}],"container-title":"Cancer Prevention Research","id":"ITEM-1","issue":"3","issued":{"date-parts":[["2023","3","1"]]},"page":"133-138","publisher":"American Association for Cancer Research Inc.","title":"Parental Factors Affecting Decision to Vaccinate Their Daughters against Human Papillomavirus","type":"article-journal","volume":"16"},"uris":["http://www.mendeley.com/documents/?uuid=8efe332b-3226-377b-b953-85256293bb33"]},{"id":"ITEM-2","itemData":{"DOI":"10.1016/J.JVACX.2024.100591","ISSN":"2590-1362","abstract":"Background: The recent introduction of the HPV vaccine into Nigeria's routine immunization schedule has brought parental vaccine hesitancy to the forefront. This cross-sectional study, conducted in Kano State, a region with historically low immunization rates, is crucial in assessing the level of parental hesitancy and uncovering its determinants, potentially informing future public health policies. Methods: The participants were a representative sample of parents or caregivers of children aged 9–14 years (n = 1071) in Kano State and were selected via a multi-stage sampling method. We administered structured questionnaires anchored in the Socio-ecological Model and the Precaution Adoption Process Model. We utilized validated measures to assess intent to vaccinate against HPV and potential key indicators of intent to vaccinate adolescent boys and girls. Multivariate logistic regression analysis was performed to determine predictors of parental HPV vaccine hesitancy. Result: If the HPV vaccine were free or subsidized, about one-third [32.7 %] of parents would choose not to vaccinate their children against the virus. Only 4.2 % had ever heard of HPV, and a mere 5.1 % had heard of the cervical cancer vaccine or HPV vaccine. Compared to those who were aware of the virus, those who had never heard of HPV had higher adjusted odds of vaccine hesitancy [OR: 2.86, 95 %CI: 1.28–6.40]. Some of the top reasons for parental hesitancy were their concerns about the safety of the vaccine and the lack of doctors' recommendations. Conclusion: The study revealed that parental hesitancy is a significant barrier to HPV uptake in Kano State. There is an urgent need for a multi-faceted HPV knowledge enhancement approach focusing on elevating parental awareness about the HPV vaccine and, particularly, its relationship to cervical cancer prevention.","author":[{"dropping-particle":"","family":"Yusuf","given":"Korede K.","non-dropping-particle":"","parse-names":false,"suffix":""},{"dropping-particle":"","family":"Olorunsaiye","given":"Comfort Z.","non-dropping-particle":"","parse-names":false,"suffix":""},{"dropping-particle":"","family":"Gadanya","given":"Muktar A.","non-dropping-particle":"","parse-names":false,"suffix":""},{"dropping-particle":"","family":"Ouedraogo","given":"Samira","non-dropping-particle":"","parse-names":false,"suffix":""},{"dropping-particle":"","family":"Abdullahi","given":"Aisha A.","non-dropping-particle":"","parse-names":false,"suffix":""},{"dropping-particle":"","family":"Salihu","given":"Hamisu M.","non-dropping-particle":"","parse-names":false,"suffix":""}],"container-title":"Vaccine: X","id":"ITEM-2","issued":{"date-parts":[["2024","12","1"]]},"page":"100591","publisher":"Elsevier","title":"HPV vaccine hesitancy among parents and caregivers of adolescents in Northern Nigeria","type":"article-journal","volume":"21"},"uris":["http://www.mendeley.com/documents/?uuid=fe27ac98-1e84-3d0a-9739-41ecc2a55bb1"]},{"id":"ITEM-3","itemData":{"DOI":"10.1186/S12905-024-03377-5","ISSN":"1472-6874","PMID":"39334328","abstract":"This systematic literature review aims to summarize global research on parental acceptance, attitudes, and knowledge regarding human papillomavirus vaccinations. The literature search was conducted in PubMed, Web of Science and Scopus, and included publications from 2006 to 2023. Study quality was assessed using the Newcastle-Ottawa Scale. The Grading of Recommendations Assessment, Development, and Evaluation guidelines were used to assess the strength of evidence for the primary outcome. Meta-analyses were performed using random-effects models to estimate pooled parental acceptance of HPV vaccinations. Studies were stratified by publication years, and a subgroup analysis was conducted to estimate vaccine acceptance rates by world regions. Additionally, sensitivity analyses examined the role of parents in accepting HPV vaccinations for children of different sexes. Based on 86 studies, we found that parents generally supported HPV vaccinations for their children, yet HPV vaccine acceptance rates showed high variation (12.0&amp;nbsp;to&amp;nbsp;97.5%). The subgroup analysis revealed geographical variations in pooled parental HPV vaccine acceptance rates, with the highest rate observed in Africa (79.6%; 95% CI: 73.5–85.2; I² = 98.3%; p &amp;lt; 0.01) and the lowest in North America (56.7%; 95% CI: 49.3–64.0; I² = 99.4%; p &amp;lt; 0.01). Sensitivity analyses showed that acceptance was higher for daughters than for sons, with mothers more willing to get their daughters vaccinated. The proportion of parents reporting barriers or benefits regarding HPV vaccinations varied widely (0.3 to 95.8%) between study regions. Across all world regions, fear of adverse effects and concerns about vaccine safety were the main barriers, whereas the desire to protect their children from cancer was a significant predictor of vaccine acceptance. Knowledge levels varied widely (6.5&amp;nbsp;to&amp;nbsp;100%) between world regions and according to the questions asked. In most studies, knowledge e.g., that HPV is sexually transmitted, and that HPV vaccination provides protection against cervical cancer, ranged from moderate to high. The results indicated moderate parental acceptance of HPV vaccines. Public knowledge of HPV infection should be promoted, and special efforts should be made to minimize the existing barriers and increase vaccination accessibility and uptake.","author":[{"dropping-particle":"","family":"Heyde","given":"Sophia","non-dropping-particle":"","parse-names":false,"suffix":""},{"dropping-particle":"","family":"Osmani","given":"Vanesa","non-dropping-particle":"","parse-names":false,"suffix":""},{"dropping-particle":"","family":"Schauberger","given":"Gunther","non-dropping-particle":"","parse-names":false,"suffix":""},{"dropping-particle":"","family":"Cooney","given":"Claire","non-dropping-particle":"","parse-names":false,"suffix":""},{"dropping-particle":"","family":"Klug","given":"Stefanie J.","non-dropping-particle":"","parse-names":false,"suffix":""}],"container-title":"BMC Women's Health 2024 24:1","id":"ITEM-3","issue":"1","issued":{"date-parts":[["2024","9","27"]]},"page":"1-25","publisher":"BioMed Central","title":"Global parental acceptance, attitudes, and knowledge regarding human papillomavirus vaccinations for their children: a systematic literature review and meta-analysis","type":"article-journal","volume":"24"},"uris":["http://www.mendeley.com/documents/?uuid=3cd0f327-5717-30e4-9b08-f1d8f675c8d2"]}],"mendeley":{"formattedCitation":"(Park &lt;i&gt;et al.&lt;/i&gt;, 2023; Heyde &lt;i&gt;et al.&lt;/i&gt;, 2024; Yusuf &lt;i&gt;et al.&lt;/i&gt;, 2024)","plainTextFormattedCitation":"(Park et al., 2023; Heyde et al., 2024; Yusuf et al., 2024)","previouslyFormattedCitation":"(Park &lt;i&gt;et al.&lt;/i&gt;, 2023; Heyde &lt;i&gt;et al.&lt;/i&gt;, 2024; Yusuf &lt;i&gt;et al.&lt;/i&gt;, 2024)"},"properties":{"noteIndex":0},"schema":"https://github.com/citation-style-language/schema/raw/master/csl-citation.json"}</w:instrText>
      </w:r>
      <w:r w:rsidR="003E5650">
        <w:fldChar w:fldCharType="separate"/>
      </w:r>
      <w:r w:rsidR="003E5650" w:rsidRPr="003E5650">
        <w:rPr>
          <w:noProof/>
        </w:rPr>
        <w:t xml:space="preserve">(Park </w:t>
      </w:r>
      <w:r w:rsidR="003E5650" w:rsidRPr="003E5650">
        <w:rPr>
          <w:i/>
          <w:noProof/>
        </w:rPr>
        <w:t>et al.</w:t>
      </w:r>
      <w:r w:rsidR="003E5650" w:rsidRPr="003E5650">
        <w:rPr>
          <w:noProof/>
        </w:rPr>
        <w:t xml:space="preserve">, 2023; Heyde </w:t>
      </w:r>
      <w:r w:rsidR="003E5650" w:rsidRPr="003E5650">
        <w:rPr>
          <w:i/>
          <w:noProof/>
        </w:rPr>
        <w:t>et al.</w:t>
      </w:r>
      <w:r w:rsidR="003E5650" w:rsidRPr="003E5650">
        <w:rPr>
          <w:noProof/>
        </w:rPr>
        <w:t xml:space="preserve">, 2024; Yusuf </w:t>
      </w:r>
      <w:r w:rsidR="003E5650" w:rsidRPr="003E5650">
        <w:rPr>
          <w:i/>
          <w:noProof/>
        </w:rPr>
        <w:t>et al.</w:t>
      </w:r>
      <w:r w:rsidR="003E5650" w:rsidRPr="003E5650">
        <w:rPr>
          <w:noProof/>
        </w:rPr>
        <w:t>, 2024)</w:t>
      </w:r>
      <w:r w:rsidR="003E5650">
        <w:fldChar w:fldCharType="end"/>
      </w:r>
      <w:r w:rsidRPr="00243869">
        <w:t xml:space="preserve"> </w:t>
      </w:r>
      <w:r w:rsidR="000B0330">
        <w:t xml:space="preserve">A case has been made for vaccinating boys and our study </w:t>
      </w:r>
      <w:r w:rsidR="00DB76AF">
        <w:t>showed that one in three respondents felt that boys should not be vaccinated. This may result from poor vaccine literacy. A benefit of immunizing boys which is called gender-neutral vaccination that helps to herd immunity and prevents HPV disease in males. However, where there is vaccine shortage, this option may not be used.</w:t>
      </w:r>
      <w:r w:rsidR="003E5650">
        <w:t xml:space="preserve"> </w:t>
      </w:r>
      <w:r w:rsidR="003E5650">
        <w:fldChar w:fldCharType="begin" w:fldLock="1"/>
      </w:r>
      <w:r w:rsidR="003E5650">
        <w:instrText>ADDIN CSL_CITATION {"citationItems":[{"id":"ITEM-1","itemData":{"DOI":"10.3390/V15071440","ISSN":"19994915","PMID":"37515128","abstract":"Human papillomavirus (HPV) is causally associated with 5% of cancers, including cancers of the cervix, penis, vulva, vagina, anus and oropharynx. The most carcinogenic HPV is HPV-16, which dominates the types causing cancer. There is also sufficient evidence that HPV types 18, 31, 33, 35, 39, 45, 51, 52, 56, 58 and 59 cause cervical cancer. The L1 protein, which, when assembled into virus-like particles, induces HPV-type-specific neutralising antibodies, forms the basis of all commercial HPV vaccines. There are six licensed prophylactic HPV vaccines: three bivalent, two quadrivalent and one nonavalent vaccine. The bivalent vaccines protect from HPV types 16 and 18, which are associated with more than 70% of cervical cancers. Prophylactic vaccination targets children before sexual debut, but there are now catch-up campaigns, which have also been shown to be beneficial in reducing HPV infection and disease. HPV vaccination of adults after treatment for cervical lesions or recurrent respiratory papillomatosis has impacted recurrence. Gender-neutral vaccination will improve herd immunity and prevent infection in men and women. HPV vaccines are immunogenic in people living with HIV, but more research is needed on the long-term impact of vaccination and to determine whether further boosters are required.","author":[{"dropping-particle":"","family":"Williamson","given":"Anna Lise","non-dropping-particle":"","parse-names":false,"suffix":""}],"container-title":"Viruses","id":"ITEM-1","issue":"7","issued":{"date-parts":[["2023","7","1"]]},"page":"1440","publisher":"Multidisciplinary Digital Publishing Institute (MDPI)","title":"Recent Developments in Human Papillomavirus (HPV) Vaccinology","type":"article-journal","volume":"15"},"uris":["http://www.mendeley.com/documents/?uuid=6614a9bc-2aea-331d-810a-3df338cc20bd"]}],"mendeley":{"formattedCitation":"(Williamson, 2023)","plainTextFormattedCitation":"(Williamson, 2023)","previouslyFormattedCitation":"(Williamson, 2023)"},"properties":{"noteIndex":0},"schema":"https://github.com/citation-style-language/schema/raw/master/csl-citation.json"}</w:instrText>
      </w:r>
      <w:r w:rsidR="003E5650">
        <w:fldChar w:fldCharType="separate"/>
      </w:r>
      <w:r w:rsidR="003E5650" w:rsidRPr="003E5650">
        <w:rPr>
          <w:noProof/>
        </w:rPr>
        <w:t>(Williamson, 2023)</w:t>
      </w:r>
      <w:r w:rsidR="003E5650">
        <w:fldChar w:fldCharType="end"/>
      </w:r>
    </w:p>
    <w:p w14:paraId="4871695B" w14:textId="68BA8244" w:rsidR="00243869" w:rsidRPr="00243869" w:rsidRDefault="00243869" w:rsidP="002C478F">
      <w:pPr>
        <w:spacing w:line="360" w:lineRule="auto"/>
      </w:pPr>
      <w:r w:rsidRPr="00243869">
        <w:t>However, there were also concerns about vaccine safety and effectiveness reported among a few respondents which supports findings</w:t>
      </w:r>
      <w:r w:rsidR="003E5650">
        <w:t xml:space="preserve"> in other studies.</w:t>
      </w:r>
      <w:r w:rsidR="003E5650">
        <w:fldChar w:fldCharType="begin" w:fldLock="1"/>
      </w:r>
      <w:r w:rsidR="003E5650">
        <w:instrText>ADDIN CSL_CITATION {"citationItems":[{"id":"ITEM-1","itemData":{"DOI":"10.3390/vaccines12010084","ISSN":"2076393X","abstract":"Human papillomavirus (HPV) vaccine uptake among adolescent girls is critical to reducing the burden of HPV-related cancers in Nigeria. This study assesses the factors influencing caregivers’ acceptance of HPV vaccination for their charges, using the Fogg Behavior Model (FBM) as a theoretical framework. We analyzed cross-sectional data from 1429 caregivers of girls aged 9–17 in six Nigerian states, using a survey instrument based on the FBM. Participants were recruited via Facebook and Instagram advertisements and interviewed through Facebook Messenger in August and September 2023. The study received ethical clearance from Nigeria’s National Health Research Ethics Committee. We applied bivariate and multivariate analyses to assess the relationships between the caregiver’s perception of how likely their adolescent girl was to get vaccinated in the next 12 months and motivation, ability, social factors (such as discussions with family and friends), injunctive norms, previous COVID-19 vaccination, and respondents’ sociodemographic characteristics. Adjusted odds ratios derived from logistic regression analyses revealed that caregivers’ motivation and ability, as well as social factors, were significantly associated with their perception that the adolescent girl in their care would get vaccinated within the next 12 months. Our findings suggest that behavioral interventions tailored to enhance motivation, ability, and social support among caregivers could significantly increase HPV vaccine uptake among adolescent girls in Nigeria.","author":[{"dropping-particle":"","family":"Agha","given":"Sohail","non-dropping-particle":"","parse-names":false,"suffix":""},{"dropping-particle":"","family":"Bernard","given":"Drew","non-dropping-particle":"","parse-names":false,"suffix":""},{"dropping-particle":"","family":"Francis","given":"Sarah","non-dropping-particle":"","parse-names":false,"suffix":""},{"dropping-particle":"","family":"Fareed","given":"Aslam","non-dropping-particle":"","parse-names":false,"suffix":""},{"dropping-particle":"","family":"Nsofor","given":"Ifeanyi","non-dropping-particle":"","parse-names":false,"suffix":""}],"container-title":"Vaccines","id":"ITEM-1","issue":"1","issued":{"date-parts":[["2024"]]},"page":"1-12","title":"Determinants of Human Papillomavirus Vaccine Acceptance among Caregivers in Nigeria: A Fogg Behavior Model-Based Approach","type":"article-journal","volume":"12"},"uris":["http://www.mendeley.com/documents/?uuid=30fb6d11-50c1-4b6a-ae02-319c5750e53b"]},{"id":"ITEM-2","itemData":{"DOI":"10.4172/2161-0711.1000191","abstract":"Although cervical cancer remains a common condition in Nigeria, with a reported prevalence of 23.7% (21.1-26.4) among 1030 women with normal cytology and an incidence of 19.3% per 100,000 women per year, only the minority of Nigerian women have used human papilloma virus (HPV) immunisation services. This study was thus out to identify the reasons for this low patronage. This descriptive study took place among women attendees of an immunisation clinic in Nigeria. The clinic is adequately stocked with all the immunisation in Nigeria schedule including HPV vaccination and enjoys high patronage by different economic, cultural and religious groups. The study explored their perception about the Human Papilloma Virus vaccine which was introduced in 2009 to mitigate the rising scourge of cervical cancer globally. One hundred and seventy nine women aged 16 to 45 years who accessed the clinic for various immunization services and regimens participated in the study after the purpose of the research was explained and their informed consent sought and gained. The study revealed that though women's awareness level about cervical cancer had increased, knowledge about the human papilloma virus and the vaccine was still poor. It identified some reasons for the low uptake of HPV vaccination and revealed that women were willing to be vaccinated if they were properly educated about the need for the vaccine which should be well subsidized by the government.","author":[{"dropping-particle":"","family":"Ekpo K","given":"Odetola TD","non-dropping-particle":"","parse-names":false,"suffix":""}],"container-title":"Journal of Community Medicine &amp; Health Education","id":"ITEM-2","issue":"11","issued":{"date-parts":[["2012"]]},"title":"Nigerian Women’s Perceptions about Human Papilloma Virus Immunisations","type":"article-journal","volume":"02"},"uris":["http://www.mendeley.com/documents/?uuid=4f7eee35-5b8c-4b77-8a01-e056dc6d09d2"]},{"id":"ITEM-3","itemData":{"ISSN":"2319-5886","abstract":"Background: Human papillomavirus (HPV) has been described as an 'equal opportunity' pathogen affecting both sexes and the leading cause of cervical cancer. Vaccination against oncogenic HPV types is a significant step towards decreasing the prevalence, morbidity, and mortality associated with cervical cancer. Objectives: To investigate attitude and perceived barriers to uptake of HPV vaccine among female students in a Nigerian Tertiary Institution. Methods: A cross-sectional questionnaire-based study that was conducted in the University of Nigeria, Enugu Campus from March 01 to April 01, 2017. The representative sample size of 320 female undergraduates was selected using a multistage sampling technique. Data were entered using Microsoft Excel Windows 7 and exported to IBM SPSS version 20.0 software for analysis. Results: Total 38 (13.0%) participants had received HPV vaccine. Majority of the participants had a positive attitude towards HPV vaccination (2.5 ± 6.4). The major perceived barriers to uptake of vaccination were: exorbitant cost of the vaccine (94.1%) and lack of time due to lectures (53.0%). Age of the participants had no influence on the uptake of HPV vaccine whereas department, ethnic group, and marital status had a strong influence on vaccination uptake (p&lt;0.05). Conclusion: A low proportion of the participants had received the HPV vaccine. Majority of the participants had a positive attitude towards HPV vaccination. The major perceived barrier to vaccination was the exorbitant cost of the vaccine. The university in collaboration with the Ministry of Health should design strategies to enlighten the university community on HPV infection through seminars and workshops.","author":[{"dropping-particle":"","family":"Ihudiebube-Splendor","given":"","non-dropping-particle":"","parse-names":false,"suffix":""}],"container-title":"International Journal of Medical Research &amp; Health Sciences,","id":"ITEM-3","issued":{"date-parts":[["2019"]]},"page":"85-92","title":"Attitude and Perceived Barriers to Uptake of Human Papillomavirus Vaccine among Female Students in a Nigerian Tertiary Institution","type":"article-journal"},"uris":["http://www.mendeley.com/documents/?uuid=8eb7f4bf-5bcc-407b-861a-cc0a6c896e32"]}],"mendeley":{"formattedCitation":"(Ekpo K, 2012; Ihudiebube-Splendor, 2019; Agha &lt;i&gt;et al.&lt;/i&gt;, 2024)","plainTextFormattedCitation":"(Ekpo K, 2012; Ihudiebube-Splendor, 2019; Agha et al., 2024)","previouslyFormattedCitation":"(Ekpo K, 2012; Ihudiebube-Splendor, 2019; Agha &lt;i&gt;et al.&lt;/i&gt;, 2024)"},"properties":{"noteIndex":0},"schema":"https://github.com/citation-style-language/schema/raw/master/csl-citation.json"}</w:instrText>
      </w:r>
      <w:r w:rsidR="003E5650">
        <w:fldChar w:fldCharType="separate"/>
      </w:r>
      <w:r w:rsidR="003E5650" w:rsidRPr="003E5650">
        <w:rPr>
          <w:noProof/>
        </w:rPr>
        <w:t xml:space="preserve">(Ekpo K, 2012; Ihudiebube-Splendor, 2019; Agha </w:t>
      </w:r>
      <w:r w:rsidR="003E5650" w:rsidRPr="003E5650">
        <w:rPr>
          <w:i/>
          <w:noProof/>
        </w:rPr>
        <w:t>et al.</w:t>
      </w:r>
      <w:r w:rsidR="003E5650" w:rsidRPr="003E5650">
        <w:rPr>
          <w:noProof/>
        </w:rPr>
        <w:t>, 2024)</w:t>
      </w:r>
      <w:r w:rsidR="003E5650">
        <w:fldChar w:fldCharType="end"/>
      </w:r>
      <w:r w:rsidRPr="00243869">
        <w:t xml:space="preserve"> Such hesitancy, even among healthcare workers, is similar with global findings </w:t>
      </w:r>
      <w:r w:rsidRPr="00243869">
        <w:lastRenderedPageBreak/>
        <w:t>of vaccine skepticism fueled by misinformation.</w:t>
      </w:r>
      <w:r w:rsidR="003E5650">
        <w:fldChar w:fldCharType="begin" w:fldLock="1"/>
      </w:r>
      <w:r w:rsidR="003E5650">
        <w:instrText>ADDIN CSL_CITATION {"citationItems":[{"id":"ITEM-1","itemData":{"DOI":"10.1016/j.jvacx.2024.100549","ISSN":"25901362","abstract":"Human papillomaviruses (HPV) cause 99% of all cervical cancer cases globally, with the high-risk genotypes 16 and 18 causing at least 70% of these cases. An estimated 90% of the global cervical cancer burden occurs in low-to-middle-income countries (LMICs), particularly in sub-Saharan Africa (SSA). Primary prevention through the administration of efficacious HPV vaccines is key to the World Health Organization's global strategy for accelerating the elimination of cervical cancer as a disease of public health concern. The rollout of HPV vaccination in SSA is faced with several challenges, such as the high cost of vaccine procurement, a lack of funding and political will from the central governments of countries, and inadequate infrastructure for vaccine cold chain storage and transport. Stigma, misinformation, lack of education and awareness, and vaccine hesitancy constitute the social factors that affect the successful rollout or implementation of vaccination programs in SSA. Based on the challenges SSA faces in rolling out HPV vaccination, we recommend using strategies that address both the demand-side and supply-side obstacles to HPV vaccination uptake. These include costs and availability, fighting vaccine hesitancy, and increasing vaccine confidence.","author":[{"dropping-particle":"","family":"Murewanhema","given":"Grant","non-dropping-particle":"","parse-names":false,"suffix":""},{"dropping-particle":"","family":"Moyo","given":"Enos","non-dropping-particle":"","parse-names":false,"suffix":""},{"dropping-particle":"","family":"Dzobo","given":"Mathias","non-dropping-particle":"","parse-names":false,"suffix":""},{"dropping-particle":"","family":"Mandishora-Dube","given":"Rachel S.","non-dropping-particle":"","parse-names":false,"suffix":""},{"dropping-particle":"","family":"Dzinamarira","given":"Tafadzwa","non-dropping-particle":"","parse-names":false,"suffix":""}],"container-title":"Vaccine: X","id":"ITEM-1","issue":"August","issued":{"date-parts":[["2024"]]},"page":"100549","publisher":"Elsevier Ltd","title":"Human papilloma virus vaccination in the resource-limited settings of sub-Saharan Africa: Challenges and recommendations","type":"article-journal","volume":"20"},"uris":["http://www.mendeley.com/documents/?uuid=12d9e9e3-f30d-4306-bce3-0aac7eec379c"]},{"id":"ITEM-2","itemData":{"DOI":"10.5334/aogh.2890","ISSN":"22149996","PMID":"32983914","abstract":"Background: Cervical cancer deaths are disproportionately higher in developing countries depicting one of the most profound health disparities existing today and is ranked as the second most frequent cancer among women in Nigeria. The Human Papillomavirus (HPV) vaccine as a primary prevention strategy is not widely used in Nigeria. This study investigated perceived barriers to HPV vaccination in a Nigerian com-munity, targeting health workers’ perceptions. Methods: This descriptive study captured responses from a cross-sectional, convenience sample of adult health workers within Anambra State, Nigeria. An anonymous 42-item survey with multiple validated scales was developed based on the Theory of Planned Behavior model and previous studies. The self-administered survey was distributed by research assistants at study sites within Anambra State which were identified through local constituents by the regional zones Adazi-Ani, Onitsha, and Awka. Data analyses were performed using Microsoft Excel for descriptive statistics and R software for the logistic regression, with a statistical significance level of 5%. Subgroup analysis was performed for the baseline knowledge questionnaire to determine if there were any differences in correct responses based on demo-graphics such as: Institution type, profession, age, sex, religion and parental status. Results: Responses were collected from 137 Nigerian health workers; 44% nurses, 14% physicians, 6% pharmacists and 31% other health workers. The majority of respondents were female (69%), between 18 and 39 years of age (78%), from urban settings (82%), and identified as having Christian religious beliefs (97%). The most significant barriers identified were lack of awareness (39%), vaccine availability (39%), and cost (13%). When asked baseline knowledge questions regarding HPV, females were more likely to answer incorrectly as compared to males. Significant differences were found for statements: (1) HPV is sexually transmitted (p = 0.008) and (2) HPV is an infection that only affects women (p = 0.004). Conclusions: Perceived barriers to HPV vaccination identified by Nigerian health workers include lack of awareness, vaccine availability/accessibility, cost, and concerns about acceptability. Ongoing efforts to subsidize vaccine costs, campaigns to increase awareness of HPV vaccine, and interventions to improve attainability could advance administration rates in Nigeria, and ultimately improve death rates due to cervica…","author":[{"dropping-particle":"","family":"Nguyen","given":"Nicole Yvonne","non-dropping-particle":"","parse-names":false,"suffix":""},{"dropping-particle":"","family":"Okeke","given":"Emeka","non-dropping-particle":"","parse-names":false,"suffix":""},{"dropping-particle":"","family":"Anglemyer","given":"Andrew","non-dropping-particle":"","parse-names":false,"suffix":""},{"dropping-particle":"","family":"Brock","given":"Tina","non-dropping-particle":"","parse-names":false,"suffix":""}],"container-title":"Annals of Global Health","id":"ITEM-2","issue":"1","issued":{"date-parts":[["2020"]]},"page":"1-8","title":"Identifying perceived barriers to human papillomavirus vaccination as a preventative strategy for cervical cancer in Nigeria","type":"article-journal","volume":"86"},"uris":["http://www.mendeley.com/documents/?uuid=c4fa5a4c-34f4-4d4a-a484-2f7624bd1201"]}],"mendeley":{"formattedCitation":"(Nguyen &lt;i&gt;et al.&lt;/i&gt;, 2020; Murewanhema &lt;i&gt;et al.&lt;/i&gt;, 2024)","plainTextFormattedCitation":"(Nguyen et al., 2020; Murewanhema et al., 2024)","previouslyFormattedCitation":"(Nguyen &lt;i&gt;et al.&lt;/i&gt;, 2020; Murewanhema &lt;i&gt;et al.&lt;/i&gt;, 2024)"},"properties":{"noteIndex":0},"schema":"https://github.com/citation-style-language/schema/raw/master/csl-citation.json"}</w:instrText>
      </w:r>
      <w:r w:rsidR="003E5650">
        <w:fldChar w:fldCharType="separate"/>
      </w:r>
      <w:r w:rsidR="003E5650" w:rsidRPr="003E5650">
        <w:rPr>
          <w:noProof/>
        </w:rPr>
        <w:t xml:space="preserve">(Nguyen </w:t>
      </w:r>
      <w:r w:rsidR="003E5650" w:rsidRPr="003E5650">
        <w:rPr>
          <w:i/>
          <w:noProof/>
        </w:rPr>
        <w:t>et al.</w:t>
      </w:r>
      <w:r w:rsidR="003E5650" w:rsidRPr="003E5650">
        <w:rPr>
          <w:noProof/>
        </w:rPr>
        <w:t xml:space="preserve">, 2020; Murewanhema </w:t>
      </w:r>
      <w:r w:rsidR="003E5650" w:rsidRPr="003E5650">
        <w:rPr>
          <w:i/>
          <w:noProof/>
        </w:rPr>
        <w:t>et al.</w:t>
      </w:r>
      <w:r w:rsidR="003E5650" w:rsidRPr="003E5650">
        <w:rPr>
          <w:noProof/>
        </w:rPr>
        <w:t>, 2024)</w:t>
      </w:r>
      <w:r w:rsidR="003E5650">
        <w:fldChar w:fldCharType="end"/>
      </w:r>
      <w:r w:rsidRPr="00243869">
        <w:t xml:space="preserve"> These includes fears about side effects and lack of trust in vaccine efficacy as reported by a national level study in Nigeria</w:t>
      </w:r>
      <w:r w:rsidR="003E5650">
        <w:t xml:space="preserve">. </w:t>
      </w:r>
      <w:r w:rsidR="003E5650">
        <w:fldChar w:fldCharType="begin" w:fldLock="1"/>
      </w:r>
      <w:r w:rsidR="003E5650">
        <w:instrText>ADDIN CSL_CITATION {"citationItems":[{"id":"ITEM-1","itemData":{"DOI":"10.1186/S12889-025-22000-2","ISSN":"14712458","PMID":"39994628","abstract":"Background: The Nigerian Federal Government planned to launch the Human Papillomavirus (HPV) vaccine on September 25, 2023. We therefore aimed to assess caregiver awareness and willingness regarding HPV vaccine uptake for girls aged 9–14 across eight states (Abia, Adamawa, Bayelsa, Benue, Enugu, FCT, Jigawa, and Taraba), evaluating public readiness for the vaccine rollout. Methods: A cross-sectional telephone survey was conducted in the eight states using a structured questionnaire. Stratified random sampling was employed to ensure representation from each state’s three senatorial districts. Adult participants’ socio-demographic characteristics—including their relationship to the child, gender, settlement type (rural/urban), and age group—were analyzed. Local Government Area and Senatorial Zone were used solely for geographical representation. Awareness, perceived severity, susceptibility, and willingness for HPV vaccine uptake were calculated based on questionnaire responses. Descriptive statistics, correlation analyses, ordinal and linear regression, and mediation regression were applied to derive results. Results: Our findings indicated low general HPV awareness but high willingness for vaccine uptake among caregivers. Northern states exhibited higher awareness, perceived severity, susceptibility, and willingness compared to Southern states. Significant differences emerged across states in awareness and willingness, with positive correlations observed among awareness, severity, susceptibility, and willingness. Multiple linear regression revealed that awareness does not directly predict willingness, while mediation regression demonstrated that awareness indirectly influences willingness through severity and susceptibility. The study’s implications were analyzed using the Health Belief Model (HBM). Conclusion: Our survey found geopolitical disparities in HPV awareness and willingness across Nigeria. Future interventions should prioritize emphasizing the severity and susceptibility of HPV-related diseases, particularly in low-resource settings. Providing accurate information from trusted sources and addressing misconceptions through evidence-based strategies can enhance informed decision-making regarding HPV vaccination.","author":[{"dropping-particle":"","family":"Okagbue","given":"Hilary I.","non-dropping-particle":"","parse-names":false,"suffix":""},{"dropping-particle":"","family":"Erekosima","given":"Grace","non-dropping-particle":"","parse-names":false,"suffix":""},{"dropping-particle":"","family":"Sampson","given":"Sidney","non-dropping-particle":"","parse-names":false,"suffix":""},{"dropping-particle":"","family":"Atuhaire","given":"Brian","non-dropping-particle":"","parse-names":false,"suffix":""},{"dropping-particle":"","family":"Samuel","given":"Olugbemisola","non-dropping-particle":"","parse-names":false,"suffix":""},{"dropping-particle":"","family":"Chimezie","given":"Bright","non-dropping-particle":"","parse-names":false,"suffix":""},{"dropping-particle":"","family":"Dauda","given":"Mahfus","non-dropping-particle":"","parse-names":false,"suffix":""},{"dropping-particle":"","family":"Jimoh","given":"Akolade","non-dropping-particle":"","parse-names":false,"suffix":""},{"dropping-particle":"","family":"Ogbu","given":"Gideon","non-dropping-particle":"","parse-names":false,"suffix":""},{"dropping-particle":"","family":"Ayuba","given":"Joshua","non-dropping-particle":"","parse-names":false,"suffix":""},{"dropping-particle":"","family":"Shinshima","given":"Iveren","non-dropping-particle":"","parse-names":false,"suffix":""}],"container-title":"BMC Public Health","id":"ITEM-1","issue":"1","issued":{"date-parts":[["2025","12","1"]]},"publisher":"BioMed Central Ltd","title":"Predictors of willingness of HPV vaccine uptake across Eight States in Nigeria","type":"article-journal","volume":"25"},"uris":["http://www.mendeley.com/documents/?uuid=7e8bf9fa-6d95-3655-ac21-9b823e5bcaaf"]}],"mendeley":{"formattedCitation":"(Okagbue &lt;i&gt;et al.&lt;/i&gt;, 2025b)","plainTextFormattedCitation":"(Okagbue et al., 2025b)","previouslyFormattedCitation":"(Okagbue &lt;i&gt;et al.&lt;/i&gt;, 2025b)"},"properties":{"noteIndex":0},"schema":"https://github.com/citation-style-language/schema/raw/master/csl-citation.json"}</w:instrText>
      </w:r>
      <w:r w:rsidR="003E5650">
        <w:fldChar w:fldCharType="separate"/>
      </w:r>
      <w:r w:rsidR="003E5650" w:rsidRPr="003E5650">
        <w:rPr>
          <w:noProof/>
        </w:rPr>
        <w:t xml:space="preserve">(Okagbue </w:t>
      </w:r>
      <w:r w:rsidR="003E5650" w:rsidRPr="003E5650">
        <w:rPr>
          <w:i/>
          <w:noProof/>
        </w:rPr>
        <w:t>et al.</w:t>
      </w:r>
      <w:r w:rsidR="003E5650" w:rsidRPr="003E5650">
        <w:rPr>
          <w:noProof/>
        </w:rPr>
        <w:t>, 2025b)</w:t>
      </w:r>
      <w:r w:rsidR="003E5650">
        <w:fldChar w:fldCharType="end"/>
      </w:r>
      <w:r w:rsidRPr="00243869">
        <w:t xml:space="preserve">. These need to be addressed given the pivotal role that Healthcare professionals play in vaccine acceptance and addressing concerns by the general population. Studies show that healthcare provider endorsement </w:t>
      </w:r>
      <w:r w:rsidR="003E5650" w:rsidRPr="00243869">
        <w:t>increases</w:t>
      </w:r>
      <w:r w:rsidRPr="00243869">
        <w:t xml:space="preserve"> uptake of HPV by as much as 50 to 70%</w:t>
      </w:r>
      <w:r w:rsidR="003E5650">
        <w:t xml:space="preserve">. </w:t>
      </w:r>
      <w:r w:rsidR="003E5650">
        <w:fldChar w:fldCharType="begin" w:fldLock="1"/>
      </w:r>
      <w:r w:rsidR="008E1841">
        <w:instrText>ADDIN CSL_CITATION {"citationItems":[{"id":"ITEM-1","itemData":{"DOI":"10.1080/21645515.2020.1780093","ISSN":"2164554X","PMID":"32692948","abstract":"Background: Healthcare workers (HCWs) play a key role in the recommendation of HPV vaccination. Our study aimed to understand to what extent a structured health intervention could change the knowledge and attitudes toward HPV and its vaccines among HCWs in Western China. Methods: This was a multi-center, questionnaire-based interventional study conducted across 12 cities of seven provinces in Western China, from November 2018 to July 2019. Participants were recruited from local health systems by e-invitation. Questionnaires were administered to participants before and after the intervention. Results: A total of 1448 HCWs attended the educational lectures and 1354 participants completed both pre- and post-study questionnaires. In general, HCWs had satisfactory baseline knowledge regarding HPV and its vaccines compared with other populations, and a significantly higher knowledge level was observed after the intervention. However, some more specific knowledge on the vaccination procedures, other HPV-related diseases and whether HPV testing was required before vaccination was relatively poor. Following the educational intervention, the correct responses to the above questions increased (P &lt; .001). However, it was still lower compared with answers to other questions. Change was also detected regarding HCWs’ willingness to recommend HPV vaccines to the appropriate population (P &lt; .001). Conclusion: Educational intervention on HPV and its vaccines is effective in improving HCWs’ knowledge levels and willingness to recommend HPV vaccines. Future educational interventions should focus more on knowledge regarding HPV-related diseases and HPV vaccination. Education campaigns targeting rural HCWs are urgently needed in the near future.","author":[{"dropping-particle":"","family":"Chen","given":"Hui","non-dropping-particle":"","parse-names":false,"suffix":""},{"dropping-particle":"","family":"Zhang","given":"Xi","non-dropping-particle":"","parse-names":false,"suffix":""},{"dropping-particle":"","family":"Wang","given":"Wei","non-dropping-particle":"","parse-names":false,"suffix":""},{"dropping-particle":"","family":"Zhang","given":"Rong","non-dropping-particle":"","parse-names":false,"suffix":""},{"dropping-particle":"","family":"Du","given":"Mei","non-dropping-particle":"","parse-names":false,"suffix":""},{"dropping-particle":"","family":"Shan","given":"Li","non-dropping-particle":"","parse-names":false,"suffix":""},{"dropping-particle":"","family":"Li","given":"Yucong","non-dropping-particle":"","parse-names":false,"suffix":""},{"dropping-particle":"","family":"Wang","given":"Xiaohui","non-dropping-particle":"","parse-names":false,"suffix":""},{"dropping-particle":"","family":"Liu","given":"Yijun","non-dropping-particle":"","parse-names":false,"suffix":""},{"dropping-particle":"","family":"Zhang","given":"Wen","non-dropping-particle":"","parse-names":false,"suffix":""},{"dropping-particle":"","family":"Li","given":"Xiaoling","non-dropping-particle":"","parse-names":false,"suffix":""},{"dropping-particle":"","family":"Qiao","given":"Youlin","non-dropping-particle":"","parse-names":false,"suffix":""},{"dropping-particle":"","family":"Ma","given":"Jianqiao","non-dropping-particle":"","parse-names":false,"suffix":""},{"dropping-particle":"","family":"Zhou","given":"Jing","non-dropping-particle":"","parse-names":false,"suffix":""},{"dropping-particle":"","family":"Li","given":"Jing","non-dropping-particle":"","parse-names":false,"suffix":""}],"container-title":"Human Vaccines and Immunotherapeutics","id":"ITEM-1","issue":"2","issued":{"date-parts":[["2020"]]},"page":"1-8","publisher":"Taylor &amp; Francis","title":"Effect of an educational intervention on human papillomavirus (HPV) knowledge and attitudes towards HPV vaccines among healthcare workers (HCWs) in Western China","type":"article-journal","volume":"17"},"uris":["http://www.mendeley.com/documents/?uuid=b6a4aae1-060c-4d37-95f1-c818ac4e69d9"]},{"id":"ITEM-2","itemData":{"DOI":"10.3109/01443615.2014.925431","ISSN":"13646893","PMID":"24922093","abstract":"Human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Gynaecology","id":"ITEM-2","issue":"8","issued":{"date-parts":[["2014"]]},"page":"714-717","title":"Awareness and perception of human papilloma virus vaccine among healthcare professionals in Nigeria","type":"article-journal","volume":"34"},"uris":["http://www.mendeley.com/documents/?uuid=1ca1ca31-c40c-4873-8499-1fd25a5c5196"]},{"id":"ITEM-3","itemData":{"DOI":"10.1016/J.JVACX.2024.100591","ISSN":"2590-1362","abstract":"Background: The recent introduction of the HPV vaccine into Nigeria's routine immunization schedule has brought parental vaccine hesitancy to the forefront. This cross-sectional study, conducted in Kano State, a region with historically low immunization rates, is crucial in assessing the level of parental hesitancy and uncovering its determinants, potentially informing future public health policies. Methods: The participants were a representative sample of parents or caregivers of children aged 9–14 years (n = 1071) in Kano State and were selected via a multi-stage sampling method. We administered structured questionnaires anchored in the Socio-ecological Model and the Precaution Adoption Process Model. We utilized validated measures to assess intent to vaccinate against HPV and potential key indicators of intent to vaccinate adolescent boys and girls. Multivariate logistic regression analysis was performed to determine predictors of parental HPV vaccine hesitancy. Result: If the HPV vaccine were free or subsidized, about one-third [32.7 %] of parents would choose not to vaccinate their children against the virus. Only 4.2 % had ever heard of HPV, and a mere 5.1 % had heard of the cervical cancer vaccine or HPV vaccine. Compared to those who were aware of the virus, those who had never heard of HPV had higher adjusted odds of vaccine hesitancy [OR: 2.86, 95 %CI: 1.28–6.40]. Some of the top reasons for parental hesitancy were their concerns about the safety of the vaccine and the lack of doctors' recommendations. Conclusion: The study revealed that parental hesitancy is a significant barrier to HPV uptake in Kano State. There is an urgent need for a multi-faceted HPV knowledge enhancement approach focusing on elevating parental awareness about the HPV vaccine and, particularly, its relationship to cervical cancer prevention.","author":[{"dropping-particle":"","family":"Yusuf","given":"Korede K.","non-dropping-particle":"","parse-names":false,"suffix":""},{"dropping-particle":"","family":"Olorunsaiye","given":"Comfort Z.","non-dropping-particle":"","parse-names":false,"suffix":""},{"dropping-particle":"","family":"Gadanya","given":"Muktar A.","non-dropping-particle":"","parse-names":false,"suffix":""},{"dropping-particle":"","family":"Ouedraogo","given":"Samira","non-dropping-particle":"","parse-names":false,"suffix":""},{"dropping-particle":"","family":"Abdullahi","given":"Aisha A.","non-dropping-particle":"","parse-names":false,"suffix":""},{"dropping-particle":"","family":"Salihu","given":"Hamisu M.","non-dropping-particle":"","parse-names":false,"suffix":""}],"container-title":"Vaccine: X","id":"ITEM-3","issued":{"date-parts":[["2024","12","1"]]},"page":"100591","publisher":"Elsevier","title":"HPV vaccine hesitancy among parents and caregivers of adolescents in Northern Nigeria","type":"article-journal","volume":"21"},"uris":["http://www.mendeley.com/documents/?uuid=fe27ac98-1e84-3d0a-9739-41ecc2a55bb1"]}],"mendeley":{"formattedCitation":"(Audu &lt;i&gt;et al.&lt;/i&gt;, 2014; Chen &lt;i&gt;et al.&lt;/i&gt;, 2020; Yusuf &lt;i&gt;et al.&lt;/i&gt;, 2024)","plainTextFormattedCitation":"(Audu et al., 2014; Chen et al., 2020; Yusuf et al., 2024)","previouslyFormattedCitation":"(Audu &lt;i&gt;et al.&lt;/i&gt;, 2014; Chen &lt;i&gt;et al.&lt;/i&gt;, 2020; Yusuf &lt;i&gt;et al.&lt;/i&gt;, 2024)"},"properties":{"noteIndex":0},"schema":"https://github.com/citation-style-language/schema/raw/master/csl-citation.json"}</w:instrText>
      </w:r>
      <w:r w:rsidR="003E5650">
        <w:fldChar w:fldCharType="separate"/>
      </w:r>
      <w:r w:rsidR="003E5650" w:rsidRPr="003E5650">
        <w:rPr>
          <w:noProof/>
        </w:rPr>
        <w:t xml:space="preserve">(Audu </w:t>
      </w:r>
      <w:r w:rsidR="003E5650" w:rsidRPr="003E5650">
        <w:rPr>
          <w:i/>
          <w:noProof/>
        </w:rPr>
        <w:t>et al.</w:t>
      </w:r>
      <w:r w:rsidR="003E5650" w:rsidRPr="003E5650">
        <w:rPr>
          <w:noProof/>
        </w:rPr>
        <w:t xml:space="preserve">, 2014; Chen </w:t>
      </w:r>
      <w:r w:rsidR="003E5650" w:rsidRPr="003E5650">
        <w:rPr>
          <w:i/>
          <w:noProof/>
        </w:rPr>
        <w:t>et al.</w:t>
      </w:r>
      <w:r w:rsidR="003E5650" w:rsidRPr="003E5650">
        <w:rPr>
          <w:noProof/>
        </w:rPr>
        <w:t xml:space="preserve">, 2020; Yusuf </w:t>
      </w:r>
      <w:r w:rsidR="003E5650" w:rsidRPr="003E5650">
        <w:rPr>
          <w:i/>
          <w:noProof/>
        </w:rPr>
        <w:t>et al.</w:t>
      </w:r>
      <w:r w:rsidR="003E5650" w:rsidRPr="003E5650">
        <w:rPr>
          <w:noProof/>
        </w:rPr>
        <w:t>, 2024)</w:t>
      </w:r>
      <w:r w:rsidR="003E5650">
        <w:fldChar w:fldCharType="end"/>
      </w:r>
    </w:p>
    <w:p w14:paraId="567E9270" w14:textId="21F02128" w:rsidR="00243869" w:rsidRDefault="00243869" w:rsidP="002C478F">
      <w:pPr>
        <w:spacing w:line="360" w:lineRule="auto"/>
      </w:pPr>
      <w:r w:rsidRPr="00243869">
        <w:t>This study revealed a very low uptake of HPV vaccine</w:t>
      </w:r>
      <w:r w:rsidR="000D2589">
        <w:t xml:space="preserve"> </w:t>
      </w:r>
      <w:r w:rsidRPr="00243869">
        <w:t>despite the very high levels of awareness. Similar findings were reported</w:t>
      </w:r>
      <w:r w:rsidR="003E5650">
        <w:t xml:space="preserve"> studies in </w:t>
      </w:r>
      <w:r w:rsidR="000D2589">
        <w:t xml:space="preserve">Edo State in </w:t>
      </w:r>
      <w:r w:rsidR="003E5650">
        <w:t>Nigeria</w:t>
      </w:r>
      <w:r w:rsidR="002B6C50">
        <w:t xml:space="preserve"> </w:t>
      </w:r>
      <w:r w:rsidR="000D2589">
        <w:fldChar w:fldCharType="begin" w:fldLock="1"/>
      </w:r>
      <w:r w:rsidR="00095284">
        <w:instrText>ADDIN CSL_CITATION {"citationItems":[{"id":"ITEM-1","itemData":{"abstract":"ABSTRACT\nBackground\nHuman papilloma virus (HPV) infection is implicated in the cause of cervical cancer which is the second most \ncommon cancer in women worldwide. HPV vaccination is a primary prevention toolagainst HPV infection, thus the \nneed to assess the knowledge, attitude and uptake of HPV vaccination among female medical and dental students. \nMethodology\nA descriptive cross sectional study was carried out among all undergraduatefemale medical and dental students in the \nUniversity of Benin. Data was collected using a pretested, semi-structured, self-administered questionnaire. The \nquestionnaires comprised ofsocio-demographic characteristics, knowledge of HPV vaccination, attitudes towards \nHPV vaccination and uptake of HPV vaccination\nResults\nTwo hundred and eighty questionnaires were administered however only 215 returned their completed questionnaires \ngiving a response rate of 76.7%.The mean age of respondents was 22.4 ± 3.0 years.Only about a third of the \nrespondents (31.2%) had a good knowledge of HPV infection andvaccination. Age (p = 0.001), faculty (p = 0.014) \nand level of study (p = 0.014) was observed to be significant determinants of knowledge. A higher proportion of\nrespondents (61.8%) had a positive attitude towards HPV vaccination while only a few (3.7%) had taken the HPV \nvaccine.Significant determinants of attitude towards HPV vaccination were age (p = 0.001), faculty (p = 0.014), level \nof study (p = 0.001) and knowledge (p = 0.031) of respondents. Uptake of HPV vaccination was significantly \nassociated with attitude of respondents (p = 0.001).\nConclusion\nThe knowledge and uptake of HPV vaccination among these students was generally poor though most of them had \npositive attitude towards HPV vaccination. This emphasizes the need for educational interventions to improve \nknowledge which will in turn enhance uptake","author":[{"dropping-particle":"","family":"Onowhakpor A.O","given":"","non-dropping-particle":"","parse-names":false,"suffix":""},{"dropping-particle":"","family":"Omuemu V.O","given":"","non-dropping-particle":"","parse-names":false,"suffix":""},{"dropping-particle":"","family":"Osagie O.L","given":"","non-dropping-particle":"","parse-names":false,"suffix":""},{"dropping-particle":"","family":"Odili C.G","given":"","non-dropping-particle":"","parse-names":false,"suffix":""}],"container-title":" Journal of Community Medicine and Primary Health Care.","id":"ITEM-1","issue":"2","issued":{"date-parts":[["2016"]]},"page":"101-108","title":"Human Papilloma Virus Vaccination: Knowledge, Attitude and Uptake  among Female Medical and Dental Students in a Tertiary Institution  in Benin-City, Nigeria.","type":"article-journal","volume":"28"},"uris":["http://www.mendeley.com/documents/?uuid=68dc2b22-591b-43c8-a20a-f9504855d4ac"]}],"mendeley":{"formattedCitation":"(Onowhakpor A.O &lt;i&gt;et al.&lt;/i&gt;, 2016)","plainTextFormattedCitation":"(Onowhakpor A.O et al., 2016)","previouslyFormattedCitation":"(Onowhakpor A.O &lt;i&gt;et al.&lt;/i&gt;, 2016)"},"properties":{"noteIndex":0},"schema":"https://github.com/citation-style-language/schema/raw/master/csl-citation.json"}</w:instrText>
      </w:r>
      <w:r w:rsidR="000D2589">
        <w:fldChar w:fldCharType="separate"/>
      </w:r>
      <w:r w:rsidR="000D2589" w:rsidRPr="000D2589">
        <w:rPr>
          <w:noProof/>
        </w:rPr>
        <w:t xml:space="preserve">(Onowhakpor A.O </w:t>
      </w:r>
      <w:r w:rsidR="000D2589" w:rsidRPr="000D2589">
        <w:rPr>
          <w:i/>
          <w:noProof/>
        </w:rPr>
        <w:t>et al.</w:t>
      </w:r>
      <w:r w:rsidR="000D2589" w:rsidRPr="000D2589">
        <w:rPr>
          <w:noProof/>
        </w:rPr>
        <w:t>, 2016)</w:t>
      </w:r>
      <w:r w:rsidR="000D2589">
        <w:fldChar w:fldCharType="end"/>
      </w:r>
      <w:r w:rsidR="002B6C50">
        <w:t>. A slightly higher uptake was reported among pregnant women in Benue State who reported 13.7% uptake</w:t>
      </w:r>
      <w:r w:rsidR="00095284">
        <w:t>.</w:t>
      </w:r>
      <w:r w:rsidR="00095284">
        <w:fldChar w:fldCharType="begin" w:fldLock="1"/>
      </w:r>
      <w:r w:rsidR="00095284">
        <w:instrText>ADDIN CSL_CITATION {"citationItems":[{"id":"ITEM-1","itemData":{"DOI":"10.4314/ejhs.v34i1.3","ISSN":"24137170","PMID":"38370567","abstract":"Background: Knowledge, attitudes and practices (KAP) of human papilloma virus (HPV) is a necessary measure in curtailing delayed diagnosis and poor control practices. The objective of this study was to assess the knowledge, attitudes and practices vis-à-vis HPV infection, cervical cancer and vaccination among women. Methods: This cross-sectional study was conducted at 15 selected health-care facilities in Otukpo metropolis and it involved 168 pregnant women. The data were collected using structured questionnaire, and analysed for descriptive and analytical statistics using Epi Data Version 3.1 and SPSS statistical package Version 21. Results: Most of the respondents (75.0%) have heard of human papilloma virus and their information source were mostly the health-care providers. In total, 132(78.6%) agreed to take the vaccine if offered for free but 152(90.5%) stated that it is imperative to seek the opinion of health providers before vaccine uptake. However, only 27(16.1%) have undergone recommended checkup for human papilloma virus/cervical cancer and 23(13.7%) have taken at least a vaccine dose. Some respondents 66(39.3%) had good knowledge while 95(56.6%) demonstrated positive attitude. However, most respondents 161(95.8%) demonstrated poor practices. Conclusions: There is enormous need to improve HPV sensitization especially in women due to cervical cancer associated risks. Healthcare personnel are therefore encouraged to create more awareness on HPV infection and screening of cervical cancer (CC) via counseling sessions and communications tool like the new media. KAP approach is a critical tool towards successful CC screening and HPV control.","author":[{"dropping-particle":"","family":"Akinnibosun","given":"Olajide","non-dropping-particle":"","parse-names":false,"suffix":""},{"dropping-particle":"","family":"Abakpa","given":"Onyukwo Grace","non-dropping-particle":"","parse-names":false,"suffix":""},{"dropping-particle":"","family":"Ujoh","given":"Adole John","non-dropping-particle":"","parse-names":false,"suffix":""},{"dropping-particle":"","family":"Oche","given":"Dominic Agbo","non-dropping-particle":"","parse-names":false,"suffix":""},{"dropping-particle":"","family":"Zakari","given":"Suleiman","non-dropping-particle":"","parse-names":false,"suffix":""},{"dropping-particle":"","family":"Yandev","given":"Doowuese","non-dropping-particle":"","parse-names":false,"suffix":""},{"dropping-particle":"","family":"Adikwu","given":"Peter","non-dropping-particle":"","parse-names":false,"suffix":""},{"dropping-particle":"","family":"David","given":"Onyemowo Okewu","non-dropping-particle":"","parse-names":false,"suffix":""},{"dropping-particle":"","family":"Agboola","given":"Oludare","non-dropping-particle":"","parse-names":false,"suffix":""},{"dropping-particle":"","family":"Paul","given":"Simon","non-dropping-particle":"","parse-names":false,"suffix":""},{"dropping-particle":"","family":"Audu","given":"Onyemocho","non-dropping-particle":"","parse-names":false,"suffix":""},{"dropping-particle":"","family":"Odu","given":"Emmanuel","non-dropping-particle":"","parse-names":false,"suffix":""},{"dropping-particle":"","family":"Ujah","given":"Innocent Achanya O.","non-dropping-particle":"","parse-names":false,"suffix":""},{"dropping-particle":"","family":"Anejo-Okopi","given":"Joseph","non-dropping-particle":"","parse-names":false,"suffix":""}],"container-title":"Ethiopian journal of health sciences","id":"ITEM-1","issue":"1","issued":{"date-parts":[["2024"]]},"page":"15-26","title":"Knowledge, Attitudes and Practices among Women of Reproductive Age on Human Papillomavirus Infection, Cervical Cancer and Vaccination in Otukpo, Nigeria","type":"article-journal","volume":"34"},"uris":["http://www.mendeley.com/documents/?uuid=c8149e08-e20e-44c0-b973-86ae70e85569"]}],"mendeley":{"formattedCitation":"(Akinnibosun &lt;i&gt;et al.&lt;/i&gt;, 2024)","plainTextFormattedCitation":"(Akinnibosun et al., 2024)","previouslyFormattedCitation":"(Akinnibosun &lt;i&gt;et al.&lt;/i&gt;, 2024)"},"properties":{"noteIndex":0},"schema":"https://github.com/citation-style-language/schema/raw/master/csl-citation.json"}</w:instrText>
      </w:r>
      <w:r w:rsidR="00095284">
        <w:fldChar w:fldCharType="separate"/>
      </w:r>
      <w:r w:rsidR="00095284" w:rsidRPr="00095284">
        <w:rPr>
          <w:noProof/>
        </w:rPr>
        <w:t xml:space="preserve">(Akinnibosun </w:t>
      </w:r>
      <w:r w:rsidR="00095284" w:rsidRPr="00095284">
        <w:rPr>
          <w:i/>
          <w:noProof/>
        </w:rPr>
        <w:t>et al.</w:t>
      </w:r>
      <w:r w:rsidR="00095284" w:rsidRPr="00095284">
        <w:rPr>
          <w:noProof/>
        </w:rPr>
        <w:t>, 2024)</w:t>
      </w:r>
      <w:r w:rsidR="00095284">
        <w:fldChar w:fldCharType="end"/>
      </w:r>
      <w:r w:rsidR="00095284">
        <w:t xml:space="preserve"> Much higher uptake of 29% was reported among urban women in Lagos State and </w:t>
      </w:r>
      <w:r w:rsidR="002B6C50">
        <w:t xml:space="preserve">20% uptake was reported among female health care workers in Saudi Arabia. </w:t>
      </w:r>
      <w:r w:rsidR="008E1841">
        <w:t xml:space="preserve"> </w:t>
      </w:r>
      <w:r w:rsidR="008E1841">
        <w:fldChar w:fldCharType="begin" w:fldLock="1"/>
      </w:r>
      <w:r w:rsidR="00465A52">
        <w:instrText>ADDIN CSL_CITATION {"citationItems":[{"id":"ITEM-1","itemData":{"DOI":"10.1016/j.pmedr.2021.101643","ISSN":"22113355","PMID":"34987955","abstract":"Human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Reports","id":"ITEM-1","issue":"November","issued":{"date-parts":[["2021"]]},"page":"101643","publisher":"Elsevier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Nigeria","type":"article-journal","volume":"24"},"uris":["http://www.mendeley.com/documents/?uuid=041a479a-e993-431b-89ff-f30d276de186"]},{"id":"ITEM-2","itemData":{"DOI":"10.2147/IJWH.S449979","ISSN":"11791411","abstract":"Background: Epidemiological evidence has shown that human papillomavirus (HPV) is the most frequent cause of sexually transmitted infection, and vaccination is an essential measure to prevent associated diseases and complications. This study aimed to assess the HPV vaccine uptake and its associated factors as well as HPV vaccine hesitancy by female healthcare workers (HCWs) in Saudi Arabia. Methods: This online, questionnaire-based, cross-sectional study involved female HCWs in Saudi Arabia between July and October 2022. The study tool included questions about sociodemographic, occupational, and reproductive characteristics, uptake of HPV vaccination, and reasons of hesitancy. Chi-squared and t-tests were used for bivariate analyses, and multivariable logistic regression was used to adjust for confounders. Results: The total number of participants was 1857. Around 20% of HCWs received at least one dose of the HPV vaccine, and around 45% were willing to take it this year. Lower odds of vaccine uptake were reported among older participants and those with a higher level of education. However, nurses, HCWs with a previous HPV infection, those with a family history of cervical cancer, or those with a previous cervical cancer screening test had higher odds of receiving the vaccine. On the other hand, older participants and diploma degree holders were less willing to take the HPV vaccine. Higher odds of willingness were reported in married HCWs, those with a previous HPV infection, those who received a previous HPV vaccine dose, or those who were screened for cervical cancer. Lack of knowledge and some misconceptions were the most reported reasons for hesitancy. Conclusion: Certain factors that affect HCWs personal decisions to take the vaccine were identified. By targeting these issues, epidemiologists, public health officials and women’s health care providers can work to increase HPV vaccine uptake and reduce the burden of HPV-related diseases in this population.","author":[{"dropping-particle":"","family":"Alshamlan","given":"Nouf A.","non-dropping-particle":"","parse-names":false,"suffix":""},{"dropping-particle":"","family":"Alomar","given":"Reem S.","non-dropping-particle":"","parse-names":false,"suffix":""},{"dropping-particle":"","family":"Alabdulkader","given":"Assim M.","non-dropping-particle":"","parse-names":false,"suffix":""},{"dropping-particle":"","family":"Shafey","given":"Marwa Mahmoud","non-dropping-particle":"","parse-names":false,"suffix":""},{"dropping-particle":"","family":"Alghamdi","given":"Faisal A.","non-dropping-particle":"","parse-names":false,"suffix":""},{"dropping-particle":"","family":"Aldakheel","given":"Abdullah A.","non-dropping-particle":"","parse-names":false,"suffix":""},{"dropping-particle":"","family":"Alshehri","given":"Saud A.","non-dropping-particle":"","parse-names":false,"suffix":""},{"dropping-particle":"","family":"Felemban","given":"Lyana A.","non-dropping-particle":"","parse-names":false,"suffix":""},{"dropping-particle":"","family":"Alshamlan","given":"Shahad A.","non-dropping-particle":"","parse-names":false,"suffix":""},{"dropping-particle":"","family":"Shammari","given":"Malak A.","non-dropping-particle":"Al","parse-names":false,"suffix":""}],"container-title":"International Journal of Women's Health","id":"ITEM-2","issue":"March","issued":{"date-parts":[["2024"]]},"page":"463-474","title":"HPV Vaccine Uptake, Willingness to Receive, and Causes of Vaccine Hesitancy: A National Study Conducted in Saudi Arabia Among Female Healthcare Professionals","type":"article-journal","volume":"16"},"uris":["http://www.mendeley.com/documents/?uuid=8a724fbf-234d-4a95-bc73-d29acbe8f8d6"]}],"mendeley":{"formattedCitation":"(Okunowo &lt;i&gt;et al.&lt;/i&gt;, 2021; Alshamlan &lt;i&gt;et al.&lt;/i&gt;, 2024)","plainTextFormattedCitation":"(Okunowo et al., 2021; Alshamlan et al., 2024)","previouslyFormattedCitation":"(Okunowo &lt;i&gt;et al.&lt;/i&gt;, 2021; Alshamlan &lt;i&gt;et al.&lt;/i&gt;, 2024)"},"properties":{"noteIndex":0},"schema":"https://github.com/citation-style-language/schema/raw/master/csl-citation.json"}</w:instrText>
      </w:r>
      <w:r w:rsidR="008E1841">
        <w:fldChar w:fldCharType="separate"/>
      </w:r>
      <w:r w:rsidR="00095284" w:rsidRPr="00095284">
        <w:rPr>
          <w:noProof/>
        </w:rPr>
        <w:t xml:space="preserve">(Okunowo </w:t>
      </w:r>
      <w:r w:rsidR="00095284" w:rsidRPr="00095284">
        <w:rPr>
          <w:i/>
          <w:noProof/>
        </w:rPr>
        <w:t>et al.</w:t>
      </w:r>
      <w:r w:rsidR="00095284" w:rsidRPr="00095284">
        <w:rPr>
          <w:noProof/>
        </w:rPr>
        <w:t xml:space="preserve">, 2021; Alshamlan </w:t>
      </w:r>
      <w:r w:rsidR="00095284" w:rsidRPr="00095284">
        <w:rPr>
          <w:i/>
          <w:noProof/>
        </w:rPr>
        <w:t>et al.</w:t>
      </w:r>
      <w:r w:rsidR="00095284" w:rsidRPr="00095284">
        <w:rPr>
          <w:noProof/>
        </w:rPr>
        <w:t>, 2024)</w:t>
      </w:r>
      <w:r w:rsidR="008E1841">
        <w:fldChar w:fldCharType="end"/>
      </w:r>
      <w:r w:rsidRPr="00243869">
        <w:t xml:space="preserve"> </w:t>
      </w:r>
      <w:r w:rsidR="00095284">
        <w:t xml:space="preserve">The higher uptake of HPV in these areas is the associated high willingness and the access to the vaccines. In our study, willingness and knowledge </w:t>
      </w:r>
      <w:r w:rsidR="00192807">
        <w:t>were very high</w:t>
      </w:r>
      <w:r w:rsidR="00095284">
        <w:t xml:space="preserve"> but there</w:t>
      </w:r>
      <w:r w:rsidR="00192807">
        <w:t xml:space="preserve"> was</w:t>
      </w:r>
      <w:r w:rsidR="00095284">
        <w:t xml:space="preserve"> poor uptake. The scenario reflects</w:t>
      </w:r>
      <w:r w:rsidRPr="00243869">
        <w:t xml:space="preserve"> that good knowledge </w:t>
      </w:r>
      <w:r w:rsidR="00095284">
        <w:t xml:space="preserve">does not necessarily </w:t>
      </w:r>
      <w:r w:rsidRPr="00243869">
        <w:t xml:space="preserve">translate to increased uptake. </w:t>
      </w:r>
    </w:p>
    <w:p w14:paraId="3706CB17" w14:textId="77777777" w:rsidR="003A49C8" w:rsidRDefault="003A49C8" w:rsidP="003A49C8">
      <w:pPr>
        <w:spacing w:line="360" w:lineRule="auto"/>
      </w:pPr>
      <w:r w:rsidRPr="00243869">
        <w:t xml:space="preserve">Among the few respondents who were vaccinated, most </w:t>
      </w:r>
      <w:r>
        <w:t>received the bivalent vaccine which provides coverage for the HPV-16 and HPV-18. Only 1 patient received the Quadrivalent vaccine which provides coverage for 4 variants namely HPV-6, HPV-11, HPV-16 and HPV-18. The nonvalent is advocated for use in countries with high incidence of HPV infection as they afford much broader protection.</w:t>
      </w:r>
      <w:r>
        <w:fldChar w:fldCharType="begin" w:fldLock="1"/>
      </w:r>
      <w:r>
        <w:instrText>ADDIN CSL_CITATION {"citationItems":[{"id":"ITEM-1","itemData":{"DOI":"10.3390/V15071440","ISSN":"19994915","PMID":"37515128","abstract":"Human papillomavirus (HPV) is causally associated with 5% of cancers, including cancers of the cervix, penis, vulva, vagina, anus and oropharynx. The most carcinogenic HPV is HPV-16, which dominates the types causing cancer. There is also sufficient evidence that HPV types 18, 31, 33, 35, 39, 45, 51, 52, 56, 58 and 59 cause cervical cancer. The L1 protein, which, when assembled into virus-like particles, induces HPV-type-specific neutralising antibodies, forms the basis of all commercial HPV vaccines. There are six licensed prophylactic HPV vaccines: three bivalent, two quadrivalent and one nonavalent vaccine. The bivalent vaccines protect from HPV types 16 and 18, which are associated with more than 70% of cervical cancers. Prophylactic vaccination targets children before sexual debut, but there are now catch-up campaigns, which have also been shown to be beneficial in reducing HPV infection and disease. HPV vaccination of adults after treatment for cervical lesions or recurrent respiratory papillomatosis has impacted recurrence. Gender-neutral vaccination will improve herd immunity and prevent infection in men and women. HPV vaccines are immunogenic in people living with HIV, but more research is needed on the long-term impact of vaccination and to determine whether further boosters are required.","author":[{"dropping-particle":"","family":"Williamson","given":"Anna Lise","non-dropping-particle":"","parse-names":false,"suffix":""}],"container-title":"Viruses","id":"ITEM-1","issue":"7","issued":{"date-parts":[["2023","7","1"]]},"page":"1440","publisher":"Multidisciplinary Digital Publishing Institute (MDPI)","title":"Recent Developments in Human Papillomavirus (HPV) Vaccinology","type":"article-journal","volume":"15"},"uris":["http://www.mendeley.com/documents/?uuid=6614a9bc-2aea-331d-810a-3df338cc20bd"]}],"mendeley":{"formattedCitation":"(Williamson, 2023)","plainTextFormattedCitation":"(Williamson, 2023)","previouslyFormattedCitation":"(Williamson, 2023)"},"properties":{"noteIndex":0},"schema":"https://github.com/citation-style-language/schema/raw/master/csl-citation.json"}</w:instrText>
      </w:r>
      <w:r>
        <w:fldChar w:fldCharType="separate"/>
      </w:r>
      <w:r w:rsidRPr="008E1841">
        <w:rPr>
          <w:noProof/>
        </w:rPr>
        <w:t>(Williamson, 2023)</w:t>
      </w:r>
      <w:r>
        <w:fldChar w:fldCharType="end"/>
      </w:r>
    </w:p>
    <w:p w14:paraId="2749041E" w14:textId="50833339" w:rsidR="00243869" w:rsidRPr="00243869" w:rsidRDefault="00243869" w:rsidP="002C478F">
      <w:pPr>
        <w:spacing w:line="360" w:lineRule="auto"/>
      </w:pPr>
      <w:r w:rsidRPr="00243869">
        <w:t>The main barriers to uptake in this study were lack of knowledge about where to access the vaccine, indecision and cost. This was like findings from a study among urban Nigerian women and among healthcare workers who also reported challenges with accessibility and affordability of the HPV vaccine as major barriers to uptake</w:t>
      </w:r>
      <w:r w:rsidR="008E1841">
        <w:t xml:space="preserve">. </w:t>
      </w:r>
      <w:r w:rsidR="008E1841">
        <w:fldChar w:fldCharType="begin" w:fldLock="1"/>
      </w:r>
      <w:r w:rsidR="008E1841">
        <w:instrText>ADDIN CSL_CITATION {"citationItems":[{"id":"ITEM-1","itemData":{"DOI":"10.1016/j.pmedr.2021.101643","ISSN":"22113355","PMID":"34987955","abstract":"Human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Reports","id":"ITEM-1","issue":"November","issued":{"date-parts":[["2021"]]},"page":"101643","publisher":"Elsevier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Nigeria","type":"article-journal","volume":"24"},"uris":["http://www.mendeley.com/documents/?uuid=041a479a-e993-431b-89ff-f30d276de186"]},{"id":"ITEM-2","itemData":{"ISSN":"0794-7410","abstract":"Background: Human papilloma virus (HPV) infection is implicated in the cause of cervical cancer which is the second most common cancer in women worldwide. HPV vaccination is a primary prevention toolagainst HPV infection, thus the need to assess the knowledge, attitude and uptake of HPV vaccination among female medical and dental students.Methodology: A descriptive cross sectional study was carried out among all undergraduatefemale medical and dental students in the University of Benin. Data was collected using a pretested, semi-structured, self-administered questionnaire. The questionnaires comprised ofsocio-demographic characteristics, knowledge of HPV vaccination, attitudes towards HPV vaccination and uptake of HPV vaccinationResults: Two hundred and eighty questionnaires were administered however only 215 returned their completed questionnaires giving a response rate of 76.7%.The mean age of respondents was 22.4 ± 3.0 years.Only about a third of the respondents (31.2%) had a good knowledge of HPV infection andvaccination. Age (p = 0.001), faculty (p = 0.014) and level of study (p = 0.014) was observed to be significant determinants of knowledge. A higher proportion of respondents (61.8%) had a positive attitude towards HPV vaccination while only a few (3.7%) had taken the HPV vaccine. Significant determinants of attitude towards HPV vaccination were age (p = 0.001), faculty (p = 0.014), level of study (p = 0.001) and knowledge (p = 0.031) of respondents. Uptake of HPV vaccination was significantly associated with attitude of respondents (p = 0.001).Conclusion: The knowledge and uptake of HPV vaccination among these students was generally poor though most of them had positive attitude towards HPV vaccination. This emphasizes the need for educational interventions to improve knowledge which will in turn enhance uptake.Keywords: Female, Human papilloma virus vaccine, Medical, Vaccination","author":[{"dropping-particle":"","family":"Onowhakpor","given":"A.O.","non-dropping-particle":"","parse-names":false,"suffix":""},{"dropping-particle":"","family":"Omuemu","given":"V.O.","non-dropping-particle":"","parse-names":false,"suffix":""},{"dropping-particle":"","family":"Osagie","given":"O.L.","non-dropping-particle":"","parse-names":false,"suffix":""},{"dropping-particle":"","family":"Odili","given":"C.G.","non-dropping-particle":"","parse-names":false,"suffix":""}],"container-title":"Journal of Community Medicine and Primary Health Care","id":"ITEM-2","issue":"2","issued":{"date-parts":[["2016"]]},"page":"101-108","title":"Human Papilloma Virus vaccination: knowledge, attitude and uptake among female medical and dental students in a tertiary institution in Benin-City, Nigeria","type":"article-journal","volume":"28"},"uris":["http://www.mendeley.com/documents/?uuid=34e5b115-150b-4ef6-aaca-6c9ae4545a57"]},{"id":"ITEM-3","itemData":{"DOI":"10.5334/aogh.2890","ISSN":"22149996","PMID":"32983914","abstract":"Background: Cervical cancer deaths are disproportionately higher in developing countries depicting one of the most profound health disparities existing today and is ranked as the second most frequent cancer among women in Nigeria. The Human Papillomavirus (HPV) vaccine as a primary prevention strategy is not widely used in Nigeria. This study investigated perceived barriers to HPV vaccination in a Nigerian com-munity, targeting health workers’ perceptions. Methods: This descriptive study captured responses from a cross-sectional, convenience sample of adult health workers within Anambra State, Nigeria. An anonymous 42-item survey with multiple validated scales was developed based on the Theory of Planned Behavior model and previous studies. The self-administered survey was distributed by research assistants at study sites within Anambra State which were identified through local constituents by the regional zones Adazi-Ani, Onitsha, and Awka. Data analyses were performed using Microsoft Excel for descriptive statistics and R software for the logistic regression, with a statistical significance level of 5%. Subgroup analysis was performed for the baseline knowledge questionnaire to determine if there were any differences in correct responses based on demo-graphics such as: Institution type, profession, age, sex, religion and parental status. Results: Responses were collected from 137 Nigerian health workers; 44% nurses, 14% physicians, 6% pharmacists and 31% other health workers. The majority of respondents were female (69%), between 18 and 39 years of age (78%), from urban settings (82%), and identified as having Christian religious beliefs (97%). The most significant barriers identified were lack of awareness (39%), vaccine availability (39%), and cost (13%). When asked baseline knowledge questions regarding HPV, females were more likely to answer incorrectly as compared to males. Significant differences were found for statements: (1) HPV is sexually transmitted (p = 0.008) and (2) HPV is an infection that only affects women (p = 0.004). Conclusions: Perceived barriers to HPV vaccination identified by Nigerian health workers include lack of awareness, vaccine availability/accessibility, cost, and concerns about acceptability. Ongoing efforts to subsidize vaccine costs, campaigns to increase awareness of HPV vaccine, and interventions to improve attainability could advance administration rates in Nigeria, and ultimately improve death rates due to cervica…","author":[{"dropping-particle":"","family":"Nguyen","given":"Nicole Yvonne","non-dropping-particle":"","parse-names":false,"suffix":""},{"dropping-particle":"","family":"Okeke","given":"Emeka","non-dropping-particle":"","parse-names":false,"suffix":""},{"dropping-particle":"","family":"Anglemyer","given":"Andrew","non-dropping-particle":"","parse-names":false,"suffix":""},{"dropping-particle":"","family":"Brock","given":"Tina","non-dropping-particle":"","parse-names":false,"suffix":""}],"container-title":"Annals of Global Health","id":"ITEM-3","issue":"1","issued":{"date-parts":[["2020"]]},"page":"1-8","title":"Identifying perceived barriers to human papillomavirus vaccination as a preventative strategy for cervical cancer in Nigeria","type":"article-journal","volume":"86"},"uris":["http://www.mendeley.com/documents/?uuid=c4fa5a4c-34f4-4d4a-a484-2f7624bd1201"]},{"id":"ITEM-4","itemData":{"DOI":"10.4103/0976-9668.159993","ISSN":"22297707","PMID":"26283822","abstract":"Background: Cervical cancer is the most common cancer among Indian women of reproductive age. Unfortunately, despite the evidence of methods for prevention, most of the women remain unscreened. The reported barriers to screening include unawareness of risk factors, symptoms and prevention; stigma and misconceptions about gynecological diseases and lack of national cervical cancer screening guidelines and policies. This study attempts to assess the knowledge, attitude, and practices related to cervical cancer and its screening among women of reproductive age (15-45 years). Materials and Methods: A facility-based cross-sectional study was done on 400 females of reproductive age who presented to out-patient-department of All India Institute of Medical Sciences Bhopal. Structured questionnaire consisting 20 knowledge items and 7-items for attitude and history of pap smear for practices were administered by one of the investigators after informed consent. Data were entered and analyzed using Epi-Info version 7. Qualitative variables were summarized as counts and percentages while quantitative variables as mean and standard deviation. Predictors of better knowledge, attitude, and practices were identified by binary logistic regression analysis. Results: A total of 442 women were approached for interview of which 400 responded of which two-third (65.5%) had heard of cervical cancer. At least one symptom and one risk factor were known to 35.25% and 39.75% participants. Only 34.5% participants had heard, and 9.5% actually underwent screening test, however, 76.25% of the participants expressed a favorable attitude for screening. Binary logistic regression analysis revealed that education age and income were independent predictors of better knowledge. Education level influences attitude toward screening and actual practice depends on age, income, and marital status. This study shows that despite the fact that women had suboptimal level of knowledge regarding cervical cancer, their attitude is favorable for screening. However, uptake is low in actual practice. Strategic communication targeting eligible women may increase the uptake of screening.","author":[{"dropping-particle":"","family":"Bansal","given":"Agam B.","non-dropping-particle":"","parse-names":false,"suffix":""},{"dropping-particle":"","family":"Pakhare","given":"Abhijit P.","non-dropping-particle":"","parse-names":false,"suffix":""},{"dropping-particle":"","family":"Kapoor","given":"Neelkamal","non-dropping-particle":"","parse-names":false,"suffix":""},{"dropping-particle":"","family":"Mehrotra","given":"Ragini","non-dropping-particle":"","parse-names":false,"suffix":""},{"dropping-particle":"","family":"Kokane","given":"Arun Mahadeo","non-dropping-particle":"","parse-names":false,"suffix":""}],"container-title":"Journal of Natural Science, Biology and Medicine","id":"ITEM-4","issue":"2","issued":{"date-parts":[["2015"]]},"page":"324-328","title":"Knowledge, attitude, and practices related to cervical cancer among adult women: A hospital-based cross-sectional study","type":"article-journal","volume":"6"},"uris":["http://www.mendeley.com/documents/?uuid=a1fbf0ea-ba86-4617-b3a9-40a3b971b000"]}],"mendeley":{"formattedCitation":"(Bansal &lt;i&gt;et al.&lt;/i&gt;, 2015; Onowhakpor &lt;i&gt;et al.&lt;/i&gt;, 2016; Nguyen &lt;i&gt;et al.&lt;/i&gt;, 2020; Okunowo &lt;i&gt;et al.&lt;/i&gt;, 2021)","plainTextFormattedCitation":"(Bansal et al., 2015; Onowhakpor et al., 2016; Nguyen et al., 2020; Okunowo et al., 2021)","previouslyFormattedCitation":"(Bansal &lt;i&gt;et al.&lt;/i&gt;, 2015; Onowhakpor &lt;i&gt;et al.&lt;/i&gt;, 2016; Nguyen &lt;i&gt;et al.&lt;/i&gt;, 2020; Okunowo &lt;i&gt;et al.&lt;/i&gt;, 2021)"},"properties":{"noteIndex":0},"schema":"https://github.com/citation-style-language/schema/raw/master/csl-citation.json"}</w:instrText>
      </w:r>
      <w:r w:rsidR="008E1841">
        <w:fldChar w:fldCharType="separate"/>
      </w:r>
      <w:r w:rsidR="008E1841" w:rsidRPr="008E1841">
        <w:rPr>
          <w:noProof/>
        </w:rPr>
        <w:t xml:space="preserve">(Bansal </w:t>
      </w:r>
      <w:r w:rsidR="008E1841" w:rsidRPr="008E1841">
        <w:rPr>
          <w:i/>
          <w:noProof/>
        </w:rPr>
        <w:t>et al.</w:t>
      </w:r>
      <w:r w:rsidR="008E1841" w:rsidRPr="008E1841">
        <w:rPr>
          <w:noProof/>
        </w:rPr>
        <w:t xml:space="preserve">, 2015; Onowhakpor </w:t>
      </w:r>
      <w:r w:rsidR="008E1841" w:rsidRPr="008E1841">
        <w:rPr>
          <w:i/>
          <w:noProof/>
        </w:rPr>
        <w:t>et al.</w:t>
      </w:r>
      <w:r w:rsidR="008E1841" w:rsidRPr="008E1841">
        <w:rPr>
          <w:noProof/>
        </w:rPr>
        <w:t xml:space="preserve">, 2016; Nguyen </w:t>
      </w:r>
      <w:r w:rsidR="008E1841" w:rsidRPr="008E1841">
        <w:rPr>
          <w:i/>
          <w:noProof/>
        </w:rPr>
        <w:t>et al.</w:t>
      </w:r>
      <w:r w:rsidR="008E1841" w:rsidRPr="008E1841">
        <w:rPr>
          <w:noProof/>
        </w:rPr>
        <w:t xml:space="preserve">, 2020; Okunowo </w:t>
      </w:r>
      <w:r w:rsidR="008E1841" w:rsidRPr="008E1841">
        <w:rPr>
          <w:i/>
          <w:noProof/>
        </w:rPr>
        <w:t>et al.</w:t>
      </w:r>
      <w:r w:rsidR="008E1841" w:rsidRPr="008E1841">
        <w:rPr>
          <w:noProof/>
        </w:rPr>
        <w:t>, 2021)</w:t>
      </w:r>
      <w:r w:rsidR="008E1841">
        <w:fldChar w:fldCharType="end"/>
      </w:r>
      <w:r w:rsidRPr="00243869">
        <w:t xml:space="preserve"> The HPV vaccine is currently not on the immunization schedule for women of reproductive age and the cost of the vaccine which will be paid for out-of-pocket may be an alternative reason for its low uptake. Almost all HCPs in this study agreed that the vaccine should be included in the immunization schedule. This has been shown to enhance accessibility</w:t>
      </w:r>
      <w:r w:rsidR="008E1841">
        <w:t xml:space="preserve">. </w:t>
      </w:r>
      <w:r w:rsidR="008E1841">
        <w:fldChar w:fldCharType="begin" w:fldLock="1"/>
      </w:r>
      <w:r w:rsidR="002C478F">
        <w:instrText>ADDIN CSL_CITATION {"citationItems":[{"id":"ITEM-1","itemData":{"DOI":"10.1002/IJGO.12186","ISSN":"18793479","PMID":"28691329","abstract":"The past 10 years have seen remarkable progress in the global scale-up of human papillomavirus (HPV) vaccinations. Forty-three low- and lower-middle-income countries (LLMICs) have gained experience in delivering this vaccine to young adolescent girls through pilot programs, demonstration programs, and national introductions and most of these have occurred in the last 4 years. The experience of Senegal is summarized as an illustrative country case study. Publication of numerous delivery experiences and lessons learned has demonstrated the acceptability and feasibility of HPV vaccinations in LLMICs. Four areas require dedicated action to overcome remaining challenges to national scaling-up: maintaining momentum politically, planning successfully, securing financing, and fostering sustainability. Advances in policy, programming, and science may help accelerate reaching 30 million girls in LLMICs with HPV vaccine by 2020.","author":[{"dropping-particle":"","family":"LaMontagne","given":"D. Scott","non-dropping-particle":"","parse-names":false,"suffix":""},{"dropping-particle":"","family":"Bloem","given":"Paul J.N.","non-dropping-particle":"","parse-names":false,"suffix":""},{"dropping-particle":"","family":"Brotherton","given":"Julia M.L.","non-dropping-particle":"","parse-names":false,"suffix":""},{"dropping-particle":"","family":"Gallagher","given":"Katherine E.","non-dropping-particle":"","parse-names":false,"suffix":""},{"dropping-particle":"","family":"Badiane","given":"Ousseynou","non-dropping-particle":"","parse-names":false,"suffix":""},{"dropping-particle":"","family":"Ndiaye","given":"Cathy","non-dropping-particle":"","parse-names":false,"suffix":""}],"container-title":"International Journal of Gynecology and Obstetrics","id":"ITEM-1","issued":{"date-parts":[["2017","7","1"]]},"page":"7-14","publisher":"Wiley Blackwell","title":"Progress in HPV vaccination in low- and lower-middle-income countries","type":"article-journal","volume":"138"},"uris":["http://www.mendeley.com/documents/?uuid=4edeb255-24a8-38cd-aba7-2ed452a6d98e"]}],"mendeley":{"formattedCitation":"(LaMontagne &lt;i&gt;et al.&lt;/i&gt;, 2017)","plainTextFormattedCitation":"(LaMontagne et al., 2017)","previouslyFormattedCitation":"(LaMontagne &lt;i&gt;et al.&lt;/i&gt;, 2017)"},"properties":{"noteIndex":0},"schema":"https://github.com/citation-style-language/schema/raw/master/csl-citation.json"}</w:instrText>
      </w:r>
      <w:r w:rsidR="008E1841">
        <w:fldChar w:fldCharType="separate"/>
      </w:r>
      <w:r w:rsidR="008E1841" w:rsidRPr="008E1841">
        <w:rPr>
          <w:noProof/>
        </w:rPr>
        <w:t xml:space="preserve">(LaMontagne </w:t>
      </w:r>
      <w:r w:rsidR="008E1841" w:rsidRPr="008E1841">
        <w:rPr>
          <w:i/>
          <w:noProof/>
        </w:rPr>
        <w:t>et al.</w:t>
      </w:r>
      <w:r w:rsidR="008E1841" w:rsidRPr="008E1841">
        <w:rPr>
          <w:noProof/>
        </w:rPr>
        <w:t>, 2017)</w:t>
      </w:r>
      <w:r w:rsidR="008E1841">
        <w:fldChar w:fldCharType="end"/>
      </w:r>
      <w:r w:rsidR="00095284">
        <w:t xml:space="preserve"> </w:t>
      </w:r>
      <w:r w:rsidRPr="00243869">
        <w:t xml:space="preserve">Unlike studies in India and Nigeria </w:t>
      </w:r>
      <w:r w:rsidR="002C478F">
        <w:fldChar w:fldCharType="begin" w:fldLock="1"/>
      </w:r>
      <w:r w:rsidR="002C478F">
        <w:instrText>ADDIN CSL_CITATION {"citationItems":[{"id":"ITEM-1","itemData":{"DOI":"10.4103/0976-9668.159993","ISSN":"22297707","PMID":"26283822","abstract":"Background: Cervical cancer is the most common cancer among Indian women of reproductive age. Unfortunately, despite the evidence of methods for prevention, most of the women remain unscreened. The reported barriers to screening include unawareness of risk factors, symptoms and prevention; stigma and misconceptions about gynecological diseases and lack of national cervical cancer screening guidelines and policies. This study attempts to assess the knowledge, attitude, and practices related to cervical cancer and its screening among women of reproductive age (15-45 years). Materials and Methods: A facility-based cross-sectional study was done on 400 females of reproductive age who presented to out-patient-department of All India Institute of Medical Sciences Bhopal. Structured questionnaire consisting 20 knowledge items and 7-items for attitude and history of pap smear for practices were administered by one of the investigators after informed consent. Data were entered and analyzed using Epi-Info version 7. Qualitative variables were summarized as counts and percentages while quantitative variables as mean and standard deviation. Predictors of better knowledge, attitude, and practices were identified by binary logistic regression analysis. Results: A total of 442 women were approached for interview of which 400 responded of which two-third (65.5%) had heard of cervical cancer. At least one symptom and one risk factor were known to 35.25% and 39.75% participants. Only 34.5% participants had heard, and 9.5% actually underwent screening test, however, 76.25% of the participants expressed a favorable attitude for screening. Binary logistic regression analysis revealed that education age and income were independent predictors of better knowledge. Education level influences attitude toward screening and actual practice depends on age, income, and marital status. This study shows that despite the fact that women had suboptimal level of knowledge regarding cervical cancer, their attitude is favorable for screening. However, uptake is low in actual practice. Strategic communication targeting eligible women may increase the uptake of screening.","author":[{"dropping-particle":"","family":"Bansal","given":"Agam B.","non-dropping-particle":"","parse-names":false,"suffix":""},{"dropping-particle":"","family":"Pakhare","given":"Abhijit P.","non-dropping-particle":"","parse-names":false,"suffix":""},{"dropping-particle":"","family":"Kapoor","given":"Neelkamal","non-dropping-particle":"","parse-names":false,"suffix":""},{"dropping-particle":"","family":"Mehrotra","given":"Ragini","non-dropping-particle":"","parse-names":false,"suffix":""},{"dropping-particle":"","family":"Kokane","given":"Arun Mahadeo","non-dropping-particle":"","parse-names":false,"suffix":""}],"container-title":"Journal of Natural Science, Biology and Medicine","id":"ITEM-1","issue":"2","issued":{"date-parts":[["2015"]]},"page":"324-328","title":"Knowledge, attitude, and practices related to cervical cancer among adult women: A hospital-based cross-sectional study","type":"article-journal","volume":"6"},"uris":["http://www.mendeley.com/documents/?uuid=a1fbf0ea-ba86-4617-b3a9-40a3b971b000"]},{"id":"ITEM-2","itemData":{"DOI":"10.1016/j.pmedr.2021.101643","ISSN":"22113355","PMID":"34987955","abstract":"Human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Reports","id":"ITEM-2","issue":"November","issued":{"date-parts":[["2021"]]},"page":"101643","publisher":"Elsevier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Nigeria","type":"article-journal","volume":"24"},"uris":["http://www.mendeley.com/documents/?uuid=041a479a-e993-431b-89ff-f30d276de186"]}],"mendeley":{"formattedCitation":"(Bansal &lt;i&gt;et al.&lt;/i&gt;, 2015; Okunowo &lt;i&gt;et al.&lt;/i&gt;, 2021)","plainTextFormattedCitation":"(Bansal et al., 2015; Okunowo et al., 2021)","previouslyFormattedCitation":"(Bansal &lt;i&gt;et al.&lt;/i&gt;, 2015; Okunowo &lt;i&gt;et al.&lt;/i&gt;, 2021)"},"properties":{"noteIndex":0},"schema":"https://github.com/citation-style-language/schema/raw/master/csl-citation.json"}</w:instrText>
      </w:r>
      <w:r w:rsidR="002C478F">
        <w:fldChar w:fldCharType="separate"/>
      </w:r>
      <w:r w:rsidR="002C478F" w:rsidRPr="002C478F">
        <w:rPr>
          <w:noProof/>
        </w:rPr>
        <w:t xml:space="preserve">(Bansal </w:t>
      </w:r>
      <w:r w:rsidR="002C478F" w:rsidRPr="002C478F">
        <w:rPr>
          <w:i/>
          <w:noProof/>
        </w:rPr>
        <w:t>et al.</w:t>
      </w:r>
      <w:r w:rsidR="002C478F" w:rsidRPr="002C478F">
        <w:rPr>
          <w:noProof/>
        </w:rPr>
        <w:t xml:space="preserve">, 2015; Okunowo </w:t>
      </w:r>
      <w:r w:rsidR="002C478F" w:rsidRPr="002C478F">
        <w:rPr>
          <w:i/>
          <w:noProof/>
        </w:rPr>
        <w:t>et al.</w:t>
      </w:r>
      <w:r w:rsidR="002C478F" w:rsidRPr="002C478F">
        <w:rPr>
          <w:noProof/>
        </w:rPr>
        <w:t>, 2021)</w:t>
      </w:r>
      <w:r w:rsidR="002C478F">
        <w:fldChar w:fldCharType="end"/>
      </w:r>
      <w:r w:rsidRPr="00243869">
        <w:t xml:space="preserve">, where religious or cultural resistance was cited as barriers to vaccine uptake, this was </w:t>
      </w:r>
      <w:r w:rsidRPr="00243869">
        <w:lastRenderedPageBreak/>
        <w:t xml:space="preserve">not the case in our study. This could be due to the higher educational and professional background of respondents in our study. </w:t>
      </w:r>
    </w:p>
    <w:p w14:paraId="372FBCEE" w14:textId="670C3479" w:rsidR="00243869" w:rsidRPr="00243869" w:rsidRDefault="00243869" w:rsidP="002C478F">
      <w:pPr>
        <w:spacing w:line="360" w:lineRule="auto"/>
      </w:pPr>
      <w:r w:rsidRPr="00243869">
        <w:t>This study did not reveal sociodemographic predictors for uptake of the HPV vaccine. This further suggests that most likely, its structural and not individual factors that drive low vaccination rates. This if further buttressed by the fact that no respondent indicated that culture and religion were barriers for not being vaccinated</w:t>
      </w:r>
      <w:r w:rsidR="000D2589">
        <w:t xml:space="preserve"> and most respondents expressed willingness to receive the HPV vaccine</w:t>
      </w:r>
      <w:r w:rsidRPr="00243869">
        <w:t xml:space="preserve">. These highlight areas for urgent public health intervention. </w:t>
      </w:r>
    </w:p>
    <w:bookmarkEnd w:id="8"/>
    <w:p w14:paraId="44905B5B" w14:textId="0FCEF351" w:rsidR="00084A63" w:rsidRPr="00C6358B" w:rsidRDefault="00083BFB" w:rsidP="00956A20">
      <w:pPr>
        <w:pStyle w:val="Heading1"/>
      </w:pPr>
      <w:r w:rsidRPr="00C6358B">
        <w:t>CONCLUSION</w:t>
      </w:r>
      <w:r w:rsidR="00BB3407">
        <w:t xml:space="preserve"> AND RECOMMENDATIONS</w:t>
      </w:r>
    </w:p>
    <w:p w14:paraId="08851C32" w14:textId="7A1BC36F" w:rsidR="00084A63" w:rsidRDefault="00956A20" w:rsidP="002C478F">
      <w:pPr>
        <w:spacing w:before="100" w:beforeAutospacing="1" w:line="360" w:lineRule="auto"/>
        <w:rPr>
          <w:rFonts w:eastAsia="Calibri" w:cs="Times New Roman"/>
          <w:kern w:val="0"/>
          <w14:ligatures w14:val="none"/>
        </w:rPr>
      </w:pPr>
      <w:r w:rsidRPr="00956A20">
        <w:rPr>
          <w:rFonts w:eastAsia="Calibri" w:cs="Times New Roman"/>
          <w:kern w:val="0"/>
          <w14:ligatures w14:val="none"/>
        </w:rPr>
        <w:t>This study assessed the awareness, knowledge, attitude, and uptake of HPV vaccination among healthcare professionals in Nigeria, with findings revealing significant gaps between awareness and actual vaccine uptake.</w:t>
      </w:r>
      <w:r w:rsidR="00243869" w:rsidRPr="00243869">
        <w:rPr>
          <w:rFonts w:eastAsia="Calibri" w:cs="Times New Roman"/>
          <w:kern w:val="0"/>
          <w14:ligatures w14:val="none"/>
        </w:rPr>
        <w:t xml:space="preserve"> Barriers to uptake reveal the need for structural interventions beyond knowledge dissemination. </w:t>
      </w:r>
      <w:r w:rsidR="00C6358B" w:rsidRPr="00243869">
        <w:rPr>
          <w:rFonts w:eastAsia="Calibri" w:cs="Times New Roman"/>
          <w:kern w:val="0"/>
          <w14:ligatures w14:val="none"/>
        </w:rPr>
        <w:t>Given the crucial role that healthcare professionals play in influencing</w:t>
      </w:r>
      <w:r w:rsidR="00C6358B" w:rsidRPr="00C6358B">
        <w:rPr>
          <w:rFonts w:eastAsia="Calibri" w:cs="Times New Roman"/>
          <w:kern w:val="0"/>
          <w14:ligatures w14:val="none"/>
        </w:rPr>
        <w:t xml:space="preserve"> public health behaviors, their low vaccine uptake could undermine broader efforts to reduce cervical cancer incidence through vaccination. </w:t>
      </w:r>
      <w:r w:rsidRPr="00C6358B">
        <w:rPr>
          <w:rFonts w:eastAsia="Calibri" w:cs="Times New Roman"/>
          <w:kern w:val="0"/>
          <w14:ligatures w14:val="none"/>
        </w:rPr>
        <w:t xml:space="preserve"> Further research, including qualitative studies, will be needed to </w:t>
      </w:r>
      <w:r w:rsidR="00BB3407" w:rsidRPr="00C6358B">
        <w:rPr>
          <w:rFonts w:eastAsia="Calibri" w:cs="Times New Roman"/>
          <w:kern w:val="0"/>
          <w14:ligatures w14:val="none"/>
        </w:rPr>
        <w:t>explore deeper psychological, and systemic factors influencing HPV vaccine hesitancy</w:t>
      </w:r>
      <w:r w:rsidRPr="00C6358B">
        <w:rPr>
          <w:rFonts w:eastAsia="Calibri" w:cs="Times New Roman"/>
          <w:kern w:val="0"/>
          <w14:ligatures w14:val="none"/>
        </w:rPr>
        <w:t xml:space="preserve">. </w:t>
      </w:r>
      <w:r w:rsidR="00243869">
        <w:rPr>
          <w:rFonts w:eastAsia="Calibri" w:cs="Times New Roman"/>
          <w:kern w:val="0"/>
          <w14:ligatures w14:val="none"/>
        </w:rPr>
        <w:t xml:space="preserve"> Some</w:t>
      </w:r>
      <w:r w:rsidRPr="00C6358B">
        <w:rPr>
          <w:rFonts w:eastAsia="Calibri" w:cs="Times New Roman"/>
          <w:kern w:val="0"/>
          <w14:ligatures w14:val="none"/>
        </w:rPr>
        <w:t xml:space="preserve"> targeted interventions to</w:t>
      </w:r>
      <w:r w:rsidR="00C6358B">
        <w:rPr>
          <w:rFonts w:eastAsia="Calibri" w:cs="Times New Roman"/>
          <w:kern w:val="0"/>
          <w14:ligatures w14:val="none"/>
        </w:rPr>
        <w:t xml:space="preserve"> address barriers </w:t>
      </w:r>
      <w:r w:rsidR="00243869">
        <w:rPr>
          <w:rFonts w:eastAsia="Calibri" w:cs="Times New Roman"/>
          <w:kern w:val="0"/>
          <w14:ligatures w14:val="none"/>
        </w:rPr>
        <w:t xml:space="preserve">include, </w:t>
      </w:r>
      <w:r w:rsidR="00C6358B" w:rsidRPr="00C6358B">
        <w:rPr>
          <w:rFonts w:eastAsia="Calibri" w:cs="Times New Roman"/>
          <w:kern w:val="0"/>
          <w14:ligatures w14:val="none"/>
        </w:rPr>
        <w:t>ensuring free or affordable access for women in the reproductive age</w:t>
      </w:r>
      <w:r w:rsidR="00C6358B">
        <w:rPr>
          <w:rFonts w:eastAsia="Calibri" w:cs="Times New Roman"/>
          <w:kern w:val="0"/>
          <w14:ligatures w14:val="none"/>
        </w:rPr>
        <w:t>; c</w:t>
      </w:r>
      <w:r w:rsidR="00C6358B" w:rsidRPr="00C6358B">
        <w:rPr>
          <w:rFonts w:eastAsia="Calibri" w:cs="Times New Roman"/>
          <w:kern w:val="0"/>
          <w14:ligatures w14:val="none"/>
        </w:rPr>
        <w:t xml:space="preserve">lear information </w:t>
      </w:r>
      <w:r w:rsidR="00243869">
        <w:rPr>
          <w:rFonts w:eastAsia="Calibri" w:cs="Times New Roman"/>
          <w:kern w:val="0"/>
          <w14:ligatures w14:val="none"/>
        </w:rPr>
        <w:t>about</w:t>
      </w:r>
      <w:r w:rsidR="00C6358B" w:rsidRPr="00C6358B">
        <w:rPr>
          <w:rFonts w:eastAsia="Calibri" w:cs="Times New Roman"/>
          <w:kern w:val="0"/>
          <w14:ligatures w14:val="none"/>
        </w:rPr>
        <w:t xml:space="preserve"> where and how healthcare professionals and the public can access the vaccine.</w:t>
      </w:r>
      <w:r w:rsidR="00C6358B">
        <w:rPr>
          <w:rFonts w:eastAsia="Calibri" w:cs="Times New Roman"/>
          <w:kern w:val="0"/>
          <w14:ligatures w14:val="none"/>
        </w:rPr>
        <w:t xml:space="preserve"> </w:t>
      </w:r>
      <w:r w:rsidR="00BB3407" w:rsidRPr="00C6358B">
        <w:rPr>
          <w:rFonts w:eastAsia="Calibri" w:cs="Times New Roman"/>
          <w:kern w:val="0"/>
          <w14:ligatures w14:val="none"/>
        </w:rPr>
        <w:t>Healthcare facilities should implement workplace vaccination programs, making it convenient for healthcare professionals to get vaccinated during routine medical checkups or health promotion days.</w:t>
      </w:r>
    </w:p>
    <w:p w14:paraId="7543A57D" w14:textId="77777777" w:rsidR="00CD55C9" w:rsidRPr="008F03EE" w:rsidRDefault="00CD55C9" w:rsidP="00CD55C9">
      <w:pPr>
        <w:spacing w:before="100" w:beforeAutospacing="1" w:line="360" w:lineRule="auto"/>
        <w:rPr>
          <w:rFonts w:eastAsia="Calibri" w:cs="Times New Roman"/>
          <w:b/>
          <w:bCs/>
          <w:kern w:val="0"/>
          <w14:ligatures w14:val="none"/>
        </w:rPr>
      </w:pPr>
      <w:r w:rsidRPr="008F03EE">
        <w:rPr>
          <w:rFonts w:eastAsia="Calibri" w:cs="Times New Roman"/>
          <w:b/>
          <w:bCs/>
          <w:kern w:val="0"/>
          <w14:ligatures w14:val="none"/>
        </w:rPr>
        <w:t>Limitation</w:t>
      </w:r>
    </w:p>
    <w:p w14:paraId="3F30A99E" w14:textId="77777777" w:rsidR="00CD55C9" w:rsidRPr="00243869" w:rsidRDefault="00CD55C9" w:rsidP="00CD55C9">
      <w:pPr>
        <w:tabs>
          <w:tab w:val="left" w:pos="720"/>
        </w:tabs>
        <w:spacing w:before="100" w:beforeAutospacing="1" w:line="360" w:lineRule="auto"/>
        <w:rPr>
          <w:rFonts w:eastAsia="Calibri" w:cs="Times New Roman"/>
          <w:bCs/>
          <w:kern w:val="0"/>
          <w14:ligatures w14:val="none"/>
        </w:rPr>
      </w:pPr>
      <w:r>
        <w:rPr>
          <w:rFonts w:eastAsia="Calibri" w:cs="Times New Roman"/>
          <w:bCs/>
          <w:kern w:val="0"/>
          <w14:ligatures w14:val="none"/>
        </w:rPr>
        <w:t>This study provides invaluable insight into uptake of vaccine among health care professionals however its findings are not generalizable. This is because it focuses on female healthcare professionals in a state in Southern Nigeria which does not fully represent the diverse spread of health workers across the country.  In addition, it relied on self-reporting, and this could have potential cause some recall bias such as in remembering vaccine doses or types. There is also a likelihood of s</w:t>
      </w:r>
      <w:r w:rsidRPr="00932CC1">
        <w:rPr>
          <w:rFonts w:eastAsia="Calibri" w:cs="Times New Roman"/>
          <w:bCs/>
          <w:kern w:val="0"/>
          <w14:ligatures w14:val="none"/>
        </w:rPr>
        <w:t xml:space="preserve">ocial </w:t>
      </w:r>
      <w:r>
        <w:rPr>
          <w:rFonts w:eastAsia="Calibri" w:cs="Times New Roman"/>
          <w:bCs/>
          <w:kern w:val="0"/>
          <w14:ligatures w14:val="none"/>
        </w:rPr>
        <w:t>d</w:t>
      </w:r>
      <w:r w:rsidRPr="00932CC1">
        <w:rPr>
          <w:rFonts w:eastAsia="Calibri" w:cs="Times New Roman"/>
          <w:bCs/>
          <w:kern w:val="0"/>
          <w14:ligatures w14:val="none"/>
        </w:rPr>
        <w:t xml:space="preserve">esirability </w:t>
      </w:r>
      <w:r>
        <w:rPr>
          <w:rFonts w:eastAsia="Calibri" w:cs="Times New Roman"/>
          <w:bCs/>
          <w:kern w:val="0"/>
          <w14:ligatures w14:val="none"/>
        </w:rPr>
        <w:t>b</w:t>
      </w:r>
      <w:r w:rsidRPr="00932CC1">
        <w:rPr>
          <w:rFonts w:eastAsia="Calibri" w:cs="Times New Roman"/>
          <w:bCs/>
          <w:kern w:val="0"/>
          <w14:ligatures w14:val="none"/>
        </w:rPr>
        <w:t>ias</w:t>
      </w:r>
      <w:r>
        <w:rPr>
          <w:rFonts w:eastAsia="Calibri" w:cs="Times New Roman"/>
          <w:bCs/>
          <w:kern w:val="0"/>
          <w14:ligatures w14:val="none"/>
        </w:rPr>
        <w:t xml:space="preserve"> where the health care providers may have overstated their attitudes by providing </w:t>
      </w:r>
      <w:r w:rsidRPr="00932CC1">
        <w:rPr>
          <w:rFonts w:eastAsia="Calibri" w:cs="Times New Roman"/>
          <w:bCs/>
          <w:kern w:val="0"/>
          <w14:ligatures w14:val="none"/>
        </w:rPr>
        <w:t xml:space="preserve">socially acceptable answers due to the sensitive nature of vaccination </w:t>
      </w:r>
      <w:r w:rsidRPr="00932CC1">
        <w:rPr>
          <w:rFonts w:eastAsia="Calibri" w:cs="Times New Roman"/>
          <w:bCs/>
          <w:kern w:val="0"/>
          <w14:ligatures w14:val="none"/>
        </w:rPr>
        <w:lastRenderedPageBreak/>
        <w:t>discussions.</w:t>
      </w:r>
      <w:r>
        <w:rPr>
          <w:rFonts w:eastAsia="Calibri" w:cs="Times New Roman"/>
          <w:bCs/>
          <w:kern w:val="0"/>
          <w14:ligatures w14:val="none"/>
        </w:rPr>
        <w:t xml:space="preserve"> Furthermore, our</w:t>
      </w:r>
      <w:r w:rsidRPr="00932CC1">
        <w:rPr>
          <w:rFonts w:eastAsia="Calibri" w:cs="Times New Roman"/>
          <w:bCs/>
          <w:kern w:val="0"/>
          <w14:ligatures w14:val="none"/>
        </w:rPr>
        <w:t xml:space="preserve"> study did not explore in-depth </w:t>
      </w:r>
      <w:r>
        <w:rPr>
          <w:rFonts w:eastAsia="Calibri" w:cs="Times New Roman"/>
          <w:bCs/>
          <w:kern w:val="0"/>
          <w14:ligatures w14:val="none"/>
        </w:rPr>
        <w:t xml:space="preserve">other possible </w:t>
      </w:r>
      <w:r w:rsidRPr="00932CC1">
        <w:rPr>
          <w:rFonts w:eastAsia="Calibri" w:cs="Times New Roman"/>
          <w:bCs/>
          <w:kern w:val="0"/>
          <w14:ligatures w14:val="none"/>
        </w:rPr>
        <w:t xml:space="preserve">reasons behind </w:t>
      </w:r>
      <w:r>
        <w:rPr>
          <w:rFonts w:eastAsia="Calibri" w:cs="Times New Roman"/>
          <w:bCs/>
          <w:kern w:val="0"/>
          <w14:ligatures w14:val="none"/>
        </w:rPr>
        <w:t xml:space="preserve">HPV vaccine </w:t>
      </w:r>
      <w:r w:rsidRPr="00932CC1">
        <w:rPr>
          <w:rFonts w:eastAsia="Calibri" w:cs="Times New Roman"/>
          <w:bCs/>
          <w:kern w:val="0"/>
          <w14:ligatures w14:val="none"/>
        </w:rPr>
        <w:t>hesitancy (e.g., through interviews/focus group</w:t>
      </w:r>
      <w:r>
        <w:rPr>
          <w:rFonts w:eastAsia="Calibri" w:cs="Times New Roman"/>
          <w:bCs/>
          <w:kern w:val="0"/>
          <w14:ligatures w14:val="none"/>
        </w:rPr>
        <w:t xml:space="preserve"> discussions</w:t>
      </w:r>
      <w:r w:rsidRPr="00932CC1">
        <w:rPr>
          <w:rFonts w:eastAsia="Calibri" w:cs="Times New Roman"/>
          <w:bCs/>
          <w:kern w:val="0"/>
          <w14:ligatures w14:val="none"/>
        </w:rPr>
        <w:t>), which could provide richer insights into barriers.</w:t>
      </w:r>
      <w:r>
        <w:rPr>
          <w:rFonts w:eastAsia="Calibri" w:cs="Times New Roman"/>
          <w:bCs/>
          <w:kern w:val="0"/>
          <w14:ligatures w14:val="none"/>
        </w:rPr>
        <w:t xml:space="preserve"> However, it sets the stage for further research by providing invaluable findings. </w:t>
      </w:r>
      <w:r w:rsidRPr="00932CC1">
        <w:rPr>
          <w:rFonts w:eastAsia="Calibri" w:cs="Times New Roman"/>
          <w:bCs/>
          <w:kern w:val="0"/>
          <w14:ligatures w14:val="none"/>
        </w:rPr>
        <w:t>Among the few vaccinated participants, most had incomplete doses, but the study did not track reasons for non-completion</w:t>
      </w:r>
      <w:r>
        <w:rPr>
          <w:rFonts w:eastAsia="Calibri" w:cs="Times New Roman"/>
          <w:bCs/>
          <w:kern w:val="0"/>
          <w14:ligatures w14:val="none"/>
        </w:rPr>
        <w:t xml:space="preserve"> and future research can investigate this in-depth. </w:t>
      </w:r>
      <w:r w:rsidRPr="00932CC1">
        <w:rPr>
          <w:rFonts w:eastAsia="Calibri" w:cs="Times New Roman"/>
          <w:bCs/>
          <w:kern w:val="0"/>
          <w14:ligatures w14:val="none"/>
        </w:rPr>
        <w:t xml:space="preserve">Despite these limitations, the findings </w:t>
      </w:r>
      <w:r>
        <w:rPr>
          <w:rFonts w:eastAsia="Calibri" w:cs="Times New Roman"/>
          <w:bCs/>
          <w:kern w:val="0"/>
          <w14:ligatures w14:val="none"/>
        </w:rPr>
        <w:t>resonate</w:t>
      </w:r>
      <w:r w:rsidRPr="00932CC1">
        <w:rPr>
          <w:rFonts w:eastAsia="Calibri" w:cs="Times New Roman"/>
          <w:bCs/>
          <w:kern w:val="0"/>
          <w14:ligatures w14:val="none"/>
        </w:rPr>
        <w:t xml:space="preserve"> with broader literature on HPV vaccination challenges in low-resource settings. </w:t>
      </w:r>
    </w:p>
    <w:p w14:paraId="32C4E603" w14:textId="1CFE844A" w:rsidR="00084A63" w:rsidRPr="00C6358B" w:rsidRDefault="00083BFB">
      <w:pPr>
        <w:keepNext/>
        <w:keepLines/>
        <w:spacing w:before="240" w:after="0" w:line="240" w:lineRule="auto"/>
        <w:outlineLvl w:val="0"/>
        <w:rPr>
          <w:rFonts w:eastAsia="Calibri" w:cs="Times New Roman"/>
          <w:b/>
          <w:kern w:val="0"/>
          <w:lang w:val="en-GB"/>
          <w14:ligatures w14:val="none"/>
        </w:rPr>
      </w:pPr>
      <w:bookmarkStart w:id="10" w:name="_Hlk196732929"/>
      <w:r w:rsidRPr="00C6358B">
        <w:rPr>
          <w:rFonts w:eastAsia="Calibri" w:cs="Times New Roman"/>
          <w:b/>
          <w:kern w:val="0"/>
          <w:lang w:val="en-GB"/>
          <w14:ligatures w14:val="none"/>
        </w:rPr>
        <w:t>REFERENCES</w:t>
      </w:r>
    </w:p>
    <w:bookmarkStart w:id="11" w:name="_Hlk196754176"/>
    <w:p w14:paraId="2F860957" w14:textId="383ED725" w:rsidR="0093112E" w:rsidRPr="0093112E" w:rsidRDefault="00083BFB" w:rsidP="0093112E">
      <w:pPr>
        <w:widowControl w:val="0"/>
        <w:autoSpaceDE w:val="0"/>
        <w:autoSpaceDN w:val="0"/>
        <w:adjustRightInd w:val="0"/>
        <w:spacing w:line="240" w:lineRule="auto"/>
        <w:rPr>
          <w:rFonts w:cs="Times New Roman"/>
          <w:noProof/>
          <w:kern w:val="0"/>
        </w:rPr>
      </w:pPr>
      <w:r w:rsidRPr="00C6358B">
        <w:rPr>
          <w:rFonts w:cs="Times New Roman"/>
          <w:lang w:val="en-GB"/>
        </w:rPr>
        <w:fldChar w:fldCharType="begin" w:fldLock="1"/>
      </w:r>
      <w:r w:rsidRPr="00C6358B">
        <w:rPr>
          <w:rFonts w:cs="Times New Roman"/>
          <w:lang w:val="en-GB"/>
        </w:rPr>
        <w:instrText xml:space="preserve">ADDIN Mendeley Bibliography CSL_BIBLIOGRAPHY </w:instrText>
      </w:r>
      <w:r w:rsidRPr="00C6358B">
        <w:rPr>
          <w:rFonts w:cs="Times New Roman"/>
          <w:lang w:val="en-GB"/>
        </w:rPr>
        <w:fldChar w:fldCharType="separate"/>
      </w:r>
      <w:r w:rsidR="0093112E" w:rsidRPr="0093112E">
        <w:rPr>
          <w:rFonts w:cs="Times New Roman"/>
          <w:noProof/>
          <w:kern w:val="0"/>
        </w:rPr>
        <w:t xml:space="preserve">Agha, S. </w:t>
      </w:r>
      <w:r w:rsidR="0093112E" w:rsidRPr="0093112E">
        <w:rPr>
          <w:rFonts w:cs="Times New Roman"/>
          <w:i/>
          <w:iCs/>
          <w:noProof/>
          <w:kern w:val="0"/>
        </w:rPr>
        <w:t>et al.</w:t>
      </w:r>
      <w:r w:rsidR="0093112E" w:rsidRPr="0093112E">
        <w:rPr>
          <w:rFonts w:cs="Times New Roman"/>
          <w:noProof/>
          <w:kern w:val="0"/>
        </w:rPr>
        <w:t xml:space="preserve"> (2024) ‘Determinants of Human Papillomavirus Vaccine Acceptance among Caregivers in Nigeria: A Fogg Behavior Model-Based Approach’, </w:t>
      </w:r>
      <w:r w:rsidR="0093112E" w:rsidRPr="0093112E">
        <w:rPr>
          <w:rFonts w:cs="Times New Roman"/>
          <w:i/>
          <w:iCs/>
          <w:noProof/>
          <w:kern w:val="0"/>
        </w:rPr>
        <w:t>Vaccines</w:t>
      </w:r>
      <w:r w:rsidR="0093112E" w:rsidRPr="0093112E">
        <w:rPr>
          <w:rFonts w:cs="Times New Roman"/>
          <w:noProof/>
          <w:kern w:val="0"/>
        </w:rPr>
        <w:t>, 12(1), pp. 1–12. Available at: https://doi.org/10.3390/vaccines12010084.</w:t>
      </w:r>
    </w:p>
    <w:p w14:paraId="44210886"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Akinnibosun, O. </w:t>
      </w:r>
      <w:r w:rsidRPr="0093112E">
        <w:rPr>
          <w:rFonts w:cs="Times New Roman"/>
          <w:i/>
          <w:iCs/>
          <w:noProof/>
          <w:kern w:val="0"/>
        </w:rPr>
        <w:t>et al.</w:t>
      </w:r>
      <w:r w:rsidRPr="0093112E">
        <w:rPr>
          <w:rFonts w:cs="Times New Roman"/>
          <w:noProof/>
          <w:kern w:val="0"/>
        </w:rPr>
        <w:t xml:space="preserve"> (2024) ‘Knowledge, Attitudes and Practices among Women of Reproductive Age on Human Papillomavirus Infection, Cervical Cancer and Vaccination in Otukpo, Nigeria’, </w:t>
      </w:r>
      <w:r w:rsidRPr="0093112E">
        <w:rPr>
          <w:rFonts w:cs="Times New Roman"/>
          <w:i/>
          <w:iCs/>
          <w:noProof/>
          <w:kern w:val="0"/>
        </w:rPr>
        <w:t>Ethiopian journal of health sciences</w:t>
      </w:r>
      <w:r w:rsidRPr="0093112E">
        <w:rPr>
          <w:rFonts w:cs="Times New Roman"/>
          <w:noProof/>
          <w:kern w:val="0"/>
        </w:rPr>
        <w:t>, 34(1), pp. 15–26. Available at: https://doi.org/10.4314/ejhs.v34i1.3.</w:t>
      </w:r>
    </w:p>
    <w:p w14:paraId="4250E62E"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Alshamlan, N.A. </w:t>
      </w:r>
      <w:r w:rsidRPr="0093112E">
        <w:rPr>
          <w:rFonts w:cs="Times New Roman"/>
          <w:i/>
          <w:iCs/>
          <w:noProof/>
          <w:kern w:val="0"/>
        </w:rPr>
        <w:t>et al.</w:t>
      </w:r>
      <w:r w:rsidRPr="0093112E">
        <w:rPr>
          <w:rFonts w:cs="Times New Roman"/>
          <w:noProof/>
          <w:kern w:val="0"/>
        </w:rPr>
        <w:t xml:space="preserve"> (2024) ‘HPV Vaccine Uptake, Willingness to Receive, and Causes of Vaccine Hesitancy: A National Study Conducted in Saudi Arabia Among Female Healthcare Professionals’, </w:t>
      </w:r>
      <w:r w:rsidRPr="0093112E">
        <w:rPr>
          <w:rFonts w:cs="Times New Roman"/>
          <w:i/>
          <w:iCs/>
          <w:noProof/>
          <w:kern w:val="0"/>
        </w:rPr>
        <w:t>International Journal of Women’s Health</w:t>
      </w:r>
      <w:r w:rsidRPr="0093112E">
        <w:rPr>
          <w:rFonts w:cs="Times New Roman"/>
          <w:noProof/>
          <w:kern w:val="0"/>
        </w:rPr>
        <w:t>, 16(March), pp. 463–474. Available at: https://doi.org/10.2147/IJWH.S449979.</w:t>
      </w:r>
    </w:p>
    <w:p w14:paraId="349B42F6"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Audu, B.M. </w:t>
      </w:r>
      <w:r w:rsidRPr="0093112E">
        <w:rPr>
          <w:rFonts w:cs="Times New Roman"/>
          <w:i/>
          <w:iCs/>
          <w:noProof/>
          <w:kern w:val="0"/>
        </w:rPr>
        <w:t>et al.</w:t>
      </w:r>
      <w:r w:rsidRPr="0093112E">
        <w:rPr>
          <w:rFonts w:cs="Times New Roman"/>
          <w:noProof/>
          <w:kern w:val="0"/>
        </w:rPr>
        <w:t xml:space="preserve"> (2014) ‘Awareness and perception of human papilloma virus vaccine among healthcare professionals in Nigeria’, </w:t>
      </w:r>
      <w:r w:rsidRPr="0093112E">
        <w:rPr>
          <w:rFonts w:cs="Times New Roman"/>
          <w:i/>
          <w:iCs/>
          <w:noProof/>
          <w:kern w:val="0"/>
        </w:rPr>
        <w:t>Journal of Obstetrics and Gynaecology</w:t>
      </w:r>
      <w:r w:rsidRPr="0093112E">
        <w:rPr>
          <w:rFonts w:cs="Times New Roman"/>
          <w:noProof/>
          <w:kern w:val="0"/>
        </w:rPr>
        <w:t>, 34(8), pp. 714–717. Available at: https://doi.org/10.3109/01443615.2014.925431.</w:t>
      </w:r>
    </w:p>
    <w:p w14:paraId="43649F73"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Bansal, A.B. </w:t>
      </w:r>
      <w:r w:rsidRPr="0093112E">
        <w:rPr>
          <w:rFonts w:cs="Times New Roman"/>
          <w:i/>
          <w:iCs/>
          <w:noProof/>
          <w:kern w:val="0"/>
        </w:rPr>
        <w:t>et al.</w:t>
      </w:r>
      <w:r w:rsidRPr="0093112E">
        <w:rPr>
          <w:rFonts w:cs="Times New Roman"/>
          <w:noProof/>
          <w:kern w:val="0"/>
        </w:rPr>
        <w:t xml:space="preserve"> (2015) ‘Knowledge, attitude, and practices related to cervical cancer among adult women: A hospital-based cross-sectional study’, </w:t>
      </w:r>
      <w:r w:rsidRPr="0093112E">
        <w:rPr>
          <w:rFonts w:cs="Times New Roman"/>
          <w:i/>
          <w:iCs/>
          <w:noProof/>
          <w:kern w:val="0"/>
        </w:rPr>
        <w:t>Journal of Natural Science, Biology and Medicine</w:t>
      </w:r>
      <w:r w:rsidRPr="0093112E">
        <w:rPr>
          <w:rFonts w:cs="Times New Roman"/>
          <w:noProof/>
          <w:kern w:val="0"/>
        </w:rPr>
        <w:t>, 6(2), pp. 324–328. Available at: https://doi.org/10.4103/0976-9668.159993.</w:t>
      </w:r>
    </w:p>
    <w:p w14:paraId="0645CE94"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Bruni, L. </w:t>
      </w:r>
      <w:r w:rsidRPr="0093112E">
        <w:rPr>
          <w:rFonts w:cs="Times New Roman"/>
          <w:i/>
          <w:iCs/>
          <w:noProof/>
          <w:kern w:val="0"/>
        </w:rPr>
        <w:t>et al.</w:t>
      </w:r>
      <w:r w:rsidRPr="0093112E">
        <w:rPr>
          <w:rFonts w:cs="Times New Roman"/>
          <w:noProof/>
          <w:kern w:val="0"/>
        </w:rPr>
        <w:t xml:space="preserve"> (2016) ‘Global estimates of human papillomavirus vaccination coverage by region and income level: A pooled analysis’, </w:t>
      </w:r>
      <w:r w:rsidRPr="0093112E">
        <w:rPr>
          <w:rFonts w:cs="Times New Roman"/>
          <w:i/>
          <w:iCs/>
          <w:noProof/>
          <w:kern w:val="0"/>
        </w:rPr>
        <w:t>The Lancet Global Health</w:t>
      </w:r>
      <w:r w:rsidRPr="0093112E">
        <w:rPr>
          <w:rFonts w:cs="Times New Roman"/>
          <w:noProof/>
          <w:kern w:val="0"/>
        </w:rPr>
        <w:t>, 4(7), pp. e453–e463. Available at: https://doi.org/10.1016/S2214-109X(16)30099-7.</w:t>
      </w:r>
    </w:p>
    <w:p w14:paraId="3F12C866"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Chawla, P.C., Chawla, A. and Chaudhary, S. (2016) ‘Knowledge, attitude &amp; practice on human papillomavirus vaccination: A cross-sectional study among healthcare providers’, </w:t>
      </w:r>
      <w:r w:rsidRPr="0093112E">
        <w:rPr>
          <w:rFonts w:cs="Times New Roman"/>
          <w:i/>
          <w:iCs/>
          <w:noProof/>
          <w:kern w:val="0"/>
        </w:rPr>
        <w:t>Indian Journal of Medical Research</w:t>
      </w:r>
      <w:r w:rsidRPr="0093112E">
        <w:rPr>
          <w:rFonts w:cs="Times New Roman"/>
          <w:noProof/>
          <w:kern w:val="0"/>
        </w:rPr>
        <w:t>, 144(NOVEMBER), pp. 741–749. Available at: https://doi.org/10.4103/IJMR.IJMR_1106_14,.</w:t>
      </w:r>
    </w:p>
    <w:p w14:paraId="4E9ED994"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Chen, H. </w:t>
      </w:r>
      <w:r w:rsidRPr="0093112E">
        <w:rPr>
          <w:rFonts w:cs="Times New Roman"/>
          <w:i/>
          <w:iCs/>
          <w:noProof/>
          <w:kern w:val="0"/>
        </w:rPr>
        <w:t>et al.</w:t>
      </w:r>
      <w:r w:rsidRPr="0093112E">
        <w:rPr>
          <w:rFonts w:cs="Times New Roman"/>
          <w:noProof/>
          <w:kern w:val="0"/>
        </w:rPr>
        <w:t xml:space="preserve"> (2020) ‘Effect of an educational intervention on human papillomavirus (HPV) knowledge and attitudes towards HPV vaccines among healthcare workers (HCWs) in Western China’, </w:t>
      </w:r>
      <w:r w:rsidRPr="0093112E">
        <w:rPr>
          <w:rFonts w:cs="Times New Roman"/>
          <w:i/>
          <w:iCs/>
          <w:noProof/>
          <w:kern w:val="0"/>
        </w:rPr>
        <w:t>Human Vaccines and Immunotherapeutics</w:t>
      </w:r>
      <w:r w:rsidRPr="0093112E">
        <w:rPr>
          <w:rFonts w:cs="Times New Roman"/>
          <w:noProof/>
          <w:kern w:val="0"/>
        </w:rPr>
        <w:t>, 17(2), pp. 1–8. Available at: https://doi.org/10.1080/21645515.2020.1780093.</w:t>
      </w:r>
    </w:p>
    <w:p w14:paraId="3F0DEB84"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Drolet, M. </w:t>
      </w:r>
      <w:r w:rsidRPr="0093112E">
        <w:rPr>
          <w:rFonts w:cs="Times New Roman"/>
          <w:i/>
          <w:iCs/>
          <w:noProof/>
          <w:kern w:val="0"/>
        </w:rPr>
        <w:t>et al.</w:t>
      </w:r>
      <w:r w:rsidRPr="0093112E">
        <w:rPr>
          <w:rFonts w:cs="Times New Roman"/>
          <w:noProof/>
          <w:kern w:val="0"/>
        </w:rPr>
        <w:t xml:space="preserve"> (2019) ‘Population-level impact and herd effects following the introduction of </w:t>
      </w:r>
      <w:r w:rsidRPr="0093112E">
        <w:rPr>
          <w:rFonts w:cs="Times New Roman"/>
          <w:noProof/>
          <w:kern w:val="0"/>
        </w:rPr>
        <w:lastRenderedPageBreak/>
        <w:t xml:space="preserve">human papillomavirus vaccination programmes: updated systematic review and meta-analysis’, </w:t>
      </w:r>
      <w:r w:rsidRPr="0093112E">
        <w:rPr>
          <w:rFonts w:cs="Times New Roman"/>
          <w:i/>
          <w:iCs/>
          <w:noProof/>
          <w:kern w:val="0"/>
        </w:rPr>
        <w:t>The Lancet</w:t>
      </w:r>
      <w:r w:rsidRPr="0093112E">
        <w:rPr>
          <w:rFonts w:cs="Times New Roman"/>
          <w:noProof/>
          <w:kern w:val="0"/>
        </w:rPr>
        <w:t>, 394(10197), pp. 497–509. Available at: https://doi.org/10.1016/S0140-6736(19)30298-3.</w:t>
      </w:r>
    </w:p>
    <w:p w14:paraId="1410FE3F"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Ekpo K, O.T. (2012) ‘Nigerian Women’s Perceptions about Human Papilloma Virus Immunisations’, </w:t>
      </w:r>
      <w:r w:rsidRPr="0093112E">
        <w:rPr>
          <w:rFonts w:cs="Times New Roman"/>
          <w:i/>
          <w:iCs/>
          <w:noProof/>
          <w:kern w:val="0"/>
        </w:rPr>
        <w:t>Journal of Community Medicine &amp; Health Education</w:t>
      </w:r>
      <w:r w:rsidRPr="0093112E">
        <w:rPr>
          <w:rFonts w:cs="Times New Roman"/>
          <w:noProof/>
          <w:kern w:val="0"/>
        </w:rPr>
        <w:t>, 02(11). Available at: https://doi.org/10.4172/2161-0711.1000191.</w:t>
      </w:r>
    </w:p>
    <w:p w14:paraId="6AF681D0"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Gallagher, K.E. </w:t>
      </w:r>
      <w:r w:rsidRPr="0093112E">
        <w:rPr>
          <w:rFonts w:cs="Times New Roman"/>
          <w:i/>
          <w:iCs/>
          <w:noProof/>
          <w:kern w:val="0"/>
        </w:rPr>
        <w:t>et al.</w:t>
      </w:r>
      <w:r w:rsidRPr="0093112E">
        <w:rPr>
          <w:rFonts w:cs="Times New Roman"/>
          <w:noProof/>
          <w:kern w:val="0"/>
        </w:rPr>
        <w:t xml:space="preserve"> (2017) ‘Lessons learnt from human papillomavirus (HPV) vaccination in 45 low- and middleincome countries’, </w:t>
      </w:r>
      <w:r w:rsidRPr="0093112E">
        <w:rPr>
          <w:rFonts w:cs="Times New Roman"/>
          <w:i/>
          <w:iCs/>
          <w:noProof/>
          <w:kern w:val="0"/>
        </w:rPr>
        <w:t>PLoS ONE</w:t>
      </w:r>
      <w:r w:rsidRPr="0093112E">
        <w:rPr>
          <w:rFonts w:cs="Times New Roman"/>
          <w:noProof/>
          <w:kern w:val="0"/>
        </w:rPr>
        <w:t>, 12(6). Available at: https://doi.org/10.1371/JOURNAL.PONE.0177773.</w:t>
      </w:r>
    </w:p>
    <w:p w14:paraId="0DDEFAFB"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Gallagher, K.E., LaMontagne, D.S. and Watson-Jones, D. (2018) ‘Status of HPV vaccine introduction and barriers to country uptake’, </w:t>
      </w:r>
      <w:r w:rsidRPr="0093112E">
        <w:rPr>
          <w:rFonts w:cs="Times New Roman"/>
          <w:i/>
          <w:iCs/>
          <w:noProof/>
          <w:kern w:val="0"/>
        </w:rPr>
        <w:t>Vaccine</w:t>
      </w:r>
      <w:r w:rsidRPr="0093112E">
        <w:rPr>
          <w:rFonts w:cs="Times New Roman"/>
          <w:noProof/>
          <w:kern w:val="0"/>
        </w:rPr>
        <w:t>, 36(32), pp. 4761–4767. Available at: https://doi.org/10.1016/J.VACCINE.2018.02.003.</w:t>
      </w:r>
    </w:p>
    <w:p w14:paraId="3E4F30BF"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Heyde, S. </w:t>
      </w:r>
      <w:r w:rsidRPr="0093112E">
        <w:rPr>
          <w:rFonts w:cs="Times New Roman"/>
          <w:i/>
          <w:iCs/>
          <w:noProof/>
          <w:kern w:val="0"/>
        </w:rPr>
        <w:t>et al.</w:t>
      </w:r>
      <w:r w:rsidRPr="0093112E">
        <w:rPr>
          <w:rFonts w:cs="Times New Roman"/>
          <w:noProof/>
          <w:kern w:val="0"/>
        </w:rPr>
        <w:t xml:space="preserve"> (2024) ‘Global parental acceptance, attitudes, and knowledge regarding human papillomavirus vaccinations for their children: a systematic literature review and meta-analysis’, </w:t>
      </w:r>
      <w:r w:rsidRPr="0093112E">
        <w:rPr>
          <w:rFonts w:cs="Times New Roman"/>
          <w:i/>
          <w:iCs/>
          <w:noProof/>
          <w:kern w:val="0"/>
        </w:rPr>
        <w:t>BMC Women’s Health 2024 24:1</w:t>
      </w:r>
      <w:r w:rsidRPr="0093112E">
        <w:rPr>
          <w:rFonts w:cs="Times New Roman"/>
          <w:noProof/>
          <w:kern w:val="0"/>
        </w:rPr>
        <w:t>, 24(1), pp. 1–25. Available at: https://doi.org/10.1186/S12905-024-03377-5.</w:t>
      </w:r>
    </w:p>
    <w:p w14:paraId="7F0DE6C0"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IBM Corp. (2015) ‘IBM SPSS Statistics for Windows’. Armonk, New York: IBM Corp.</w:t>
      </w:r>
    </w:p>
    <w:p w14:paraId="535A4C02"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ICO/IARC Information Centre (2023) </w:t>
      </w:r>
      <w:r w:rsidRPr="0093112E">
        <w:rPr>
          <w:rFonts w:cs="Times New Roman"/>
          <w:i/>
          <w:iCs/>
          <w:noProof/>
          <w:kern w:val="0"/>
        </w:rPr>
        <w:t>Nigeria Human Papillomavirus and Related Cancers</w:t>
      </w:r>
      <w:r w:rsidRPr="0093112E">
        <w:rPr>
          <w:rFonts w:cs="Times New Roman"/>
          <w:noProof/>
          <w:kern w:val="0"/>
        </w:rPr>
        <w:t xml:space="preserve">, </w:t>
      </w:r>
      <w:r w:rsidRPr="0093112E">
        <w:rPr>
          <w:rFonts w:cs="Times New Roman"/>
          <w:i/>
          <w:iCs/>
          <w:noProof/>
          <w:kern w:val="0"/>
        </w:rPr>
        <w:t>Fact Sheet 2023</w:t>
      </w:r>
      <w:r w:rsidRPr="0093112E">
        <w:rPr>
          <w:rFonts w:cs="Times New Roman"/>
          <w:noProof/>
          <w:kern w:val="0"/>
        </w:rPr>
        <w:t>.</w:t>
      </w:r>
    </w:p>
    <w:p w14:paraId="4A22D718"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Ihudiebube-Splendor (2019) ‘Attitude and Perceived Barriers to Uptake of Human Papillomavirus Vaccine among Female Students in a Nigerian Tertiary Institution’, </w:t>
      </w:r>
      <w:r w:rsidRPr="0093112E">
        <w:rPr>
          <w:rFonts w:cs="Times New Roman"/>
          <w:i/>
          <w:iCs/>
          <w:noProof/>
          <w:kern w:val="0"/>
        </w:rPr>
        <w:t>International Journal of Medical Research &amp; Health Sciences,</w:t>
      </w:r>
      <w:r w:rsidRPr="0093112E">
        <w:rPr>
          <w:rFonts w:cs="Times New Roman"/>
          <w:noProof/>
          <w:kern w:val="0"/>
        </w:rPr>
        <w:t xml:space="preserve"> pp. 85–92. Available at: www.ijmrhs.com.</w:t>
      </w:r>
    </w:p>
    <w:p w14:paraId="35A2A2EA"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LaMontagne, D.S. </w:t>
      </w:r>
      <w:r w:rsidRPr="0093112E">
        <w:rPr>
          <w:rFonts w:cs="Times New Roman"/>
          <w:i/>
          <w:iCs/>
          <w:noProof/>
          <w:kern w:val="0"/>
        </w:rPr>
        <w:t>et al.</w:t>
      </w:r>
      <w:r w:rsidRPr="0093112E">
        <w:rPr>
          <w:rFonts w:cs="Times New Roman"/>
          <w:noProof/>
          <w:kern w:val="0"/>
        </w:rPr>
        <w:t xml:space="preserve"> (2017) ‘Progress in HPV vaccination in low- and lower-middle-income countries’, </w:t>
      </w:r>
      <w:r w:rsidRPr="0093112E">
        <w:rPr>
          <w:rFonts w:cs="Times New Roman"/>
          <w:i/>
          <w:iCs/>
          <w:noProof/>
          <w:kern w:val="0"/>
        </w:rPr>
        <w:t>International Journal of Gynecology and Obstetrics</w:t>
      </w:r>
      <w:r w:rsidRPr="0093112E">
        <w:rPr>
          <w:rFonts w:cs="Times New Roman"/>
          <w:noProof/>
          <w:kern w:val="0"/>
        </w:rPr>
        <w:t>, 138, pp. 7–14. Available at: https://doi.org/10.1002/IJGO.12186.</w:t>
      </w:r>
    </w:p>
    <w:p w14:paraId="3B50B3C4"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Murewanhema, G. </w:t>
      </w:r>
      <w:r w:rsidRPr="0093112E">
        <w:rPr>
          <w:rFonts w:cs="Times New Roman"/>
          <w:i/>
          <w:iCs/>
          <w:noProof/>
          <w:kern w:val="0"/>
        </w:rPr>
        <w:t>et al.</w:t>
      </w:r>
      <w:r w:rsidRPr="0093112E">
        <w:rPr>
          <w:rFonts w:cs="Times New Roman"/>
          <w:noProof/>
          <w:kern w:val="0"/>
        </w:rPr>
        <w:t xml:space="preserve"> (2024) ‘Human papilloma virus vaccination in the resource-limited settings of sub-Saharan Africa: Challenges and recommendations’, </w:t>
      </w:r>
      <w:r w:rsidRPr="0093112E">
        <w:rPr>
          <w:rFonts w:cs="Times New Roman"/>
          <w:i/>
          <w:iCs/>
          <w:noProof/>
          <w:kern w:val="0"/>
        </w:rPr>
        <w:t>Vaccine: X</w:t>
      </w:r>
      <w:r w:rsidRPr="0093112E">
        <w:rPr>
          <w:rFonts w:cs="Times New Roman"/>
          <w:noProof/>
          <w:kern w:val="0"/>
        </w:rPr>
        <w:t>, 20(August), p. 100549. Available at: https://doi.org/10.1016/j.jvacx.2024.100549.</w:t>
      </w:r>
    </w:p>
    <w:p w14:paraId="220D27FE"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Nguyen, N.Y. </w:t>
      </w:r>
      <w:r w:rsidRPr="0093112E">
        <w:rPr>
          <w:rFonts w:cs="Times New Roman"/>
          <w:i/>
          <w:iCs/>
          <w:noProof/>
          <w:kern w:val="0"/>
        </w:rPr>
        <w:t>et al.</w:t>
      </w:r>
      <w:r w:rsidRPr="0093112E">
        <w:rPr>
          <w:rFonts w:cs="Times New Roman"/>
          <w:noProof/>
          <w:kern w:val="0"/>
        </w:rPr>
        <w:t xml:space="preserve"> (2020) ‘Identifying perceived barriers to human papillomavirus vaccination as a preventative strategy for cervical cancer in Nigeria’, </w:t>
      </w:r>
      <w:r w:rsidRPr="0093112E">
        <w:rPr>
          <w:rFonts w:cs="Times New Roman"/>
          <w:i/>
          <w:iCs/>
          <w:noProof/>
          <w:kern w:val="0"/>
        </w:rPr>
        <w:t>Annals of Global Health</w:t>
      </w:r>
      <w:r w:rsidRPr="0093112E">
        <w:rPr>
          <w:rFonts w:cs="Times New Roman"/>
          <w:noProof/>
          <w:kern w:val="0"/>
        </w:rPr>
        <w:t>, 86(1), pp. 1–8. Available at: https://doi.org/10.5334/aogh.2890.</w:t>
      </w:r>
    </w:p>
    <w:p w14:paraId="6DC4012E"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Okagbue, H.I. </w:t>
      </w:r>
      <w:r w:rsidRPr="0093112E">
        <w:rPr>
          <w:rFonts w:cs="Times New Roman"/>
          <w:i/>
          <w:iCs/>
          <w:noProof/>
          <w:kern w:val="0"/>
        </w:rPr>
        <w:t>et al.</w:t>
      </w:r>
      <w:r w:rsidRPr="0093112E">
        <w:rPr>
          <w:rFonts w:cs="Times New Roman"/>
          <w:noProof/>
          <w:kern w:val="0"/>
        </w:rPr>
        <w:t xml:space="preserve"> (2025a) ‘Predictors of willingness of HPV vaccine uptake across Eight States in Nigeria’, </w:t>
      </w:r>
      <w:r w:rsidRPr="0093112E">
        <w:rPr>
          <w:rFonts w:cs="Times New Roman"/>
          <w:i/>
          <w:iCs/>
          <w:noProof/>
          <w:kern w:val="0"/>
        </w:rPr>
        <w:t>BMC Public Health</w:t>
      </w:r>
      <w:r w:rsidRPr="0093112E">
        <w:rPr>
          <w:rFonts w:cs="Times New Roman"/>
          <w:noProof/>
          <w:kern w:val="0"/>
        </w:rPr>
        <w:t>, 25(1). Available at: https://doi.org/10.1186/s12889-025-22000-2.</w:t>
      </w:r>
    </w:p>
    <w:p w14:paraId="136E2D9C"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Okagbue, H.I. </w:t>
      </w:r>
      <w:r w:rsidRPr="0093112E">
        <w:rPr>
          <w:rFonts w:cs="Times New Roman"/>
          <w:i/>
          <w:iCs/>
          <w:noProof/>
          <w:kern w:val="0"/>
        </w:rPr>
        <w:t>et al.</w:t>
      </w:r>
      <w:r w:rsidRPr="0093112E">
        <w:rPr>
          <w:rFonts w:cs="Times New Roman"/>
          <w:noProof/>
          <w:kern w:val="0"/>
        </w:rPr>
        <w:t xml:space="preserve"> (2025b) ‘Predictors of willingness of HPV vaccine uptake across Eight States in Nigeria’, </w:t>
      </w:r>
      <w:r w:rsidRPr="0093112E">
        <w:rPr>
          <w:rFonts w:cs="Times New Roman"/>
          <w:i/>
          <w:iCs/>
          <w:noProof/>
          <w:kern w:val="0"/>
        </w:rPr>
        <w:t>BMC Public Health</w:t>
      </w:r>
      <w:r w:rsidRPr="0093112E">
        <w:rPr>
          <w:rFonts w:cs="Times New Roman"/>
          <w:noProof/>
          <w:kern w:val="0"/>
        </w:rPr>
        <w:t>, 25(1). Available at: https://doi.org/10.1186/S12889-025-22000-2.</w:t>
      </w:r>
    </w:p>
    <w:p w14:paraId="04D882BB"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Okunowo, A.A. </w:t>
      </w:r>
      <w:r w:rsidRPr="0093112E">
        <w:rPr>
          <w:rFonts w:cs="Times New Roman"/>
          <w:i/>
          <w:iCs/>
          <w:noProof/>
          <w:kern w:val="0"/>
        </w:rPr>
        <w:t>et al.</w:t>
      </w:r>
      <w:r w:rsidRPr="0093112E">
        <w:rPr>
          <w:rFonts w:cs="Times New Roman"/>
          <w:noProof/>
          <w:kern w:val="0"/>
        </w:rPr>
        <w:t xml:space="preserve"> (2021) ‘Predictors, barriers and motivating factors for human papillomavirus vaccination and testing as preventive measures for cervical cancer: A study of urban women in </w:t>
      </w:r>
      <w:r w:rsidRPr="0093112E">
        <w:rPr>
          <w:rFonts w:cs="Times New Roman"/>
          <w:noProof/>
          <w:kern w:val="0"/>
        </w:rPr>
        <w:lastRenderedPageBreak/>
        <w:t xml:space="preserve">Lagos, Nigeria’, </w:t>
      </w:r>
      <w:r w:rsidRPr="0093112E">
        <w:rPr>
          <w:rFonts w:cs="Times New Roman"/>
          <w:i/>
          <w:iCs/>
          <w:noProof/>
          <w:kern w:val="0"/>
        </w:rPr>
        <w:t>Preventive Medicine Reports</w:t>
      </w:r>
      <w:r w:rsidRPr="0093112E">
        <w:rPr>
          <w:rFonts w:cs="Times New Roman"/>
          <w:noProof/>
          <w:kern w:val="0"/>
        </w:rPr>
        <w:t>, 24(November), p. 101643. Available at: https://doi.org/10.1016/j.pmedr.2021.101643.</w:t>
      </w:r>
    </w:p>
    <w:p w14:paraId="011BF73C"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Onowhakpor, A.O. </w:t>
      </w:r>
      <w:r w:rsidRPr="0093112E">
        <w:rPr>
          <w:rFonts w:cs="Times New Roman"/>
          <w:i/>
          <w:iCs/>
          <w:noProof/>
          <w:kern w:val="0"/>
        </w:rPr>
        <w:t>et al.</w:t>
      </w:r>
      <w:r w:rsidRPr="0093112E">
        <w:rPr>
          <w:rFonts w:cs="Times New Roman"/>
          <w:noProof/>
          <w:kern w:val="0"/>
        </w:rPr>
        <w:t xml:space="preserve"> (2016) ‘Human Papilloma Virus vaccination: knowledge, attitude and uptake among female medical and dental students in a tertiary institution in Benin-City, Nigeria’, </w:t>
      </w:r>
      <w:r w:rsidRPr="0093112E">
        <w:rPr>
          <w:rFonts w:cs="Times New Roman"/>
          <w:i/>
          <w:iCs/>
          <w:noProof/>
          <w:kern w:val="0"/>
        </w:rPr>
        <w:t>Journal of Community Medicine and Primary Health Care</w:t>
      </w:r>
      <w:r w:rsidRPr="0093112E">
        <w:rPr>
          <w:rFonts w:cs="Times New Roman"/>
          <w:noProof/>
          <w:kern w:val="0"/>
        </w:rPr>
        <w:t>, 28(2), pp. 101–108. Available at: https://www.ajol.info/index.php/jcmphc/article/view/154702.</w:t>
      </w:r>
    </w:p>
    <w:p w14:paraId="28E86E39"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Onowhakpor A.O </w:t>
      </w:r>
      <w:r w:rsidRPr="0093112E">
        <w:rPr>
          <w:rFonts w:cs="Times New Roman"/>
          <w:i/>
          <w:iCs/>
          <w:noProof/>
          <w:kern w:val="0"/>
        </w:rPr>
        <w:t>et al.</w:t>
      </w:r>
      <w:r w:rsidRPr="0093112E">
        <w:rPr>
          <w:rFonts w:cs="Times New Roman"/>
          <w:noProof/>
          <w:kern w:val="0"/>
        </w:rPr>
        <w:t xml:space="preserve"> (2016) ‘Human Papilloma Virus Vaccination: Knowledge, Attitude and Uptake  among Female Medical and Dental Students in a Tertiary Institution  in Benin-City, Nigeria.’, </w:t>
      </w:r>
      <w:r w:rsidRPr="0093112E">
        <w:rPr>
          <w:rFonts w:cs="Times New Roman"/>
          <w:i/>
          <w:iCs/>
          <w:noProof/>
          <w:kern w:val="0"/>
        </w:rPr>
        <w:t xml:space="preserve"> Journal of Community Medicine and Primary Health Care.</w:t>
      </w:r>
      <w:r w:rsidRPr="0093112E">
        <w:rPr>
          <w:rFonts w:cs="Times New Roman"/>
          <w:noProof/>
          <w:kern w:val="0"/>
        </w:rPr>
        <w:t>, 28(2), pp. 101–108.</w:t>
      </w:r>
    </w:p>
    <w:p w14:paraId="77D947BD"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Park, Y. </w:t>
      </w:r>
      <w:r w:rsidRPr="0093112E">
        <w:rPr>
          <w:rFonts w:cs="Times New Roman"/>
          <w:i/>
          <w:iCs/>
          <w:noProof/>
          <w:kern w:val="0"/>
        </w:rPr>
        <w:t>et al.</w:t>
      </w:r>
      <w:r w:rsidRPr="0093112E">
        <w:rPr>
          <w:rFonts w:cs="Times New Roman"/>
          <w:noProof/>
          <w:kern w:val="0"/>
        </w:rPr>
        <w:t xml:space="preserve"> (2023) ‘Parental Factors Affecting Decision to Vaccinate Their Daughters against Human Papillomavirus’, </w:t>
      </w:r>
      <w:r w:rsidRPr="0093112E">
        <w:rPr>
          <w:rFonts w:cs="Times New Roman"/>
          <w:i/>
          <w:iCs/>
          <w:noProof/>
          <w:kern w:val="0"/>
        </w:rPr>
        <w:t>Cancer Prevention Research</w:t>
      </w:r>
      <w:r w:rsidRPr="0093112E">
        <w:rPr>
          <w:rFonts w:cs="Times New Roman"/>
          <w:noProof/>
          <w:kern w:val="0"/>
        </w:rPr>
        <w:t>, 16(3), pp. 133–138. Available at: https://doi.org/10.1158/1940-6207.CAPR-22-0412.</w:t>
      </w:r>
    </w:p>
    <w:p w14:paraId="65A20A7E"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Thanasa, E. </w:t>
      </w:r>
      <w:r w:rsidRPr="0093112E">
        <w:rPr>
          <w:rFonts w:cs="Times New Roman"/>
          <w:i/>
          <w:iCs/>
          <w:noProof/>
          <w:kern w:val="0"/>
        </w:rPr>
        <w:t>et al.</w:t>
      </w:r>
      <w:r w:rsidRPr="0093112E">
        <w:rPr>
          <w:rFonts w:cs="Times New Roman"/>
          <w:noProof/>
          <w:kern w:val="0"/>
        </w:rPr>
        <w:t xml:space="preserve"> (2022) ‘Awareness Regarding Human Papilloma Virus Among Health Professionals and Will to Accept Vaccination: A Systematic Review.’, </w:t>
      </w:r>
      <w:r w:rsidRPr="0093112E">
        <w:rPr>
          <w:rFonts w:cs="Times New Roman"/>
          <w:i/>
          <w:iCs/>
          <w:noProof/>
          <w:kern w:val="0"/>
        </w:rPr>
        <w:t>Cureus</w:t>
      </w:r>
      <w:r w:rsidRPr="0093112E">
        <w:rPr>
          <w:rFonts w:cs="Times New Roman"/>
          <w:noProof/>
          <w:kern w:val="0"/>
        </w:rPr>
        <w:t>, 14(10), p. e30855. Available at: https://doi.org/10.7759/cureus.30855.</w:t>
      </w:r>
    </w:p>
    <w:p w14:paraId="14796A81"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Williamson, A.L. (2023) ‘Recent Developments in Human Papillomavirus (HPV) Vaccinology’, </w:t>
      </w:r>
      <w:r w:rsidRPr="0093112E">
        <w:rPr>
          <w:rFonts w:cs="Times New Roman"/>
          <w:i/>
          <w:iCs/>
          <w:noProof/>
          <w:kern w:val="0"/>
        </w:rPr>
        <w:t>Viruses</w:t>
      </w:r>
      <w:r w:rsidRPr="0093112E">
        <w:rPr>
          <w:rFonts w:cs="Times New Roman"/>
          <w:noProof/>
          <w:kern w:val="0"/>
        </w:rPr>
        <w:t>, 15(7), p. 1440. Available at: https://doi.org/10.3390/V15071440.</w:t>
      </w:r>
    </w:p>
    <w:p w14:paraId="10F78B77"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World health organisation (2023) </w:t>
      </w:r>
      <w:r w:rsidRPr="0093112E">
        <w:rPr>
          <w:rFonts w:cs="Times New Roman"/>
          <w:i/>
          <w:iCs/>
          <w:noProof/>
          <w:kern w:val="0"/>
        </w:rPr>
        <w:t>WHO guideline for screening and treatment of cervical pre-cancer lesions for cervical cancer prevention use of mRNA tests for human papillomavirus (HPV).</w:t>
      </w:r>
    </w:p>
    <w:p w14:paraId="03AE1B57"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World Health Organization (2016) ‘Scaling-up HPV vaccine introduction’, </w:t>
      </w:r>
      <w:r w:rsidRPr="0093112E">
        <w:rPr>
          <w:rFonts w:cs="Times New Roman"/>
          <w:i/>
          <w:iCs/>
          <w:noProof/>
          <w:kern w:val="0"/>
        </w:rPr>
        <w:t>National Health Programs. I.World Health Organization</w:t>
      </w:r>
      <w:r w:rsidRPr="0093112E">
        <w:rPr>
          <w:rFonts w:cs="Times New Roman"/>
          <w:noProof/>
          <w:kern w:val="0"/>
        </w:rPr>
        <w:t>, 1, pp. 1–64.</w:t>
      </w:r>
    </w:p>
    <w:p w14:paraId="495B9A8B"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World Health Organization (2020) ‘Global strategy to accelerate the elimination of cervical cancer as a public health problem’, </w:t>
      </w:r>
      <w:r w:rsidRPr="0093112E">
        <w:rPr>
          <w:rFonts w:cs="Times New Roman"/>
          <w:i/>
          <w:iCs/>
          <w:noProof/>
          <w:kern w:val="0"/>
        </w:rPr>
        <w:t>World Health Organization</w:t>
      </w:r>
      <w:r w:rsidRPr="0093112E">
        <w:rPr>
          <w:rFonts w:cs="Times New Roman"/>
          <w:noProof/>
          <w:kern w:val="0"/>
        </w:rPr>
        <w:t>, pp. 1–56. Available at: https://www.who.int/publications/i/item/9789240014107 (Accessed: 26 April 2025).</w:t>
      </w:r>
    </w:p>
    <w:p w14:paraId="5A449A57" w14:textId="77777777" w:rsidR="0093112E" w:rsidRPr="0093112E" w:rsidRDefault="0093112E" w:rsidP="0093112E">
      <w:pPr>
        <w:widowControl w:val="0"/>
        <w:autoSpaceDE w:val="0"/>
        <w:autoSpaceDN w:val="0"/>
        <w:adjustRightInd w:val="0"/>
        <w:spacing w:line="240" w:lineRule="auto"/>
        <w:rPr>
          <w:rFonts w:cs="Times New Roman"/>
          <w:noProof/>
        </w:rPr>
      </w:pPr>
      <w:r w:rsidRPr="0093112E">
        <w:rPr>
          <w:rFonts w:cs="Times New Roman"/>
          <w:noProof/>
          <w:kern w:val="0"/>
        </w:rPr>
        <w:t xml:space="preserve">Yusuf, K.K. </w:t>
      </w:r>
      <w:r w:rsidRPr="0093112E">
        <w:rPr>
          <w:rFonts w:cs="Times New Roman"/>
          <w:i/>
          <w:iCs/>
          <w:noProof/>
          <w:kern w:val="0"/>
        </w:rPr>
        <w:t>et al.</w:t>
      </w:r>
      <w:r w:rsidRPr="0093112E">
        <w:rPr>
          <w:rFonts w:cs="Times New Roman"/>
          <w:noProof/>
          <w:kern w:val="0"/>
        </w:rPr>
        <w:t xml:space="preserve"> (2024) ‘HPV vaccine hesitancy among parents and caregivers of adolescents in Northern Nigeria’, </w:t>
      </w:r>
      <w:r w:rsidRPr="0093112E">
        <w:rPr>
          <w:rFonts w:cs="Times New Roman"/>
          <w:i/>
          <w:iCs/>
          <w:noProof/>
          <w:kern w:val="0"/>
        </w:rPr>
        <w:t>Vaccine: X</w:t>
      </w:r>
      <w:r w:rsidRPr="0093112E">
        <w:rPr>
          <w:rFonts w:cs="Times New Roman"/>
          <w:noProof/>
          <w:kern w:val="0"/>
        </w:rPr>
        <w:t>, 21, p. 100591. Available at: https://doi.org/10.1016/J.JVACX.2024.100591.</w:t>
      </w:r>
    </w:p>
    <w:p w14:paraId="15B5B727" w14:textId="7F71DBD3" w:rsidR="00084A63" w:rsidRPr="00C6358B" w:rsidRDefault="00083BFB" w:rsidP="003E5650">
      <w:pPr>
        <w:widowControl w:val="0"/>
        <w:autoSpaceDE w:val="0"/>
        <w:autoSpaceDN w:val="0"/>
        <w:adjustRightInd w:val="0"/>
        <w:spacing w:line="240" w:lineRule="auto"/>
        <w:rPr>
          <w:rFonts w:cs="Times New Roman"/>
          <w:lang w:val="en-GB"/>
        </w:rPr>
      </w:pPr>
      <w:r w:rsidRPr="00C6358B">
        <w:rPr>
          <w:rFonts w:cs="Times New Roman"/>
          <w:lang w:val="en-GB"/>
        </w:rPr>
        <w:fldChar w:fldCharType="end"/>
      </w:r>
      <w:bookmarkEnd w:id="9"/>
      <w:bookmarkEnd w:id="10"/>
      <w:bookmarkEnd w:id="11"/>
    </w:p>
    <w:sectPr w:rsidR="00084A63" w:rsidRPr="00C635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20BEF" w14:textId="77777777" w:rsidR="00083BFB" w:rsidRDefault="00083BFB">
      <w:pPr>
        <w:spacing w:line="240" w:lineRule="auto"/>
      </w:pPr>
      <w:r>
        <w:separator/>
      </w:r>
    </w:p>
  </w:endnote>
  <w:endnote w:type="continuationSeparator" w:id="0">
    <w:p w14:paraId="256F1F4E" w14:textId="77777777" w:rsidR="00083BFB" w:rsidRDefault="00083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FAC6" w14:textId="77777777" w:rsidR="007744BC" w:rsidRDefault="0077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038723"/>
    </w:sdtPr>
    <w:sdtEndPr/>
    <w:sdtContent>
      <w:p w14:paraId="6DD35507" w14:textId="77777777" w:rsidR="00084A63" w:rsidRDefault="00083BFB">
        <w:pPr>
          <w:pStyle w:val="Footer"/>
          <w:jc w:val="right"/>
        </w:pPr>
        <w:r>
          <w:fldChar w:fldCharType="begin"/>
        </w:r>
        <w:r>
          <w:instrText xml:space="preserve"> PAGE   \* MERGEFORMAT </w:instrText>
        </w:r>
        <w:r>
          <w:fldChar w:fldCharType="separate"/>
        </w:r>
        <w:r>
          <w:t>1</w:t>
        </w:r>
        <w:r>
          <w:fldChar w:fldCharType="end"/>
        </w:r>
      </w:p>
    </w:sdtContent>
  </w:sdt>
  <w:p w14:paraId="5F71F037" w14:textId="77777777" w:rsidR="00084A63" w:rsidRDefault="00084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A0D7" w14:textId="77777777" w:rsidR="007744BC" w:rsidRDefault="007744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10892"/>
    </w:sdtPr>
    <w:sdtEndPr/>
    <w:sdtContent>
      <w:p w14:paraId="4B7DB1B8" w14:textId="77777777" w:rsidR="00084A63" w:rsidRDefault="00083BFB">
        <w:pPr>
          <w:pStyle w:val="Footer"/>
          <w:jc w:val="right"/>
        </w:pPr>
        <w:r>
          <w:fldChar w:fldCharType="begin"/>
        </w:r>
        <w:r>
          <w:instrText xml:space="preserve"> PAGE </w:instrText>
        </w:r>
        <w:r>
          <w:instrText xml:space="preserve">  \* MERGEFORMAT </w:instrText>
        </w:r>
        <w:r>
          <w:fldChar w:fldCharType="separate"/>
        </w:r>
        <w:r>
          <w:t>1</w:t>
        </w:r>
        <w:r>
          <w:fldChar w:fldCharType="end"/>
        </w:r>
      </w:p>
    </w:sdtContent>
  </w:sdt>
  <w:p w14:paraId="3017B6B0" w14:textId="77777777" w:rsidR="00084A63" w:rsidRDefault="0008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8A895" w14:textId="77777777" w:rsidR="00083BFB" w:rsidRDefault="00083BFB">
      <w:pPr>
        <w:spacing w:after="0"/>
      </w:pPr>
      <w:r>
        <w:separator/>
      </w:r>
    </w:p>
  </w:footnote>
  <w:footnote w:type="continuationSeparator" w:id="0">
    <w:p w14:paraId="16A6FC91" w14:textId="77777777" w:rsidR="00083BFB" w:rsidRDefault="00083B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AEAE" w14:textId="1A32BAFA" w:rsidR="007744BC" w:rsidRDefault="007744BC">
    <w:pPr>
      <w:pStyle w:val="Header"/>
    </w:pPr>
    <w:r>
      <w:rPr>
        <w:noProof/>
      </w:rPr>
      <w:pict w14:anchorId="14C66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6DD4" w14:textId="5ADD1C41" w:rsidR="007744BC" w:rsidRDefault="007744BC">
    <w:pPr>
      <w:pStyle w:val="Header"/>
    </w:pPr>
    <w:r>
      <w:rPr>
        <w:noProof/>
      </w:rPr>
      <w:pict w14:anchorId="1460A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E2E8" w14:textId="0CCFB3A3" w:rsidR="007744BC" w:rsidRDefault="007744BC">
    <w:pPr>
      <w:pStyle w:val="Header"/>
    </w:pPr>
    <w:r>
      <w:rPr>
        <w:noProof/>
      </w:rPr>
      <w:pict w14:anchorId="43CF8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90FA" w14:textId="48FB111A" w:rsidR="007744BC" w:rsidRDefault="007744BC">
    <w:pPr>
      <w:pStyle w:val="Header"/>
    </w:pPr>
    <w:r>
      <w:rPr>
        <w:noProof/>
      </w:rPr>
      <w:pict w14:anchorId="62DCB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6" o:spid="_x0000_s2053" type="#_x0000_t136" style="position:absolute;left:0;text-align:left;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F97B" w14:textId="10B863E2" w:rsidR="007744BC" w:rsidRDefault="007744BC">
    <w:pPr>
      <w:pStyle w:val="Header"/>
    </w:pPr>
    <w:r>
      <w:rPr>
        <w:noProof/>
      </w:rPr>
      <w:pict w14:anchorId="07778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7" o:spid="_x0000_s2054" type="#_x0000_t136" style="position:absolute;left:0;text-align:left;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5C0B" w14:textId="1ACA0E1A" w:rsidR="007744BC" w:rsidRDefault="007744BC">
    <w:pPr>
      <w:pStyle w:val="Header"/>
    </w:pPr>
    <w:r>
      <w:rPr>
        <w:noProof/>
      </w:rPr>
      <w:pict w14:anchorId="73C65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5" o:spid="_x0000_s2052" type="#_x0000_t136" style="position:absolute;left:0;text-align:left;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F435B"/>
    <w:multiLevelType w:val="multilevel"/>
    <w:tmpl w:val="440F4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437B48"/>
    <w:multiLevelType w:val="multilevel"/>
    <w:tmpl w:val="4B437B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6F4F6FE8"/>
    <w:multiLevelType w:val="multilevel"/>
    <w:tmpl w:val="E03C003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1F"/>
    <w:rsid w:val="000126AF"/>
    <w:rsid w:val="00016C66"/>
    <w:rsid w:val="00022B5C"/>
    <w:rsid w:val="00035705"/>
    <w:rsid w:val="00042335"/>
    <w:rsid w:val="000662AD"/>
    <w:rsid w:val="00072B60"/>
    <w:rsid w:val="00083BFB"/>
    <w:rsid w:val="00084A63"/>
    <w:rsid w:val="00095284"/>
    <w:rsid w:val="000B0330"/>
    <w:rsid w:val="000C76BA"/>
    <w:rsid w:val="000D2589"/>
    <w:rsid w:val="000E38BF"/>
    <w:rsid w:val="000E7CB9"/>
    <w:rsid w:val="0010064E"/>
    <w:rsid w:val="00117FA8"/>
    <w:rsid w:val="0012052E"/>
    <w:rsid w:val="00133C54"/>
    <w:rsid w:val="001462F6"/>
    <w:rsid w:val="00165242"/>
    <w:rsid w:val="00185748"/>
    <w:rsid w:val="00192807"/>
    <w:rsid w:val="00194836"/>
    <w:rsid w:val="001A3C55"/>
    <w:rsid w:val="001D1359"/>
    <w:rsid w:val="001E0D7A"/>
    <w:rsid w:val="001E17B1"/>
    <w:rsid w:val="001E6593"/>
    <w:rsid w:val="001F3EDB"/>
    <w:rsid w:val="00213FB3"/>
    <w:rsid w:val="002348D6"/>
    <w:rsid w:val="002358DD"/>
    <w:rsid w:val="00237D73"/>
    <w:rsid w:val="002435CE"/>
    <w:rsid w:val="00243869"/>
    <w:rsid w:val="002446D0"/>
    <w:rsid w:val="0028495C"/>
    <w:rsid w:val="00290A24"/>
    <w:rsid w:val="002975CA"/>
    <w:rsid w:val="002B6C50"/>
    <w:rsid w:val="002C478F"/>
    <w:rsid w:val="002E2855"/>
    <w:rsid w:val="002E2DA9"/>
    <w:rsid w:val="00310C55"/>
    <w:rsid w:val="00312BFA"/>
    <w:rsid w:val="00322E2F"/>
    <w:rsid w:val="0032785B"/>
    <w:rsid w:val="00345DB5"/>
    <w:rsid w:val="00346D53"/>
    <w:rsid w:val="00347157"/>
    <w:rsid w:val="00347ABC"/>
    <w:rsid w:val="00361B23"/>
    <w:rsid w:val="0037297E"/>
    <w:rsid w:val="00383EF7"/>
    <w:rsid w:val="003A11EC"/>
    <w:rsid w:val="003A49C8"/>
    <w:rsid w:val="003B7299"/>
    <w:rsid w:val="003E2F35"/>
    <w:rsid w:val="003E5650"/>
    <w:rsid w:val="00403402"/>
    <w:rsid w:val="00440544"/>
    <w:rsid w:val="00444F37"/>
    <w:rsid w:val="004475F7"/>
    <w:rsid w:val="00465A52"/>
    <w:rsid w:val="0047665B"/>
    <w:rsid w:val="00482C6E"/>
    <w:rsid w:val="00496B88"/>
    <w:rsid w:val="004A383E"/>
    <w:rsid w:val="004B1E28"/>
    <w:rsid w:val="004B61A1"/>
    <w:rsid w:val="004D09DC"/>
    <w:rsid w:val="004D1A05"/>
    <w:rsid w:val="0051662D"/>
    <w:rsid w:val="00517B0F"/>
    <w:rsid w:val="00527341"/>
    <w:rsid w:val="0054387B"/>
    <w:rsid w:val="005801A8"/>
    <w:rsid w:val="005B1AD1"/>
    <w:rsid w:val="005C41E2"/>
    <w:rsid w:val="005D403A"/>
    <w:rsid w:val="005E049D"/>
    <w:rsid w:val="00607877"/>
    <w:rsid w:val="00624E55"/>
    <w:rsid w:val="0063301F"/>
    <w:rsid w:val="00637C12"/>
    <w:rsid w:val="00637EAA"/>
    <w:rsid w:val="006464FE"/>
    <w:rsid w:val="00684DF8"/>
    <w:rsid w:val="006933E7"/>
    <w:rsid w:val="006B1AAB"/>
    <w:rsid w:val="006C1F50"/>
    <w:rsid w:val="006D0A1E"/>
    <w:rsid w:val="006D1F3B"/>
    <w:rsid w:val="006D3DD4"/>
    <w:rsid w:val="006F3C9B"/>
    <w:rsid w:val="007006D3"/>
    <w:rsid w:val="0070579F"/>
    <w:rsid w:val="0070600C"/>
    <w:rsid w:val="007107DA"/>
    <w:rsid w:val="00714434"/>
    <w:rsid w:val="00752ECB"/>
    <w:rsid w:val="007744BC"/>
    <w:rsid w:val="00780F0D"/>
    <w:rsid w:val="00786209"/>
    <w:rsid w:val="007B1244"/>
    <w:rsid w:val="007C4CF2"/>
    <w:rsid w:val="007E6C5E"/>
    <w:rsid w:val="007E6C91"/>
    <w:rsid w:val="007F63CA"/>
    <w:rsid w:val="00815EDA"/>
    <w:rsid w:val="008319D0"/>
    <w:rsid w:val="00831BDD"/>
    <w:rsid w:val="00834519"/>
    <w:rsid w:val="0084201F"/>
    <w:rsid w:val="00842097"/>
    <w:rsid w:val="008441F4"/>
    <w:rsid w:val="0089606C"/>
    <w:rsid w:val="008A28E1"/>
    <w:rsid w:val="008B5061"/>
    <w:rsid w:val="008D71F7"/>
    <w:rsid w:val="008E1841"/>
    <w:rsid w:val="008F03EE"/>
    <w:rsid w:val="008F6A49"/>
    <w:rsid w:val="00903F87"/>
    <w:rsid w:val="00904C21"/>
    <w:rsid w:val="009176DD"/>
    <w:rsid w:val="00927440"/>
    <w:rsid w:val="0093112E"/>
    <w:rsid w:val="00932CC1"/>
    <w:rsid w:val="00942CC0"/>
    <w:rsid w:val="00954CC6"/>
    <w:rsid w:val="00956A20"/>
    <w:rsid w:val="00966B52"/>
    <w:rsid w:val="00983A96"/>
    <w:rsid w:val="00A065CC"/>
    <w:rsid w:val="00A104C2"/>
    <w:rsid w:val="00A3210A"/>
    <w:rsid w:val="00A42C13"/>
    <w:rsid w:val="00A727FD"/>
    <w:rsid w:val="00A75D43"/>
    <w:rsid w:val="00A80F37"/>
    <w:rsid w:val="00A857BA"/>
    <w:rsid w:val="00A8626A"/>
    <w:rsid w:val="00A875A6"/>
    <w:rsid w:val="00A90117"/>
    <w:rsid w:val="00AA323A"/>
    <w:rsid w:val="00AA7F09"/>
    <w:rsid w:val="00AC1788"/>
    <w:rsid w:val="00AC4841"/>
    <w:rsid w:val="00AF51E0"/>
    <w:rsid w:val="00AF6518"/>
    <w:rsid w:val="00B1101D"/>
    <w:rsid w:val="00B13BCD"/>
    <w:rsid w:val="00B239FB"/>
    <w:rsid w:val="00B532C2"/>
    <w:rsid w:val="00B57A1C"/>
    <w:rsid w:val="00B661A4"/>
    <w:rsid w:val="00B81C94"/>
    <w:rsid w:val="00B87031"/>
    <w:rsid w:val="00B9491E"/>
    <w:rsid w:val="00B97722"/>
    <w:rsid w:val="00BA79DF"/>
    <w:rsid w:val="00BB3407"/>
    <w:rsid w:val="00BB7425"/>
    <w:rsid w:val="00BC5489"/>
    <w:rsid w:val="00BE4E9F"/>
    <w:rsid w:val="00BE6B14"/>
    <w:rsid w:val="00BE7268"/>
    <w:rsid w:val="00C252C2"/>
    <w:rsid w:val="00C259B1"/>
    <w:rsid w:val="00C3249B"/>
    <w:rsid w:val="00C44E07"/>
    <w:rsid w:val="00C6358B"/>
    <w:rsid w:val="00CA1454"/>
    <w:rsid w:val="00CB0276"/>
    <w:rsid w:val="00CB0B0C"/>
    <w:rsid w:val="00CD55C9"/>
    <w:rsid w:val="00D1523E"/>
    <w:rsid w:val="00D25A57"/>
    <w:rsid w:val="00D278DA"/>
    <w:rsid w:val="00D53B54"/>
    <w:rsid w:val="00D60D8B"/>
    <w:rsid w:val="00D632EB"/>
    <w:rsid w:val="00D86E24"/>
    <w:rsid w:val="00DA4215"/>
    <w:rsid w:val="00DB41E8"/>
    <w:rsid w:val="00DB6F03"/>
    <w:rsid w:val="00DB76AF"/>
    <w:rsid w:val="00DD014D"/>
    <w:rsid w:val="00DD799F"/>
    <w:rsid w:val="00DE0882"/>
    <w:rsid w:val="00DF05C0"/>
    <w:rsid w:val="00DF32EE"/>
    <w:rsid w:val="00E13DD8"/>
    <w:rsid w:val="00E3216D"/>
    <w:rsid w:val="00E55121"/>
    <w:rsid w:val="00E607A7"/>
    <w:rsid w:val="00E60AAD"/>
    <w:rsid w:val="00E677B2"/>
    <w:rsid w:val="00E76781"/>
    <w:rsid w:val="00E85A56"/>
    <w:rsid w:val="00E96003"/>
    <w:rsid w:val="00EB5C77"/>
    <w:rsid w:val="00EC173D"/>
    <w:rsid w:val="00EE4DF5"/>
    <w:rsid w:val="00EF2AD3"/>
    <w:rsid w:val="00F31F78"/>
    <w:rsid w:val="00F53680"/>
    <w:rsid w:val="00F97256"/>
    <w:rsid w:val="00FA3196"/>
    <w:rsid w:val="00FC6CB6"/>
    <w:rsid w:val="00FF126C"/>
    <w:rsid w:val="00FF59B5"/>
    <w:rsid w:val="00FF5E62"/>
    <w:rsid w:val="00FF7E98"/>
    <w:rsid w:val="03ED05FD"/>
    <w:rsid w:val="0B436851"/>
    <w:rsid w:val="0EBC4F8B"/>
    <w:rsid w:val="161157B3"/>
    <w:rsid w:val="1E116FD8"/>
    <w:rsid w:val="302A788D"/>
    <w:rsid w:val="32635448"/>
    <w:rsid w:val="532E5804"/>
    <w:rsid w:val="59F87E25"/>
    <w:rsid w:val="5B043B95"/>
    <w:rsid w:val="6DEA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1C26F9"/>
  <w15:docId w15:val="{46A13C06-DF0F-4E0F-A6BB-4FF5573E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jc w:val="both"/>
    </w:pPr>
    <w:rPr>
      <w:rFonts w:ascii="Times New Roman" w:eastAsiaTheme="minorHAnsi" w:hAnsi="Times New Roman" w:cstheme="minorBidi"/>
      <w:kern w:val="2"/>
      <w:sz w:val="24"/>
      <w:szCs w:val="24"/>
      <w14:ligatures w14:val="standardContextual"/>
    </w:rPr>
  </w:style>
  <w:style w:type="paragraph" w:styleId="Heading1">
    <w:name w:val="heading 1"/>
    <w:basedOn w:val="Normal"/>
    <w:next w:val="Normal"/>
    <w:link w:val="Heading1Char"/>
    <w:autoRedefine/>
    <w:uiPriority w:val="9"/>
    <w:qFormat/>
    <w:rsid w:val="00243869"/>
    <w:pPr>
      <w:keepNext/>
      <w:keepLines/>
      <w:spacing w:before="360" w:after="80" w:line="259" w:lineRule="auto"/>
      <w:outlineLvl w:val="0"/>
    </w:pPr>
    <w:rPr>
      <w:rFonts w:eastAsia="DengXian Light" w:cs="Arial"/>
      <w:b/>
      <w:szCs w:val="22"/>
      <w:lang w:val="en-GB"/>
    </w:rPr>
  </w:style>
  <w:style w:type="paragraph" w:styleId="Heading2">
    <w:name w:val="heading 2"/>
    <w:basedOn w:val="Normal"/>
    <w:next w:val="Normal"/>
    <w:link w:val="Heading2Char"/>
    <w:autoRedefine/>
    <w:uiPriority w:val="9"/>
    <w:unhideWhenUsed/>
    <w:qFormat/>
    <w:pPr>
      <w:keepNext/>
      <w:keepLines/>
      <w:spacing w:before="160" w:after="80" w:line="259" w:lineRule="auto"/>
      <w:jc w:val="left"/>
      <w:outlineLvl w:val="1"/>
    </w:pPr>
    <w:rPr>
      <w:rFonts w:eastAsiaTheme="majorEastAsia" w:cstheme="majorBidi"/>
      <w:b/>
      <w:szCs w:val="32"/>
      <w:lang w:val="en-GB"/>
    </w:rPr>
  </w:style>
  <w:style w:type="paragraph" w:styleId="Heading3">
    <w:name w:val="heading 3"/>
    <w:basedOn w:val="Normal"/>
    <w:next w:val="Normal"/>
    <w:link w:val="Heading3Char"/>
    <w:uiPriority w:val="9"/>
    <w:unhideWhenUsed/>
    <w:qFormat/>
    <w:pPr>
      <w:keepNext/>
      <w:keepLines/>
      <w:spacing w:before="40" w:after="0" w:line="360" w:lineRule="auto"/>
      <w:outlineLvl w:val="2"/>
    </w:pPr>
    <w:rPr>
      <w:rFonts w:eastAsiaTheme="majorEastAsia" w:cstheme="majorBidi"/>
      <w:b/>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rPr>
      <w:kern w:val="0"/>
      <w:szCs w:val="22"/>
      <w14:ligatures w14:val="none"/>
    </w:rPr>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table" w:styleId="TableGrid">
    <w:name w:val="Table Grid"/>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Cs w:val="32"/>
      <w:lang w:val="en-GB"/>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rPr>
  </w:style>
  <w:style w:type="character" w:customStyle="1" w:styleId="Heading1Char">
    <w:name w:val="Heading 1 Char"/>
    <w:basedOn w:val="DefaultParagraphFont"/>
    <w:link w:val="Heading1"/>
    <w:uiPriority w:val="9"/>
    <w:qFormat/>
    <w:rsid w:val="00243869"/>
    <w:rPr>
      <w:rFonts w:ascii="Times New Roman" w:eastAsia="DengXian Light" w:hAnsi="Times New Roman" w:cs="Arial"/>
      <w:b/>
      <w:kern w:val="2"/>
      <w:sz w:val="24"/>
      <w:szCs w:val="22"/>
      <w:lang w:val="en-GB"/>
      <w14:ligatures w14:val="standardContextual"/>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rFonts w:ascii="Times New Roman" w:hAnsi="Times New Roman"/>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FooterChar">
    <w:name w:val="Footer Char"/>
    <w:basedOn w:val="DefaultParagraphFont"/>
    <w:link w:val="Footer"/>
    <w:uiPriority w:val="99"/>
    <w:qFormat/>
    <w:rPr>
      <w:rFonts w:ascii="Times New Roman" w:hAnsi="Times New Roman"/>
      <w:kern w:val="0"/>
      <w:szCs w:val="22"/>
      <w14:ligatures w14:val="none"/>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paragraph" w:styleId="Revision">
    <w:name w:val="Revision"/>
    <w:hidden/>
    <w:uiPriority w:val="99"/>
    <w:unhideWhenUsed/>
    <w:rsid w:val="002C478F"/>
    <w:rPr>
      <w:rFonts w:ascii="Times New Roman" w:eastAsiaTheme="minorHAnsi" w:hAnsi="Times New Roman" w:cstheme="minorBidi"/>
      <w:kern w:val="2"/>
      <w:sz w:val="24"/>
      <w:szCs w:val="24"/>
      <w14:ligatures w14:val="standardContextual"/>
    </w:rPr>
  </w:style>
  <w:style w:type="paragraph" w:styleId="Header">
    <w:name w:val="header"/>
    <w:basedOn w:val="Normal"/>
    <w:link w:val="HeaderChar"/>
    <w:uiPriority w:val="99"/>
    <w:unhideWhenUsed/>
    <w:rsid w:val="00774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BC"/>
    <w:rPr>
      <w:rFonts w:ascii="Times New Roman" w:eastAsiaTheme="minorHAnsi" w:hAnsi="Times New Roman"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ocuments\MY%20PERSONAL%20GROWTH%2023_25\RESEARCH%202023_5\Cervical%20CA%20studies\For%20Analysis%20Cerv%20CA%20study\5_4_25_Paper%202_Analysi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cuments\MY%20PERSONAL%20GROWTH%2023_25\RESEARCH%202023_5\Cervical%20CA%20studies\For%20Analysis%20Cerv%20CA%20study\5_4_25_Paper%202_Analysi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200" b="1" i="0" u="none" strike="noStrike" kern="1200" cap="all" spc="50" baseline="0">
                <a:solidFill>
                  <a:schemeClr val="tx1">
                    <a:lumMod val="65000"/>
                    <a:lumOff val="35000"/>
                  </a:schemeClr>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Awareness</a:t>
            </a:r>
            <a:r>
              <a:rPr lang="en-US" sz="1200" baseline="0">
                <a:latin typeface="Times New Roman" panose="02020603050405020304" charset="0"/>
                <a:cs typeface="Times New Roman" panose="02020603050405020304" charset="0"/>
              </a:rPr>
              <a:t> of </a:t>
            </a:r>
            <a:r>
              <a:rPr lang="en-US" sz="1200">
                <a:latin typeface="Times New Roman" panose="02020603050405020304" charset="0"/>
                <a:cs typeface="Times New Roman" panose="02020603050405020304" charset="0"/>
              </a:rPr>
              <a:t>HPV vaccines?    </a:t>
            </a:r>
          </a:p>
        </c:rich>
      </c:tx>
      <c:layout>
        <c:manualLayout>
          <c:xMode val="edge"/>
          <c:yMode val="edge"/>
          <c:x val="0.210111111111111"/>
          <c:y val="4.1666666666666699E-2"/>
        </c:manualLayout>
      </c:layout>
      <c:overlay val="0"/>
      <c:spPr>
        <a:noFill/>
        <a:ln>
          <a:noFill/>
        </a:ln>
        <a:effectLst/>
      </c:spPr>
      <c:txPr>
        <a:bodyPr rot="0" spcFirstLastPara="1" vertOverflow="ellipsis" vert="horz" wrap="square" anchor="ctr" anchorCtr="1"/>
        <a:lstStyle/>
        <a:p>
          <a:pPr>
            <a:defRPr lang="en-US" sz="1200" b="1" i="0" u="none" strike="noStrike" kern="1200" cap="all" spc="5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doughnutChart>
        <c:varyColors val="1"/>
        <c:ser>
          <c:idx val="0"/>
          <c:order val="0"/>
          <c:tx>
            <c:strRef>
              <c:f>Sheet6!$C$3</c:f>
              <c:strCache>
                <c:ptCount val="1"/>
                <c:pt idx="0">
                  <c:v>Count of Do you know about HPV vaccines?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2D5-4421-BDC3-B0A3541CFA6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2D5-4421-BDC3-B0A3541CFA66}"/>
              </c:ext>
            </c:extLst>
          </c:dPt>
          <c:dLbls>
            <c:dLbl>
              <c:idx val="0"/>
              <c:layout>
                <c:manualLayout>
                  <c:x val="7.2222222222222202E-2"/>
                  <c:y val="-0.157407407407407"/>
                </c:manualLayout>
              </c:layout>
              <c:tx>
                <c:rich>
                  <a:bodyPr/>
                  <a:lstStyle/>
                  <a:p>
                    <a:r>
                      <a:rPr lang="en-US"/>
                      <a:t>26 (15%)</a:t>
                    </a:r>
                  </a:p>
                </c:rich>
              </c:tx>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2D5-4421-BDC3-B0A3541CFA66}"/>
                </c:ext>
              </c:extLst>
            </c:dLbl>
            <c:dLbl>
              <c:idx val="1"/>
              <c:layout>
                <c:manualLayout>
                  <c:x val="-0.241666666666667"/>
                  <c:y val="5.7175925925925901E-2"/>
                </c:manualLayout>
              </c:layout>
              <c:tx>
                <c:rich>
                  <a:bodyPr/>
                  <a:lstStyle/>
                  <a:p>
                    <a:r>
                      <a:rPr lang="en-US"/>
                      <a:t>152 (85%)</a:t>
                    </a:r>
                  </a:p>
                </c:rich>
              </c:tx>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D5-4421-BDC3-B0A3541CFA6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US" sz="1200" b="1"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en-US"/>
              </a:p>
            </c:txPr>
            <c:showLegendKey val="1"/>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Sheet6!$B$4:$B$5</c:f>
              <c:strCache>
                <c:ptCount val="2"/>
                <c:pt idx="0">
                  <c:v>No</c:v>
                </c:pt>
                <c:pt idx="1">
                  <c:v>Yes</c:v>
                </c:pt>
              </c:strCache>
            </c:strRef>
          </c:cat>
          <c:val>
            <c:numRef>
              <c:f>Sheet6!$C$4:$C$5</c:f>
              <c:numCache>
                <c:formatCode>General</c:formatCode>
                <c:ptCount val="2"/>
                <c:pt idx="0">
                  <c:v>26</c:v>
                </c:pt>
                <c:pt idx="1">
                  <c:v>152</c:v>
                </c:pt>
              </c:numCache>
            </c:numRef>
          </c:val>
          <c:extLst>
            <c:ext xmlns:c16="http://schemas.microsoft.com/office/drawing/2014/chart" uri="{C3380CC4-5D6E-409C-BE32-E72D297353CC}">
              <c16:uniqueId val="{00000004-B2D5-4421-BDC3-B0A3541CFA66}"/>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t"/>
      <c:layout>
        <c:manualLayout>
          <c:xMode val="edge"/>
          <c:yMode val="edge"/>
          <c:x val="0.35348643919510098"/>
          <c:y val="0.14856481481481501"/>
          <c:w val="0.21802712160979901"/>
          <c:h val="0.129051472732575"/>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f74e143e-2d7b-4a49-8949-0943849b511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Attitude towards HPV Vaccinations</a:t>
            </a:r>
          </a:p>
        </c:rich>
      </c:tx>
      <c:overlay val="0"/>
      <c:spPr>
        <a:noFill/>
        <a:ln>
          <a:noFill/>
        </a:ln>
        <a:effectLst/>
      </c:spPr>
      <c:txPr>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charset="0"/>
              <a:ea typeface="+mn-ea"/>
              <a:cs typeface="Times New Roman" panose="02020603050405020304" charset="0"/>
            </a:defRPr>
          </a:pPr>
          <a:endParaRPr lang="en-US"/>
        </a:p>
      </c:txPr>
    </c:title>
    <c:autoTitleDeleted val="0"/>
    <c:plotArea>
      <c:layout/>
      <c:barChart>
        <c:barDir val="bar"/>
        <c:grouping val="stacked"/>
        <c:varyColors val="0"/>
        <c:ser>
          <c:idx val="0"/>
          <c:order val="0"/>
          <c:tx>
            <c:strRef>
              <c:f>Sheet5!$B$6</c:f>
              <c:strCache>
                <c:ptCount val="1"/>
                <c:pt idx="0">
                  <c:v>Yes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Sheet5!$A$7:$A$12</c:f>
              <c:strCache>
                <c:ptCount val="6"/>
                <c:pt idx="0">
                  <c:v>Would you recommend HPV vaccine to your daughters, other female adolescents or any NON-sexually exposed young WOMEN?</c:v>
                </c:pt>
                <c:pt idx="1">
                  <c:v>Would you recommend HPV vaccine to your sons, other male adolescents or any NON-sexually exposed young MEN?</c:v>
                </c:pt>
                <c:pt idx="2">
                  <c:v>Do you feel that HPV vaccine may cause NON-sexually exposed persons to be sexually promiscuous?</c:v>
                </c:pt>
                <c:pt idx="3">
                  <c:v>Would you recommend the HPV vaccine to be taught about in schools for teenagers and adolescents?</c:v>
                </c:pt>
                <c:pt idx="4">
                  <c:v>Would you recommend the HPV vaccine to be included in the Nigerian National Immunization Schedule?</c:v>
                </c:pt>
                <c:pt idx="5">
                  <c:v>Willingness to receive HPV vaccine?</c:v>
                </c:pt>
              </c:strCache>
            </c:strRef>
          </c:cat>
          <c:val>
            <c:numRef>
              <c:f>Sheet5!$B$7:$B$12</c:f>
              <c:numCache>
                <c:formatCode>0%</c:formatCode>
                <c:ptCount val="6"/>
                <c:pt idx="0">
                  <c:v>0.90449438202247201</c:v>
                </c:pt>
                <c:pt idx="1">
                  <c:v>0.66853932584269704</c:v>
                </c:pt>
                <c:pt idx="2">
                  <c:v>4.49438202247191E-2</c:v>
                </c:pt>
                <c:pt idx="3">
                  <c:v>0.98314606741572996</c:v>
                </c:pt>
                <c:pt idx="4">
                  <c:v>0.96067415730337102</c:v>
                </c:pt>
                <c:pt idx="5">
                  <c:v>0.92</c:v>
                </c:pt>
              </c:numCache>
            </c:numRef>
          </c:val>
          <c:extLst>
            <c:ext xmlns:c16="http://schemas.microsoft.com/office/drawing/2014/chart" uri="{C3380CC4-5D6E-409C-BE32-E72D297353CC}">
              <c16:uniqueId val="{00000000-65F7-46E1-A337-A060CFCD38F8}"/>
            </c:ext>
          </c:extLst>
        </c:ser>
        <c:ser>
          <c:idx val="1"/>
          <c:order val="1"/>
          <c:tx>
            <c:strRef>
              <c:f>Sheet5!$C$6</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Sheet5!$A$7:$A$12</c:f>
              <c:strCache>
                <c:ptCount val="6"/>
                <c:pt idx="0">
                  <c:v>Would you recommend HPV vaccine to your daughters, other female adolescents or any NON-sexually exposed young WOMEN?</c:v>
                </c:pt>
                <c:pt idx="1">
                  <c:v>Would you recommend HPV vaccine to your sons, other male adolescents or any NON-sexually exposed young MEN?</c:v>
                </c:pt>
                <c:pt idx="2">
                  <c:v>Do you feel that HPV vaccine may cause NON-sexually exposed persons to be sexually promiscuous?</c:v>
                </c:pt>
                <c:pt idx="3">
                  <c:v>Would you recommend the HPV vaccine to be taught about in schools for teenagers and adolescents?</c:v>
                </c:pt>
                <c:pt idx="4">
                  <c:v>Would you recommend the HPV vaccine to be included in the Nigerian National Immunization Schedule?</c:v>
                </c:pt>
                <c:pt idx="5">
                  <c:v>Willingness to receive HPV vaccine?</c:v>
                </c:pt>
              </c:strCache>
            </c:strRef>
          </c:cat>
          <c:val>
            <c:numRef>
              <c:f>Sheet5!$C$7:$C$12</c:f>
              <c:numCache>
                <c:formatCode>0%</c:formatCode>
                <c:ptCount val="6"/>
                <c:pt idx="0">
                  <c:v>9.5505617977528101E-2</c:v>
                </c:pt>
                <c:pt idx="1">
                  <c:v>0.33146067415730301</c:v>
                </c:pt>
                <c:pt idx="2">
                  <c:v>0.95505617977528101</c:v>
                </c:pt>
                <c:pt idx="3">
                  <c:v>1.6853932584269701E-2</c:v>
                </c:pt>
                <c:pt idx="4">
                  <c:v>3.9325842696629199E-2</c:v>
                </c:pt>
                <c:pt idx="5">
                  <c:v>0.08</c:v>
                </c:pt>
              </c:numCache>
            </c:numRef>
          </c:val>
          <c:extLst>
            <c:ext xmlns:c16="http://schemas.microsoft.com/office/drawing/2014/chart" uri="{C3380CC4-5D6E-409C-BE32-E72D297353CC}">
              <c16:uniqueId val="{00000001-65F7-46E1-A337-A060CFCD38F8}"/>
            </c:ext>
          </c:extLst>
        </c:ser>
        <c:dLbls>
          <c:showLegendKey val="0"/>
          <c:showVal val="1"/>
          <c:showCatName val="0"/>
          <c:showSerName val="0"/>
          <c:showPercent val="0"/>
          <c:showBubbleSize val="0"/>
        </c:dLbls>
        <c:gapWidth val="150"/>
        <c:overlap val="100"/>
        <c:axId val="896227824"/>
        <c:axId val="896230704"/>
      </c:barChart>
      <c:catAx>
        <c:axId val="89622782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000" b="0" i="0" u="none" strike="noStrike" kern="1200" baseline="0">
                <a:solidFill>
                  <a:schemeClr val="bg1"/>
                </a:solidFill>
                <a:latin typeface="Times New Roman" panose="02020603050405020304" charset="0"/>
                <a:ea typeface="+mn-ea"/>
                <a:cs typeface="Times New Roman" panose="02020603050405020304" charset="0"/>
              </a:defRPr>
            </a:pPr>
            <a:endParaRPr lang="en-US"/>
          </a:p>
        </c:txPr>
        <c:crossAx val="896230704"/>
        <c:crosses val="autoZero"/>
        <c:auto val="1"/>
        <c:lblAlgn val="ctr"/>
        <c:lblOffset val="100"/>
        <c:noMultiLvlLbl val="0"/>
      </c:catAx>
      <c:valAx>
        <c:axId val="896230704"/>
        <c:scaling>
          <c:orientation val="minMax"/>
        </c:scaling>
        <c:delete val="0"/>
        <c:axPos val="b"/>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896227824"/>
        <c:crosses val="autoZero"/>
        <c:crossBetween val="between"/>
      </c:valAx>
      <c:spPr>
        <a:noFill/>
        <a:ln>
          <a:noFill/>
        </a:ln>
        <a:effectLst/>
      </c:spPr>
    </c:plotArea>
    <c:legend>
      <c:legendPos val="b"/>
      <c:layout>
        <c:manualLayout>
          <c:xMode val="edge"/>
          <c:yMode val="edge"/>
          <c:x val="0.398364835486052"/>
          <c:y val="0.87637590346251804"/>
          <c:w val="0.151298025101851"/>
          <c:h val="9.9600072513458301E-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0f4756dc-613f-40f8-bcc1-bd1c0a42e070}"/>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r>
              <a:rPr lang="en-US" sz="1200">
                <a:latin typeface="Times New Roman" panose="02020603050405020304" charset="0"/>
                <a:cs typeface="Times New Roman" panose="02020603050405020304" charset="0"/>
              </a:rPr>
              <a:t>Ever</a:t>
            </a:r>
            <a:r>
              <a:rPr lang="en-US" sz="1200" baseline="0">
                <a:latin typeface="Times New Roman" panose="02020603050405020304" charset="0"/>
                <a:cs typeface="Times New Roman" panose="02020603050405020304" charset="0"/>
              </a:rPr>
              <a:t> received HPV vaccination</a:t>
            </a:r>
            <a:endParaRPr lang="en-US" sz="1200">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Sheet6!$C$9</c:f>
              <c:strCache>
                <c:ptCount val="1"/>
                <c:pt idx="0">
                  <c:v>Count of Have you received any of the HPV vaccines?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22C-467C-AB7E-5FCDAF55569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22C-467C-AB7E-5FCDAF55569D}"/>
              </c:ext>
            </c:extLst>
          </c:dPt>
          <c:dLbls>
            <c:dLbl>
              <c:idx val="0"/>
              <c:layout>
                <c:manualLayout>
                  <c:x val="0.170833333333333"/>
                  <c:y val="-0.122534631087781"/>
                </c:manualLayout>
              </c:layout>
              <c:tx>
                <c:rich>
                  <a:bodyPr rot="0" spcFirstLastPara="1" vertOverflow="ellipsis" vert="horz" wrap="square" lIns="38100" tIns="19050" rIns="38100" bIns="19050" anchor="ctr" anchorCtr="1">
                    <a:noAutofit/>
                  </a:bodyPr>
                  <a:lstStyle/>
                  <a:p>
                    <a:pPr defTabSz="914400">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a:t>169 (95%)</a:t>
                    </a:r>
                  </a:p>
                </c:rich>
              </c:tx>
              <c:spPr>
                <a:noFill/>
                <a:ln>
                  <a:noFill/>
                </a:ln>
                <a:effectLst/>
              </c:spPr>
              <c:txPr>
                <a:bodyPr rot="0" spcFirstLastPara="1" vertOverflow="ellipsis" vert="horz" wrap="square" lIns="38100" tIns="19050" rIns="38100" bIns="19050" anchor="ctr" anchorCtr="1">
                  <a:noAutofit/>
                </a:bodyPr>
                <a:lstStyle/>
                <a:p>
                  <a:pPr defTabSz="914400">
                    <a:defRPr lang="en-US" sz="12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1"/>
              <c:showBubbleSize val="0"/>
              <c:extLst>
                <c:ext xmlns:c15="http://schemas.microsoft.com/office/drawing/2012/chart" uri="{CE6537A1-D6FC-4f65-9D91-7224C49458BB}">
                  <c15:layout>
                    <c:manualLayout>
                      <c:w val="0.188194444444444"/>
                      <c:h val="0.112268518518519"/>
                    </c:manualLayout>
                  </c15:layout>
                </c:ext>
                <c:ext xmlns:c16="http://schemas.microsoft.com/office/drawing/2014/chart" uri="{C3380CC4-5D6E-409C-BE32-E72D297353CC}">
                  <c16:uniqueId val="{00000001-A22C-467C-AB7E-5FCDAF55569D}"/>
                </c:ext>
              </c:extLst>
            </c:dLbl>
            <c:dLbl>
              <c:idx val="1"/>
              <c:layout>
                <c:manualLayout>
                  <c:x val="-5.8077646544182002E-2"/>
                  <c:y val="-1.4408355205599299E-2"/>
                </c:manualLayout>
              </c:layout>
              <c:tx>
                <c:rich>
                  <a:bodyPr/>
                  <a:lstStyle/>
                  <a:p>
                    <a:r>
                      <a:rPr lang="en-US"/>
                      <a:t>9 (5%)</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13888888888888901"/>
                      <c:h val="7.7777777777777807E-2"/>
                    </c:manualLayout>
                  </c15:layout>
                </c:ext>
                <c:ext xmlns:c16="http://schemas.microsoft.com/office/drawing/2014/chart" uri="{C3380CC4-5D6E-409C-BE32-E72D297353CC}">
                  <c16:uniqueId val="{00000003-A22C-467C-AB7E-5FCDAF55569D}"/>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Sheet6!$B$10:$B$11</c:f>
              <c:strCache>
                <c:ptCount val="2"/>
                <c:pt idx="0">
                  <c:v>No</c:v>
                </c:pt>
                <c:pt idx="1">
                  <c:v>Yes</c:v>
                </c:pt>
              </c:strCache>
            </c:strRef>
          </c:cat>
          <c:val>
            <c:numRef>
              <c:f>Sheet6!$C$10:$C$11</c:f>
              <c:numCache>
                <c:formatCode>General</c:formatCode>
                <c:ptCount val="2"/>
                <c:pt idx="0">
                  <c:v>169</c:v>
                </c:pt>
                <c:pt idx="1">
                  <c:v>9</c:v>
                </c:pt>
              </c:numCache>
            </c:numRef>
          </c:val>
          <c:extLst>
            <c:ext xmlns:c16="http://schemas.microsoft.com/office/drawing/2014/chart" uri="{C3380CC4-5D6E-409C-BE32-E72D297353CC}">
              <c16:uniqueId val="{00000004-A22C-467C-AB7E-5FCDAF55569D}"/>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0348643919510102"/>
          <c:y val="0.81076334208223999"/>
          <c:w val="0.22358267716535399"/>
          <c:h val="0.152199620880723"/>
        </c:manualLayout>
      </c:layout>
      <c:overlay val="0"/>
      <c:spPr>
        <a:solidFill>
          <a:schemeClr val="lt1">
            <a:alpha val="78000"/>
          </a:schemeClr>
        </a:solidFill>
        <a:ln>
          <a:noFill/>
        </a:ln>
        <a:effectLst/>
      </c:spPr>
      <c:txPr>
        <a:bodyPr rot="0" spcFirstLastPara="1" vertOverflow="ellipsis" vert="horz" wrap="square" anchor="ctr" anchorCtr="1"/>
        <a:lstStyle/>
        <a:p>
          <a:pPr>
            <a:defRPr lang="en-US" sz="1200" b="0"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e4623c64-1e57-4c29-9ba9-f0b76d5b4eed}"/>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322E-54F9-4942-8AFA-B4528F9F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20</Pages>
  <Words>34433</Words>
  <Characters>196270</Characters>
  <Application>Microsoft Office Word</Application>
  <DocSecurity>0</DocSecurity>
  <Lines>1635</Lines>
  <Paragraphs>460</Paragraphs>
  <ScaleCrop>false</ScaleCrop>
  <Company/>
  <LinksUpToDate>false</LinksUpToDate>
  <CharactersWithSpaces>230243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U_M2</dc:creator>
  <cp:lastModifiedBy>SDI 1084</cp:lastModifiedBy>
  <cp:revision>59</cp:revision>
  <dcterms:created xsi:type="dcterms:W3CDTF">2025-04-21T21:54:00Z</dcterms:created>
  <dcterms:modified xsi:type="dcterms:W3CDTF">2025-07-14T10:40:00Z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2B04DE657121462FB411779DB5E99AED_12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Document_1">
    <vt:lpwstr>True</vt:lpwstr>
  </property>
  <property fmtid="{D5CDD505-2E9C-101B-9397-08002B2CF9AE}" pid="25" name="Mendeley Unique User Id_1">
    <vt:lpwstr>4bf1973e-dd3b-356d-91e3-95c5d214cace</vt:lpwstr>
  </property>
  <property fmtid="{D5CDD505-2E9C-101B-9397-08002B2CF9AE}" pid="26" name="Mendeley Citation Style_1">
    <vt:lpwstr>http://www.zotero.org/styles/harvard-cite-them-right</vt:lpwstr>
  </property>
</Properties>
</file>