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3EE73" w14:textId="77777777" w:rsidR="00B0389E" w:rsidRPr="00B0389E" w:rsidRDefault="00B0389E" w:rsidP="00B0389E">
      <w:pPr>
        <w:spacing w:line="360" w:lineRule="auto"/>
        <w:jc w:val="right"/>
        <w:rPr>
          <w:rFonts w:ascii="Arial" w:hAnsi="Arial" w:cs="Arial"/>
          <w:b/>
          <w:bCs/>
          <w:i/>
          <w:sz w:val="32"/>
          <w:u w:val="single"/>
        </w:rPr>
      </w:pPr>
      <w:bookmarkStart w:id="0" w:name="_Hlk203402195"/>
      <w:bookmarkEnd w:id="0"/>
      <w:r w:rsidRPr="00B0389E">
        <w:rPr>
          <w:rFonts w:ascii="Arial" w:hAnsi="Arial" w:cs="Arial"/>
          <w:b/>
          <w:bCs/>
          <w:i/>
          <w:sz w:val="32"/>
          <w:u w:val="single"/>
        </w:rPr>
        <w:t>Case Report</w:t>
      </w:r>
    </w:p>
    <w:p w14:paraId="2A692681" w14:textId="037A07A5" w:rsidR="00CD5DB6" w:rsidRDefault="00CD5DB6" w:rsidP="00CD5DB6">
      <w:pPr>
        <w:spacing w:line="360" w:lineRule="auto"/>
        <w:jc w:val="both"/>
        <w:rPr>
          <w:rFonts w:ascii="Arial" w:eastAsia="Times New Roman" w:hAnsi="Arial" w:cs="Arial"/>
          <w:b/>
          <w:bCs/>
          <w:kern w:val="0"/>
          <w14:ligatures w14:val="none"/>
        </w:rPr>
      </w:pPr>
      <w:r w:rsidRPr="00CD5DB6">
        <w:rPr>
          <w:rFonts w:ascii="Arial" w:hAnsi="Arial" w:cs="Arial"/>
          <w:b/>
          <w:bCs/>
        </w:rPr>
        <w:t xml:space="preserve"> Interceptive Management of Pseudo-Class III Malocclusion in a Growing Patient Using a Sagittal Screw Appliance: A Case Report</w:t>
      </w:r>
      <w:r w:rsidRPr="00CD5DB6">
        <w:rPr>
          <w:rFonts w:ascii="Arial" w:eastAsia="Times New Roman" w:hAnsi="Arial" w:cs="Arial"/>
          <w:b/>
          <w:bCs/>
          <w:kern w:val="0"/>
          <w14:ligatures w14:val="none"/>
        </w:rPr>
        <w:t xml:space="preserve"> </w:t>
      </w:r>
    </w:p>
    <w:p w14:paraId="48B3CCC7" w14:textId="34C3D159" w:rsidR="00520A03" w:rsidRDefault="00520A03" w:rsidP="00CD5DB6">
      <w:pPr>
        <w:spacing w:line="360" w:lineRule="auto"/>
        <w:jc w:val="both"/>
        <w:rPr>
          <w:rFonts w:ascii="Arial" w:hAnsi="Arial" w:cs="Arial"/>
          <w:b/>
          <w:bCs/>
        </w:rPr>
      </w:pPr>
    </w:p>
    <w:p w14:paraId="24ACA3AF" w14:textId="77777777" w:rsidR="00B0389E" w:rsidRDefault="00B0389E" w:rsidP="00520A03">
      <w:pPr>
        <w:spacing w:line="360" w:lineRule="auto"/>
        <w:jc w:val="both"/>
        <w:rPr>
          <w:rFonts w:ascii="Arial" w:hAnsi="Arial" w:cs="Arial"/>
          <w:b/>
          <w:bCs/>
        </w:rPr>
      </w:pPr>
    </w:p>
    <w:p w14:paraId="7F5BA2CF" w14:textId="32196545" w:rsidR="00BD6B25" w:rsidRDefault="00BD6B25" w:rsidP="0037387A">
      <w:pPr>
        <w:spacing w:line="360" w:lineRule="auto"/>
        <w:jc w:val="both"/>
        <w:rPr>
          <w:rFonts w:ascii="Arial" w:hAnsi="Arial" w:cs="Arial"/>
          <w:sz w:val="20"/>
          <w:szCs w:val="20"/>
        </w:rPr>
      </w:pPr>
    </w:p>
    <w:p w14:paraId="134EE44E" w14:textId="54994ED0" w:rsidR="00812D13" w:rsidRDefault="00812D13" w:rsidP="0037387A">
      <w:pPr>
        <w:spacing w:line="360" w:lineRule="auto"/>
        <w:jc w:val="both"/>
        <w:rPr>
          <w:rFonts w:ascii="Arial" w:hAnsi="Arial" w:cs="Arial"/>
          <w:sz w:val="20"/>
          <w:szCs w:val="20"/>
        </w:rPr>
      </w:pPr>
    </w:p>
    <w:p w14:paraId="18717089" w14:textId="77777777" w:rsidR="00812D13" w:rsidRPr="002A7CC0" w:rsidRDefault="00812D13" w:rsidP="0037387A">
      <w:pPr>
        <w:spacing w:line="360" w:lineRule="auto"/>
        <w:jc w:val="both"/>
        <w:rPr>
          <w:rFonts w:ascii="Arial" w:hAnsi="Arial" w:cs="Arial"/>
          <w:sz w:val="20"/>
          <w:szCs w:val="20"/>
        </w:rPr>
      </w:pPr>
    </w:p>
    <w:p w14:paraId="747FCA7D" w14:textId="421DB6A4" w:rsidR="00BD6B25" w:rsidRPr="002A7CC0" w:rsidRDefault="002A7CC0" w:rsidP="002A7CC0">
      <w:pPr>
        <w:spacing w:line="360" w:lineRule="auto"/>
        <w:rPr>
          <w:rFonts w:ascii="Arial" w:hAnsi="Arial" w:cs="Arial"/>
          <w:b/>
          <w:bCs/>
          <w:sz w:val="22"/>
          <w:szCs w:val="22"/>
        </w:rPr>
      </w:pPr>
      <w:r w:rsidRPr="002A7CC0">
        <w:rPr>
          <w:rFonts w:ascii="Arial" w:hAnsi="Arial" w:cs="Arial"/>
          <w:b/>
          <w:bCs/>
          <w:sz w:val="22"/>
          <w:szCs w:val="22"/>
        </w:rPr>
        <w:t>ABSTRACT</w:t>
      </w:r>
    </w:p>
    <w:p w14:paraId="658823C1" w14:textId="77777777" w:rsidR="00BD6B25" w:rsidRPr="002A7CC0" w:rsidRDefault="00BD6B25" w:rsidP="00BD6B25">
      <w:pPr>
        <w:spacing w:line="360" w:lineRule="auto"/>
        <w:jc w:val="both"/>
        <w:rPr>
          <w:rFonts w:ascii="Arial" w:hAnsi="Arial" w:cs="Arial"/>
          <w:sz w:val="20"/>
          <w:szCs w:val="20"/>
        </w:rPr>
      </w:pPr>
      <w:r w:rsidRPr="002A7CC0">
        <w:rPr>
          <w:rFonts w:ascii="Arial" w:hAnsi="Arial" w:cs="Arial"/>
          <w:sz w:val="20"/>
          <w:szCs w:val="20"/>
        </w:rPr>
        <w:t>Functional anterior crossbite is often misdiagnosed as skeletal Class III malocclusion, necessitating careful evaluation and timely intervention. This case report describes the interceptive orthodontic management of a 14-year-old female with anterior crossbite and a forward mandibular shift. Clinical and cephalometric findings confirmed a functional discrepancy without true skeletal Class III features. Treatment involved a sagittal screw appliance with posterior bite blocks to advance the maxillary anterior segment and eliminate occlusal interference. This was followed by fixed mechanotherapy using the MBT 0.018" prescription to align and level both arches. Post-treatment cephalometric analysis showed improvement in ANB angle (from –2° to 0°), increased overjet, and deep bite correction. A stable Class I occlusion with improved facial profile was achieved. Early diagnosis and use of functional appliances in growing patients can successfully correct CR–CO discrepancies, minimize skeletal progression, and reduce the need for surgical intervention.</w:t>
      </w:r>
    </w:p>
    <w:p w14:paraId="32D0972E" w14:textId="77777777" w:rsidR="00BD6B25" w:rsidRPr="002A7CC0" w:rsidRDefault="00BD6B25" w:rsidP="00BD6B25">
      <w:pPr>
        <w:spacing w:line="360" w:lineRule="auto"/>
        <w:jc w:val="both"/>
        <w:rPr>
          <w:rFonts w:ascii="Arial" w:hAnsi="Arial" w:cs="Arial"/>
          <w:sz w:val="20"/>
          <w:szCs w:val="20"/>
        </w:rPr>
      </w:pPr>
      <w:r w:rsidRPr="002A7CC0">
        <w:rPr>
          <w:rFonts w:ascii="Arial" w:hAnsi="Arial" w:cs="Arial"/>
          <w:b/>
          <w:bCs/>
          <w:sz w:val="20"/>
          <w:szCs w:val="20"/>
        </w:rPr>
        <w:t>Keywords:</w:t>
      </w:r>
      <w:r w:rsidRPr="002A7CC0">
        <w:rPr>
          <w:rFonts w:ascii="Arial" w:hAnsi="Arial" w:cs="Arial"/>
          <w:sz w:val="20"/>
          <w:szCs w:val="20"/>
        </w:rPr>
        <w:t xml:space="preserve"> </w:t>
      </w:r>
      <w:r w:rsidRPr="002A7CC0">
        <w:rPr>
          <w:rFonts w:ascii="Arial" w:hAnsi="Arial" w:cs="Arial"/>
          <w:i/>
          <w:iCs/>
          <w:sz w:val="20"/>
          <w:szCs w:val="20"/>
        </w:rPr>
        <w:t>Sagittal screw appliance, Anterior crossbite, Functional shift, Interceptive orthodontics, Growing patient</w:t>
      </w:r>
    </w:p>
    <w:p w14:paraId="0CCA31D8" w14:textId="77777777" w:rsidR="00CA67CB" w:rsidRPr="002A7CC0" w:rsidRDefault="00CA67CB" w:rsidP="0037387A">
      <w:pPr>
        <w:spacing w:line="360" w:lineRule="auto"/>
        <w:jc w:val="both"/>
        <w:rPr>
          <w:rFonts w:ascii="Arial" w:hAnsi="Arial" w:cs="Arial"/>
          <w:sz w:val="20"/>
          <w:szCs w:val="20"/>
        </w:rPr>
      </w:pPr>
    </w:p>
    <w:p w14:paraId="2EA3C484" w14:textId="3FFDC031" w:rsidR="0097386C" w:rsidRPr="002A7CC0" w:rsidRDefault="002A7CC0" w:rsidP="0037387A">
      <w:pPr>
        <w:spacing w:line="360" w:lineRule="auto"/>
        <w:jc w:val="both"/>
        <w:rPr>
          <w:rFonts w:ascii="Arial" w:hAnsi="Arial" w:cs="Arial"/>
          <w:sz w:val="22"/>
          <w:szCs w:val="22"/>
        </w:rPr>
      </w:pPr>
      <w:r>
        <w:rPr>
          <w:rFonts w:ascii="Arial" w:hAnsi="Arial" w:cs="Arial"/>
          <w:b/>
          <w:bCs/>
          <w:sz w:val="22"/>
          <w:szCs w:val="22"/>
        </w:rPr>
        <w:t xml:space="preserve">1. </w:t>
      </w:r>
      <w:r w:rsidRPr="002A7CC0">
        <w:rPr>
          <w:rFonts w:ascii="Arial" w:hAnsi="Arial" w:cs="Arial"/>
          <w:b/>
          <w:bCs/>
          <w:sz w:val="22"/>
          <w:szCs w:val="22"/>
        </w:rPr>
        <w:t>INTRODUCTION</w:t>
      </w:r>
    </w:p>
    <w:p w14:paraId="43168F22" w14:textId="77777777" w:rsidR="00FD227D" w:rsidRDefault="0097386C" w:rsidP="00FD227D">
      <w:pPr>
        <w:spacing w:line="360" w:lineRule="auto"/>
        <w:ind w:firstLine="720"/>
        <w:jc w:val="both"/>
        <w:rPr>
          <w:rFonts w:ascii="Arial" w:hAnsi="Arial" w:cs="Arial"/>
          <w:sz w:val="20"/>
          <w:szCs w:val="20"/>
        </w:rPr>
      </w:pPr>
      <w:r w:rsidRPr="002A7CC0">
        <w:rPr>
          <w:rFonts w:ascii="Arial" w:hAnsi="Arial" w:cs="Arial"/>
          <w:sz w:val="20"/>
          <w:szCs w:val="20"/>
        </w:rPr>
        <w:t>Class III malocclusion represents a challenging growth-related condition in orthodontics</w:t>
      </w:r>
      <w:r w:rsidR="00CE4947" w:rsidRPr="002A7CC0">
        <w:rPr>
          <w:rFonts w:ascii="Arial" w:hAnsi="Arial" w:cs="Arial"/>
          <w:sz w:val="20"/>
          <w:szCs w:val="20"/>
        </w:rPr>
        <w:t xml:space="preserve"> as growth redirection is more predictable as compared to growth retainment.  It is </w:t>
      </w:r>
      <w:r w:rsidRPr="002A7CC0">
        <w:rPr>
          <w:rFonts w:ascii="Arial" w:hAnsi="Arial" w:cs="Arial"/>
          <w:sz w:val="20"/>
          <w:szCs w:val="20"/>
        </w:rPr>
        <w:t>characterized by an anterior-posterior discrepancy between the maxilla and mandible</w:t>
      </w:r>
      <w:r w:rsidR="00CE4947" w:rsidRPr="002A7CC0">
        <w:rPr>
          <w:rFonts w:ascii="Arial" w:hAnsi="Arial" w:cs="Arial"/>
          <w:sz w:val="20"/>
          <w:szCs w:val="20"/>
        </w:rPr>
        <w:t xml:space="preserve"> in one or more plane of space</w:t>
      </w:r>
      <w:r w:rsidRPr="002A7CC0">
        <w:rPr>
          <w:rFonts w:ascii="Arial" w:hAnsi="Arial" w:cs="Arial"/>
          <w:sz w:val="20"/>
          <w:szCs w:val="20"/>
        </w:rPr>
        <w:t>. Its prevalence varies by population, ranging from 1% to 4% among Caucasians and up to 14% in Asian populations</w:t>
      </w:r>
      <w:r w:rsidR="00FD227D">
        <w:rPr>
          <w:rFonts w:ascii="Arial" w:hAnsi="Arial" w:cs="Arial"/>
          <w:sz w:val="20"/>
          <w:szCs w:val="20"/>
        </w:rPr>
        <w:t xml:space="preserve"> </w:t>
      </w:r>
      <w:r w:rsidR="00FD227D" w:rsidRPr="00FD227D">
        <w:rPr>
          <w:rFonts w:ascii="Arial" w:hAnsi="Arial" w:cs="Arial"/>
          <w:sz w:val="20"/>
          <w:szCs w:val="20"/>
        </w:rPr>
        <w:t>(Angle, 1899)</w:t>
      </w:r>
    </w:p>
    <w:p w14:paraId="5BB6C276" w14:textId="6FAFB744" w:rsidR="0097386C" w:rsidRPr="002A7CC0" w:rsidRDefault="0097386C" w:rsidP="00FD227D">
      <w:pPr>
        <w:spacing w:line="360" w:lineRule="auto"/>
        <w:ind w:firstLine="720"/>
        <w:jc w:val="both"/>
        <w:rPr>
          <w:rFonts w:ascii="Arial" w:hAnsi="Arial" w:cs="Arial"/>
          <w:sz w:val="20"/>
          <w:szCs w:val="20"/>
        </w:rPr>
      </w:pPr>
      <w:r w:rsidRPr="002A7CC0">
        <w:rPr>
          <w:rFonts w:ascii="Arial" w:hAnsi="Arial" w:cs="Arial"/>
          <w:sz w:val="20"/>
          <w:szCs w:val="20"/>
        </w:rPr>
        <w:t xml:space="preserve"> The etiology </w:t>
      </w:r>
      <w:r w:rsidR="00CE4947" w:rsidRPr="002A7CC0">
        <w:rPr>
          <w:rFonts w:ascii="Arial" w:hAnsi="Arial" w:cs="Arial"/>
          <w:sz w:val="20"/>
          <w:szCs w:val="20"/>
        </w:rPr>
        <w:t>in causation of class III malocclusion often</w:t>
      </w:r>
      <w:r w:rsidRPr="002A7CC0">
        <w:rPr>
          <w:rFonts w:ascii="Arial" w:hAnsi="Arial" w:cs="Arial"/>
          <w:sz w:val="20"/>
          <w:szCs w:val="20"/>
        </w:rPr>
        <w:t xml:space="preserve"> invol</w:t>
      </w:r>
      <w:r w:rsidR="00CE4947" w:rsidRPr="002A7CC0">
        <w:rPr>
          <w:rFonts w:ascii="Arial" w:hAnsi="Arial" w:cs="Arial"/>
          <w:sz w:val="20"/>
          <w:szCs w:val="20"/>
        </w:rPr>
        <w:t>ves</w:t>
      </w:r>
      <w:r w:rsidRPr="002A7CC0">
        <w:rPr>
          <w:rFonts w:ascii="Arial" w:hAnsi="Arial" w:cs="Arial"/>
          <w:sz w:val="20"/>
          <w:szCs w:val="20"/>
        </w:rPr>
        <w:t xml:space="preserve"> skeletal, dental</w:t>
      </w:r>
      <w:r w:rsidR="00CE4947" w:rsidRPr="002A7CC0">
        <w:rPr>
          <w:rFonts w:ascii="Arial" w:hAnsi="Arial" w:cs="Arial"/>
          <w:sz w:val="20"/>
          <w:szCs w:val="20"/>
        </w:rPr>
        <w:t xml:space="preserve"> or</w:t>
      </w:r>
      <w:r w:rsidRPr="002A7CC0">
        <w:rPr>
          <w:rFonts w:ascii="Arial" w:hAnsi="Arial" w:cs="Arial"/>
          <w:sz w:val="20"/>
          <w:szCs w:val="20"/>
        </w:rPr>
        <w:t xml:space="preserve"> functional components. While skeletal Class III </w:t>
      </w:r>
      <w:r w:rsidR="00CE4947" w:rsidRPr="002A7CC0">
        <w:rPr>
          <w:rFonts w:ascii="Arial" w:hAnsi="Arial" w:cs="Arial"/>
          <w:sz w:val="20"/>
          <w:szCs w:val="20"/>
        </w:rPr>
        <w:t>is known to</w:t>
      </w:r>
      <w:r w:rsidRPr="002A7CC0">
        <w:rPr>
          <w:rFonts w:ascii="Arial" w:hAnsi="Arial" w:cs="Arial"/>
          <w:sz w:val="20"/>
          <w:szCs w:val="20"/>
        </w:rPr>
        <w:t xml:space="preserve"> result from maxillary deficiency, mandibular prognathism, </w:t>
      </w:r>
      <w:r w:rsidRPr="002A7CC0">
        <w:rPr>
          <w:rFonts w:ascii="Arial" w:hAnsi="Arial" w:cs="Arial"/>
          <w:sz w:val="20"/>
          <w:szCs w:val="20"/>
        </w:rPr>
        <w:lastRenderedPageBreak/>
        <w:t>or a combination of both</w:t>
      </w:r>
      <w:r w:rsidR="00CE4947" w:rsidRPr="002A7CC0">
        <w:rPr>
          <w:rFonts w:ascii="Arial" w:hAnsi="Arial" w:cs="Arial"/>
          <w:sz w:val="20"/>
          <w:szCs w:val="20"/>
        </w:rPr>
        <w:t>;</w:t>
      </w:r>
      <w:r w:rsidRPr="002A7CC0">
        <w:rPr>
          <w:rFonts w:ascii="Arial" w:hAnsi="Arial" w:cs="Arial"/>
          <w:sz w:val="20"/>
          <w:szCs w:val="20"/>
        </w:rPr>
        <w:t xml:space="preserve"> functional Class III or pseudo-Class III malocclusion arises primarily from occlusal interferences leading to a forward functional mandibular shift</w:t>
      </w:r>
      <w:r w:rsidR="00CE4947" w:rsidRPr="002A7CC0">
        <w:rPr>
          <w:rFonts w:ascii="Arial" w:hAnsi="Arial" w:cs="Arial"/>
          <w:sz w:val="20"/>
          <w:szCs w:val="20"/>
        </w:rPr>
        <w:t xml:space="preserve"> often regarded as a discrepancy in centric relation and centric occlusion</w:t>
      </w:r>
      <w:r w:rsidRPr="002A7CC0">
        <w:rPr>
          <w:rFonts w:ascii="Arial" w:hAnsi="Arial" w:cs="Arial"/>
          <w:sz w:val="20"/>
          <w:szCs w:val="20"/>
        </w:rPr>
        <w:t xml:space="preserve"> </w:t>
      </w:r>
      <w:r w:rsidR="00FD227D" w:rsidRPr="00FD227D">
        <w:rPr>
          <w:rFonts w:ascii="Arial" w:hAnsi="Arial" w:cs="Arial"/>
          <w:sz w:val="20"/>
          <w:szCs w:val="20"/>
        </w:rPr>
        <w:t>(Moyers, 1988; Jacobson, 1975)</w:t>
      </w:r>
      <w:r w:rsidR="00FD227D">
        <w:rPr>
          <w:rFonts w:ascii="Arial" w:hAnsi="Arial" w:cs="Arial"/>
          <w:sz w:val="20"/>
          <w:szCs w:val="20"/>
        </w:rPr>
        <w:t>.</w:t>
      </w:r>
    </w:p>
    <w:p w14:paraId="0D4EFFCA" w14:textId="3E6BEE1F" w:rsidR="0097386C" w:rsidRPr="002A7CC0" w:rsidRDefault="0097386C" w:rsidP="00FD227D">
      <w:pPr>
        <w:spacing w:line="360" w:lineRule="auto"/>
        <w:ind w:firstLine="720"/>
        <w:jc w:val="both"/>
        <w:rPr>
          <w:rFonts w:ascii="Arial" w:hAnsi="Arial" w:cs="Arial"/>
          <w:sz w:val="20"/>
          <w:szCs w:val="20"/>
        </w:rPr>
      </w:pPr>
      <w:r w:rsidRPr="002A7CC0">
        <w:rPr>
          <w:rFonts w:ascii="Arial" w:hAnsi="Arial" w:cs="Arial"/>
          <w:sz w:val="20"/>
          <w:szCs w:val="20"/>
        </w:rPr>
        <w:t xml:space="preserve">Pseudo-Class III </w:t>
      </w:r>
      <w:r w:rsidR="00A462F4" w:rsidRPr="002A7CC0">
        <w:rPr>
          <w:rFonts w:ascii="Arial" w:hAnsi="Arial" w:cs="Arial"/>
          <w:sz w:val="20"/>
          <w:szCs w:val="20"/>
        </w:rPr>
        <w:t xml:space="preserve">also referred as functional class III </w:t>
      </w:r>
      <w:r w:rsidRPr="002A7CC0">
        <w:rPr>
          <w:rFonts w:ascii="Arial" w:hAnsi="Arial" w:cs="Arial"/>
          <w:sz w:val="20"/>
          <w:szCs w:val="20"/>
        </w:rPr>
        <w:t>malocclusion</w:t>
      </w:r>
      <w:r w:rsidR="00A462F4" w:rsidRPr="002A7CC0">
        <w:rPr>
          <w:rFonts w:ascii="Arial" w:hAnsi="Arial" w:cs="Arial"/>
          <w:sz w:val="20"/>
          <w:szCs w:val="20"/>
        </w:rPr>
        <w:t xml:space="preserve"> where the patient is observed to appear a true skeletal class III relation but, the underlying cause can be a forward mandibular shift due to occlusal interference. It</w:t>
      </w:r>
      <w:r w:rsidRPr="002A7CC0">
        <w:rPr>
          <w:rFonts w:ascii="Arial" w:hAnsi="Arial" w:cs="Arial"/>
          <w:sz w:val="20"/>
          <w:szCs w:val="20"/>
        </w:rPr>
        <w:t xml:space="preserve"> is typically identified by the presence of a functional shift from centric relation to centric occlusion, anterior crossbite, and </w:t>
      </w:r>
      <w:r w:rsidR="00CE4947" w:rsidRPr="002A7CC0">
        <w:rPr>
          <w:rFonts w:ascii="Arial" w:hAnsi="Arial" w:cs="Arial"/>
          <w:sz w:val="20"/>
          <w:szCs w:val="20"/>
        </w:rPr>
        <w:t xml:space="preserve">upright or </w:t>
      </w:r>
      <w:r w:rsidRPr="002A7CC0">
        <w:rPr>
          <w:rFonts w:ascii="Arial" w:hAnsi="Arial" w:cs="Arial"/>
          <w:sz w:val="20"/>
          <w:szCs w:val="20"/>
        </w:rPr>
        <w:t xml:space="preserve">retroclined </w:t>
      </w:r>
      <w:r w:rsidR="00CE4947" w:rsidRPr="002A7CC0">
        <w:rPr>
          <w:rFonts w:ascii="Arial" w:hAnsi="Arial" w:cs="Arial"/>
          <w:sz w:val="20"/>
          <w:szCs w:val="20"/>
        </w:rPr>
        <w:t>mandibular</w:t>
      </w:r>
      <w:r w:rsidRPr="002A7CC0">
        <w:rPr>
          <w:rFonts w:ascii="Arial" w:hAnsi="Arial" w:cs="Arial"/>
          <w:sz w:val="20"/>
          <w:szCs w:val="20"/>
        </w:rPr>
        <w:t xml:space="preserve"> incisors. Cephalometric features often show normal SNA, slightly increased SNB</w:t>
      </w:r>
      <w:r w:rsidR="00CE4947" w:rsidRPr="002A7CC0">
        <w:rPr>
          <w:rFonts w:ascii="Arial" w:hAnsi="Arial" w:cs="Arial"/>
          <w:sz w:val="20"/>
          <w:szCs w:val="20"/>
        </w:rPr>
        <w:t xml:space="preserve"> with</w:t>
      </w:r>
      <w:r w:rsidRPr="002A7CC0">
        <w:rPr>
          <w:rFonts w:ascii="Arial" w:hAnsi="Arial" w:cs="Arial"/>
          <w:sz w:val="20"/>
          <w:szCs w:val="20"/>
        </w:rPr>
        <w:t xml:space="preserve"> negative </w:t>
      </w:r>
      <w:r w:rsidR="00CE4947" w:rsidRPr="002A7CC0">
        <w:rPr>
          <w:rFonts w:ascii="Arial" w:hAnsi="Arial" w:cs="Arial"/>
          <w:sz w:val="20"/>
          <w:szCs w:val="20"/>
        </w:rPr>
        <w:t>values of ANB</w:t>
      </w:r>
      <w:r w:rsidRPr="002A7CC0">
        <w:rPr>
          <w:rFonts w:ascii="Arial" w:hAnsi="Arial" w:cs="Arial"/>
          <w:sz w:val="20"/>
          <w:szCs w:val="20"/>
        </w:rPr>
        <w:t>. Importantly, such cases frequently lack a family history of Class III skeletal patterns</w:t>
      </w:r>
      <w:r w:rsidR="00A073C9" w:rsidRPr="002A7CC0">
        <w:rPr>
          <w:rFonts w:ascii="Arial" w:hAnsi="Arial" w:cs="Arial"/>
          <w:sz w:val="20"/>
          <w:szCs w:val="20"/>
        </w:rPr>
        <w:t xml:space="preserve"> </w:t>
      </w:r>
      <w:r w:rsidR="00FD227D" w:rsidRPr="00FD227D">
        <w:rPr>
          <w:rFonts w:ascii="Arial" w:hAnsi="Arial" w:cs="Arial"/>
          <w:sz w:val="20"/>
          <w:szCs w:val="20"/>
        </w:rPr>
        <w:t>(</w:t>
      </w:r>
      <w:proofErr w:type="spellStart"/>
      <w:r w:rsidR="00FD227D" w:rsidRPr="00FD227D">
        <w:rPr>
          <w:rFonts w:ascii="Arial" w:hAnsi="Arial" w:cs="Arial"/>
          <w:sz w:val="20"/>
          <w:szCs w:val="20"/>
        </w:rPr>
        <w:t>Zohud</w:t>
      </w:r>
      <w:proofErr w:type="spellEnd"/>
      <w:r w:rsidR="00FD227D" w:rsidRPr="00FD227D">
        <w:rPr>
          <w:rFonts w:ascii="Arial" w:hAnsi="Arial" w:cs="Arial"/>
          <w:sz w:val="20"/>
          <w:szCs w:val="20"/>
        </w:rPr>
        <w:t xml:space="preserve"> et al., 2023; DiBiase et al., 2022).</w:t>
      </w:r>
      <w:r w:rsidR="00FD227D">
        <w:rPr>
          <w:rFonts w:ascii="Arial" w:hAnsi="Arial" w:cs="Arial"/>
          <w:sz w:val="20"/>
          <w:szCs w:val="20"/>
        </w:rPr>
        <w:t xml:space="preserve"> </w:t>
      </w:r>
      <w:r w:rsidRPr="002A7CC0">
        <w:rPr>
          <w:rFonts w:ascii="Arial" w:hAnsi="Arial" w:cs="Arial"/>
          <w:sz w:val="20"/>
          <w:szCs w:val="20"/>
        </w:rPr>
        <w:t xml:space="preserve"> Early diagnosis and treatment are essential to </w:t>
      </w:r>
      <w:r w:rsidR="00A462F4" w:rsidRPr="002A7CC0">
        <w:rPr>
          <w:rFonts w:ascii="Arial" w:hAnsi="Arial" w:cs="Arial"/>
          <w:sz w:val="20"/>
          <w:szCs w:val="20"/>
        </w:rPr>
        <w:t xml:space="preserve">correct the condition harnessing the growth potential for stable correction and </w:t>
      </w:r>
      <w:r w:rsidRPr="002A7CC0">
        <w:rPr>
          <w:rFonts w:ascii="Arial" w:hAnsi="Arial" w:cs="Arial"/>
          <w:sz w:val="20"/>
          <w:szCs w:val="20"/>
        </w:rPr>
        <w:t xml:space="preserve">prevent </w:t>
      </w:r>
      <w:r w:rsidR="00A462F4" w:rsidRPr="002A7CC0">
        <w:rPr>
          <w:rFonts w:ascii="Arial" w:hAnsi="Arial" w:cs="Arial"/>
          <w:sz w:val="20"/>
          <w:szCs w:val="20"/>
        </w:rPr>
        <w:t xml:space="preserve">its </w:t>
      </w:r>
      <w:r w:rsidRPr="002A7CC0">
        <w:rPr>
          <w:rFonts w:ascii="Arial" w:hAnsi="Arial" w:cs="Arial"/>
          <w:sz w:val="20"/>
          <w:szCs w:val="20"/>
        </w:rPr>
        <w:t xml:space="preserve">progression </w:t>
      </w:r>
      <w:r w:rsidR="00A462F4" w:rsidRPr="002A7CC0">
        <w:rPr>
          <w:rFonts w:ascii="Arial" w:hAnsi="Arial" w:cs="Arial"/>
          <w:sz w:val="20"/>
          <w:szCs w:val="20"/>
        </w:rPr>
        <w:t>in</w:t>
      </w:r>
      <w:r w:rsidRPr="002A7CC0">
        <w:rPr>
          <w:rFonts w:ascii="Arial" w:hAnsi="Arial" w:cs="Arial"/>
          <w:sz w:val="20"/>
          <w:szCs w:val="20"/>
        </w:rPr>
        <w:t xml:space="preserve">to a true skeletal Class </w:t>
      </w:r>
      <w:r w:rsidR="00A462F4" w:rsidRPr="002A7CC0">
        <w:rPr>
          <w:rFonts w:ascii="Arial" w:hAnsi="Arial" w:cs="Arial"/>
          <w:sz w:val="20"/>
          <w:szCs w:val="20"/>
        </w:rPr>
        <w:t xml:space="preserve">III </w:t>
      </w:r>
      <w:r w:rsidR="00FD227D" w:rsidRPr="00FD227D">
        <w:rPr>
          <w:rFonts w:ascii="Arial" w:hAnsi="Arial" w:cs="Arial"/>
          <w:sz w:val="20"/>
          <w:szCs w:val="20"/>
        </w:rPr>
        <w:t>(DiBiase et al., 2022)</w:t>
      </w:r>
      <w:r w:rsidR="00FD227D">
        <w:rPr>
          <w:rFonts w:ascii="Arial" w:hAnsi="Arial" w:cs="Arial"/>
          <w:sz w:val="20"/>
          <w:szCs w:val="20"/>
        </w:rPr>
        <w:t>.</w:t>
      </w:r>
    </w:p>
    <w:p w14:paraId="799D9360" w14:textId="77777777" w:rsidR="00FD227D" w:rsidRPr="00FD227D" w:rsidRDefault="0097386C" w:rsidP="00FD227D">
      <w:pPr>
        <w:spacing w:line="360" w:lineRule="auto"/>
        <w:ind w:firstLine="720"/>
        <w:jc w:val="both"/>
        <w:rPr>
          <w:rFonts w:ascii="Arial" w:hAnsi="Arial" w:cs="Arial"/>
          <w:sz w:val="20"/>
          <w:szCs w:val="20"/>
        </w:rPr>
      </w:pPr>
      <w:r w:rsidRPr="002A7CC0">
        <w:rPr>
          <w:rFonts w:ascii="Arial" w:hAnsi="Arial" w:cs="Arial"/>
          <w:sz w:val="20"/>
          <w:szCs w:val="20"/>
        </w:rPr>
        <w:t>Among various interceptive options</w:t>
      </w:r>
      <w:r w:rsidR="00A462F4" w:rsidRPr="002A7CC0">
        <w:rPr>
          <w:rFonts w:ascii="Arial" w:hAnsi="Arial" w:cs="Arial"/>
          <w:sz w:val="20"/>
          <w:szCs w:val="20"/>
        </w:rPr>
        <w:t xml:space="preserve"> for growing individuals</w:t>
      </w:r>
      <w:r w:rsidRPr="002A7CC0">
        <w:rPr>
          <w:rFonts w:ascii="Arial" w:hAnsi="Arial" w:cs="Arial"/>
          <w:sz w:val="20"/>
          <w:szCs w:val="20"/>
        </w:rPr>
        <w:t xml:space="preserve">, the sagittal screw appliance </w:t>
      </w:r>
      <w:r w:rsidR="00A462F4" w:rsidRPr="002A7CC0">
        <w:rPr>
          <w:rFonts w:ascii="Arial" w:hAnsi="Arial" w:cs="Arial"/>
          <w:sz w:val="20"/>
          <w:szCs w:val="20"/>
        </w:rPr>
        <w:t>is known to provide promising</w:t>
      </w:r>
      <w:r w:rsidRPr="002A7CC0">
        <w:rPr>
          <w:rFonts w:ascii="Arial" w:hAnsi="Arial" w:cs="Arial"/>
          <w:sz w:val="20"/>
          <w:szCs w:val="20"/>
        </w:rPr>
        <w:t xml:space="preserve"> results in treating pseudo-Class III. This removable active plate allows for controlled advancement of maxillary incisors while promoting bite opening and eliminating occlusal interference. Owen</w:t>
      </w:r>
      <w:r w:rsidR="00E05D78" w:rsidRPr="002A7CC0">
        <w:rPr>
          <w:rFonts w:ascii="Arial" w:hAnsi="Arial" w:cs="Arial"/>
          <w:sz w:val="20"/>
          <w:szCs w:val="20"/>
        </w:rPr>
        <w:t xml:space="preserve"> </w:t>
      </w:r>
      <w:r w:rsidR="00A073C9" w:rsidRPr="002A7CC0">
        <w:rPr>
          <w:rFonts w:ascii="Arial" w:hAnsi="Arial" w:cs="Arial"/>
          <w:sz w:val="20"/>
          <w:szCs w:val="20"/>
        </w:rPr>
        <w:t>[6]</w:t>
      </w:r>
      <w:r w:rsidRPr="002A7CC0">
        <w:rPr>
          <w:rFonts w:ascii="Arial" w:hAnsi="Arial" w:cs="Arial"/>
          <w:sz w:val="20"/>
          <w:szCs w:val="20"/>
        </w:rPr>
        <w:t xml:space="preserve"> reported effective anterior movement of up to 2.5 mm and significant improvement in overjet and facial balance</w:t>
      </w:r>
      <w:r w:rsidR="00A462F4" w:rsidRPr="002A7CC0">
        <w:rPr>
          <w:rFonts w:ascii="Arial" w:hAnsi="Arial" w:cs="Arial"/>
          <w:sz w:val="20"/>
          <w:szCs w:val="20"/>
        </w:rPr>
        <w:t xml:space="preserve"> using the sagittal screw appliance</w:t>
      </w:r>
      <w:r w:rsidRPr="002A7CC0">
        <w:rPr>
          <w:rFonts w:ascii="Arial" w:hAnsi="Arial" w:cs="Arial"/>
          <w:sz w:val="20"/>
          <w:szCs w:val="20"/>
        </w:rPr>
        <w:t xml:space="preserve">. Its use during the growth phase can help achieve favorable skeletal and </w:t>
      </w:r>
      <w:proofErr w:type="spellStart"/>
      <w:r w:rsidRPr="002A7CC0">
        <w:rPr>
          <w:rFonts w:ascii="Arial" w:hAnsi="Arial" w:cs="Arial"/>
          <w:sz w:val="20"/>
          <w:szCs w:val="20"/>
        </w:rPr>
        <w:t>dento</w:t>
      </w:r>
      <w:proofErr w:type="spellEnd"/>
      <w:r w:rsidR="00A462F4" w:rsidRPr="002A7CC0">
        <w:rPr>
          <w:rFonts w:ascii="Arial" w:hAnsi="Arial" w:cs="Arial"/>
          <w:sz w:val="20"/>
          <w:szCs w:val="20"/>
        </w:rPr>
        <w:t>-</w:t>
      </w:r>
      <w:r w:rsidRPr="002A7CC0">
        <w:rPr>
          <w:rFonts w:ascii="Arial" w:hAnsi="Arial" w:cs="Arial"/>
          <w:sz w:val="20"/>
          <w:szCs w:val="20"/>
        </w:rPr>
        <w:t>alveolar changes</w:t>
      </w:r>
      <w:r w:rsidR="00FD227D">
        <w:rPr>
          <w:rFonts w:ascii="Arial" w:hAnsi="Arial" w:cs="Arial"/>
          <w:sz w:val="20"/>
          <w:szCs w:val="20"/>
        </w:rPr>
        <w:t xml:space="preserve"> </w:t>
      </w:r>
      <w:r w:rsidR="00FD227D" w:rsidRPr="00FD227D">
        <w:rPr>
          <w:rFonts w:ascii="Arial" w:hAnsi="Arial" w:cs="Arial"/>
          <w:sz w:val="20"/>
          <w:szCs w:val="20"/>
        </w:rPr>
        <w:t xml:space="preserve">(Zhang et al., 2023; </w:t>
      </w:r>
      <w:proofErr w:type="spellStart"/>
      <w:r w:rsidR="00FD227D" w:rsidRPr="00FD227D">
        <w:rPr>
          <w:rFonts w:ascii="Arial" w:hAnsi="Arial" w:cs="Arial"/>
          <w:sz w:val="20"/>
          <w:szCs w:val="20"/>
        </w:rPr>
        <w:t>Inchingolo</w:t>
      </w:r>
      <w:proofErr w:type="spellEnd"/>
      <w:r w:rsidR="00FD227D" w:rsidRPr="00FD227D">
        <w:rPr>
          <w:rFonts w:ascii="Arial" w:hAnsi="Arial" w:cs="Arial"/>
          <w:sz w:val="20"/>
          <w:szCs w:val="20"/>
        </w:rPr>
        <w:t xml:space="preserve"> et al., 2024).</w:t>
      </w:r>
    </w:p>
    <w:p w14:paraId="315B35C2" w14:textId="77777777" w:rsidR="00FD227D" w:rsidRDefault="00FD227D" w:rsidP="0037387A">
      <w:pPr>
        <w:spacing w:line="360" w:lineRule="auto"/>
        <w:jc w:val="both"/>
        <w:rPr>
          <w:rFonts w:ascii="Arial" w:hAnsi="Arial" w:cs="Arial"/>
          <w:sz w:val="20"/>
          <w:szCs w:val="20"/>
        </w:rPr>
      </w:pPr>
    </w:p>
    <w:p w14:paraId="0964793B" w14:textId="34014FB2" w:rsidR="0097386C" w:rsidRPr="002A7CC0" w:rsidRDefault="002A7CC0" w:rsidP="0037387A">
      <w:pPr>
        <w:spacing w:line="360" w:lineRule="auto"/>
        <w:jc w:val="both"/>
        <w:rPr>
          <w:rFonts w:ascii="Arial" w:hAnsi="Arial" w:cs="Arial"/>
          <w:b/>
          <w:bCs/>
          <w:sz w:val="22"/>
          <w:szCs w:val="22"/>
        </w:rPr>
      </w:pPr>
      <w:r>
        <w:rPr>
          <w:rFonts w:ascii="Arial" w:hAnsi="Arial" w:cs="Arial"/>
          <w:b/>
          <w:bCs/>
          <w:sz w:val="22"/>
          <w:szCs w:val="22"/>
        </w:rPr>
        <w:t>2. PRESENTATION OF CASE</w:t>
      </w:r>
    </w:p>
    <w:p w14:paraId="792BC667" w14:textId="0769EB0D" w:rsidR="00FE70B9" w:rsidRPr="002A7CC0" w:rsidRDefault="00FE70B9" w:rsidP="0037387A">
      <w:pPr>
        <w:spacing w:line="360" w:lineRule="auto"/>
        <w:ind w:firstLine="720"/>
        <w:jc w:val="both"/>
        <w:rPr>
          <w:rFonts w:ascii="Arial" w:hAnsi="Arial" w:cs="Arial"/>
          <w:sz w:val="20"/>
          <w:szCs w:val="20"/>
          <w:lang w:val="en-IN"/>
        </w:rPr>
      </w:pPr>
      <w:r w:rsidRPr="002A7CC0">
        <w:rPr>
          <w:rFonts w:ascii="Arial" w:hAnsi="Arial" w:cs="Arial"/>
          <w:sz w:val="20"/>
          <w:szCs w:val="20"/>
          <w:lang w:val="en-IN"/>
        </w:rPr>
        <w:t xml:space="preserve">A 14-year-old female patient reported for orthodontic evaluation with the chief complaint of anterior crossbite. Extraoral examination revealed a concave soft tissue profile, </w:t>
      </w:r>
      <w:proofErr w:type="spellStart"/>
      <w:r w:rsidRPr="002A7CC0">
        <w:rPr>
          <w:rFonts w:ascii="Arial" w:hAnsi="Arial" w:cs="Arial"/>
          <w:sz w:val="20"/>
          <w:szCs w:val="20"/>
          <w:lang w:val="en-IN"/>
        </w:rPr>
        <w:t>mesoprosopic</w:t>
      </w:r>
      <w:proofErr w:type="spellEnd"/>
      <w:r w:rsidRPr="002A7CC0">
        <w:rPr>
          <w:rFonts w:ascii="Arial" w:hAnsi="Arial" w:cs="Arial"/>
          <w:sz w:val="20"/>
          <w:szCs w:val="20"/>
          <w:lang w:val="en-IN"/>
        </w:rPr>
        <w:t xml:space="preserve"> facial form, and competent lips at rest. The facial divergence was anterior, and the mandibular plane appeared flat, suggesting a horizontal growth pattern.</w:t>
      </w:r>
    </w:p>
    <w:p w14:paraId="5BDB6A5E" w14:textId="4D49B660" w:rsidR="00FE70B9" w:rsidRPr="002A7CC0" w:rsidRDefault="00FE70B9" w:rsidP="002A7CC0">
      <w:pPr>
        <w:spacing w:line="360" w:lineRule="auto"/>
        <w:ind w:firstLine="720"/>
        <w:jc w:val="both"/>
        <w:rPr>
          <w:rFonts w:ascii="Arial" w:hAnsi="Arial" w:cs="Arial"/>
          <w:sz w:val="20"/>
          <w:szCs w:val="20"/>
          <w:lang w:val="en-IN"/>
        </w:rPr>
      </w:pPr>
      <w:r w:rsidRPr="002A7CC0">
        <w:rPr>
          <w:rFonts w:ascii="Arial" w:hAnsi="Arial" w:cs="Arial"/>
          <w:sz w:val="20"/>
          <w:szCs w:val="20"/>
          <w:lang w:val="en-IN"/>
        </w:rPr>
        <w:t>Intraoral examination demonstrated bilateral Angle's Class I molar and canine relationships. An anterior crossbite involving the maxillary and mandibular incisors was observed, accompanied by mild crowding in both arches. The maxillary arch was ovoid, while the mandibular arch was tapering in form.</w:t>
      </w:r>
      <w:r w:rsidR="00E456CD">
        <w:rPr>
          <w:rFonts w:ascii="Arial" w:hAnsi="Arial" w:cs="Arial"/>
          <w:sz w:val="20"/>
          <w:szCs w:val="20"/>
          <w:lang w:val="en-IN"/>
        </w:rPr>
        <w:t xml:space="preserve"> </w:t>
      </w:r>
      <w:r w:rsidR="002A7CC0">
        <w:rPr>
          <w:rFonts w:ascii="Arial" w:hAnsi="Arial" w:cs="Arial"/>
          <w:sz w:val="20"/>
          <w:szCs w:val="20"/>
          <w:lang w:val="en-IN"/>
        </w:rPr>
        <w:t xml:space="preserve"> </w:t>
      </w:r>
      <w:r w:rsidRPr="002A7CC0">
        <w:rPr>
          <w:rFonts w:ascii="Arial" w:hAnsi="Arial" w:cs="Arial"/>
          <w:sz w:val="20"/>
          <w:szCs w:val="20"/>
          <w:lang w:val="en-IN"/>
        </w:rPr>
        <w:t xml:space="preserve">A forward path of mandibular closure was evident on functional examination, confirming a functional shift indicative of a pseudo-Class III malocclusion. Additionally, a deep overbite was noted in the vertical dimension with a deep curve of </w:t>
      </w:r>
      <w:proofErr w:type="spellStart"/>
      <w:r w:rsidRPr="002A7CC0">
        <w:rPr>
          <w:rFonts w:ascii="Arial" w:hAnsi="Arial" w:cs="Arial"/>
          <w:sz w:val="20"/>
          <w:szCs w:val="20"/>
          <w:lang w:val="en-IN"/>
        </w:rPr>
        <w:t>spee</w:t>
      </w:r>
      <w:proofErr w:type="spellEnd"/>
      <w:r w:rsidRPr="002A7CC0">
        <w:rPr>
          <w:rFonts w:ascii="Arial" w:hAnsi="Arial" w:cs="Arial"/>
          <w:sz w:val="20"/>
          <w:szCs w:val="20"/>
          <w:lang w:val="en-IN"/>
        </w:rPr>
        <w:t>.</w:t>
      </w:r>
      <w:r w:rsidR="00E456CD">
        <w:rPr>
          <w:rFonts w:ascii="Arial" w:hAnsi="Arial" w:cs="Arial"/>
          <w:sz w:val="20"/>
          <w:szCs w:val="20"/>
          <w:lang w:val="en-IN"/>
        </w:rPr>
        <w:t xml:space="preserve"> (Figure 1)</w:t>
      </w:r>
    </w:p>
    <w:p w14:paraId="19FD8A9F" w14:textId="2A3B42D2" w:rsidR="00984AE6" w:rsidRDefault="00FE70B9" w:rsidP="0037387A">
      <w:pPr>
        <w:spacing w:line="360" w:lineRule="auto"/>
        <w:ind w:firstLine="720"/>
        <w:jc w:val="both"/>
        <w:rPr>
          <w:rFonts w:ascii="Arial" w:hAnsi="Arial" w:cs="Arial"/>
          <w:sz w:val="20"/>
          <w:szCs w:val="20"/>
          <w:lang w:val="en-IN"/>
        </w:rPr>
      </w:pPr>
      <w:r w:rsidRPr="002A7CC0">
        <w:rPr>
          <w:rFonts w:ascii="Arial" w:hAnsi="Arial" w:cs="Arial"/>
          <w:sz w:val="20"/>
          <w:szCs w:val="20"/>
          <w:lang w:val="en-IN"/>
        </w:rPr>
        <w:t>Skeletal maturity was assessed using the Cervical Vertebral Maturation Index (CVMI), and the patient was found to be in Stage 4, indicating that the active phase of pubertal growth—an optimal period for orthodontic intervention.</w:t>
      </w:r>
    </w:p>
    <w:p w14:paraId="2D518D7A" w14:textId="3E7F326E" w:rsidR="00E456CD" w:rsidRPr="00E456CD" w:rsidRDefault="00CD5DB6" w:rsidP="00E456CD">
      <w:pPr>
        <w:spacing w:line="360" w:lineRule="auto"/>
        <w:ind w:firstLine="720"/>
        <w:jc w:val="both"/>
        <w:rPr>
          <w:rFonts w:ascii="Arial" w:hAnsi="Arial" w:cs="Arial"/>
          <w:sz w:val="20"/>
          <w:szCs w:val="20"/>
        </w:rPr>
      </w:pPr>
      <w:r w:rsidRPr="00E456CD">
        <w:rPr>
          <w:rFonts w:ascii="Arial" w:hAnsi="Arial" w:cs="Arial"/>
          <w:noProof/>
          <w:sz w:val="20"/>
          <w:szCs w:val="20"/>
        </w:rPr>
        <w:lastRenderedPageBreak/>
        <w:drawing>
          <wp:inline distT="0" distB="0" distL="0" distR="0" wp14:anchorId="5C25B304" wp14:editId="3BF040B9">
            <wp:extent cx="3927475" cy="2512060"/>
            <wp:effectExtent l="0" t="0" r="0" b="2540"/>
            <wp:docPr id="1777750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7475" cy="2512060"/>
                    </a:xfrm>
                    <a:prstGeom prst="rect">
                      <a:avLst/>
                    </a:prstGeom>
                    <a:noFill/>
                    <a:ln>
                      <a:noFill/>
                    </a:ln>
                  </pic:spPr>
                </pic:pic>
              </a:graphicData>
            </a:graphic>
          </wp:inline>
        </w:drawing>
      </w:r>
    </w:p>
    <w:p w14:paraId="29022D13" w14:textId="77777777" w:rsidR="00CD5DB6" w:rsidRDefault="00CD5DB6" w:rsidP="00CD5DB6">
      <w:pPr>
        <w:spacing w:line="360" w:lineRule="auto"/>
        <w:jc w:val="both"/>
        <w:rPr>
          <w:rFonts w:ascii="Arial" w:hAnsi="Arial" w:cs="Arial"/>
          <w:b/>
          <w:bCs/>
          <w:sz w:val="20"/>
          <w:szCs w:val="20"/>
        </w:rPr>
      </w:pPr>
    </w:p>
    <w:p w14:paraId="219945D1" w14:textId="62170AB2" w:rsidR="00984AE6" w:rsidRDefault="00E456CD" w:rsidP="00CD5DB6">
      <w:pPr>
        <w:spacing w:line="360" w:lineRule="auto"/>
        <w:jc w:val="both"/>
        <w:rPr>
          <w:rFonts w:ascii="Arial" w:hAnsi="Arial" w:cs="Arial"/>
          <w:b/>
          <w:bCs/>
          <w:sz w:val="20"/>
          <w:szCs w:val="20"/>
        </w:rPr>
      </w:pPr>
      <w:r w:rsidRPr="00E456CD">
        <w:rPr>
          <w:rFonts w:ascii="Arial" w:hAnsi="Arial" w:cs="Arial"/>
          <w:b/>
          <w:bCs/>
          <w:sz w:val="20"/>
          <w:szCs w:val="20"/>
        </w:rPr>
        <w:t>Fig. 1. Pre-treatment extraoral and intraoral photographs showing facial profile and dental occlusion.</w:t>
      </w:r>
    </w:p>
    <w:p w14:paraId="23E0F81B" w14:textId="77777777" w:rsidR="005D4BC4" w:rsidRDefault="005D4BC4" w:rsidP="005D4BC4">
      <w:pPr>
        <w:spacing w:line="360" w:lineRule="auto"/>
        <w:ind w:left="360"/>
        <w:jc w:val="both"/>
        <w:rPr>
          <w:rFonts w:ascii="Arial" w:hAnsi="Arial" w:cs="Arial"/>
          <w:b/>
          <w:bCs/>
          <w:sz w:val="20"/>
          <w:szCs w:val="20"/>
        </w:rPr>
      </w:pPr>
    </w:p>
    <w:p w14:paraId="4CA2106D" w14:textId="54DBD89C" w:rsidR="00E05D78" w:rsidRPr="002A7CC0" w:rsidRDefault="002A7CC0" w:rsidP="00E05D78">
      <w:pPr>
        <w:spacing w:line="360" w:lineRule="auto"/>
        <w:jc w:val="both"/>
        <w:rPr>
          <w:rFonts w:ascii="Arial" w:hAnsi="Arial" w:cs="Arial"/>
          <w:sz w:val="22"/>
          <w:szCs w:val="22"/>
        </w:rPr>
      </w:pPr>
      <w:r>
        <w:rPr>
          <w:rFonts w:ascii="Arial" w:hAnsi="Arial" w:cs="Arial"/>
          <w:b/>
          <w:bCs/>
          <w:sz w:val="22"/>
          <w:szCs w:val="22"/>
        </w:rPr>
        <w:t xml:space="preserve">2.1 </w:t>
      </w:r>
      <w:r w:rsidR="00984AE6" w:rsidRPr="002A7CC0">
        <w:rPr>
          <w:rFonts w:ascii="Arial" w:hAnsi="Arial" w:cs="Arial"/>
          <w:b/>
          <w:bCs/>
          <w:sz w:val="22"/>
          <w:szCs w:val="22"/>
        </w:rPr>
        <w:t>Diagnosis</w:t>
      </w:r>
    </w:p>
    <w:p w14:paraId="7C2A0307" w14:textId="2FD9ABD6" w:rsidR="00984AE6" w:rsidRPr="002A7CC0" w:rsidRDefault="00984AE6" w:rsidP="00E05D78">
      <w:pPr>
        <w:spacing w:line="360" w:lineRule="auto"/>
        <w:ind w:firstLine="720"/>
        <w:jc w:val="both"/>
        <w:rPr>
          <w:rFonts w:ascii="Arial" w:hAnsi="Arial" w:cs="Arial"/>
          <w:sz w:val="20"/>
          <w:szCs w:val="20"/>
        </w:rPr>
      </w:pPr>
      <w:r w:rsidRPr="002A7CC0">
        <w:rPr>
          <w:rFonts w:ascii="Arial" w:hAnsi="Arial" w:cs="Arial"/>
          <w:sz w:val="20"/>
          <w:szCs w:val="20"/>
        </w:rPr>
        <w:t>The patient was diagnosed with a pseudo-Class III malocclusion characterized by a forward functional mandibular shift on closure. The skeletal pattern suggested a horizontal growth tendency, with a concave soft tissue profile and a flat mandibular plane. Bilateral Angle’s Class I molar and canine relationships were present in centric relation. Dentally, the patient exhibited an anterior crossbite, mild crowding in both arches, a deep overbite, and a pronounced curve of Spee. Skeletal maturity assessment indicated the patient was in the active phase of pubertal growth, making this an ideal time for interceptive orthodontic treatment.</w:t>
      </w:r>
    </w:p>
    <w:p w14:paraId="2A0CC63C" w14:textId="77777777" w:rsidR="00984AE6" w:rsidRPr="002A7CC0" w:rsidRDefault="00984AE6" w:rsidP="0037387A">
      <w:pPr>
        <w:spacing w:line="360" w:lineRule="auto"/>
        <w:jc w:val="both"/>
        <w:rPr>
          <w:rFonts w:ascii="Arial" w:hAnsi="Arial" w:cs="Arial"/>
          <w:sz w:val="20"/>
          <w:szCs w:val="20"/>
        </w:rPr>
      </w:pPr>
    </w:p>
    <w:p w14:paraId="6A48FB6A" w14:textId="0167EB0A" w:rsidR="00984AE6" w:rsidRPr="002A7CC0" w:rsidRDefault="002A7CC0" w:rsidP="0037387A">
      <w:pPr>
        <w:spacing w:line="360" w:lineRule="auto"/>
        <w:jc w:val="both"/>
        <w:rPr>
          <w:rFonts w:ascii="Arial" w:hAnsi="Arial" w:cs="Arial"/>
          <w:sz w:val="22"/>
          <w:szCs w:val="22"/>
        </w:rPr>
      </w:pPr>
      <w:r>
        <w:rPr>
          <w:rFonts w:ascii="Arial" w:hAnsi="Arial" w:cs="Arial"/>
          <w:b/>
          <w:bCs/>
          <w:sz w:val="22"/>
          <w:szCs w:val="22"/>
        </w:rPr>
        <w:t xml:space="preserve">2.2 </w:t>
      </w:r>
      <w:r w:rsidR="00984AE6" w:rsidRPr="002A7CC0">
        <w:rPr>
          <w:rFonts w:ascii="Arial" w:hAnsi="Arial" w:cs="Arial"/>
          <w:b/>
          <w:bCs/>
          <w:sz w:val="22"/>
          <w:szCs w:val="22"/>
        </w:rPr>
        <w:t>Treatment Objectives</w:t>
      </w:r>
    </w:p>
    <w:p w14:paraId="0CE202BA"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eliminate the functional mandibular shift and establish a stable centric relation.</w:t>
      </w:r>
    </w:p>
    <w:p w14:paraId="558F5EA7"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correct the anterior crossbite and normalize overjet and overbite.</w:t>
      </w:r>
    </w:p>
    <w:p w14:paraId="782F18A3"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improve incisor inclinations and relieve mild crowding.</w:t>
      </w:r>
    </w:p>
    <w:p w14:paraId="41D11B9A"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maintain the existing Class I molar and canine relationships.</w:t>
      </w:r>
    </w:p>
    <w:p w14:paraId="0E1CBC7D" w14:textId="77777777" w:rsidR="00984AE6" w:rsidRPr="002A7CC0" w:rsidRDefault="00984AE6" w:rsidP="0037387A">
      <w:pPr>
        <w:numPr>
          <w:ilvl w:val="0"/>
          <w:numId w:val="13"/>
        </w:numPr>
        <w:spacing w:line="360" w:lineRule="auto"/>
        <w:jc w:val="both"/>
        <w:rPr>
          <w:rFonts w:ascii="Arial" w:hAnsi="Arial" w:cs="Arial"/>
          <w:sz w:val="20"/>
          <w:szCs w:val="20"/>
        </w:rPr>
      </w:pPr>
      <w:r w:rsidRPr="002A7CC0">
        <w:rPr>
          <w:rFonts w:ascii="Arial" w:hAnsi="Arial" w:cs="Arial"/>
          <w:sz w:val="20"/>
          <w:szCs w:val="20"/>
        </w:rPr>
        <w:t>To enhance facial esthetics and achieve a stable, functional occlusion.</w:t>
      </w:r>
    </w:p>
    <w:p w14:paraId="2A352345" w14:textId="745763AA" w:rsidR="00163B5A" w:rsidRPr="002A7CC0" w:rsidRDefault="00163B5A" w:rsidP="0037387A">
      <w:pPr>
        <w:spacing w:line="360" w:lineRule="auto"/>
        <w:jc w:val="both"/>
        <w:rPr>
          <w:rFonts w:ascii="Arial" w:hAnsi="Arial" w:cs="Arial"/>
          <w:b/>
          <w:bCs/>
          <w:sz w:val="20"/>
          <w:szCs w:val="20"/>
        </w:rPr>
      </w:pPr>
    </w:p>
    <w:p w14:paraId="68201BC0" w14:textId="06628693" w:rsidR="00984AE6" w:rsidRPr="002A7CC0" w:rsidRDefault="002A7CC0" w:rsidP="0037387A">
      <w:pPr>
        <w:spacing w:line="360" w:lineRule="auto"/>
        <w:jc w:val="both"/>
        <w:rPr>
          <w:rFonts w:ascii="Arial" w:hAnsi="Arial" w:cs="Arial"/>
          <w:b/>
          <w:bCs/>
          <w:sz w:val="22"/>
          <w:szCs w:val="22"/>
        </w:rPr>
      </w:pPr>
      <w:r>
        <w:rPr>
          <w:rFonts w:ascii="Arial" w:hAnsi="Arial" w:cs="Arial"/>
          <w:b/>
          <w:bCs/>
          <w:sz w:val="22"/>
          <w:szCs w:val="22"/>
        </w:rPr>
        <w:t xml:space="preserve">2.3 </w:t>
      </w:r>
      <w:r w:rsidR="00984AE6" w:rsidRPr="002A7CC0">
        <w:rPr>
          <w:rFonts w:ascii="Arial" w:hAnsi="Arial" w:cs="Arial"/>
          <w:b/>
          <w:bCs/>
          <w:sz w:val="22"/>
          <w:szCs w:val="22"/>
        </w:rPr>
        <w:t>Treatment Plan and Progress</w:t>
      </w:r>
    </w:p>
    <w:p w14:paraId="5CF2BBFB" w14:textId="77777777" w:rsidR="00163B5A" w:rsidRPr="002A7CC0" w:rsidRDefault="00163B5A" w:rsidP="0037387A">
      <w:pPr>
        <w:spacing w:line="360" w:lineRule="auto"/>
        <w:jc w:val="both"/>
        <w:rPr>
          <w:rFonts w:ascii="Arial" w:hAnsi="Arial" w:cs="Arial"/>
          <w:b/>
          <w:bCs/>
          <w:sz w:val="20"/>
          <w:szCs w:val="20"/>
        </w:rPr>
      </w:pPr>
    </w:p>
    <w:p w14:paraId="32CACB48" w14:textId="4BE8C31E" w:rsidR="00AE50DA" w:rsidRPr="002A7CC0" w:rsidRDefault="002A7CC0" w:rsidP="0037387A">
      <w:pPr>
        <w:spacing w:line="360" w:lineRule="auto"/>
        <w:jc w:val="both"/>
        <w:rPr>
          <w:rFonts w:ascii="Arial" w:hAnsi="Arial" w:cs="Arial"/>
          <w:b/>
          <w:bCs/>
          <w:sz w:val="20"/>
          <w:szCs w:val="20"/>
          <w:u w:val="single"/>
        </w:rPr>
      </w:pPr>
      <w:r w:rsidRPr="002A7CC0">
        <w:rPr>
          <w:rFonts w:ascii="Arial" w:hAnsi="Arial" w:cs="Arial"/>
          <w:b/>
          <w:bCs/>
          <w:sz w:val="20"/>
          <w:szCs w:val="20"/>
          <w:u w:val="single"/>
        </w:rPr>
        <w:t xml:space="preserve">2.3.1 </w:t>
      </w:r>
      <w:r w:rsidR="00FE70B9" w:rsidRPr="002A7CC0">
        <w:rPr>
          <w:rFonts w:ascii="Arial" w:hAnsi="Arial" w:cs="Arial"/>
          <w:b/>
          <w:bCs/>
          <w:sz w:val="20"/>
          <w:szCs w:val="20"/>
          <w:u w:val="single"/>
        </w:rPr>
        <w:t xml:space="preserve">Phase </w:t>
      </w:r>
      <w:r>
        <w:rPr>
          <w:rFonts w:ascii="Arial" w:hAnsi="Arial" w:cs="Arial"/>
          <w:b/>
          <w:bCs/>
          <w:sz w:val="20"/>
          <w:szCs w:val="20"/>
          <w:u w:val="single"/>
        </w:rPr>
        <w:t>I</w:t>
      </w:r>
    </w:p>
    <w:p w14:paraId="4A7AB976" w14:textId="4233B00F" w:rsidR="00E95EE8" w:rsidRPr="00FD227D" w:rsidRDefault="00FE70B9" w:rsidP="00FD227D">
      <w:pPr>
        <w:spacing w:line="360" w:lineRule="auto"/>
        <w:ind w:firstLine="720"/>
        <w:jc w:val="both"/>
        <w:rPr>
          <w:rFonts w:ascii="Arial" w:hAnsi="Arial" w:cs="Arial"/>
          <w:sz w:val="20"/>
          <w:szCs w:val="20"/>
        </w:rPr>
      </w:pPr>
      <w:r w:rsidRPr="002A7CC0">
        <w:rPr>
          <w:rFonts w:ascii="Arial" w:hAnsi="Arial" w:cs="Arial"/>
          <w:sz w:val="20"/>
          <w:szCs w:val="20"/>
        </w:rPr>
        <w:t xml:space="preserve">The preliminary step involved identifying the presence of a functional forward mandibular shift, suggestive of a pseudo-Class III malocclusion. To establish the true </w:t>
      </w:r>
      <w:r w:rsidR="00A073C9" w:rsidRPr="002A7CC0">
        <w:rPr>
          <w:rFonts w:ascii="Arial" w:hAnsi="Arial" w:cs="Arial"/>
          <w:sz w:val="20"/>
          <w:szCs w:val="20"/>
        </w:rPr>
        <w:t>maxilla-</w:t>
      </w:r>
      <w:r w:rsidRPr="002A7CC0">
        <w:rPr>
          <w:rFonts w:ascii="Arial" w:hAnsi="Arial" w:cs="Arial"/>
          <w:sz w:val="20"/>
          <w:szCs w:val="20"/>
        </w:rPr>
        <w:t>mandibular relationship, a centric relation record was obtained using a wax bite</w:t>
      </w:r>
      <w:r w:rsidR="00E95EE8" w:rsidRPr="002A7CC0">
        <w:rPr>
          <w:rFonts w:ascii="Arial" w:hAnsi="Arial" w:cs="Arial"/>
          <w:sz w:val="20"/>
          <w:szCs w:val="20"/>
        </w:rPr>
        <w:t xml:space="preserve"> with adequate vertical clearance</w:t>
      </w:r>
      <w:r w:rsidRPr="002A7CC0">
        <w:rPr>
          <w:rFonts w:ascii="Arial" w:hAnsi="Arial" w:cs="Arial"/>
          <w:sz w:val="20"/>
          <w:szCs w:val="20"/>
        </w:rPr>
        <w:t xml:space="preserve">, eliminating the habitual shift and aiding in accurate appliance planning and fabrication. </w:t>
      </w:r>
      <w:r w:rsidR="00FD227D" w:rsidRPr="00FD227D">
        <w:rPr>
          <w:rFonts w:ascii="Arial" w:hAnsi="Arial" w:cs="Arial"/>
          <w:sz w:val="20"/>
          <w:szCs w:val="20"/>
        </w:rPr>
        <w:t>(</w:t>
      </w:r>
      <w:proofErr w:type="spellStart"/>
      <w:r w:rsidR="00FD227D" w:rsidRPr="00FD227D">
        <w:rPr>
          <w:rFonts w:ascii="Arial" w:hAnsi="Arial" w:cs="Arial"/>
          <w:sz w:val="20"/>
          <w:szCs w:val="20"/>
        </w:rPr>
        <w:t>Wiedel</w:t>
      </w:r>
      <w:proofErr w:type="spellEnd"/>
      <w:r w:rsidR="00FD227D" w:rsidRPr="00FD227D">
        <w:rPr>
          <w:rFonts w:ascii="Arial" w:hAnsi="Arial" w:cs="Arial"/>
          <w:sz w:val="20"/>
          <w:szCs w:val="20"/>
        </w:rPr>
        <w:t xml:space="preserve"> and </w:t>
      </w:r>
      <w:proofErr w:type="spellStart"/>
      <w:r w:rsidR="00FD227D" w:rsidRPr="00FD227D">
        <w:rPr>
          <w:rFonts w:ascii="Arial" w:hAnsi="Arial" w:cs="Arial"/>
          <w:sz w:val="20"/>
          <w:szCs w:val="20"/>
        </w:rPr>
        <w:t>Bondemark</w:t>
      </w:r>
      <w:proofErr w:type="spellEnd"/>
      <w:r w:rsidR="00FD227D" w:rsidRPr="00FD227D">
        <w:rPr>
          <w:rFonts w:ascii="Arial" w:hAnsi="Arial" w:cs="Arial"/>
          <w:sz w:val="20"/>
          <w:szCs w:val="20"/>
        </w:rPr>
        <w:t xml:space="preserve">, 2015; </w:t>
      </w:r>
      <w:proofErr w:type="spellStart"/>
      <w:r w:rsidR="00FD227D" w:rsidRPr="00FD227D">
        <w:rPr>
          <w:rFonts w:ascii="Arial" w:hAnsi="Arial" w:cs="Arial"/>
          <w:sz w:val="20"/>
          <w:szCs w:val="20"/>
        </w:rPr>
        <w:t>Hamidaddin</w:t>
      </w:r>
      <w:proofErr w:type="spellEnd"/>
      <w:r w:rsidR="00FD227D" w:rsidRPr="00FD227D">
        <w:rPr>
          <w:rFonts w:ascii="Arial" w:hAnsi="Arial" w:cs="Arial"/>
          <w:sz w:val="20"/>
          <w:szCs w:val="20"/>
        </w:rPr>
        <w:t>, 2024)</w:t>
      </w:r>
      <w:r w:rsidR="00FD227D">
        <w:rPr>
          <w:rFonts w:ascii="Arial" w:hAnsi="Arial" w:cs="Arial"/>
          <w:sz w:val="20"/>
          <w:szCs w:val="20"/>
        </w:rPr>
        <w:t xml:space="preserve">. </w:t>
      </w:r>
      <w:r w:rsidR="00A54B39" w:rsidRPr="002A7CC0">
        <w:rPr>
          <w:rFonts w:ascii="Arial" w:hAnsi="Arial" w:cs="Arial"/>
          <w:sz w:val="20"/>
          <w:szCs w:val="20"/>
        </w:rPr>
        <w:t>The wax record was mounted on a mean value articulator</w:t>
      </w:r>
      <w:r w:rsidR="00E95EE8" w:rsidRPr="002A7CC0">
        <w:rPr>
          <w:rFonts w:ascii="Arial" w:hAnsi="Arial" w:cs="Arial"/>
          <w:sz w:val="20"/>
          <w:szCs w:val="20"/>
        </w:rPr>
        <w:t xml:space="preserve"> and the sagittal screw appliance was fabricated using a self-cure resin </w:t>
      </w:r>
      <w:r w:rsidR="00E95EE8" w:rsidRPr="002A7CC0">
        <w:rPr>
          <w:rFonts w:ascii="Arial" w:hAnsi="Arial" w:cs="Arial"/>
          <w:sz w:val="20"/>
          <w:szCs w:val="20"/>
          <w:lang w:val="en-IN"/>
        </w:rPr>
        <w:t xml:space="preserve">incorporating posterior occlusal bite blocks to facilitate anterior disocclusion and promote anterior correction. A 9 mm jackscrew was places </w:t>
      </w:r>
      <w:proofErr w:type="spellStart"/>
      <w:r w:rsidR="00E95EE8" w:rsidRPr="002A7CC0">
        <w:rPr>
          <w:rFonts w:ascii="Arial" w:hAnsi="Arial" w:cs="Arial"/>
          <w:sz w:val="20"/>
          <w:szCs w:val="20"/>
          <w:lang w:val="en-IN"/>
        </w:rPr>
        <w:t>sagittally</w:t>
      </w:r>
      <w:proofErr w:type="spellEnd"/>
      <w:r w:rsidR="00E95EE8" w:rsidRPr="002A7CC0">
        <w:rPr>
          <w:rFonts w:ascii="Arial" w:hAnsi="Arial" w:cs="Arial"/>
          <w:sz w:val="20"/>
          <w:szCs w:val="20"/>
          <w:lang w:val="en-IN"/>
        </w:rPr>
        <w:t xml:space="preserve"> in the midline and separation in the acrylic was made distally to canines. Adams clasps were utilized on the maxillary molars for optimal appliance retention.</w:t>
      </w:r>
      <w:r w:rsidR="00F4233F" w:rsidRPr="002A7CC0">
        <w:rPr>
          <w:rFonts w:ascii="Arial" w:hAnsi="Arial" w:cs="Arial"/>
          <w:sz w:val="20"/>
          <w:szCs w:val="20"/>
          <w:lang w:val="en-IN"/>
        </w:rPr>
        <w:t xml:space="preserve"> (Figure 2)</w:t>
      </w:r>
    </w:p>
    <w:p w14:paraId="42E0E750" w14:textId="1B7F9184" w:rsidR="00E456CD" w:rsidRDefault="00E456CD" w:rsidP="00E456CD">
      <w:pPr>
        <w:spacing w:line="360" w:lineRule="auto"/>
        <w:ind w:firstLine="720"/>
        <w:jc w:val="center"/>
        <w:rPr>
          <w:rFonts w:ascii="Arial" w:hAnsi="Arial" w:cs="Arial"/>
          <w:sz w:val="20"/>
          <w:szCs w:val="20"/>
        </w:rPr>
      </w:pPr>
      <w:r w:rsidRPr="00E456CD">
        <w:rPr>
          <w:rFonts w:ascii="Arial" w:hAnsi="Arial" w:cs="Arial"/>
          <w:noProof/>
          <w:sz w:val="20"/>
          <w:szCs w:val="20"/>
        </w:rPr>
        <w:drawing>
          <wp:inline distT="0" distB="0" distL="0" distR="0" wp14:anchorId="6FD46984" wp14:editId="225E6CC5">
            <wp:extent cx="4514850" cy="1905000"/>
            <wp:effectExtent l="0" t="0" r="0" b="0"/>
            <wp:docPr id="1484411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1905000"/>
                    </a:xfrm>
                    <a:prstGeom prst="rect">
                      <a:avLst/>
                    </a:prstGeom>
                    <a:noFill/>
                    <a:ln>
                      <a:noFill/>
                    </a:ln>
                  </pic:spPr>
                </pic:pic>
              </a:graphicData>
            </a:graphic>
          </wp:inline>
        </w:drawing>
      </w:r>
    </w:p>
    <w:p w14:paraId="1BFC46AA" w14:textId="77777777" w:rsidR="00E456CD" w:rsidRDefault="00E456CD" w:rsidP="00E456CD">
      <w:pPr>
        <w:spacing w:line="360" w:lineRule="auto"/>
        <w:ind w:left="360"/>
        <w:jc w:val="center"/>
        <w:rPr>
          <w:rFonts w:ascii="Arial" w:hAnsi="Arial" w:cs="Arial"/>
          <w:b/>
          <w:bCs/>
          <w:sz w:val="20"/>
          <w:szCs w:val="20"/>
        </w:rPr>
      </w:pPr>
      <w:r w:rsidRPr="00E456CD">
        <w:rPr>
          <w:rFonts w:ascii="Arial" w:hAnsi="Arial" w:cs="Arial"/>
          <w:b/>
          <w:bCs/>
          <w:sz w:val="20"/>
          <w:szCs w:val="20"/>
        </w:rPr>
        <w:t>Fig. 2. Fabrication of sagittal screw appliance on a mean value articulator.</w:t>
      </w:r>
    </w:p>
    <w:p w14:paraId="01794113" w14:textId="77777777" w:rsidR="00E456CD" w:rsidRDefault="00E456CD" w:rsidP="00E456CD">
      <w:pPr>
        <w:spacing w:line="360" w:lineRule="auto"/>
        <w:ind w:left="360"/>
        <w:jc w:val="center"/>
        <w:rPr>
          <w:rFonts w:ascii="Arial" w:hAnsi="Arial" w:cs="Arial"/>
          <w:b/>
          <w:bCs/>
          <w:sz w:val="20"/>
          <w:szCs w:val="20"/>
        </w:rPr>
      </w:pPr>
    </w:p>
    <w:p w14:paraId="2F491DC9" w14:textId="10446BAD" w:rsidR="00E95EE8" w:rsidRDefault="00E95EE8" w:rsidP="00E456CD">
      <w:pPr>
        <w:spacing w:line="360" w:lineRule="auto"/>
        <w:ind w:firstLine="360"/>
        <w:rPr>
          <w:rFonts w:ascii="Arial" w:hAnsi="Arial" w:cs="Arial"/>
          <w:sz w:val="20"/>
          <w:szCs w:val="20"/>
          <w:lang w:val="en-IN"/>
        </w:rPr>
      </w:pPr>
      <w:r w:rsidRPr="002A7CC0">
        <w:rPr>
          <w:rFonts w:ascii="Arial" w:hAnsi="Arial" w:cs="Arial"/>
          <w:sz w:val="20"/>
          <w:szCs w:val="20"/>
          <w:lang w:val="en-IN"/>
        </w:rPr>
        <w:t>The sagittal screw was activated at a rate of 0.5 mm per week, with periodic clinical evaluation. Activation was continued until correction of the anterior crossbite was achieved, thus resolving the</w:t>
      </w:r>
      <w:r w:rsidR="00E456CD">
        <w:rPr>
          <w:rFonts w:ascii="Arial" w:hAnsi="Arial" w:cs="Arial"/>
          <w:sz w:val="20"/>
          <w:szCs w:val="20"/>
          <w:lang w:val="en-IN"/>
        </w:rPr>
        <w:t xml:space="preserve"> </w:t>
      </w:r>
      <w:r w:rsidRPr="002A7CC0">
        <w:rPr>
          <w:rFonts w:ascii="Arial" w:hAnsi="Arial" w:cs="Arial"/>
          <w:sz w:val="20"/>
          <w:szCs w:val="20"/>
          <w:lang w:val="en-IN"/>
        </w:rPr>
        <w:t>functional discrepancy.</w:t>
      </w:r>
      <w:r w:rsidR="00E456CD">
        <w:rPr>
          <w:rFonts w:ascii="Arial" w:hAnsi="Arial" w:cs="Arial"/>
          <w:b/>
          <w:bCs/>
          <w:sz w:val="20"/>
          <w:szCs w:val="20"/>
        </w:rPr>
        <w:t xml:space="preserve"> </w:t>
      </w:r>
      <w:r w:rsidRPr="002A7CC0">
        <w:rPr>
          <w:rFonts w:ascii="Arial" w:hAnsi="Arial" w:cs="Arial"/>
          <w:sz w:val="20"/>
          <w:szCs w:val="20"/>
          <w:lang w:val="en-IN"/>
        </w:rPr>
        <w:t>To maintain the achieved arch integrity and prevent mesial migration of the mandibular molars, a passive mandibular lingual holding arch was placed, ensuring space maintenance and stabilizing the occlusion during the transition phase.</w:t>
      </w:r>
      <w:r w:rsidR="00F4233F" w:rsidRPr="002A7CC0">
        <w:rPr>
          <w:rFonts w:ascii="Arial" w:hAnsi="Arial" w:cs="Arial"/>
          <w:sz w:val="20"/>
          <w:szCs w:val="20"/>
          <w:lang w:val="en-IN"/>
        </w:rPr>
        <w:t xml:space="preserve"> (Figure 3)</w:t>
      </w:r>
    </w:p>
    <w:p w14:paraId="5416881D" w14:textId="579D94EC" w:rsidR="00E456CD" w:rsidRDefault="005D4BC4" w:rsidP="00E456CD">
      <w:pPr>
        <w:spacing w:line="360" w:lineRule="auto"/>
        <w:ind w:firstLine="360"/>
        <w:rPr>
          <w:rFonts w:ascii="Arial" w:hAnsi="Arial" w:cs="Arial"/>
          <w:sz w:val="20"/>
          <w:szCs w:val="20"/>
          <w:lang w:val="en-IN"/>
        </w:rPr>
      </w:pPr>
      <w:r w:rsidRPr="00E456CD">
        <w:rPr>
          <w:rFonts w:ascii="Arial" w:hAnsi="Arial" w:cs="Arial"/>
          <w:b/>
          <w:bCs/>
          <w:noProof/>
          <w:sz w:val="20"/>
          <w:szCs w:val="20"/>
        </w:rPr>
        <w:drawing>
          <wp:anchor distT="0" distB="0" distL="114300" distR="114300" simplePos="0" relativeHeight="251658240" behindDoc="0" locked="0" layoutInCell="1" allowOverlap="1" wp14:anchorId="7D30D43E" wp14:editId="25A2C0FB">
            <wp:simplePos x="0" y="0"/>
            <wp:positionH relativeFrom="column">
              <wp:posOffset>983615</wp:posOffset>
            </wp:positionH>
            <wp:positionV relativeFrom="paragraph">
              <wp:posOffset>72390</wp:posOffset>
            </wp:positionV>
            <wp:extent cx="3969109" cy="2833255"/>
            <wp:effectExtent l="0" t="0" r="0" b="5715"/>
            <wp:wrapNone/>
            <wp:docPr id="1875431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109" cy="283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B53AC" w14:textId="4038A1A2" w:rsidR="00E456CD" w:rsidRPr="00E456CD" w:rsidRDefault="00E456CD" w:rsidP="00E456CD">
      <w:pPr>
        <w:spacing w:line="360" w:lineRule="auto"/>
        <w:ind w:firstLine="360"/>
        <w:rPr>
          <w:rFonts w:ascii="Arial" w:hAnsi="Arial" w:cs="Arial"/>
          <w:b/>
          <w:bCs/>
          <w:sz w:val="20"/>
          <w:szCs w:val="20"/>
        </w:rPr>
      </w:pPr>
    </w:p>
    <w:p w14:paraId="312163A3" w14:textId="77777777" w:rsidR="005D4BC4" w:rsidRDefault="005D4BC4" w:rsidP="00E456CD">
      <w:pPr>
        <w:spacing w:line="360" w:lineRule="auto"/>
        <w:ind w:left="360"/>
        <w:jc w:val="both"/>
        <w:rPr>
          <w:rFonts w:ascii="Arial" w:hAnsi="Arial" w:cs="Arial"/>
          <w:b/>
          <w:bCs/>
          <w:sz w:val="20"/>
          <w:szCs w:val="20"/>
        </w:rPr>
      </w:pPr>
    </w:p>
    <w:p w14:paraId="1762E5E6" w14:textId="77777777" w:rsidR="005D4BC4" w:rsidRDefault="005D4BC4" w:rsidP="00E456CD">
      <w:pPr>
        <w:spacing w:line="360" w:lineRule="auto"/>
        <w:ind w:left="360"/>
        <w:jc w:val="both"/>
        <w:rPr>
          <w:rFonts w:ascii="Arial" w:hAnsi="Arial" w:cs="Arial"/>
          <w:b/>
          <w:bCs/>
          <w:sz w:val="20"/>
          <w:szCs w:val="20"/>
        </w:rPr>
      </w:pPr>
    </w:p>
    <w:p w14:paraId="3615B2E8" w14:textId="77777777" w:rsidR="005D4BC4" w:rsidRDefault="005D4BC4" w:rsidP="00E456CD">
      <w:pPr>
        <w:spacing w:line="360" w:lineRule="auto"/>
        <w:ind w:left="360"/>
        <w:jc w:val="both"/>
        <w:rPr>
          <w:rFonts w:ascii="Arial" w:hAnsi="Arial" w:cs="Arial"/>
          <w:b/>
          <w:bCs/>
          <w:sz w:val="20"/>
          <w:szCs w:val="20"/>
        </w:rPr>
      </w:pPr>
    </w:p>
    <w:p w14:paraId="55D1A41B" w14:textId="77777777" w:rsidR="005D4BC4" w:rsidRDefault="005D4BC4" w:rsidP="00E456CD">
      <w:pPr>
        <w:spacing w:line="360" w:lineRule="auto"/>
        <w:ind w:left="360"/>
        <w:jc w:val="both"/>
        <w:rPr>
          <w:rFonts w:ascii="Arial" w:hAnsi="Arial" w:cs="Arial"/>
          <w:b/>
          <w:bCs/>
          <w:sz w:val="20"/>
          <w:szCs w:val="20"/>
        </w:rPr>
      </w:pPr>
    </w:p>
    <w:p w14:paraId="779E13D5" w14:textId="77777777" w:rsidR="005D4BC4" w:rsidRDefault="005D4BC4" w:rsidP="00E456CD">
      <w:pPr>
        <w:spacing w:line="360" w:lineRule="auto"/>
        <w:ind w:left="360"/>
        <w:jc w:val="both"/>
        <w:rPr>
          <w:rFonts w:ascii="Arial" w:hAnsi="Arial" w:cs="Arial"/>
          <w:b/>
          <w:bCs/>
          <w:sz w:val="20"/>
          <w:szCs w:val="20"/>
        </w:rPr>
      </w:pPr>
    </w:p>
    <w:p w14:paraId="71FEA9ED" w14:textId="77777777" w:rsidR="005D4BC4" w:rsidRDefault="005D4BC4" w:rsidP="00E456CD">
      <w:pPr>
        <w:spacing w:line="360" w:lineRule="auto"/>
        <w:ind w:left="360"/>
        <w:jc w:val="both"/>
        <w:rPr>
          <w:rFonts w:ascii="Arial" w:hAnsi="Arial" w:cs="Arial"/>
          <w:b/>
          <w:bCs/>
          <w:sz w:val="20"/>
          <w:szCs w:val="20"/>
        </w:rPr>
      </w:pPr>
    </w:p>
    <w:p w14:paraId="459893BA" w14:textId="77777777" w:rsidR="005D4BC4" w:rsidRDefault="005D4BC4" w:rsidP="00E456CD">
      <w:pPr>
        <w:spacing w:line="360" w:lineRule="auto"/>
        <w:ind w:left="360"/>
        <w:jc w:val="both"/>
        <w:rPr>
          <w:rFonts w:ascii="Arial" w:hAnsi="Arial" w:cs="Arial"/>
          <w:b/>
          <w:bCs/>
          <w:sz w:val="20"/>
          <w:szCs w:val="20"/>
        </w:rPr>
      </w:pPr>
    </w:p>
    <w:p w14:paraId="33E1A4A4" w14:textId="77777777" w:rsidR="005D4BC4" w:rsidRDefault="005D4BC4" w:rsidP="00E456CD">
      <w:pPr>
        <w:spacing w:line="360" w:lineRule="auto"/>
        <w:ind w:left="360"/>
        <w:jc w:val="both"/>
        <w:rPr>
          <w:rFonts w:ascii="Arial" w:hAnsi="Arial" w:cs="Arial"/>
          <w:b/>
          <w:bCs/>
          <w:sz w:val="20"/>
          <w:szCs w:val="20"/>
        </w:rPr>
      </w:pPr>
    </w:p>
    <w:p w14:paraId="763064FB" w14:textId="3B37B115" w:rsidR="00E456CD" w:rsidRDefault="00E456CD" w:rsidP="00E456CD">
      <w:pPr>
        <w:spacing w:line="360" w:lineRule="auto"/>
        <w:ind w:left="360"/>
        <w:jc w:val="both"/>
        <w:rPr>
          <w:rFonts w:ascii="Arial" w:hAnsi="Arial" w:cs="Arial"/>
          <w:b/>
          <w:bCs/>
          <w:sz w:val="20"/>
          <w:szCs w:val="20"/>
        </w:rPr>
      </w:pPr>
      <w:r w:rsidRPr="00E456CD">
        <w:rPr>
          <w:rFonts w:ascii="Arial" w:hAnsi="Arial" w:cs="Arial"/>
          <w:b/>
          <w:bCs/>
          <w:sz w:val="20"/>
          <w:szCs w:val="20"/>
        </w:rPr>
        <w:t>Fig</w:t>
      </w:r>
      <w:r>
        <w:rPr>
          <w:rFonts w:ascii="Arial" w:hAnsi="Arial" w:cs="Arial"/>
          <w:b/>
          <w:bCs/>
          <w:sz w:val="20"/>
          <w:szCs w:val="20"/>
        </w:rPr>
        <w:t>.</w:t>
      </w:r>
      <w:r w:rsidRPr="00E456CD">
        <w:rPr>
          <w:rFonts w:ascii="Arial" w:hAnsi="Arial" w:cs="Arial"/>
          <w:b/>
          <w:bCs/>
          <w:sz w:val="20"/>
          <w:szCs w:val="20"/>
        </w:rPr>
        <w:t xml:space="preserve"> 3. Intraoral and extraoral views showing the sagittal screw appliance during the active treatment phase</w:t>
      </w:r>
      <w:r>
        <w:rPr>
          <w:rFonts w:ascii="Arial" w:hAnsi="Arial" w:cs="Arial"/>
          <w:b/>
          <w:bCs/>
          <w:sz w:val="20"/>
          <w:szCs w:val="20"/>
        </w:rPr>
        <w:t>.</w:t>
      </w:r>
    </w:p>
    <w:p w14:paraId="2030E23E" w14:textId="77777777" w:rsidR="00E456CD" w:rsidRDefault="00E456CD" w:rsidP="00E456CD">
      <w:pPr>
        <w:spacing w:line="360" w:lineRule="auto"/>
        <w:ind w:left="360"/>
        <w:jc w:val="both"/>
        <w:rPr>
          <w:rFonts w:ascii="Arial" w:hAnsi="Arial" w:cs="Arial"/>
          <w:b/>
          <w:bCs/>
          <w:sz w:val="20"/>
          <w:szCs w:val="20"/>
        </w:rPr>
      </w:pPr>
    </w:p>
    <w:p w14:paraId="0FA57EAE" w14:textId="03C7B9D5" w:rsidR="00AE50DA" w:rsidRPr="00E456CD" w:rsidRDefault="002A7CC0" w:rsidP="00E456CD">
      <w:pPr>
        <w:spacing w:line="360" w:lineRule="auto"/>
        <w:ind w:left="360"/>
        <w:jc w:val="both"/>
        <w:rPr>
          <w:rFonts w:ascii="Arial" w:hAnsi="Arial" w:cs="Arial"/>
          <w:b/>
          <w:bCs/>
          <w:sz w:val="20"/>
          <w:szCs w:val="20"/>
        </w:rPr>
      </w:pPr>
      <w:r w:rsidRPr="002A7CC0">
        <w:rPr>
          <w:rFonts w:ascii="Arial" w:hAnsi="Arial" w:cs="Arial"/>
          <w:b/>
          <w:bCs/>
          <w:sz w:val="20"/>
          <w:szCs w:val="20"/>
          <w:u w:val="single"/>
        </w:rPr>
        <w:t>2.3.2</w:t>
      </w:r>
      <w:r>
        <w:rPr>
          <w:rFonts w:ascii="Arial" w:hAnsi="Arial" w:cs="Arial"/>
          <w:b/>
          <w:bCs/>
          <w:sz w:val="20"/>
          <w:szCs w:val="20"/>
          <w:u w:val="single"/>
        </w:rPr>
        <w:t xml:space="preserve"> </w:t>
      </w:r>
      <w:r w:rsidR="00D05A99" w:rsidRPr="002A7CC0">
        <w:rPr>
          <w:rFonts w:ascii="Arial" w:hAnsi="Arial" w:cs="Arial"/>
          <w:b/>
          <w:bCs/>
          <w:sz w:val="20"/>
          <w:szCs w:val="20"/>
          <w:u w:val="single"/>
        </w:rPr>
        <w:t>Phase</w:t>
      </w:r>
      <w:r w:rsidR="00A729FC" w:rsidRPr="002A7CC0">
        <w:rPr>
          <w:rFonts w:ascii="Arial" w:hAnsi="Arial" w:cs="Arial"/>
          <w:b/>
          <w:bCs/>
          <w:sz w:val="20"/>
          <w:szCs w:val="20"/>
          <w:u w:val="single"/>
        </w:rPr>
        <w:t xml:space="preserve"> </w:t>
      </w:r>
      <w:r w:rsidR="00D05A99" w:rsidRPr="002A7CC0">
        <w:rPr>
          <w:rFonts w:ascii="Arial" w:hAnsi="Arial" w:cs="Arial"/>
          <w:b/>
          <w:bCs/>
          <w:sz w:val="20"/>
          <w:szCs w:val="20"/>
          <w:u w:val="single"/>
        </w:rPr>
        <w:t>II</w:t>
      </w:r>
    </w:p>
    <w:p w14:paraId="7250C0BE" w14:textId="1EFF3987" w:rsidR="00F64767" w:rsidRDefault="00D05A99" w:rsidP="00F64767">
      <w:pPr>
        <w:spacing w:line="360" w:lineRule="auto"/>
        <w:ind w:firstLine="720"/>
        <w:jc w:val="both"/>
        <w:rPr>
          <w:rFonts w:ascii="Arial" w:hAnsi="Arial" w:cs="Arial"/>
          <w:sz w:val="20"/>
          <w:szCs w:val="20"/>
        </w:rPr>
      </w:pPr>
      <w:r w:rsidRPr="002A7CC0">
        <w:rPr>
          <w:rFonts w:ascii="Arial" w:hAnsi="Arial" w:cs="Arial"/>
          <w:sz w:val="20"/>
          <w:szCs w:val="20"/>
        </w:rPr>
        <w:t xml:space="preserve">Fixed mechanotherapy was undertaken using the MBT appliance system with a 0.018" slot prescription. The primary objectives in this phase were the alignment, leveling, and comprehensive finishing of both arches. Space available distal to the mandibular first premolars was judiciously utilized for the resolution of anterior crowding. Labial root torque of the maxillary incisors was achieved by incorporating labial torque into a 0.017" × 0.025" stainless steel </w:t>
      </w:r>
      <w:r w:rsidR="005D4BC4" w:rsidRPr="002A7CC0">
        <w:rPr>
          <w:rFonts w:ascii="Arial" w:hAnsi="Arial" w:cs="Arial"/>
          <w:sz w:val="20"/>
          <w:szCs w:val="20"/>
        </w:rPr>
        <w:t>arch wire</w:t>
      </w:r>
      <w:r w:rsidRPr="002A7CC0">
        <w:rPr>
          <w:rFonts w:ascii="Arial" w:hAnsi="Arial" w:cs="Arial"/>
          <w:sz w:val="20"/>
          <w:szCs w:val="20"/>
        </w:rPr>
        <w:t>, with precision V-bends placed mesial to the maxillary canines to enhance torque expression. This phase of treatment resulted in the normalization of the overjet and overbite, and the maintain correction of the functional anterior mandibular shift. A stable Class I occlusion was achieved, accompanied by a harmonious facial profile and improved soft tissue balance</w:t>
      </w:r>
      <w:r w:rsidR="0097386C" w:rsidRPr="002A7CC0">
        <w:rPr>
          <w:rFonts w:ascii="Arial" w:hAnsi="Arial" w:cs="Arial"/>
          <w:sz w:val="20"/>
          <w:szCs w:val="20"/>
        </w:rPr>
        <w:t>.</w:t>
      </w:r>
      <w:r w:rsidR="00A65ADD" w:rsidRPr="002A7CC0">
        <w:rPr>
          <w:rFonts w:ascii="Arial" w:hAnsi="Arial" w:cs="Arial"/>
          <w:sz w:val="20"/>
          <w:szCs w:val="20"/>
        </w:rPr>
        <w:t xml:space="preserve"> (Figure 4)</w:t>
      </w:r>
    </w:p>
    <w:p w14:paraId="26DAD4D9" w14:textId="4A7EA9DE" w:rsidR="00F64767" w:rsidRDefault="00CD5DB6" w:rsidP="00F64767">
      <w:pPr>
        <w:spacing w:line="360" w:lineRule="auto"/>
        <w:ind w:firstLine="720"/>
        <w:jc w:val="both"/>
        <w:rPr>
          <w:rFonts w:ascii="Arial" w:hAnsi="Arial" w:cs="Arial"/>
          <w:sz w:val="20"/>
          <w:szCs w:val="20"/>
        </w:rPr>
      </w:pPr>
      <w:r w:rsidRPr="00E456CD">
        <w:rPr>
          <w:rFonts w:ascii="Arial" w:hAnsi="Arial" w:cs="Arial"/>
          <w:noProof/>
          <w:sz w:val="20"/>
          <w:szCs w:val="20"/>
        </w:rPr>
        <w:lastRenderedPageBreak/>
        <w:drawing>
          <wp:inline distT="0" distB="0" distL="0" distR="0" wp14:anchorId="2891E436" wp14:editId="1DC1C716">
            <wp:extent cx="4197927" cy="2778651"/>
            <wp:effectExtent l="0" t="0" r="0" b="3175"/>
            <wp:docPr id="1642617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927" cy="2778651"/>
                    </a:xfrm>
                    <a:prstGeom prst="rect">
                      <a:avLst/>
                    </a:prstGeom>
                    <a:noFill/>
                    <a:ln>
                      <a:noFill/>
                    </a:ln>
                  </pic:spPr>
                </pic:pic>
              </a:graphicData>
            </a:graphic>
          </wp:inline>
        </w:drawing>
      </w:r>
    </w:p>
    <w:p w14:paraId="48163E54" w14:textId="609C8AD8" w:rsidR="00CD5DB6" w:rsidRDefault="00CD5DB6" w:rsidP="00E456CD">
      <w:pPr>
        <w:spacing w:line="360" w:lineRule="auto"/>
        <w:ind w:firstLine="720"/>
        <w:jc w:val="both"/>
        <w:rPr>
          <w:rFonts w:ascii="Arial" w:hAnsi="Arial" w:cs="Arial"/>
          <w:sz w:val="20"/>
          <w:szCs w:val="20"/>
        </w:rPr>
      </w:pPr>
    </w:p>
    <w:p w14:paraId="49A48C62" w14:textId="3339F5DE" w:rsidR="00E456CD" w:rsidRPr="00E456CD" w:rsidRDefault="00E456CD" w:rsidP="00E456CD">
      <w:pPr>
        <w:spacing w:line="360" w:lineRule="auto"/>
        <w:ind w:left="360"/>
        <w:jc w:val="both"/>
        <w:rPr>
          <w:rFonts w:ascii="Arial" w:hAnsi="Arial" w:cs="Arial"/>
          <w:b/>
          <w:bCs/>
          <w:sz w:val="20"/>
          <w:szCs w:val="20"/>
        </w:rPr>
      </w:pPr>
      <w:r w:rsidRPr="00E456CD">
        <w:rPr>
          <w:rFonts w:ascii="Arial" w:hAnsi="Arial" w:cs="Arial"/>
          <w:b/>
          <w:bCs/>
          <w:sz w:val="20"/>
          <w:szCs w:val="20"/>
        </w:rPr>
        <w:t>Fig</w:t>
      </w:r>
      <w:r>
        <w:rPr>
          <w:rFonts w:ascii="Arial" w:hAnsi="Arial" w:cs="Arial"/>
          <w:b/>
          <w:bCs/>
          <w:sz w:val="20"/>
          <w:szCs w:val="20"/>
        </w:rPr>
        <w:t>.</w:t>
      </w:r>
      <w:r w:rsidRPr="00E456CD">
        <w:rPr>
          <w:rFonts w:ascii="Arial" w:hAnsi="Arial" w:cs="Arial"/>
          <w:b/>
          <w:bCs/>
          <w:sz w:val="20"/>
          <w:szCs w:val="20"/>
        </w:rPr>
        <w:t xml:space="preserve"> 4. Mid-treatment photographs showing fixed orthodontic treatment following sagittal correction.</w:t>
      </w:r>
    </w:p>
    <w:p w14:paraId="79A13C51" w14:textId="43E41F68" w:rsidR="00E456CD" w:rsidRPr="002A7CC0" w:rsidRDefault="00E456CD" w:rsidP="0037387A">
      <w:pPr>
        <w:spacing w:line="360" w:lineRule="auto"/>
        <w:ind w:firstLine="720"/>
        <w:jc w:val="both"/>
        <w:rPr>
          <w:rFonts w:ascii="Arial" w:hAnsi="Arial" w:cs="Arial"/>
          <w:sz w:val="20"/>
          <w:szCs w:val="20"/>
        </w:rPr>
      </w:pPr>
    </w:p>
    <w:p w14:paraId="5A9036DD" w14:textId="2C4EC4E5" w:rsidR="001F70E0" w:rsidRDefault="001F70E0" w:rsidP="0037387A">
      <w:pPr>
        <w:spacing w:line="360" w:lineRule="auto"/>
        <w:ind w:firstLine="720"/>
        <w:jc w:val="both"/>
        <w:rPr>
          <w:rFonts w:ascii="Arial" w:hAnsi="Arial" w:cs="Arial"/>
          <w:sz w:val="20"/>
          <w:szCs w:val="20"/>
        </w:rPr>
      </w:pPr>
      <w:r w:rsidRPr="002A7CC0">
        <w:rPr>
          <w:rFonts w:ascii="Arial" w:hAnsi="Arial" w:cs="Arial"/>
          <w:sz w:val="20"/>
          <w:szCs w:val="20"/>
        </w:rPr>
        <w:t>Final finishing was carried out with light elastics to refine the occlusion. After satisfactory intercuspation was achieved, debonding was carried out. The post-treatment extraoral and intraoral photographs demonstrate improved facial profile, corrected anterior and posterior occlusion, and stable arch form (Figure 5).</w:t>
      </w:r>
    </w:p>
    <w:p w14:paraId="6D46A4A7" w14:textId="77777777" w:rsidR="00CD5DB6" w:rsidRDefault="00CD5DB6" w:rsidP="0037387A">
      <w:pPr>
        <w:spacing w:line="360" w:lineRule="auto"/>
        <w:ind w:firstLine="720"/>
        <w:jc w:val="both"/>
        <w:rPr>
          <w:rFonts w:ascii="Arial" w:hAnsi="Arial" w:cs="Arial"/>
          <w:sz w:val="20"/>
          <w:szCs w:val="20"/>
        </w:rPr>
      </w:pPr>
    </w:p>
    <w:p w14:paraId="799665EC" w14:textId="756515D1" w:rsidR="005D4BC4" w:rsidRPr="005D4BC4" w:rsidRDefault="005D4BC4" w:rsidP="005D4BC4">
      <w:pPr>
        <w:spacing w:line="360" w:lineRule="auto"/>
        <w:ind w:firstLine="720"/>
        <w:jc w:val="both"/>
        <w:rPr>
          <w:rFonts w:ascii="Arial" w:hAnsi="Arial" w:cs="Arial"/>
          <w:sz w:val="20"/>
          <w:szCs w:val="20"/>
        </w:rPr>
      </w:pPr>
    </w:p>
    <w:p w14:paraId="2046B521" w14:textId="4202D8A4" w:rsidR="00E456CD" w:rsidRDefault="00CD5DB6" w:rsidP="0037387A">
      <w:pPr>
        <w:spacing w:line="360" w:lineRule="auto"/>
        <w:ind w:firstLine="720"/>
        <w:jc w:val="both"/>
        <w:rPr>
          <w:rFonts w:ascii="Arial" w:hAnsi="Arial" w:cs="Arial"/>
          <w:sz w:val="20"/>
          <w:szCs w:val="20"/>
        </w:rPr>
      </w:pPr>
      <w:r w:rsidRPr="005D4BC4">
        <w:rPr>
          <w:rFonts w:ascii="Arial" w:hAnsi="Arial" w:cs="Arial"/>
          <w:noProof/>
          <w:sz w:val="20"/>
          <w:szCs w:val="20"/>
        </w:rPr>
        <w:lastRenderedPageBreak/>
        <w:drawing>
          <wp:inline distT="0" distB="0" distL="0" distR="0" wp14:anchorId="6C57A65E" wp14:editId="3ABDF6E1">
            <wp:extent cx="5001574" cy="3299381"/>
            <wp:effectExtent l="0" t="0" r="8890" b="0"/>
            <wp:docPr id="1177888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1574" cy="3299381"/>
                    </a:xfrm>
                    <a:prstGeom prst="rect">
                      <a:avLst/>
                    </a:prstGeom>
                    <a:noFill/>
                    <a:ln>
                      <a:noFill/>
                    </a:ln>
                  </pic:spPr>
                </pic:pic>
              </a:graphicData>
            </a:graphic>
          </wp:inline>
        </w:drawing>
      </w:r>
    </w:p>
    <w:p w14:paraId="420F5FE6" w14:textId="143EAB13" w:rsidR="005D4BC4" w:rsidRDefault="005D4BC4" w:rsidP="00473C6B">
      <w:pPr>
        <w:spacing w:line="360" w:lineRule="auto"/>
        <w:jc w:val="center"/>
        <w:rPr>
          <w:rFonts w:ascii="Arial" w:hAnsi="Arial" w:cs="Arial"/>
          <w:b/>
          <w:bCs/>
          <w:sz w:val="20"/>
          <w:szCs w:val="20"/>
        </w:rPr>
      </w:pPr>
      <w:r w:rsidRPr="005D4BC4">
        <w:rPr>
          <w:rFonts w:ascii="Arial" w:hAnsi="Arial" w:cs="Arial"/>
          <w:b/>
          <w:bCs/>
          <w:sz w:val="20"/>
          <w:szCs w:val="20"/>
        </w:rPr>
        <w:t>Fig</w:t>
      </w:r>
      <w:r>
        <w:rPr>
          <w:rFonts w:ascii="Arial" w:hAnsi="Arial" w:cs="Arial"/>
          <w:b/>
          <w:bCs/>
          <w:sz w:val="20"/>
          <w:szCs w:val="20"/>
        </w:rPr>
        <w:t>.</w:t>
      </w:r>
      <w:r w:rsidRPr="005D4BC4">
        <w:rPr>
          <w:rFonts w:ascii="Arial" w:hAnsi="Arial" w:cs="Arial"/>
          <w:b/>
          <w:bCs/>
          <w:sz w:val="20"/>
          <w:szCs w:val="20"/>
        </w:rPr>
        <w:t xml:space="preserve"> 5. Post-treatment extraoral and intraoral photographs</w:t>
      </w:r>
    </w:p>
    <w:p w14:paraId="271428FA" w14:textId="77777777" w:rsidR="00CD5DB6" w:rsidRDefault="00CD5DB6" w:rsidP="00473C6B">
      <w:pPr>
        <w:spacing w:line="360" w:lineRule="auto"/>
        <w:jc w:val="both"/>
        <w:rPr>
          <w:rFonts w:ascii="Arial" w:hAnsi="Arial" w:cs="Arial"/>
          <w:b/>
          <w:bCs/>
          <w:sz w:val="20"/>
          <w:szCs w:val="20"/>
        </w:rPr>
      </w:pPr>
    </w:p>
    <w:p w14:paraId="6574FCED" w14:textId="1BC9C841" w:rsidR="00473C6B" w:rsidRPr="002A7CC0" w:rsidRDefault="00473C6B" w:rsidP="00473C6B">
      <w:pPr>
        <w:spacing w:line="360" w:lineRule="auto"/>
        <w:jc w:val="both"/>
        <w:rPr>
          <w:rFonts w:ascii="Arial" w:hAnsi="Arial" w:cs="Arial"/>
          <w:b/>
          <w:bCs/>
          <w:sz w:val="20"/>
          <w:szCs w:val="20"/>
          <w:u w:val="single"/>
        </w:rPr>
      </w:pPr>
      <w:r w:rsidRPr="002A7CC0">
        <w:rPr>
          <w:rFonts w:ascii="Arial" w:hAnsi="Arial" w:cs="Arial"/>
          <w:b/>
          <w:bCs/>
          <w:sz w:val="20"/>
          <w:szCs w:val="20"/>
          <w:u w:val="single"/>
        </w:rPr>
        <w:t>2.3.3 Retention Protocol</w:t>
      </w:r>
    </w:p>
    <w:p w14:paraId="5417F985" w14:textId="45261D1B" w:rsidR="00473C6B" w:rsidRPr="002A7CC0" w:rsidRDefault="00473C6B" w:rsidP="00473C6B">
      <w:pPr>
        <w:spacing w:line="360" w:lineRule="auto"/>
        <w:ind w:firstLine="720"/>
        <w:jc w:val="both"/>
        <w:rPr>
          <w:rFonts w:ascii="Arial" w:hAnsi="Arial" w:cs="Arial"/>
          <w:sz w:val="20"/>
          <w:szCs w:val="20"/>
        </w:rPr>
      </w:pPr>
      <w:r w:rsidRPr="002A7CC0">
        <w:rPr>
          <w:rFonts w:ascii="Arial" w:hAnsi="Arial" w:cs="Arial"/>
          <w:sz w:val="20"/>
          <w:szCs w:val="20"/>
        </w:rPr>
        <w:t xml:space="preserve">post-treatment, a maxillary wraparound Hawley retainer and fixed bonded lingual retainer were given to maintain incisor position and transverse arch form. In the mandibular arch, a fixed bonded retainer was placed from canine to canine to prevent relapse of anterior alignment. The upper retainer was worn full-time for 6 months, followed by night-time wear. The patient was monitored at regular intervals to ensure occlusal stability and appliance integrity. </w:t>
      </w:r>
    </w:p>
    <w:p w14:paraId="3857910F" w14:textId="77777777" w:rsidR="00473C6B" w:rsidRDefault="00473C6B" w:rsidP="00A65ADD">
      <w:pPr>
        <w:spacing w:line="360" w:lineRule="auto"/>
        <w:jc w:val="center"/>
        <w:rPr>
          <w:rFonts w:ascii="Arial" w:hAnsi="Arial" w:cs="Arial"/>
          <w:b/>
          <w:bCs/>
          <w:sz w:val="20"/>
          <w:szCs w:val="20"/>
        </w:rPr>
      </w:pPr>
    </w:p>
    <w:p w14:paraId="3B2F8390" w14:textId="77777777" w:rsidR="00473C6B" w:rsidRDefault="00473C6B" w:rsidP="00A65ADD">
      <w:pPr>
        <w:spacing w:line="360" w:lineRule="auto"/>
        <w:jc w:val="center"/>
        <w:rPr>
          <w:rFonts w:ascii="Arial" w:hAnsi="Arial" w:cs="Arial"/>
          <w:b/>
          <w:bCs/>
          <w:sz w:val="20"/>
          <w:szCs w:val="20"/>
        </w:rPr>
      </w:pPr>
    </w:p>
    <w:p w14:paraId="57977391" w14:textId="77777777" w:rsidR="00473C6B" w:rsidRDefault="00473C6B" w:rsidP="00473C6B">
      <w:pPr>
        <w:spacing w:line="360" w:lineRule="auto"/>
        <w:rPr>
          <w:rFonts w:ascii="Arial" w:hAnsi="Arial" w:cs="Arial"/>
          <w:b/>
          <w:bCs/>
          <w:sz w:val="20"/>
          <w:szCs w:val="20"/>
        </w:rPr>
      </w:pPr>
    </w:p>
    <w:p w14:paraId="1C0A065F" w14:textId="77777777" w:rsidR="00CD5DB6" w:rsidRDefault="00CD5DB6" w:rsidP="00473C6B">
      <w:pPr>
        <w:spacing w:line="360" w:lineRule="auto"/>
        <w:rPr>
          <w:rFonts w:ascii="Arial" w:hAnsi="Arial" w:cs="Arial"/>
          <w:b/>
          <w:bCs/>
          <w:sz w:val="20"/>
          <w:szCs w:val="20"/>
        </w:rPr>
      </w:pPr>
    </w:p>
    <w:p w14:paraId="5BBBEDCD" w14:textId="77777777" w:rsidR="00CD5DB6" w:rsidRDefault="00CD5DB6" w:rsidP="00473C6B">
      <w:pPr>
        <w:spacing w:line="360" w:lineRule="auto"/>
        <w:rPr>
          <w:rFonts w:ascii="Arial" w:hAnsi="Arial" w:cs="Arial"/>
          <w:b/>
          <w:bCs/>
          <w:sz w:val="20"/>
          <w:szCs w:val="20"/>
        </w:rPr>
      </w:pPr>
    </w:p>
    <w:p w14:paraId="0D495DC2" w14:textId="77777777" w:rsidR="00CD5DB6" w:rsidRDefault="00CD5DB6" w:rsidP="00473C6B">
      <w:pPr>
        <w:spacing w:line="360" w:lineRule="auto"/>
        <w:rPr>
          <w:rFonts w:ascii="Arial" w:hAnsi="Arial" w:cs="Arial"/>
          <w:b/>
          <w:bCs/>
          <w:sz w:val="20"/>
          <w:szCs w:val="20"/>
        </w:rPr>
      </w:pPr>
    </w:p>
    <w:p w14:paraId="28A54F64" w14:textId="77777777" w:rsidR="00CD5DB6" w:rsidRDefault="00CD5DB6" w:rsidP="00473C6B">
      <w:pPr>
        <w:spacing w:line="360" w:lineRule="auto"/>
        <w:rPr>
          <w:rFonts w:ascii="Arial" w:hAnsi="Arial" w:cs="Arial"/>
          <w:b/>
          <w:bCs/>
          <w:sz w:val="20"/>
          <w:szCs w:val="20"/>
        </w:rPr>
      </w:pPr>
    </w:p>
    <w:p w14:paraId="79A2445A" w14:textId="77777777" w:rsidR="00CD5DB6" w:rsidRDefault="00CD5DB6" w:rsidP="00473C6B">
      <w:pPr>
        <w:spacing w:line="360" w:lineRule="auto"/>
        <w:rPr>
          <w:rFonts w:ascii="Arial" w:hAnsi="Arial" w:cs="Arial"/>
          <w:b/>
          <w:bCs/>
          <w:sz w:val="20"/>
          <w:szCs w:val="20"/>
        </w:rPr>
      </w:pPr>
    </w:p>
    <w:p w14:paraId="245311F3" w14:textId="36CC52F6" w:rsidR="00984AE6" w:rsidRPr="002A7CC0" w:rsidRDefault="00A65ADD" w:rsidP="00473C6B">
      <w:pPr>
        <w:spacing w:line="360" w:lineRule="auto"/>
        <w:jc w:val="center"/>
        <w:rPr>
          <w:rFonts w:ascii="Arial" w:hAnsi="Arial" w:cs="Arial"/>
          <w:b/>
          <w:bCs/>
          <w:sz w:val="20"/>
          <w:szCs w:val="20"/>
        </w:rPr>
      </w:pPr>
      <w:r w:rsidRPr="002A7CC0">
        <w:rPr>
          <w:rFonts w:ascii="Arial" w:hAnsi="Arial" w:cs="Arial"/>
          <w:b/>
          <w:bCs/>
          <w:sz w:val="20"/>
          <w:szCs w:val="20"/>
        </w:rPr>
        <w:lastRenderedPageBreak/>
        <w:t>Table 1</w:t>
      </w:r>
      <w:r w:rsidR="002A7CC0">
        <w:rPr>
          <w:rFonts w:ascii="Arial" w:hAnsi="Arial" w:cs="Arial"/>
          <w:b/>
          <w:bCs/>
          <w:sz w:val="20"/>
          <w:szCs w:val="20"/>
        </w:rPr>
        <w:t xml:space="preserve">.  </w:t>
      </w:r>
      <w:r w:rsidRPr="002A7CC0">
        <w:rPr>
          <w:rFonts w:ascii="Arial" w:hAnsi="Arial" w:cs="Arial"/>
          <w:b/>
          <w:bCs/>
          <w:sz w:val="20"/>
          <w:szCs w:val="20"/>
        </w:rPr>
        <w:t xml:space="preserve"> </w:t>
      </w:r>
      <w:r w:rsidR="00984AE6" w:rsidRPr="002A7CC0">
        <w:rPr>
          <w:rFonts w:ascii="Arial" w:hAnsi="Arial" w:cs="Arial"/>
          <w:b/>
          <w:bCs/>
          <w:sz w:val="20"/>
          <w:szCs w:val="20"/>
        </w:rPr>
        <w:t>Cephalometric comparison</w:t>
      </w:r>
    </w:p>
    <w:tbl>
      <w:tblPr>
        <w:tblStyle w:val="TableGrid"/>
        <w:tblW w:w="0" w:type="auto"/>
        <w:jc w:val="center"/>
        <w:tblLook w:val="04A0" w:firstRow="1" w:lastRow="0" w:firstColumn="1" w:lastColumn="0" w:noHBand="0" w:noVBand="1"/>
      </w:tblPr>
      <w:tblGrid>
        <w:gridCol w:w="2605"/>
        <w:gridCol w:w="1890"/>
        <w:gridCol w:w="1980"/>
      </w:tblGrid>
      <w:tr w:rsidR="005649A0" w:rsidRPr="002A7CC0" w14:paraId="44BC4C19" w14:textId="77777777" w:rsidTr="00912A21">
        <w:trPr>
          <w:jc w:val="center"/>
        </w:trPr>
        <w:tc>
          <w:tcPr>
            <w:tcW w:w="2605" w:type="dxa"/>
            <w:hideMark/>
          </w:tcPr>
          <w:p w14:paraId="21E46953" w14:textId="77777777" w:rsidR="005649A0" w:rsidRPr="002A7CC0" w:rsidRDefault="005649A0" w:rsidP="0037387A">
            <w:pPr>
              <w:spacing w:after="160" w:line="360" w:lineRule="auto"/>
              <w:jc w:val="both"/>
              <w:rPr>
                <w:rFonts w:ascii="Arial" w:hAnsi="Arial" w:cs="Arial"/>
                <w:b/>
                <w:bCs/>
                <w:sz w:val="20"/>
                <w:szCs w:val="20"/>
              </w:rPr>
            </w:pPr>
            <w:r w:rsidRPr="002A7CC0">
              <w:rPr>
                <w:rFonts w:ascii="Arial" w:hAnsi="Arial" w:cs="Arial"/>
                <w:b/>
                <w:bCs/>
                <w:sz w:val="20"/>
                <w:szCs w:val="20"/>
              </w:rPr>
              <w:t>Parameter</w:t>
            </w:r>
          </w:p>
        </w:tc>
        <w:tc>
          <w:tcPr>
            <w:tcW w:w="1890" w:type="dxa"/>
            <w:hideMark/>
          </w:tcPr>
          <w:p w14:paraId="52A96B05" w14:textId="77777777" w:rsidR="005649A0" w:rsidRPr="002A7CC0" w:rsidRDefault="005649A0" w:rsidP="0037387A">
            <w:pPr>
              <w:spacing w:after="160" w:line="360" w:lineRule="auto"/>
              <w:jc w:val="both"/>
              <w:rPr>
                <w:rFonts w:ascii="Arial" w:hAnsi="Arial" w:cs="Arial"/>
                <w:b/>
                <w:bCs/>
                <w:sz w:val="20"/>
                <w:szCs w:val="20"/>
              </w:rPr>
            </w:pPr>
            <w:r w:rsidRPr="002A7CC0">
              <w:rPr>
                <w:rFonts w:ascii="Arial" w:hAnsi="Arial" w:cs="Arial"/>
                <w:b/>
                <w:bCs/>
                <w:sz w:val="20"/>
                <w:szCs w:val="20"/>
              </w:rPr>
              <w:t>Pre-Treatment</w:t>
            </w:r>
          </w:p>
        </w:tc>
        <w:tc>
          <w:tcPr>
            <w:tcW w:w="1980" w:type="dxa"/>
            <w:hideMark/>
          </w:tcPr>
          <w:p w14:paraId="487B7ECD" w14:textId="069709AD" w:rsidR="005649A0" w:rsidRPr="002A7CC0" w:rsidRDefault="005649A0" w:rsidP="0037387A">
            <w:pPr>
              <w:spacing w:after="160" w:line="360" w:lineRule="auto"/>
              <w:jc w:val="both"/>
              <w:rPr>
                <w:rFonts w:ascii="Arial" w:hAnsi="Arial" w:cs="Arial"/>
                <w:b/>
                <w:bCs/>
                <w:sz w:val="20"/>
                <w:szCs w:val="20"/>
              </w:rPr>
            </w:pPr>
            <w:r w:rsidRPr="002A7CC0">
              <w:rPr>
                <w:rFonts w:ascii="Arial" w:hAnsi="Arial" w:cs="Arial"/>
                <w:b/>
                <w:bCs/>
                <w:sz w:val="20"/>
                <w:szCs w:val="20"/>
              </w:rPr>
              <w:t>Post-Treatment</w:t>
            </w:r>
          </w:p>
        </w:tc>
      </w:tr>
      <w:tr w:rsidR="005649A0" w:rsidRPr="002A7CC0" w14:paraId="7F3776DC" w14:textId="77777777" w:rsidTr="00912A21">
        <w:trPr>
          <w:jc w:val="center"/>
        </w:trPr>
        <w:tc>
          <w:tcPr>
            <w:tcW w:w="2605" w:type="dxa"/>
            <w:hideMark/>
          </w:tcPr>
          <w:p w14:paraId="06C03BD1"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SNA (°)</w:t>
            </w:r>
          </w:p>
        </w:tc>
        <w:tc>
          <w:tcPr>
            <w:tcW w:w="1890" w:type="dxa"/>
            <w:hideMark/>
          </w:tcPr>
          <w:p w14:paraId="17C38783"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82</w:t>
            </w:r>
          </w:p>
        </w:tc>
        <w:tc>
          <w:tcPr>
            <w:tcW w:w="1980" w:type="dxa"/>
            <w:hideMark/>
          </w:tcPr>
          <w:p w14:paraId="4332641D" w14:textId="1B1C1BCF"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83</w:t>
            </w:r>
          </w:p>
        </w:tc>
      </w:tr>
      <w:tr w:rsidR="005649A0" w:rsidRPr="002A7CC0" w14:paraId="61F1E794" w14:textId="77777777" w:rsidTr="00912A21">
        <w:trPr>
          <w:jc w:val="center"/>
        </w:trPr>
        <w:tc>
          <w:tcPr>
            <w:tcW w:w="2605" w:type="dxa"/>
            <w:hideMark/>
          </w:tcPr>
          <w:p w14:paraId="0DD7DD52"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SNB (°)</w:t>
            </w:r>
          </w:p>
        </w:tc>
        <w:tc>
          <w:tcPr>
            <w:tcW w:w="1890" w:type="dxa"/>
            <w:hideMark/>
          </w:tcPr>
          <w:p w14:paraId="2D524EF5"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84</w:t>
            </w:r>
          </w:p>
        </w:tc>
        <w:tc>
          <w:tcPr>
            <w:tcW w:w="1980" w:type="dxa"/>
            <w:hideMark/>
          </w:tcPr>
          <w:p w14:paraId="49ABE15F" w14:textId="24955251"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83</w:t>
            </w:r>
          </w:p>
        </w:tc>
      </w:tr>
      <w:tr w:rsidR="005649A0" w:rsidRPr="002A7CC0" w14:paraId="68AE36CD" w14:textId="77777777" w:rsidTr="00912A21">
        <w:trPr>
          <w:jc w:val="center"/>
        </w:trPr>
        <w:tc>
          <w:tcPr>
            <w:tcW w:w="2605" w:type="dxa"/>
            <w:hideMark/>
          </w:tcPr>
          <w:p w14:paraId="184E1274"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ANB (°)</w:t>
            </w:r>
          </w:p>
        </w:tc>
        <w:tc>
          <w:tcPr>
            <w:tcW w:w="1890" w:type="dxa"/>
            <w:hideMark/>
          </w:tcPr>
          <w:p w14:paraId="06269F05"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w:t>
            </w:r>
          </w:p>
        </w:tc>
        <w:tc>
          <w:tcPr>
            <w:tcW w:w="1980" w:type="dxa"/>
            <w:hideMark/>
          </w:tcPr>
          <w:p w14:paraId="12AF431C" w14:textId="496FBC31"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0</w:t>
            </w:r>
          </w:p>
        </w:tc>
      </w:tr>
      <w:tr w:rsidR="005649A0" w:rsidRPr="002A7CC0" w14:paraId="23BBDD50" w14:textId="77777777" w:rsidTr="00912A21">
        <w:trPr>
          <w:jc w:val="center"/>
        </w:trPr>
        <w:tc>
          <w:tcPr>
            <w:tcW w:w="2605" w:type="dxa"/>
            <w:hideMark/>
          </w:tcPr>
          <w:p w14:paraId="7E79480F"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Wits (mm)</w:t>
            </w:r>
          </w:p>
        </w:tc>
        <w:tc>
          <w:tcPr>
            <w:tcW w:w="1890" w:type="dxa"/>
            <w:hideMark/>
          </w:tcPr>
          <w:p w14:paraId="0DCE75BE"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-4</w:t>
            </w:r>
          </w:p>
        </w:tc>
        <w:tc>
          <w:tcPr>
            <w:tcW w:w="1980" w:type="dxa"/>
            <w:hideMark/>
          </w:tcPr>
          <w:p w14:paraId="4487AB1A" w14:textId="5A8FD68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-3</w:t>
            </w:r>
          </w:p>
        </w:tc>
      </w:tr>
      <w:tr w:rsidR="005649A0" w:rsidRPr="002A7CC0" w14:paraId="5299377F" w14:textId="77777777" w:rsidTr="00912A21">
        <w:trPr>
          <w:jc w:val="center"/>
        </w:trPr>
        <w:tc>
          <w:tcPr>
            <w:tcW w:w="2605" w:type="dxa"/>
            <w:hideMark/>
          </w:tcPr>
          <w:p w14:paraId="792609DF"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FMA (°)</w:t>
            </w:r>
          </w:p>
        </w:tc>
        <w:tc>
          <w:tcPr>
            <w:tcW w:w="1890" w:type="dxa"/>
            <w:hideMark/>
          </w:tcPr>
          <w:p w14:paraId="4355989D"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28</w:t>
            </w:r>
          </w:p>
        </w:tc>
        <w:tc>
          <w:tcPr>
            <w:tcW w:w="1980" w:type="dxa"/>
            <w:hideMark/>
          </w:tcPr>
          <w:p w14:paraId="45CC8864" w14:textId="544EC2D3"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30</w:t>
            </w:r>
          </w:p>
        </w:tc>
      </w:tr>
      <w:tr w:rsidR="005649A0" w:rsidRPr="002A7CC0" w14:paraId="4C687CF6" w14:textId="77777777" w:rsidTr="00912A21">
        <w:trPr>
          <w:jc w:val="center"/>
        </w:trPr>
        <w:tc>
          <w:tcPr>
            <w:tcW w:w="2605" w:type="dxa"/>
            <w:hideMark/>
          </w:tcPr>
          <w:p w14:paraId="5AF2F4CD"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U1 to NA (°)</w:t>
            </w:r>
          </w:p>
        </w:tc>
        <w:tc>
          <w:tcPr>
            <w:tcW w:w="1890" w:type="dxa"/>
            <w:hideMark/>
          </w:tcPr>
          <w:p w14:paraId="35A64B5E"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23</w:t>
            </w:r>
          </w:p>
        </w:tc>
        <w:tc>
          <w:tcPr>
            <w:tcW w:w="1980" w:type="dxa"/>
            <w:hideMark/>
          </w:tcPr>
          <w:p w14:paraId="47A62865" w14:textId="2C12FBD2"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27</w:t>
            </w:r>
          </w:p>
        </w:tc>
      </w:tr>
      <w:tr w:rsidR="005649A0" w:rsidRPr="002A7CC0" w14:paraId="06864177" w14:textId="77777777" w:rsidTr="00912A21">
        <w:trPr>
          <w:jc w:val="center"/>
        </w:trPr>
        <w:tc>
          <w:tcPr>
            <w:tcW w:w="2605" w:type="dxa"/>
            <w:hideMark/>
          </w:tcPr>
          <w:p w14:paraId="5F8ED423"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L1 to NB (°)</w:t>
            </w:r>
          </w:p>
        </w:tc>
        <w:tc>
          <w:tcPr>
            <w:tcW w:w="1890" w:type="dxa"/>
            <w:hideMark/>
          </w:tcPr>
          <w:p w14:paraId="056D3CB4"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27</w:t>
            </w:r>
          </w:p>
        </w:tc>
        <w:tc>
          <w:tcPr>
            <w:tcW w:w="1980" w:type="dxa"/>
            <w:hideMark/>
          </w:tcPr>
          <w:p w14:paraId="4ABE6DC7" w14:textId="71E99C85"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26</w:t>
            </w:r>
          </w:p>
        </w:tc>
      </w:tr>
      <w:tr w:rsidR="005649A0" w:rsidRPr="002A7CC0" w14:paraId="1A3A3461" w14:textId="77777777" w:rsidTr="00912A21">
        <w:trPr>
          <w:jc w:val="center"/>
        </w:trPr>
        <w:tc>
          <w:tcPr>
            <w:tcW w:w="2605" w:type="dxa"/>
            <w:hideMark/>
          </w:tcPr>
          <w:p w14:paraId="678A215C"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Occlusal Plane-SN (°)</w:t>
            </w:r>
          </w:p>
        </w:tc>
        <w:tc>
          <w:tcPr>
            <w:tcW w:w="1890" w:type="dxa"/>
            <w:hideMark/>
          </w:tcPr>
          <w:p w14:paraId="392EA9ED"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14</w:t>
            </w:r>
          </w:p>
        </w:tc>
        <w:tc>
          <w:tcPr>
            <w:tcW w:w="1980" w:type="dxa"/>
            <w:hideMark/>
          </w:tcPr>
          <w:p w14:paraId="4E39CB54" w14:textId="23734F8D"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16</w:t>
            </w:r>
          </w:p>
        </w:tc>
      </w:tr>
      <w:tr w:rsidR="005649A0" w:rsidRPr="002A7CC0" w14:paraId="4FDAF2B6" w14:textId="77777777" w:rsidTr="00912A21">
        <w:trPr>
          <w:jc w:val="center"/>
        </w:trPr>
        <w:tc>
          <w:tcPr>
            <w:tcW w:w="2605" w:type="dxa"/>
            <w:hideMark/>
          </w:tcPr>
          <w:p w14:paraId="45F81F11"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Maxillary Length (mm)</w:t>
            </w:r>
          </w:p>
        </w:tc>
        <w:tc>
          <w:tcPr>
            <w:tcW w:w="1890" w:type="dxa"/>
            <w:hideMark/>
          </w:tcPr>
          <w:p w14:paraId="5ACCA0FF"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78</w:t>
            </w:r>
          </w:p>
        </w:tc>
        <w:tc>
          <w:tcPr>
            <w:tcW w:w="1980" w:type="dxa"/>
            <w:hideMark/>
          </w:tcPr>
          <w:p w14:paraId="77493DF6" w14:textId="679423DB"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78.5</w:t>
            </w:r>
          </w:p>
        </w:tc>
      </w:tr>
      <w:tr w:rsidR="005649A0" w:rsidRPr="002A7CC0" w14:paraId="67231983" w14:textId="77777777" w:rsidTr="00912A21">
        <w:trPr>
          <w:jc w:val="center"/>
        </w:trPr>
        <w:tc>
          <w:tcPr>
            <w:tcW w:w="2605" w:type="dxa"/>
            <w:hideMark/>
          </w:tcPr>
          <w:p w14:paraId="1D9E2322"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Mandibular Length (mm)</w:t>
            </w:r>
          </w:p>
        </w:tc>
        <w:tc>
          <w:tcPr>
            <w:tcW w:w="1890" w:type="dxa"/>
            <w:hideMark/>
          </w:tcPr>
          <w:p w14:paraId="56B6A239"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102</w:t>
            </w:r>
          </w:p>
        </w:tc>
        <w:tc>
          <w:tcPr>
            <w:tcW w:w="1980" w:type="dxa"/>
            <w:hideMark/>
          </w:tcPr>
          <w:p w14:paraId="377A3A80" w14:textId="1385EED6"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103</w:t>
            </w:r>
          </w:p>
        </w:tc>
      </w:tr>
      <w:tr w:rsidR="005649A0" w:rsidRPr="002A7CC0" w14:paraId="490C8FAA" w14:textId="77777777" w:rsidTr="00912A21">
        <w:trPr>
          <w:jc w:val="center"/>
        </w:trPr>
        <w:tc>
          <w:tcPr>
            <w:tcW w:w="2605" w:type="dxa"/>
            <w:hideMark/>
          </w:tcPr>
          <w:p w14:paraId="4896AEB3"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LAFH (mm)</w:t>
            </w:r>
          </w:p>
        </w:tc>
        <w:tc>
          <w:tcPr>
            <w:tcW w:w="1890" w:type="dxa"/>
            <w:hideMark/>
          </w:tcPr>
          <w:p w14:paraId="57B8E962" w14:textId="77777777"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55</w:t>
            </w:r>
          </w:p>
        </w:tc>
        <w:tc>
          <w:tcPr>
            <w:tcW w:w="1980" w:type="dxa"/>
            <w:hideMark/>
          </w:tcPr>
          <w:p w14:paraId="6BDE4511" w14:textId="6968A300" w:rsidR="005649A0" w:rsidRPr="002A7CC0" w:rsidRDefault="005649A0" w:rsidP="0037387A">
            <w:pPr>
              <w:spacing w:after="160" w:line="360" w:lineRule="auto"/>
              <w:jc w:val="both"/>
              <w:rPr>
                <w:rFonts w:ascii="Arial" w:hAnsi="Arial" w:cs="Arial"/>
                <w:sz w:val="20"/>
                <w:szCs w:val="20"/>
              </w:rPr>
            </w:pPr>
            <w:r w:rsidRPr="002A7CC0">
              <w:rPr>
                <w:rFonts w:ascii="Arial" w:hAnsi="Arial" w:cs="Arial"/>
                <w:sz w:val="20"/>
                <w:szCs w:val="20"/>
              </w:rPr>
              <w:t>59</w:t>
            </w:r>
          </w:p>
        </w:tc>
      </w:tr>
    </w:tbl>
    <w:p w14:paraId="143754A6" w14:textId="77777777" w:rsidR="005D4BC4" w:rsidRDefault="005D4BC4" w:rsidP="00E05D78">
      <w:pPr>
        <w:spacing w:line="360" w:lineRule="auto"/>
        <w:rPr>
          <w:rFonts w:ascii="Arial" w:hAnsi="Arial" w:cs="Arial"/>
          <w:sz w:val="20"/>
          <w:szCs w:val="20"/>
        </w:rPr>
      </w:pPr>
    </w:p>
    <w:p w14:paraId="7FA8D862" w14:textId="77777777" w:rsidR="00473C6B" w:rsidRDefault="00473C6B" w:rsidP="00E05D78">
      <w:pPr>
        <w:spacing w:line="360" w:lineRule="auto"/>
        <w:rPr>
          <w:rFonts w:ascii="Arial" w:hAnsi="Arial" w:cs="Arial"/>
          <w:sz w:val="20"/>
          <w:szCs w:val="20"/>
        </w:rPr>
      </w:pPr>
    </w:p>
    <w:p w14:paraId="7E926756" w14:textId="08BB4AF5" w:rsidR="00163B5A" w:rsidRPr="002A7CC0" w:rsidRDefault="002A7CC0" w:rsidP="00E05D78">
      <w:pPr>
        <w:spacing w:line="360" w:lineRule="auto"/>
        <w:rPr>
          <w:rFonts w:ascii="Arial" w:hAnsi="Arial" w:cs="Arial"/>
          <w:sz w:val="22"/>
          <w:szCs w:val="22"/>
        </w:rPr>
      </w:pPr>
      <w:r>
        <w:rPr>
          <w:rFonts w:ascii="Arial" w:hAnsi="Arial" w:cs="Arial"/>
          <w:b/>
          <w:bCs/>
          <w:sz w:val="22"/>
          <w:szCs w:val="22"/>
        </w:rPr>
        <w:t xml:space="preserve">3. </w:t>
      </w:r>
      <w:r w:rsidRPr="002A7CC0">
        <w:rPr>
          <w:rFonts w:ascii="Arial" w:hAnsi="Arial" w:cs="Arial"/>
          <w:b/>
          <w:bCs/>
          <w:sz w:val="22"/>
          <w:szCs w:val="22"/>
        </w:rPr>
        <w:t>DISCUSSION</w:t>
      </w:r>
    </w:p>
    <w:p w14:paraId="65291F48" w14:textId="105AEDDD" w:rsidR="00266456" w:rsidRPr="002A7CC0" w:rsidRDefault="00A729FC" w:rsidP="00FD227D">
      <w:pPr>
        <w:spacing w:line="360" w:lineRule="auto"/>
        <w:ind w:firstLine="720"/>
        <w:jc w:val="both"/>
        <w:rPr>
          <w:rFonts w:ascii="Arial" w:hAnsi="Arial" w:cs="Arial"/>
          <w:sz w:val="20"/>
          <w:szCs w:val="20"/>
        </w:rPr>
      </w:pPr>
      <w:r w:rsidRPr="002A7CC0">
        <w:rPr>
          <w:rFonts w:ascii="Arial" w:hAnsi="Arial" w:cs="Arial"/>
          <w:sz w:val="20"/>
          <w:szCs w:val="20"/>
        </w:rPr>
        <w:t xml:space="preserve">Pseudo-Class III malocclusion is most effectively managed during the growth phase through timely and appropriate interceptive orthodontic interventions. These malocclusions are typically characterized by a functional anterior mandibular shift resulting from occlusal interferences or sometimes, labially erupting mandibular incisors leading to an attainment of an anterior bite of convenience. Early identification and correction of the functional shift can redirect mandibular growth along a more favorable path, thereby preventing the establishment of a true skeletal Class III relationship. Interceptive treatment during this critical period may significantly reduce the severity of the malocclusion and minimize or eliminate the need for future orthognathic surgical intervention. </w:t>
      </w:r>
      <w:r w:rsidR="00FD227D" w:rsidRPr="00FD227D">
        <w:rPr>
          <w:rFonts w:ascii="Arial" w:hAnsi="Arial" w:cs="Arial"/>
          <w:sz w:val="20"/>
          <w:szCs w:val="20"/>
        </w:rPr>
        <w:t>(Zhou et al., 2025).</w:t>
      </w:r>
    </w:p>
    <w:p w14:paraId="75A1F980" w14:textId="65EE23D7" w:rsidR="00266456" w:rsidRPr="002A7CC0" w:rsidRDefault="00266456" w:rsidP="00FD227D">
      <w:pPr>
        <w:spacing w:line="360" w:lineRule="auto"/>
        <w:ind w:firstLine="720"/>
        <w:jc w:val="both"/>
        <w:rPr>
          <w:rFonts w:ascii="Arial" w:hAnsi="Arial" w:cs="Arial"/>
          <w:sz w:val="20"/>
          <w:szCs w:val="20"/>
        </w:rPr>
      </w:pPr>
      <w:r w:rsidRPr="002A7CC0">
        <w:rPr>
          <w:rFonts w:ascii="Arial" w:hAnsi="Arial" w:cs="Arial"/>
          <w:sz w:val="20"/>
          <w:szCs w:val="20"/>
        </w:rPr>
        <w:t xml:space="preserve">The sagittal screw appliance offers a focused approach to such corrections by facilitating controlled advancement of the maxillary anterior segment. This helps eliminate occlusal interferences and restores normal incisor overlap. Owen’s findings </w:t>
      </w:r>
      <w:r w:rsidR="00944DB6" w:rsidRPr="002A7CC0">
        <w:rPr>
          <w:rFonts w:ascii="Arial" w:hAnsi="Arial" w:cs="Arial"/>
          <w:sz w:val="20"/>
          <w:szCs w:val="20"/>
        </w:rPr>
        <w:t>[</w:t>
      </w:r>
      <w:r w:rsidRPr="002A7CC0">
        <w:rPr>
          <w:rFonts w:ascii="Arial" w:hAnsi="Arial" w:cs="Arial"/>
          <w:sz w:val="20"/>
          <w:szCs w:val="20"/>
        </w:rPr>
        <w:t>6</w:t>
      </w:r>
      <w:r w:rsidR="00944DB6" w:rsidRPr="002A7CC0">
        <w:rPr>
          <w:rFonts w:ascii="Arial" w:hAnsi="Arial" w:cs="Arial"/>
          <w:sz w:val="20"/>
          <w:szCs w:val="20"/>
        </w:rPr>
        <w:t>]</w:t>
      </w:r>
      <w:r w:rsidRPr="002A7CC0">
        <w:rPr>
          <w:rFonts w:ascii="Arial" w:hAnsi="Arial" w:cs="Arial"/>
          <w:sz w:val="20"/>
          <w:szCs w:val="20"/>
        </w:rPr>
        <w:t>, supported by recent literature</w:t>
      </w:r>
      <w:r w:rsidR="00FD227D">
        <w:rPr>
          <w:rFonts w:ascii="Arial" w:hAnsi="Arial" w:cs="Arial"/>
          <w:sz w:val="20"/>
          <w:szCs w:val="20"/>
        </w:rPr>
        <w:t xml:space="preserve"> </w:t>
      </w:r>
      <w:r w:rsidR="00FD227D" w:rsidRPr="00FD227D">
        <w:rPr>
          <w:rFonts w:ascii="Arial" w:hAnsi="Arial" w:cs="Arial"/>
          <w:sz w:val="20"/>
          <w:szCs w:val="20"/>
        </w:rPr>
        <w:t>(Dolci et al., 2021)</w:t>
      </w:r>
      <w:r w:rsidRPr="002A7CC0">
        <w:rPr>
          <w:rFonts w:ascii="Arial" w:hAnsi="Arial" w:cs="Arial"/>
          <w:sz w:val="20"/>
          <w:szCs w:val="20"/>
        </w:rPr>
        <w:t>, confirm its effectiveness in advancing the maxillary incisors and opening the bite—key steps in interceptive treatment of pseudo-Class III.</w:t>
      </w:r>
    </w:p>
    <w:p w14:paraId="1958F99E" w14:textId="24DAC459" w:rsidR="00A729FC" w:rsidRPr="002A7CC0" w:rsidRDefault="00A729FC" w:rsidP="00E05D78">
      <w:pPr>
        <w:spacing w:line="360" w:lineRule="auto"/>
        <w:ind w:firstLine="720"/>
        <w:jc w:val="both"/>
        <w:rPr>
          <w:rFonts w:ascii="Arial" w:hAnsi="Arial" w:cs="Arial"/>
          <w:sz w:val="20"/>
          <w:szCs w:val="20"/>
          <w:lang w:val="en-IN"/>
        </w:rPr>
      </w:pPr>
      <w:r w:rsidRPr="002A7CC0">
        <w:rPr>
          <w:rFonts w:ascii="Arial" w:hAnsi="Arial" w:cs="Arial"/>
          <w:sz w:val="20"/>
          <w:szCs w:val="20"/>
          <w:lang w:val="en-IN"/>
        </w:rPr>
        <w:lastRenderedPageBreak/>
        <w:t xml:space="preserve">In the present case, post-treatment cephalometric analysis revealed </w:t>
      </w:r>
      <w:proofErr w:type="spellStart"/>
      <w:r w:rsidRPr="002A7CC0">
        <w:rPr>
          <w:rFonts w:ascii="Arial" w:hAnsi="Arial" w:cs="Arial"/>
          <w:sz w:val="20"/>
          <w:szCs w:val="20"/>
          <w:lang w:val="en-IN"/>
        </w:rPr>
        <w:t>favorable</w:t>
      </w:r>
      <w:proofErr w:type="spellEnd"/>
      <w:r w:rsidRPr="002A7CC0">
        <w:rPr>
          <w:rFonts w:ascii="Arial" w:hAnsi="Arial" w:cs="Arial"/>
          <w:sz w:val="20"/>
          <w:szCs w:val="20"/>
          <w:lang w:val="en-IN"/>
        </w:rPr>
        <w:t xml:space="preserve"> skeletal changes in both the sagittal and vertical dimensions. In the sagittal plane, notable improvements were observed in the ANB angle and Wits appraisal, indicating a more harmonious maxillo-mandibular relationship. Vertically, correction of the deep bite was achieved through a clockwise rotation of the mandibular plane </w:t>
      </w:r>
      <w:r w:rsidRPr="002A7CC0">
        <w:rPr>
          <w:rFonts w:ascii="Arial" w:hAnsi="Arial" w:cs="Arial"/>
          <w:sz w:val="20"/>
          <w:szCs w:val="20"/>
        </w:rPr>
        <w:t>height and the establishment of a more favorable occlusal plane-SN angle indicates beneficial vertical development</w:t>
      </w:r>
      <w:r w:rsidRPr="002A7CC0">
        <w:rPr>
          <w:rFonts w:ascii="Arial" w:hAnsi="Arial" w:cs="Arial"/>
          <w:sz w:val="20"/>
          <w:szCs w:val="20"/>
          <w:lang w:val="en-IN"/>
        </w:rPr>
        <w:t xml:space="preserve">, which contributed to an increase in lower anterior facial height and improved vertical facial proportions. </w:t>
      </w:r>
    </w:p>
    <w:p w14:paraId="72AE5928" w14:textId="77042E8A" w:rsidR="00266456" w:rsidRPr="002A7CC0" w:rsidRDefault="00A729FC" w:rsidP="002A61E7">
      <w:pPr>
        <w:spacing w:line="360" w:lineRule="auto"/>
        <w:ind w:firstLine="720"/>
        <w:jc w:val="both"/>
        <w:rPr>
          <w:rFonts w:ascii="Arial" w:hAnsi="Arial" w:cs="Arial"/>
          <w:sz w:val="20"/>
          <w:szCs w:val="20"/>
        </w:rPr>
      </w:pPr>
      <w:r w:rsidRPr="002A7CC0">
        <w:rPr>
          <w:rFonts w:ascii="Arial" w:hAnsi="Arial" w:cs="Arial"/>
          <w:sz w:val="20"/>
          <w:szCs w:val="20"/>
        </w:rPr>
        <w:t>The observed improvements in both sagittal and vertical dimensions further substantiate the effectiveness of the appliance in facilitating favorable skeletal remodeling and promoting maxillo-mandibular balance. These findings are in alignment with recent analytical studies that emphasize the utility of such appliances in guiding craniofacial growth and achieving orthopedic correction during the developmental phase</w:t>
      </w:r>
      <w:r w:rsidR="00D3588C" w:rsidRPr="002A7CC0">
        <w:rPr>
          <w:rFonts w:ascii="Arial" w:hAnsi="Arial" w:cs="Arial"/>
          <w:sz w:val="20"/>
          <w:szCs w:val="20"/>
        </w:rPr>
        <w:t xml:space="preserve"> </w:t>
      </w:r>
      <w:r w:rsidR="002A61E7" w:rsidRPr="002A61E7">
        <w:rPr>
          <w:rFonts w:ascii="Arial" w:hAnsi="Arial" w:cs="Arial"/>
          <w:sz w:val="20"/>
          <w:szCs w:val="20"/>
        </w:rPr>
        <w:t>(McNamara, 1981)</w:t>
      </w:r>
      <w:r w:rsidR="002A61E7">
        <w:rPr>
          <w:rFonts w:ascii="Arial" w:hAnsi="Arial" w:cs="Arial"/>
          <w:sz w:val="20"/>
          <w:szCs w:val="20"/>
        </w:rPr>
        <w:t>.</w:t>
      </w:r>
    </w:p>
    <w:p w14:paraId="259F3889" w14:textId="42744616" w:rsidR="00266456" w:rsidRPr="002A7CC0" w:rsidRDefault="00266456" w:rsidP="002A61E7">
      <w:pPr>
        <w:spacing w:line="360" w:lineRule="auto"/>
        <w:ind w:firstLine="720"/>
        <w:jc w:val="both"/>
        <w:rPr>
          <w:rFonts w:ascii="Arial" w:hAnsi="Arial" w:cs="Arial"/>
          <w:sz w:val="20"/>
          <w:szCs w:val="20"/>
        </w:rPr>
      </w:pPr>
      <w:r w:rsidRPr="002A7CC0">
        <w:rPr>
          <w:rFonts w:ascii="Arial" w:hAnsi="Arial" w:cs="Arial"/>
          <w:sz w:val="20"/>
          <w:szCs w:val="20"/>
        </w:rPr>
        <w:t xml:space="preserve">Early intervention not only helped in correcting the functional crossbite but also stabilized the occlusion, minimized the need for extraoral appliances or surgical correction, and likely enhanced long-term stability. Several studies underline the importance of interceptive correction at the appropriate time to maximize growth potential and achieve stable results </w:t>
      </w:r>
      <w:r w:rsidR="002A61E7" w:rsidRPr="002A61E7">
        <w:rPr>
          <w:rFonts w:ascii="Arial" w:hAnsi="Arial" w:cs="Arial"/>
          <w:sz w:val="20"/>
          <w:szCs w:val="20"/>
        </w:rPr>
        <w:t>(</w:t>
      </w:r>
      <w:proofErr w:type="spellStart"/>
      <w:r w:rsidR="002A61E7" w:rsidRPr="002A61E7">
        <w:rPr>
          <w:rFonts w:ascii="Arial" w:hAnsi="Arial" w:cs="Arial"/>
          <w:sz w:val="20"/>
          <w:szCs w:val="20"/>
        </w:rPr>
        <w:t>Raghupathy</w:t>
      </w:r>
      <w:proofErr w:type="spellEnd"/>
      <w:r w:rsidR="002A61E7" w:rsidRPr="002A61E7">
        <w:rPr>
          <w:rFonts w:ascii="Arial" w:hAnsi="Arial" w:cs="Arial"/>
          <w:sz w:val="20"/>
          <w:szCs w:val="20"/>
        </w:rPr>
        <w:t xml:space="preserve"> et al., 2023; </w:t>
      </w:r>
      <w:proofErr w:type="spellStart"/>
      <w:r w:rsidR="002A61E7" w:rsidRPr="002A61E7">
        <w:rPr>
          <w:rFonts w:ascii="Arial" w:hAnsi="Arial" w:cs="Arial"/>
          <w:sz w:val="20"/>
          <w:szCs w:val="20"/>
        </w:rPr>
        <w:t>Azamian</w:t>
      </w:r>
      <w:proofErr w:type="spellEnd"/>
      <w:r w:rsidR="002A61E7" w:rsidRPr="002A61E7">
        <w:rPr>
          <w:rFonts w:ascii="Arial" w:hAnsi="Arial" w:cs="Arial"/>
          <w:sz w:val="20"/>
          <w:szCs w:val="20"/>
        </w:rPr>
        <w:t xml:space="preserve"> and </w:t>
      </w:r>
      <w:proofErr w:type="spellStart"/>
      <w:r w:rsidR="002A61E7" w:rsidRPr="002A61E7">
        <w:rPr>
          <w:rFonts w:ascii="Arial" w:hAnsi="Arial" w:cs="Arial"/>
          <w:sz w:val="20"/>
          <w:szCs w:val="20"/>
        </w:rPr>
        <w:t>Shirban</w:t>
      </w:r>
      <w:proofErr w:type="spellEnd"/>
      <w:r w:rsidR="002A61E7" w:rsidRPr="002A61E7">
        <w:rPr>
          <w:rFonts w:ascii="Arial" w:hAnsi="Arial" w:cs="Arial"/>
          <w:sz w:val="20"/>
          <w:szCs w:val="20"/>
        </w:rPr>
        <w:t>, 2016).</w:t>
      </w:r>
    </w:p>
    <w:p w14:paraId="0B7FA6D2" w14:textId="2B00C357" w:rsidR="0097386C" w:rsidRPr="002A7CC0" w:rsidRDefault="0097386C" w:rsidP="0037387A">
      <w:pPr>
        <w:spacing w:line="360" w:lineRule="auto"/>
        <w:jc w:val="both"/>
        <w:rPr>
          <w:rFonts w:ascii="Arial" w:hAnsi="Arial" w:cs="Arial"/>
          <w:sz w:val="20"/>
          <w:szCs w:val="20"/>
        </w:rPr>
      </w:pPr>
    </w:p>
    <w:p w14:paraId="1B159E83" w14:textId="397554BE" w:rsidR="00163B5A" w:rsidRPr="00473C6B" w:rsidRDefault="002A7CC0" w:rsidP="0037387A">
      <w:pPr>
        <w:spacing w:line="360" w:lineRule="auto"/>
        <w:jc w:val="both"/>
        <w:rPr>
          <w:rFonts w:ascii="Arial" w:hAnsi="Arial" w:cs="Arial"/>
          <w:b/>
          <w:bCs/>
          <w:sz w:val="22"/>
          <w:szCs w:val="22"/>
        </w:rPr>
      </w:pPr>
      <w:r w:rsidRPr="00473C6B">
        <w:rPr>
          <w:rFonts w:ascii="Arial" w:hAnsi="Arial" w:cs="Arial"/>
          <w:b/>
          <w:bCs/>
          <w:sz w:val="22"/>
          <w:szCs w:val="22"/>
        </w:rPr>
        <w:t>4. CONCLUSION</w:t>
      </w:r>
    </w:p>
    <w:p w14:paraId="29D7896D" w14:textId="79C829D7" w:rsidR="0097386C" w:rsidRDefault="0097386C" w:rsidP="00E05D78">
      <w:pPr>
        <w:spacing w:line="360" w:lineRule="auto"/>
        <w:ind w:firstLine="720"/>
        <w:jc w:val="both"/>
        <w:rPr>
          <w:rFonts w:ascii="Arial" w:hAnsi="Arial" w:cs="Arial"/>
          <w:sz w:val="20"/>
          <w:szCs w:val="20"/>
        </w:rPr>
      </w:pPr>
      <w:r w:rsidRPr="002A7CC0">
        <w:rPr>
          <w:rFonts w:ascii="Arial" w:hAnsi="Arial" w:cs="Arial"/>
          <w:sz w:val="20"/>
          <w:szCs w:val="20"/>
        </w:rPr>
        <w:t>This case demonstrates that early interceptive management of pseudo-Class III malocclusion using a sagittal screw appliance can produce favorable skeletal and dentoalveolar changes.</w:t>
      </w:r>
      <w:r w:rsidR="00A073C9" w:rsidRPr="002A7CC0">
        <w:rPr>
          <w:rFonts w:ascii="Arial" w:hAnsi="Arial" w:cs="Arial"/>
          <w:sz w:val="20"/>
          <w:szCs w:val="20"/>
        </w:rPr>
        <w:t xml:space="preserve"> The sagittal screw appliance not only facilitates forward maxillary advancement but also harmonizes incisor angulation and eliminates the functional shift simultaneously, addressing both the dental and positional components of the malocclusion in a single phase of treatment.</w:t>
      </w:r>
      <w:r w:rsidR="0030362D" w:rsidRPr="002A7CC0">
        <w:rPr>
          <w:rFonts w:ascii="Arial" w:hAnsi="Arial" w:cs="Arial"/>
          <w:sz w:val="20"/>
          <w:szCs w:val="20"/>
        </w:rPr>
        <w:t xml:space="preserve"> Early diagnosis and utilizing the growth phase for skeletal correction can prevent further worsening of class III malocclusion during adulthood.</w:t>
      </w:r>
    </w:p>
    <w:p w14:paraId="16C0C013" w14:textId="77777777" w:rsidR="00473C6B" w:rsidRDefault="00473C6B" w:rsidP="00E05D78">
      <w:pPr>
        <w:spacing w:line="360" w:lineRule="auto"/>
        <w:ind w:firstLine="720"/>
        <w:jc w:val="both"/>
        <w:rPr>
          <w:rFonts w:ascii="Arial" w:hAnsi="Arial" w:cs="Arial"/>
          <w:sz w:val="20"/>
          <w:szCs w:val="20"/>
        </w:rPr>
      </w:pPr>
    </w:p>
    <w:p w14:paraId="4994C31D" w14:textId="77777777" w:rsidR="00473C6B" w:rsidRDefault="00473C6B" w:rsidP="00473C6B">
      <w:pPr>
        <w:spacing w:line="360" w:lineRule="auto"/>
        <w:rPr>
          <w:rFonts w:ascii="Arial" w:hAnsi="Arial" w:cs="Arial"/>
          <w:b/>
          <w:bCs/>
          <w:sz w:val="22"/>
          <w:szCs w:val="22"/>
        </w:rPr>
      </w:pPr>
      <w:r w:rsidRPr="00473C6B">
        <w:rPr>
          <w:rFonts w:ascii="Arial" w:hAnsi="Arial" w:cs="Arial"/>
          <w:b/>
          <w:bCs/>
          <w:sz w:val="22"/>
          <w:szCs w:val="22"/>
        </w:rPr>
        <w:t>DISCLAIMER (ARTIFICIAL INTELLIGENCE)</w:t>
      </w:r>
    </w:p>
    <w:p w14:paraId="28A3024B" w14:textId="4246260F" w:rsidR="00473C6B" w:rsidRDefault="00473C6B" w:rsidP="00473C6B">
      <w:pPr>
        <w:spacing w:line="360" w:lineRule="auto"/>
        <w:rPr>
          <w:rFonts w:ascii="Arial" w:hAnsi="Arial" w:cs="Arial"/>
          <w:sz w:val="20"/>
          <w:szCs w:val="20"/>
        </w:rPr>
      </w:pPr>
      <w:r w:rsidRPr="00473C6B">
        <w:rPr>
          <w:rFonts w:ascii="Arial" w:hAnsi="Arial" w:cs="Arial"/>
          <w:sz w:val="20"/>
          <w:szCs w:val="20"/>
        </w:rPr>
        <w:t>Author(s) hereby</w:t>
      </w:r>
      <w:r>
        <w:rPr>
          <w:rFonts w:ascii="Arial" w:hAnsi="Arial" w:cs="Arial"/>
          <w:sz w:val="20"/>
          <w:szCs w:val="20"/>
        </w:rPr>
        <w:t xml:space="preserve"> </w:t>
      </w:r>
      <w:r w:rsidRPr="00473C6B">
        <w:rPr>
          <w:rFonts w:ascii="Arial" w:hAnsi="Arial" w:cs="Arial"/>
          <w:sz w:val="20"/>
          <w:szCs w:val="20"/>
        </w:rPr>
        <w:t>declare that NO generative AI technologies such as Large Language Models (</w:t>
      </w:r>
      <w:proofErr w:type="spellStart"/>
      <w:r w:rsidRPr="00473C6B">
        <w:rPr>
          <w:rFonts w:ascii="Arial" w:hAnsi="Arial" w:cs="Arial"/>
          <w:sz w:val="20"/>
          <w:szCs w:val="20"/>
        </w:rPr>
        <w:t>ChatGPT</w:t>
      </w:r>
      <w:proofErr w:type="spellEnd"/>
      <w:r w:rsidRPr="00473C6B">
        <w:rPr>
          <w:rFonts w:ascii="Arial" w:hAnsi="Arial" w:cs="Arial"/>
          <w:sz w:val="20"/>
          <w:szCs w:val="20"/>
        </w:rPr>
        <w:t xml:space="preserve">, COPILOT, </w:t>
      </w:r>
      <w:proofErr w:type="spellStart"/>
      <w:r w:rsidRPr="00473C6B">
        <w:rPr>
          <w:rFonts w:ascii="Arial" w:hAnsi="Arial" w:cs="Arial"/>
          <w:sz w:val="20"/>
          <w:szCs w:val="20"/>
        </w:rPr>
        <w:t>etc</w:t>
      </w:r>
      <w:proofErr w:type="spellEnd"/>
      <w:r w:rsidRPr="00473C6B">
        <w:rPr>
          <w:rFonts w:ascii="Arial" w:hAnsi="Arial" w:cs="Arial"/>
          <w:sz w:val="20"/>
          <w:szCs w:val="20"/>
        </w:rPr>
        <w:t>)</w:t>
      </w:r>
      <w:r>
        <w:rPr>
          <w:rFonts w:ascii="Arial" w:hAnsi="Arial" w:cs="Arial"/>
          <w:sz w:val="20"/>
          <w:szCs w:val="20"/>
        </w:rPr>
        <w:t xml:space="preserve"> </w:t>
      </w:r>
      <w:r w:rsidRPr="00473C6B">
        <w:rPr>
          <w:rFonts w:ascii="Arial" w:hAnsi="Arial" w:cs="Arial"/>
          <w:sz w:val="20"/>
          <w:szCs w:val="20"/>
        </w:rPr>
        <w:t>and</w:t>
      </w:r>
      <w:r>
        <w:rPr>
          <w:rFonts w:ascii="Arial" w:hAnsi="Arial" w:cs="Arial"/>
          <w:sz w:val="20"/>
          <w:szCs w:val="20"/>
        </w:rPr>
        <w:t xml:space="preserve"> </w:t>
      </w:r>
      <w:r w:rsidRPr="00473C6B">
        <w:rPr>
          <w:rFonts w:ascii="Arial" w:hAnsi="Arial" w:cs="Arial"/>
          <w:sz w:val="20"/>
          <w:szCs w:val="20"/>
        </w:rPr>
        <w:t>text-to-image generators have been used during writing</w:t>
      </w:r>
      <w:r>
        <w:rPr>
          <w:rFonts w:ascii="Arial" w:hAnsi="Arial" w:cs="Arial"/>
          <w:sz w:val="20"/>
          <w:szCs w:val="20"/>
        </w:rPr>
        <w:t xml:space="preserve"> </w:t>
      </w:r>
      <w:r w:rsidRPr="00473C6B">
        <w:rPr>
          <w:rFonts w:ascii="Arial" w:hAnsi="Arial" w:cs="Arial"/>
          <w:sz w:val="20"/>
          <w:szCs w:val="20"/>
        </w:rPr>
        <w:t xml:space="preserve">or editing of this manuscript. </w:t>
      </w:r>
    </w:p>
    <w:p w14:paraId="4180AF65" w14:textId="77777777" w:rsidR="00473C6B" w:rsidRDefault="00473C6B" w:rsidP="00473C6B">
      <w:pPr>
        <w:spacing w:line="360" w:lineRule="auto"/>
        <w:rPr>
          <w:rFonts w:ascii="Arial" w:hAnsi="Arial" w:cs="Arial"/>
          <w:sz w:val="20"/>
          <w:szCs w:val="20"/>
        </w:rPr>
      </w:pPr>
      <w:r w:rsidRPr="00473C6B">
        <w:rPr>
          <w:rFonts w:ascii="Arial" w:hAnsi="Arial" w:cs="Arial"/>
          <w:b/>
          <w:bCs/>
          <w:sz w:val="22"/>
          <w:szCs w:val="22"/>
        </w:rPr>
        <w:t>CONSENT</w:t>
      </w:r>
    </w:p>
    <w:p w14:paraId="190A8772" w14:textId="59D96F38" w:rsidR="00473C6B" w:rsidRDefault="00473C6B" w:rsidP="00473C6B">
      <w:pPr>
        <w:spacing w:line="360" w:lineRule="auto"/>
        <w:rPr>
          <w:rFonts w:ascii="Arial" w:hAnsi="Arial" w:cs="Arial"/>
          <w:sz w:val="20"/>
          <w:szCs w:val="20"/>
        </w:rPr>
      </w:pPr>
      <w:r w:rsidRPr="00473C6B">
        <w:rPr>
          <w:rFonts w:ascii="Arial" w:hAnsi="Arial" w:cs="Arial"/>
          <w:sz w:val="20"/>
          <w:szCs w:val="20"/>
        </w:rPr>
        <w:t xml:space="preserve"> As</w:t>
      </w:r>
      <w:r>
        <w:rPr>
          <w:rFonts w:ascii="Arial" w:hAnsi="Arial" w:cs="Arial"/>
          <w:sz w:val="20"/>
          <w:szCs w:val="20"/>
        </w:rPr>
        <w:t xml:space="preserve"> </w:t>
      </w:r>
      <w:r w:rsidRPr="00473C6B">
        <w:rPr>
          <w:rFonts w:ascii="Arial" w:hAnsi="Arial" w:cs="Arial"/>
          <w:sz w:val="20"/>
          <w:szCs w:val="20"/>
        </w:rPr>
        <w:t>per international   standards or university standards, patient(s) written consent has been collected and preserved by the author(s).</w:t>
      </w:r>
    </w:p>
    <w:p w14:paraId="2608C8DB" w14:textId="77777777" w:rsidR="00CD5DB6" w:rsidRDefault="00CD5DB6" w:rsidP="00473C6B">
      <w:pPr>
        <w:spacing w:line="360" w:lineRule="auto"/>
        <w:rPr>
          <w:rFonts w:ascii="Arial" w:hAnsi="Arial" w:cs="Arial"/>
          <w:b/>
          <w:bCs/>
          <w:sz w:val="22"/>
          <w:szCs w:val="22"/>
        </w:rPr>
      </w:pPr>
    </w:p>
    <w:p w14:paraId="2F29C6DC" w14:textId="6660AE3A" w:rsidR="00473C6B" w:rsidRDefault="00473C6B" w:rsidP="00473C6B">
      <w:pPr>
        <w:spacing w:line="360" w:lineRule="auto"/>
        <w:rPr>
          <w:rFonts w:ascii="Arial" w:hAnsi="Arial" w:cs="Arial"/>
          <w:b/>
          <w:bCs/>
          <w:sz w:val="22"/>
          <w:szCs w:val="22"/>
        </w:rPr>
      </w:pPr>
      <w:r w:rsidRPr="00473C6B">
        <w:rPr>
          <w:rFonts w:ascii="Arial" w:hAnsi="Arial" w:cs="Arial"/>
          <w:b/>
          <w:bCs/>
          <w:sz w:val="22"/>
          <w:szCs w:val="22"/>
        </w:rPr>
        <w:lastRenderedPageBreak/>
        <w:t>ETHICAL APPROVAL</w:t>
      </w:r>
    </w:p>
    <w:p w14:paraId="3C739C8F" w14:textId="77777777" w:rsidR="00473C6B" w:rsidRDefault="00473C6B" w:rsidP="00473C6B">
      <w:pPr>
        <w:spacing w:line="360" w:lineRule="auto"/>
        <w:rPr>
          <w:rFonts w:ascii="Arial" w:hAnsi="Arial" w:cs="Arial"/>
          <w:sz w:val="20"/>
          <w:szCs w:val="20"/>
        </w:rPr>
      </w:pPr>
      <w:r>
        <w:rPr>
          <w:rFonts w:ascii="Arial" w:hAnsi="Arial" w:cs="Arial"/>
          <w:sz w:val="22"/>
          <w:szCs w:val="22"/>
        </w:rPr>
        <w:t xml:space="preserve">It </w:t>
      </w:r>
      <w:r w:rsidRPr="00473C6B">
        <w:rPr>
          <w:rFonts w:ascii="Arial" w:hAnsi="Arial" w:cs="Arial"/>
          <w:sz w:val="20"/>
          <w:szCs w:val="20"/>
        </w:rPr>
        <w:t>is not applicable.</w:t>
      </w:r>
    </w:p>
    <w:p w14:paraId="3DD4374D" w14:textId="77777777" w:rsidR="00473C6B" w:rsidRDefault="00473C6B" w:rsidP="0037387A">
      <w:pPr>
        <w:spacing w:line="360" w:lineRule="auto"/>
        <w:jc w:val="both"/>
        <w:rPr>
          <w:rFonts w:ascii="Arial" w:hAnsi="Arial" w:cs="Arial"/>
          <w:sz w:val="20"/>
          <w:szCs w:val="20"/>
        </w:rPr>
      </w:pPr>
      <w:bookmarkStart w:id="1" w:name="_GoBack"/>
      <w:bookmarkEnd w:id="1"/>
    </w:p>
    <w:p w14:paraId="3F112E3D" w14:textId="674E31AA" w:rsidR="0097386C" w:rsidRPr="002A7CC0" w:rsidRDefault="002A7CC0" w:rsidP="0037387A">
      <w:pPr>
        <w:spacing w:line="360" w:lineRule="auto"/>
        <w:jc w:val="both"/>
        <w:rPr>
          <w:rFonts w:ascii="Arial" w:hAnsi="Arial" w:cs="Arial"/>
          <w:sz w:val="22"/>
          <w:szCs w:val="22"/>
        </w:rPr>
      </w:pPr>
      <w:r w:rsidRPr="002A7CC0">
        <w:rPr>
          <w:rFonts w:ascii="Arial" w:hAnsi="Arial" w:cs="Arial"/>
          <w:b/>
          <w:bCs/>
          <w:sz w:val="22"/>
          <w:szCs w:val="22"/>
        </w:rPr>
        <w:t>REFERENCES</w:t>
      </w:r>
    </w:p>
    <w:p w14:paraId="1127AB76" w14:textId="77777777" w:rsidR="0097386C" w:rsidRPr="002A7CC0" w:rsidRDefault="0097386C" w:rsidP="002A61E7">
      <w:pPr>
        <w:spacing w:line="360" w:lineRule="auto"/>
        <w:ind w:left="360"/>
        <w:jc w:val="both"/>
        <w:rPr>
          <w:rFonts w:ascii="Arial" w:hAnsi="Arial" w:cs="Arial"/>
          <w:sz w:val="20"/>
          <w:szCs w:val="20"/>
        </w:rPr>
      </w:pPr>
      <w:r w:rsidRPr="002A7CC0">
        <w:rPr>
          <w:rFonts w:ascii="Arial" w:hAnsi="Arial" w:cs="Arial"/>
          <w:sz w:val="20"/>
          <w:szCs w:val="20"/>
        </w:rPr>
        <w:t xml:space="preserve">Angle EH. Classification of malocclusion. Dent Cosmos. </w:t>
      </w:r>
      <w:proofErr w:type="gramStart"/>
      <w:r w:rsidRPr="002A7CC0">
        <w:rPr>
          <w:rFonts w:ascii="Arial" w:hAnsi="Arial" w:cs="Arial"/>
          <w:sz w:val="20"/>
          <w:szCs w:val="20"/>
        </w:rPr>
        <w:t>1899;41:248</w:t>
      </w:r>
      <w:proofErr w:type="gramEnd"/>
      <w:r w:rsidRPr="002A7CC0">
        <w:rPr>
          <w:rFonts w:ascii="Arial" w:hAnsi="Arial" w:cs="Arial"/>
          <w:sz w:val="20"/>
          <w:szCs w:val="20"/>
        </w:rPr>
        <w:t>–264.</w:t>
      </w:r>
    </w:p>
    <w:p w14:paraId="39E9846A" w14:textId="77777777" w:rsidR="0097386C" w:rsidRPr="002A7CC0" w:rsidRDefault="0097386C" w:rsidP="002A61E7">
      <w:pPr>
        <w:spacing w:line="360" w:lineRule="auto"/>
        <w:ind w:left="360"/>
        <w:jc w:val="both"/>
        <w:rPr>
          <w:rFonts w:ascii="Arial" w:hAnsi="Arial" w:cs="Arial"/>
          <w:sz w:val="20"/>
          <w:szCs w:val="20"/>
        </w:rPr>
      </w:pPr>
      <w:r w:rsidRPr="002A7CC0">
        <w:rPr>
          <w:rFonts w:ascii="Arial" w:hAnsi="Arial" w:cs="Arial"/>
          <w:sz w:val="20"/>
          <w:szCs w:val="20"/>
        </w:rPr>
        <w:t>Moyers RE. Handbook of Orthodontics. 4th ed. Chicago: Year Book Medical Publishers; 1988.</w:t>
      </w:r>
    </w:p>
    <w:p w14:paraId="1E20EECE" w14:textId="77777777" w:rsidR="0037387A" w:rsidRPr="002A7CC0" w:rsidRDefault="0037387A" w:rsidP="002A61E7">
      <w:pPr>
        <w:spacing w:line="360" w:lineRule="auto"/>
        <w:ind w:left="360"/>
        <w:jc w:val="both"/>
        <w:rPr>
          <w:rFonts w:ascii="Arial" w:hAnsi="Arial" w:cs="Arial"/>
          <w:sz w:val="20"/>
          <w:szCs w:val="20"/>
        </w:rPr>
      </w:pPr>
      <w:r w:rsidRPr="002A7CC0">
        <w:rPr>
          <w:rFonts w:ascii="Arial" w:hAnsi="Arial" w:cs="Arial"/>
          <w:sz w:val="20"/>
          <w:szCs w:val="20"/>
        </w:rPr>
        <w:t>Jacobson A. The “Wits” appraisal of jaw disharmony. American journal of orthodontics. 1975 Feb 1;67(2):125-38.</w:t>
      </w:r>
    </w:p>
    <w:p w14:paraId="224C7133" w14:textId="50606C20" w:rsidR="0037387A" w:rsidRPr="002A7CC0" w:rsidRDefault="0037387A" w:rsidP="002A61E7">
      <w:pPr>
        <w:spacing w:line="360" w:lineRule="auto"/>
        <w:ind w:left="360"/>
        <w:jc w:val="both"/>
        <w:rPr>
          <w:rFonts w:ascii="Arial" w:hAnsi="Arial" w:cs="Arial"/>
          <w:sz w:val="20"/>
          <w:szCs w:val="20"/>
        </w:rPr>
      </w:pPr>
      <w:proofErr w:type="spellStart"/>
      <w:r w:rsidRPr="002A7CC0">
        <w:rPr>
          <w:rFonts w:ascii="Arial" w:hAnsi="Arial" w:cs="Arial"/>
          <w:sz w:val="20"/>
          <w:szCs w:val="20"/>
        </w:rPr>
        <w:t>Zohud</w:t>
      </w:r>
      <w:proofErr w:type="spellEnd"/>
      <w:r w:rsidRPr="002A7CC0">
        <w:rPr>
          <w:rFonts w:ascii="Arial" w:hAnsi="Arial" w:cs="Arial"/>
          <w:sz w:val="20"/>
          <w:szCs w:val="20"/>
        </w:rPr>
        <w:t xml:space="preserve"> O, Lone IM, </w:t>
      </w:r>
      <w:proofErr w:type="spellStart"/>
      <w:r w:rsidRPr="002A7CC0">
        <w:rPr>
          <w:rFonts w:ascii="Arial" w:hAnsi="Arial" w:cs="Arial"/>
          <w:sz w:val="20"/>
          <w:szCs w:val="20"/>
        </w:rPr>
        <w:t>Midlej</w:t>
      </w:r>
      <w:proofErr w:type="spellEnd"/>
      <w:r w:rsidRPr="002A7CC0">
        <w:rPr>
          <w:rFonts w:ascii="Arial" w:hAnsi="Arial" w:cs="Arial"/>
          <w:sz w:val="20"/>
          <w:szCs w:val="20"/>
        </w:rPr>
        <w:t xml:space="preserve"> K, </w:t>
      </w:r>
      <w:proofErr w:type="spellStart"/>
      <w:r w:rsidRPr="002A7CC0">
        <w:rPr>
          <w:rFonts w:ascii="Arial" w:hAnsi="Arial" w:cs="Arial"/>
          <w:sz w:val="20"/>
          <w:szCs w:val="20"/>
        </w:rPr>
        <w:t>Obaida</w:t>
      </w:r>
      <w:proofErr w:type="spellEnd"/>
      <w:r w:rsidRPr="002A7CC0">
        <w:rPr>
          <w:rFonts w:ascii="Arial" w:hAnsi="Arial" w:cs="Arial"/>
          <w:sz w:val="20"/>
          <w:szCs w:val="20"/>
        </w:rPr>
        <w:t xml:space="preserve"> A, </w:t>
      </w:r>
      <w:proofErr w:type="spellStart"/>
      <w:r w:rsidRPr="002A7CC0">
        <w:rPr>
          <w:rFonts w:ascii="Arial" w:hAnsi="Arial" w:cs="Arial"/>
          <w:sz w:val="20"/>
          <w:szCs w:val="20"/>
        </w:rPr>
        <w:t>Masarwa</w:t>
      </w:r>
      <w:proofErr w:type="spellEnd"/>
      <w:r w:rsidRPr="002A7CC0">
        <w:rPr>
          <w:rFonts w:ascii="Arial" w:hAnsi="Arial" w:cs="Arial"/>
          <w:sz w:val="20"/>
          <w:szCs w:val="20"/>
        </w:rPr>
        <w:t xml:space="preserve"> S, </w:t>
      </w:r>
      <w:proofErr w:type="spellStart"/>
      <w:r w:rsidRPr="002A7CC0">
        <w:rPr>
          <w:rFonts w:ascii="Arial" w:hAnsi="Arial" w:cs="Arial"/>
          <w:sz w:val="20"/>
          <w:szCs w:val="20"/>
        </w:rPr>
        <w:t>Schröder</w:t>
      </w:r>
      <w:proofErr w:type="spellEnd"/>
      <w:r w:rsidRPr="002A7CC0">
        <w:rPr>
          <w:rFonts w:ascii="Arial" w:hAnsi="Arial" w:cs="Arial"/>
          <w:sz w:val="20"/>
          <w:szCs w:val="20"/>
        </w:rPr>
        <w:t xml:space="preserve"> A, </w:t>
      </w:r>
      <w:proofErr w:type="spellStart"/>
      <w:r w:rsidRPr="002A7CC0">
        <w:rPr>
          <w:rFonts w:ascii="Arial" w:hAnsi="Arial" w:cs="Arial"/>
          <w:sz w:val="20"/>
          <w:szCs w:val="20"/>
        </w:rPr>
        <w:t>Küchler</w:t>
      </w:r>
      <w:proofErr w:type="spellEnd"/>
      <w:r w:rsidRPr="002A7CC0">
        <w:rPr>
          <w:rFonts w:ascii="Arial" w:hAnsi="Arial" w:cs="Arial"/>
          <w:sz w:val="20"/>
          <w:szCs w:val="20"/>
        </w:rPr>
        <w:t xml:space="preserve"> EC, </w:t>
      </w:r>
      <w:proofErr w:type="spellStart"/>
      <w:r w:rsidRPr="002A7CC0">
        <w:rPr>
          <w:rFonts w:ascii="Arial" w:hAnsi="Arial" w:cs="Arial"/>
          <w:sz w:val="20"/>
          <w:szCs w:val="20"/>
        </w:rPr>
        <w:t>Nashef</w:t>
      </w:r>
      <w:proofErr w:type="spellEnd"/>
      <w:r w:rsidRPr="002A7CC0">
        <w:rPr>
          <w:rFonts w:ascii="Arial" w:hAnsi="Arial" w:cs="Arial"/>
          <w:sz w:val="20"/>
          <w:szCs w:val="20"/>
        </w:rPr>
        <w:t xml:space="preserve"> A, Kassem F, Reiser V, </w:t>
      </w:r>
      <w:proofErr w:type="spellStart"/>
      <w:r w:rsidRPr="002A7CC0">
        <w:rPr>
          <w:rFonts w:ascii="Arial" w:hAnsi="Arial" w:cs="Arial"/>
          <w:sz w:val="20"/>
          <w:szCs w:val="20"/>
        </w:rPr>
        <w:t>Chaushu</w:t>
      </w:r>
      <w:proofErr w:type="spellEnd"/>
      <w:r w:rsidRPr="002A7CC0">
        <w:rPr>
          <w:rFonts w:ascii="Arial" w:hAnsi="Arial" w:cs="Arial"/>
          <w:sz w:val="20"/>
          <w:szCs w:val="20"/>
        </w:rPr>
        <w:t xml:space="preserve"> G. Towards genetic dissection of skeletal class III malocclusion: a review of genetic variations underlying the phenotype in humans and future directions. Journal of Clinical Medicine. 2023 Apr 29;12(9):3212.</w:t>
      </w:r>
    </w:p>
    <w:p w14:paraId="16BE368B" w14:textId="6F4E1A1B" w:rsidR="00D3588C" w:rsidRPr="002A7CC0" w:rsidRDefault="00D3588C" w:rsidP="002A61E7">
      <w:pPr>
        <w:spacing w:line="360" w:lineRule="auto"/>
        <w:ind w:left="360"/>
        <w:jc w:val="both"/>
        <w:rPr>
          <w:rFonts w:ascii="Arial" w:hAnsi="Arial" w:cs="Arial"/>
          <w:sz w:val="20"/>
          <w:szCs w:val="20"/>
        </w:rPr>
      </w:pPr>
      <w:proofErr w:type="spellStart"/>
      <w:r w:rsidRPr="002A7CC0">
        <w:rPr>
          <w:rFonts w:ascii="Arial" w:hAnsi="Arial" w:cs="Arial"/>
          <w:sz w:val="20"/>
          <w:szCs w:val="20"/>
        </w:rPr>
        <w:t>DiBiase</w:t>
      </w:r>
      <w:proofErr w:type="spellEnd"/>
      <w:r w:rsidRPr="002A7CC0">
        <w:rPr>
          <w:rFonts w:ascii="Arial" w:hAnsi="Arial" w:cs="Arial"/>
          <w:sz w:val="20"/>
          <w:szCs w:val="20"/>
        </w:rPr>
        <w:t xml:space="preserve"> AT, </w:t>
      </w:r>
      <w:proofErr w:type="spellStart"/>
      <w:r w:rsidRPr="002A7CC0">
        <w:rPr>
          <w:rFonts w:ascii="Arial" w:hAnsi="Arial" w:cs="Arial"/>
          <w:sz w:val="20"/>
          <w:szCs w:val="20"/>
        </w:rPr>
        <w:t>Seehra</w:t>
      </w:r>
      <w:proofErr w:type="spellEnd"/>
      <w:r w:rsidRPr="002A7CC0">
        <w:rPr>
          <w:rFonts w:ascii="Arial" w:hAnsi="Arial" w:cs="Arial"/>
          <w:sz w:val="20"/>
          <w:szCs w:val="20"/>
        </w:rPr>
        <w:t xml:space="preserve"> J, </w:t>
      </w:r>
      <w:proofErr w:type="spellStart"/>
      <w:r w:rsidRPr="002A7CC0">
        <w:rPr>
          <w:rFonts w:ascii="Arial" w:hAnsi="Arial" w:cs="Arial"/>
          <w:sz w:val="20"/>
          <w:szCs w:val="20"/>
        </w:rPr>
        <w:t>Papageorgiou</w:t>
      </w:r>
      <w:proofErr w:type="spellEnd"/>
      <w:r w:rsidRPr="002A7CC0">
        <w:rPr>
          <w:rFonts w:ascii="Arial" w:hAnsi="Arial" w:cs="Arial"/>
          <w:sz w:val="20"/>
          <w:szCs w:val="20"/>
        </w:rPr>
        <w:t xml:space="preserve"> SN, </w:t>
      </w:r>
      <w:proofErr w:type="spellStart"/>
      <w:r w:rsidRPr="002A7CC0">
        <w:rPr>
          <w:rFonts w:ascii="Arial" w:hAnsi="Arial" w:cs="Arial"/>
          <w:sz w:val="20"/>
          <w:szCs w:val="20"/>
        </w:rPr>
        <w:t>Cobourne</w:t>
      </w:r>
      <w:proofErr w:type="spellEnd"/>
      <w:r w:rsidRPr="002A7CC0">
        <w:rPr>
          <w:rFonts w:ascii="Arial" w:hAnsi="Arial" w:cs="Arial"/>
          <w:sz w:val="20"/>
          <w:szCs w:val="20"/>
        </w:rPr>
        <w:t xml:space="preserve"> MT. Do we get better outcomes from early treatment of Class III </w:t>
      </w:r>
      <w:proofErr w:type="gramStart"/>
      <w:r w:rsidRPr="002A7CC0">
        <w:rPr>
          <w:rFonts w:ascii="Arial" w:hAnsi="Arial" w:cs="Arial"/>
          <w:sz w:val="20"/>
          <w:szCs w:val="20"/>
        </w:rPr>
        <w:t>discrepancies?.</w:t>
      </w:r>
      <w:proofErr w:type="gramEnd"/>
      <w:r w:rsidRPr="002A7CC0">
        <w:rPr>
          <w:rFonts w:ascii="Arial" w:hAnsi="Arial" w:cs="Arial"/>
          <w:sz w:val="20"/>
          <w:szCs w:val="20"/>
        </w:rPr>
        <w:t xml:space="preserve"> British Dental Journal. 2022 Aug 12;233(3):197-201.</w:t>
      </w:r>
    </w:p>
    <w:p w14:paraId="0A6E487E" w14:textId="77777777" w:rsidR="00582DAE" w:rsidRPr="002A7CC0" w:rsidRDefault="00582DAE" w:rsidP="002A61E7">
      <w:pPr>
        <w:spacing w:line="360" w:lineRule="auto"/>
        <w:ind w:left="360"/>
        <w:jc w:val="both"/>
        <w:rPr>
          <w:rFonts w:ascii="Arial" w:hAnsi="Arial" w:cs="Arial"/>
          <w:sz w:val="20"/>
          <w:szCs w:val="20"/>
        </w:rPr>
      </w:pPr>
      <w:r w:rsidRPr="002A7CC0">
        <w:rPr>
          <w:rFonts w:ascii="Arial" w:hAnsi="Arial" w:cs="Arial"/>
          <w:sz w:val="20"/>
          <w:szCs w:val="20"/>
        </w:rPr>
        <w:t>Owen III AH. The maxillary sagittal appliance: a clinical study. American Journal of Orthodontics and Dentofacial Orthopedics. 1987 Apr 1;91(4):271-85.</w:t>
      </w:r>
    </w:p>
    <w:p w14:paraId="5156E55D" w14:textId="640AB929" w:rsidR="00D3588C" w:rsidRPr="002A7CC0" w:rsidRDefault="00D3588C" w:rsidP="002A61E7">
      <w:pPr>
        <w:spacing w:line="360" w:lineRule="auto"/>
        <w:ind w:left="360"/>
        <w:jc w:val="both"/>
        <w:rPr>
          <w:rFonts w:ascii="Arial" w:hAnsi="Arial" w:cs="Arial"/>
          <w:sz w:val="20"/>
          <w:szCs w:val="20"/>
        </w:rPr>
      </w:pPr>
      <w:r w:rsidRPr="002A7CC0">
        <w:rPr>
          <w:rFonts w:ascii="Arial" w:hAnsi="Arial" w:cs="Arial"/>
          <w:sz w:val="20"/>
          <w:szCs w:val="20"/>
        </w:rPr>
        <w:t xml:space="preserve">Zhang J, Liu C, Dong Y. Finite element analysis of sagittal screw expander appliance in the treatment of anterior maxillary hypoplasia. Frontiers in Bioengineering and Biotechnology. 2023 Oct </w:t>
      </w:r>
      <w:proofErr w:type="gramStart"/>
      <w:r w:rsidRPr="002A7CC0">
        <w:rPr>
          <w:rFonts w:ascii="Arial" w:hAnsi="Arial" w:cs="Arial"/>
          <w:sz w:val="20"/>
          <w:szCs w:val="20"/>
        </w:rPr>
        <w:t>26;11:1245764</w:t>
      </w:r>
      <w:proofErr w:type="gramEnd"/>
      <w:r w:rsidRPr="002A7CC0">
        <w:rPr>
          <w:rFonts w:ascii="Arial" w:hAnsi="Arial" w:cs="Arial"/>
          <w:sz w:val="20"/>
          <w:szCs w:val="20"/>
        </w:rPr>
        <w:t>.</w:t>
      </w:r>
    </w:p>
    <w:p w14:paraId="148C3231" w14:textId="77777777" w:rsidR="0037387A" w:rsidRPr="002A7CC0" w:rsidRDefault="0037387A" w:rsidP="002A61E7">
      <w:pPr>
        <w:spacing w:line="360" w:lineRule="auto"/>
        <w:ind w:left="360"/>
        <w:jc w:val="both"/>
        <w:rPr>
          <w:rFonts w:ascii="Arial" w:hAnsi="Arial" w:cs="Arial"/>
          <w:sz w:val="20"/>
          <w:szCs w:val="20"/>
        </w:rPr>
      </w:pPr>
      <w:proofErr w:type="spellStart"/>
      <w:r w:rsidRPr="002A7CC0">
        <w:rPr>
          <w:rFonts w:ascii="Arial" w:hAnsi="Arial" w:cs="Arial"/>
          <w:sz w:val="20"/>
          <w:szCs w:val="20"/>
        </w:rPr>
        <w:t>Inchingolo</w:t>
      </w:r>
      <w:proofErr w:type="spellEnd"/>
      <w:r w:rsidRPr="002A7CC0">
        <w:rPr>
          <w:rFonts w:ascii="Arial" w:hAnsi="Arial" w:cs="Arial"/>
          <w:sz w:val="20"/>
          <w:szCs w:val="20"/>
        </w:rPr>
        <w:t xml:space="preserve"> AM, </w:t>
      </w:r>
      <w:proofErr w:type="spellStart"/>
      <w:r w:rsidRPr="002A7CC0">
        <w:rPr>
          <w:rFonts w:ascii="Arial" w:hAnsi="Arial" w:cs="Arial"/>
          <w:sz w:val="20"/>
          <w:szCs w:val="20"/>
        </w:rPr>
        <w:t>Inchingolo</w:t>
      </w:r>
      <w:proofErr w:type="spellEnd"/>
      <w:r w:rsidRPr="002A7CC0">
        <w:rPr>
          <w:rFonts w:ascii="Arial" w:hAnsi="Arial" w:cs="Arial"/>
          <w:sz w:val="20"/>
          <w:szCs w:val="20"/>
        </w:rPr>
        <w:t xml:space="preserve"> AD, Trilli I, Ferrante L, Di Noia A, de Ruvo E, Palermo A, </w:t>
      </w:r>
      <w:proofErr w:type="spellStart"/>
      <w:r w:rsidRPr="002A7CC0">
        <w:rPr>
          <w:rFonts w:ascii="Arial" w:hAnsi="Arial" w:cs="Arial"/>
          <w:sz w:val="20"/>
          <w:szCs w:val="20"/>
        </w:rPr>
        <w:t>Inchingolo</w:t>
      </w:r>
      <w:proofErr w:type="spellEnd"/>
      <w:r w:rsidRPr="002A7CC0">
        <w:rPr>
          <w:rFonts w:ascii="Arial" w:hAnsi="Arial" w:cs="Arial"/>
          <w:sz w:val="20"/>
          <w:szCs w:val="20"/>
        </w:rPr>
        <w:t xml:space="preserve"> F, </w:t>
      </w:r>
      <w:proofErr w:type="spellStart"/>
      <w:r w:rsidRPr="002A7CC0">
        <w:rPr>
          <w:rFonts w:ascii="Arial" w:hAnsi="Arial" w:cs="Arial"/>
          <w:sz w:val="20"/>
          <w:szCs w:val="20"/>
        </w:rPr>
        <w:t>Dipalma</w:t>
      </w:r>
      <w:proofErr w:type="spellEnd"/>
      <w:r w:rsidRPr="002A7CC0">
        <w:rPr>
          <w:rFonts w:ascii="Arial" w:hAnsi="Arial" w:cs="Arial"/>
          <w:sz w:val="20"/>
          <w:szCs w:val="20"/>
        </w:rPr>
        <w:t xml:space="preserve"> G. Orthopedic Devices for Skeletal Class III Malocclusion Treatment in Growing Patients: A Comparative Effectiveness Systematic Review. Journal of Clinical Medicine. 2024 Nov 25;13(23):7141.</w:t>
      </w:r>
    </w:p>
    <w:p w14:paraId="24BD9372" w14:textId="75032415" w:rsidR="0037387A" w:rsidRPr="002A7CC0" w:rsidRDefault="0037387A" w:rsidP="002A61E7">
      <w:pPr>
        <w:spacing w:line="360" w:lineRule="auto"/>
        <w:ind w:left="360"/>
        <w:jc w:val="both"/>
        <w:rPr>
          <w:rFonts w:ascii="Arial" w:hAnsi="Arial" w:cs="Arial"/>
          <w:sz w:val="20"/>
          <w:szCs w:val="20"/>
        </w:rPr>
      </w:pPr>
      <w:r w:rsidRPr="002A7CC0">
        <w:rPr>
          <w:rFonts w:ascii="Arial" w:hAnsi="Arial" w:cs="Arial"/>
          <w:sz w:val="20"/>
          <w:szCs w:val="20"/>
        </w:rPr>
        <w:t>Hamidaddin MA. Optimal treatment timing in Orthodontics: a scoping review. European Journal of Dentistry. 2024 Feb;18(01):086-96.</w:t>
      </w:r>
    </w:p>
    <w:p w14:paraId="721930EE" w14:textId="04E372F3" w:rsidR="00D3588C" w:rsidRPr="002A7CC0" w:rsidRDefault="00D3588C" w:rsidP="002A61E7">
      <w:pPr>
        <w:spacing w:line="360" w:lineRule="auto"/>
        <w:ind w:left="360"/>
        <w:jc w:val="both"/>
        <w:rPr>
          <w:rFonts w:ascii="Arial" w:hAnsi="Arial" w:cs="Arial"/>
          <w:sz w:val="20"/>
          <w:szCs w:val="20"/>
        </w:rPr>
      </w:pPr>
      <w:proofErr w:type="spellStart"/>
      <w:r w:rsidRPr="002A7CC0">
        <w:rPr>
          <w:rFonts w:ascii="Arial" w:hAnsi="Arial" w:cs="Arial"/>
          <w:sz w:val="20"/>
          <w:szCs w:val="20"/>
        </w:rPr>
        <w:t>Wiedel</w:t>
      </w:r>
      <w:proofErr w:type="spellEnd"/>
      <w:r w:rsidRPr="002A7CC0">
        <w:rPr>
          <w:rFonts w:ascii="Arial" w:hAnsi="Arial" w:cs="Arial"/>
          <w:sz w:val="20"/>
          <w:szCs w:val="20"/>
        </w:rPr>
        <w:t xml:space="preserve"> AP, </w:t>
      </w:r>
      <w:proofErr w:type="spellStart"/>
      <w:r w:rsidRPr="002A7CC0">
        <w:rPr>
          <w:rFonts w:ascii="Arial" w:hAnsi="Arial" w:cs="Arial"/>
          <w:sz w:val="20"/>
          <w:szCs w:val="20"/>
        </w:rPr>
        <w:t>Bondemark</w:t>
      </w:r>
      <w:proofErr w:type="spellEnd"/>
      <w:r w:rsidRPr="002A7CC0">
        <w:rPr>
          <w:rFonts w:ascii="Arial" w:hAnsi="Arial" w:cs="Arial"/>
          <w:sz w:val="20"/>
          <w:szCs w:val="20"/>
        </w:rPr>
        <w:t xml:space="preserve"> L. Stability of anterior crossbite correction: a randomized controlled trial with a 2-year follow-up. The Angle Orthodontist. 2015 Mar 1;85(2):189-95.</w:t>
      </w:r>
    </w:p>
    <w:p w14:paraId="271FF8EE" w14:textId="77777777" w:rsidR="0037387A" w:rsidRPr="002A7CC0" w:rsidRDefault="00582DAE" w:rsidP="002A61E7">
      <w:pPr>
        <w:spacing w:line="360" w:lineRule="auto"/>
        <w:ind w:left="360"/>
        <w:jc w:val="both"/>
        <w:rPr>
          <w:rFonts w:ascii="Arial" w:hAnsi="Arial" w:cs="Arial"/>
          <w:sz w:val="20"/>
          <w:szCs w:val="20"/>
        </w:rPr>
      </w:pPr>
      <w:proofErr w:type="spellStart"/>
      <w:r w:rsidRPr="002A7CC0">
        <w:rPr>
          <w:rFonts w:ascii="Arial" w:hAnsi="Arial" w:cs="Arial"/>
          <w:sz w:val="20"/>
          <w:szCs w:val="20"/>
        </w:rPr>
        <w:t>Alfaifi</w:t>
      </w:r>
      <w:proofErr w:type="spellEnd"/>
      <w:r w:rsidRPr="002A7CC0">
        <w:rPr>
          <w:rFonts w:ascii="Arial" w:hAnsi="Arial" w:cs="Arial"/>
          <w:sz w:val="20"/>
          <w:szCs w:val="20"/>
        </w:rPr>
        <w:t xml:space="preserve"> AH. Restorative Management and Treatment of Pseudo</w:t>
      </w:r>
      <w:r w:rsidRPr="002A7CC0">
        <w:rPr>
          <w:rFonts w:ascii="Cambria Math" w:hAnsi="Cambria Math" w:cs="Cambria Math"/>
          <w:sz w:val="20"/>
          <w:szCs w:val="20"/>
        </w:rPr>
        <w:t>‐</w:t>
      </w:r>
      <w:r w:rsidRPr="002A7CC0">
        <w:rPr>
          <w:rFonts w:ascii="Arial" w:hAnsi="Arial" w:cs="Arial"/>
          <w:sz w:val="20"/>
          <w:szCs w:val="20"/>
        </w:rPr>
        <w:t>Class III Malocclusion. Case Reports in Dentistry. 2021;2021(1):8470222.</w:t>
      </w:r>
    </w:p>
    <w:p w14:paraId="22A5E348" w14:textId="77777777" w:rsidR="0037387A" w:rsidRPr="002A7CC0" w:rsidRDefault="0037387A" w:rsidP="002A61E7">
      <w:pPr>
        <w:spacing w:line="360" w:lineRule="auto"/>
        <w:ind w:left="360"/>
        <w:jc w:val="both"/>
        <w:rPr>
          <w:rFonts w:ascii="Arial" w:hAnsi="Arial" w:cs="Arial"/>
          <w:sz w:val="20"/>
          <w:szCs w:val="20"/>
        </w:rPr>
      </w:pPr>
      <w:r w:rsidRPr="002A7CC0">
        <w:rPr>
          <w:rFonts w:ascii="Arial" w:hAnsi="Arial" w:cs="Arial"/>
          <w:sz w:val="20"/>
          <w:szCs w:val="20"/>
        </w:rPr>
        <w:lastRenderedPageBreak/>
        <w:t>Zhou X, Chen S, Zhou C, Jin Z, He H, Bai Y, Li W, Wang J, Hu M, Cao Y, Liu Y. Expert consensus on early orthodontic treatment of class III malocclusion. International Journal of Oral Science. 2025 Apr 1;17(1):20.</w:t>
      </w:r>
    </w:p>
    <w:p w14:paraId="5A938340" w14:textId="221BE17B" w:rsidR="0097386C" w:rsidRPr="002A7CC0" w:rsidRDefault="0097386C" w:rsidP="002A61E7">
      <w:pPr>
        <w:spacing w:line="360" w:lineRule="auto"/>
        <w:ind w:left="360"/>
        <w:jc w:val="both"/>
        <w:rPr>
          <w:rFonts w:ascii="Arial" w:hAnsi="Arial" w:cs="Arial"/>
          <w:sz w:val="20"/>
          <w:szCs w:val="20"/>
        </w:rPr>
      </w:pPr>
      <w:r w:rsidRPr="002A7CC0">
        <w:rPr>
          <w:rFonts w:ascii="Arial" w:hAnsi="Arial" w:cs="Arial"/>
          <w:sz w:val="20"/>
          <w:szCs w:val="20"/>
        </w:rPr>
        <w:t xml:space="preserve">Dolci GS, et al. Hybrid mechanics in anterior crossbite. J Aligner </w:t>
      </w:r>
      <w:proofErr w:type="spellStart"/>
      <w:r w:rsidRPr="002A7CC0">
        <w:rPr>
          <w:rFonts w:ascii="Arial" w:hAnsi="Arial" w:cs="Arial"/>
          <w:sz w:val="20"/>
          <w:szCs w:val="20"/>
        </w:rPr>
        <w:t>Orthod</w:t>
      </w:r>
      <w:proofErr w:type="spellEnd"/>
      <w:r w:rsidRPr="002A7CC0">
        <w:rPr>
          <w:rFonts w:ascii="Arial" w:hAnsi="Arial" w:cs="Arial"/>
          <w:sz w:val="20"/>
          <w:szCs w:val="20"/>
        </w:rPr>
        <w:t xml:space="preserve">. </w:t>
      </w:r>
      <w:proofErr w:type="gramStart"/>
      <w:r w:rsidRPr="002A7CC0">
        <w:rPr>
          <w:rFonts w:ascii="Arial" w:hAnsi="Arial" w:cs="Arial"/>
          <w:sz w:val="20"/>
          <w:szCs w:val="20"/>
        </w:rPr>
        <w:t>2021;5:175</w:t>
      </w:r>
      <w:proofErr w:type="gramEnd"/>
      <w:r w:rsidRPr="002A7CC0">
        <w:rPr>
          <w:rFonts w:ascii="Arial" w:hAnsi="Arial" w:cs="Arial"/>
          <w:sz w:val="20"/>
          <w:szCs w:val="20"/>
        </w:rPr>
        <w:t>–183.</w:t>
      </w:r>
    </w:p>
    <w:p w14:paraId="5F23AF80" w14:textId="77777777" w:rsidR="00582DAE" w:rsidRPr="002A7CC0" w:rsidRDefault="00D3588C" w:rsidP="002A61E7">
      <w:pPr>
        <w:spacing w:line="360" w:lineRule="auto"/>
        <w:ind w:left="360"/>
        <w:jc w:val="both"/>
        <w:rPr>
          <w:rFonts w:ascii="Arial" w:hAnsi="Arial" w:cs="Arial"/>
          <w:sz w:val="20"/>
          <w:szCs w:val="20"/>
        </w:rPr>
      </w:pPr>
      <w:proofErr w:type="spellStart"/>
      <w:r w:rsidRPr="002A7CC0">
        <w:rPr>
          <w:rFonts w:ascii="Arial" w:hAnsi="Arial" w:cs="Arial"/>
          <w:sz w:val="20"/>
          <w:szCs w:val="20"/>
        </w:rPr>
        <w:t>Laviv</w:t>
      </w:r>
      <w:proofErr w:type="spellEnd"/>
      <w:r w:rsidRPr="002A7CC0">
        <w:rPr>
          <w:rFonts w:ascii="Arial" w:hAnsi="Arial" w:cs="Arial"/>
          <w:sz w:val="20"/>
          <w:szCs w:val="20"/>
        </w:rPr>
        <w:t xml:space="preserve"> A, </w:t>
      </w:r>
      <w:proofErr w:type="spellStart"/>
      <w:r w:rsidRPr="002A7CC0">
        <w:rPr>
          <w:rFonts w:ascii="Arial" w:hAnsi="Arial" w:cs="Arial"/>
          <w:sz w:val="20"/>
          <w:szCs w:val="20"/>
        </w:rPr>
        <w:t>Hija</w:t>
      </w:r>
      <w:proofErr w:type="spellEnd"/>
      <w:r w:rsidRPr="002A7CC0">
        <w:rPr>
          <w:rFonts w:ascii="Arial" w:hAnsi="Arial" w:cs="Arial"/>
          <w:sz w:val="20"/>
          <w:szCs w:val="20"/>
        </w:rPr>
        <w:t xml:space="preserve"> A, Allon DM. Assessing the Impact of Maxillomandibular Difference on the Success of Orthodontic Decompensation Preparation in Orthognathic Surgical Skeletal Class-III Patients. Applied Sciences. 2023 Jul 11;13(14):8069.</w:t>
      </w:r>
    </w:p>
    <w:p w14:paraId="20CD0F53" w14:textId="7D89C90C" w:rsidR="0097386C" w:rsidRPr="002A7CC0" w:rsidRDefault="00582DAE" w:rsidP="002A61E7">
      <w:pPr>
        <w:spacing w:line="360" w:lineRule="auto"/>
        <w:ind w:left="360"/>
        <w:jc w:val="both"/>
        <w:rPr>
          <w:rFonts w:ascii="Arial" w:hAnsi="Arial" w:cs="Arial"/>
          <w:sz w:val="20"/>
          <w:szCs w:val="20"/>
        </w:rPr>
      </w:pPr>
      <w:r w:rsidRPr="002A7CC0">
        <w:rPr>
          <w:rFonts w:ascii="Arial" w:hAnsi="Arial" w:cs="Arial"/>
          <w:sz w:val="20"/>
          <w:szCs w:val="20"/>
        </w:rPr>
        <w:t>McNamara Jr JA. Components of Class II malocclusion in children 8–10 years of age. The Angle Orthodontist. 1981 Jul 1;51(3):177-202.</w:t>
      </w:r>
    </w:p>
    <w:p w14:paraId="180E6515" w14:textId="3A3CF793" w:rsidR="00582DAE" w:rsidRPr="002A7CC0" w:rsidRDefault="00582DAE" w:rsidP="002A61E7">
      <w:pPr>
        <w:spacing w:line="360" w:lineRule="auto"/>
        <w:ind w:left="360"/>
        <w:jc w:val="both"/>
        <w:rPr>
          <w:rFonts w:ascii="Arial" w:hAnsi="Arial" w:cs="Arial"/>
          <w:sz w:val="20"/>
          <w:szCs w:val="20"/>
        </w:rPr>
      </w:pPr>
      <w:proofErr w:type="spellStart"/>
      <w:r w:rsidRPr="002A7CC0">
        <w:rPr>
          <w:rFonts w:ascii="Arial" w:hAnsi="Arial" w:cs="Arial"/>
          <w:sz w:val="20"/>
          <w:szCs w:val="20"/>
        </w:rPr>
        <w:t>Raghupathy</w:t>
      </w:r>
      <w:proofErr w:type="spellEnd"/>
      <w:r w:rsidRPr="002A7CC0">
        <w:rPr>
          <w:rFonts w:ascii="Arial" w:hAnsi="Arial" w:cs="Arial"/>
          <w:sz w:val="20"/>
          <w:szCs w:val="20"/>
        </w:rPr>
        <w:t xml:space="preserve"> Y, </w:t>
      </w:r>
      <w:proofErr w:type="spellStart"/>
      <w:r w:rsidRPr="002A7CC0">
        <w:rPr>
          <w:rFonts w:ascii="Arial" w:hAnsi="Arial" w:cs="Arial"/>
          <w:sz w:val="20"/>
          <w:szCs w:val="20"/>
        </w:rPr>
        <w:t>Ananthanarayanan</w:t>
      </w:r>
      <w:proofErr w:type="spellEnd"/>
      <w:r w:rsidRPr="002A7CC0">
        <w:rPr>
          <w:rFonts w:ascii="Arial" w:hAnsi="Arial" w:cs="Arial"/>
          <w:sz w:val="20"/>
          <w:szCs w:val="20"/>
        </w:rPr>
        <w:t xml:space="preserve"> V, Kailasam V, Padmanabhan S. Posttreatment stability following facemask therapy in patients with skeletal class iii malocclusion: a systematic review. International Journal of Clinical Pediatric Dentistry. 2023 Nov;16(6):897. </w:t>
      </w:r>
    </w:p>
    <w:p w14:paraId="2A9399BF" w14:textId="77777777" w:rsidR="0037387A" w:rsidRPr="002A7CC0" w:rsidRDefault="0037387A" w:rsidP="002A61E7">
      <w:pPr>
        <w:spacing w:line="360" w:lineRule="auto"/>
        <w:ind w:left="360"/>
        <w:jc w:val="both"/>
        <w:rPr>
          <w:rFonts w:ascii="Arial" w:hAnsi="Arial" w:cs="Arial"/>
          <w:sz w:val="20"/>
          <w:szCs w:val="20"/>
        </w:rPr>
      </w:pPr>
      <w:proofErr w:type="spellStart"/>
      <w:r w:rsidRPr="002A7CC0">
        <w:rPr>
          <w:rFonts w:ascii="Arial" w:hAnsi="Arial" w:cs="Arial"/>
          <w:sz w:val="20"/>
          <w:szCs w:val="20"/>
        </w:rPr>
        <w:t>Azamian</w:t>
      </w:r>
      <w:proofErr w:type="spellEnd"/>
      <w:r w:rsidRPr="002A7CC0">
        <w:rPr>
          <w:rFonts w:ascii="Arial" w:hAnsi="Arial" w:cs="Arial"/>
          <w:sz w:val="20"/>
          <w:szCs w:val="20"/>
        </w:rPr>
        <w:t xml:space="preserve"> Z, </w:t>
      </w:r>
      <w:proofErr w:type="spellStart"/>
      <w:r w:rsidRPr="002A7CC0">
        <w:rPr>
          <w:rFonts w:ascii="Arial" w:hAnsi="Arial" w:cs="Arial"/>
          <w:sz w:val="20"/>
          <w:szCs w:val="20"/>
        </w:rPr>
        <w:t>Shirban</w:t>
      </w:r>
      <w:proofErr w:type="spellEnd"/>
      <w:r w:rsidRPr="002A7CC0">
        <w:rPr>
          <w:rFonts w:ascii="Arial" w:hAnsi="Arial" w:cs="Arial"/>
          <w:sz w:val="20"/>
          <w:szCs w:val="20"/>
        </w:rPr>
        <w:t xml:space="preserve"> F. Treatment options for class III malocclusion in growing patients with emphasis on maxillary protraction. </w:t>
      </w:r>
      <w:proofErr w:type="spellStart"/>
      <w:r w:rsidRPr="002A7CC0">
        <w:rPr>
          <w:rFonts w:ascii="Arial" w:hAnsi="Arial" w:cs="Arial"/>
          <w:sz w:val="20"/>
          <w:szCs w:val="20"/>
        </w:rPr>
        <w:t>Scientifica</w:t>
      </w:r>
      <w:proofErr w:type="spellEnd"/>
      <w:r w:rsidRPr="002A7CC0">
        <w:rPr>
          <w:rFonts w:ascii="Arial" w:hAnsi="Arial" w:cs="Arial"/>
          <w:sz w:val="20"/>
          <w:szCs w:val="20"/>
        </w:rPr>
        <w:t>. 2016;2016(1):8105163</w:t>
      </w:r>
    </w:p>
    <w:p w14:paraId="6FFE7152" w14:textId="4F5FD5A2" w:rsidR="00582DAE" w:rsidRPr="002A7CC0" w:rsidRDefault="00582DAE" w:rsidP="002A61E7">
      <w:pPr>
        <w:spacing w:line="360" w:lineRule="auto"/>
        <w:ind w:left="360"/>
        <w:jc w:val="both"/>
        <w:rPr>
          <w:rFonts w:ascii="Arial" w:hAnsi="Arial" w:cs="Arial"/>
          <w:sz w:val="20"/>
          <w:szCs w:val="20"/>
        </w:rPr>
      </w:pPr>
      <w:r w:rsidRPr="002A7CC0">
        <w:rPr>
          <w:rFonts w:ascii="Arial" w:hAnsi="Arial" w:cs="Arial"/>
          <w:sz w:val="20"/>
          <w:szCs w:val="20"/>
        </w:rPr>
        <w:t>Lee NK, Kim SH, Park JH, Son DW, Choi TH. Comparison of treatment effects between two types of facemasks in early Class III patients. Clinical and Experimental Dental Research. 2023 Feb;9(1):212-8.</w:t>
      </w:r>
    </w:p>
    <w:p w14:paraId="7BE6E978" w14:textId="2AE97C1B" w:rsidR="00582DAE" w:rsidRPr="002A7CC0" w:rsidRDefault="00582DAE" w:rsidP="002A61E7">
      <w:pPr>
        <w:spacing w:line="360" w:lineRule="auto"/>
        <w:ind w:left="360"/>
        <w:jc w:val="both"/>
        <w:rPr>
          <w:rFonts w:ascii="Arial" w:hAnsi="Arial" w:cs="Arial"/>
          <w:sz w:val="20"/>
          <w:szCs w:val="20"/>
        </w:rPr>
      </w:pPr>
      <w:r w:rsidRPr="002A7CC0">
        <w:rPr>
          <w:rFonts w:ascii="Arial" w:hAnsi="Arial" w:cs="Arial"/>
          <w:sz w:val="20"/>
          <w:szCs w:val="20"/>
        </w:rPr>
        <w:t>Alotaibi S. Orthodontic camouflage treatment of pseudo</w:t>
      </w:r>
      <w:r w:rsidRPr="002A7CC0">
        <w:rPr>
          <w:rFonts w:ascii="Cambria Math" w:hAnsi="Cambria Math" w:cs="Cambria Math"/>
          <w:sz w:val="20"/>
          <w:szCs w:val="20"/>
        </w:rPr>
        <w:t>‐</w:t>
      </w:r>
      <w:r w:rsidRPr="002A7CC0">
        <w:rPr>
          <w:rFonts w:ascii="Arial" w:hAnsi="Arial" w:cs="Arial"/>
          <w:sz w:val="20"/>
          <w:szCs w:val="20"/>
        </w:rPr>
        <w:t>Class III malocclusion on skeletal class III Base complicated with canine impaction treated with temporary anchorage devices: A case report. Clinical Case Reports. 2023 Jun;11(6</w:t>
      </w:r>
      <w:proofErr w:type="gramStart"/>
      <w:r w:rsidRPr="002A7CC0">
        <w:rPr>
          <w:rFonts w:ascii="Arial" w:hAnsi="Arial" w:cs="Arial"/>
          <w:sz w:val="20"/>
          <w:szCs w:val="20"/>
        </w:rPr>
        <w:t>):e</w:t>
      </w:r>
      <w:proofErr w:type="gramEnd"/>
      <w:r w:rsidRPr="002A7CC0">
        <w:rPr>
          <w:rFonts w:ascii="Arial" w:hAnsi="Arial" w:cs="Arial"/>
          <w:sz w:val="20"/>
          <w:szCs w:val="20"/>
        </w:rPr>
        <w:t>7394.</w:t>
      </w:r>
    </w:p>
    <w:p w14:paraId="3D145955" w14:textId="77777777" w:rsidR="00912A21" w:rsidRPr="002A7CC0" w:rsidRDefault="00912A21" w:rsidP="002A61E7">
      <w:pPr>
        <w:spacing w:line="360" w:lineRule="auto"/>
        <w:ind w:left="360"/>
        <w:jc w:val="both"/>
        <w:rPr>
          <w:rFonts w:ascii="Arial" w:hAnsi="Arial" w:cs="Arial"/>
          <w:sz w:val="20"/>
          <w:szCs w:val="20"/>
        </w:rPr>
      </w:pPr>
    </w:p>
    <w:p w14:paraId="691E1E0F" w14:textId="77777777" w:rsidR="00912A21" w:rsidRPr="002A7CC0" w:rsidRDefault="00912A21" w:rsidP="00912A21">
      <w:pPr>
        <w:spacing w:line="360" w:lineRule="auto"/>
        <w:ind w:left="360"/>
        <w:jc w:val="both"/>
        <w:rPr>
          <w:rFonts w:ascii="Arial" w:hAnsi="Arial" w:cs="Arial"/>
          <w:sz w:val="20"/>
          <w:szCs w:val="20"/>
        </w:rPr>
      </w:pPr>
    </w:p>
    <w:sectPr w:rsidR="00912A21" w:rsidRPr="002A7CC0" w:rsidSect="00F4233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43842" w14:textId="77777777" w:rsidR="0062572C" w:rsidRDefault="0062572C" w:rsidP="00812D13">
      <w:pPr>
        <w:spacing w:after="0" w:line="240" w:lineRule="auto"/>
      </w:pPr>
      <w:r>
        <w:separator/>
      </w:r>
    </w:p>
  </w:endnote>
  <w:endnote w:type="continuationSeparator" w:id="0">
    <w:p w14:paraId="0C71309D" w14:textId="77777777" w:rsidR="0062572C" w:rsidRDefault="0062572C" w:rsidP="00812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4D739" w14:textId="77777777" w:rsidR="00812D13" w:rsidRDefault="00812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A910" w14:textId="77777777" w:rsidR="00812D13" w:rsidRDefault="00812D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154D4" w14:textId="77777777" w:rsidR="00812D13" w:rsidRDefault="00812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5DC49" w14:textId="77777777" w:rsidR="0062572C" w:rsidRDefault="0062572C" w:rsidP="00812D13">
      <w:pPr>
        <w:spacing w:after="0" w:line="240" w:lineRule="auto"/>
      </w:pPr>
      <w:r>
        <w:separator/>
      </w:r>
    </w:p>
  </w:footnote>
  <w:footnote w:type="continuationSeparator" w:id="0">
    <w:p w14:paraId="53862E1E" w14:textId="77777777" w:rsidR="0062572C" w:rsidRDefault="0062572C" w:rsidP="00812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58D69" w14:textId="0D521EC3" w:rsidR="00812D13" w:rsidRDefault="00812D13">
    <w:pPr>
      <w:pStyle w:val="Header"/>
    </w:pPr>
    <w:r>
      <w:rPr>
        <w:noProof/>
      </w:rPr>
      <w:pict w14:anchorId="49C10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34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F77C0" w14:textId="27BCFB4C" w:rsidR="00812D13" w:rsidRDefault="00812D13">
    <w:pPr>
      <w:pStyle w:val="Header"/>
    </w:pPr>
    <w:r>
      <w:rPr>
        <w:noProof/>
      </w:rPr>
      <w:pict w14:anchorId="01976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34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C38C" w14:textId="19F790A9" w:rsidR="00812D13" w:rsidRDefault="00812D13">
    <w:pPr>
      <w:pStyle w:val="Header"/>
    </w:pPr>
    <w:r>
      <w:rPr>
        <w:noProof/>
      </w:rPr>
      <w:pict w14:anchorId="1D77D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34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40F3"/>
    <w:multiLevelType w:val="multilevel"/>
    <w:tmpl w:val="C2CC8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EA5FED"/>
    <w:multiLevelType w:val="hybridMultilevel"/>
    <w:tmpl w:val="C936A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57534"/>
    <w:multiLevelType w:val="hybridMultilevel"/>
    <w:tmpl w:val="5C7EC68A"/>
    <w:lvl w:ilvl="0" w:tplc="00B0CF56">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C0D039D"/>
    <w:multiLevelType w:val="multilevel"/>
    <w:tmpl w:val="9C921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F269C7"/>
    <w:multiLevelType w:val="hybridMultilevel"/>
    <w:tmpl w:val="8B70ED92"/>
    <w:lvl w:ilvl="0" w:tplc="77B4A11C">
      <w:start w:val="1"/>
      <w:numFmt w:val="bullet"/>
      <w:lvlText w:val="•"/>
      <w:lvlJc w:val="left"/>
      <w:pPr>
        <w:tabs>
          <w:tab w:val="num" w:pos="720"/>
        </w:tabs>
        <w:ind w:left="720" w:hanging="360"/>
      </w:pPr>
      <w:rPr>
        <w:rFonts w:ascii="Arial" w:hAnsi="Arial" w:hint="default"/>
      </w:rPr>
    </w:lvl>
    <w:lvl w:ilvl="1" w:tplc="3CE23CEE" w:tentative="1">
      <w:start w:val="1"/>
      <w:numFmt w:val="bullet"/>
      <w:lvlText w:val="•"/>
      <w:lvlJc w:val="left"/>
      <w:pPr>
        <w:tabs>
          <w:tab w:val="num" w:pos="1440"/>
        </w:tabs>
        <w:ind w:left="1440" w:hanging="360"/>
      </w:pPr>
      <w:rPr>
        <w:rFonts w:ascii="Arial" w:hAnsi="Arial" w:hint="default"/>
      </w:rPr>
    </w:lvl>
    <w:lvl w:ilvl="2" w:tplc="ED08D468" w:tentative="1">
      <w:start w:val="1"/>
      <w:numFmt w:val="bullet"/>
      <w:lvlText w:val="•"/>
      <w:lvlJc w:val="left"/>
      <w:pPr>
        <w:tabs>
          <w:tab w:val="num" w:pos="2160"/>
        </w:tabs>
        <w:ind w:left="2160" w:hanging="360"/>
      </w:pPr>
      <w:rPr>
        <w:rFonts w:ascii="Arial" w:hAnsi="Arial" w:hint="default"/>
      </w:rPr>
    </w:lvl>
    <w:lvl w:ilvl="3" w:tplc="2D8A84DC" w:tentative="1">
      <w:start w:val="1"/>
      <w:numFmt w:val="bullet"/>
      <w:lvlText w:val="•"/>
      <w:lvlJc w:val="left"/>
      <w:pPr>
        <w:tabs>
          <w:tab w:val="num" w:pos="2880"/>
        </w:tabs>
        <w:ind w:left="2880" w:hanging="360"/>
      </w:pPr>
      <w:rPr>
        <w:rFonts w:ascii="Arial" w:hAnsi="Arial" w:hint="default"/>
      </w:rPr>
    </w:lvl>
    <w:lvl w:ilvl="4" w:tplc="5D12FD28" w:tentative="1">
      <w:start w:val="1"/>
      <w:numFmt w:val="bullet"/>
      <w:lvlText w:val="•"/>
      <w:lvlJc w:val="left"/>
      <w:pPr>
        <w:tabs>
          <w:tab w:val="num" w:pos="3600"/>
        </w:tabs>
        <w:ind w:left="3600" w:hanging="360"/>
      </w:pPr>
      <w:rPr>
        <w:rFonts w:ascii="Arial" w:hAnsi="Arial" w:hint="default"/>
      </w:rPr>
    </w:lvl>
    <w:lvl w:ilvl="5" w:tplc="97B8DF10" w:tentative="1">
      <w:start w:val="1"/>
      <w:numFmt w:val="bullet"/>
      <w:lvlText w:val="•"/>
      <w:lvlJc w:val="left"/>
      <w:pPr>
        <w:tabs>
          <w:tab w:val="num" w:pos="4320"/>
        </w:tabs>
        <w:ind w:left="4320" w:hanging="360"/>
      </w:pPr>
      <w:rPr>
        <w:rFonts w:ascii="Arial" w:hAnsi="Arial" w:hint="default"/>
      </w:rPr>
    </w:lvl>
    <w:lvl w:ilvl="6" w:tplc="1DD6DC6E" w:tentative="1">
      <w:start w:val="1"/>
      <w:numFmt w:val="bullet"/>
      <w:lvlText w:val="•"/>
      <w:lvlJc w:val="left"/>
      <w:pPr>
        <w:tabs>
          <w:tab w:val="num" w:pos="5040"/>
        </w:tabs>
        <w:ind w:left="5040" w:hanging="360"/>
      </w:pPr>
      <w:rPr>
        <w:rFonts w:ascii="Arial" w:hAnsi="Arial" w:hint="default"/>
      </w:rPr>
    </w:lvl>
    <w:lvl w:ilvl="7" w:tplc="0DE6AF38" w:tentative="1">
      <w:start w:val="1"/>
      <w:numFmt w:val="bullet"/>
      <w:lvlText w:val="•"/>
      <w:lvlJc w:val="left"/>
      <w:pPr>
        <w:tabs>
          <w:tab w:val="num" w:pos="5760"/>
        </w:tabs>
        <w:ind w:left="5760" w:hanging="360"/>
      </w:pPr>
      <w:rPr>
        <w:rFonts w:ascii="Arial" w:hAnsi="Arial" w:hint="default"/>
      </w:rPr>
    </w:lvl>
    <w:lvl w:ilvl="8" w:tplc="9F38AAD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867D3F"/>
    <w:multiLevelType w:val="hybridMultilevel"/>
    <w:tmpl w:val="744627F0"/>
    <w:lvl w:ilvl="0" w:tplc="00B0CF5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7166BCC"/>
    <w:multiLevelType w:val="hybridMultilevel"/>
    <w:tmpl w:val="8FFAD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22FF4"/>
    <w:multiLevelType w:val="multilevel"/>
    <w:tmpl w:val="B4B2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F43803"/>
    <w:multiLevelType w:val="hybridMultilevel"/>
    <w:tmpl w:val="1F1E1B64"/>
    <w:lvl w:ilvl="0" w:tplc="3828A93E">
      <w:start w:val="1"/>
      <w:numFmt w:val="bullet"/>
      <w:lvlText w:val="•"/>
      <w:lvlJc w:val="left"/>
      <w:pPr>
        <w:tabs>
          <w:tab w:val="num" w:pos="720"/>
        </w:tabs>
        <w:ind w:left="720" w:hanging="360"/>
      </w:pPr>
      <w:rPr>
        <w:rFonts w:ascii="Arial" w:hAnsi="Arial" w:hint="default"/>
      </w:rPr>
    </w:lvl>
    <w:lvl w:ilvl="1" w:tplc="1EF024D6" w:tentative="1">
      <w:start w:val="1"/>
      <w:numFmt w:val="bullet"/>
      <w:lvlText w:val="•"/>
      <w:lvlJc w:val="left"/>
      <w:pPr>
        <w:tabs>
          <w:tab w:val="num" w:pos="1440"/>
        </w:tabs>
        <w:ind w:left="1440" w:hanging="360"/>
      </w:pPr>
      <w:rPr>
        <w:rFonts w:ascii="Arial" w:hAnsi="Arial" w:hint="default"/>
      </w:rPr>
    </w:lvl>
    <w:lvl w:ilvl="2" w:tplc="7DB60CC4" w:tentative="1">
      <w:start w:val="1"/>
      <w:numFmt w:val="bullet"/>
      <w:lvlText w:val="•"/>
      <w:lvlJc w:val="left"/>
      <w:pPr>
        <w:tabs>
          <w:tab w:val="num" w:pos="2160"/>
        </w:tabs>
        <w:ind w:left="2160" w:hanging="360"/>
      </w:pPr>
      <w:rPr>
        <w:rFonts w:ascii="Arial" w:hAnsi="Arial" w:hint="default"/>
      </w:rPr>
    </w:lvl>
    <w:lvl w:ilvl="3" w:tplc="10A4E038" w:tentative="1">
      <w:start w:val="1"/>
      <w:numFmt w:val="bullet"/>
      <w:lvlText w:val="•"/>
      <w:lvlJc w:val="left"/>
      <w:pPr>
        <w:tabs>
          <w:tab w:val="num" w:pos="2880"/>
        </w:tabs>
        <w:ind w:left="2880" w:hanging="360"/>
      </w:pPr>
      <w:rPr>
        <w:rFonts w:ascii="Arial" w:hAnsi="Arial" w:hint="default"/>
      </w:rPr>
    </w:lvl>
    <w:lvl w:ilvl="4" w:tplc="7B9CB4A8" w:tentative="1">
      <w:start w:val="1"/>
      <w:numFmt w:val="bullet"/>
      <w:lvlText w:val="•"/>
      <w:lvlJc w:val="left"/>
      <w:pPr>
        <w:tabs>
          <w:tab w:val="num" w:pos="3600"/>
        </w:tabs>
        <w:ind w:left="3600" w:hanging="360"/>
      </w:pPr>
      <w:rPr>
        <w:rFonts w:ascii="Arial" w:hAnsi="Arial" w:hint="default"/>
      </w:rPr>
    </w:lvl>
    <w:lvl w:ilvl="5" w:tplc="42DE8A10" w:tentative="1">
      <w:start w:val="1"/>
      <w:numFmt w:val="bullet"/>
      <w:lvlText w:val="•"/>
      <w:lvlJc w:val="left"/>
      <w:pPr>
        <w:tabs>
          <w:tab w:val="num" w:pos="4320"/>
        </w:tabs>
        <w:ind w:left="4320" w:hanging="360"/>
      </w:pPr>
      <w:rPr>
        <w:rFonts w:ascii="Arial" w:hAnsi="Arial" w:hint="default"/>
      </w:rPr>
    </w:lvl>
    <w:lvl w:ilvl="6" w:tplc="0660FE04" w:tentative="1">
      <w:start w:val="1"/>
      <w:numFmt w:val="bullet"/>
      <w:lvlText w:val="•"/>
      <w:lvlJc w:val="left"/>
      <w:pPr>
        <w:tabs>
          <w:tab w:val="num" w:pos="5040"/>
        </w:tabs>
        <w:ind w:left="5040" w:hanging="360"/>
      </w:pPr>
      <w:rPr>
        <w:rFonts w:ascii="Arial" w:hAnsi="Arial" w:hint="default"/>
      </w:rPr>
    </w:lvl>
    <w:lvl w:ilvl="7" w:tplc="939A0888" w:tentative="1">
      <w:start w:val="1"/>
      <w:numFmt w:val="bullet"/>
      <w:lvlText w:val="•"/>
      <w:lvlJc w:val="left"/>
      <w:pPr>
        <w:tabs>
          <w:tab w:val="num" w:pos="5760"/>
        </w:tabs>
        <w:ind w:left="5760" w:hanging="360"/>
      </w:pPr>
      <w:rPr>
        <w:rFonts w:ascii="Arial" w:hAnsi="Arial" w:hint="default"/>
      </w:rPr>
    </w:lvl>
    <w:lvl w:ilvl="8" w:tplc="8B2212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E21126"/>
    <w:multiLevelType w:val="multilevel"/>
    <w:tmpl w:val="186AD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455F6B"/>
    <w:multiLevelType w:val="hybridMultilevel"/>
    <w:tmpl w:val="A554F9F0"/>
    <w:lvl w:ilvl="0" w:tplc="00B0CF5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D495A"/>
    <w:multiLevelType w:val="multilevel"/>
    <w:tmpl w:val="AFBC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4D57E4"/>
    <w:multiLevelType w:val="hybridMultilevel"/>
    <w:tmpl w:val="3C38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EE6695"/>
    <w:multiLevelType w:val="multilevel"/>
    <w:tmpl w:val="7FDE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6"/>
  </w:num>
  <w:num w:numId="4">
    <w:abstractNumId w:val="4"/>
  </w:num>
  <w:num w:numId="5">
    <w:abstractNumId w:val="8"/>
  </w:num>
  <w:num w:numId="6">
    <w:abstractNumId w:val="12"/>
  </w:num>
  <w:num w:numId="7">
    <w:abstractNumId w:val="10"/>
  </w:num>
  <w:num w:numId="8">
    <w:abstractNumId w:val="5"/>
  </w:num>
  <w:num w:numId="9">
    <w:abstractNumId w:val="1"/>
  </w:num>
  <w:num w:numId="10">
    <w:abstractNumId w:val="2"/>
  </w:num>
  <w:num w:numId="11">
    <w:abstractNumId w:val="13"/>
  </w:num>
  <w:num w:numId="12">
    <w:abstractNumId w:val="9"/>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6A0"/>
    <w:rsid w:val="000A138A"/>
    <w:rsid w:val="00125ECE"/>
    <w:rsid w:val="00163B5A"/>
    <w:rsid w:val="001979A8"/>
    <w:rsid w:val="001A1C7A"/>
    <w:rsid w:val="001A555F"/>
    <w:rsid w:val="001B0E85"/>
    <w:rsid w:val="001C6CFC"/>
    <w:rsid w:val="001F70E0"/>
    <w:rsid w:val="00266456"/>
    <w:rsid w:val="002967DB"/>
    <w:rsid w:val="002A61E7"/>
    <w:rsid w:val="002A7CC0"/>
    <w:rsid w:val="0030362D"/>
    <w:rsid w:val="0037387A"/>
    <w:rsid w:val="00401F7E"/>
    <w:rsid w:val="00402CD1"/>
    <w:rsid w:val="00473C6B"/>
    <w:rsid w:val="004A2B28"/>
    <w:rsid w:val="00520A03"/>
    <w:rsid w:val="005649A0"/>
    <w:rsid w:val="00582DAE"/>
    <w:rsid w:val="005A25F0"/>
    <w:rsid w:val="005D4BC4"/>
    <w:rsid w:val="005E5933"/>
    <w:rsid w:val="0062572C"/>
    <w:rsid w:val="00702676"/>
    <w:rsid w:val="00812D13"/>
    <w:rsid w:val="00862966"/>
    <w:rsid w:val="00912A21"/>
    <w:rsid w:val="00944DB6"/>
    <w:rsid w:val="0097386C"/>
    <w:rsid w:val="00984AE6"/>
    <w:rsid w:val="00A073C9"/>
    <w:rsid w:val="00A263E9"/>
    <w:rsid w:val="00A416A0"/>
    <w:rsid w:val="00A462F4"/>
    <w:rsid w:val="00A54B39"/>
    <w:rsid w:val="00A65ADD"/>
    <w:rsid w:val="00A729FC"/>
    <w:rsid w:val="00AE50DA"/>
    <w:rsid w:val="00B0389E"/>
    <w:rsid w:val="00B24D89"/>
    <w:rsid w:val="00BD6B25"/>
    <w:rsid w:val="00C14F00"/>
    <w:rsid w:val="00C4573C"/>
    <w:rsid w:val="00C56657"/>
    <w:rsid w:val="00C66DF8"/>
    <w:rsid w:val="00CA67CB"/>
    <w:rsid w:val="00CD20DF"/>
    <w:rsid w:val="00CD5DB6"/>
    <w:rsid w:val="00CE4947"/>
    <w:rsid w:val="00D05A99"/>
    <w:rsid w:val="00D3588C"/>
    <w:rsid w:val="00D71A72"/>
    <w:rsid w:val="00DF4405"/>
    <w:rsid w:val="00E05D78"/>
    <w:rsid w:val="00E456CD"/>
    <w:rsid w:val="00E85721"/>
    <w:rsid w:val="00E95EE8"/>
    <w:rsid w:val="00EE2DDC"/>
    <w:rsid w:val="00F02CED"/>
    <w:rsid w:val="00F12FE6"/>
    <w:rsid w:val="00F4233F"/>
    <w:rsid w:val="00F64767"/>
    <w:rsid w:val="00FD227D"/>
    <w:rsid w:val="00FE7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A13BFF"/>
  <w15:chartTrackingRefBased/>
  <w15:docId w15:val="{731742C3-B9AE-4975-B25A-4B58B890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16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16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16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16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16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16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16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16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16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6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16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16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16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16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16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16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16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16A0"/>
    <w:rPr>
      <w:rFonts w:eastAsiaTheme="majorEastAsia" w:cstheme="majorBidi"/>
      <w:color w:val="272727" w:themeColor="text1" w:themeTint="D8"/>
    </w:rPr>
  </w:style>
  <w:style w:type="paragraph" w:styleId="Title">
    <w:name w:val="Title"/>
    <w:basedOn w:val="Normal"/>
    <w:next w:val="Normal"/>
    <w:link w:val="TitleChar"/>
    <w:uiPriority w:val="10"/>
    <w:qFormat/>
    <w:rsid w:val="00A416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16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16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16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16A0"/>
    <w:pPr>
      <w:spacing w:before="160"/>
      <w:jc w:val="center"/>
    </w:pPr>
    <w:rPr>
      <w:i/>
      <w:iCs/>
      <w:color w:val="404040" w:themeColor="text1" w:themeTint="BF"/>
    </w:rPr>
  </w:style>
  <w:style w:type="character" w:customStyle="1" w:styleId="QuoteChar">
    <w:name w:val="Quote Char"/>
    <w:basedOn w:val="DefaultParagraphFont"/>
    <w:link w:val="Quote"/>
    <w:uiPriority w:val="29"/>
    <w:rsid w:val="00A416A0"/>
    <w:rPr>
      <w:i/>
      <w:iCs/>
      <w:color w:val="404040" w:themeColor="text1" w:themeTint="BF"/>
    </w:rPr>
  </w:style>
  <w:style w:type="paragraph" w:styleId="ListParagraph">
    <w:name w:val="List Paragraph"/>
    <w:basedOn w:val="Normal"/>
    <w:uiPriority w:val="34"/>
    <w:qFormat/>
    <w:rsid w:val="00A416A0"/>
    <w:pPr>
      <w:ind w:left="720"/>
      <w:contextualSpacing/>
    </w:pPr>
  </w:style>
  <w:style w:type="character" w:styleId="IntenseEmphasis">
    <w:name w:val="Intense Emphasis"/>
    <w:basedOn w:val="DefaultParagraphFont"/>
    <w:uiPriority w:val="21"/>
    <w:qFormat/>
    <w:rsid w:val="00A416A0"/>
    <w:rPr>
      <w:i/>
      <w:iCs/>
      <w:color w:val="2F5496" w:themeColor="accent1" w:themeShade="BF"/>
    </w:rPr>
  </w:style>
  <w:style w:type="paragraph" w:styleId="IntenseQuote">
    <w:name w:val="Intense Quote"/>
    <w:basedOn w:val="Normal"/>
    <w:next w:val="Normal"/>
    <w:link w:val="IntenseQuoteChar"/>
    <w:uiPriority w:val="30"/>
    <w:qFormat/>
    <w:rsid w:val="00A416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16A0"/>
    <w:rPr>
      <w:i/>
      <w:iCs/>
      <w:color w:val="2F5496" w:themeColor="accent1" w:themeShade="BF"/>
    </w:rPr>
  </w:style>
  <w:style w:type="character" w:styleId="IntenseReference">
    <w:name w:val="Intense Reference"/>
    <w:basedOn w:val="DefaultParagraphFont"/>
    <w:uiPriority w:val="32"/>
    <w:qFormat/>
    <w:rsid w:val="00A416A0"/>
    <w:rPr>
      <w:b/>
      <w:bCs/>
      <w:smallCaps/>
      <w:color w:val="2F5496" w:themeColor="accent1" w:themeShade="BF"/>
      <w:spacing w:val="5"/>
    </w:rPr>
  </w:style>
  <w:style w:type="character" w:styleId="Hyperlink">
    <w:name w:val="Hyperlink"/>
    <w:basedOn w:val="DefaultParagraphFont"/>
    <w:uiPriority w:val="99"/>
    <w:unhideWhenUsed/>
    <w:rsid w:val="00A416A0"/>
    <w:rPr>
      <w:color w:val="0563C1" w:themeColor="hyperlink"/>
      <w:u w:val="single"/>
    </w:rPr>
  </w:style>
  <w:style w:type="character" w:styleId="UnresolvedMention">
    <w:name w:val="Unresolved Mention"/>
    <w:basedOn w:val="DefaultParagraphFont"/>
    <w:uiPriority w:val="99"/>
    <w:semiHidden/>
    <w:unhideWhenUsed/>
    <w:rsid w:val="00A416A0"/>
    <w:rPr>
      <w:color w:val="605E5C"/>
      <w:shd w:val="clear" w:color="auto" w:fill="E1DFDD"/>
    </w:rPr>
  </w:style>
  <w:style w:type="paragraph" w:styleId="NormalWeb">
    <w:name w:val="Normal (Web)"/>
    <w:basedOn w:val="Normal"/>
    <w:uiPriority w:val="99"/>
    <w:unhideWhenUsed/>
    <w:rsid w:val="0070267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02676"/>
    <w:rPr>
      <w:b/>
      <w:bCs/>
    </w:rPr>
  </w:style>
  <w:style w:type="character" w:styleId="Emphasis">
    <w:name w:val="Emphasis"/>
    <w:basedOn w:val="DefaultParagraphFont"/>
    <w:uiPriority w:val="20"/>
    <w:qFormat/>
    <w:rsid w:val="00702676"/>
    <w:rPr>
      <w:i/>
      <w:iCs/>
    </w:rPr>
  </w:style>
  <w:style w:type="table" w:styleId="TableGrid">
    <w:name w:val="Table Grid"/>
    <w:basedOn w:val="TableNormal"/>
    <w:uiPriority w:val="39"/>
    <w:rsid w:val="001A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2D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D13"/>
  </w:style>
  <w:style w:type="paragraph" w:styleId="Footer">
    <w:name w:val="footer"/>
    <w:basedOn w:val="Normal"/>
    <w:link w:val="FooterChar"/>
    <w:uiPriority w:val="99"/>
    <w:unhideWhenUsed/>
    <w:rsid w:val="00812D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4756">
      <w:bodyDiv w:val="1"/>
      <w:marLeft w:val="0"/>
      <w:marRight w:val="0"/>
      <w:marTop w:val="0"/>
      <w:marBottom w:val="0"/>
      <w:divBdr>
        <w:top w:val="none" w:sz="0" w:space="0" w:color="auto"/>
        <w:left w:val="none" w:sz="0" w:space="0" w:color="auto"/>
        <w:bottom w:val="none" w:sz="0" w:space="0" w:color="auto"/>
        <w:right w:val="none" w:sz="0" w:space="0" w:color="auto"/>
      </w:divBdr>
      <w:divsChild>
        <w:div w:id="1691102771">
          <w:marLeft w:val="0"/>
          <w:marRight w:val="0"/>
          <w:marTop w:val="0"/>
          <w:marBottom w:val="0"/>
          <w:divBdr>
            <w:top w:val="none" w:sz="0" w:space="0" w:color="auto"/>
            <w:left w:val="none" w:sz="0" w:space="0" w:color="auto"/>
            <w:bottom w:val="none" w:sz="0" w:space="0" w:color="auto"/>
            <w:right w:val="none" w:sz="0" w:space="0" w:color="auto"/>
          </w:divBdr>
        </w:div>
        <w:div w:id="1619220780">
          <w:marLeft w:val="0"/>
          <w:marRight w:val="0"/>
          <w:marTop w:val="0"/>
          <w:marBottom w:val="0"/>
          <w:divBdr>
            <w:top w:val="none" w:sz="0" w:space="0" w:color="auto"/>
            <w:left w:val="none" w:sz="0" w:space="0" w:color="auto"/>
            <w:bottom w:val="none" w:sz="0" w:space="0" w:color="auto"/>
            <w:right w:val="none" w:sz="0" w:space="0" w:color="auto"/>
          </w:divBdr>
        </w:div>
        <w:div w:id="2830556">
          <w:marLeft w:val="0"/>
          <w:marRight w:val="0"/>
          <w:marTop w:val="0"/>
          <w:marBottom w:val="0"/>
          <w:divBdr>
            <w:top w:val="none" w:sz="0" w:space="0" w:color="auto"/>
            <w:left w:val="none" w:sz="0" w:space="0" w:color="auto"/>
            <w:bottom w:val="none" w:sz="0" w:space="0" w:color="auto"/>
            <w:right w:val="none" w:sz="0" w:space="0" w:color="auto"/>
          </w:divBdr>
        </w:div>
        <w:div w:id="1989938084">
          <w:marLeft w:val="0"/>
          <w:marRight w:val="0"/>
          <w:marTop w:val="0"/>
          <w:marBottom w:val="0"/>
          <w:divBdr>
            <w:top w:val="none" w:sz="0" w:space="0" w:color="auto"/>
            <w:left w:val="none" w:sz="0" w:space="0" w:color="auto"/>
            <w:bottom w:val="none" w:sz="0" w:space="0" w:color="auto"/>
            <w:right w:val="none" w:sz="0" w:space="0" w:color="auto"/>
          </w:divBdr>
        </w:div>
        <w:div w:id="670909201">
          <w:marLeft w:val="0"/>
          <w:marRight w:val="0"/>
          <w:marTop w:val="0"/>
          <w:marBottom w:val="0"/>
          <w:divBdr>
            <w:top w:val="none" w:sz="0" w:space="0" w:color="auto"/>
            <w:left w:val="none" w:sz="0" w:space="0" w:color="auto"/>
            <w:bottom w:val="none" w:sz="0" w:space="0" w:color="auto"/>
            <w:right w:val="none" w:sz="0" w:space="0" w:color="auto"/>
          </w:divBdr>
        </w:div>
        <w:div w:id="28529722">
          <w:marLeft w:val="0"/>
          <w:marRight w:val="0"/>
          <w:marTop w:val="0"/>
          <w:marBottom w:val="0"/>
          <w:divBdr>
            <w:top w:val="none" w:sz="0" w:space="0" w:color="auto"/>
            <w:left w:val="none" w:sz="0" w:space="0" w:color="auto"/>
            <w:bottom w:val="none" w:sz="0" w:space="0" w:color="auto"/>
            <w:right w:val="none" w:sz="0" w:space="0" w:color="auto"/>
          </w:divBdr>
        </w:div>
      </w:divsChild>
    </w:div>
    <w:div w:id="22630342">
      <w:bodyDiv w:val="1"/>
      <w:marLeft w:val="0"/>
      <w:marRight w:val="0"/>
      <w:marTop w:val="0"/>
      <w:marBottom w:val="0"/>
      <w:divBdr>
        <w:top w:val="none" w:sz="0" w:space="0" w:color="auto"/>
        <w:left w:val="none" w:sz="0" w:space="0" w:color="auto"/>
        <w:bottom w:val="none" w:sz="0" w:space="0" w:color="auto"/>
        <w:right w:val="none" w:sz="0" w:space="0" w:color="auto"/>
      </w:divBdr>
    </w:div>
    <w:div w:id="35157318">
      <w:bodyDiv w:val="1"/>
      <w:marLeft w:val="0"/>
      <w:marRight w:val="0"/>
      <w:marTop w:val="0"/>
      <w:marBottom w:val="0"/>
      <w:divBdr>
        <w:top w:val="none" w:sz="0" w:space="0" w:color="auto"/>
        <w:left w:val="none" w:sz="0" w:space="0" w:color="auto"/>
        <w:bottom w:val="none" w:sz="0" w:space="0" w:color="auto"/>
        <w:right w:val="none" w:sz="0" w:space="0" w:color="auto"/>
      </w:divBdr>
    </w:div>
    <w:div w:id="59211613">
      <w:bodyDiv w:val="1"/>
      <w:marLeft w:val="0"/>
      <w:marRight w:val="0"/>
      <w:marTop w:val="0"/>
      <w:marBottom w:val="0"/>
      <w:divBdr>
        <w:top w:val="none" w:sz="0" w:space="0" w:color="auto"/>
        <w:left w:val="none" w:sz="0" w:space="0" w:color="auto"/>
        <w:bottom w:val="none" w:sz="0" w:space="0" w:color="auto"/>
        <w:right w:val="none" w:sz="0" w:space="0" w:color="auto"/>
      </w:divBdr>
    </w:div>
    <w:div w:id="101342267">
      <w:bodyDiv w:val="1"/>
      <w:marLeft w:val="0"/>
      <w:marRight w:val="0"/>
      <w:marTop w:val="0"/>
      <w:marBottom w:val="0"/>
      <w:divBdr>
        <w:top w:val="none" w:sz="0" w:space="0" w:color="auto"/>
        <w:left w:val="none" w:sz="0" w:space="0" w:color="auto"/>
        <w:bottom w:val="none" w:sz="0" w:space="0" w:color="auto"/>
        <w:right w:val="none" w:sz="0" w:space="0" w:color="auto"/>
      </w:divBdr>
    </w:div>
    <w:div w:id="106045506">
      <w:bodyDiv w:val="1"/>
      <w:marLeft w:val="0"/>
      <w:marRight w:val="0"/>
      <w:marTop w:val="0"/>
      <w:marBottom w:val="0"/>
      <w:divBdr>
        <w:top w:val="none" w:sz="0" w:space="0" w:color="auto"/>
        <w:left w:val="none" w:sz="0" w:space="0" w:color="auto"/>
        <w:bottom w:val="none" w:sz="0" w:space="0" w:color="auto"/>
        <w:right w:val="none" w:sz="0" w:space="0" w:color="auto"/>
      </w:divBdr>
    </w:div>
    <w:div w:id="168644982">
      <w:bodyDiv w:val="1"/>
      <w:marLeft w:val="0"/>
      <w:marRight w:val="0"/>
      <w:marTop w:val="0"/>
      <w:marBottom w:val="0"/>
      <w:divBdr>
        <w:top w:val="none" w:sz="0" w:space="0" w:color="auto"/>
        <w:left w:val="none" w:sz="0" w:space="0" w:color="auto"/>
        <w:bottom w:val="none" w:sz="0" w:space="0" w:color="auto"/>
        <w:right w:val="none" w:sz="0" w:space="0" w:color="auto"/>
      </w:divBdr>
    </w:div>
    <w:div w:id="174728945">
      <w:bodyDiv w:val="1"/>
      <w:marLeft w:val="0"/>
      <w:marRight w:val="0"/>
      <w:marTop w:val="0"/>
      <w:marBottom w:val="0"/>
      <w:divBdr>
        <w:top w:val="none" w:sz="0" w:space="0" w:color="auto"/>
        <w:left w:val="none" w:sz="0" w:space="0" w:color="auto"/>
        <w:bottom w:val="none" w:sz="0" w:space="0" w:color="auto"/>
        <w:right w:val="none" w:sz="0" w:space="0" w:color="auto"/>
      </w:divBdr>
    </w:div>
    <w:div w:id="191265968">
      <w:bodyDiv w:val="1"/>
      <w:marLeft w:val="0"/>
      <w:marRight w:val="0"/>
      <w:marTop w:val="0"/>
      <w:marBottom w:val="0"/>
      <w:divBdr>
        <w:top w:val="none" w:sz="0" w:space="0" w:color="auto"/>
        <w:left w:val="none" w:sz="0" w:space="0" w:color="auto"/>
        <w:bottom w:val="none" w:sz="0" w:space="0" w:color="auto"/>
        <w:right w:val="none" w:sz="0" w:space="0" w:color="auto"/>
      </w:divBdr>
    </w:div>
    <w:div w:id="199323568">
      <w:bodyDiv w:val="1"/>
      <w:marLeft w:val="0"/>
      <w:marRight w:val="0"/>
      <w:marTop w:val="0"/>
      <w:marBottom w:val="0"/>
      <w:divBdr>
        <w:top w:val="none" w:sz="0" w:space="0" w:color="auto"/>
        <w:left w:val="none" w:sz="0" w:space="0" w:color="auto"/>
        <w:bottom w:val="none" w:sz="0" w:space="0" w:color="auto"/>
        <w:right w:val="none" w:sz="0" w:space="0" w:color="auto"/>
      </w:divBdr>
      <w:divsChild>
        <w:div w:id="294986460">
          <w:marLeft w:val="446"/>
          <w:marRight w:val="0"/>
          <w:marTop w:val="0"/>
          <w:marBottom w:val="0"/>
          <w:divBdr>
            <w:top w:val="none" w:sz="0" w:space="0" w:color="auto"/>
            <w:left w:val="none" w:sz="0" w:space="0" w:color="auto"/>
            <w:bottom w:val="none" w:sz="0" w:space="0" w:color="auto"/>
            <w:right w:val="none" w:sz="0" w:space="0" w:color="auto"/>
          </w:divBdr>
        </w:div>
        <w:div w:id="48579507">
          <w:marLeft w:val="446"/>
          <w:marRight w:val="0"/>
          <w:marTop w:val="0"/>
          <w:marBottom w:val="0"/>
          <w:divBdr>
            <w:top w:val="none" w:sz="0" w:space="0" w:color="auto"/>
            <w:left w:val="none" w:sz="0" w:space="0" w:color="auto"/>
            <w:bottom w:val="none" w:sz="0" w:space="0" w:color="auto"/>
            <w:right w:val="none" w:sz="0" w:space="0" w:color="auto"/>
          </w:divBdr>
        </w:div>
        <w:div w:id="1707871740">
          <w:marLeft w:val="446"/>
          <w:marRight w:val="0"/>
          <w:marTop w:val="0"/>
          <w:marBottom w:val="0"/>
          <w:divBdr>
            <w:top w:val="none" w:sz="0" w:space="0" w:color="auto"/>
            <w:left w:val="none" w:sz="0" w:space="0" w:color="auto"/>
            <w:bottom w:val="none" w:sz="0" w:space="0" w:color="auto"/>
            <w:right w:val="none" w:sz="0" w:space="0" w:color="auto"/>
          </w:divBdr>
        </w:div>
      </w:divsChild>
    </w:div>
    <w:div w:id="227153962">
      <w:bodyDiv w:val="1"/>
      <w:marLeft w:val="0"/>
      <w:marRight w:val="0"/>
      <w:marTop w:val="0"/>
      <w:marBottom w:val="0"/>
      <w:divBdr>
        <w:top w:val="none" w:sz="0" w:space="0" w:color="auto"/>
        <w:left w:val="none" w:sz="0" w:space="0" w:color="auto"/>
        <w:bottom w:val="none" w:sz="0" w:space="0" w:color="auto"/>
        <w:right w:val="none" w:sz="0" w:space="0" w:color="auto"/>
      </w:divBdr>
    </w:div>
    <w:div w:id="263809561">
      <w:bodyDiv w:val="1"/>
      <w:marLeft w:val="0"/>
      <w:marRight w:val="0"/>
      <w:marTop w:val="0"/>
      <w:marBottom w:val="0"/>
      <w:divBdr>
        <w:top w:val="none" w:sz="0" w:space="0" w:color="auto"/>
        <w:left w:val="none" w:sz="0" w:space="0" w:color="auto"/>
        <w:bottom w:val="none" w:sz="0" w:space="0" w:color="auto"/>
        <w:right w:val="none" w:sz="0" w:space="0" w:color="auto"/>
      </w:divBdr>
    </w:div>
    <w:div w:id="296422078">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90888418">
      <w:bodyDiv w:val="1"/>
      <w:marLeft w:val="0"/>
      <w:marRight w:val="0"/>
      <w:marTop w:val="0"/>
      <w:marBottom w:val="0"/>
      <w:divBdr>
        <w:top w:val="none" w:sz="0" w:space="0" w:color="auto"/>
        <w:left w:val="none" w:sz="0" w:space="0" w:color="auto"/>
        <w:bottom w:val="none" w:sz="0" w:space="0" w:color="auto"/>
        <w:right w:val="none" w:sz="0" w:space="0" w:color="auto"/>
      </w:divBdr>
    </w:div>
    <w:div w:id="404688344">
      <w:bodyDiv w:val="1"/>
      <w:marLeft w:val="0"/>
      <w:marRight w:val="0"/>
      <w:marTop w:val="0"/>
      <w:marBottom w:val="0"/>
      <w:divBdr>
        <w:top w:val="none" w:sz="0" w:space="0" w:color="auto"/>
        <w:left w:val="none" w:sz="0" w:space="0" w:color="auto"/>
        <w:bottom w:val="none" w:sz="0" w:space="0" w:color="auto"/>
        <w:right w:val="none" w:sz="0" w:space="0" w:color="auto"/>
      </w:divBdr>
    </w:div>
    <w:div w:id="406803270">
      <w:bodyDiv w:val="1"/>
      <w:marLeft w:val="0"/>
      <w:marRight w:val="0"/>
      <w:marTop w:val="0"/>
      <w:marBottom w:val="0"/>
      <w:divBdr>
        <w:top w:val="none" w:sz="0" w:space="0" w:color="auto"/>
        <w:left w:val="none" w:sz="0" w:space="0" w:color="auto"/>
        <w:bottom w:val="none" w:sz="0" w:space="0" w:color="auto"/>
        <w:right w:val="none" w:sz="0" w:space="0" w:color="auto"/>
      </w:divBdr>
    </w:div>
    <w:div w:id="421608612">
      <w:bodyDiv w:val="1"/>
      <w:marLeft w:val="0"/>
      <w:marRight w:val="0"/>
      <w:marTop w:val="0"/>
      <w:marBottom w:val="0"/>
      <w:divBdr>
        <w:top w:val="none" w:sz="0" w:space="0" w:color="auto"/>
        <w:left w:val="none" w:sz="0" w:space="0" w:color="auto"/>
        <w:bottom w:val="none" w:sz="0" w:space="0" w:color="auto"/>
        <w:right w:val="none" w:sz="0" w:space="0" w:color="auto"/>
      </w:divBdr>
    </w:div>
    <w:div w:id="435253030">
      <w:bodyDiv w:val="1"/>
      <w:marLeft w:val="0"/>
      <w:marRight w:val="0"/>
      <w:marTop w:val="0"/>
      <w:marBottom w:val="0"/>
      <w:divBdr>
        <w:top w:val="none" w:sz="0" w:space="0" w:color="auto"/>
        <w:left w:val="none" w:sz="0" w:space="0" w:color="auto"/>
        <w:bottom w:val="none" w:sz="0" w:space="0" w:color="auto"/>
        <w:right w:val="none" w:sz="0" w:space="0" w:color="auto"/>
      </w:divBdr>
    </w:div>
    <w:div w:id="439683290">
      <w:bodyDiv w:val="1"/>
      <w:marLeft w:val="0"/>
      <w:marRight w:val="0"/>
      <w:marTop w:val="0"/>
      <w:marBottom w:val="0"/>
      <w:divBdr>
        <w:top w:val="none" w:sz="0" w:space="0" w:color="auto"/>
        <w:left w:val="none" w:sz="0" w:space="0" w:color="auto"/>
        <w:bottom w:val="none" w:sz="0" w:space="0" w:color="auto"/>
        <w:right w:val="none" w:sz="0" w:space="0" w:color="auto"/>
      </w:divBdr>
    </w:div>
    <w:div w:id="447942224">
      <w:bodyDiv w:val="1"/>
      <w:marLeft w:val="0"/>
      <w:marRight w:val="0"/>
      <w:marTop w:val="0"/>
      <w:marBottom w:val="0"/>
      <w:divBdr>
        <w:top w:val="none" w:sz="0" w:space="0" w:color="auto"/>
        <w:left w:val="none" w:sz="0" w:space="0" w:color="auto"/>
        <w:bottom w:val="none" w:sz="0" w:space="0" w:color="auto"/>
        <w:right w:val="none" w:sz="0" w:space="0" w:color="auto"/>
      </w:divBdr>
    </w:div>
    <w:div w:id="455300688">
      <w:bodyDiv w:val="1"/>
      <w:marLeft w:val="0"/>
      <w:marRight w:val="0"/>
      <w:marTop w:val="0"/>
      <w:marBottom w:val="0"/>
      <w:divBdr>
        <w:top w:val="none" w:sz="0" w:space="0" w:color="auto"/>
        <w:left w:val="none" w:sz="0" w:space="0" w:color="auto"/>
        <w:bottom w:val="none" w:sz="0" w:space="0" w:color="auto"/>
        <w:right w:val="none" w:sz="0" w:space="0" w:color="auto"/>
      </w:divBdr>
    </w:div>
    <w:div w:id="463890996">
      <w:bodyDiv w:val="1"/>
      <w:marLeft w:val="0"/>
      <w:marRight w:val="0"/>
      <w:marTop w:val="0"/>
      <w:marBottom w:val="0"/>
      <w:divBdr>
        <w:top w:val="none" w:sz="0" w:space="0" w:color="auto"/>
        <w:left w:val="none" w:sz="0" w:space="0" w:color="auto"/>
        <w:bottom w:val="none" w:sz="0" w:space="0" w:color="auto"/>
        <w:right w:val="none" w:sz="0" w:space="0" w:color="auto"/>
      </w:divBdr>
    </w:div>
    <w:div w:id="492649016">
      <w:bodyDiv w:val="1"/>
      <w:marLeft w:val="0"/>
      <w:marRight w:val="0"/>
      <w:marTop w:val="0"/>
      <w:marBottom w:val="0"/>
      <w:divBdr>
        <w:top w:val="none" w:sz="0" w:space="0" w:color="auto"/>
        <w:left w:val="none" w:sz="0" w:space="0" w:color="auto"/>
        <w:bottom w:val="none" w:sz="0" w:space="0" w:color="auto"/>
        <w:right w:val="none" w:sz="0" w:space="0" w:color="auto"/>
      </w:divBdr>
    </w:div>
    <w:div w:id="499276540">
      <w:bodyDiv w:val="1"/>
      <w:marLeft w:val="0"/>
      <w:marRight w:val="0"/>
      <w:marTop w:val="0"/>
      <w:marBottom w:val="0"/>
      <w:divBdr>
        <w:top w:val="none" w:sz="0" w:space="0" w:color="auto"/>
        <w:left w:val="none" w:sz="0" w:space="0" w:color="auto"/>
        <w:bottom w:val="none" w:sz="0" w:space="0" w:color="auto"/>
        <w:right w:val="none" w:sz="0" w:space="0" w:color="auto"/>
      </w:divBdr>
    </w:div>
    <w:div w:id="534730944">
      <w:bodyDiv w:val="1"/>
      <w:marLeft w:val="0"/>
      <w:marRight w:val="0"/>
      <w:marTop w:val="0"/>
      <w:marBottom w:val="0"/>
      <w:divBdr>
        <w:top w:val="none" w:sz="0" w:space="0" w:color="auto"/>
        <w:left w:val="none" w:sz="0" w:space="0" w:color="auto"/>
        <w:bottom w:val="none" w:sz="0" w:space="0" w:color="auto"/>
        <w:right w:val="none" w:sz="0" w:space="0" w:color="auto"/>
      </w:divBdr>
    </w:div>
    <w:div w:id="577056828">
      <w:bodyDiv w:val="1"/>
      <w:marLeft w:val="0"/>
      <w:marRight w:val="0"/>
      <w:marTop w:val="0"/>
      <w:marBottom w:val="0"/>
      <w:divBdr>
        <w:top w:val="none" w:sz="0" w:space="0" w:color="auto"/>
        <w:left w:val="none" w:sz="0" w:space="0" w:color="auto"/>
        <w:bottom w:val="none" w:sz="0" w:space="0" w:color="auto"/>
        <w:right w:val="none" w:sz="0" w:space="0" w:color="auto"/>
      </w:divBdr>
    </w:div>
    <w:div w:id="586111357">
      <w:bodyDiv w:val="1"/>
      <w:marLeft w:val="0"/>
      <w:marRight w:val="0"/>
      <w:marTop w:val="0"/>
      <w:marBottom w:val="0"/>
      <w:divBdr>
        <w:top w:val="none" w:sz="0" w:space="0" w:color="auto"/>
        <w:left w:val="none" w:sz="0" w:space="0" w:color="auto"/>
        <w:bottom w:val="none" w:sz="0" w:space="0" w:color="auto"/>
        <w:right w:val="none" w:sz="0" w:space="0" w:color="auto"/>
      </w:divBdr>
    </w:div>
    <w:div w:id="634146168">
      <w:bodyDiv w:val="1"/>
      <w:marLeft w:val="0"/>
      <w:marRight w:val="0"/>
      <w:marTop w:val="0"/>
      <w:marBottom w:val="0"/>
      <w:divBdr>
        <w:top w:val="none" w:sz="0" w:space="0" w:color="auto"/>
        <w:left w:val="none" w:sz="0" w:space="0" w:color="auto"/>
        <w:bottom w:val="none" w:sz="0" w:space="0" w:color="auto"/>
        <w:right w:val="none" w:sz="0" w:space="0" w:color="auto"/>
      </w:divBdr>
    </w:div>
    <w:div w:id="666789782">
      <w:bodyDiv w:val="1"/>
      <w:marLeft w:val="0"/>
      <w:marRight w:val="0"/>
      <w:marTop w:val="0"/>
      <w:marBottom w:val="0"/>
      <w:divBdr>
        <w:top w:val="none" w:sz="0" w:space="0" w:color="auto"/>
        <w:left w:val="none" w:sz="0" w:space="0" w:color="auto"/>
        <w:bottom w:val="none" w:sz="0" w:space="0" w:color="auto"/>
        <w:right w:val="none" w:sz="0" w:space="0" w:color="auto"/>
      </w:divBdr>
    </w:div>
    <w:div w:id="719979108">
      <w:bodyDiv w:val="1"/>
      <w:marLeft w:val="0"/>
      <w:marRight w:val="0"/>
      <w:marTop w:val="0"/>
      <w:marBottom w:val="0"/>
      <w:divBdr>
        <w:top w:val="none" w:sz="0" w:space="0" w:color="auto"/>
        <w:left w:val="none" w:sz="0" w:space="0" w:color="auto"/>
        <w:bottom w:val="none" w:sz="0" w:space="0" w:color="auto"/>
        <w:right w:val="none" w:sz="0" w:space="0" w:color="auto"/>
      </w:divBdr>
    </w:div>
    <w:div w:id="738676403">
      <w:bodyDiv w:val="1"/>
      <w:marLeft w:val="0"/>
      <w:marRight w:val="0"/>
      <w:marTop w:val="0"/>
      <w:marBottom w:val="0"/>
      <w:divBdr>
        <w:top w:val="none" w:sz="0" w:space="0" w:color="auto"/>
        <w:left w:val="none" w:sz="0" w:space="0" w:color="auto"/>
        <w:bottom w:val="none" w:sz="0" w:space="0" w:color="auto"/>
        <w:right w:val="none" w:sz="0" w:space="0" w:color="auto"/>
      </w:divBdr>
    </w:div>
    <w:div w:id="754057978">
      <w:bodyDiv w:val="1"/>
      <w:marLeft w:val="0"/>
      <w:marRight w:val="0"/>
      <w:marTop w:val="0"/>
      <w:marBottom w:val="0"/>
      <w:divBdr>
        <w:top w:val="none" w:sz="0" w:space="0" w:color="auto"/>
        <w:left w:val="none" w:sz="0" w:space="0" w:color="auto"/>
        <w:bottom w:val="none" w:sz="0" w:space="0" w:color="auto"/>
        <w:right w:val="none" w:sz="0" w:space="0" w:color="auto"/>
      </w:divBdr>
    </w:div>
    <w:div w:id="769858746">
      <w:bodyDiv w:val="1"/>
      <w:marLeft w:val="0"/>
      <w:marRight w:val="0"/>
      <w:marTop w:val="0"/>
      <w:marBottom w:val="0"/>
      <w:divBdr>
        <w:top w:val="none" w:sz="0" w:space="0" w:color="auto"/>
        <w:left w:val="none" w:sz="0" w:space="0" w:color="auto"/>
        <w:bottom w:val="none" w:sz="0" w:space="0" w:color="auto"/>
        <w:right w:val="none" w:sz="0" w:space="0" w:color="auto"/>
      </w:divBdr>
    </w:div>
    <w:div w:id="791100053">
      <w:bodyDiv w:val="1"/>
      <w:marLeft w:val="0"/>
      <w:marRight w:val="0"/>
      <w:marTop w:val="0"/>
      <w:marBottom w:val="0"/>
      <w:divBdr>
        <w:top w:val="none" w:sz="0" w:space="0" w:color="auto"/>
        <w:left w:val="none" w:sz="0" w:space="0" w:color="auto"/>
        <w:bottom w:val="none" w:sz="0" w:space="0" w:color="auto"/>
        <w:right w:val="none" w:sz="0" w:space="0" w:color="auto"/>
      </w:divBdr>
    </w:div>
    <w:div w:id="834302437">
      <w:bodyDiv w:val="1"/>
      <w:marLeft w:val="0"/>
      <w:marRight w:val="0"/>
      <w:marTop w:val="0"/>
      <w:marBottom w:val="0"/>
      <w:divBdr>
        <w:top w:val="none" w:sz="0" w:space="0" w:color="auto"/>
        <w:left w:val="none" w:sz="0" w:space="0" w:color="auto"/>
        <w:bottom w:val="none" w:sz="0" w:space="0" w:color="auto"/>
        <w:right w:val="none" w:sz="0" w:space="0" w:color="auto"/>
      </w:divBdr>
    </w:div>
    <w:div w:id="856966886">
      <w:bodyDiv w:val="1"/>
      <w:marLeft w:val="0"/>
      <w:marRight w:val="0"/>
      <w:marTop w:val="0"/>
      <w:marBottom w:val="0"/>
      <w:divBdr>
        <w:top w:val="none" w:sz="0" w:space="0" w:color="auto"/>
        <w:left w:val="none" w:sz="0" w:space="0" w:color="auto"/>
        <w:bottom w:val="none" w:sz="0" w:space="0" w:color="auto"/>
        <w:right w:val="none" w:sz="0" w:space="0" w:color="auto"/>
      </w:divBdr>
    </w:div>
    <w:div w:id="864565133">
      <w:bodyDiv w:val="1"/>
      <w:marLeft w:val="0"/>
      <w:marRight w:val="0"/>
      <w:marTop w:val="0"/>
      <w:marBottom w:val="0"/>
      <w:divBdr>
        <w:top w:val="none" w:sz="0" w:space="0" w:color="auto"/>
        <w:left w:val="none" w:sz="0" w:space="0" w:color="auto"/>
        <w:bottom w:val="none" w:sz="0" w:space="0" w:color="auto"/>
        <w:right w:val="none" w:sz="0" w:space="0" w:color="auto"/>
      </w:divBdr>
    </w:div>
    <w:div w:id="945387080">
      <w:bodyDiv w:val="1"/>
      <w:marLeft w:val="0"/>
      <w:marRight w:val="0"/>
      <w:marTop w:val="0"/>
      <w:marBottom w:val="0"/>
      <w:divBdr>
        <w:top w:val="none" w:sz="0" w:space="0" w:color="auto"/>
        <w:left w:val="none" w:sz="0" w:space="0" w:color="auto"/>
        <w:bottom w:val="none" w:sz="0" w:space="0" w:color="auto"/>
        <w:right w:val="none" w:sz="0" w:space="0" w:color="auto"/>
      </w:divBdr>
    </w:div>
    <w:div w:id="970475866">
      <w:bodyDiv w:val="1"/>
      <w:marLeft w:val="0"/>
      <w:marRight w:val="0"/>
      <w:marTop w:val="0"/>
      <w:marBottom w:val="0"/>
      <w:divBdr>
        <w:top w:val="none" w:sz="0" w:space="0" w:color="auto"/>
        <w:left w:val="none" w:sz="0" w:space="0" w:color="auto"/>
        <w:bottom w:val="none" w:sz="0" w:space="0" w:color="auto"/>
        <w:right w:val="none" w:sz="0" w:space="0" w:color="auto"/>
      </w:divBdr>
    </w:div>
    <w:div w:id="987393828">
      <w:bodyDiv w:val="1"/>
      <w:marLeft w:val="0"/>
      <w:marRight w:val="0"/>
      <w:marTop w:val="0"/>
      <w:marBottom w:val="0"/>
      <w:divBdr>
        <w:top w:val="none" w:sz="0" w:space="0" w:color="auto"/>
        <w:left w:val="none" w:sz="0" w:space="0" w:color="auto"/>
        <w:bottom w:val="none" w:sz="0" w:space="0" w:color="auto"/>
        <w:right w:val="none" w:sz="0" w:space="0" w:color="auto"/>
      </w:divBdr>
    </w:div>
    <w:div w:id="989674003">
      <w:bodyDiv w:val="1"/>
      <w:marLeft w:val="0"/>
      <w:marRight w:val="0"/>
      <w:marTop w:val="0"/>
      <w:marBottom w:val="0"/>
      <w:divBdr>
        <w:top w:val="none" w:sz="0" w:space="0" w:color="auto"/>
        <w:left w:val="none" w:sz="0" w:space="0" w:color="auto"/>
        <w:bottom w:val="none" w:sz="0" w:space="0" w:color="auto"/>
        <w:right w:val="none" w:sz="0" w:space="0" w:color="auto"/>
      </w:divBdr>
    </w:div>
    <w:div w:id="1076394080">
      <w:bodyDiv w:val="1"/>
      <w:marLeft w:val="0"/>
      <w:marRight w:val="0"/>
      <w:marTop w:val="0"/>
      <w:marBottom w:val="0"/>
      <w:divBdr>
        <w:top w:val="none" w:sz="0" w:space="0" w:color="auto"/>
        <w:left w:val="none" w:sz="0" w:space="0" w:color="auto"/>
        <w:bottom w:val="none" w:sz="0" w:space="0" w:color="auto"/>
        <w:right w:val="none" w:sz="0" w:space="0" w:color="auto"/>
      </w:divBdr>
    </w:div>
    <w:div w:id="1082802525">
      <w:bodyDiv w:val="1"/>
      <w:marLeft w:val="0"/>
      <w:marRight w:val="0"/>
      <w:marTop w:val="0"/>
      <w:marBottom w:val="0"/>
      <w:divBdr>
        <w:top w:val="none" w:sz="0" w:space="0" w:color="auto"/>
        <w:left w:val="none" w:sz="0" w:space="0" w:color="auto"/>
        <w:bottom w:val="none" w:sz="0" w:space="0" w:color="auto"/>
        <w:right w:val="none" w:sz="0" w:space="0" w:color="auto"/>
      </w:divBdr>
    </w:div>
    <w:div w:id="1098479142">
      <w:bodyDiv w:val="1"/>
      <w:marLeft w:val="0"/>
      <w:marRight w:val="0"/>
      <w:marTop w:val="0"/>
      <w:marBottom w:val="0"/>
      <w:divBdr>
        <w:top w:val="none" w:sz="0" w:space="0" w:color="auto"/>
        <w:left w:val="none" w:sz="0" w:space="0" w:color="auto"/>
        <w:bottom w:val="none" w:sz="0" w:space="0" w:color="auto"/>
        <w:right w:val="none" w:sz="0" w:space="0" w:color="auto"/>
      </w:divBdr>
    </w:div>
    <w:div w:id="1163546077">
      <w:bodyDiv w:val="1"/>
      <w:marLeft w:val="0"/>
      <w:marRight w:val="0"/>
      <w:marTop w:val="0"/>
      <w:marBottom w:val="0"/>
      <w:divBdr>
        <w:top w:val="none" w:sz="0" w:space="0" w:color="auto"/>
        <w:left w:val="none" w:sz="0" w:space="0" w:color="auto"/>
        <w:bottom w:val="none" w:sz="0" w:space="0" w:color="auto"/>
        <w:right w:val="none" w:sz="0" w:space="0" w:color="auto"/>
      </w:divBdr>
    </w:div>
    <w:div w:id="1255283960">
      <w:bodyDiv w:val="1"/>
      <w:marLeft w:val="0"/>
      <w:marRight w:val="0"/>
      <w:marTop w:val="0"/>
      <w:marBottom w:val="0"/>
      <w:divBdr>
        <w:top w:val="none" w:sz="0" w:space="0" w:color="auto"/>
        <w:left w:val="none" w:sz="0" w:space="0" w:color="auto"/>
        <w:bottom w:val="none" w:sz="0" w:space="0" w:color="auto"/>
        <w:right w:val="none" w:sz="0" w:space="0" w:color="auto"/>
      </w:divBdr>
    </w:div>
    <w:div w:id="1307397678">
      <w:bodyDiv w:val="1"/>
      <w:marLeft w:val="0"/>
      <w:marRight w:val="0"/>
      <w:marTop w:val="0"/>
      <w:marBottom w:val="0"/>
      <w:divBdr>
        <w:top w:val="none" w:sz="0" w:space="0" w:color="auto"/>
        <w:left w:val="none" w:sz="0" w:space="0" w:color="auto"/>
        <w:bottom w:val="none" w:sz="0" w:space="0" w:color="auto"/>
        <w:right w:val="none" w:sz="0" w:space="0" w:color="auto"/>
      </w:divBdr>
      <w:divsChild>
        <w:div w:id="1981692650">
          <w:marLeft w:val="0"/>
          <w:marRight w:val="0"/>
          <w:marTop w:val="0"/>
          <w:marBottom w:val="0"/>
          <w:divBdr>
            <w:top w:val="none" w:sz="0" w:space="0" w:color="auto"/>
            <w:left w:val="none" w:sz="0" w:space="0" w:color="auto"/>
            <w:bottom w:val="none" w:sz="0" w:space="0" w:color="auto"/>
            <w:right w:val="none" w:sz="0" w:space="0" w:color="auto"/>
          </w:divBdr>
        </w:div>
        <w:div w:id="430440537">
          <w:marLeft w:val="0"/>
          <w:marRight w:val="0"/>
          <w:marTop w:val="0"/>
          <w:marBottom w:val="0"/>
          <w:divBdr>
            <w:top w:val="none" w:sz="0" w:space="0" w:color="auto"/>
            <w:left w:val="none" w:sz="0" w:space="0" w:color="auto"/>
            <w:bottom w:val="none" w:sz="0" w:space="0" w:color="auto"/>
            <w:right w:val="none" w:sz="0" w:space="0" w:color="auto"/>
          </w:divBdr>
        </w:div>
        <w:div w:id="1328708553">
          <w:marLeft w:val="0"/>
          <w:marRight w:val="0"/>
          <w:marTop w:val="0"/>
          <w:marBottom w:val="0"/>
          <w:divBdr>
            <w:top w:val="none" w:sz="0" w:space="0" w:color="auto"/>
            <w:left w:val="none" w:sz="0" w:space="0" w:color="auto"/>
            <w:bottom w:val="none" w:sz="0" w:space="0" w:color="auto"/>
            <w:right w:val="none" w:sz="0" w:space="0" w:color="auto"/>
          </w:divBdr>
        </w:div>
        <w:div w:id="1667629665">
          <w:marLeft w:val="0"/>
          <w:marRight w:val="0"/>
          <w:marTop w:val="0"/>
          <w:marBottom w:val="0"/>
          <w:divBdr>
            <w:top w:val="none" w:sz="0" w:space="0" w:color="auto"/>
            <w:left w:val="none" w:sz="0" w:space="0" w:color="auto"/>
            <w:bottom w:val="none" w:sz="0" w:space="0" w:color="auto"/>
            <w:right w:val="none" w:sz="0" w:space="0" w:color="auto"/>
          </w:divBdr>
        </w:div>
        <w:div w:id="1239485569">
          <w:marLeft w:val="0"/>
          <w:marRight w:val="0"/>
          <w:marTop w:val="0"/>
          <w:marBottom w:val="0"/>
          <w:divBdr>
            <w:top w:val="none" w:sz="0" w:space="0" w:color="auto"/>
            <w:left w:val="none" w:sz="0" w:space="0" w:color="auto"/>
            <w:bottom w:val="none" w:sz="0" w:space="0" w:color="auto"/>
            <w:right w:val="none" w:sz="0" w:space="0" w:color="auto"/>
          </w:divBdr>
        </w:div>
        <w:div w:id="753473137">
          <w:marLeft w:val="0"/>
          <w:marRight w:val="0"/>
          <w:marTop w:val="0"/>
          <w:marBottom w:val="0"/>
          <w:divBdr>
            <w:top w:val="none" w:sz="0" w:space="0" w:color="auto"/>
            <w:left w:val="none" w:sz="0" w:space="0" w:color="auto"/>
            <w:bottom w:val="none" w:sz="0" w:space="0" w:color="auto"/>
            <w:right w:val="none" w:sz="0" w:space="0" w:color="auto"/>
          </w:divBdr>
        </w:div>
      </w:divsChild>
    </w:div>
    <w:div w:id="1373651512">
      <w:bodyDiv w:val="1"/>
      <w:marLeft w:val="0"/>
      <w:marRight w:val="0"/>
      <w:marTop w:val="0"/>
      <w:marBottom w:val="0"/>
      <w:divBdr>
        <w:top w:val="none" w:sz="0" w:space="0" w:color="auto"/>
        <w:left w:val="none" w:sz="0" w:space="0" w:color="auto"/>
        <w:bottom w:val="none" w:sz="0" w:space="0" w:color="auto"/>
        <w:right w:val="none" w:sz="0" w:space="0" w:color="auto"/>
      </w:divBdr>
    </w:div>
    <w:div w:id="1411121475">
      <w:bodyDiv w:val="1"/>
      <w:marLeft w:val="0"/>
      <w:marRight w:val="0"/>
      <w:marTop w:val="0"/>
      <w:marBottom w:val="0"/>
      <w:divBdr>
        <w:top w:val="none" w:sz="0" w:space="0" w:color="auto"/>
        <w:left w:val="none" w:sz="0" w:space="0" w:color="auto"/>
        <w:bottom w:val="none" w:sz="0" w:space="0" w:color="auto"/>
        <w:right w:val="none" w:sz="0" w:space="0" w:color="auto"/>
      </w:divBdr>
    </w:div>
    <w:div w:id="1521624639">
      <w:bodyDiv w:val="1"/>
      <w:marLeft w:val="0"/>
      <w:marRight w:val="0"/>
      <w:marTop w:val="0"/>
      <w:marBottom w:val="0"/>
      <w:divBdr>
        <w:top w:val="none" w:sz="0" w:space="0" w:color="auto"/>
        <w:left w:val="none" w:sz="0" w:space="0" w:color="auto"/>
        <w:bottom w:val="none" w:sz="0" w:space="0" w:color="auto"/>
        <w:right w:val="none" w:sz="0" w:space="0" w:color="auto"/>
      </w:divBdr>
    </w:div>
    <w:div w:id="1538665959">
      <w:bodyDiv w:val="1"/>
      <w:marLeft w:val="0"/>
      <w:marRight w:val="0"/>
      <w:marTop w:val="0"/>
      <w:marBottom w:val="0"/>
      <w:divBdr>
        <w:top w:val="none" w:sz="0" w:space="0" w:color="auto"/>
        <w:left w:val="none" w:sz="0" w:space="0" w:color="auto"/>
        <w:bottom w:val="none" w:sz="0" w:space="0" w:color="auto"/>
        <w:right w:val="none" w:sz="0" w:space="0" w:color="auto"/>
      </w:divBdr>
    </w:div>
    <w:div w:id="1547991220">
      <w:bodyDiv w:val="1"/>
      <w:marLeft w:val="0"/>
      <w:marRight w:val="0"/>
      <w:marTop w:val="0"/>
      <w:marBottom w:val="0"/>
      <w:divBdr>
        <w:top w:val="none" w:sz="0" w:space="0" w:color="auto"/>
        <w:left w:val="none" w:sz="0" w:space="0" w:color="auto"/>
        <w:bottom w:val="none" w:sz="0" w:space="0" w:color="auto"/>
        <w:right w:val="none" w:sz="0" w:space="0" w:color="auto"/>
      </w:divBdr>
    </w:div>
    <w:div w:id="1582836930">
      <w:bodyDiv w:val="1"/>
      <w:marLeft w:val="0"/>
      <w:marRight w:val="0"/>
      <w:marTop w:val="0"/>
      <w:marBottom w:val="0"/>
      <w:divBdr>
        <w:top w:val="none" w:sz="0" w:space="0" w:color="auto"/>
        <w:left w:val="none" w:sz="0" w:space="0" w:color="auto"/>
        <w:bottom w:val="none" w:sz="0" w:space="0" w:color="auto"/>
        <w:right w:val="none" w:sz="0" w:space="0" w:color="auto"/>
      </w:divBdr>
    </w:div>
    <w:div w:id="1607302889">
      <w:bodyDiv w:val="1"/>
      <w:marLeft w:val="0"/>
      <w:marRight w:val="0"/>
      <w:marTop w:val="0"/>
      <w:marBottom w:val="0"/>
      <w:divBdr>
        <w:top w:val="none" w:sz="0" w:space="0" w:color="auto"/>
        <w:left w:val="none" w:sz="0" w:space="0" w:color="auto"/>
        <w:bottom w:val="none" w:sz="0" w:space="0" w:color="auto"/>
        <w:right w:val="none" w:sz="0" w:space="0" w:color="auto"/>
      </w:divBdr>
    </w:div>
    <w:div w:id="1623880248">
      <w:bodyDiv w:val="1"/>
      <w:marLeft w:val="0"/>
      <w:marRight w:val="0"/>
      <w:marTop w:val="0"/>
      <w:marBottom w:val="0"/>
      <w:divBdr>
        <w:top w:val="none" w:sz="0" w:space="0" w:color="auto"/>
        <w:left w:val="none" w:sz="0" w:space="0" w:color="auto"/>
        <w:bottom w:val="none" w:sz="0" w:space="0" w:color="auto"/>
        <w:right w:val="none" w:sz="0" w:space="0" w:color="auto"/>
      </w:divBdr>
    </w:div>
    <w:div w:id="1633753974">
      <w:bodyDiv w:val="1"/>
      <w:marLeft w:val="0"/>
      <w:marRight w:val="0"/>
      <w:marTop w:val="0"/>
      <w:marBottom w:val="0"/>
      <w:divBdr>
        <w:top w:val="none" w:sz="0" w:space="0" w:color="auto"/>
        <w:left w:val="none" w:sz="0" w:space="0" w:color="auto"/>
        <w:bottom w:val="none" w:sz="0" w:space="0" w:color="auto"/>
        <w:right w:val="none" w:sz="0" w:space="0" w:color="auto"/>
      </w:divBdr>
    </w:div>
    <w:div w:id="1679456167">
      <w:bodyDiv w:val="1"/>
      <w:marLeft w:val="0"/>
      <w:marRight w:val="0"/>
      <w:marTop w:val="0"/>
      <w:marBottom w:val="0"/>
      <w:divBdr>
        <w:top w:val="none" w:sz="0" w:space="0" w:color="auto"/>
        <w:left w:val="none" w:sz="0" w:space="0" w:color="auto"/>
        <w:bottom w:val="none" w:sz="0" w:space="0" w:color="auto"/>
        <w:right w:val="none" w:sz="0" w:space="0" w:color="auto"/>
      </w:divBdr>
    </w:div>
    <w:div w:id="1687441571">
      <w:bodyDiv w:val="1"/>
      <w:marLeft w:val="0"/>
      <w:marRight w:val="0"/>
      <w:marTop w:val="0"/>
      <w:marBottom w:val="0"/>
      <w:divBdr>
        <w:top w:val="none" w:sz="0" w:space="0" w:color="auto"/>
        <w:left w:val="none" w:sz="0" w:space="0" w:color="auto"/>
        <w:bottom w:val="none" w:sz="0" w:space="0" w:color="auto"/>
        <w:right w:val="none" w:sz="0" w:space="0" w:color="auto"/>
      </w:divBdr>
    </w:div>
    <w:div w:id="1732725588">
      <w:bodyDiv w:val="1"/>
      <w:marLeft w:val="0"/>
      <w:marRight w:val="0"/>
      <w:marTop w:val="0"/>
      <w:marBottom w:val="0"/>
      <w:divBdr>
        <w:top w:val="none" w:sz="0" w:space="0" w:color="auto"/>
        <w:left w:val="none" w:sz="0" w:space="0" w:color="auto"/>
        <w:bottom w:val="none" w:sz="0" w:space="0" w:color="auto"/>
        <w:right w:val="none" w:sz="0" w:space="0" w:color="auto"/>
      </w:divBdr>
    </w:div>
    <w:div w:id="1794404009">
      <w:bodyDiv w:val="1"/>
      <w:marLeft w:val="0"/>
      <w:marRight w:val="0"/>
      <w:marTop w:val="0"/>
      <w:marBottom w:val="0"/>
      <w:divBdr>
        <w:top w:val="none" w:sz="0" w:space="0" w:color="auto"/>
        <w:left w:val="none" w:sz="0" w:space="0" w:color="auto"/>
        <w:bottom w:val="none" w:sz="0" w:space="0" w:color="auto"/>
        <w:right w:val="none" w:sz="0" w:space="0" w:color="auto"/>
      </w:divBdr>
    </w:div>
    <w:div w:id="1796829917">
      <w:bodyDiv w:val="1"/>
      <w:marLeft w:val="0"/>
      <w:marRight w:val="0"/>
      <w:marTop w:val="0"/>
      <w:marBottom w:val="0"/>
      <w:divBdr>
        <w:top w:val="none" w:sz="0" w:space="0" w:color="auto"/>
        <w:left w:val="none" w:sz="0" w:space="0" w:color="auto"/>
        <w:bottom w:val="none" w:sz="0" w:space="0" w:color="auto"/>
        <w:right w:val="none" w:sz="0" w:space="0" w:color="auto"/>
      </w:divBdr>
    </w:div>
    <w:div w:id="1826434991">
      <w:bodyDiv w:val="1"/>
      <w:marLeft w:val="0"/>
      <w:marRight w:val="0"/>
      <w:marTop w:val="0"/>
      <w:marBottom w:val="0"/>
      <w:divBdr>
        <w:top w:val="none" w:sz="0" w:space="0" w:color="auto"/>
        <w:left w:val="none" w:sz="0" w:space="0" w:color="auto"/>
        <w:bottom w:val="none" w:sz="0" w:space="0" w:color="auto"/>
        <w:right w:val="none" w:sz="0" w:space="0" w:color="auto"/>
      </w:divBdr>
      <w:divsChild>
        <w:div w:id="1397702684">
          <w:marLeft w:val="446"/>
          <w:marRight w:val="0"/>
          <w:marTop w:val="0"/>
          <w:marBottom w:val="0"/>
          <w:divBdr>
            <w:top w:val="none" w:sz="0" w:space="0" w:color="auto"/>
            <w:left w:val="none" w:sz="0" w:space="0" w:color="auto"/>
            <w:bottom w:val="none" w:sz="0" w:space="0" w:color="auto"/>
            <w:right w:val="none" w:sz="0" w:space="0" w:color="auto"/>
          </w:divBdr>
        </w:div>
        <w:div w:id="1631781714">
          <w:marLeft w:val="446"/>
          <w:marRight w:val="0"/>
          <w:marTop w:val="0"/>
          <w:marBottom w:val="0"/>
          <w:divBdr>
            <w:top w:val="none" w:sz="0" w:space="0" w:color="auto"/>
            <w:left w:val="none" w:sz="0" w:space="0" w:color="auto"/>
            <w:bottom w:val="none" w:sz="0" w:space="0" w:color="auto"/>
            <w:right w:val="none" w:sz="0" w:space="0" w:color="auto"/>
          </w:divBdr>
        </w:div>
      </w:divsChild>
    </w:div>
    <w:div w:id="1851992841">
      <w:bodyDiv w:val="1"/>
      <w:marLeft w:val="0"/>
      <w:marRight w:val="0"/>
      <w:marTop w:val="0"/>
      <w:marBottom w:val="0"/>
      <w:divBdr>
        <w:top w:val="none" w:sz="0" w:space="0" w:color="auto"/>
        <w:left w:val="none" w:sz="0" w:space="0" w:color="auto"/>
        <w:bottom w:val="none" w:sz="0" w:space="0" w:color="auto"/>
        <w:right w:val="none" w:sz="0" w:space="0" w:color="auto"/>
      </w:divBdr>
    </w:div>
    <w:div w:id="1932736071">
      <w:bodyDiv w:val="1"/>
      <w:marLeft w:val="0"/>
      <w:marRight w:val="0"/>
      <w:marTop w:val="0"/>
      <w:marBottom w:val="0"/>
      <w:divBdr>
        <w:top w:val="none" w:sz="0" w:space="0" w:color="auto"/>
        <w:left w:val="none" w:sz="0" w:space="0" w:color="auto"/>
        <w:bottom w:val="none" w:sz="0" w:space="0" w:color="auto"/>
        <w:right w:val="none" w:sz="0" w:space="0" w:color="auto"/>
      </w:divBdr>
    </w:div>
    <w:div w:id="1934901526">
      <w:bodyDiv w:val="1"/>
      <w:marLeft w:val="0"/>
      <w:marRight w:val="0"/>
      <w:marTop w:val="0"/>
      <w:marBottom w:val="0"/>
      <w:divBdr>
        <w:top w:val="none" w:sz="0" w:space="0" w:color="auto"/>
        <w:left w:val="none" w:sz="0" w:space="0" w:color="auto"/>
        <w:bottom w:val="none" w:sz="0" w:space="0" w:color="auto"/>
        <w:right w:val="none" w:sz="0" w:space="0" w:color="auto"/>
      </w:divBdr>
    </w:div>
    <w:div w:id="1959335267">
      <w:bodyDiv w:val="1"/>
      <w:marLeft w:val="0"/>
      <w:marRight w:val="0"/>
      <w:marTop w:val="0"/>
      <w:marBottom w:val="0"/>
      <w:divBdr>
        <w:top w:val="none" w:sz="0" w:space="0" w:color="auto"/>
        <w:left w:val="none" w:sz="0" w:space="0" w:color="auto"/>
        <w:bottom w:val="none" w:sz="0" w:space="0" w:color="auto"/>
        <w:right w:val="none" w:sz="0" w:space="0" w:color="auto"/>
      </w:divBdr>
    </w:div>
    <w:div w:id="1988703056">
      <w:bodyDiv w:val="1"/>
      <w:marLeft w:val="0"/>
      <w:marRight w:val="0"/>
      <w:marTop w:val="0"/>
      <w:marBottom w:val="0"/>
      <w:divBdr>
        <w:top w:val="none" w:sz="0" w:space="0" w:color="auto"/>
        <w:left w:val="none" w:sz="0" w:space="0" w:color="auto"/>
        <w:bottom w:val="none" w:sz="0" w:space="0" w:color="auto"/>
        <w:right w:val="none" w:sz="0" w:space="0" w:color="auto"/>
      </w:divBdr>
    </w:div>
    <w:div w:id="2015960940">
      <w:bodyDiv w:val="1"/>
      <w:marLeft w:val="0"/>
      <w:marRight w:val="0"/>
      <w:marTop w:val="0"/>
      <w:marBottom w:val="0"/>
      <w:divBdr>
        <w:top w:val="none" w:sz="0" w:space="0" w:color="auto"/>
        <w:left w:val="none" w:sz="0" w:space="0" w:color="auto"/>
        <w:bottom w:val="none" w:sz="0" w:space="0" w:color="auto"/>
        <w:right w:val="none" w:sz="0" w:space="0" w:color="auto"/>
      </w:divBdr>
    </w:div>
    <w:div w:id="2039811509">
      <w:bodyDiv w:val="1"/>
      <w:marLeft w:val="0"/>
      <w:marRight w:val="0"/>
      <w:marTop w:val="0"/>
      <w:marBottom w:val="0"/>
      <w:divBdr>
        <w:top w:val="none" w:sz="0" w:space="0" w:color="auto"/>
        <w:left w:val="none" w:sz="0" w:space="0" w:color="auto"/>
        <w:bottom w:val="none" w:sz="0" w:space="0" w:color="auto"/>
        <w:right w:val="none" w:sz="0" w:space="0" w:color="auto"/>
      </w:divBdr>
    </w:div>
    <w:div w:id="2054839163">
      <w:bodyDiv w:val="1"/>
      <w:marLeft w:val="0"/>
      <w:marRight w:val="0"/>
      <w:marTop w:val="0"/>
      <w:marBottom w:val="0"/>
      <w:divBdr>
        <w:top w:val="none" w:sz="0" w:space="0" w:color="auto"/>
        <w:left w:val="none" w:sz="0" w:space="0" w:color="auto"/>
        <w:bottom w:val="none" w:sz="0" w:space="0" w:color="auto"/>
        <w:right w:val="none" w:sz="0" w:space="0" w:color="auto"/>
      </w:divBdr>
    </w:div>
    <w:div w:id="2082366185">
      <w:bodyDiv w:val="1"/>
      <w:marLeft w:val="0"/>
      <w:marRight w:val="0"/>
      <w:marTop w:val="0"/>
      <w:marBottom w:val="0"/>
      <w:divBdr>
        <w:top w:val="none" w:sz="0" w:space="0" w:color="auto"/>
        <w:left w:val="none" w:sz="0" w:space="0" w:color="auto"/>
        <w:bottom w:val="none" w:sz="0" w:space="0" w:color="auto"/>
        <w:right w:val="none" w:sz="0" w:space="0" w:color="auto"/>
      </w:divBdr>
    </w:div>
    <w:div w:id="2086150493">
      <w:bodyDiv w:val="1"/>
      <w:marLeft w:val="0"/>
      <w:marRight w:val="0"/>
      <w:marTop w:val="0"/>
      <w:marBottom w:val="0"/>
      <w:divBdr>
        <w:top w:val="none" w:sz="0" w:space="0" w:color="auto"/>
        <w:left w:val="none" w:sz="0" w:space="0" w:color="auto"/>
        <w:bottom w:val="none" w:sz="0" w:space="0" w:color="auto"/>
        <w:right w:val="none" w:sz="0" w:space="0" w:color="auto"/>
      </w:divBdr>
    </w:div>
    <w:div w:id="208891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11</Pages>
  <Words>2529</Words>
  <Characters>14420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Hasti</dc:creator>
  <cp:keywords/>
  <dc:description/>
  <cp:lastModifiedBy>SDI 1180</cp:lastModifiedBy>
  <cp:revision>16</cp:revision>
  <dcterms:created xsi:type="dcterms:W3CDTF">2025-07-10T13:13:00Z</dcterms:created>
  <dcterms:modified xsi:type="dcterms:W3CDTF">2025-07-14T11:40:00Z</dcterms:modified>
</cp:coreProperties>
</file>