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C9840" w14:textId="126DF8FF" w:rsidR="00B94F21" w:rsidRPr="00B94F21" w:rsidRDefault="00B94F21" w:rsidP="002D2C55">
      <w:pPr>
        <w:rPr>
          <w:rFonts w:ascii="Arial" w:hAnsi="Arial" w:cs="Arial"/>
          <w:b/>
          <w:sz w:val="20"/>
          <w:szCs w:val="20"/>
          <w:u w:val="single"/>
        </w:rPr>
      </w:pPr>
      <w:r w:rsidRPr="00B94F21">
        <w:rPr>
          <w:rFonts w:ascii="Arial" w:hAnsi="Arial" w:cs="Arial"/>
          <w:b/>
          <w:sz w:val="20"/>
          <w:szCs w:val="20"/>
          <w:u w:val="single"/>
        </w:rPr>
        <w:t>Review Article</w:t>
      </w:r>
    </w:p>
    <w:p w14:paraId="729A8146" w14:textId="7E62D0AE" w:rsidR="002D2C55" w:rsidRPr="00F83B19" w:rsidRDefault="002D2C55" w:rsidP="002D2C55">
      <w:pPr>
        <w:rPr>
          <w:rFonts w:ascii="Arial" w:hAnsi="Arial" w:cs="Arial"/>
          <w:b/>
          <w:sz w:val="20"/>
          <w:szCs w:val="20"/>
        </w:rPr>
      </w:pPr>
      <w:r w:rsidRPr="00F83B19">
        <w:rPr>
          <w:rFonts w:ascii="Arial" w:hAnsi="Arial" w:cs="Arial"/>
          <w:b/>
          <w:sz w:val="20"/>
          <w:szCs w:val="20"/>
        </w:rPr>
        <w:t xml:space="preserve">Exploring </w:t>
      </w:r>
      <w:r w:rsidR="00E0025C" w:rsidRPr="00F83B19">
        <w:rPr>
          <w:rFonts w:ascii="Arial" w:hAnsi="Arial" w:cs="Arial"/>
          <w:b/>
          <w:sz w:val="20"/>
          <w:szCs w:val="20"/>
        </w:rPr>
        <w:t>the integration of nano urea in linseed cultivation</w:t>
      </w:r>
      <w:r w:rsidR="005E6336" w:rsidRPr="00F83B19">
        <w:rPr>
          <w:rFonts w:ascii="Arial" w:hAnsi="Arial" w:cs="Arial"/>
          <w:b/>
          <w:sz w:val="20"/>
          <w:szCs w:val="20"/>
        </w:rPr>
        <w:t>: A Comprehensive a</w:t>
      </w:r>
      <w:r w:rsidRPr="00F83B19">
        <w:rPr>
          <w:rFonts w:ascii="Arial" w:hAnsi="Arial" w:cs="Arial"/>
          <w:b/>
          <w:sz w:val="20"/>
          <w:szCs w:val="20"/>
        </w:rPr>
        <w:t>gricultural Review</w:t>
      </w:r>
    </w:p>
    <w:p w14:paraId="7E493051" w14:textId="77777777" w:rsidR="00442917" w:rsidRPr="00F83B19" w:rsidRDefault="00442917" w:rsidP="00E0025C">
      <w:pPr>
        <w:rPr>
          <w:rFonts w:ascii="Arial" w:hAnsi="Arial" w:cs="Arial"/>
          <w:color w:val="0000FF" w:themeColor="hyperlink"/>
          <w:sz w:val="20"/>
          <w:szCs w:val="20"/>
          <w:u w:val="single"/>
        </w:rPr>
      </w:pPr>
    </w:p>
    <w:p w14:paraId="0C6E2C78" w14:textId="77777777" w:rsidR="00FB4C16" w:rsidRPr="00F83B19" w:rsidRDefault="00FB4C16" w:rsidP="00FB4C16">
      <w:pPr>
        <w:rPr>
          <w:rFonts w:ascii="Arial" w:hAnsi="Arial" w:cs="Arial"/>
          <w:sz w:val="20"/>
          <w:szCs w:val="20"/>
        </w:rPr>
      </w:pPr>
      <w:r w:rsidRPr="00F83B19">
        <w:rPr>
          <w:rFonts w:ascii="Arial" w:hAnsi="Arial" w:cs="Arial"/>
          <w:b/>
          <w:bCs/>
          <w:sz w:val="20"/>
          <w:szCs w:val="20"/>
        </w:rPr>
        <w:t>ABSTRACT</w:t>
      </w:r>
    </w:p>
    <w:p w14:paraId="79ACBE2C" w14:textId="77777777" w:rsidR="00FB4C16" w:rsidRPr="00F83B19" w:rsidRDefault="009F75F3" w:rsidP="0068775E">
      <w:pPr>
        <w:ind w:firstLine="720"/>
        <w:jc w:val="both"/>
        <w:rPr>
          <w:rFonts w:ascii="Arial" w:hAnsi="Arial" w:cs="Arial"/>
          <w:sz w:val="20"/>
          <w:szCs w:val="20"/>
        </w:rPr>
      </w:pPr>
      <w:r w:rsidRPr="00F83B19">
        <w:rPr>
          <w:rFonts w:ascii="Arial" w:hAnsi="Arial" w:cs="Arial"/>
          <w:sz w:val="20"/>
          <w:szCs w:val="20"/>
        </w:rPr>
        <w:t>A</w:t>
      </w:r>
      <w:r w:rsidR="00FC1057" w:rsidRPr="00F83B19">
        <w:rPr>
          <w:rFonts w:ascii="Arial" w:hAnsi="Arial" w:cs="Arial"/>
          <w:sz w:val="20"/>
          <w:szCs w:val="20"/>
        </w:rPr>
        <w:t>griculture in the 21</w:t>
      </w:r>
      <w:r w:rsidR="00FC1057" w:rsidRPr="00F83B19">
        <w:rPr>
          <w:rFonts w:ascii="Arial" w:hAnsi="Arial" w:cs="Arial"/>
          <w:sz w:val="20"/>
          <w:szCs w:val="20"/>
          <w:vertAlign w:val="superscript"/>
        </w:rPr>
        <w:t>st</w:t>
      </w:r>
      <w:r w:rsidR="00FB4C16" w:rsidRPr="00F83B19">
        <w:rPr>
          <w:rFonts w:ascii="Arial" w:hAnsi="Arial" w:cs="Arial"/>
          <w:sz w:val="20"/>
          <w:szCs w:val="20"/>
        </w:rPr>
        <w:t xml:space="preserve"> century faces the challenge of increasing food production to meet the demands of a growing population, while addressing soil nutrient depletion, reduced NU</w:t>
      </w:r>
      <w:r w:rsidRPr="00F83B19">
        <w:rPr>
          <w:rFonts w:ascii="Arial" w:hAnsi="Arial" w:cs="Arial"/>
          <w:sz w:val="20"/>
          <w:szCs w:val="20"/>
        </w:rPr>
        <w:t>E</w:t>
      </w:r>
      <w:r w:rsidR="00FB4C16" w:rsidRPr="00F83B19">
        <w:rPr>
          <w:rFonts w:ascii="Arial" w:hAnsi="Arial" w:cs="Arial"/>
          <w:sz w:val="20"/>
          <w:szCs w:val="20"/>
        </w:rPr>
        <w:t>, and the environmental impac</w:t>
      </w:r>
      <w:r w:rsidRPr="00F83B19">
        <w:rPr>
          <w:rFonts w:ascii="Arial" w:hAnsi="Arial" w:cs="Arial"/>
          <w:sz w:val="20"/>
          <w:szCs w:val="20"/>
        </w:rPr>
        <w:t xml:space="preserve">ts of conventional fertilizers. </w:t>
      </w:r>
      <w:r w:rsidR="00FB4C16" w:rsidRPr="00F83B19">
        <w:rPr>
          <w:rFonts w:ascii="Arial" w:hAnsi="Arial" w:cs="Arial"/>
          <w:sz w:val="20"/>
          <w:szCs w:val="20"/>
        </w:rPr>
        <w:t xml:space="preserve">Nitrogen, a macronutrient, is often lost through leaching and volatilization when applied </w:t>
      </w:r>
      <w:r w:rsidRPr="00F83B19">
        <w:rPr>
          <w:rFonts w:ascii="Arial" w:hAnsi="Arial" w:cs="Arial"/>
          <w:sz w:val="20"/>
          <w:szCs w:val="20"/>
        </w:rPr>
        <w:t>in traditional form. N</w:t>
      </w:r>
      <w:r w:rsidR="00FB4C16" w:rsidRPr="00F83B19">
        <w:rPr>
          <w:rFonts w:ascii="Arial" w:hAnsi="Arial" w:cs="Arial"/>
          <w:sz w:val="20"/>
          <w:szCs w:val="20"/>
        </w:rPr>
        <w:t>anote</w:t>
      </w:r>
      <w:r w:rsidRPr="00F83B19">
        <w:rPr>
          <w:rFonts w:ascii="Arial" w:hAnsi="Arial" w:cs="Arial"/>
          <w:sz w:val="20"/>
          <w:szCs w:val="20"/>
        </w:rPr>
        <w:t>chnologies</w:t>
      </w:r>
      <w:r w:rsidR="00FB4C16" w:rsidRPr="00F83B19">
        <w:rPr>
          <w:rFonts w:ascii="Arial" w:hAnsi="Arial" w:cs="Arial"/>
          <w:sz w:val="20"/>
          <w:szCs w:val="20"/>
        </w:rPr>
        <w:t>, offer a promising solution by enhancing nitrogen delivery and uptake efficiency in crops. This review examines the global agricultural context, the role of nitrogen in crop productiv</w:t>
      </w:r>
      <w:r w:rsidRPr="00F83B19">
        <w:rPr>
          <w:rFonts w:ascii="Arial" w:hAnsi="Arial" w:cs="Arial"/>
          <w:sz w:val="20"/>
          <w:szCs w:val="20"/>
        </w:rPr>
        <w:t xml:space="preserve">ity and plant development. </w:t>
      </w:r>
      <w:r w:rsidR="00FB4C16" w:rsidRPr="00F83B19">
        <w:rPr>
          <w:rFonts w:ascii="Arial" w:hAnsi="Arial" w:cs="Arial"/>
          <w:sz w:val="20"/>
          <w:szCs w:val="20"/>
        </w:rPr>
        <w:t>Recent studies, especially in linseed cultivation, have demonstrated that integrating nano urea with reduced doses of conventional nitrogen significantly improves seed yield, nutrient uptake, and economic returns</w:t>
      </w:r>
      <w:r w:rsidRPr="00F83B19">
        <w:rPr>
          <w:rFonts w:ascii="Arial" w:hAnsi="Arial" w:cs="Arial"/>
          <w:sz w:val="20"/>
          <w:szCs w:val="20"/>
        </w:rPr>
        <w:t xml:space="preserve">. </w:t>
      </w:r>
      <w:r w:rsidR="00FB4C16" w:rsidRPr="00F83B19">
        <w:rPr>
          <w:rFonts w:ascii="Arial" w:hAnsi="Arial" w:cs="Arial"/>
          <w:sz w:val="20"/>
          <w:szCs w:val="20"/>
        </w:rPr>
        <w:t>However, the widespread adoption of nano fertilizers requires further investigation into long-term soil impacts, residue effects on oil quality, and integra</w:t>
      </w:r>
      <w:r w:rsidRPr="00F83B19">
        <w:rPr>
          <w:rFonts w:ascii="Arial" w:hAnsi="Arial" w:cs="Arial"/>
          <w:sz w:val="20"/>
          <w:szCs w:val="20"/>
        </w:rPr>
        <w:t>tion with precision agriculture</w:t>
      </w:r>
      <w:r w:rsidR="00FB4C16" w:rsidRPr="00F83B19">
        <w:rPr>
          <w:rFonts w:ascii="Arial" w:hAnsi="Arial" w:cs="Arial"/>
          <w:sz w:val="20"/>
          <w:szCs w:val="20"/>
        </w:rPr>
        <w:t>. Overall, nano urea stands as a pivotal innovation for sustainable agriculture, offering a scalable strategy to enhance productivity while preserving environmental integrity in a resource-constrained world.</w:t>
      </w:r>
    </w:p>
    <w:p w14:paraId="7308A23B" w14:textId="77777777" w:rsidR="00783C07" w:rsidRPr="00F83B19" w:rsidRDefault="00FB4C16" w:rsidP="002D2C55">
      <w:pPr>
        <w:rPr>
          <w:rFonts w:ascii="Arial" w:hAnsi="Arial" w:cs="Arial"/>
          <w:i/>
          <w:sz w:val="20"/>
          <w:szCs w:val="20"/>
        </w:rPr>
      </w:pPr>
      <w:r w:rsidRPr="00F83B19">
        <w:rPr>
          <w:rFonts w:ascii="Arial" w:hAnsi="Arial" w:cs="Arial"/>
          <w:sz w:val="20"/>
          <w:szCs w:val="20"/>
        </w:rPr>
        <w:t xml:space="preserve">Key words: </w:t>
      </w:r>
      <w:r w:rsidRPr="00F83B19">
        <w:rPr>
          <w:rFonts w:ascii="Arial" w:hAnsi="Arial" w:cs="Arial"/>
          <w:i/>
          <w:sz w:val="20"/>
          <w:szCs w:val="20"/>
        </w:rPr>
        <w:t>Urea, Sustainable Agriculture, Nutrient, Cultivation, Climate Change Impact on Agriculture</w:t>
      </w:r>
    </w:p>
    <w:p w14:paraId="2D44A234" w14:textId="77777777" w:rsidR="00F83B19" w:rsidRPr="00F83B19" w:rsidRDefault="00F83B19" w:rsidP="002D2C55">
      <w:pPr>
        <w:rPr>
          <w:rFonts w:ascii="Arial" w:hAnsi="Arial" w:cs="Arial"/>
          <w:b/>
        </w:rPr>
      </w:pPr>
      <w:r w:rsidRPr="00F83B19">
        <w:rPr>
          <w:rFonts w:ascii="Arial" w:hAnsi="Arial" w:cs="Arial"/>
          <w:b/>
        </w:rPr>
        <w:t>INTRODUCTION</w:t>
      </w:r>
    </w:p>
    <w:p w14:paraId="3D0F669A" w14:textId="77777777" w:rsidR="003469D9" w:rsidRPr="00F83B19" w:rsidRDefault="003469D9" w:rsidP="002D2C55">
      <w:pPr>
        <w:rPr>
          <w:rFonts w:ascii="Arial" w:hAnsi="Arial" w:cs="Arial"/>
          <w:sz w:val="20"/>
          <w:szCs w:val="20"/>
          <w:u w:val="single"/>
        </w:rPr>
      </w:pPr>
      <w:r w:rsidRPr="00F83B19">
        <w:rPr>
          <w:rFonts w:ascii="Arial" w:hAnsi="Arial" w:cs="Arial"/>
          <w:sz w:val="20"/>
          <w:szCs w:val="20"/>
          <w:u w:val="single"/>
        </w:rPr>
        <w:t xml:space="preserve">Global agriculture challenges scenario </w:t>
      </w:r>
    </w:p>
    <w:p w14:paraId="12E00740" w14:textId="77777777" w:rsidR="003469D9" w:rsidRPr="00F83B19" w:rsidRDefault="001C0D67" w:rsidP="003451FD">
      <w:pPr>
        <w:spacing w:after="0" w:line="360" w:lineRule="auto"/>
        <w:ind w:firstLine="720"/>
        <w:jc w:val="both"/>
        <w:rPr>
          <w:rFonts w:ascii="Arial" w:hAnsi="Arial" w:cs="Arial"/>
          <w:sz w:val="20"/>
          <w:szCs w:val="20"/>
        </w:rPr>
      </w:pPr>
      <w:r w:rsidRPr="00F83B19">
        <w:rPr>
          <w:rFonts w:ascii="Arial" w:hAnsi="Arial" w:cs="Arial"/>
          <w:bCs/>
          <w:sz w:val="20"/>
          <w:szCs w:val="20"/>
        </w:rPr>
        <w:t xml:space="preserve">The present </w:t>
      </w:r>
      <w:r w:rsidR="00FC1057" w:rsidRPr="00F83B19">
        <w:rPr>
          <w:rFonts w:ascii="Arial" w:hAnsi="Arial" w:cs="Arial"/>
          <w:bCs/>
          <w:sz w:val="20"/>
          <w:szCs w:val="20"/>
        </w:rPr>
        <w:t>21</w:t>
      </w:r>
      <w:r w:rsidR="00FC1057" w:rsidRPr="00F83B19">
        <w:rPr>
          <w:rFonts w:ascii="Arial" w:hAnsi="Arial" w:cs="Arial"/>
          <w:bCs/>
          <w:sz w:val="20"/>
          <w:szCs w:val="20"/>
          <w:vertAlign w:val="superscript"/>
        </w:rPr>
        <w:t>st</w:t>
      </w:r>
      <w:r w:rsidR="00FC1057" w:rsidRPr="00F83B19">
        <w:rPr>
          <w:rFonts w:ascii="Arial" w:hAnsi="Arial" w:cs="Arial"/>
          <w:bCs/>
          <w:sz w:val="20"/>
          <w:szCs w:val="20"/>
        </w:rPr>
        <w:t xml:space="preserve"> </w:t>
      </w:r>
      <w:r w:rsidR="002D2C55" w:rsidRPr="00F83B19">
        <w:rPr>
          <w:rFonts w:ascii="Arial" w:hAnsi="Arial" w:cs="Arial"/>
          <w:bCs/>
          <w:sz w:val="20"/>
          <w:szCs w:val="20"/>
        </w:rPr>
        <w:t xml:space="preserve">century agriculture faces numerous challenges, including the need to increase the production of food and </w:t>
      </w:r>
      <w:r w:rsidRPr="00F83B19">
        <w:rPr>
          <w:rFonts w:ascii="Arial" w:hAnsi="Arial" w:cs="Arial"/>
          <w:bCs/>
          <w:sz w:val="20"/>
          <w:szCs w:val="20"/>
        </w:rPr>
        <w:t>fibre</w:t>
      </w:r>
      <w:r w:rsidR="002D2C55" w:rsidRPr="00F83B19">
        <w:rPr>
          <w:rFonts w:ascii="Arial" w:hAnsi="Arial" w:cs="Arial"/>
          <w:bCs/>
          <w:sz w:val="20"/>
          <w:szCs w:val="20"/>
        </w:rPr>
        <w:t xml:space="preserve"> for a rapidly growing global population, despite a declining rural workforce. It must also supply raw materials for an expanding bioenergy sector, support development in agriculture-dependent developing nations, implement more sustainable and efficient farming practices, and respond to the impacts of climate change. Between</w:t>
      </w:r>
      <w:r w:rsidR="00373335" w:rsidRPr="00F83B19">
        <w:rPr>
          <w:rFonts w:ascii="Arial" w:hAnsi="Arial" w:cs="Arial"/>
          <w:bCs/>
          <w:sz w:val="20"/>
          <w:szCs w:val="20"/>
        </w:rPr>
        <w:t xml:space="preserve"> the year</w:t>
      </w:r>
      <w:r w:rsidR="002D2C55" w:rsidRPr="00F83B19">
        <w:rPr>
          <w:rFonts w:ascii="Arial" w:hAnsi="Arial" w:cs="Arial"/>
          <w:bCs/>
          <w:sz w:val="20"/>
          <w:szCs w:val="20"/>
        </w:rPr>
        <w:t xml:space="preserve"> 2009 and 2050, the global population is projected to rise by over 2.3 billion people, representing an </w:t>
      </w:r>
      <w:r w:rsidRPr="00F83B19">
        <w:rPr>
          <w:rFonts w:ascii="Arial" w:hAnsi="Arial" w:cs="Arial"/>
          <w:bCs/>
          <w:sz w:val="20"/>
          <w:szCs w:val="20"/>
        </w:rPr>
        <w:t>increase of more than one-third (Global agriculture towards 2050) where around 90% of global crop production growth (80% in developing countries) is projected to come from increased yields and cropping intensity, with less than 5% from land expansion—about 70 million ha globally. While developing countries may see a 120 million ha increase in arable land, this will be offset by a 50 million ha decline in developed nations. Crop yields are expected to rise more slowly, with annual growth rates dropping to 0.8% (down from 1.7%), and cereal yi</w:t>
      </w:r>
      <w:r w:rsidR="00146125" w:rsidRPr="00F83B19">
        <w:rPr>
          <w:rFonts w:ascii="Arial" w:hAnsi="Arial" w:cs="Arial"/>
          <w:bCs/>
          <w:sz w:val="20"/>
          <w:szCs w:val="20"/>
        </w:rPr>
        <w:t>elds slowing to 0.7% annually and b</w:t>
      </w:r>
      <w:r w:rsidRPr="00F83B19">
        <w:rPr>
          <w:rFonts w:ascii="Arial" w:hAnsi="Arial" w:cs="Arial"/>
          <w:bCs/>
          <w:sz w:val="20"/>
          <w:szCs w:val="20"/>
        </w:rPr>
        <w:t xml:space="preserve">y 2050, average </w:t>
      </w:r>
      <w:r w:rsidR="0035433C" w:rsidRPr="00F83B19">
        <w:rPr>
          <w:rFonts w:ascii="Arial" w:hAnsi="Arial" w:cs="Arial"/>
          <w:bCs/>
          <w:sz w:val="20"/>
          <w:szCs w:val="20"/>
        </w:rPr>
        <w:t xml:space="preserve">cereal yields could reach 4.3 t </w:t>
      </w:r>
      <w:r w:rsidRPr="00F83B19">
        <w:rPr>
          <w:rFonts w:ascii="Arial" w:hAnsi="Arial" w:cs="Arial"/>
          <w:bCs/>
          <w:sz w:val="20"/>
          <w:szCs w:val="20"/>
        </w:rPr>
        <w:t>ha</w:t>
      </w:r>
      <w:r w:rsidR="0035433C" w:rsidRPr="00F83B19">
        <w:rPr>
          <w:rFonts w:ascii="Arial" w:hAnsi="Arial" w:cs="Arial"/>
          <w:bCs/>
          <w:sz w:val="20"/>
          <w:szCs w:val="20"/>
          <w:vertAlign w:val="superscript"/>
        </w:rPr>
        <w:t>-1</w:t>
      </w:r>
      <w:r w:rsidR="0035433C" w:rsidRPr="00F83B19">
        <w:rPr>
          <w:rFonts w:ascii="Arial" w:hAnsi="Arial" w:cs="Arial"/>
          <w:bCs/>
          <w:sz w:val="20"/>
          <w:szCs w:val="20"/>
        </w:rPr>
        <w:t xml:space="preserve">, up from 3.2 t </w:t>
      </w:r>
      <w:r w:rsidRPr="00F83B19">
        <w:rPr>
          <w:rFonts w:ascii="Arial" w:hAnsi="Arial" w:cs="Arial"/>
          <w:bCs/>
          <w:sz w:val="20"/>
          <w:szCs w:val="20"/>
        </w:rPr>
        <w:t>ha</w:t>
      </w:r>
      <w:r w:rsidR="0035433C" w:rsidRPr="00F83B19">
        <w:rPr>
          <w:rFonts w:ascii="Arial" w:hAnsi="Arial" w:cs="Arial"/>
          <w:bCs/>
          <w:sz w:val="20"/>
          <w:szCs w:val="20"/>
          <w:vertAlign w:val="superscript"/>
        </w:rPr>
        <w:t>-1</w:t>
      </w:r>
      <w:r w:rsidRPr="00F83B19">
        <w:rPr>
          <w:rFonts w:ascii="Arial" w:hAnsi="Arial" w:cs="Arial"/>
          <w:bCs/>
          <w:sz w:val="20"/>
          <w:szCs w:val="20"/>
        </w:rPr>
        <w:t xml:space="preserve"> today.</w:t>
      </w:r>
      <w:r w:rsidR="00146125" w:rsidRPr="00F83B19">
        <w:rPr>
          <w:rFonts w:ascii="Arial" w:hAnsi="Arial" w:cs="Arial"/>
          <w:sz w:val="20"/>
          <w:szCs w:val="20"/>
        </w:rPr>
        <w:t xml:space="preserve"> While the demand increases, s</w:t>
      </w:r>
      <w:r w:rsidR="002D2C55" w:rsidRPr="00F83B19">
        <w:rPr>
          <w:rFonts w:ascii="Arial" w:hAnsi="Arial" w:cs="Arial"/>
          <w:sz w:val="20"/>
          <w:szCs w:val="20"/>
        </w:rPr>
        <w:t>oil nutrient depletion is a critical issue closely tied to food insecurity in developing and least developed nations and this challenge has risen largely from the intensified use of agricultural land without the adequate supplementation of externa</w:t>
      </w:r>
      <w:r w:rsidR="007C2765" w:rsidRPr="00F83B19">
        <w:rPr>
          <w:rFonts w:ascii="Arial" w:hAnsi="Arial" w:cs="Arial"/>
          <w:sz w:val="20"/>
          <w:szCs w:val="20"/>
        </w:rPr>
        <w:t>l nutrients (</w:t>
      </w:r>
      <w:proofErr w:type="spellStart"/>
      <w:r w:rsidR="007C2765" w:rsidRPr="00F83B19">
        <w:rPr>
          <w:rFonts w:ascii="Arial" w:hAnsi="Arial" w:cs="Arial"/>
          <w:sz w:val="20"/>
          <w:szCs w:val="20"/>
        </w:rPr>
        <w:t>Henao</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Baanante</w:t>
      </w:r>
      <w:proofErr w:type="spellEnd"/>
      <w:r w:rsidR="002D2C55" w:rsidRPr="00F83B19">
        <w:rPr>
          <w:rFonts w:ascii="Arial" w:hAnsi="Arial" w:cs="Arial"/>
          <w:sz w:val="20"/>
          <w:szCs w:val="20"/>
        </w:rPr>
        <w:t xml:space="preserve"> 1999). The persistent failure to replenish essential nutrients in already exhausted soils, coupled with nutrient losses caused by wind and water erosion, is accelerating soil degradation and threatening the long-term viability of agriculture in these regions (Sheldrick et al</w:t>
      </w:r>
      <w:r w:rsidR="007C2765" w:rsidRPr="00F83B19">
        <w:rPr>
          <w:rFonts w:ascii="Arial" w:hAnsi="Arial" w:cs="Arial"/>
          <w:sz w:val="20"/>
          <w:szCs w:val="20"/>
        </w:rPr>
        <w:t>.</w:t>
      </w:r>
      <w:r w:rsidR="002D2C55" w:rsidRPr="00F83B19">
        <w:rPr>
          <w:rFonts w:ascii="Arial" w:hAnsi="Arial" w:cs="Arial"/>
          <w:sz w:val="20"/>
          <w:szCs w:val="20"/>
        </w:rPr>
        <w:t xml:space="preserve"> 2002). Poor land management and undervaluing farmland lead to soil erosion, degradation, and fertility loss, ultimately reducing crop productivity and threatening long-ter</w:t>
      </w:r>
      <w:r w:rsidR="00146125" w:rsidRPr="00F83B19">
        <w:rPr>
          <w:rFonts w:ascii="Arial" w:hAnsi="Arial" w:cs="Arial"/>
          <w:sz w:val="20"/>
          <w:szCs w:val="20"/>
        </w:rPr>
        <w:t>m agricultural sustainability and thus s</w:t>
      </w:r>
      <w:r w:rsidR="002D2C55" w:rsidRPr="00F83B19">
        <w:rPr>
          <w:rFonts w:ascii="Arial" w:hAnsi="Arial" w:cs="Arial"/>
          <w:sz w:val="20"/>
          <w:szCs w:val="20"/>
        </w:rPr>
        <w:t xml:space="preserve">oil nutrient depletion is further intensified by unbalanced fertilizer </w:t>
      </w:r>
      <w:r w:rsidR="002D2C55" w:rsidRPr="00F83B19">
        <w:rPr>
          <w:rFonts w:ascii="Arial" w:hAnsi="Arial" w:cs="Arial"/>
          <w:sz w:val="20"/>
          <w:szCs w:val="20"/>
        </w:rPr>
        <w:lastRenderedPageBreak/>
        <w:t>use, largely due to limited knowledge and restricted access to nutrient resources, as evidenced by long-term fertilizer usage data from t</w:t>
      </w:r>
      <w:r w:rsidR="007C2765" w:rsidRPr="00F83B19">
        <w:rPr>
          <w:rFonts w:ascii="Arial" w:hAnsi="Arial" w:cs="Arial"/>
          <w:sz w:val="20"/>
          <w:szCs w:val="20"/>
        </w:rPr>
        <w:t xml:space="preserve">he FAOSTAT database (FAO </w:t>
      </w:r>
      <w:r w:rsidR="003469D9" w:rsidRPr="00F83B19">
        <w:rPr>
          <w:rFonts w:ascii="Arial" w:hAnsi="Arial" w:cs="Arial"/>
          <w:sz w:val="20"/>
          <w:szCs w:val="20"/>
        </w:rPr>
        <w:t>2001)</w:t>
      </w:r>
    </w:p>
    <w:p w14:paraId="3782EBE8" w14:textId="77777777" w:rsidR="006D5912" w:rsidRPr="00F83B19" w:rsidRDefault="00311392" w:rsidP="001C0D67">
      <w:pPr>
        <w:spacing w:after="0" w:line="360" w:lineRule="auto"/>
        <w:jc w:val="both"/>
        <w:rPr>
          <w:rFonts w:ascii="Arial" w:hAnsi="Arial" w:cs="Arial"/>
          <w:b/>
          <w:sz w:val="20"/>
          <w:szCs w:val="20"/>
        </w:rPr>
      </w:pPr>
      <w:r w:rsidRPr="00F83B19">
        <w:rPr>
          <w:rFonts w:ascii="Arial" w:hAnsi="Arial" w:cs="Arial"/>
          <w:b/>
          <w:sz w:val="20"/>
          <w:szCs w:val="20"/>
        </w:rPr>
        <w:t xml:space="preserve">Significance of nitrogen in crop productivity </w:t>
      </w:r>
    </w:p>
    <w:p w14:paraId="34A0EBF6" w14:textId="77777777" w:rsidR="007162B3" w:rsidRPr="00F83B19" w:rsidRDefault="001C0D67"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With the rapid increase in global population intensifying, the demand on agricultural land to deliver more food and energy per unit area is increasing and to ensure sustainability, farming systems must boost productivity while also safeguarding the environment and the health of humans and animals. </w:t>
      </w:r>
      <w:r w:rsidR="00416EF6" w:rsidRPr="00F83B19">
        <w:rPr>
          <w:rFonts w:ascii="Arial" w:hAnsi="Arial" w:cs="Arial"/>
          <w:sz w:val="20"/>
          <w:szCs w:val="20"/>
        </w:rPr>
        <w:t xml:space="preserve">According to global estimates, soils contain approximately </w:t>
      </w:r>
      <w:r w:rsidR="00416EF6" w:rsidRPr="00F83B19">
        <w:rPr>
          <w:rFonts w:ascii="Arial" w:hAnsi="Arial" w:cs="Arial"/>
          <w:bCs/>
          <w:sz w:val="20"/>
          <w:szCs w:val="20"/>
        </w:rPr>
        <w:t xml:space="preserve">65 </w:t>
      </w:r>
      <w:proofErr w:type="spellStart"/>
      <w:r w:rsidR="00416EF6" w:rsidRPr="00F83B19">
        <w:rPr>
          <w:rFonts w:ascii="Arial" w:hAnsi="Arial" w:cs="Arial"/>
          <w:bCs/>
          <w:sz w:val="20"/>
          <w:szCs w:val="20"/>
        </w:rPr>
        <w:t>petagrams</w:t>
      </w:r>
      <w:proofErr w:type="spellEnd"/>
      <w:r w:rsidR="00416EF6" w:rsidRPr="00F83B19">
        <w:rPr>
          <w:rFonts w:ascii="Arial" w:hAnsi="Arial" w:cs="Arial"/>
          <w:bCs/>
          <w:sz w:val="20"/>
          <w:szCs w:val="20"/>
        </w:rPr>
        <w:t xml:space="preserve"> (</w:t>
      </w:r>
      <w:proofErr w:type="spellStart"/>
      <w:r w:rsidR="00416EF6" w:rsidRPr="00F83B19">
        <w:rPr>
          <w:rFonts w:ascii="Arial" w:hAnsi="Arial" w:cs="Arial"/>
          <w:bCs/>
          <w:sz w:val="20"/>
          <w:szCs w:val="20"/>
        </w:rPr>
        <w:t>Pg</w:t>
      </w:r>
      <w:proofErr w:type="spellEnd"/>
      <w:r w:rsidR="00416EF6" w:rsidRPr="00F83B19">
        <w:rPr>
          <w:rFonts w:ascii="Arial" w:hAnsi="Arial" w:cs="Arial"/>
          <w:bCs/>
          <w:sz w:val="20"/>
          <w:szCs w:val="20"/>
        </w:rPr>
        <w:t>)</w:t>
      </w:r>
      <w:r w:rsidR="00416EF6" w:rsidRPr="00F83B19">
        <w:rPr>
          <w:rFonts w:ascii="Arial" w:hAnsi="Arial" w:cs="Arial"/>
          <w:sz w:val="20"/>
          <w:szCs w:val="20"/>
        </w:rPr>
        <w:t xml:space="preserve"> of nitrogen in the top </w:t>
      </w:r>
      <w:r w:rsidR="00416EF6" w:rsidRPr="00F83B19">
        <w:rPr>
          <w:rFonts w:ascii="Arial" w:hAnsi="Arial" w:cs="Arial"/>
          <w:bCs/>
          <w:sz w:val="20"/>
          <w:szCs w:val="20"/>
        </w:rPr>
        <w:t>30 cm</w:t>
      </w:r>
      <w:r w:rsidR="00416EF6" w:rsidRPr="00F83B19">
        <w:rPr>
          <w:rFonts w:ascii="Arial" w:hAnsi="Arial" w:cs="Arial"/>
          <w:sz w:val="20"/>
          <w:szCs w:val="20"/>
        </w:rPr>
        <w:t xml:space="preserve">, and between </w:t>
      </w:r>
      <w:r w:rsidR="00416EF6" w:rsidRPr="00F83B19">
        <w:rPr>
          <w:rFonts w:ascii="Arial" w:hAnsi="Arial" w:cs="Arial"/>
          <w:bCs/>
          <w:sz w:val="20"/>
          <w:szCs w:val="20"/>
        </w:rPr>
        <w:t>92 and 140 Pg</w:t>
      </w:r>
      <w:r w:rsidR="00416EF6" w:rsidRPr="00F83B19">
        <w:rPr>
          <w:rFonts w:ascii="Arial" w:hAnsi="Arial" w:cs="Arial"/>
          <w:sz w:val="20"/>
          <w:szCs w:val="20"/>
        </w:rPr>
        <w:t xml:space="preserve"> down to a depth of </w:t>
      </w:r>
      <w:r w:rsidR="00416EF6" w:rsidRPr="00F83B19">
        <w:rPr>
          <w:rFonts w:ascii="Arial" w:hAnsi="Arial" w:cs="Arial"/>
          <w:bCs/>
          <w:sz w:val="20"/>
          <w:szCs w:val="20"/>
        </w:rPr>
        <w:t>1 meter</w:t>
      </w:r>
      <w:r w:rsidR="00416EF6" w:rsidRPr="00F83B19">
        <w:rPr>
          <w:rFonts w:ascii="Arial" w:hAnsi="Arial" w:cs="Arial"/>
          <w:sz w:val="20"/>
          <w:szCs w:val="20"/>
        </w:rPr>
        <w:t xml:space="preserve"> (</w:t>
      </w:r>
      <w:proofErr w:type="spellStart"/>
      <w:r w:rsidR="007C2765" w:rsidRPr="00F83B19">
        <w:rPr>
          <w:rFonts w:ascii="Arial" w:hAnsi="Arial" w:cs="Arial"/>
          <w:sz w:val="20"/>
          <w:szCs w:val="20"/>
        </w:rPr>
        <w:t>Batjes</w:t>
      </w:r>
      <w:proofErr w:type="spellEnd"/>
      <w:r w:rsidR="00416EF6" w:rsidRPr="00F83B19">
        <w:rPr>
          <w:rFonts w:ascii="Arial" w:hAnsi="Arial" w:cs="Arial"/>
          <w:sz w:val="20"/>
          <w:szCs w:val="20"/>
        </w:rPr>
        <w:t xml:space="preserve"> 2014). The majority of this nitrogen exists in </w:t>
      </w:r>
      <w:r w:rsidR="00416EF6" w:rsidRPr="00F83B19">
        <w:rPr>
          <w:rFonts w:ascii="Arial" w:hAnsi="Arial" w:cs="Arial"/>
          <w:bCs/>
          <w:sz w:val="20"/>
          <w:szCs w:val="20"/>
        </w:rPr>
        <w:t>organic forms</w:t>
      </w:r>
      <w:r w:rsidR="00416EF6" w:rsidRPr="00F83B19">
        <w:rPr>
          <w:rFonts w:ascii="Arial" w:hAnsi="Arial" w:cs="Arial"/>
          <w:sz w:val="20"/>
          <w:szCs w:val="20"/>
        </w:rPr>
        <w:t xml:space="preserve">, which are </w:t>
      </w:r>
      <w:r w:rsidR="00416EF6" w:rsidRPr="00F83B19">
        <w:rPr>
          <w:rFonts w:ascii="Arial" w:hAnsi="Arial" w:cs="Arial"/>
          <w:bCs/>
          <w:sz w:val="20"/>
          <w:szCs w:val="20"/>
        </w:rPr>
        <w:t>not immediately accessible</w:t>
      </w:r>
      <w:r w:rsidR="00416EF6" w:rsidRPr="00F83B19">
        <w:rPr>
          <w:rFonts w:ascii="Arial" w:hAnsi="Arial" w:cs="Arial"/>
          <w:sz w:val="20"/>
          <w:szCs w:val="20"/>
        </w:rPr>
        <w:t xml:space="preserve"> to plants. Each year, around </w:t>
      </w:r>
      <w:r w:rsidR="00416EF6" w:rsidRPr="00F83B19">
        <w:rPr>
          <w:rFonts w:ascii="Arial" w:hAnsi="Arial" w:cs="Arial"/>
          <w:bCs/>
          <w:sz w:val="20"/>
          <w:szCs w:val="20"/>
        </w:rPr>
        <w:t xml:space="preserve">200 </w:t>
      </w:r>
      <w:proofErr w:type="spellStart"/>
      <w:r w:rsidR="00416EF6" w:rsidRPr="00F83B19">
        <w:rPr>
          <w:rFonts w:ascii="Arial" w:hAnsi="Arial" w:cs="Arial"/>
          <w:bCs/>
          <w:sz w:val="20"/>
          <w:szCs w:val="20"/>
        </w:rPr>
        <w:t>teragrams</w:t>
      </w:r>
      <w:proofErr w:type="spellEnd"/>
      <w:r w:rsidR="00416EF6" w:rsidRPr="00F83B19">
        <w:rPr>
          <w:rFonts w:ascii="Arial" w:hAnsi="Arial" w:cs="Arial"/>
          <w:bCs/>
          <w:sz w:val="20"/>
          <w:szCs w:val="20"/>
        </w:rPr>
        <w:t xml:space="preserve"> (</w:t>
      </w:r>
      <w:proofErr w:type="spellStart"/>
      <w:r w:rsidR="00416EF6" w:rsidRPr="00F83B19">
        <w:rPr>
          <w:rFonts w:ascii="Arial" w:hAnsi="Arial" w:cs="Arial"/>
          <w:bCs/>
          <w:sz w:val="20"/>
          <w:szCs w:val="20"/>
        </w:rPr>
        <w:t>Tg</w:t>
      </w:r>
      <w:proofErr w:type="spellEnd"/>
      <w:r w:rsidR="00416EF6" w:rsidRPr="00F83B19">
        <w:rPr>
          <w:rFonts w:ascii="Arial" w:hAnsi="Arial" w:cs="Arial"/>
          <w:bCs/>
          <w:sz w:val="20"/>
          <w:szCs w:val="20"/>
        </w:rPr>
        <w:t>)</w:t>
      </w:r>
      <w:r w:rsidR="00416EF6" w:rsidRPr="00F83B19">
        <w:rPr>
          <w:rFonts w:ascii="Arial" w:hAnsi="Arial" w:cs="Arial"/>
          <w:sz w:val="20"/>
          <w:szCs w:val="20"/>
        </w:rPr>
        <w:t xml:space="preserve"> of nitrogen are added through </w:t>
      </w:r>
      <w:r w:rsidR="00416EF6" w:rsidRPr="00F83B19">
        <w:rPr>
          <w:rFonts w:ascii="Arial" w:hAnsi="Arial" w:cs="Arial"/>
          <w:bCs/>
          <w:sz w:val="20"/>
          <w:szCs w:val="20"/>
        </w:rPr>
        <w:t>chemical fertilizers and animal manure</w:t>
      </w:r>
      <w:r w:rsidR="00416EF6" w:rsidRPr="00F83B19">
        <w:rPr>
          <w:rFonts w:ascii="Arial" w:hAnsi="Arial" w:cs="Arial"/>
          <w:sz w:val="20"/>
          <w:szCs w:val="20"/>
        </w:rPr>
        <w:t xml:space="preserve"> (Potter </w:t>
      </w:r>
      <w:r w:rsidR="007C2765" w:rsidRPr="00F83B19">
        <w:rPr>
          <w:rFonts w:ascii="Arial" w:hAnsi="Arial" w:cs="Arial"/>
          <w:sz w:val="20"/>
          <w:szCs w:val="20"/>
        </w:rPr>
        <w:t>et al.</w:t>
      </w:r>
      <w:r w:rsidR="00416EF6" w:rsidRPr="00F83B19">
        <w:rPr>
          <w:rFonts w:ascii="Arial" w:hAnsi="Arial" w:cs="Arial"/>
          <w:sz w:val="20"/>
          <w:szCs w:val="20"/>
        </w:rPr>
        <w:t xml:space="preserve"> 2010), while </w:t>
      </w:r>
      <w:r w:rsidR="00416EF6" w:rsidRPr="00F83B19">
        <w:rPr>
          <w:rFonts w:ascii="Arial" w:hAnsi="Arial" w:cs="Arial"/>
          <w:bCs/>
          <w:sz w:val="20"/>
          <w:szCs w:val="20"/>
        </w:rPr>
        <w:t>biological nitrogen fixation</w:t>
      </w:r>
      <w:r w:rsidR="00416EF6" w:rsidRPr="00F83B19">
        <w:rPr>
          <w:rFonts w:ascii="Arial" w:hAnsi="Arial" w:cs="Arial"/>
          <w:sz w:val="20"/>
          <w:szCs w:val="20"/>
        </w:rPr>
        <w:t xml:space="preserve"> contributes another </w:t>
      </w:r>
      <w:r w:rsidR="00416EF6" w:rsidRPr="00F83B19">
        <w:rPr>
          <w:rFonts w:ascii="Arial" w:hAnsi="Arial" w:cs="Arial"/>
          <w:bCs/>
          <w:sz w:val="20"/>
          <w:szCs w:val="20"/>
        </w:rPr>
        <w:t xml:space="preserve">258 </w:t>
      </w:r>
      <w:proofErr w:type="spellStart"/>
      <w:r w:rsidR="00416EF6" w:rsidRPr="00F83B19">
        <w:rPr>
          <w:rFonts w:ascii="Arial" w:hAnsi="Arial" w:cs="Arial"/>
          <w:bCs/>
          <w:sz w:val="20"/>
          <w:szCs w:val="20"/>
        </w:rPr>
        <w:t>Tg</w:t>
      </w:r>
      <w:proofErr w:type="spellEnd"/>
      <w:r w:rsidR="00416EF6" w:rsidRPr="00F83B19">
        <w:rPr>
          <w:rFonts w:ascii="Arial" w:hAnsi="Arial" w:cs="Arial"/>
          <w:sz w:val="20"/>
          <w:szCs w:val="20"/>
        </w:rPr>
        <w:t xml:space="preserve">. </w:t>
      </w:r>
    </w:p>
    <w:p w14:paraId="1C891D8D" w14:textId="77777777" w:rsidR="007162B3" w:rsidRPr="00F83B19" w:rsidRDefault="00304401" w:rsidP="001C0D67">
      <w:pPr>
        <w:spacing w:after="0" w:line="360" w:lineRule="auto"/>
        <w:jc w:val="both"/>
        <w:rPr>
          <w:rFonts w:ascii="Arial" w:hAnsi="Arial" w:cs="Arial"/>
          <w:b/>
          <w:sz w:val="20"/>
          <w:szCs w:val="20"/>
        </w:rPr>
      </w:pPr>
      <w:r w:rsidRPr="00F83B19">
        <w:rPr>
          <w:rFonts w:ascii="Arial" w:hAnsi="Arial" w:cs="Arial"/>
          <w:b/>
          <w:sz w:val="20"/>
          <w:szCs w:val="20"/>
        </w:rPr>
        <w:t xml:space="preserve">Impact of </w:t>
      </w:r>
      <w:r w:rsidR="003469D9" w:rsidRPr="00F83B19">
        <w:rPr>
          <w:rFonts w:ascii="Arial" w:hAnsi="Arial" w:cs="Arial"/>
          <w:b/>
          <w:sz w:val="20"/>
          <w:szCs w:val="20"/>
        </w:rPr>
        <w:t>n</w:t>
      </w:r>
      <w:r w:rsidRPr="00F83B19">
        <w:rPr>
          <w:rFonts w:ascii="Arial" w:hAnsi="Arial" w:cs="Arial"/>
          <w:b/>
          <w:sz w:val="20"/>
          <w:szCs w:val="20"/>
        </w:rPr>
        <w:t xml:space="preserve">itrogen in </w:t>
      </w:r>
      <w:r w:rsidR="003469D9" w:rsidRPr="00F83B19">
        <w:rPr>
          <w:rFonts w:ascii="Arial" w:hAnsi="Arial" w:cs="Arial"/>
          <w:b/>
          <w:sz w:val="20"/>
          <w:szCs w:val="20"/>
        </w:rPr>
        <w:t>p</w:t>
      </w:r>
      <w:r w:rsidR="00863447" w:rsidRPr="00F83B19">
        <w:rPr>
          <w:rFonts w:ascii="Arial" w:hAnsi="Arial" w:cs="Arial"/>
          <w:b/>
          <w:sz w:val="20"/>
          <w:szCs w:val="20"/>
        </w:rPr>
        <w:t xml:space="preserve">lant growth and development </w:t>
      </w:r>
    </w:p>
    <w:p w14:paraId="533F7440" w14:textId="77777777" w:rsidR="005232A1" w:rsidRPr="00F83B19" w:rsidRDefault="005232A1"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Nitrogen (N) is a vital nutrient for crop growth and development, and its deficiency can significantly restrict plant productivity (Fathi </w:t>
      </w:r>
      <w:r w:rsidR="007C2765" w:rsidRPr="00F83B19">
        <w:rPr>
          <w:rFonts w:ascii="Arial" w:hAnsi="Arial" w:cs="Arial"/>
          <w:sz w:val="20"/>
          <w:szCs w:val="20"/>
        </w:rPr>
        <w:t>et al.</w:t>
      </w:r>
      <w:r w:rsidRPr="00F83B19">
        <w:rPr>
          <w:rFonts w:ascii="Arial" w:hAnsi="Arial" w:cs="Arial"/>
          <w:sz w:val="20"/>
          <w:szCs w:val="20"/>
        </w:rPr>
        <w:t xml:space="preserve"> 2013). Plant growth is a multifaceted process influenced by both nutrient </w:t>
      </w:r>
      <w:r w:rsidR="00401C91" w:rsidRPr="00F83B19">
        <w:rPr>
          <w:rFonts w:ascii="Arial" w:hAnsi="Arial" w:cs="Arial"/>
          <w:sz w:val="20"/>
          <w:szCs w:val="20"/>
        </w:rPr>
        <w:t>uptake and water availability and a</w:t>
      </w:r>
      <w:r w:rsidRPr="00F83B19">
        <w:rPr>
          <w:rFonts w:ascii="Arial" w:hAnsi="Arial" w:cs="Arial"/>
          <w:sz w:val="20"/>
          <w:szCs w:val="20"/>
        </w:rPr>
        <w:t>s one of the most heavily utilized nutrients, nitrogen plays a critical role in assimilation and transport to developing plant tiss</w:t>
      </w:r>
      <w:r w:rsidR="007C2765" w:rsidRPr="00F83B19">
        <w:rPr>
          <w:rFonts w:ascii="Arial" w:hAnsi="Arial" w:cs="Arial"/>
          <w:sz w:val="20"/>
          <w:szCs w:val="20"/>
        </w:rPr>
        <w:t>ues (</w:t>
      </w:r>
      <w:proofErr w:type="spellStart"/>
      <w:r w:rsidR="007C2765" w:rsidRPr="00F83B19">
        <w:rPr>
          <w:rFonts w:ascii="Arial" w:hAnsi="Arial" w:cs="Arial"/>
          <w:sz w:val="20"/>
          <w:szCs w:val="20"/>
        </w:rPr>
        <w:t>Fathi</w:t>
      </w:r>
      <w:proofErr w:type="spellEnd"/>
      <w:r w:rsidR="007C2765" w:rsidRPr="00F83B19">
        <w:rPr>
          <w:rFonts w:ascii="Arial" w:hAnsi="Arial" w:cs="Arial"/>
          <w:sz w:val="20"/>
          <w:szCs w:val="20"/>
        </w:rPr>
        <w:t xml:space="preserve"> &amp; </w:t>
      </w:r>
      <w:proofErr w:type="spellStart"/>
      <w:r w:rsidR="007C2765" w:rsidRPr="00F83B19">
        <w:rPr>
          <w:rFonts w:ascii="Arial" w:hAnsi="Arial" w:cs="Arial"/>
          <w:sz w:val="20"/>
          <w:szCs w:val="20"/>
        </w:rPr>
        <w:t>Zeidali</w:t>
      </w:r>
      <w:proofErr w:type="spellEnd"/>
      <w:r w:rsidRPr="00F83B19">
        <w:rPr>
          <w:rFonts w:ascii="Arial" w:hAnsi="Arial" w:cs="Arial"/>
          <w:sz w:val="20"/>
          <w:szCs w:val="20"/>
        </w:rPr>
        <w:t xml:space="preserve"> 2021) and the availability of nitrogen generally enhances plant growth and productivity by facilitating water absorption. Furthermore, high levels of soil nitrogen stimulate the formation of new leaves from both the terminal meristem and the lateral buds of older leaves, which ultimately leads to increased yield of </w:t>
      </w:r>
      <w:r w:rsidR="007C2765" w:rsidRPr="00F83B19">
        <w:rPr>
          <w:rFonts w:ascii="Arial" w:hAnsi="Arial" w:cs="Arial"/>
          <w:sz w:val="20"/>
          <w:szCs w:val="20"/>
        </w:rPr>
        <w:t>above-ground plant parts (Fathi</w:t>
      </w:r>
      <w:r w:rsidRPr="00F83B19">
        <w:rPr>
          <w:rFonts w:ascii="Arial" w:hAnsi="Arial" w:cs="Arial"/>
          <w:sz w:val="20"/>
          <w:szCs w:val="20"/>
        </w:rPr>
        <w:t xml:space="preserve"> 2020). Nitrogen (N) being a key element in essential organic compounds like amino acids, proteins, and nucleic acids, with the deficiency of nitrogen, it can delay both vegetative and reproductive develo</w:t>
      </w:r>
      <w:r w:rsidR="007C2765" w:rsidRPr="00F83B19">
        <w:rPr>
          <w:rFonts w:ascii="Arial" w:hAnsi="Arial" w:cs="Arial"/>
          <w:sz w:val="20"/>
          <w:szCs w:val="20"/>
        </w:rPr>
        <w:t>pmental stages (</w:t>
      </w:r>
      <w:proofErr w:type="spellStart"/>
      <w:r w:rsidR="007C2765" w:rsidRPr="00F83B19">
        <w:rPr>
          <w:rFonts w:ascii="Arial" w:hAnsi="Arial" w:cs="Arial"/>
          <w:sz w:val="20"/>
          <w:szCs w:val="20"/>
        </w:rPr>
        <w:t>Fathi</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Zeidali</w:t>
      </w:r>
      <w:proofErr w:type="spellEnd"/>
      <w:r w:rsidRPr="00F83B19">
        <w:rPr>
          <w:rFonts w:ascii="Arial" w:hAnsi="Arial" w:cs="Arial"/>
          <w:sz w:val="20"/>
          <w:szCs w:val="20"/>
        </w:rPr>
        <w:t xml:space="preserve"> 2021). Proper application of nitrogen fertilizer can greatly enhance biomass production, as achieving high biomass typically depends on</w:t>
      </w:r>
      <w:r w:rsidR="00D36E02" w:rsidRPr="00F83B19">
        <w:rPr>
          <w:rFonts w:ascii="Arial" w:hAnsi="Arial" w:cs="Arial"/>
          <w:sz w:val="20"/>
          <w:szCs w:val="20"/>
        </w:rPr>
        <w:t xml:space="preserve"> adequate nitrogen availability.</w:t>
      </w:r>
      <w:r w:rsidRPr="00F83B19">
        <w:rPr>
          <w:rFonts w:ascii="Arial" w:hAnsi="Arial" w:cs="Arial"/>
          <w:sz w:val="20"/>
          <w:szCs w:val="20"/>
        </w:rPr>
        <w:t xml:space="preserve"> Additionally, nitrogen contributes to the longevity of leaf surfaces; as leaf durability improves, both the duration and efficiency of photosynthesis increase, leading to greater dry matter accumulation</w:t>
      </w:r>
      <w:r w:rsidR="007C2765" w:rsidRPr="00F83B19">
        <w:rPr>
          <w:rFonts w:ascii="Arial" w:hAnsi="Arial" w:cs="Arial"/>
          <w:sz w:val="20"/>
          <w:szCs w:val="20"/>
        </w:rPr>
        <w:t xml:space="preserve"> in the plant (Zebarth &amp; Sheard</w:t>
      </w:r>
      <w:r w:rsidRPr="00F83B19">
        <w:rPr>
          <w:rFonts w:ascii="Arial" w:hAnsi="Arial" w:cs="Arial"/>
          <w:sz w:val="20"/>
          <w:szCs w:val="20"/>
        </w:rPr>
        <w:t xml:space="preserve"> 1992).</w:t>
      </w:r>
    </w:p>
    <w:p w14:paraId="445BA6C6" w14:textId="77777777" w:rsidR="007162B3" w:rsidRPr="00F83B19" w:rsidRDefault="00304401" w:rsidP="001C0D67">
      <w:pPr>
        <w:spacing w:after="0" w:line="360" w:lineRule="auto"/>
        <w:jc w:val="both"/>
        <w:rPr>
          <w:rFonts w:ascii="Arial" w:hAnsi="Arial" w:cs="Arial"/>
          <w:b/>
          <w:sz w:val="20"/>
          <w:szCs w:val="20"/>
        </w:rPr>
      </w:pPr>
      <w:r w:rsidRPr="00F83B19">
        <w:rPr>
          <w:rFonts w:ascii="Arial" w:hAnsi="Arial" w:cs="Arial"/>
          <w:b/>
          <w:sz w:val="20"/>
          <w:szCs w:val="20"/>
        </w:rPr>
        <w:t xml:space="preserve">Impact </w:t>
      </w:r>
      <w:r w:rsidR="003469D9" w:rsidRPr="00F83B19">
        <w:rPr>
          <w:rFonts w:ascii="Arial" w:hAnsi="Arial" w:cs="Arial"/>
          <w:b/>
          <w:sz w:val="20"/>
          <w:szCs w:val="20"/>
        </w:rPr>
        <w:t>of nitro</w:t>
      </w:r>
      <w:r w:rsidRPr="00F83B19">
        <w:rPr>
          <w:rFonts w:ascii="Arial" w:hAnsi="Arial" w:cs="Arial"/>
          <w:b/>
          <w:sz w:val="20"/>
          <w:szCs w:val="20"/>
        </w:rPr>
        <w:t xml:space="preserve">gen in </w:t>
      </w:r>
      <w:r w:rsidR="003469D9" w:rsidRPr="00F83B19">
        <w:rPr>
          <w:rFonts w:ascii="Arial" w:hAnsi="Arial" w:cs="Arial"/>
          <w:b/>
          <w:sz w:val="20"/>
          <w:szCs w:val="20"/>
        </w:rPr>
        <w:t>y</w:t>
      </w:r>
      <w:r w:rsidR="007162B3" w:rsidRPr="00F83B19">
        <w:rPr>
          <w:rFonts w:ascii="Arial" w:hAnsi="Arial" w:cs="Arial"/>
          <w:b/>
          <w:sz w:val="20"/>
          <w:szCs w:val="20"/>
        </w:rPr>
        <w:t xml:space="preserve">ield </w:t>
      </w:r>
    </w:p>
    <w:p w14:paraId="0B19C683" w14:textId="77777777" w:rsidR="00E50331" w:rsidRPr="00F83B19" w:rsidRDefault="00E50331" w:rsidP="007C2765">
      <w:pPr>
        <w:spacing w:after="0" w:line="360" w:lineRule="auto"/>
        <w:ind w:firstLine="720"/>
        <w:jc w:val="both"/>
        <w:rPr>
          <w:rFonts w:ascii="Arial" w:hAnsi="Arial" w:cs="Arial"/>
          <w:sz w:val="20"/>
          <w:szCs w:val="20"/>
        </w:rPr>
      </w:pPr>
      <w:r w:rsidRPr="00F83B19">
        <w:rPr>
          <w:rFonts w:ascii="Arial" w:hAnsi="Arial" w:cs="Arial"/>
          <w:sz w:val="20"/>
          <w:szCs w:val="20"/>
        </w:rPr>
        <w:t xml:space="preserve">Proper management of nitrogen (N) intake is essential for maximizing plant productivity, as N plays a critical role in plant development (Taheri </w:t>
      </w:r>
      <w:r w:rsidR="007C2765" w:rsidRPr="00F83B19">
        <w:rPr>
          <w:rFonts w:ascii="Arial" w:hAnsi="Arial" w:cs="Arial"/>
          <w:sz w:val="20"/>
          <w:szCs w:val="20"/>
        </w:rPr>
        <w:t>et al.</w:t>
      </w:r>
      <w:r w:rsidRPr="00F83B19">
        <w:rPr>
          <w:rFonts w:ascii="Arial" w:hAnsi="Arial" w:cs="Arial"/>
          <w:sz w:val="20"/>
          <w:szCs w:val="20"/>
        </w:rPr>
        <w:t xml:space="preserve"> 2021). Inadequate nitrogen reduces leaf size, which in turn limits light absorption and photosynthetic efficiency, ultimately lowering biological yield; the opposite is true when sufficient N is available (Nasim </w:t>
      </w:r>
      <w:r w:rsidR="007C2765" w:rsidRPr="00F83B19">
        <w:rPr>
          <w:rFonts w:ascii="Arial" w:hAnsi="Arial" w:cs="Arial"/>
          <w:sz w:val="20"/>
          <w:szCs w:val="20"/>
        </w:rPr>
        <w:t>et al.</w:t>
      </w:r>
      <w:r w:rsidRPr="00F83B19">
        <w:rPr>
          <w:rFonts w:ascii="Arial" w:hAnsi="Arial" w:cs="Arial"/>
          <w:sz w:val="20"/>
          <w:szCs w:val="20"/>
        </w:rPr>
        <w:t xml:space="preserve"> 2012). Therefore, nitrogen application should align with the actual needs of the plant at the same time over application can lead to increased nitrogen loss through leaching and reduced nitrogen use efficiency, especially when plants are unable to absorb the excess (Ghobadi </w:t>
      </w:r>
      <w:r w:rsidR="007C2765" w:rsidRPr="00F83B19">
        <w:rPr>
          <w:rFonts w:ascii="Arial" w:hAnsi="Arial" w:cs="Arial"/>
          <w:sz w:val="20"/>
          <w:szCs w:val="20"/>
        </w:rPr>
        <w:t>et al.</w:t>
      </w:r>
      <w:r w:rsidRPr="00F83B19">
        <w:rPr>
          <w:rFonts w:ascii="Arial" w:hAnsi="Arial" w:cs="Arial"/>
          <w:sz w:val="20"/>
          <w:szCs w:val="20"/>
        </w:rPr>
        <w:t xml:space="preserve"> 2018).</w:t>
      </w:r>
    </w:p>
    <w:p w14:paraId="76E13520" w14:textId="77777777" w:rsidR="007C2765" w:rsidRPr="00F83B19" w:rsidRDefault="00E50331" w:rsidP="0035433C">
      <w:pPr>
        <w:spacing w:after="0" w:line="360" w:lineRule="auto"/>
        <w:ind w:firstLine="720"/>
        <w:jc w:val="both"/>
        <w:rPr>
          <w:rFonts w:ascii="Arial" w:hAnsi="Arial" w:cs="Arial"/>
          <w:sz w:val="20"/>
          <w:szCs w:val="20"/>
        </w:rPr>
      </w:pPr>
      <w:r w:rsidRPr="00F83B19">
        <w:rPr>
          <w:rFonts w:ascii="Arial" w:hAnsi="Arial" w:cs="Arial"/>
          <w:sz w:val="20"/>
          <w:szCs w:val="20"/>
        </w:rPr>
        <w:t>Effective nitrogen (N) management involves supplying the plant with the optimal amount it requires for efficient uptake and use. Nitrogen positively influences grain yield by enhancing various morphological characteristics, and maximum yield is often achieved when N is applied at different growth stages throughout the plant’s development (</w:t>
      </w:r>
      <w:proofErr w:type="spellStart"/>
      <w:r w:rsidRPr="00F83B19">
        <w:rPr>
          <w:rFonts w:ascii="Arial" w:hAnsi="Arial" w:cs="Arial"/>
          <w:sz w:val="20"/>
          <w:szCs w:val="20"/>
        </w:rPr>
        <w:t>Fageria</w:t>
      </w:r>
      <w:proofErr w:type="spellEnd"/>
      <w:r w:rsidRPr="00F83B19">
        <w:rPr>
          <w:rFonts w:ascii="Arial" w:hAnsi="Arial" w:cs="Arial"/>
          <w:sz w:val="20"/>
          <w:szCs w:val="20"/>
        </w:rPr>
        <w:t xml:space="preserve"> </w:t>
      </w:r>
      <w:r w:rsidR="007C2765" w:rsidRPr="00F83B19">
        <w:rPr>
          <w:rFonts w:ascii="Arial" w:hAnsi="Arial" w:cs="Arial"/>
          <w:sz w:val="20"/>
          <w:szCs w:val="20"/>
        </w:rPr>
        <w:t>et al.</w:t>
      </w:r>
      <w:r w:rsidRPr="00F83B19">
        <w:rPr>
          <w:rFonts w:ascii="Arial" w:hAnsi="Arial" w:cs="Arial"/>
          <w:sz w:val="20"/>
          <w:szCs w:val="20"/>
        </w:rPr>
        <w:t xml:space="preserve"> 2013). However, many farmers tend to apply more N fertilizer than recommended, under the assumption that more nitrogen will always result in higher yields. This practice can negatively impact the sustainability of agricultural systems </w:t>
      </w:r>
      <w:r w:rsidRPr="00F83B19">
        <w:rPr>
          <w:rFonts w:ascii="Arial" w:hAnsi="Arial" w:cs="Arial"/>
          <w:sz w:val="20"/>
          <w:szCs w:val="20"/>
        </w:rPr>
        <w:lastRenderedPageBreak/>
        <w:t>and increase production costs (</w:t>
      </w:r>
      <w:proofErr w:type="spellStart"/>
      <w:r w:rsidRPr="00F83B19">
        <w:rPr>
          <w:rFonts w:ascii="Arial" w:hAnsi="Arial" w:cs="Arial"/>
          <w:sz w:val="20"/>
          <w:szCs w:val="20"/>
        </w:rPr>
        <w:t>Djaman</w:t>
      </w:r>
      <w:proofErr w:type="spellEnd"/>
      <w:r w:rsidRPr="00F83B19">
        <w:rPr>
          <w:rFonts w:ascii="Arial" w:hAnsi="Arial" w:cs="Arial"/>
          <w:sz w:val="20"/>
          <w:szCs w:val="20"/>
        </w:rPr>
        <w:t xml:space="preserve"> </w:t>
      </w:r>
      <w:r w:rsidR="007C2765" w:rsidRPr="00F83B19">
        <w:rPr>
          <w:rFonts w:ascii="Arial" w:hAnsi="Arial" w:cs="Arial"/>
          <w:sz w:val="20"/>
          <w:szCs w:val="20"/>
        </w:rPr>
        <w:t>et al.</w:t>
      </w:r>
      <w:r w:rsidRPr="00F83B19">
        <w:rPr>
          <w:rFonts w:ascii="Arial" w:hAnsi="Arial" w:cs="Arial"/>
          <w:sz w:val="20"/>
          <w:szCs w:val="20"/>
        </w:rPr>
        <w:t xml:space="preserve"> 2018). While the ideal nitrogen level for biomass and yield is the amount that promotes the highest growth rate and productivity, in practice, factors such as product quality and safety—especially nitrate levels in the final crop—often guide decisions on appropriate nitrogen use (Goodarzi </w:t>
      </w:r>
      <w:r w:rsidR="007C2765" w:rsidRPr="00F83B19">
        <w:rPr>
          <w:rFonts w:ascii="Arial" w:hAnsi="Arial" w:cs="Arial"/>
          <w:sz w:val="20"/>
          <w:szCs w:val="20"/>
        </w:rPr>
        <w:t>et al.</w:t>
      </w:r>
      <w:r w:rsidRPr="00F83B19">
        <w:rPr>
          <w:rFonts w:ascii="Arial" w:hAnsi="Arial" w:cs="Arial"/>
          <w:sz w:val="20"/>
          <w:szCs w:val="20"/>
        </w:rPr>
        <w:t xml:space="preserve"> 2020).</w:t>
      </w:r>
    </w:p>
    <w:p w14:paraId="38C00CE7" w14:textId="77777777" w:rsidR="00304401" w:rsidRPr="00F83B19" w:rsidRDefault="00304401" w:rsidP="00304401">
      <w:pPr>
        <w:spacing w:after="0" w:line="360" w:lineRule="auto"/>
        <w:jc w:val="both"/>
        <w:rPr>
          <w:rFonts w:ascii="Arial" w:hAnsi="Arial" w:cs="Arial"/>
          <w:b/>
          <w:sz w:val="20"/>
          <w:szCs w:val="20"/>
        </w:rPr>
      </w:pPr>
      <w:r w:rsidRPr="00F83B19">
        <w:rPr>
          <w:rFonts w:ascii="Arial" w:hAnsi="Arial" w:cs="Arial"/>
          <w:b/>
          <w:sz w:val="20"/>
          <w:szCs w:val="20"/>
        </w:rPr>
        <w:t xml:space="preserve">Impact of </w:t>
      </w:r>
      <w:r w:rsidR="003469D9" w:rsidRPr="00F83B19">
        <w:rPr>
          <w:rFonts w:ascii="Arial" w:hAnsi="Arial" w:cs="Arial"/>
          <w:b/>
          <w:sz w:val="20"/>
          <w:szCs w:val="20"/>
        </w:rPr>
        <w:t>n</w:t>
      </w:r>
      <w:r w:rsidRPr="00F83B19">
        <w:rPr>
          <w:rFonts w:ascii="Arial" w:hAnsi="Arial" w:cs="Arial"/>
          <w:b/>
          <w:sz w:val="20"/>
          <w:szCs w:val="20"/>
        </w:rPr>
        <w:t>itrogen in NUE</w:t>
      </w:r>
    </w:p>
    <w:p w14:paraId="3ABBD28F" w14:textId="77777777" w:rsidR="00AB7E4E" w:rsidRPr="00F83B19" w:rsidRDefault="00044845" w:rsidP="00045EE0">
      <w:pPr>
        <w:spacing w:after="0" w:line="360" w:lineRule="auto"/>
        <w:ind w:firstLine="720"/>
        <w:jc w:val="both"/>
        <w:rPr>
          <w:rFonts w:ascii="Arial" w:hAnsi="Arial" w:cs="Arial"/>
          <w:sz w:val="20"/>
          <w:szCs w:val="20"/>
        </w:rPr>
      </w:pPr>
      <w:r w:rsidRPr="00F83B19">
        <w:rPr>
          <w:rFonts w:ascii="Arial" w:hAnsi="Arial" w:cs="Arial"/>
          <w:sz w:val="20"/>
          <w:szCs w:val="20"/>
        </w:rPr>
        <w:t xml:space="preserve">Resource use efficiency is crucial for plant growth and adaptation to changing environmental conditions. However, improving the efficiency of one resource can sometimes reduce the efficiency of another—for instance, there is often a trade-off between nitrogen use efficiency and light </w:t>
      </w:r>
      <w:r w:rsidR="007C2765" w:rsidRPr="00F83B19">
        <w:rPr>
          <w:rFonts w:ascii="Arial" w:hAnsi="Arial" w:cs="Arial"/>
          <w:sz w:val="20"/>
          <w:szCs w:val="20"/>
        </w:rPr>
        <w:t>use efficiency (Hirose &amp; Bazzaz</w:t>
      </w:r>
      <w:r w:rsidRPr="00F83B19">
        <w:rPr>
          <w:rFonts w:ascii="Arial" w:hAnsi="Arial" w:cs="Arial"/>
          <w:sz w:val="20"/>
          <w:szCs w:val="20"/>
        </w:rPr>
        <w:t xml:space="preserve"> 1998). As an example, Field et al. (1983) suggested a relationship between water and nitrogen use efficiency, noting that increased stomatal conductance raises internal CO</w:t>
      </w:r>
      <w:r w:rsidRPr="00F83B19">
        <w:rPr>
          <w:rFonts w:ascii="Cambria Math" w:hAnsi="Cambria Math" w:cs="Cambria Math"/>
          <w:sz w:val="20"/>
          <w:szCs w:val="20"/>
        </w:rPr>
        <w:t>₂</w:t>
      </w:r>
      <w:r w:rsidRPr="00F83B19">
        <w:rPr>
          <w:rFonts w:ascii="Arial" w:hAnsi="Arial" w:cs="Arial"/>
          <w:sz w:val="20"/>
          <w:szCs w:val="20"/>
        </w:rPr>
        <w:t xml:space="preserve"> levels and while this can enhance nitrogen uptake, it may also reduce the overall efficiency of nitrogen utilization.</w:t>
      </w:r>
    </w:p>
    <w:p w14:paraId="52898D38" w14:textId="77777777" w:rsidR="00373335" w:rsidRPr="00F83B19" w:rsidRDefault="00304401" w:rsidP="001C0D67">
      <w:pPr>
        <w:spacing w:after="0" w:line="360" w:lineRule="auto"/>
        <w:jc w:val="both"/>
        <w:rPr>
          <w:rFonts w:ascii="Arial" w:hAnsi="Arial" w:cs="Arial"/>
        </w:rPr>
      </w:pPr>
      <w:r w:rsidRPr="00F83B19">
        <w:rPr>
          <w:rFonts w:ascii="Arial" w:hAnsi="Arial" w:cs="Arial"/>
          <w:b/>
          <w:bCs/>
        </w:rPr>
        <w:t>NANO UREA: A TECHNOLOGICAL OVERVIEW</w:t>
      </w:r>
      <w:r w:rsidRPr="00F83B19">
        <w:rPr>
          <w:rFonts w:ascii="Arial" w:hAnsi="Arial" w:cs="Arial"/>
        </w:rPr>
        <w:t xml:space="preserve"> </w:t>
      </w:r>
    </w:p>
    <w:p w14:paraId="01FB6BF3" w14:textId="77777777" w:rsidR="00373335" w:rsidRPr="00F83B19" w:rsidRDefault="00C66C51" w:rsidP="00045EE0">
      <w:pPr>
        <w:spacing w:after="0" w:line="360" w:lineRule="auto"/>
        <w:ind w:firstLine="720"/>
        <w:jc w:val="both"/>
        <w:rPr>
          <w:rFonts w:ascii="Arial" w:hAnsi="Arial" w:cs="Arial"/>
          <w:sz w:val="20"/>
          <w:szCs w:val="20"/>
        </w:rPr>
      </w:pPr>
      <w:r w:rsidRPr="00F83B19">
        <w:rPr>
          <w:rFonts w:ascii="Arial" w:hAnsi="Arial" w:cs="Arial"/>
          <w:sz w:val="20"/>
          <w:szCs w:val="20"/>
        </w:rPr>
        <w:t xml:space="preserve">Agricultural nutrient balances vary significantly with levels of economic development, highlighting the importance of improving soil fertility, particularly in developing nations (Campbell </w:t>
      </w:r>
      <w:r w:rsidR="007C2765" w:rsidRPr="00F83B19">
        <w:rPr>
          <w:rFonts w:ascii="Arial" w:hAnsi="Arial" w:cs="Arial"/>
          <w:sz w:val="20"/>
          <w:szCs w:val="20"/>
        </w:rPr>
        <w:t>et al.</w:t>
      </w:r>
      <w:r w:rsidRPr="00F83B19">
        <w:rPr>
          <w:rFonts w:ascii="Arial" w:hAnsi="Arial" w:cs="Arial"/>
          <w:sz w:val="20"/>
          <w:szCs w:val="20"/>
        </w:rPr>
        <w:t xml:space="preserve"> 2014) and in recent times, food and nutritional security have become deeply integrated with emerging knowledge systems. Agricultural progress is also closely linked to factors such as social inclusion, public health, climate change, energy, ecosystem functions, natural resources, and effective governance—all of which should be addressed through clearly defined, goal-oriented strategies and as a result, sustainable agriculture offers a practical pathway to alleviate poverty and hunger. As agriculture moves toward recovery, enhancing environmental performance and involving food chain ecosystems in the agricultural production process are increasingly essential (Thornhill </w:t>
      </w:r>
      <w:r w:rsidR="007C2765" w:rsidRPr="00F83B19">
        <w:rPr>
          <w:rFonts w:ascii="Arial" w:hAnsi="Arial" w:cs="Arial"/>
          <w:sz w:val="20"/>
          <w:szCs w:val="20"/>
        </w:rPr>
        <w:t>et al.</w:t>
      </w:r>
      <w:r w:rsidRPr="00F83B19">
        <w:rPr>
          <w:rFonts w:ascii="Arial" w:hAnsi="Arial" w:cs="Arial"/>
          <w:sz w:val="20"/>
          <w:szCs w:val="20"/>
        </w:rPr>
        <w:t xml:space="preserve"> 2016).</w:t>
      </w:r>
    </w:p>
    <w:p w14:paraId="2568EB26" w14:textId="77777777" w:rsidR="00C66C51" w:rsidRPr="00F83B19" w:rsidRDefault="00C66C51" w:rsidP="00C66C51">
      <w:pPr>
        <w:spacing w:after="0" w:line="360" w:lineRule="auto"/>
        <w:ind w:firstLine="720"/>
        <w:jc w:val="both"/>
        <w:rPr>
          <w:rFonts w:ascii="Arial" w:hAnsi="Arial" w:cs="Arial"/>
          <w:sz w:val="20"/>
          <w:szCs w:val="20"/>
        </w:rPr>
      </w:pPr>
      <w:r w:rsidRPr="00F83B19">
        <w:rPr>
          <w:rFonts w:ascii="Arial" w:hAnsi="Arial" w:cs="Arial"/>
          <w:sz w:val="20"/>
          <w:szCs w:val="20"/>
        </w:rPr>
        <w:t xml:space="preserve">The use of renewable materials in manufacturing processes is advantageous, as it results in minimal environmental impact (Prasad </w:t>
      </w:r>
      <w:r w:rsidR="007C2765" w:rsidRPr="00F83B19">
        <w:rPr>
          <w:rFonts w:ascii="Arial" w:hAnsi="Arial" w:cs="Arial"/>
          <w:sz w:val="20"/>
          <w:szCs w:val="20"/>
        </w:rPr>
        <w:t>et al.</w:t>
      </w:r>
      <w:r w:rsidRPr="00F83B19">
        <w:rPr>
          <w:rFonts w:ascii="Arial" w:hAnsi="Arial" w:cs="Arial"/>
          <w:sz w:val="20"/>
          <w:szCs w:val="20"/>
        </w:rPr>
        <w:t xml:space="preserve"> 2016). Nano-materials are considered environmentally sustainable, and considerable progress has been made in the area of green nanotechnology and in recent years, there has been a rapid shift toward adopting green nanotechnology for various applications. However, the path to achieving long-term environmental sustainability through green nanotechnology remains uncertain and therefore, it is essential to address and mitigate the potential risks associated with its a</w:t>
      </w:r>
      <w:r w:rsidR="007C2765" w:rsidRPr="00F83B19">
        <w:rPr>
          <w:rFonts w:ascii="Arial" w:hAnsi="Arial" w:cs="Arial"/>
          <w:sz w:val="20"/>
          <w:szCs w:val="20"/>
        </w:rPr>
        <w:t>dvancement (Kandasamy and Prema</w:t>
      </w:r>
      <w:r w:rsidRPr="00F83B19">
        <w:rPr>
          <w:rFonts w:ascii="Arial" w:hAnsi="Arial" w:cs="Arial"/>
          <w:sz w:val="20"/>
          <w:szCs w:val="20"/>
        </w:rPr>
        <w:t xml:space="preserve"> 2015).</w:t>
      </w:r>
    </w:p>
    <w:p w14:paraId="4511C82E" w14:textId="77777777" w:rsidR="00E7453C" w:rsidRPr="00F83B19" w:rsidRDefault="00FD6353"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A key benefit of using nanoparticles for nutrient delivery is their ability to lessen environmental impact. Traditional fertilizers frequently lead to nutrient runoff, which can cause water pollution and eutrophication in aquatic ecosystems. In contrast, nanoparticles provide a slow and controlled nutrient release, significantly reducing the chances of leaching and runoff (Pandorf </w:t>
      </w:r>
      <w:r w:rsidR="007C2765" w:rsidRPr="00F83B19">
        <w:rPr>
          <w:rFonts w:ascii="Arial" w:hAnsi="Arial" w:cs="Arial"/>
          <w:sz w:val="20"/>
          <w:szCs w:val="20"/>
        </w:rPr>
        <w:t>et al.</w:t>
      </w:r>
      <w:r w:rsidRPr="00F83B19">
        <w:rPr>
          <w:rFonts w:ascii="Arial" w:hAnsi="Arial" w:cs="Arial"/>
          <w:sz w:val="20"/>
          <w:szCs w:val="20"/>
        </w:rPr>
        <w:t xml:space="preserve"> 2020). This approach not only helps safeguard water quality but also decreases the reliance on excessive fertilizer use, thereby reducing overall production costs.</w:t>
      </w:r>
    </w:p>
    <w:p w14:paraId="5639601B" w14:textId="77777777" w:rsidR="003469D9" w:rsidRPr="00F83B19" w:rsidRDefault="00FD6353" w:rsidP="007C2765">
      <w:pPr>
        <w:spacing w:after="0" w:line="360" w:lineRule="auto"/>
        <w:ind w:firstLine="720"/>
        <w:jc w:val="both"/>
        <w:rPr>
          <w:rFonts w:ascii="Arial" w:hAnsi="Arial" w:cs="Arial"/>
          <w:sz w:val="20"/>
          <w:szCs w:val="20"/>
        </w:rPr>
      </w:pPr>
      <w:r w:rsidRPr="00F83B19">
        <w:rPr>
          <w:rFonts w:ascii="Arial" w:hAnsi="Arial" w:cs="Arial"/>
          <w:sz w:val="20"/>
          <w:szCs w:val="20"/>
        </w:rPr>
        <w:t>Nanotechnology plays a vital role in enhancing agricultural productivity by enabling precise nu</w:t>
      </w:r>
      <w:r w:rsidR="007C2765" w:rsidRPr="00F83B19">
        <w:rPr>
          <w:rFonts w:ascii="Arial" w:hAnsi="Arial" w:cs="Arial"/>
          <w:sz w:val="20"/>
          <w:szCs w:val="20"/>
        </w:rPr>
        <w:t>trient management (Mukhopadhyay</w:t>
      </w:r>
      <w:r w:rsidRPr="00F83B19">
        <w:rPr>
          <w:rFonts w:ascii="Arial" w:hAnsi="Arial" w:cs="Arial"/>
          <w:sz w:val="20"/>
          <w:szCs w:val="20"/>
        </w:rPr>
        <w:t xml:space="preserve"> 2014). Additionally, it contributes to monitoring water quality and pesticide levels, supporting the sustainable development of agriculture. Due to the diverse properties and functions of nano</w:t>
      </w:r>
      <w:r w:rsidR="007C2765" w:rsidRPr="00F83B19">
        <w:rPr>
          <w:rFonts w:ascii="Arial" w:hAnsi="Arial" w:cs="Arial"/>
          <w:sz w:val="20"/>
          <w:szCs w:val="20"/>
        </w:rPr>
        <w:t>-</w:t>
      </w:r>
      <w:r w:rsidRPr="00F83B19">
        <w:rPr>
          <w:rFonts w:ascii="Arial" w:hAnsi="Arial" w:cs="Arial"/>
          <w:sz w:val="20"/>
          <w:szCs w:val="20"/>
        </w:rPr>
        <w:t xml:space="preserve">materials, providing a universal evaluation of their health and environmental risks remains challenging (Prasad </w:t>
      </w:r>
      <w:r w:rsidR="007C2765" w:rsidRPr="00F83B19">
        <w:rPr>
          <w:rFonts w:ascii="Arial" w:hAnsi="Arial" w:cs="Arial"/>
          <w:sz w:val="20"/>
          <w:szCs w:val="20"/>
        </w:rPr>
        <w:t>et al.</w:t>
      </w:r>
      <w:r w:rsidRPr="00F83B19">
        <w:rPr>
          <w:rFonts w:ascii="Arial" w:hAnsi="Arial" w:cs="Arial"/>
          <w:sz w:val="20"/>
          <w:szCs w:val="20"/>
        </w:rPr>
        <w:t xml:space="preserve"> 2014). Although nano-fertilizers have become increasingly available in recent years, most conventional agricultural fertilizers are still not produced </w:t>
      </w:r>
      <w:r w:rsidRPr="00F83B19">
        <w:rPr>
          <w:rFonts w:ascii="Arial" w:hAnsi="Arial" w:cs="Arial"/>
          <w:sz w:val="20"/>
          <w:szCs w:val="20"/>
        </w:rPr>
        <w:lastRenderedPageBreak/>
        <w:t xml:space="preserve">by major chemical manufacturers </w:t>
      </w:r>
      <w:r w:rsidR="00E351E7" w:rsidRPr="00F83B19">
        <w:rPr>
          <w:rFonts w:ascii="Arial" w:hAnsi="Arial" w:cs="Arial"/>
          <w:sz w:val="20"/>
          <w:szCs w:val="20"/>
        </w:rPr>
        <w:t>(Prasad et al</w:t>
      </w:r>
      <w:r w:rsidR="007C2765" w:rsidRPr="00F83B19">
        <w:rPr>
          <w:rFonts w:ascii="Arial" w:hAnsi="Arial" w:cs="Arial"/>
          <w:sz w:val="20"/>
          <w:szCs w:val="20"/>
        </w:rPr>
        <w:t xml:space="preserve">. </w:t>
      </w:r>
      <w:r w:rsidR="00E351E7" w:rsidRPr="00F83B19">
        <w:rPr>
          <w:rFonts w:ascii="Arial" w:hAnsi="Arial" w:cs="Arial"/>
          <w:sz w:val="20"/>
          <w:szCs w:val="20"/>
        </w:rPr>
        <w:t xml:space="preserve">2017) </w:t>
      </w:r>
      <w:r w:rsidRPr="00F83B19">
        <w:rPr>
          <w:rFonts w:ascii="Arial" w:hAnsi="Arial" w:cs="Arial"/>
          <w:sz w:val="20"/>
          <w:szCs w:val="20"/>
        </w:rPr>
        <w:t xml:space="preserve">(Table 1). These nano-fertilizers may include components such as nano zinc, silica, iron, titanium dioxide, </w:t>
      </w:r>
      <w:proofErr w:type="spellStart"/>
      <w:r w:rsidRPr="00F83B19">
        <w:rPr>
          <w:rFonts w:ascii="Arial" w:hAnsi="Arial" w:cs="Arial"/>
          <w:sz w:val="20"/>
          <w:szCs w:val="20"/>
        </w:rPr>
        <w:t>ZnCdSe</w:t>
      </w:r>
      <w:proofErr w:type="spellEnd"/>
      <w:r w:rsidRPr="00F83B19">
        <w:rPr>
          <w:rFonts w:ascii="Arial" w:hAnsi="Arial" w:cs="Arial"/>
          <w:sz w:val="20"/>
          <w:szCs w:val="20"/>
        </w:rPr>
        <w:t xml:space="preserve">/ZnS core-shell quantum dots (QDs), </w:t>
      </w:r>
      <w:proofErr w:type="spellStart"/>
      <w:r w:rsidRPr="00F83B19">
        <w:rPr>
          <w:rFonts w:ascii="Arial" w:hAnsi="Arial" w:cs="Arial"/>
          <w:sz w:val="20"/>
          <w:szCs w:val="20"/>
        </w:rPr>
        <w:t>InP</w:t>
      </w:r>
      <w:proofErr w:type="spellEnd"/>
      <w:r w:rsidRPr="00F83B19">
        <w:rPr>
          <w:rFonts w:ascii="Arial" w:hAnsi="Arial" w:cs="Arial"/>
          <w:sz w:val="20"/>
          <w:szCs w:val="20"/>
        </w:rPr>
        <w:t>/ZnS core-shell QDs, Mn/</w:t>
      </w:r>
      <w:proofErr w:type="spellStart"/>
      <w:r w:rsidRPr="00F83B19">
        <w:rPr>
          <w:rFonts w:ascii="Arial" w:hAnsi="Arial" w:cs="Arial"/>
          <w:sz w:val="20"/>
          <w:szCs w:val="20"/>
        </w:rPr>
        <w:t>ZnSe</w:t>
      </w:r>
      <w:proofErr w:type="spellEnd"/>
      <w:r w:rsidRPr="00F83B19">
        <w:rPr>
          <w:rFonts w:ascii="Arial" w:hAnsi="Arial" w:cs="Arial"/>
          <w:sz w:val="20"/>
          <w:szCs w:val="20"/>
        </w:rPr>
        <w:t xml:space="preserve"> QDs, gold nanorods, and other core-shell QDs. They are designed to enhance controlled nutrient release and improve overall fertilizer quality. Extensive research has been conducted over the past decade on the uptake, biological behaviour, and toxicity of various metal oxide nanoparticles—such as </w:t>
      </w:r>
      <w:proofErr w:type="spellStart"/>
      <w:r w:rsidRPr="00F83B19">
        <w:rPr>
          <w:rFonts w:ascii="Arial" w:hAnsi="Arial" w:cs="Arial"/>
          <w:sz w:val="20"/>
          <w:szCs w:val="20"/>
        </w:rPr>
        <w:t>Al</w:t>
      </w:r>
      <w:r w:rsidRPr="00F83B19">
        <w:rPr>
          <w:rFonts w:ascii="Cambria Math" w:hAnsi="Cambria Math" w:cs="Cambria Math"/>
          <w:sz w:val="20"/>
          <w:szCs w:val="20"/>
        </w:rPr>
        <w:t>₂</w:t>
      </w:r>
      <w:r w:rsidRPr="00F83B19">
        <w:rPr>
          <w:rFonts w:ascii="Arial" w:hAnsi="Arial" w:cs="Arial"/>
          <w:sz w:val="20"/>
          <w:szCs w:val="20"/>
        </w:rPr>
        <w:t>O</w:t>
      </w:r>
      <w:proofErr w:type="spellEnd"/>
      <w:r w:rsidRPr="00F83B19">
        <w:rPr>
          <w:rFonts w:ascii="Cambria Math" w:hAnsi="Cambria Math" w:cs="Cambria Math"/>
          <w:sz w:val="20"/>
          <w:szCs w:val="20"/>
        </w:rPr>
        <w:t>₃</w:t>
      </w:r>
      <w:r w:rsidRPr="00F83B19">
        <w:rPr>
          <w:rFonts w:ascii="Arial" w:hAnsi="Arial" w:cs="Arial"/>
          <w:sz w:val="20"/>
          <w:szCs w:val="20"/>
        </w:rPr>
        <w:t xml:space="preserve">, </w:t>
      </w:r>
      <w:proofErr w:type="spellStart"/>
      <w:r w:rsidRPr="00F83B19">
        <w:rPr>
          <w:rFonts w:ascii="Arial" w:hAnsi="Arial" w:cs="Arial"/>
          <w:sz w:val="20"/>
          <w:szCs w:val="20"/>
        </w:rPr>
        <w:t>TiO</w:t>
      </w:r>
      <w:proofErr w:type="spellEnd"/>
      <w:r w:rsidRPr="00F83B19">
        <w:rPr>
          <w:rFonts w:ascii="Cambria Math" w:hAnsi="Cambria Math" w:cs="Cambria Math"/>
          <w:sz w:val="20"/>
          <w:szCs w:val="20"/>
        </w:rPr>
        <w:t>₂</w:t>
      </w:r>
      <w:r w:rsidRPr="00F83B19">
        <w:rPr>
          <w:rFonts w:ascii="Arial" w:hAnsi="Arial" w:cs="Arial"/>
          <w:sz w:val="20"/>
          <w:szCs w:val="20"/>
        </w:rPr>
        <w:t xml:space="preserve">, </w:t>
      </w:r>
      <w:proofErr w:type="spellStart"/>
      <w:r w:rsidRPr="00F83B19">
        <w:rPr>
          <w:rFonts w:ascii="Arial" w:hAnsi="Arial" w:cs="Arial"/>
          <w:sz w:val="20"/>
          <w:szCs w:val="20"/>
        </w:rPr>
        <w:t>CeO</w:t>
      </w:r>
      <w:proofErr w:type="spellEnd"/>
      <w:r w:rsidRPr="00F83B19">
        <w:rPr>
          <w:rFonts w:ascii="Cambria Math" w:hAnsi="Cambria Math" w:cs="Cambria Math"/>
          <w:sz w:val="20"/>
          <w:szCs w:val="20"/>
        </w:rPr>
        <w:t>₂</w:t>
      </w:r>
      <w:r w:rsidRPr="00F83B19">
        <w:rPr>
          <w:rFonts w:ascii="Arial" w:hAnsi="Arial" w:cs="Arial"/>
          <w:sz w:val="20"/>
          <w:szCs w:val="20"/>
        </w:rPr>
        <w:t xml:space="preserve">, </w:t>
      </w:r>
      <w:proofErr w:type="spellStart"/>
      <w:r w:rsidRPr="00F83B19">
        <w:rPr>
          <w:rFonts w:ascii="Arial" w:hAnsi="Arial" w:cs="Arial"/>
          <w:sz w:val="20"/>
          <w:szCs w:val="20"/>
        </w:rPr>
        <w:t>FeO</w:t>
      </w:r>
      <w:proofErr w:type="spellEnd"/>
      <w:r w:rsidRPr="00F83B19">
        <w:rPr>
          <w:rFonts w:ascii="Arial" w:hAnsi="Arial" w:cs="Arial"/>
          <w:sz w:val="20"/>
          <w:szCs w:val="20"/>
        </w:rPr>
        <w:t xml:space="preserve">, and </w:t>
      </w:r>
      <w:proofErr w:type="spellStart"/>
      <w:r w:rsidRPr="00F83B19">
        <w:rPr>
          <w:rFonts w:ascii="Arial" w:hAnsi="Arial" w:cs="Arial"/>
          <w:sz w:val="20"/>
          <w:szCs w:val="20"/>
        </w:rPr>
        <w:t>ZnO</w:t>
      </w:r>
      <w:proofErr w:type="spellEnd"/>
      <w:r w:rsidRPr="00F83B19">
        <w:rPr>
          <w:rFonts w:ascii="Arial" w:hAnsi="Arial" w:cs="Arial"/>
          <w:sz w:val="20"/>
          <w:szCs w:val="20"/>
        </w:rPr>
        <w:t xml:space="preserve"> NPs—in the context of agricultural applications (</w:t>
      </w:r>
      <w:proofErr w:type="spellStart"/>
      <w:r w:rsidRPr="00F83B19">
        <w:rPr>
          <w:rFonts w:ascii="Arial" w:hAnsi="Arial" w:cs="Arial"/>
          <w:sz w:val="20"/>
          <w:szCs w:val="20"/>
        </w:rPr>
        <w:t>Dimkpa</w:t>
      </w:r>
      <w:proofErr w:type="spellEnd"/>
      <w:r w:rsidRPr="00F83B19">
        <w:rPr>
          <w:rFonts w:ascii="Arial" w:hAnsi="Arial" w:cs="Arial"/>
          <w:sz w:val="20"/>
          <w:szCs w:val="20"/>
        </w:rPr>
        <w:t xml:space="preserve">, 2014; Zhang </w:t>
      </w:r>
      <w:r w:rsidR="007C2765" w:rsidRPr="00F83B19">
        <w:rPr>
          <w:rFonts w:ascii="Arial" w:hAnsi="Arial" w:cs="Arial"/>
          <w:sz w:val="20"/>
          <w:szCs w:val="20"/>
        </w:rPr>
        <w:t>et al.</w:t>
      </w:r>
      <w:r w:rsidRPr="00F83B19">
        <w:rPr>
          <w:rFonts w:ascii="Arial" w:hAnsi="Arial" w:cs="Arial"/>
          <w:sz w:val="20"/>
          <w:szCs w:val="20"/>
        </w:rPr>
        <w:t xml:space="preserve"> 2016).</w:t>
      </w:r>
    </w:p>
    <w:p w14:paraId="7228CC04" w14:textId="77777777" w:rsidR="00B937E4" w:rsidRPr="00F83B19" w:rsidRDefault="00FD6353" w:rsidP="00E351E7">
      <w:pPr>
        <w:spacing w:after="0" w:line="360" w:lineRule="auto"/>
        <w:ind w:firstLine="720"/>
        <w:jc w:val="both"/>
        <w:rPr>
          <w:rFonts w:ascii="Arial" w:hAnsi="Arial" w:cs="Arial"/>
          <w:sz w:val="20"/>
          <w:szCs w:val="20"/>
        </w:rPr>
      </w:pPr>
      <w:r w:rsidRPr="00F83B19">
        <w:rPr>
          <w:rFonts w:ascii="Arial" w:hAnsi="Arial" w:cs="Arial"/>
          <w:sz w:val="20"/>
          <w:szCs w:val="20"/>
        </w:rPr>
        <w:t xml:space="preserve">Integrating nanotechnology into agriculture marks the beginning of a new wave of innovation, where nanoscale manipulation of materials holds the potential for groundbreaking solutions. However, like any emerging technology, this agricultural </w:t>
      </w:r>
      <w:proofErr w:type="spellStart"/>
      <w:r w:rsidRPr="00F83B19">
        <w:rPr>
          <w:rFonts w:ascii="Arial" w:hAnsi="Arial" w:cs="Arial"/>
          <w:sz w:val="20"/>
          <w:szCs w:val="20"/>
        </w:rPr>
        <w:t>nanorevolution</w:t>
      </w:r>
      <w:proofErr w:type="spellEnd"/>
      <w:r w:rsidRPr="00F83B19">
        <w:rPr>
          <w:rFonts w:ascii="Arial" w:hAnsi="Arial" w:cs="Arial"/>
          <w:sz w:val="20"/>
          <w:szCs w:val="20"/>
        </w:rPr>
        <w:t xml:space="preserve"> comes with both significant opportunities and challenges that require thorough evaluation. One notable advancement is the nanoencapsulation of agrochemicals, including pesticides and fertilizers, which </w:t>
      </w:r>
      <w:r w:rsidR="007C2765" w:rsidRPr="00F83B19">
        <w:rPr>
          <w:rFonts w:ascii="Arial" w:hAnsi="Arial" w:cs="Arial"/>
          <w:sz w:val="20"/>
          <w:szCs w:val="20"/>
        </w:rPr>
        <w:t>enable</w:t>
      </w:r>
      <w:r w:rsidRPr="00F83B19">
        <w:rPr>
          <w:rFonts w:ascii="Arial" w:hAnsi="Arial" w:cs="Arial"/>
          <w:sz w:val="20"/>
          <w:szCs w:val="20"/>
        </w:rPr>
        <w:t xml:space="preserve"> controlled and targeted release (Shukla </w:t>
      </w:r>
      <w:r w:rsidR="007C2765" w:rsidRPr="00F83B19">
        <w:rPr>
          <w:rFonts w:ascii="Arial" w:hAnsi="Arial" w:cs="Arial"/>
          <w:sz w:val="20"/>
          <w:szCs w:val="20"/>
        </w:rPr>
        <w:t>et al.</w:t>
      </w:r>
      <w:r w:rsidR="00045EE0" w:rsidRPr="00F83B19">
        <w:rPr>
          <w:rFonts w:ascii="Arial" w:hAnsi="Arial" w:cs="Arial"/>
          <w:sz w:val="20"/>
          <w:szCs w:val="20"/>
        </w:rPr>
        <w:t xml:space="preserve"> 2019) and t</w:t>
      </w:r>
      <w:r w:rsidRPr="00F83B19">
        <w:rPr>
          <w:rFonts w:ascii="Arial" w:hAnsi="Arial" w:cs="Arial"/>
          <w:sz w:val="20"/>
          <w:szCs w:val="20"/>
        </w:rPr>
        <w:t>his approach not only enhances the effectiveness of these inputs but also minimizes their environmental impact.</w:t>
      </w:r>
    </w:p>
    <w:p w14:paraId="222797FC" w14:textId="77777777" w:rsidR="0035433C" w:rsidRPr="00F83B19" w:rsidRDefault="0035433C" w:rsidP="001C0D67">
      <w:pPr>
        <w:spacing w:after="0" w:line="360" w:lineRule="auto"/>
        <w:jc w:val="both"/>
        <w:rPr>
          <w:rFonts w:ascii="Arial" w:hAnsi="Arial" w:cs="Arial"/>
          <w:b/>
          <w:sz w:val="20"/>
          <w:szCs w:val="20"/>
        </w:rPr>
      </w:pPr>
    </w:p>
    <w:p w14:paraId="63FE72FD" w14:textId="77777777" w:rsidR="00B937E4" w:rsidRPr="00F83B19" w:rsidRDefault="00B937E4" w:rsidP="001C0D67">
      <w:pPr>
        <w:spacing w:after="0" w:line="360" w:lineRule="auto"/>
        <w:jc w:val="both"/>
        <w:rPr>
          <w:rFonts w:ascii="Arial" w:hAnsi="Arial" w:cs="Arial"/>
          <w:b/>
          <w:sz w:val="20"/>
          <w:szCs w:val="20"/>
        </w:rPr>
      </w:pPr>
      <w:r w:rsidRPr="00F83B19">
        <w:rPr>
          <w:rFonts w:ascii="Arial" w:hAnsi="Arial" w:cs="Arial"/>
          <w:b/>
          <w:sz w:val="20"/>
          <w:szCs w:val="20"/>
        </w:rPr>
        <w:t xml:space="preserve">Mechanism of action </w:t>
      </w:r>
    </w:p>
    <w:p w14:paraId="338E48F3" w14:textId="77777777" w:rsidR="00A3653A" w:rsidRPr="00F83B19" w:rsidRDefault="00A3653A" w:rsidP="007C2765">
      <w:pPr>
        <w:spacing w:after="0" w:line="360" w:lineRule="auto"/>
        <w:ind w:firstLine="720"/>
        <w:jc w:val="both"/>
        <w:rPr>
          <w:rFonts w:ascii="Arial" w:hAnsi="Arial" w:cs="Arial"/>
          <w:sz w:val="20"/>
          <w:szCs w:val="20"/>
        </w:rPr>
      </w:pPr>
      <w:r w:rsidRPr="00F83B19">
        <w:rPr>
          <w:rFonts w:ascii="Arial" w:hAnsi="Arial" w:cs="Arial"/>
          <w:sz w:val="20"/>
          <w:szCs w:val="20"/>
        </w:rPr>
        <w:t>Over the past decades, nanotechnology has emerged as a significant innovation with diverse applications in the agricultural sector (</w:t>
      </w:r>
      <w:proofErr w:type="spellStart"/>
      <w:r w:rsidRPr="00F83B19">
        <w:rPr>
          <w:rFonts w:ascii="Arial" w:hAnsi="Arial" w:cs="Arial"/>
          <w:sz w:val="20"/>
          <w:szCs w:val="20"/>
        </w:rPr>
        <w:t>Marchiol</w:t>
      </w:r>
      <w:proofErr w:type="spellEnd"/>
      <w:r w:rsidRPr="00F83B19">
        <w:rPr>
          <w:rFonts w:ascii="Arial" w:hAnsi="Arial" w:cs="Arial"/>
          <w:sz w:val="20"/>
          <w:szCs w:val="20"/>
        </w:rPr>
        <w:t xml:space="preserve"> </w:t>
      </w:r>
      <w:r w:rsidR="007C2765" w:rsidRPr="00F83B19">
        <w:rPr>
          <w:rFonts w:ascii="Arial" w:hAnsi="Arial" w:cs="Arial"/>
          <w:sz w:val="20"/>
          <w:szCs w:val="20"/>
        </w:rPr>
        <w:t>et al.</w:t>
      </w:r>
      <w:r w:rsidRPr="00F83B19">
        <w:rPr>
          <w:rFonts w:ascii="Arial" w:hAnsi="Arial" w:cs="Arial"/>
          <w:sz w:val="20"/>
          <w:szCs w:val="20"/>
        </w:rPr>
        <w:t xml:space="preserve"> 2020). It encompasses a broad range of uses within agriculture (Kumar </w:t>
      </w:r>
      <w:r w:rsidR="007C2765" w:rsidRPr="00F83B19">
        <w:rPr>
          <w:rFonts w:ascii="Arial" w:hAnsi="Arial" w:cs="Arial"/>
          <w:sz w:val="20"/>
          <w:szCs w:val="20"/>
        </w:rPr>
        <w:t>et al.</w:t>
      </w:r>
      <w:r w:rsidRPr="00F83B19">
        <w:rPr>
          <w:rFonts w:ascii="Arial" w:hAnsi="Arial" w:cs="Arial"/>
          <w:sz w:val="20"/>
          <w:szCs w:val="20"/>
        </w:rPr>
        <w:t xml:space="preserve"> 2022). One notable advancement is nano urea, which, due to its smaller particle size and improved solubility, represents a groundbreaking method for nutrient management. Traditional urea, a commonly used nitrogen fertilizer, often results in nutrient losses through volatilization and leaching, leading to soil and water contamination. In contrast, nano urea utilizes controlled-release mechanisms to improve nutrient use efficiency and reduce environmental harm and can be applied in various ways, including foliar spraying, fertigation, and soil incorporation. Foliar application involves spraying nano urea directly on plant foliage, enabling fast nutrient uptake and fertigation integrates nano urea into irrigation systems, allowing targeted nutrient delivery to the roots and hence, soil incorporation involves blending of nano urea into the soil during planting or tillage, ensuring a slow and steady nutrient release (Lohar </w:t>
      </w:r>
      <w:r w:rsidR="007C2765" w:rsidRPr="00F83B19">
        <w:rPr>
          <w:rFonts w:ascii="Arial" w:hAnsi="Arial" w:cs="Arial"/>
          <w:sz w:val="20"/>
          <w:szCs w:val="20"/>
        </w:rPr>
        <w:t>et al.</w:t>
      </w:r>
      <w:r w:rsidRPr="00F83B19">
        <w:rPr>
          <w:rFonts w:ascii="Arial" w:hAnsi="Arial" w:cs="Arial"/>
          <w:sz w:val="20"/>
          <w:szCs w:val="20"/>
        </w:rPr>
        <w:t xml:space="preserve"> 2023).</w:t>
      </w:r>
    </w:p>
    <w:p w14:paraId="74916179" w14:textId="77777777" w:rsidR="00A3653A" w:rsidRPr="00F83B19" w:rsidRDefault="00A3653A" w:rsidP="001C0D67">
      <w:pPr>
        <w:spacing w:after="0" w:line="360" w:lineRule="auto"/>
        <w:jc w:val="both"/>
        <w:rPr>
          <w:rFonts w:ascii="Arial" w:hAnsi="Arial" w:cs="Arial"/>
          <w:b/>
          <w:bCs/>
          <w:sz w:val="20"/>
          <w:szCs w:val="20"/>
        </w:rPr>
      </w:pPr>
      <w:r w:rsidRPr="00F83B19">
        <w:rPr>
          <w:rFonts w:ascii="Arial" w:hAnsi="Arial" w:cs="Arial"/>
          <w:b/>
          <w:bCs/>
          <w:sz w:val="20"/>
          <w:szCs w:val="20"/>
        </w:rPr>
        <w:t>Mechanisms of Enhanced Nutrient Uptake</w:t>
      </w:r>
    </w:p>
    <w:p w14:paraId="08555EF0" w14:textId="77777777" w:rsidR="00A3653A" w:rsidRPr="00F83B19" w:rsidRDefault="00A3653A" w:rsidP="007C2765">
      <w:pPr>
        <w:spacing w:after="0" w:line="360" w:lineRule="auto"/>
        <w:ind w:firstLine="720"/>
        <w:jc w:val="both"/>
        <w:rPr>
          <w:rFonts w:ascii="Arial" w:hAnsi="Arial" w:cs="Arial"/>
          <w:sz w:val="20"/>
          <w:szCs w:val="20"/>
        </w:rPr>
      </w:pPr>
      <w:r w:rsidRPr="00F83B19">
        <w:rPr>
          <w:rFonts w:ascii="Arial" w:hAnsi="Arial" w:cs="Arial"/>
          <w:sz w:val="20"/>
          <w:szCs w:val="20"/>
        </w:rPr>
        <w:t>The improved nutrient absorption associated with nano urea is largely attributed to its smaller particle size and superior solubility and these nanoscale properties increase the surface area available for interaction with both soil particles and plant roots, thereby promoting more efficient nutrient absorption. Additionally, the controlled and gradual release of nutrients from nano urea ensures that nutrient availability is better synchronized with th</w:t>
      </w:r>
      <w:r w:rsidR="0012529F" w:rsidRPr="00F83B19">
        <w:rPr>
          <w:rFonts w:ascii="Arial" w:hAnsi="Arial" w:cs="Arial"/>
          <w:sz w:val="20"/>
          <w:szCs w:val="20"/>
        </w:rPr>
        <w:t>e</w:t>
      </w:r>
      <w:r w:rsidRPr="00F83B19">
        <w:rPr>
          <w:rFonts w:ascii="Arial" w:hAnsi="Arial" w:cs="Arial"/>
          <w:sz w:val="20"/>
          <w:szCs w:val="20"/>
        </w:rPr>
        <w:t xml:space="preserve"> growth</w:t>
      </w:r>
      <w:r w:rsidR="0012529F" w:rsidRPr="00F83B19">
        <w:rPr>
          <w:rFonts w:ascii="Arial" w:hAnsi="Arial" w:cs="Arial"/>
          <w:sz w:val="20"/>
          <w:szCs w:val="20"/>
        </w:rPr>
        <w:t xml:space="preserve"> requirements of the plant</w:t>
      </w:r>
      <w:r w:rsidRPr="00F83B19">
        <w:rPr>
          <w:rFonts w:ascii="Arial" w:hAnsi="Arial" w:cs="Arial"/>
          <w:sz w:val="20"/>
          <w:szCs w:val="20"/>
        </w:rPr>
        <w:t xml:space="preserve"> and this reduces nutrient losses and enhances overall uptake efficiency (Lohat et al. 2023)</w:t>
      </w:r>
    </w:p>
    <w:p w14:paraId="4E27D9F4" w14:textId="77777777" w:rsidR="00792AAA" w:rsidRPr="00F83B19" w:rsidRDefault="0012529F" w:rsidP="00792AAA">
      <w:pPr>
        <w:spacing w:after="0" w:line="360" w:lineRule="auto"/>
        <w:jc w:val="both"/>
        <w:rPr>
          <w:rFonts w:ascii="Arial" w:hAnsi="Arial" w:cs="Arial"/>
          <w:b/>
          <w:bCs/>
          <w:sz w:val="20"/>
          <w:szCs w:val="20"/>
        </w:rPr>
      </w:pPr>
      <w:r w:rsidRPr="00F83B19">
        <w:rPr>
          <w:rFonts w:ascii="Arial" w:hAnsi="Arial" w:cs="Arial"/>
          <w:b/>
          <w:bCs/>
          <w:sz w:val="20"/>
          <w:szCs w:val="20"/>
        </w:rPr>
        <w:t>Conventional vs. Nano Urea</w:t>
      </w:r>
    </w:p>
    <w:p w14:paraId="69E14B64" w14:textId="77777777" w:rsidR="00792AAA" w:rsidRPr="00F83B19" w:rsidRDefault="00792AAA" w:rsidP="007C2765">
      <w:pPr>
        <w:spacing w:after="0" w:line="360" w:lineRule="auto"/>
        <w:ind w:firstLine="720"/>
        <w:jc w:val="both"/>
        <w:rPr>
          <w:rFonts w:ascii="Arial" w:hAnsi="Arial" w:cs="Arial"/>
          <w:b/>
          <w:bCs/>
          <w:sz w:val="20"/>
          <w:szCs w:val="20"/>
        </w:rPr>
      </w:pPr>
      <w:r w:rsidRPr="00F83B19">
        <w:rPr>
          <w:rFonts w:ascii="Arial" w:eastAsia="Times New Roman" w:hAnsi="Arial" w:cs="Arial"/>
          <w:sz w:val="20"/>
          <w:szCs w:val="20"/>
          <w:lang w:eastAsia="en-IN"/>
        </w:rPr>
        <w:t>Traditional nitrogen fertilizers like urea are harmful to the environment, contributing to soil acidification, water pollution, and greenhouse gas emissions. Liquid nano urea, on the other hand, is considered a more sustainable alternative due to its lower potential for nutrient loss (</w:t>
      </w:r>
      <w:proofErr w:type="spellStart"/>
      <w:r w:rsidRPr="00F83B19">
        <w:rPr>
          <w:rFonts w:ascii="Arial" w:eastAsia="Times New Roman" w:hAnsi="Arial" w:cs="Arial"/>
          <w:sz w:val="20"/>
          <w:szCs w:val="20"/>
          <w:lang w:eastAsia="en-IN"/>
        </w:rPr>
        <w:t>Rop</w:t>
      </w:r>
      <w:proofErr w:type="spellEnd"/>
      <w:r w:rsidRPr="00F83B19">
        <w:rPr>
          <w:rFonts w:ascii="Arial" w:eastAsia="Times New Roman" w:hAnsi="Arial" w:cs="Arial"/>
          <w:sz w:val="20"/>
          <w:szCs w:val="20"/>
          <w:lang w:eastAsia="en-IN"/>
        </w:rPr>
        <w:t xml:space="preserve"> </w:t>
      </w:r>
      <w:r w:rsidR="007C2765" w:rsidRPr="00F83B19">
        <w:rPr>
          <w:rFonts w:ascii="Arial" w:eastAsia="Times New Roman" w:hAnsi="Arial" w:cs="Arial"/>
          <w:sz w:val="20"/>
          <w:szCs w:val="20"/>
          <w:lang w:eastAsia="en-IN"/>
        </w:rPr>
        <w:t>et al.</w:t>
      </w:r>
      <w:r w:rsidRPr="00F83B19">
        <w:rPr>
          <w:rFonts w:ascii="Arial" w:eastAsia="Times New Roman" w:hAnsi="Arial" w:cs="Arial"/>
          <w:sz w:val="20"/>
          <w:szCs w:val="20"/>
          <w:lang w:eastAsia="en-IN"/>
        </w:rPr>
        <w:t xml:space="preserve"> 2019). Nano urea particles, ranging from 20 to 50 </w:t>
      </w:r>
      <w:proofErr w:type="spellStart"/>
      <w:r w:rsidRPr="00F83B19">
        <w:rPr>
          <w:rFonts w:ascii="Arial" w:eastAsia="Times New Roman" w:hAnsi="Arial" w:cs="Arial"/>
          <w:sz w:val="20"/>
          <w:szCs w:val="20"/>
          <w:lang w:eastAsia="en-IN"/>
        </w:rPr>
        <w:t>nanometers</w:t>
      </w:r>
      <w:proofErr w:type="spellEnd"/>
      <w:r w:rsidRPr="00F83B19">
        <w:rPr>
          <w:rFonts w:ascii="Arial" w:eastAsia="Times New Roman" w:hAnsi="Arial" w:cs="Arial"/>
          <w:sz w:val="20"/>
          <w:szCs w:val="20"/>
          <w:lang w:eastAsia="en-IN"/>
        </w:rPr>
        <w:t xml:space="preserve">, are more precise in delivering nitrogen to crops. Each nano particle has a surface area-to-volume ratio about 10,000 times greater than </w:t>
      </w:r>
      <w:r w:rsidRPr="00F83B19">
        <w:rPr>
          <w:rFonts w:ascii="Arial" w:eastAsia="Times New Roman" w:hAnsi="Arial" w:cs="Arial"/>
          <w:sz w:val="20"/>
          <w:szCs w:val="20"/>
          <w:lang w:eastAsia="en-IN"/>
        </w:rPr>
        <w:lastRenderedPageBreak/>
        <w:t xml:space="preserve">conventional urea granules, improving its interaction with plant surfaces. While the nitrogen use efficiency of conventional urea is low (around 30% in rice), nano urea shows better absorption by plants, especially in foliar applications (Vijayakumar </w:t>
      </w:r>
      <w:r w:rsidR="007C2765" w:rsidRPr="00F83B19">
        <w:rPr>
          <w:rFonts w:ascii="Arial" w:eastAsia="Times New Roman" w:hAnsi="Arial" w:cs="Arial"/>
          <w:sz w:val="20"/>
          <w:szCs w:val="20"/>
          <w:lang w:eastAsia="en-IN"/>
        </w:rPr>
        <w:t xml:space="preserve">et al. 2022, </w:t>
      </w:r>
      <w:r w:rsidRPr="00F83B19">
        <w:rPr>
          <w:rFonts w:ascii="Arial" w:eastAsia="Times New Roman" w:hAnsi="Arial" w:cs="Arial"/>
          <w:sz w:val="20"/>
          <w:szCs w:val="20"/>
          <w:lang w:eastAsia="en-IN"/>
        </w:rPr>
        <w:t xml:space="preserve">Midde </w:t>
      </w:r>
      <w:r w:rsidR="007C2765" w:rsidRPr="00F83B19">
        <w:rPr>
          <w:rFonts w:ascii="Arial" w:eastAsia="Times New Roman" w:hAnsi="Arial" w:cs="Arial"/>
          <w:sz w:val="20"/>
          <w:szCs w:val="20"/>
          <w:lang w:eastAsia="en-IN"/>
        </w:rPr>
        <w:t>et al.</w:t>
      </w:r>
      <w:r w:rsidRPr="00F83B19">
        <w:rPr>
          <w:rFonts w:ascii="Arial" w:eastAsia="Times New Roman" w:hAnsi="Arial" w:cs="Arial"/>
          <w:sz w:val="20"/>
          <w:szCs w:val="20"/>
          <w:lang w:eastAsia="en-IN"/>
        </w:rPr>
        <w:t xml:space="preserve"> 2022). Overuse of traditional nitrogen fertilizers can degrade crop quality, lower nitrogen use efficiency, and harm the environment (</w:t>
      </w:r>
      <w:proofErr w:type="spellStart"/>
      <w:r w:rsidRPr="00F83B19">
        <w:rPr>
          <w:rFonts w:ascii="Arial" w:eastAsia="Times New Roman" w:hAnsi="Arial" w:cs="Arial"/>
          <w:sz w:val="20"/>
          <w:szCs w:val="20"/>
          <w:lang w:eastAsia="en-IN"/>
        </w:rPr>
        <w:t>Hanifuzzaman</w:t>
      </w:r>
      <w:proofErr w:type="spellEnd"/>
      <w:r w:rsidRPr="00F83B19">
        <w:rPr>
          <w:rFonts w:ascii="Arial" w:eastAsia="Times New Roman" w:hAnsi="Arial" w:cs="Arial"/>
          <w:sz w:val="20"/>
          <w:szCs w:val="20"/>
          <w:lang w:eastAsia="en-IN"/>
        </w:rPr>
        <w:t xml:space="preserve"> </w:t>
      </w:r>
      <w:r w:rsidR="007C2765" w:rsidRPr="00F83B19">
        <w:rPr>
          <w:rFonts w:ascii="Arial" w:eastAsia="Times New Roman" w:hAnsi="Arial" w:cs="Arial"/>
          <w:sz w:val="20"/>
          <w:szCs w:val="20"/>
          <w:lang w:eastAsia="en-IN"/>
        </w:rPr>
        <w:t>et al.</w:t>
      </w:r>
      <w:r w:rsidRPr="00F83B19">
        <w:rPr>
          <w:rFonts w:ascii="Arial" w:eastAsia="Times New Roman" w:hAnsi="Arial" w:cs="Arial"/>
          <w:sz w:val="20"/>
          <w:szCs w:val="20"/>
          <w:lang w:eastAsia="en-IN"/>
        </w:rPr>
        <w:t xml:space="preserve"> 2022).</w:t>
      </w:r>
    </w:p>
    <w:p w14:paraId="03162ECC" w14:textId="77777777" w:rsidR="005B27E8" w:rsidRPr="00F83B19" w:rsidRDefault="00792AAA" w:rsidP="007C2765">
      <w:pPr>
        <w:spacing w:after="0" w:line="360" w:lineRule="auto"/>
        <w:ind w:firstLine="720"/>
        <w:jc w:val="both"/>
        <w:rPr>
          <w:rFonts w:ascii="Arial" w:eastAsia="Times New Roman" w:hAnsi="Arial" w:cs="Arial"/>
          <w:sz w:val="20"/>
          <w:szCs w:val="20"/>
          <w:lang w:eastAsia="en-IN"/>
        </w:rPr>
      </w:pPr>
      <w:r w:rsidRPr="00F83B19">
        <w:rPr>
          <w:rFonts w:ascii="Arial" w:eastAsia="Times New Roman" w:hAnsi="Arial" w:cs="Arial"/>
          <w:b/>
          <w:bCs/>
          <w:sz w:val="20"/>
          <w:szCs w:val="20"/>
          <w:lang w:eastAsia="en-IN"/>
        </w:rPr>
        <w:t>Advantages of Nano Urea</w:t>
      </w:r>
      <w:r w:rsidRPr="00F83B19">
        <w:rPr>
          <w:rFonts w:ascii="Arial" w:eastAsia="Times New Roman" w:hAnsi="Arial" w:cs="Arial"/>
          <w:sz w:val="20"/>
          <w:szCs w:val="20"/>
          <w:lang w:eastAsia="en-IN"/>
        </w:rPr>
        <w:t xml:space="preserve">: Nano urea offers significant advantages over conventional urea, particularly in nutrient release and efficiency. Traditional urea suffers from rapid volatilization and leaching, causing nitrogen losses and reduced plant uptake. In contrast, nano urea employs controlled release mechanisms—such as polymer coatings or encapsulation—that minimize these losses, providing nutrients more precisely to plants. Several studies have shown that nano urea improves nutrient retention in the soil and enhances plant uptake, leading to higher crop yields and a reduced environmental footprint. This increased efficiency is essential for addressing resource wastage and supports the sustainable intensification of agriculture (Lohar </w:t>
      </w:r>
      <w:r w:rsidR="007C2765" w:rsidRPr="00F83B19">
        <w:rPr>
          <w:rFonts w:ascii="Arial" w:eastAsia="Times New Roman" w:hAnsi="Arial" w:cs="Arial"/>
          <w:sz w:val="20"/>
          <w:szCs w:val="20"/>
          <w:lang w:eastAsia="en-IN"/>
        </w:rPr>
        <w:t>et al.</w:t>
      </w:r>
      <w:r w:rsidRPr="00F83B19">
        <w:rPr>
          <w:rFonts w:ascii="Arial" w:eastAsia="Times New Roman" w:hAnsi="Arial" w:cs="Arial"/>
          <w:sz w:val="20"/>
          <w:szCs w:val="20"/>
          <w:lang w:eastAsia="en-IN"/>
        </w:rPr>
        <w:t xml:space="preserve"> 2023).</w:t>
      </w:r>
    </w:p>
    <w:p w14:paraId="050DF811" w14:textId="77777777" w:rsidR="005B27E8" w:rsidRPr="00F83B19" w:rsidRDefault="00E00996" w:rsidP="001C0D67">
      <w:pPr>
        <w:spacing w:after="0" w:line="360" w:lineRule="auto"/>
        <w:jc w:val="both"/>
        <w:rPr>
          <w:rFonts w:ascii="Arial" w:hAnsi="Arial" w:cs="Arial"/>
          <w:b/>
          <w:sz w:val="20"/>
          <w:szCs w:val="20"/>
        </w:rPr>
      </w:pPr>
      <w:r w:rsidRPr="00F83B19">
        <w:rPr>
          <w:rFonts w:ascii="Arial" w:hAnsi="Arial" w:cs="Arial"/>
          <w:b/>
          <w:sz w:val="20"/>
          <w:szCs w:val="20"/>
        </w:rPr>
        <w:t>Rethinking Nitrogen: The Nano-Fertilizer Solution</w:t>
      </w:r>
    </w:p>
    <w:p w14:paraId="03F26140" w14:textId="77777777" w:rsidR="00E00996" w:rsidRPr="00F83B19" w:rsidRDefault="00E00996" w:rsidP="0035433C">
      <w:pPr>
        <w:spacing w:after="0" w:line="360" w:lineRule="auto"/>
        <w:ind w:firstLine="720"/>
        <w:jc w:val="both"/>
        <w:rPr>
          <w:rFonts w:ascii="Arial" w:hAnsi="Arial" w:cs="Arial"/>
          <w:sz w:val="20"/>
          <w:szCs w:val="20"/>
        </w:rPr>
      </w:pPr>
      <w:r w:rsidRPr="00F83B19">
        <w:rPr>
          <w:rFonts w:ascii="Arial" w:hAnsi="Arial" w:cs="Arial"/>
          <w:sz w:val="20"/>
          <w:szCs w:val="20"/>
        </w:rPr>
        <w:t xml:space="preserve">With the global population on the rise and the availability of arable land declining, the demand for chemical fertilizers—particularly nitrogen-based ones—continues to grow (Wen </w:t>
      </w:r>
      <w:r w:rsidR="007C2765" w:rsidRPr="00F83B19">
        <w:rPr>
          <w:rFonts w:ascii="Arial" w:hAnsi="Arial" w:cs="Arial"/>
          <w:sz w:val="20"/>
          <w:szCs w:val="20"/>
        </w:rPr>
        <w:t>et al.</w:t>
      </w:r>
      <w:r w:rsidRPr="00F83B19">
        <w:rPr>
          <w:rFonts w:ascii="Arial" w:hAnsi="Arial" w:cs="Arial"/>
          <w:sz w:val="20"/>
          <w:szCs w:val="20"/>
        </w:rPr>
        <w:t xml:space="preserve"> 2017). In 2019–20, global nitrogen fertilizer demand reached 107.4 million tons, with urea accounting for approxi</w:t>
      </w:r>
      <w:r w:rsidR="007C2765" w:rsidRPr="00F83B19">
        <w:rPr>
          <w:rFonts w:ascii="Arial" w:hAnsi="Arial" w:cs="Arial"/>
          <w:sz w:val="20"/>
          <w:szCs w:val="20"/>
        </w:rPr>
        <w:t>mately 76.5% of this total (FAO</w:t>
      </w:r>
      <w:r w:rsidRPr="00F83B19">
        <w:rPr>
          <w:rFonts w:ascii="Arial" w:hAnsi="Arial" w:cs="Arial"/>
          <w:sz w:val="20"/>
          <w:szCs w:val="20"/>
        </w:rPr>
        <w:t xml:space="preserve"> 2022). Despite its widespread application, urea production is linked to several environmental concerns, including greenhouse gas emissions, significant water and energy consumption, and pollution risks (</w:t>
      </w:r>
      <w:proofErr w:type="spellStart"/>
      <w:r w:rsidRPr="00F83B19">
        <w:rPr>
          <w:rFonts w:ascii="Arial" w:hAnsi="Arial" w:cs="Arial"/>
          <w:sz w:val="20"/>
          <w:szCs w:val="20"/>
        </w:rPr>
        <w:t>Fiamelda</w:t>
      </w:r>
      <w:proofErr w:type="spellEnd"/>
      <w:r w:rsidRPr="00F83B19">
        <w:rPr>
          <w:rFonts w:ascii="Arial" w:hAnsi="Arial" w:cs="Arial"/>
          <w:sz w:val="20"/>
          <w:szCs w:val="20"/>
        </w:rPr>
        <w:t xml:space="preserve"> </w:t>
      </w:r>
      <w:r w:rsidR="007C2765" w:rsidRPr="00F83B19">
        <w:rPr>
          <w:rFonts w:ascii="Arial" w:hAnsi="Arial" w:cs="Arial"/>
          <w:sz w:val="20"/>
          <w:szCs w:val="20"/>
        </w:rPr>
        <w:t>et al.</w:t>
      </w:r>
      <w:r w:rsidRPr="00F83B19">
        <w:rPr>
          <w:rFonts w:ascii="Arial" w:hAnsi="Arial" w:cs="Arial"/>
          <w:sz w:val="20"/>
          <w:szCs w:val="20"/>
        </w:rPr>
        <w:t xml:space="preserve"> 2020). To mitigate these impacts, researchers have suggested lowering urea consumption through the adoption of more energy-ef</w:t>
      </w:r>
      <w:r w:rsidR="007C2765" w:rsidRPr="00F83B19">
        <w:rPr>
          <w:rFonts w:ascii="Arial" w:hAnsi="Arial" w:cs="Arial"/>
          <w:sz w:val="20"/>
          <w:szCs w:val="20"/>
        </w:rPr>
        <w:t>ficient fertilizers (Bartolucci</w:t>
      </w:r>
      <w:r w:rsidRPr="00F83B19">
        <w:rPr>
          <w:rFonts w:ascii="Arial" w:hAnsi="Arial" w:cs="Arial"/>
          <w:sz w:val="20"/>
          <w:szCs w:val="20"/>
        </w:rPr>
        <w:t xml:space="preserve"> 2022). Conventional fertilizers, including urea, are known for their low nutrient use efficiency—often just 30–35%—which leads to over</w:t>
      </w:r>
      <w:r w:rsidR="00640D4B" w:rsidRPr="00F83B19">
        <w:rPr>
          <w:rFonts w:ascii="Arial" w:hAnsi="Arial" w:cs="Arial"/>
          <w:sz w:val="20"/>
          <w:szCs w:val="20"/>
        </w:rPr>
        <w:t xml:space="preserve"> </w:t>
      </w:r>
      <w:r w:rsidRPr="00F83B19">
        <w:rPr>
          <w:rFonts w:ascii="Arial" w:hAnsi="Arial" w:cs="Arial"/>
          <w:sz w:val="20"/>
          <w:szCs w:val="20"/>
        </w:rPr>
        <w:t xml:space="preserve">application and negative environmental effects (Kumar </w:t>
      </w:r>
      <w:r w:rsidR="007C2765" w:rsidRPr="00F83B19">
        <w:rPr>
          <w:rFonts w:ascii="Arial" w:hAnsi="Arial" w:cs="Arial"/>
          <w:sz w:val="20"/>
          <w:szCs w:val="20"/>
        </w:rPr>
        <w:t>et al. 2019,</w:t>
      </w:r>
      <w:r w:rsidRPr="00F83B19">
        <w:rPr>
          <w:rFonts w:ascii="Arial" w:hAnsi="Arial" w:cs="Arial"/>
          <w:sz w:val="20"/>
          <w:szCs w:val="20"/>
        </w:rPr>
        <w:t xml:space="preserve"> Kumar </w:t>
      </w:r>
      <w:r w:rsidR="007C2765" w:rsidRPr="00F83B19">
        <w:rPr>
          <w:rFonts w:ascii="Arial" w:hAnsi="Arial" w:cs="Arial"/>
          <w:sz w:val="20"/>
          <w:szCs w:val="20"/>
        </w:rPr>
        <w:t>et al.</w:t>
      </w:r>
      <w:r w:rsidRPr="00F83B19">
        <w:rPr>
          <w:rFonts w:ascii="Arial" w:hAnsi="Arial" w:cs="Arial"/>
          <w:sz w:val="20"/>
          <w:szCs w:val="20"/>
        </w:rPr>
        <w:t xml:space="preserve"> 2022). Nutrient losses through nitrate leaching (NO</w:t>
      </w:r>
      <w:r w:rsidRPr="00F83B19">
        <w:rPr>
          <w:rFonts w:ascii="Cambria Math" w:hAnsi="Cambria Math" w:cs="Cambria Math"/>
          <w:sz w:val="20"/>
          <w:szCs w:val="20"/>
        </w:rPr>
        <w:t>₃⁻</w:t>
      </w:r>
      <w:r w:rsidRPr="00F83B19">
        <w:rPr>
          <w:rFonts w:ascii="Arial" w:hAnsi="Arial" w:cs="Arial"/>
          <w:sz w:val="20"/>
          <w:szCs w:val="20"/>
        </w:rPr>
        <w:t>) and the emission of ammonia (NH</w:t>
      </w:r>
      <w:r w:rsidRPr="00F83B19">
        <w:rPr>
          <w:rFonts w:ascii="Cambria Math" w:hAnsi="Cambria Math" w:cs="Cambria Math"/>
          <w:sz w:val="20"/>
          <w:szCs w:val="20"/>
        </w:rPr>
        <w:t>₃</w:t>
      </w:r>
      <w:r w:rsidRPr="00F83B19">
        <w:rPr>
          <w:rFonts w:ascii="Arial" w:hAnsi="Arial" w:cs="Arial"/>
          <w:sz w:val="20"/>
          <w:szCs w:val="20"/>
        </w:rPr>
        <w:t>) and nitrous oxide (N</w:t>
      </w:r>
      <w:r w:rsidRPr="00F83B19">
        <w:rPr>
          <w:rFonts w:ascii="Cambria Math" w:hAnsi="Cambria Math" w:cs="Cambria Math"/>
          <w:sz w:val="20"/>
          <w:szCs w:val="20"/>
        </w:rPr>
        <w:t>₂</w:t>
      </w:r>
      <w:r w:rsidRPr="00F83B19">
        <w:rPr>
          <w:rFonts w:ascii="Arial" w:hAnsi="Arial" w:cs="Arial"/>
          <w:sz w:val="20"/>
          <w:szCs w:val="20"/>
        </w:rPr>
        <w:t xml:space="preserve">O) further contribute to environmental degradation (Mahud </w:t>
      </w:r>
      <w:r w:rsidR="007C2765" w:rsidRPr="00F83B19">
        <w:rPr>
          <w:rFonts w:ascii="Arial" w:hAnsi="Arial" w:cs="Arial"/>
          <w:sz w:val="20"/>
          <w:szCs w:val="20"/>
        </w:rPr>
        <w:t>et al.</w:t>
      </w:r>
      <w:r w:rsidRPr="00F83B19">
        <w:rPr>
          <w:rFonts w:ascii="Arial" w:hAnsi="Arial" w:cs="Arial"/>
          <w:sz w:val="20"/>
          <w:szCs w:val="20"/>
        </w:rPr>
        <w:t xml:space="preserve"> 2021).</w:t>
      </w:r>
    </w:p>
    <w:p w14:paraId="048979C9" w14:textId="77777777" w:rsidR="005B27E8" w:rsidRPr="00F83B19" w:rsidRDefault="00E00996" w:rsidP="007C2765">
      <w:pPr>
        <w:spacing w:after="0" w:line="360" w:lineRule="auto"/>
        <w:ind w:firstLine="720"/>
        <w:jc w:val="both"/>
        <w:rPr>
          <w:rFonts w:ascii="Arial" w:hAnsi="Arial" w:cs="Arial"/>
          <w:sz w:val="20"/>
          <w:szCs w:val="20"/>
        </w:rPr>
      </w:pPr>
      <w:r w:rsidRPr="00F83B19">
        <w:rPr>
          <w:rFonts w:ascii="Arial" w:hAnsi="Arial" w:cs="Arial"/>
          <w:sz w:val="20"/>
          <w:szCs w:val="20"/>
        </w:rPr>
        <w:t xml:space="preserve">In response to these challenges, there is growing interest in alternative nutrient delivery systems, with nano-fertilizers gaining attention as promising solutions (Verma </w:t>
      </w:r>
      <w:r w:rsidR="007C2765" w:rsidRPr="00F83B19">
        <w:rPr>
          <w:rFonts w:ascii="Arial" w:hAnsi="Arial" w:cs="Arial"/>
          <w:sz w:val="20"/>
          <w:szCs w:val="20"/>
        </w:rPr>
        <w:t>et al.</w:t>
      </w:r>
      <w:r w:rsidRPr="00F83B19">
        <w:rPr>
          <w:rFonts w:ascii="Arial" w:hAnsi="Arial" w:cs="Arial"/>
          <w:sz w:val="20"/>
          <w:szCs w:val="20"/>
        </w:rPr>
        <w:t xml:space="preserve"> 2022). These fertilizers, distinguished by their nanoscale size and slow-release capabilities, act as efficient nutrient carriers. Their high surface area-to-volume ratio enhances nutrient absorption while reducing losses through leaching and gaseous emissions</w:t>
      </w:r>
      <w:r w:rsidR="00640D4B" w:rsidRPr="00F83B19">
        <w:rPr>
          <w:rFonts w:ascii="Arial" w:hAnsi="Arial" w:cs="Arial"/>
          <w:sz w:val="20"/>
          <w:szCs w:val="20"/>
        </w:rPr>
        <w:t xml:space="preserve"> (</w:t>
      </w:r>
      <w:r w:rsidRPr="00F83B19">
        <w:rPr>
          <w:rFonts w:ascii="Arial" w:hAnsi="Arial" w:cs="Arial"/>
          <w:sz w:val="20"/>
          <w:szCs w:val="20"/>
        </w:rPr>
        <w:t xml:space="preserve">Mishra </w:t>
      </w:r>
      <w:r w:rsidR="007C2765" w:rsidRPr="00F83B19">
        <w:rPr>
          <w:rFonts w:ascii="Arial" w:hAnsi="Arial" w:cs="Arial"/>
          <w:sz w:val="20"/>
          <w:szCs w:val="20"/>
        </w:rPr>
        <w:t>et al.</w:t>
      </w:r>
      <w:r w:rsidRPr="00F83B19">
        <w:rPr>
          <w:rFonts w:ascii="Arial" w:hAnsi="Arial" w:cs="Arial"/>
          <w:sz w:val="20"/>
          <w:szCs w:val="20"/>
        </w:rPr>
        <w:t xml:space="preserve"> 2022). However, more in-depth research is still needed to fully understand their advantages over traditional fertilizers.</w:t>
      </w:r>
    </w:p>
    <w:p w14:paraId="2911B851" w14:textId="77777777" w:rsidR="0035433C" w:rsidRPr="00F83B19" w:rsidRDefault="0035433C" w:rsidP="001C0D67">
      <w:pPr>
        <w:spacing w:after="0" w:line="360" w:lineRule="auto"/>
        <w:jc w:val="both"/>
        <w:rPr>
          <w:rFonts w:ascii="Arial" w:hAnsi="Arial" w:cs="Arial"/>
          <w:b/>
          <w:sz w:val="20"/>
          <w:szCs w:val="20"/>
        </w:rPr>
      </w:pPr>
    </w:p>
    <w:p w14:paraId="27D8B304" w14:textId="77777777" w:rsidR="0035433C" w:rsidRPr="00F83B19" w:rsidRDefault="0035433C" w:rsidP="001C0D67">
      <w:pPr>
        <w:spacing w:after="0" w:line="360" w:lineRule="auto"/>
        <w:jc w:val="both"/>
        <w:rPr>
          <w:rFonts w:ascii="Arial" w:hAnsi="Arial" w:cs="Arial"/>
          <w:b/>
          <w:sz w:val="20"/>
          <w:szCs w:val="20"/>
        </w:rPr>
      </w:pPr>
    </w:p>
    <w:p w14:paraId="3F586281" w14:textId="77777777" w:rsidR="00E3569B" w:rsidRPr="00F83B19" w:rsidRDefault="00E3569B" w:rsidP="001C0D67">
      <w:pPr>
        <w:spacing w:after="0" w:line="360" w:lineRule="auto"/>
        <w:jc w:val="both"/>
        <w:rPr>
          <w:rFonts w:ascii="Arial" w:hAnsi="Arial" w:cs="Arial"/>
          <w:b/>
        </w:rPr>
      </w:pPr>
      <w:r w:rsidRPr="00F83B19">
        <w:rPr>
          <w:rFonts w:ascii="Arial" w:hAnsi="Arial" w:cs="Arial"/>
          <w:b/>
        </w:rPr>
        <w:t>INTRODUCTION TO LINSEED</w:t>
      </w:r>
    </w:p>
    <w:p w14:paraId="3CC7B9FB" w14:textId="77777777" w:rsidR="00AB7E4E" w:rsidRPr="00F83B19" w:rsidRDefault="0048000A" w:rsidP="007C2765">
      <w:pPr>
        <w:spacing w:after="0" w:line="360" w:lineRule="auto"/>
        <w:ind w:firstLine="720"/>
        <w:jc w:val="both"/>
        <w:rPr>
          <w:rFonts w:ascii="Arial" w:hAnsi="Arial" w:cs="Arial"/>
          <w:noProof/>
          <w:sz w:val="20"/>
          <w:szCs w:val="20"/>
          <w:lang w:eastAsia="en-IN"/>
        </w:rPr>
      </w:pPr>
      <w:r w:rsidRPr="00F83B19">
        <w:rPr>
          <w:rFonts w:ascii="Arial" w:hAnsi="Arial" w:cs="Arial"/>
          <w:sz w:val="20"/>
          <w:szCs w:val="20"/>
        </w:rPr>
        <w:t>Linseed is an erect perennial her</w:t>
      </w:r>
      <w:r w:rsidR="007C2765" w:rsidRPr="00F83B19">
        <w:rPr>
          <w:rFonts w:ascii="Arial" w:hAnsi="Arial" w:cs="Arial"/>
          <w:sz w:val="20"/>
          <w:szCs w:val="20"/>
        </w:rPr>
        <w:t>b that grows to a height of 30-</w:t>
      </w:r>
      <w:r w:rsidRPr="00F83B19">
        <w:rPr>
          <w:rFonts w:ascii="Arial" w:hAnsi="Arial" w:cs="Arial"/>
          <w:sz w:val="20"/>
          <w:szCs w:val="20"/>
        </w:rPr>
        <w:t xml:space="preserve">120 cm and has a slender, </w:t>
      </w:r>
      <w:proofErr w:type="spellStart"/>
      <w:r w:rsidRPr="00F83B19">
        <w:rPr>
          <w:rFonts w:ascii="Arial" w:hAnsi="Arial" w:cs="Arial"/>
          <w:sz w:val="20"/>
          <w:szCs w:val="20"/>
        </w:rPr>
        <w:t>glabrous</w:t>
      </w:r>
      <w:proofErr w:type="spellEnd"/>
      <w:r w:rsidRPr="00F83B19">
        <w:rPr>
          <w:rFonts w:ascii="Arial" w:hAnsi="Arial" w:cs="Arial"/>
          <w:sz w:val="20"/>
          <w:szCs w:val="20"/>
        </w:rPr>
        <w:t xml:space="preserve">, </w:t>
      </w:r>
      <w:proofErr w:type="spellStart"/>
      <w:r w:rsidRPr="00F83B19">
        <w:rPr>
          <w:rFonts w:ascii="Arial" w:hAnsi="Arial" w:cs="Arial"/>
          <w:sz w:val="20"/>
          <w:szCs w:val="20"/>
        </w:rPr>
        <w:t>grayish</w:t>
      </w:r>
      <w:proofErr w:type="spellEnd"/>
      <w:r w:rsidRPr="00F83B19">
        <w:rPr>
          <w:rFonts w:ascii="Arial" w:hAnsi="Arial" w:cs="Arial"/>
          <w:sz w:val="20"/>
          <w:szCs w:val="20"/>
        </w:rPr>
        <w:t>-green stem. Linseed varieties are cultivated so that the oil can be extracted from the seeds. The flax varieties are planted so that the stems can be harvested for fibre. The flax varieties have straight culms, fewer secondary branches near the top of the stem, and are compara</w:t>
      </w:r>
      <w:r w:rsidR="007C2765" w:rsidRPr="00F83B19">
        <w:rPr>
          <w:rFonts w:ascii="Arial" w:hAnsi="Arial" w:cs="Arial"/>
          <w:sz w:val="20"/>
          <w:szCs w:val="20"/>
        </w:rPr>
        <w:t>tively taller (80–120 cm) (Gill</w:t>
      </w:r>
      <w:r w:rsidRPr="00F83B19">
        <w:rPr>
          <w:rFonts w:ascii="Arial" w:hAnsi="Arial" w:cs="Arial"/>
          <w:sz w:val="20"/>
          <w:szCs w:val="20"/>
        </w:rPr>
        <w:t xml:space="preserve"> 1987). The old (linseed) variety g</w:t>
      </w:r>
      <w:r w:rsidR="00640D4B" w:rsidRPr="00F83B19">
        <w:rPr>
          <w:rFonts w:ascii="Arial" w:hAnsi="Arial" w:cs="Arial"/>
          <w:sz w:val="20"/>
          <w:szCs w:val="20"/>
        </w:rPr>
        <w:t>rew</w:t>
      </w:r>
      <w:r w:rsidRPr="00F83B19">
        <w:rPr>
          <w:rFonts w:ascii="Arial" w:hAnsi="Arial" w:cs="Arial"/>
          <w:sz w:val="20"/>
          <w:szCs w:val="20"/>
        </w:rPr>
        <w:t xml:space="preserve"> 60–80 cm tall and has a short</w:t>
      </w:r>
      <w:r w:rsidR="00640D4B" w:rsidRPr="00F83B19">
        <w:rPr>
          <w:rFonts w:ascii="Arial" w:hAnsi="Arial" w:cs="Arial"/>
          <w:sz w:val="20"/>
          <w:szCs w:val="20"/>
        </w:rPr>
        <w:t xml:space="preserve"> tap–tote branching structure while t</w:t>
      </w:r>
      <w:r w:rsidRPr="00F83B19">
        <w:rPr>
          <w:rFonts w:ascii="Arial" w:hAnsi="Arial" w:cs="Arial"/>
          <w:sz w:val="20"/>
          <w:szCs w:val="20"/>
        </w:rPr>
        <w:t xml:space="preserve">he shoot has several branches and a bushy appearance. The spectacular, </w:t>
      </w:r>
      <w:r w:rsidRPr="00F83B19">
        <w:rPr>
          <w:rFonts w:ascii="Arial" w:hAnsi="Arial" w:cs="Arial"/>
          <w:sz w:val="20"/>
          <w:szCs w:val="20"/>
        </w:rPr>
        <w:lastRenderedPageBreak/>
        <w:t>different-shaped, regular, hermaphrodite, pentamerous, and hypogynous flowers are borne in a loose terminating raceme or open cyme and are coloured blue, white, or pink. Five ovate, acuminate persistent sepals make up the calyx. The corolla is made up of five free, clawed, fugacious, imbricate, bluish, or white, deciduous petals that fall before midday, the androecium has ten five stamens that have been transformed into staminodes make up the outer</w:t>
      </w:r>
      <w:r w:rsidR="00640D4B" w:rsidRPr="00F83B19">
        <w:rPr>
          <w:rFonts w:ascii="Arial" w:hAnsi="Arial" w:cs="Arial"/>
          <w:sz w:val="20"/>
          <w:szCs w:val="20"/>
        </w:rPr>
        <w:t xml:space="preserve"> whorl, however, th</w:t>
      </w:r>
      <w:r w:rsidRPr="00F83B19">
        <w:rPr>
          <w:rFonts w:ascii="Arial" w:hAnsi="Arial" w:cs="Arial"/>
          <w:sz w:val="20"/>
          <w:szCs w:val="20"/>
        </w:rPr>
        <w:t xml:space="preserve">e base of the gynoecium is surrounded by a fused ring made up of the inner five fertile stamens that have been expanded. The petals fit within this ring and are narrow at the base. At the enlarged bases of the stamens are glands that secrete nectar. The anthers encircle and extend over the stigma in the majority of </w:t>
      </w:r>
      <w:proofErr w:type="spellStart"/>
      <w:r w:rsidRPr="00F83B19">
        <w:rPr>
          <w:rFonts w:ascii="Arial" w:hAnsi="Arial" w:cs="Arial"/>
          <w:i/>
          <w:sz w:val="20"/>
          <w:szCs w:val="20"/>
        </w:rPr>
        <w:t>Linum</w:t>
      </w:r>
      <w:proofErr w:type="spellEnd"/>
      <w:r w:rsidRPr="00F83B19">
        <w:rPr>
          <w:rFonts w:ascii="Arial" w:hAnsi="Arial" w:cs="Arial"/>
          <w:i/>
          <w:sz w:val="20"/>
          <w:szCs w:val="20"/>
        </w:rPr>
        <w:t xml:space="preserve"> </w:t>
      </w:r>
      <w:proofErr w:type="spellStart"/>
      <w:r w:rsidRPr="00F83B19">
        <w:rPr>
          <w:rFonts w:ascii="Arial" w:hAnsi="Arial" w:cs="Arial"/>
          <w:i/>
          <w:sz w:val="20"/>
          <w:szCs w:val="20"/>
        </w:rPr>
        <w:t>usitatissimum</w:t>
      </w:r>
      <w:proofErr w:type="spellEnd"/>
      <w:r w:rsidRPr="00F83B19">
        <w:rPr>
          <w:rFonts w:ascii="Arial" w:hAnsi="Arial" w:cs="Arial"/>
          <w:sz w:val="20"/>
          <w:szCs w:val="20"/>
        </w:rPr>
        <w:t xml:space="preserve"> L. flowers, but in some variants, the stigma protrudes slightly beyond the anthers. The two-celled, longitudinally dehiscing, introrse anthers. There are five connected carpels in the upper gynoecium. Because each carpel has a fake septum, the ovary is ovoid and ten celled, and it can produce up to two ovules in each carpel. The ovaries have an axile placentation, five filiform, free, or united styles that are twisted together to form a stigmatic surface with a small club-like shape, and the ovu</w:t>
      </w:r>
      <w:r w:rsidR="007C2765" w:rsidRPr="00F83B19">
        <w:rPr>
          <w:rFonts w:ascii="Arial" w:hAnsi="Arial" w:cs="Arial"/>
          <w:sz w:val="20"/>
          <w:szCs w:val="20"/>
        </w:rPr>
        <w:t>les are succulent and anatropous and the f</w:t>
      </w:r>
      <w:r w:rsidRPr="00F83B19">
        <w:rPr>
          <w:rFonts w:ascii="Arial" w:hAnsi="Arial" w:cs="Arial"/>
          <w:sz w:val="20"/>
          <w:szCs w:val="20"/>
        </w:rPr>
        <w:t xml:space="preserve">ruit is a 5- to 9-mm-diameter spherical, smooth globular capsule. The only species of the </w:t>
      </w:r>
      <w:proofErr w:type="spellStart"/>
      <w:r w:rsidRPr="00F83B19">
        <w:rPr>
          <w:rFonts w:ascii="Arial" w:hAnsi="Arial" w:cs="Arial"/>
          <w:sz w:val="20"/>
          <w:szCs w:val="20"/>
        </w:rPr>
        <w:t>Linaceae</w:t>
      </w:r>
      <w:proofErr w:type="spellEnd"/>
      <w:r w:rsidRPr="00F83B19">
        <w:rPr>
          <w:rFonts w:ascii="Arial" w:hAnsi="Arial" w:cs="Arial"/>
          <w:sz w:val="20"/>
          <w:szCs w:val="20"/>
        </w:rPr>
        <w:t xml:space="preserve"> family having non-dehiscent or semi-dehiscent capsules for modern cultivation is </w:t>
      </w:r>
      <w:proofErr w:type="spellStart"/>
      <w:r w:rsidRPr="00F83B19">
        <w:rPr>
          <w:rFonts w:ascii="Arial" w:hAnsi="Arial" w:cs="Arial"/>
          <w:i/>
          <w:sz w:val="20"/>
          <w:szCs w:val="20"/>
        </w:rPr>
        <w:t>Linum</w:t>
      </w:r>
      <w:proofErr w:type="spellEnd"/>
      <w:r w:rsidRPr="00F83B19">
        <w:rPr>
          <w:rFonts w:ascii="Arial" w:hAnsi="Arial" w:cs="Arial"/>
          <w:i/>
          <w:sz w:val="20"/>
          <w:szCs w:val="20"/>
        </w:rPr>
        <w:t xml:space="preserve"> </w:t>
      </w:r>
      <w:proofErr w:type="spellStart"/>
      <w:r w:rsidRPr="00F83B19">
        <w:rPr>
          <w:rFonts w:ascii="Arial" w:hAnsi="Arial" w:cs="Arial"/>
          <w:i/>
          <w:sz w:val="20"/>
          <w:szCs w:val="20"/>
        </w:rPr>
        <w:t>usitati</w:t>
      </w:r>
      <w:r w:rsidR="007C2765" w:rsidRPr="00F83B19">
        <w:rPr>
          <w:rFonts w:ascii="Arial" w:hAnsi="Arial" w:cs="Arial"/>
          <w:i/>
          <w:sz w:val="20"/>
          <w:szCs w:val="20"/>
        </w:rPr>
        <w:t>ssimum</w:t>
      </w:r>
      <w:proofErr w:type="spellEnd"/>
      <w:r w:rsidR="007C2765" w:rsidRPr="00F83B19">
        <w:rPr>
          <w:rFonts w:ascii="Arial" w:hAnsi="Arial" w:cs="Arial"/>
          <w:sz w:val="20"/>
          <w:szCs w:val="20"/>
        </w:rPr>
        <w:t xml:space="preserve"> L. (</w:t>
      </w:r>
      <w:proofErr w:type="spellStart"/>
      <w:r w:rsidR="007C2765" w:rsidRPr="00F83B19">
        <w:rPr>
          <w:rFonts w:ascii="Arial" w:hAnsi="Arial" w:cs="Arial"/>
          <w:sz w:val="20"/>
          <w:szCs w:val="20"/>
        </w:rPr>
        <w:t>Getinet</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Nigussie</w:t>
      </w:r>
      <w:proofErr w:type="spellEnd"/>
      <w:r w:rsidRPr="00F83B19">
        <w:rPr>
          <w:rFonts w:ascii="Arial" w:hAnsi="Arial" w:cs="Arial"/>
          <w:sz w:val="20"/>
          <w:szCs w:val="20"/>
        </w:rPr>
        <w:t xml:space="preserve"> 1997). It has up to 10 light brown, smooth, glossy, and apple pie-shaped seeds that range in length from 4 to 7 mm. The capsule is of the indehiscent form in the majority of types.</w:t>
      </w:r>
      <w:r w:rsidR="00AB7E4E" w:rsidRPr="00F83B19">
        <w:rPr>
          <w:rFonts w:ascii="Arial" w:hAnsi="Arial" w:cs="Arial"/>
          <w:noProof/>
          <w:sz w:val="20"/>
          <w:szCs w:val="20"/>
          <w:lang w:eastAsia="en-IN"/>
        </w:rPr>
        <w:t xml:space="preserve"> </w:t>
      </w:r>
    </w:p>
    <w:p w14:paraId="55369C83" w14:textId="77777777" w:rsidR="00D71CD4" w:rsidRPr="00F83B19" w:rsidRDefault="00AB7E4E" w:rsidP="001C0D67">
      <w:pPr>
        <w:spacing w:after="0" w:line="360" w:lineRule="auto"/>
        <w:jc w:val="both"/>
        <w:rPr>
          <w:rFonts w:ascii="Arial" w:hAnsi="Arial" w:cs="Arial"/>
          <w:sz w:val="20"/>
          <w:szCs w:val="20"/>
        </w:rPr>
      </w:pPr>
      <w:r w:rsidRPr="00F83B19">
        <w:rPr>
          <w:rFonts w:ascii="Arial" w:hAnsi="Arial" w:cs="Arial"/>
          <w:noProof/>
          <w:sz w:val="20"/>
          <w:szCs w:val="20"/>
          <w:lang w:eastAsia="en-IN"/>
        </w:rPr>
        <w:drawing>
          <wp:inline distT="0" distB="0" distL="0" distR="0" wp14:anchorId="44C89A4C" wp14:editId="5ED44148">
            <wp:extent cx="5724573" cy="3028950"/>
            <wp:effectExtent l="0" t="0" r="9525"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32620"/>
                    </a:xfrm>
                    <a:prstGeom prst="rect">
                      <a:avLst/>
                    </a:prstGeom>
                  </pic:spPr>
                </pic:pic>
              </a:graphicData>
            </a:graphic>
          </wp:inline>
        </w:drawing>
      </w:r>
    </w:p>
    <w:p w14:paraId="2B1F2EA0" w14:textId="19F00213" w:rsidR="00AB7E4E" w:rsidRPr="00F83B19" w:rsidRDefault="005947EC" w:rsidP="005947EC">
      <w:pPr>
        <w:pStyle w:val="ListParagraph"/>
        <w:spacing w:after="0" w:line="360" w:lineRule="auto"/>
        <w:jc w:val="both"/>
        <w:rPr>
          <w:rFonts w:ascii="Arial" w:hAnsi="Arial" w:cs="Arial"/>
          <w:sz w:val="20"/>
          <w:szCs w:val="20"/>
        </w:rPr>
      </w:pPr>
      <w:r>
        <w:rPr>
          <w:rFonts w:ascii="Arial" w:hAnsi="Arial" w:cs="Arial"/>
          <w:sz w:val="20"/>
          <w:szCs w:val="20"/>
        </w:rPr>
        <w:t xml:space="preserve">FIGURE 1. </w:t>
      </w:r>
      <w:r w:rsidR="00AB7E4E" w:rsidRPr="00F83B19">
        <w:rPr>
          <w:rFonts w:ascii="Arial" w:hAnsi="Arial" w:cs="Arial"/>
          <w:sz w:val="20"/>
          <w:szCs w:val="20"/>
        </w:rPr>
        <w:t>Flowering of linseed plants</w:t>
      </w:r>
    </w:p>
    <w:p w14:paraId="664C6C37" w14:textId="77777777" w:rsidR="00640D4B" w:rsidRPr="00F83B19" w:rsidRDefault="00AB7E4E" w:rsidP="001C0D67">
      <w:pPr>
        <w:spacing w:after="0" w:line="360" w:lineRule="auto"/>
        <w:jc w:val="both"/>
        <w:rPr>
          <w:rFonts w:ascii="Arial" w:hAnsi="Arial" w:cs="Arial"/>
          <w:sz w:val="20"/>
          <w:szCs w:val="20"/>
        </w:rPr>
      </w:pPr>
      <w:r w:rsidRPr="00F83B19">
        <w:rPr>
          <w:rFonts w:ascii="Arial" w:hAnsi="Arial" w:cs="Arial"/>
          <w:noProof/>
          <w:sz w:val="20"/>
          <w:szCs w:val="20"/>
          <w:lang w:eastAsia="en-IN"/>
        </w:rPr>
        <w:lastRenderedPageBreak/>
        <w:drawing>
          <wp:inline distT="0" distB="0" distL="0" distR="0" wp14:anchorId="0FD941AC" wp14:editId="1CB92726">
            <wp:extent cx="2841004" cy="2124075"/>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8" cstate="print">
                      <a:extLst>
                        <a:ext uri="{BEBA8EAE-BF5A-486C-A8C5-ECC9F3942E4B}">
                          <a14:imgProps xmlns:a14="http://schemas.microsoft.com/office/drawing/2010/main">
                            <a14:imgLayer r:embed="rId9">
                              <a14:imgEffect>
                                <a14:brightnessContrast bright="1000" contrast="-9000"/>
                              </a14:imgEffect>
                            </a14:imgLayer>
                          </a14:imgProps>
                        </a:ext>
                        <a:ext uri="{28A0092B-C50C-407E-A947-70E740481C1C}">
                          <a14:useLocalDpi xmlns:a14="http://schemas.microsoft.com/office/drawing/2010/main" val="0"/>
                        </a:ext>
                      </a:extLst>
                    </a:blip>
                    <a:stretch>
                      <a:fillRect/>
                    </a:stretch>
                  </pic:blipFill>
                  <pic:spPr>
                    <a:xfrm>
                      <a:off x="0" y="0"/>
                      <a:ext cx="2840282" cy="2123535"/>
                    </a:xfrm>
                    <a:prstGeom prst="rect">
                      <a:avLst/>
                    </a:prstGeom>
                  </pic:spPr>
                </pic:pic>
              </a:graphicData>
            </a:graphic>
          </wp:inline>
        </w:drawing>
      </w:r>
      <w:r w:rsidRPr="00F83B19">
        <w:rPr>
          <w:rFonts w:ascii="Arial" w:hAnsi="Arial" w:cs="Arial"/>
          <w:noProof/>
          <w:sz w:val="20"/>
          <w:szCs w:val="20"/>
          <w:lang w:eastAsia="en-IN"/>
        </w:rPr>
        <w:drawing>
          <wp:inline distT="0" distB="0" distL="0" distR="0" wp14:anchorId="061F911C" wp14:editId="040E8A69">
            <wp:extent cx="2771775" cy="2120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166" cy="2124163"/>
                    </a:xfrm>
                    <a:prstGeom prst="rect">
                      <a:avLst/>
                    </a:prstGeom>
                    <a:noFill/>
                  </pic:spPr>
                </pic:pic>
              </a:graphicData>
            </a:graphic>
          </wp:inline>
        </w:drawing>
      </w:r>
    </w:p>
    <w:p w14:paraId="1CE06DBF" w14:textId="5BA8E44C" w:rsidR="0035433C" w:rsidRPr="005947EC" w:rsidRDefault="005947EC" w:rsidP="005947EC">
      <w:pPr>
        <w:spacing w:after="0" w:line="360" w:lineRule="auto"/>
        <w:ind w:left="270"/>
        <w:jc w:val="both"/>
        <w:rPr>
          <w:rFonts w:ascii="Arial" w:hAnsi="Arial" w:cs="Arial"/>
          <w:sz w:val="20"/>
          <w:szCs w:val="20"/>
        </w:rPr>
      </w:pPr>
      <w:r>
        <w:rPr>
          <w:rFonts w:ascii="Arial" w:hAnsi="Arial" w:cs="Arial"/>
          <w:sz w:val="20"/>
          <w:szCs w:val="20"/>
        </w:rPr>
        <w:t xml:space="preserve">FIGURE 2. </w:t>
      </w:r>
      <w:r w:rsidR="00AB7E4E" w:rsidRPr="005947EC">
        <w:rPr>
          <w:rFonts w:ascii="Arial" w:hAnsi="Arial" w:cs="Arial"/>
          <w:sz w:val="20"/>
          <w:szCs w:val="20"/>
        </w:rPr>
        <w:t xml:space="preserve">Capsules bearing seeds of </w:t>
      </w:r>
      <w:proofErr w:type="spellStart"/>
      <w:r w:rsidR="00AB7E4E" w:rsidRPr="005947EC">
        <w:rPr>
          <w:rFonts w:ascii="Arial" w:hAnsi="Arial" w:cs="Arial"/>
          <w:i/>
          <w:sz w:val="20"/>
          <w:szCs w:val="20"/>
        </w:rPr>
        <w:t>Linum</w:t>
      </w:r>
      <w:proofErr w:type="spellEnd"/>
      <w:r w:rsidR="00AB7E4E" w:rsidRPr="005947EC">
        <w:rPr>
          <w:rFonts w:ascii="Arial" w:hAnsi="Arial" w:cs="Arial"/>
          <w:i/>
          <w:sz w:val="20"/>
          <w:szCs w:val="20"/>
        </w:rPr>
        <w:t xml:space="preserve"> </w:t>
      </w:r>
      <w:proofErr w:type="spellStart"/>
      <w:r w:rsidR="00AB7E4E" w:rsidRPr="005947EC">
        <w:rPr>
          <w:rFonts w:ascii="Arial" w:hAnsi="Arial" w:cs="Arial"/>
          <w:i/>
          <w:sz w:val="20"/>
          <w:szCs w:val="20"/>
        </w:rPr>
        <w:t>usitatissimum</w:t>
      </w:r>
      <w:proofErr w:type="spellEnd"/>
      <w:r w:rsidR="00AB7E4E" w:rsidRPr="005947EC">
        <w:rPr>
          <w:rFonts w:ascii="Arial" w:hAnsi="Arial" w:cs="Arial"/>
          <w:sz w:val="20"/>
          <w:szCs w:val="20"/>
        </w:rPr>
        <w:t xml:space="preserve"> L. plant</w:t>
      </w:r>
      <w:r w:rsidR="00C14591" w:rsidRPr="005947EC">
        <w:rPr>
          <w:rFonts w:ascii="Arial" w:hAnsi="Arial" w:cs="Arial"/>
          <w:sz w:val="20"/>
          <w:szCs w:val="20"/>
        </w:rPr>
        <w:t xml:space="preserve"> c. Seeds after cleaning from the capsules</w:t>
      </w:r>
    </w:p>
    <w:p w14:paraId="68DF0436" w14:textId="77777777" w:rsidR="00B40067" w:rsidRPr="00F83B19" w:rsidRDefault="00D71CD4" w:rsidP="00C14591">
      <w:pPr>
        <w:spacing w:after="0" w:line="360" w:lineRule="auto"/>
        <w:jc w:val="both"/>
        <w:rPr>
          <w:rFonts w:ascii="Arial" w:hAnsi="Arial" w:cs="Arial"/>
          <w:sz w:val="20"/>
          <w:szCs w:val="20"/>
        </w:rPr>
      </w:pPr>
      <w:r w:rsidRPr="00F83B19">
        <w:rPr>
          <w:rFonts w:ascii="Arial" w:hAnsi="Arial" w:cs="Arial"/>
          <w:b/>
          <w:sz w:val="20"/>
          <w:szCs w:val="20"/>
        </w:rPr>
        <w:t>Economic importance</w:t>
      </w:r>
      <w:r w:rsidR="00640D4B" w:rsidRPr="00F83B19">
        <w:rPr>
          <w:rFonts w:ascii="Arial" w:hAnsi="Arial" w:cs="Arial"/>
          <w:sz w:val="20"/>
          <w:szCs w:val="20"/>
        </w:rPr>
        <w:t xml:space="preserve"> </w:t>
      </w:r>
    </w:p>
    <w:p w14:paraId="4EB184ED" w14:textId="77777777" w:rsidR="00B40067" w:rsidRPr="00F83B19" w:rsidRDefault="00B40067" w:rsidP="007C2765">
      <w:pPr>
        <w:spacing w:after="0" w:line="360" w:lineRule="auto"/>
        <w:ind w:firstLine="720"/>
        <w:jc w:val="both"/>
        <w:rPr>
          <w:rFonts w:ascii="Arial" w:hAnsi="Arial" w:cs="Arial"/>
          <w:sz w:val="20"/>
          <w:szCs w:val="20"/>
        </w:rPr>
      </w:pPr>
      <w:r w:rsidRPr="00F83B19">
        <w:rPr>
          <w:rFonts w:ascii="Arial" w:hAnsi="Arial" w:cs="Arial"/>
          <w:sz w:val="20"/>
          <w:szCs w:val="20"/>
        </w:rPr>
        <w:t xml:space="preserve">Flax fibre: Flax fibre is recognized as one of the most eco-friendly and natural fibres available for textile use and is valued for its notable properties such as high strength, fineness, and durability. Compared to cotton and jute, flax is shinier, stronger, less elastic, longer-lasting, and more resistant to environmental changes. It blends easily with other natural fibres like wool, silk, and cotton. When bundled, flax fibres resemble blonde hair, and the threads produced are exceptionally strong, making them suitable for use in footwear, fishing lines, and nets. It is widely applied in the production of items such as canvas, twine, carpets, blankets, and mats and the coarser and rougher varieties are ideal for making sturdy ropes, shipping cords, twines, and other cordage materials, which are crucial in the aeronautics and </w:t>
      </w:r>
      <w:proofErr w:type="spellStart"/>
      <w:r w:rsidRPr="00F83B19">
        <w:rPr>
          <w:rFonts w:ascii="Arial" w:hAnsi="Arial" w:cs="Arial"/>
          <w:sz w:val="20"/>
          <w:szCs w:val="20"/>
        </w:rPr>
        <w:t>defense</w:t>
      </w:r>
      <w:proofErr w:type="spellEnd"/>
      <w:r w:rsidRPr="00F83B19">
        <w:rPr>
          <w:rFonts w:ascii="Arial" w:hAnsi="Arial" w:cs="Arial"/>
          <w:sz w:val="20"/>
          <w:szCs w:val="20"/>
        </w:rPr>
        <w:t xml:space="preserve"> sectors. High-quality flax fibres are used to produce textiles known as 'linen' or '</w:t>
      </w:r>
      <w:proofErr w:type="spellStart"/>
      <w:r w:rsidRPr="00F83B19">
        <w:rPr>
          <w:rFonts w:ascii="Arial" w:hAnsi="Arial" w:cs="Arial"/>
          <w:sz w:val="20"/>
          <w:szCs w:val="20"/>
        </w:rPr>
        <w:t>linso</w:t>
      </w:r>
      <w:proofErr w:type="spellEnd"/>
      <w:r w:rsidRPr="00F83B19">
        <w:rPr>
          <w:rFonts w:ascii="Arial" w:hAnsi="Arial" w:cs="Arial"/>
          <w:sz w:val="20"/>
          <w:szCs w:val="20"/>
        </w:rPr>
        <w:t>-fabrics,' which include products like suiting, shirting, bed linens, laces, damasks, and curtains. Blended fabrics such as flax-jute (Linju) and flax-cotton (</w:t>
      </w:r>
      <w:proofErr w:type="spellStart"/>
      <w:r w:rsidRPr="00F83B19">
        <w:rPr>
          <w:rFonts w:ascii="Arial" w:hAnsi="Arial" w:cs="Arial"/>
          <w:sz w:val="20"/>
          <w:szCs w:val="20"/>
        </w:rPr>
        <w:t>Linco</w:t>
      </w:r>
      <w:proofErr w:type="spellEnd"/>
      <w:r w:rsidRPr="00F83B19">
        <w:rPr>
          <w:rFonts w:ascii="Arial" w:hAnsi="Arial" w:cs="Arial"/>
          <w:sz w:val="20"/>
          <w:szCs w:val="20"/>
        </w:rPr>
        <w:t>) have shown to offer superior quality compared to 100% jute or co</w:t>
      </w:r>
      <w:r w:rsidR="007C2765" w:rsidRPr="00F83B19">
        <w:rPr>
          <w:rFonts w:ascii="Arial" w:hAnsi="Arial" w:cs="Arial"/>
          <w:sz w:val="20"/>
          <w:szCs w:val="20"/>
        </w:rPr>
        <w:t xml:space="preserve">tton fabrics (Pandey and Dayal </w:t>
      </w:r>
      <w:r w:rsidRPr="00F83B19">
        <w:rPr>
          <w:rFonts w:ascii="Arial" w:hAnsi="Arial" w:cs="Arial"/>
          <w:sz w:val="20"/>
          <w:szCs w:val="20"/>
        </w:rPr>
        <w:t>2003).</w:t>
      </w:r>
    </w:p>
    <w:p w14:paraId="0B4554DD"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Geotextiles (Insulation):</w:t>
      </w:r>
      <w:r w:rsidRPr="00F83B19">
        <w:rPr>
          <w:rFonts w:ascii="Arial" w:hAnsi="Arial" w:cs="Arial"/>
          <w:sz w:val="20"/>
          <w:szCs w:val="20"/>
        </w:rPr>
        <w:t xml:space="preserve"> Flax fibres, both coarse and fine, can be blended and processed into insulation batts—sheets of wadded fibre—that exhibit insulation properties comparable to those of fiberglass batts. These batts are effectively used for insulating ceilings and w</w:t>
      </w:r>
      <w:r w:rsidR="007C2765" w:rsidRPr="00F83B19">
        <w:rPr>
          <w:rFonts w:ascii="Arial" w:hAnsi="Arial" w:cs="Arial"/>
          <w:sz w:val="20"/>
          <w:szCs w:val="20"/>
        </w:rPr>
        <w:t xml:space="preserve">alls (Jacobsz and Vander Merwe </w:t>
      </w:r>
      <w:r w:rsidRPr="00F83B19">
        <w:rPr>
          <w:rFonts w:ascii="Arial" w:hAnsi="Arial" w:cs="Arial"/>
          <w:sz w:val="20"/>
          <w:szCs w:val="20"/>
        </w:rPr>
        <w:t>2012).</w:t>
      </w:r>
    </w:p>
    <w:p w14:paraId="7DD550D0"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Plastic Composites:</w:t>
      </w:r>
      <w:r w:rsidRPr="00F83B19">
        <w:rPr>
          <w:rFonts w:ascii="Arial" w:hAnsi="Arial" w:cs="Arial"/>
          <w:sz w:val="20"/>
          <w:szCs w:val="20"/>
        </w:rPr>
        <w:t xml:space="preserve"> Due to their light weight and cost-effectiveness, flax fibres serve as a viable alternative to fiberglass in the production of plastic composites. These composites are used in various applications such as car dashboards, fencing materials, and septic tanks. Flax is often referred to as the "plastic crop" because of its significant role in promoting eco-friendly alternatives for paper and plastic production (Vittal </w:t>
      </w:r>
      <w:r w:rsidR="007C2765" w:rsidRPr="00F83B19">
        <w:rPr>
          <w:rFonts w:ascii="Arial" w:hAnsi="Arial" w:cs="Arial"/>
          <w:sz w:val="20"/>
          <w:szCs w:val="20"/>
        </w:rPr>
        <w:t>et al.</w:t>
      </w:r>
      <w:r w:rsidRPr="00F83B19">
        <w:rPr>
          <w:rFonts w:ascii="Arial" w:hAnsi="Arial" w:cs="Arial"/>
          <w:sz w:val="20"/>
          <w:szCs w:val="20"/>
        </w:rPr>
        <w:t xml:space="preserve"> 2005).</w:t>
      </w:r>
    </w:p>
    <w:p w14:paraId="7B8A340B"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Commercial Wax Applications:</w:t>
      </w:r>
      <w:r w:rsidRPr="00F83B19">
        <w:rPr>
          <w:rFonts w:ascii="Arial" w:hAnsi="Arial" w:cs="Arial"/>
          <w:sz w:val="20"/>
          <w:szCs w:val="20"/>
        </w:rPr>
        <w:t xml:space="preserve"> Wax is extracted from the cortical tissues of flax using various organic solvents. This wax is commonly utilized in the pr</w:t>
      </w:r>
      <w:r w:rsidR="007C2765" w:rsidRPr="00F83B19">
        <w:rPr>
          <w:rFonts w:ascii="Arial" w:hAnsi="Arial" w:cs="Arial"/>
          <w:sz w:val="20"/>
          <w:szCs w:val="20"/>
        </w:rPr>
        <w:t>oduction of shoe polishes (Gill</w:t>
      </w:r>
      <w:r w:rsidRPr="00F83B19">
        <w:rPr>
          <w:rFonts w:ascii="Arial" w:hAnsi="Arial" w:cs="Arial"/>
          <w:sz w:val="20"/>
          <w:szCs w:val="20"/>
        </w:rPr>
        <w:t xml:space="preserve"> 1987).</w:t>
      </w:r>
    </w:p>
    <w:p w14:paraId="7FFB8D31"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Industrial Uses of Linseed Oil:</w:t>
      </w:r>
      <w:r w:rsidRPr="00F83B19">
        <w:rPr>
          <w:rFonts w:ascii="Arial" w:hAnsi="Arial" w:cs="Arial"/>
          <w:sz w:val="20"/>
          <w:szCs w:val="20"/>
        </w:rPr>
        <w:t xml:space="preserve"> Linseed oil, derived from flax seeds, is a highly versatile </w:t>
      </w:r>
      <w:r w:rsidRPr="00F83B19">
        <w:rPr>
          <w:rFonts w:ascii="Arial" w:hAnsi="Arial" w:cs="Arial"/>
          <w:iCs/>
          <w:sz w:val="20"/>
          <w:szCs w:val="20"/>
        </w:rPr>
        <w:t>drying oil</w:t>
      </w:r>
      <w:r w:rsidRPr="00F83B19">
        <w:rPr>
          <w:rFonts w:ascii="Arial" w:hAnsi="Arial" w:cs="Arial"/>
          <w:sz w:val="20"/>
          <w:szCs w:val="20"/>
        </w:rPr>
        <w:t xml:space="preserve"> owing to the presence of di- and tri-unsaturated fatty acids, which allow it to polymerize when exposed to air. This property enables linseed oil to harden into a solid form, making it suitable for use on its own or in blends with other oils, solvents, and resins. Raw linseed oil dries slowly and has a tendency to yellow over time with poor </w:t>
      </w:r>
      <w:proofErr w:type="spellStart"/>
      <w:r w:rsidRPr="00F83B19">
        <w:rPr>
          <w:rFonts w:ascii="Arial" w:hAnsi="Arial" w:cs="Arial"/>
          <w:sz w:val="20"/>
          <w:szCs w:val="20"/>
        </w:rPr>
        <w:t>color</w:t>
      </w:r>
      <w:proofErr w:type="spellEnd"/>
      <w:r w:rsidRPr="00F83B19">
        <w:rPr>
          <w:rFonts w:ascii="Arial" w:hAnsi="Arial" w:cs="Arial"/>
          <w:sz w:val="20"/>
          <w:szCs w:val="20"/>
        </w:rPr>
        <w:t xml:space="preserve"> retention. To enhance its drying speed and </w:t>
      </w:r>
      <w:r w:rsidR="007C2765" w:rsidRPr="00F83B19">
        <w:rPr>
          <w:rFonts w:ascii="Arial" w:hAnsi="Arial" w:cs="Arial"/>
          <w:sz w:val="20"/>
          <w:szCs w:val="20"/>
        </w:rPr>
        <w:t>colour</w:t>
      </w:r>
      <w:r w:rsidRPr="00F83B19">
        <w:rPr>
          <w:rFonts w:ascii="Arial" w:hAnsi="Arial" w:cs="Arial"/>
          <w:sz w:val="20"/>
          <w:szCs w:val="20"/>
        </w:rPr>
        <w:t xml:space="preserve"> </w:t>
      </w:r>
      <w:r w:rsidRPr="00F83B19">
        <w:rPr>
          <w:rFonts w:ascii="Arial" w:hAnsi="Arial" w:cs="Arial"/>
          <w:sz w:val="20"/>
          <w:szCs w:val="20"/>
        </w:rPr>
        <w:lastRenderedPageBreak/>
        <w:t xml:space="preserve">stability, raw linseed oil undergoes heat modification (heating at high temperatures). It can also be blended with chemical dryers—such as linoleates or </w:t>
      </w:r>
      <w:proofErr w:type="spellStart"/>
      <w:r w:rsidRPr="00F83B19">
        <w:rPr>
          <w:rFonts w:ascii="Arial" w:hAnsi="Arial" w:cs="Arial"/>
          <w:sz w:val="20"/>
          <w:szCs w:val="20"/>
        </w:rPr>
        <w:t>resinates</w:t>
      </w:r>
      <w:proofErr w:type="spellEnd"/>
      <w:r w:rsidRPr="00F83B19">
        <w:rPr>
          <w:rFonts w:ascii="Arial" w:hAnsi="Arial" w:cs="Arial"/>
          <w:sz w:val="20"/>
          <w:szCs w:val="20"/>
        </w:rPr>
        <w:t xml:space="preserve"> of metals like lead, manganese, cobalt, or zinc—to meet specific needs in the dyeing and coatings industries.</w:t>
      </w:r>
    </w:p>
    <w:p w14:paraId="70649319"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Nutritional Value:</w:t>
      </w:r>
      <w:r w:rsidRPr="00F83B19">
        <w:rPr>
          <w:rFonts w:ascii="Arial" w:hAnsi="Arial" w:cs="Arial"/>
          <w:sz w:val="20"/>
          <w:szCs w:val="20"/>
        </w:rPr>
        <w:t xml:space="preserve"> Flax seeds are rich in essential nutrients and have considerable nutraceutical value, offering health benefits for both humans and animals. They contain all eight essential amino acids—namely isoleucine, leucine, lysine, methionine, phenylalanine, threonine, tryptophan, and valine—along with carbohydrates, vitamins, minerals, and crude fibre. Flax is also the richest plant-based source of omega-3 and</w:t>
      </w:r>
      <w:r w:rsidR="007C2765" w:rsidRPr="00F83B19">
        <w:rPr>
          <w:rFonts w:ascii="Arial" w:hAnsi="Arial" w:cs="Arial"/>
          <w:sz w:val="20"/>
          <w:szCs w:val="20"/>
        </w:rPr>
        <w:t xml:space="preserve"> omega-6 fatty acids (Anonymous</w:t>
      </w:r>
      <w:r w:rsidRPr="00F83B19">
        <w:rPr>
          <w:rFonts w:ascii="Arial" w:hAnsi="Arial" w:cs="Arial"/>
          <w:sz w:val="20"/>
          <w:szCs w:val="20"/>
        </w:rPr>
        <w:t xml:space="preserve"> 2006). Health professionals often recommend these nutrients for improved wellness. A single cup (130 grams) of ground flax seeds provides approximately 585 kcal of energy, 26 grams of protein, 53 grams of total fat, 36 grams of dietary fibre, 38 grams of carbohydrates, and a full spectrum of essential vitamins and minerals necessary</w:t>
      </w:r>
      <w:r w:rsidR="007C2765" w:rsidRPr="00F83B19">
        <w:rPr>
          <w:rFonts w:ascii="Arial" w:hAnsi="Arial" w:cs="Arial"/>
          <w:sz w:val="20"/>
          <w:szCs w:val="20"/>
        </w:rPr>
        <w:t xml:space="preserve"> for the human body (Anonymous </w:t>
      </w:r>
      <w:r w:rsidRPr="00F83B19">
        <w:rPr>
          <w:rFonts w:ascii="Arial" w:hAnsi="Arial" w:cs="Arial"/>
          <w:sz w:val="20"/>
          <w:szCs w:val="20"/>
        </w:rPr>
        <w:t>2003).</w:t>
      </w:r>
    </w:p>
    <w:p w14:paraId="5D6C217D" w14:textId="77777777" w:rsidR="00B40067" w:rsidRPr="00F83B19" w:rsidRDefault="00B40067" w:rsidP="0035433C">
      <w:pPr>
        <w:spacing w:after="0" w:line="360" w:lineRule="auto"/>
        <w:jc w:val="both"/>
        <w:rPr>
          <w:rFonts w:ascii="Arial" w:hAnsi="Arial" w:cs="Arial"/>
          <w:sz w:val="20"/>
          <w:szCs w:val="20"/>
        </w:rPr>
      </w:pPr>
      <w:r w:rsidRPr="00F83B19">
        <w:rPr>
          <w:rFonts w:ascii="Arial" w:hAnsi="Arial" w:cs="Arial"/>
          <w:b/>
          <w:bCs/>
          <w:sz w:val="20"/>
          <w:szCs w:val="20"/>
        </w:rPr>
        <w:t>As Fodder:</w:t>
      </w:r>
      <w:r w:rsidRPr="00F83B19">
        <w:rPr>
          <w:rFonts w:ascii="Arial" w:hAnsi="Arial" w:cs="Arial"/>
          <w:sz w:val="20"/>
          <w:szCs w:val="20"/>
        </w:rPr>
        <w:t xml:space="preserve"> After extracting oil from linseed seeds, the remaining residue, known as </w:t>
      </w:r>
      <w:r w:rsidRPr="00F83B19">
        <w:rPr>
          <w:rFonts w:ascii="Arial" w:hAnsi="Arial" w:cs="Arial"/>
          <w:iCs/>
          <w:sz w:val="20"/>
          <w:szCs w:val="20"/>
        </w:rPr>
        <w:t>cake</w:t>
      </w:r>
      <w:r w:rsidRPr="00F83B19">
        <w:rPr>
          <w:rFonts w:ascii="Arial" w:hAnsi="Arial" w:cs="Arial"/>
          <w:sz w:val="20"/>
          <w:szCs w:val="20"/>
        </w:rPr>
        <w:t xml:space="preserve">, is typically brown in </w:t>
      </w:r>
      <w:proofErr w:type="spellStart"/>
      <w:r w:rsidRPr="00F83B19">
        <w:rPr>
          <w:rFonts w:ascii="Arial" w:hAnsi="Arial" w:cs="Arial"/>
          <w:sz w:val="20"/>
          <w:szCs w:val="20"/>
        </w:rPr>
        <w:t>color</w:t>
      </w:r>
      <w:proofErr w:type="spellEnd"/>
      <w:r w:rsidRPr="00F83B19">
        <w:rPr>
          <w:rFonts w:ascii="Arial" w:hAnsi="Arial" w:cs="Arial"/>
          <w:sz w:val="20"/>
          <w:szCs w:val="20"/>
        </w:rPr>
        <w:t xml:space="preserve">. Before the extraction of oil (defatting), this cake contains several valuable components, including 21.78% non-nitrogenous extract, 29.37% lipids, 27.78% protein, 7.02% </w:t>
      </w:r>
      <w:r w:rsidR="0035433C" w:rsidRPr="00F83B19">
        <w:rPr>
          <w:rFonts w:ascii="Arial" w:hAnsi="Arial" w:cs="Arial"/>
          <w:sz w:val="20"/>
          <w:szCs w:val="20"/>
        </w:rPr>
        <w:t>fibre</w:t>
      </w:r>
      <w:r w:rsidRPr="00F83B19">
        <w:rPr>
          <w:rFonts w:ascii="Arial" w:hAnsi="Arial" w:cs="Arial"/>
          <w:sz w:val="20"/>
          <w:szCs w:val="20"/>
        </w:rPr>
        <w:t xml:space="preserve">, 3.40% ash, and 10.65% total moisture content (Gutierrez </w:t>
      </w:r>
      <w:r w:rsidR="007C2765" w:rsidRPr="00F83B19">
        <w:rPr>
          <w:rFonts w:ascii="Arial" w:hAnsi="Arial" w:cs="Arial"/>
          <w:sz w:val="20"/>
          <w:szCs w:val="20"/>
        </w:rPr>
        <w:t>et al.</w:t>
      </w:r>
      <w:r w:rsidRPr="00F83B19">
        <w:rPr>
          <w:rFonts w:ascii="Arial" w:hAnsi="Arial" w:cs="Arial"/>
          <w:sz w:val="20"/>
          <w:szCs w:val="20"/>
        </w:rPr>
        <w:t xml:space="preserve"> 2010). Due to its high protein content, linseed cake serves as a nutritious and palatable feed for livestock. It is commonly fed to cattle to enhance their health, promote the shine and gloss of their coats, and improve overall well-being. Additionally, linseed meal is sometimes used as an additive in baking </w:t>
      </w:r>
      <w:r w:rsidR="007C2765" w:rsidRPr="00F83B19">
        <w:rPr>
          <w:rFonts w:ascii="Arial" w:hAnsi="Arial" w:cs="Arial"/>
          <w:sz w:val="20"/>
          <w:szCs w:val="20"/>
        </w:rPr>
        <w:t>products (</w:t>
      </w:r>
      <w:proofErr w:type="spellStart"/>
      <w:r w:rsidR="007C2765" w:rsidRPr="00F83B19">
        <w:rPr>
          <w:rFonts w:ascii="Arial" w:hAnsi="Arial" w:cs="Arial"/>
          <w:sz w:val="20"/>
          <w:szCs w:val="20"/>
        </w:rPr>
        <w:t>Coskuner</w:t>
      </w:r>
      <w:proofErr w:type="spellEnd"/>
      <w:r w:rsidR="007C2765" w:rsidRPr="00F83B19">
        <w:rPr>
          <w:rFonts w:ascii="Arial" w:hAnsi="Arial" w:cs="Arial"/>
          <w:sz w:val="20"/>
          <w:szCs w:val="20"/>
        </w:rPr>
        <w:t xml:space="preserve"> and </w:t>
      </w:r>
      <w:proofErr w:type="spellStart"/>
      <w:r w:rsidR="007C2765" w:rsidRPr="00F83B19">
        <w:rPr>
          <w:rFonts w:ascii="Arial" w:hAnsi="Arial" w:cs="Arial"/>
          <w:sz w:val="20"/>
          <w:szCs w:val="20"/>
        </w:rPr>
        <w:t>Karababa</w:t>
      </w:r>
      <w:proofErr w:type="spellEnd"/>
      <w:r w:rsidRPr="00F83B19">
        <w:rPr>
          <w:rFonts w:ascii="Arial" w:hAnsi="Arial" w:cs="Arial"/>
          <w:sz w:val="20"/>
          <w:szCs w:val="20"/>
        </w:rPr>
        <w:t xml:space="preserve"> 2007).</w:t>
      </w:r>
    </w:p>
    <w:p w14:paraId="184D988C" w14:textId="77777777" w:rsidR="000F7BC3" w:rsidRPr="00F83B19" w:rsidRDefault="00F83B19" w:rsidP="00AA411D">
      <w:pPr>
        <w:spacing w:after="0" w:line="360" w:lineRule="auto"/>
        <w:jc w:val="both"/>
        <w:rPr>
          <w:rFonts w:ascii="Arial" w:hAnsi="Arial" w:cs="Arial"/>
          <w:b/>
          <w:bCs/>
        </w:rPr>
      </w:pPr>
      <w:r w:rsidRPr="00F83B19">
        <w:rPr>
          <w:rFonts w:ascii="Arial" w:hAnsi="Arial" w:cs="Arial"/>
          <w:b/>
          <w:bCs/>
        </w:rPr>
        <w:t>NANO UREA: IMPACT ON CROPS</w:t>
      </w:r>
    </w:p>
    <w:p w14:paraId="73E1E80E" w14:textId="77777777" w:rsidR="000F7BC3" w:rsidRPr="00F83B19" w:rsidRDefault="000F7BC3" w:rsidP="000F7BC3">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Pandav et al. (2022) conducted a field experiment during the Rabi season of 2022 at the Instructional Farm, Department of Agronomy, College of Agriculture, </w:t>
      </w:r>
      <w:proofErr w:type="spellStart"/>
      <w:r w:rsidRPr="00F83B19">
        <w:rPr>
          <w:rFonts w:ascii="Arial" w:hAnsi="Arial" w:cs="Arial"/>
          <w:bCs/>
          <w:sz w:val="20"/>
          <w:szCs w:val="20"/>
        </w:rPr>
        <w:t>Dapoli</w:t>
      </w:r>
      <w:proofErr w:type="spellEnd"/>
      <w:r w:rsidRPr="00F83B19">
        <w:rPr>
          <w:rFonts w:ascii="Arial" w:hAnsi="Arial" w:cs="Arial"/>
          <w:bCs/>
          <w:sz w:val="20"/>
          <w:szCs w:val="20"/>
        </w:rPr>
        <w:t>, Ratnagiri, Maharashtra, to examine the effect of nitrogen levels and nano urea on the growth, yield, and quality of mustard (</w:t>
      </w:r>
      <w:r w:rsidRPr="00F83B19">
        <w:rPr>
          <w:rFonts w:ascii="Arial" w:hAnsi="Arial" w:cs="Arial"/>
          <w:bCs/>
          <w:i/>
          <w:iCs/>
          <w:sz w:val="20"/>
          <w:szCs w:val="20"/>
        </w:rPr>
        <w:t>Brassica juncea</w:t>
      </w:r>
      <w:r w:rsidRPr="00F83B19">
        <w:rPr>
          <w:rFonts w:ascii="Arial" w:hAnsi="Arial" w:cs="Arial"/>
          <w:bCs/>
          <w:sz w:val="20"/>
          <w:szCs w:val="20"/>
        </w:rPr>
        <w:t>) in the lateritic soils of Konkan. The treatments involved varying nitrogen levels (0, 100, 75% of RDN) and nano urea concentrations (0, 20, 40, 60, 80 ppm) applied at 30 and 60 DAS. The results showed significant improvements in plant height, number of branches, number of functional leaves, and dry matter production at 40, 60, and 80 DAS when 75% RDN (F</w:t>
      </w:r>
      <w:r w:rsidRPr="00F83B19">
        <w:rPr>
          <w:rFonts w:ascii="Arial" w:hAnsi="Arial" w:cs="Arial"/>
          <w:bCs/>
          <w:sz w:val="20"/>
          <w:szCs w:val="20"/>
          <w:vertAlign w:val="subscript"/>
        </w:rPr>
        <w:t>3</w:t>
      </w:r>
      <w:r w:rsidRPr="00F83B19">
        <w:rPr>
          <w:rFonts w:ascii="Arial" w:hAnsi="Arial" w:cs="Arial"/>
          <w:bCs/>
          <w:sz w:val="20"/>
          <w:szCs w:val="20"/>
        </w:rPr>
        <w:t>) and two sprays of nano urea at 40 ppm (N</w:t>
      </w:r>
      <w:r w:rsidRPr="00F83B19">
        <w:rPr>
          <w:rFonts w:ascii="Arial" w:hAnsi="Arial" w:cs="Arial"/>
          <w:bCs/>
          <w:sz w:val="20"/>
          <w:szCs w:val="20"/>
          <w:vertAlign w:val="subscript"/>
        </w:rPr>
        <w:t>3</w:t>
      </w:r>
      <w:r w:rsidRPr="00F83B19">
        <w:rPr>
          <w:rFonts w:ascii="Arial" w:hAnsi="Arial" w:cs="Arial"/>
          <w:bCs/>
          <w:sz w:val="20"/>
          <w:szCs w:val="20"/>
        </w:rPr>
        <w:t>) were applied. The</w:t>
      </w:r>
      <w:r w:rsidR="007C2765" w:rsidRPr="00F83B19">
        <w:rPr>
          <w:rFonts w:ascii="Arial" w:hAnsi="Arial" w:cs="Arial"/>
          <w:bCs/>
          <w:sz w:val="20"/>
          <w:szCs w:val="20"/>
        </w:rPr>
        <w:t xml:space="preserve"> highest seed yield (2083.57 kg ha</w:t>
      </w:r>
      <w:r w:rsidR="007C2765" w:rsidRPr="00F83B19">
        <w:rPr>
          <w:rFonts w:ascii="Arial" w:hAnsi="Arial" w:cs="Arial"/>
          <w:bCs/>
          <w:sz w:val="20"/>
          <w:szCs w:val="20"/>
          <w:vertAlign w:val="superscript"/>
        </w:rPr>
        <w:t>-1</w:t>
      </w:r>
      <w:r w:rsidR="007C2765" w:rsidRPr="00F83B19">
        <w:rPr>
          <w:rFonts w:ascii="Arial" w:hAnsi="Arial" w:cs="Arial"/>
          <w:bCs/>
          <w:sz w:val="20"/>
          <w:szCs w:val="20"/>
        </w:rPr>
        <w:t xml:space="preserve">) and straw yield (3646.24 kg </w:t>
      </w:r>
      <w:r w:rsidRPr="00F83B19">
        <w:rPr>
          <w:rFonts w:ascii="Arial" w:hAnsi="Arial" w:cs="Arial"/>
          <w:bCs/>
          <w:sz w:val="20"/>
          <w:szCs w:val="20"/>
        </w:rPr>
        <w:t>ha</w:t>
      </w:r>
      <w:r w:rsidR="007C2765" w:rsidRPr="00F83B19">
        <w:rPr>
          <w:rFonts w:ascii="Arial" w:hAnsi="Arial" w:cs="Arial"/>
          <w:bCs/>
          <w:sz w:val="20"/>
          <w:szCs w:val="20"/>
          <w:vertAlign w:val="superscript"/>
        </w:rPr>
        <w:t>-1</w:t>
      </w:r>
      <w:r w:rsidRPr="00F83B19">
        <w:rPr>
          <w:rFonts w:ascii="Arial" w:hAnsi="Arial" w:cs="Arial"/>
          <w:bCs/>
          <w:sz w:val="20"/>
          <w:szCs w:val="20"/>
        </w:rPr>
        <w:t>) were observed with this combination, while the untreated control (F</w:t>
      </w:r>
      <w:r w:rsidRPr="00F83B19">
        <w:rPr>
          <w:rFonts w:ascii="Arial" w:hAnsi="Arial" w:cs="Arial"/>
          <w:bCs/>
          <w:sz w:val="20"/>
          <w:szCs w:val="20"/>
          <w:vertAlign w:val="subscript"/>
        </w:rPr>
        <w:t>1</w:t>
      </w:r>
      <w:r w:rsidRPr="00F83B19">
        <w:rPr>
          <w:rFonts w:ascii="Arial" w:hAnsi="Arial" w:cs="Arial"/>
          <w:bCs/>
          <w:sz w:val="20"/>
          <w:szCs w:val="20"/>
        </w:rPr>
        <w:t>N</w:t>
      </w:r>
      <w:r w:rsidRPr="00F83B19">
        <w:rPr>
          <w:rFonts w:ascii="Arial" w:hAnsi="Arial" w:cs="Arial"/>
          <w:bCs/>
          <w:sz w:val="20"/>
          <w:szCs w:val="20"/>
          <w:vertAlign w:val="subscript"/>
        </w:rPr>
        <w:t>1</w:t>
      </w:r>
      <w:r w:rsidRPr="00F83B19">
        <w:rPr>
          <w:rFonts w:ascii="Arial" w:hAnsi="Arial" w:cs="Arial"/>
          <w:bCs/>
          <w:sz w:val="20"/>
          <w:szCs w:val="20"/>
        </w:rPr>
        <w:t>) had the lowest yields.</w:t>
      </w:r>
    </w:p>
    <w:p w14:paraId="3C905FF1" w14:textId="77777777" w:rsidR="000F7BC3" w:rsidRPr="00F83B19" w:rsidRDefault="000F7BC3" w:rsidP="000F7BC3">
      <w:pPr>
        <w:spacing w:after="0" w:line="360" w:lineRule="auto"/>
        <w:ind w:firstLine="720"/>
        <w:jc w:val="both"/>
        <w:rPr>
          <w:rFonts w:ascii="Arial" w:hAnsi="Arial" w:cs="Arial"/>
          <w:bCs/>
          <w:color w:val="000000" w:themeColor="text1"/>
          <w:sz w:val="20"/>
          <w:szCs w:val="20"/>
        </w:rPr>
      </w:pPr>
      <w:r w:rsidRPr="00F83B19">
        <w:rPr>
          <w:rFonts w:ascii="Arial" w:hAnsi="Arial" w:cs="Arial"/>
          <w:bCs/>
          <w:color w:val="000000" w:themeColor="text1"/>
          <w:sz w:val="20"/>
          <w:szCs w:val="20"/>
        </w:rPr>
        <w:t xml:space="preserve">Gayathri et al. (2023) conducted a split-plot field experiment to evaluate the effects of nano urea and conventional urea on the growth and development of safflower. The results indicated that applying 100% nitrogen as urea topdressing during the vegetative stage, followed by two foliar sprays of nano urea at the flowering and seed-filling stages, significantly improved physiological parameters such as plant height and primary branches. The use of 100% nitrogen fertilizer enhanced safflower growth and yield, while halving the nitrogen supply led to reduced growth and yield. The foliar application of nano urea and 2% urea at the reproductive stages provided the plants with necessary nutrients, boosting yield attributes and seed yield. The study concluded that foliar application of nano urea is an effective solution to mitigate nutrient deficiencies when soil nutrient absorption is limited, </w:t>
      </w:r>
      <w:r w:rsidRPr="00F83B19">
        <w:rPr>
          <w:rFonts w:ascii="Arial" w:hAnsi="Arial" w:cs="Arial"/>
          <w:bCs/>
          <w:color w:val="000000" w:themeColor="text1"/>
          <w:sz w:val="20"/>
          <w:szCs w:val="20"/>
        </w:rPr>
        <w:lastRenderedPageBreak/>
        <w:t>offering better nutrient release control, improving nutrient use efficiency, reducing urea costs, and minimizing pollution from conventional fertilizers.</w:t>
      </w:r>
    </w:p>
    <w:p w14:paraId="09BD67F6" w14:textId="77777777" w:rsidR="000F7BC3" w:rsidRPr="00F83B19" w:rsidRDefault="000F7BC3" w:rsidP="00AE3A00">
      <w:pPr>
        <w:spacing w:after="0" w:line="360" w:lineRule="auto"/>
        <w:ind w:firstLine="720"/>
        <w:jc w:val="both"/>
        <w:rPr>
          <w:rFonts w:ascii="Arial" w:hAnsi="Arial" w:cs="Arial"/>
          <w:bCs/>
          <w:sz w:val="20"/>
          <w:szCs w:val="20"/>
        </w:rPr>
      </w:pPr>
      <w:r w:rsidRPr="00F83B19">
        <w:rPr>
          <w:rFonts w:ascii="Arial" w:hAnsi="Arial" w:cs="Arial"/>
          <w:bCs/>
          <w:sz w:val="20"/>
          <w:szCs w:val="20"/>
        </w:rPr>
        <w:t>Siddiqui (2023) conducted a field experiment at the Students' Instructional Farm, C.S. Azad University of Agriculture and Technology, Kanpur, to study the effect of foliar applications of nano urea and nano zinc on the growth, quality, and productivity of Indian mustard (</w:t>
      </w:r>
      <w:r w:rsidRPr="00F83B19">
        <w:rPr>
          <w:rFonts w:ascii="Arial" w:hAnsi="Arial" w:cs="Arial"/>
          <w:bCs/>
          <w:iCs/>
          <w:sz w:val="20"/>
          <w:szCs w:val="20"/>
        </w:rPr>
        <w:t>Brassica juncea</w:t>
      </w:r>
      <w:r w:rsidRPr="00F83B19">
        <w:rPr>
          <w:rFonts w:ascii="Arial" w:hAnsi="Arial" w:cs="Arial"/>
          <w:bCs/>
          <w:sz w:val="20"/>
          <w:szCs w:val="20"/>
        </w:rPr>
        <w:t>) under timely sown irrigated conditions. The experiment, set in a Randomized Block Design with 10 treatments, included variations of the recommended dose of N</w:t>
      </w:r>
      <w:proofErr w:type="gramStart"/>
      <w:r w:rsidRPr="00F83B19">
        <w:rPr>
          <w:rFonts w:ascii="Arial" w:hAnsi="Arial" w:cs="Arial"/>
          <w:bCs/>
          <w:sz w:val="20"/>
          <w:szCs w:val="20"/>
        </w:rPr>
        <w:t>:P:K</w:t>
      </w:r>
      <w:proofErr w:type="gramEnd"/>
      <w:r w:rsidRPr="00F83B19">
        <w:rPr>
          <w:rFonts w:ascii="Arial" w:hAnsi="Arial" w:cs="Arial"/>
          <w:bCs/>
          <w:sz w:val="20"/>
          <w:szCs w:val="20"/>
        </w:rPr>
        <w:t>:ZnSO</w:t>
      </w:r>
      <w:r w:rsidRPr="00F83B19">
        <w:rPr>
          <w:rFonts w:ascii="Arial" w:hAnsi="Arial" w:cs="Arial"/>
          <w:bCs/>
          <w:sz w:val="20"/>
          <w:szCs w:val="20"/>
          <w:vertAlign w:val="subscript"/>
        </w:rPr>
        <w:t>4</w:t>
      </w:r>
      <w:r w:rsidRPr="00F83B19">
        <w:rPr>
          <w:rFonts w:ascii="Arial" w:hAnsi="Arial" w:cs="Arial"/>
          <w:bCs/>
          <w:sz w:val="20"/>
          <w:szCs w:val="20"/>
        </w:rPr>
        <w:t xml:space="preserve"> (RDF) and combina</w:t>
      </w:r>
      <w:r w:rsidR="007C2765" w:rsidRPr="00F83B19">
        <w:rPr>
          <w:rFonts w:ascii="Arial" w:hAnsi="Arial" w:cs="Arial"/>
          <w:bCs/>
          <w:sz w:val="20"/>
          <w:szCs w:val="20"/>
        </w:rPr>
        <w:t>tions with nano urea (4 ml litre</w:t>
      </w:r>
      <w:r w:rsidR="007C2765" w:rsidRPr="00F83B19">
        <w:rPr>
          <w:rFonts w:ascii="Arial" w:hAnsi="Arial" w:cs="Arial"/>
          <w:bCs/>
          <w:sz w:val="20"/>
          <w:szCs w:val="20"/>
          <w:vertAlign w:val="superscript"/>
        </w:rPr>
        <w:t>-1</w:t>
      </w:r>
      <w:r w:rsidRPr="00F83B19">
        <w:rPr>
          <w:rFonts w:ascii="Arial" w:hAnsi="Arial" w:cs="Arial"/>
          <w:bCs/>
          <w:sz w:val="20"/>
          <w:szCs w:val="20"/>
        </w:rPr>
        <w:t xml:space="preserve"> at 30 and 4</w:t>
      </w:r>
      <w:r w:rsidR="007C2765" w:rsidRPr="00F83B19">
        <w:rPr>
          <w:rFonts w:ascii="Arial" w:hAnsi="Arial" w:cs="Arial"/>
          <w:bCs/>
          <w:sz w:val="20"/>
          <w:szCs w:val="20"/>
        </w:rPr>
        <w:t>5 DAS) and nano zinc (2 ml litre</w:t>
      </w:r>
      <w:r w:rsidR="007C2765" w:rsidRPr="00F83B19">
        <w:rPr>
          <w:rFonts w:ascii="Arial" w:hAnsi="Arial" w:cs="Arial"/>
          <w:bCs/>
          <w:sz w:val="20"/>
          <w:szCs w:val="20"/>
          <w:vertAlign w:val="superscript"/>
        </w:rPr>
        <w:t>-1</w:t>
      </w:r>
      <w:r w:rsidRPr="00F83B19">
        <w:rPr>
          <w:rFonts w:ascii="Arial" w:hAnsi="Arial" w:cs="Arial"/>
          <w:bCs/>
          <w:sz w:val="20"/>
          <w:szCs w:val="20"/>
        </w:rPr>
        <w:t xml:space="preserve"> at 30 DAS). Results showed that the treatment with 100% RDN and ZnSO</w:t>
      </w:r>
      <w:r w:rsidRPr="00F83B19">
        <w:rPr>
          <w:rFonts w:ascii="Arial" w:hAnsi="Arial" w:cs="Arial"/>
          <w:bCs/>
          <w:sz w:val="20"/>
          <w:szCs w:val="20"/>
          <w:vertAlign w:val="subscript"/>
        </w:rPr>
        <w:t>4</w:t>
      </w:r>
      <w:r w:rsidRPr="00F83B19">
        <w:rPr>
          <w:rFonts w:ascii="Arial" w:hAnsi="Arial" w:cs="Arial"/>
          <w:bCs/>
          <w:sz w:val="20"/>
          <w:szCs w:val="20"/>
        </w:rPr>
        <w:t>, along with nano urea and nano zinc sprays, resulted in the highest plant height (201.41 cm), number of branches (Primary 8.2, Secondary 10.4, Tertiary 4.3), dry matter accumulation (46.38 g/plant), leaf area index (4.46 at 90 DAS), a</w:t>
      </w:r>
      <w:r w:rsidR="007C2765" w:rsidRPr="00F83B19">
        <w:rPr>
          <w:rFonts w:ascii="Arial" w:hAnsi="Arial" w:cs="Arial"/>
          <w:bCs/>
          <w:sz w:val="20"/>
          <w:szCs w:val="20"/>
        </w:rPr>
        <w:t>nd significant grain (18,564 kg ha</w:t>
      </w:r>
      <w:r w:rsidR="007C2765" w:rsidRPr="00F83B19">
        <w:rPr>
          <w:rFonts w:ascii="Arial" w:hAnsi="Arial" w:cs="Arial"/>
          <w:bCs/>
          <w:sz w:val="20"/>
          <w:szCs w:val="20"/>
          <w:vertAlign w:val="superscript"/>
        </w:rPr>
        <w:t>-1</w:t>
      </w:r>
      <w:r w:rsidR="007C2765" w:rsidRPr="00F83B19">
        <w:rPr>
          <w:rFonts w:ascii="Arial" w:hAnsi="Arial" w:cs="Arial"/>
          <w:bCs/>
          <w:sz w:val="20"/>
          <w:szCs w:val="20"/>
        </w:rPr>
        <w:t xml:space="preserve">) and straw yields (45,686 kg </w:t>
      </w:r>
      <w:r w:rsidRPr="00F83B19">
        <w:rPr>
          <w:rFonts w:ascii="Arial" w:hAnsi="Arial" w:cs="Arial"/>
          <w:bCs/>
          <w:sz w:val="20"/>
          <w:szCs w:val="20"/>
        </w:rPr>
        <w:t>ha</w:t>
      </w:r>
      <w:r w:rsidR="007C2765" w:rsidRPr="00F83B19">
        <w:rPr>
          <w:rFonts w:ascii="Arial" w:hAnsi="Arial" w:cs="Arial"/>
          <w:bCs/>
          <w:sz w:val="20"/>
          <w:szCs w:val="20"/>
          <w:vertAlign w:val="superscript"/>
        </w:rPr>
        <w:t>-1</w:t>
      </w:r>
      <w:r w:rsidRPr="00F83B19">
        <w:rPr>
          <w:rFonts w:ascii="Arial" w:hAnsi="Arial" w:cs="Arial"/>
          <w:bCs/>
          <w:sz w:val="20"/>
          <w:szCs w:val="20"/>
        </w:rPr>
        <w:t>)</w:t>
      </w:r>
      <w:r w:rsidR="007C2765" w:rsidRPr="00F83B19">
        <w:rPr>
          <w:rFonts w:ascii="Arial" w:hAnsi="Arial" w:cs="Arial"/>
          <w:bCs/>
          <w:sz w:val="20"/>
          <w:szCs w:val="20"/>
        </w:rPr>
        <w:t xml:space="preserve">. The highest number of siliqua </w:t>
      </w:r>
      <w:r w:rsidRPr="00F83B19">
        <w:rPr>
          <w:rFonts w:ascii="Arial" w:hAnsi="Arial" w:cs="Arial"/>
          <w:bCs/>
          <w:sz w:val="20"/>
          <w:szCs w:val="20"/>
        </w:rPr>
        <w:t>plant</w:t>
      </w:r>
      <w:r w:rsidR="007C2765" w:rsidRPr="00F83B19">
        <w:rPr>
          <w:rFonts w:ascii="Arial" w:hAnsi="Arial" w:cs="Arial"/>
          <w:bCs/>
          <w:sz w:val="20"/>
          <w:szCs w:val="20"/>
          <w:vertAlign w:val="superscript"/>
        </w:rPr>
        <w:t>-1</w:t>
      </w:r>
      <w:r w:rsidRPr="00F83B19">
        <w:rPr>
          <w:rFonts w:ascii="Arial" w:hAnsi="Arial" w:cs="Arial"/>
          <w:bCs/>
          <w:sz w:val="20"/>
          <w:szCs w:val="20"/>
        </w:rPr>
        <w:t xml:space="preserve"> (268.85) and oil content (41.64%) were achieved with this treatment, which l</w:t>
      </w:r>
      <w:r w:rsidR="00FD58AF" w:rsidRPr="00F83B19">
        <w:rPr>
          <w:rFonts w:ascii="Arial" w:hAnsi="Arial" w:cs="Arial"/>
          <w:bCs/>
          <w:sz w:val="20"/>
          <w:szCs w:val="20"/>
        </w:rPr>
        <w:t xml:space="preserve">ed to </w:t>
      </w:r>
      <w:r w:rsidR="0035433C" w:rsidRPr="00F83B19">
        <w:rPr>
          <w:rFonts w:ascii="Arial" w:hAnsi="Arial" w:cs="Arial"/>
          <w:bCs/>
          <w:sz w:val="20"/>
          <w:szCs w:val="20"/>
        </w:rPr>
        <w:t>oil</w:t>
      </w:r>
      <w:r w:rsidR="00FD58AF" w:rsidRPr="00F83B19">
        <w:rPr>
          <w:rFonts w:ascii="Arial" w:hAnsi="Arial" w:cs="Arial"/>
          <w:bCs/>
          <w:sz w:val="20"/>
          <w:szCs w:val="20"/>
        </w:rPr>
        <w:t xml:space="preserve"> yield of 773.01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The high yield was attributed to increased dry matter accumulation and LAI. The oil extracted from this treatment had a low erucic acid content (&lt;2%), making it suitable for edible purposes.</w:t>
      </w:r>
    </w:p>
    <w:p w14:paraId="4249FFD0" w14:textId="77777777" w:rsidR="000F7BC3" w:rsidRPr="00F83B19" w:rsidRDefault="00792AAA" w:rsidP="00AA411D">
      <w:pPr>
        <w:spacing w:after="0" w:line="360" w:lineRule="auto"/>
        <w:jc w:val="both"/>
        <w:rPr>
          <w:rFonts w:ascii="Arial" w:hAnsi="Arial" w:cs="Arial"/>
          <w:b/>
          <w:bCs/>
          <w:sz w:val="20"/>
          <w:szCs w:val="20"/>
        </w:rPr>
      </w:pPr>
      <w:r w:rsidRPr="00F83B19">
        <w:rPr>
          <w:rFonts w:ascii="Arial" w:hAnsi="Arial" w:cs="Arial"/>
          <w:b/>
          <w:bCs/>
          <w:sz w:val="20"/>
          <w:szCs w:val="20"/>
        </w:rPr>
        <w:t>I</w:t>
      </w:r>
      <w:r w:rsidR="00A3774A" w:rsidRPr="00F83B19">
        <w:rPr>
          <w:rFonts w:ascii="Arial" w:hAnsi="Arial" w:cs="Arial"/>
          <w:b/>
          <w:bCs/>
          <w:sz w:val="20"/>
          <w:szCs w:val="20"/>
        </w:rPr>
        <w:t xml:space="preserve">mpact on linseed </w:t>
      </w:r>
    </w:p>
    <w:p w14:paraId="2BE7B84A" w14:textId="77777777" w:rsidR="000F7BC3" w:rsidRPr="00F83B19" w:rsidRDefault="000F7BC3" w:rsidP="00AE3A00">
      <w:pPr>
        <w:spacing w:after="0" w:line="360" w:lineRule="auto"/>
        <w:ind w:firstLine="720"/>
        <w:jc w:val="both"/>
        <w:rPr>
          <w:rFonts w:ascii="Arial" w:hAnsi="Arial" w:cs="Arial"/>
          <w:bCs/>
          <w:sz w:val="20"/>
          <w:szCs w:val="20"/>
        </w:rPr>
      </w:pPr>
      <w:r w:rsidRPr="00F83B19">
        <w:rPr>
          <w:rFonts w:ascii="Arial" w:hAnsi="Arial" w:cs="Arial"/>
          <w:bCs/>
          <w:sz w:val="20"/>
          <w:szCs w:val="20"/>
        </w:rPr>
        <w:t>The use of nano-nitrogen through foliar spraying has been shown to increase the dry weight of plants, likely due to enhanced growth and increased branch development. This improvement in plant structure could lead to higher levels of photosynthetic activity, ultimately boosting the production of photosynthates. Since nitrogen plays a critical role in the metabolic processes that contribute to dry matter accumulation in plants, its application via nano-urea has demonstrated positive effects. These findings align with previous research conducted by Varsha et al. (2020).</w:t>
      </w:r>
    </w:p>
    <w:p w14:paraId="7395ADAB" w14:textId="77777777" w:rsidR="00792AAA" w:rsidRPr="00F83B19" w:rsidRDefault="000F7BC3" w:rsidP="00E351E7">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Reddy et al. (2023) concluded that the soil application of 100% nitrogen in two splits (50% as basal and 50% as top dressing) resulted in the highest leaf and plant nitrogen content, as well as the most significant nitrogen, phosphorus, and potassium (NPK) uptake by both the seed and stover. This approach also exhibited superior agronomic efficiency and nutrient recovery, ultimately leading to better yield attributes and higher seed and stover yields. Among the various foliar spray treatments with different nitrogen doses, two </w:t>
      </w:r>
      <w:r w:rsidR="00FD58AF" w:rsidRPr="00F83B19">
        <w:rPr>
          <w:rFonts w:ascii="Arial" w:hAnsi="Arial" w:cs="Arial"/>
          <w:bCs/>
          <w:sz w:val="20"/>
          <w:szCs w:val="20"/>
        </w:rPr>
        <w:t>sprays of Nano-urea at 3 ml litre</w:t>
      </w:r>
      <w:r w:rsidR="00FD58AF" w:rsidRPr="00F83B19">
        <w:rPr>
          <w:rFonts w:ascii="Arial" w:hAnsi="Arial" w:cs="Arial"/>
          <w:bCs/>
          <w:sz w:val="20"/>
          <w:szCs w:val="20"/>
          <w:vertAlign w:val="superscript"/>
        </w:rPr>
        <w:t>-1</w:t>
      </w:r>
      <w:r w:rsidRPr="00F83B19">
        <w:rPr>
          <w:rFonts w:ascii="Arial" w:hAnsi="Arial" w:cs="Arial"/>
          <w:bCs/>
          <w:sz w:val="20"/>
          <w:szCs w:val="20"/>
        </w:rPr>
        <w:t>—applied at the flower initiation and capsule development stages—resulted in the highest nutrient uptake by linseed plants. This in turn led to the highest seed and stover yields, demonstrating the effectiveness of Nano-urea in improving the overall nutrient e</w:t>
      </w:r>
      <w:r w:rsidR="00426F50" w:rsidRPr="00F83B19">
        <w:rPr>
          <w:rFonts w:ascii="Arial" w:hAnsi="Arial" w:cs="Arial"/>
          <w:bCs/>
          <w:sz w:val="20"/>
          <w:szCs w:val="20"/>
        </w:rPr>
        <w:t>fficienc</w:t>
      </w:r>
      <w:r w:rsidR="00E351E7" w:rsidRPr="00F83B19">
        <w:rPr>
          <w:rFonts w:ascii="Arial" w:hAnsi="Arial" w:cs="Arial"/>
          <w:bCs/>
          <w:sz w:val="20"/>
          <w:szCs w:val="20"/>
        </w:rPr>
        <w:t>y and crop productivity (Table 2</w:t>
      </w:r>
      <w:r w:rsidR="00426F50" w:rsidRPr="00F83B19">
        <w:rPr>
          <w:rFonts w:ascii="Arial" w:hAnsi="Arial" w:cs="Arial"/>
          <w:bCs/>
          <w:sz w:val="20"/>
          <w:szCs w:val="20"/>
        </w:rPr>
        <w:t>)</w:t>
      </w:r>
    </w:p>
    <w:p w14:paraId="50348191" w14:textId="77777777" w:rsidR="003D14C4" w:rsidRPr="00F83B19" w:rsidRDefault="00426F50" w:rsidP="003D14C4">
      <w:pPr>
        <w:spacing w:after="0" w:line="360" w:lineRule="auto"/>
        <w:ind w:firstLine="360"/>
        <w:jc w:val="both"/>
        <w:rPr>
          <w:rFonts w:ascii="Arial" w:hAnsi="Arial" w:cs="Arial"/>
          <w:bCs/>
          <w:color w:val="000000" w:themeColor="text1"/>
          <w:sz w:val="20"/>
          <w:szCs w:val="20"/>
        </w:rPr>
      </w:pPr>
      <w:r w:rsidRPr="00F83B19">
        <w:rPr>
          <w:rFonts w:ascii="Arial" w:hAnsi="Arial" w:cs="Arial"/>
          <w:bCs/>
          <w:color w:val="000000" w:themeColor="text1"/>
          <w:sz w:val="20"/>
          <w:szCs w:val="20"/>
        </w:rPr>
        <w:t xml:space="preserve">Ramesh et al. (2023) reported that the </w:t>
      </w:r>
      <w:r w:rsidR="00FD58AF" w:rsidRPr="00F83B19">
        <w:rPr>
          <w:rFonts w:ascii="Arial" w:hAnsi="Arial" w:cs="Arial"/>
          <w:bCs/>
          <w:color w:val="000000" w:themeColor="text1"/>
          <w:sz w:val="20"/>
          <w:szCs w:val="20"/>
        </w:rPr>
        <w:t xml:space="preserve">highest grain yield (1434.23 kg </w:t>
      </w:r>
      <w:r w:rsidRPr="00F83B19">
        <w:rPr>
          <w:rFonts w:ascii="Arial" w:hAnsi="Arial" w:cs="Arial"/>
          <w:bCs/>
          <w:color w:val="000000" w:themeColor="text1"/>
          <w:sz w:val="20"/>
          <w:szCs w:val="20"/>
        </w:rPr>
        <w:t>ha</w:t>
      </w:r>
      <w:r w:rsidR="00FD58AF" w:rsidRPr="00F83B19">
        <w:rPr>
          <w:rFonts w:ascii="Arial" w:hAnsi="Arial" w:cs="Arial"/>
          <w:bCs/>
          <w:color w:val="000000" w:themeColor="text1"/>
          <w:sz w:val="20"/>
          <w:szCs w:val="20"/>
          <w:vertAlign w:val="superscript"/>
        </w:rPr>
        <w:t>-1</w:t>
      </w:r>
      <w:r w:rsidRPr="00F83B19">
        <w:rPr>
          <w:rFonts w:ascii="Arial" w:hAnsi="Arial" w:cs="Arial"/>
          <w:bCs/>
          <w:color w:val="000000" w:themeColor="text1"/>
          <w:sz w:val="20"/>
          <w:szCs w:val="20"/>
        </w:rPr>
        <w:t>) in linseed was obtained with treatment T</w:t>
      </w:r>
      <w:r w:rsidRPr="00F83B19">
        <w:rPr>
          <w:rFonts w:ascii="Arial" w:hAnsi="Arial" w:cs="Arial"/>
          <w:bCs/>
          <w:color w:val="000000" w:themeColor="text1"/>
          <w:sz w:val="20"/>
          <w:szCs w:val="20"/>
          <w:vertAlign w:val="subscript"/>
        </w:rPr>
        <w:t>7</w:t>
      </w:r>
      <w:r w:rsidRPr="00F83B19">
        <w:rPr>
          <w:rFonts w:ascii="Arial" w:hAnsi="Arial" w:cs="Arial"/>
          <w:bCs/>
          <w:color w:val="000000" w:themeColor="text1"/>
          <w:sz w:val="20"/>
          <w:szCs w:val="20"/>
        </w:rPr>
        <w:t xml:space="preserve">, which involved 50% nitrogen (RDN), 100% phosphorus and potassium through the soil, along with two foliar applications of nano-N at 0.4% concentration at 20 and 40 days after sowing (DAS). This was similar to T8, which included 25% nitrogen (RDN), 100% phosphorus and potassium, and three foliar sprays of nano-N at 0.4% at 20, 40, </w:t>
      </w:r>
      <w:r w:rsidR="00FD58AF" w:rsidRPr="00F83B19">
        <w:rPr>
          <w:rFonts w:ascii="Arial" w:hAnsi="Arial" w:cs="Arial"/>
          <w:bCs/>
          <w:color w:val="000000" w:themeColor="text1"/>
          <w:sz w:val="20"/>
          <w:szCs w:val="20"/>
        </w:rPr>
        <w:t xml:space="preserve">and 60 DAS, yielding 1395.76 kg </w:t>
      </w:r>
      <w:r w:rsidRPr="00F83B19">
        <w:rPr>
          <w:rFonts w:ascii="Arial" w:hAnsi="Arial" w:cs="Arial"/>
          <w:bCs/>
          <w:color w:val="000000" w:themeColor="text1"/>
          <w:sz w:val="20"/>
          <w:szCs w:val="20"/>
        </w:rPr>
        <w:t>ha</w:t>
      </w:r>
      <w:r w:rsidR="00FD58AF" w:rsidRPr="00F83B19">
        <w:rPr>
          <w:rFonts w:ascii="Arial" w:hAnsi="Arial" w:cs="Arial"/>
          <w:bCs/>
          <w:color w:val="000000" w:themeColor="text1"/>
          <w:sz w:val="20"/>
          <w:szCs w:val="20"/>
          <w:vertAlign w:val="superscript"/>
        </w:rPr>
        <w:t>-1</w:t>
      </w:r>
      <w:r w:rsidRPr="00F83B19">
        <w:rPr>
          <w:rFonts w:ascii="Arial" w:hAnsi="Arial" w:cs="Arial"/>
          <w:bCs/>
          <w:color w:val="000000" w:themeColor="text1"/>
          <w:sz w:val="20"/>
          <w:szCs w:val="20"/>
        </w:rPr>
        <w:t xml:space="preserve">. The observed increase in yield was due to nano fertilizers that enhanced nutrient uptake, expanding the plant's surface area for metabolic activities, improving photosynthesis, and boosting both source and sink strength. This allowed better nutrient absorption and higher photosynthate production, leading to improved seed and stover yields. </w:t>
      </w:r>
    </w:p>
    <w:p w14:paraId="095B68AD" w14:textId="77777777" w:rsidR="00AE3A00" w:rsidRPr="00F83B19" w:rsidRDefault="004A6A4E" w:rsidP="004A6A4E">
      <w:pPr>
        <w:spacing w:after="0" w:line="360" w:lineRule="auto"/>
        <w:ind w:firstLine="360"/>
        <w:jc w:val="both"/>
        <w:rPr>
          <w:rFonts w:ascii="Arial" w:hAnsi="Arial" w:cs="Arial"/>
          <w:bCs/>
          <w:sz w:val="20"/>
          <w:szCs w:val="20"/>
        </w:rPr>
      </w:pPr>
      <w:r w:rsidRPr="00F83B19">
        <w:rPr>
          <w:rFonts w:ascii="Arial" w:hAnsi="Arial" w:cs="Arial"/>
          <w:bCs/>
          <w:sz w:val="20"/>
          <w:szCs w:val="20"/>
        </w:rPr>
        <w:lastRenderedPageBreak/>
        <w:t>Kumar et al. (2024) reported that two foliar sprays of nano</w:t>
      </w:r>
      <w:r w:rsidR="00FD58AF" w:rsidRPr="00F83B19">
        <w:rPr>
          <w:rFonts w:ascii="Arial" w:hAnsi="Arial" w:cs="Arial"/>
          <w:bCs/>
          <w:sz w:val="20"/>
          <w:szCs w:val="20"/>
        </w:rPr>
        <w:t xml:space="preserve">-urea (3 ml </w:t>
      </w:r>
      <w:r w:rsidRPr="00F83B19">
        <w:rPr>
          <w:rFonts w:ascii="Arial" w:hAnsi="Arial" w:cs="Arial"/>
          <w:bCs/>
          <w:sz w:val="20"/>
          <w:szCs w:val="20"/>
        </w:rPr>
        <w:t>L</w:t>
      </w:r>
      <w:r w:rsidR="00FD58AF" w:rsidRPr="00F83B19">
        <w:rPr>
          <w:rFonts w:ascii="Arial" w:hAnsi="Arial" w:cs="Arial"/>
          <w:bCs/>
          <w:sz w:val="20"/>
          <w:szCs w:val="20"/>
          <w:vertAlign w:val="superscript"/>
        </w:rPr>
        <w:t>-1</w:t>
      </w:r>
      <w:r w:rsidRPr="00F83B19">
        <w:rPr>
          <w:rFonts w:ascii="Arial" w:hAnsi="Arial" w:cs="Arial"/>
          <w:bCs/>
          <w:sz w:val="20"/>
          <w:szCs w:val="20"/>
        </w:rPr>
        <w:t>) at flowering and capsule development significa</w:t>
      </w:r>
      <w:r w:rsidR="00FD58AF" w:rsidRPr="00F83B19">
        <w:rPr>
          <w:rFonts w:ascii="Arial" w:hAnsi="Arial" w:cs="Arial"/>
          <w:bCs/>
          <w:sz w:val="20"/>
          <w:szCs w:val="20"/>
        </w:rPr>
        <w:t xml:space="preserve">ntly boosted seed yield (838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00FD58AF" w:rsidRPr="00F83B19">
        <w:rPr>
          <w:rFonts w:ascii="Arial" w:hAnsi="Arial" w:cs="Arial"/>
          <w:bCs/>
          <w:sz w:val="20"/>
          <w:szCs w:val="20"/>
        </w:rPr>
        <w:t xml:space="preserve">), straw yield (1669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harvest index (33%), and profit</w:t>
      </w:r>
      <w:r w:rsidR="00FD58AF" w:rsidRPr="00F83B19">
        <w:rPr>
          <w:rFonts w:ascii="Arial" w:hAnsi="Arial" w:cs="Arial"/>
          <w:bCs/>
          <w:sz w:val="20"/>
          <w:szCs w:val="20"/>
        </w:rPr>
        <w:t xml:space="preserve">ability (net returns Rs. 25,894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B:C ratio 2.60). The highest productivity and returns were achieved with 100% recommended nitrogen dose (split 50% basal, 50% top dressing) plus na</w:t>
      </w:r>
      <w:r w:rsidR="00FD58AF" w:rsidRPr="00F83B19">
        <w:rPr>
          <w:rFonts w:ascii="Arial" w:hAnsi="Arial" w:cs="Arial"/>
          <w:bCs/>
          <w:sz w:val="20"/>
          <w:szCs w:val="20"/>
        </w:rPr>
        <w:t xml:space="preserve">no-urea sprays, yielding 984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00FD58AF" w:rsidRPr="00F83B19">
        <w:rPr>
          <w:rFonts w:ascii="Arial" w:hAnsi="Arial" w:cs="Arial"/>
          <w:bCs/>
          <w:sz w:val="20"/>
          <w:szCs w:val="20"/>
        </w:rPr>
        <w:t xml:space="preserve"> of seed, 1827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xml:space="preserve"> of straw, and a B:C ratio of 2.91 and henceforth </w:t>
      </w:r>
      <w:r w:rsidR="00FD58AF" w:rsidRPr="00F83B19">
        <w:rPr>
          <w:rFonts w:ascii="Arial" w:hAnsi="Arial" w:cs="Arial"/>
          <w:bCs/>
          <w:sz w:val="20"/>
          <w:szCs w:val="20"/>
        </w:rPr>
        <w:t>f</w:t>
      </w:r>
      <w:r w:rsidRPr="00F83B19">
        <w:rPr>
          <w:rFonts w:ascii="Arial" w:hAnsi="Arial" w:cs="Arial"/>
          <w:bCs/>
          <w:sz w:val="20"/>
          <w:szCs w:val="20"/>
        </w:rPr>
        <w:t>oliar sprays, whether nano-urea or 2% urea, combined with full nitrogen application, significantly improved yield and economic gains.</w:t>
      </w:r>
    </w:p>
    <w:p w14:paraId="12CB75E3" w14:textId="77777777" w:rsidR="00AB7E4E" w:rsidRPr="00F83B19" w:rsidRDefault="00426F50" w:rsidP="00AB7E4E">
      <w:pPr>
        <w:spacing w:after="0" w:line="360" w:lineRule="auto"/>
        <w:ind w:firstLine="360"/>
        <w:jc w:val="both"/>
        <w:rPr>
          <w:rFonts w:ascii="Arial" w:hAnsi="Arial" w:cs="Arial"/>
          <w:bCs/>
          <w:sz w:val="20"/>
          <w:szCs w:val="20"/>
        </w:rPr>
      </w:pPr>
      <w:r w:rsidRPr="00F83B19">
        <w:rPr>
          <w:rFonts w:ascii="Arial" w:hAnsi="Arial" w:cs="Arial"/>
          <w:bCs/>
          <w:sz w:val="20"/>
          <w:szCs w:val="20"/>
        </w:rPr>
        <w:t xml:space="preserve">Durgeshwari et al. (2024) concluded that nano-urea significantly enhanced linseed yield and its attributes. The highest number of capsules per plant, seed yield, stover yield, and oil yield were observed with </w:t>
      </w:r>
      <w:r w:rsidR="0035433C" w:rsidRPr="00F83B19">
        <w:rPr>
          <w:rFonts w:ascii="Arial" w:hAnsi="Arial" w:cs="Arial"/>
          <w:bCs/>
          <w:sz w:val="20"/>
          <w:szCs w:val="20"/>
        </w:rPr>
        <w:t xml:space="preserve">two sprays of nano-urea at 3 ml </w:t>
      </w:r>
      <w:r w:rsidRPr="00F83B19">
        <w:rPr>
          <w:rFonts w:ascii="Arial" w:hAnsi="Arial" w:cs="Arial"/>
          <w:bCs/>
          <w:sz w:val="20"/>
          <w:szCs w:val="20"/>
        </w:rPr>
        <w:t>L</w:t>
      </w:r>
      <w:r w:rsidR="0035433C" w:rsidRPr="00F83B19">
        <w:rPr>
          <w:rFonts w:ascii="Arial" w:hAnsi="Arial" w:cs="Arial"/>
          <w:bCs/>
          <w:sz w:val="20"/>
          <w:szCs w:val="20"/>
          <w:vertAlign w:val="superscript"/>
        </w:rPr>
        <w:t>-1</w:t>
      </w:r>
      <w:r w:rsidRPr="00F83B19">
        <w:rPr>
          <w:rFonts w:ascii="Arial" w:hAnsi="Arial" w:cs="Arial"/>
          <w:bCs/>
          <w:sz w:val="20"/>
          <w:szCs w:val="20"/>
        </w:rPr>
        <w:t xml:space="preserve"> at flower initiation and capsule development stages (N</w:t>
      </w:r>
      <w:r w:rsidRPr="00F83B19">
        <w:rPr>
          <w:rFonts w:ascii="Arial" w:hAnsi="Arial" w:cs="Arial"/>
          <w:bCs/>
          <w:sz w:val="20"/>
          <w:szCs w:val="20"/>
          <w:vertAlign w:val="subscript"/>
        </w:rPr>
        <w:t>3</w:t>
      </w:r>
      <w:r w:rsidRPr="00F83B19">
        <w:rPr>
          <w:rFonts w:ascii="Arial" w:hAnsi="Arial" w:cs="Arial"/>
          <w:bCs/>
          <w:sz w:val="20"/>
          <w:szCs w:val="20"/>
        </w:rPr>
        <w:t>). This treatment also resulted in the highest seed number per capsule. Nano-urea exhibited a similar effect to 2% urea on yield attributes. The combination of 100% nitrogen (F</w:t>
      </w:r>
      <w:r w:rsidRPr="00F83B19">
        <w:rPr>
          <w:rFonts w:ascii="Arial" w:hAnsi="Arial" w:cs="Arial"/>
          <w:bCs/>
          <w:sz w:val="20"/>
          <w:szCs w:val="20"/>
          <w:vertAlign w:val="subscript"/>
        </w:rPr>
        <w:t>1</w:t>
      </w:r>
      <w:r w:rsidRPr="00F83B19">
        <w:rPr>
          <w:rFonts w:ascii="Arial" w:hAnsi="Arial" w:cs="Arial"/>
          <w:bCs/>
          <w:sz w:val="20"/>
          <w:szCs w:val="20"/>
        </w:rPr>
        <w:t>) and two nano-urea sprays (N</w:t>
      </w:r>
      <w:r w:rsidRPr="00F83B19">
        <w:rPr>
          <w:rFonts w:ascii="Arial" w:hAnsi="Arial" w:cs="Arial"/>
          <w:bCs/>
          <w:sz w:val="20"/>
          <w:szCs w:val="20"/>
          <w:vertAlign w:val="subscript"/>
        </w:rPr>
        <w:t>3</w:t>
      </w:r>
      <w:r w:rsidRPr="00F83B19">
        <w:rPr>
          <w:rFonts w:ascii="Arial" w:hAnsi="Arial" w:cs="Arial"/>
          <w:bCs/>
          <w:sz w:val="20"/>
          <w:szCs w:val="20"/>
        </w:rPr>
        <w:t>) resulted in significantly higher seed yield, stover yield, and oil yield, compared to the interaction of 75% nitrogen (F</w:t>
      </w:r>
      <w:r w:rsidRPr="00F83B19">
        <w:rPr>
          <w:rFonts w:ascii="Arial" w:hAnsi="Arial" w:cs="Arial"/>
          <w:bCs/>
          <w:sz w:val="20"/>
          <w:szCs w:val="20"/>
          <w:vertAlign w:val="subscript"/>
        </w:rPr>
        <w:t>2</w:t>
      </w:r>
      <w:r w:rsidRPr="00F83B19">
        <w:rPr>
          <w:rFonts w:ascii="Arial" w:hAnsi="Arial" w:cs="Arial"/>
          <w:bCs/>
          <w:sz w:val="20"/>
          <w:szCs w:val="20"/>
        </w:rPr>
        <w:t>) and two sprays of 2% urea (N</w:t>
      </w:r>
      <w:r w:rsidRPr="00F83B19">
        <w:rPr>
          <w:rFonts w:ascii="Arial" w:hAnsi="Arial" w:cs="Arial"/>
          <w:bCs/>
          <w:sz w:val="20"/>
          <w:szCs w:val="20"/>
          <w:vertAlign w:val="subscript"/>
        </w:rPr>
        <w:t>5</w:t>
      </w:r>
      <w:r w:rsidRPr="00F83B19">
        <w:rPr>
          <w:rFonts w:ascii="Arial" w:hAnsi="Arial" w:cs="Arial"/>
          <w:bCs/>
          <w:sz w:val="20"/>
          <w:szCs w:val="20"/>
        </w:rPr>
        <w:t>). Nano-urea thus proved to be an effective alternative to traditional nitrogen sprays, improving nutrient uptake, growth, and yield in linseed production.</w:t>
      </w:r>
    </w:p>
    <w:p w14:paraId="2276526B" w14:textId="77777777" w:rsidR="003D14C4" w:rsidRPr="00F83B19" w:rsidRDefault="00426F50" w:rsidP="003D14C4">
      <w:pPr>
        <w:spacing w:after="0" w:line="360" w:lineRule="auto"/>
        <w:ind w:firstLine="360"/>
        <w:jc w:val="both"/>
        <w:rPr>
          <w:rFonts w:ascii="Arial" w:hAnsi="Arial" w:cs="Arial"/>
          <w:bCs/>
          <w:sz w:val="20"/>
          <w:szCs w:val="20"/>
        </w:rPr>
      </w:pPr>
      <w:r w:rsidRPr="00F83B19">
        <w:rPr>
          <w:rFonts w:ascii="Arial" w:hAnsi="Arial" w:cs="Arial"/>
          <w:bCs/>
          <w:sz w:val="20"/>
          <w:szCs w:val="20"/>
        </w:rPr>
        <w:t xml:space="preserve">Harode et al. (2024) conducted a field experiment to study the effect of nano-urea on the growth and yield of linseed during the 2023-2024 rabi season in Nagpur. They used three nitrogen doses (50% basal + 50% top dressing) as the first factor and four foliar nitrogen supplementation treatments as the second factor. Among the various treatments, </w:t>
      </w:r>
      <w:r w:rsidR="00FD58AF" w:rsidRPr="00F83B19">
        <w:rPr>
          <w:rFonts w:ascii="Arial" w:hAnsi="Arial" w:cs="Arial"/>
          <w:bCs/>
          <w:sz w:val="20"/>
          <w:szCs w:val="20"/>
        </w:rPr>
        <w:t xml:space="preserve">two sprays of nano-urea at 3 ml </w:t>
      </w:r>
      <w:r w:rsidRPr="00F83B19">
        <w:rPr>
          <w:rFonts w:ascii="Arial" w:hAnsi="Arial" w:cs="Arial"/>
          <w:bCs/>
          <w:sz w:val="20"/>
          <w:szCs w:val="20"/>
        </w:rPr>
        <w:t>L</w:t>
      </w:r>
      <w:r w:rsidR="00FD58AF" w:rsidRPr="00F83B19">
        <w:rPr>
          <w:rFonts w:ascii="Arial" w:hAnsi="Arial" w:cs="Arial"/>
          <w:bCs/>
          <w:sz w:val="20"/>
          <w:szCs w:val="20"/>
          <w:vertAlign w:val="superscript"/>
        </w:rPr>
        <w:t>-1</w:t>
      </w:r>
      <w:r w:rsidRPr="00F83B19">
        <w:rPr>
          <w:rFonts w:ascii="Arial" w:hAnsi="Arial" w:cs="Arial"/>
          <w:bCs/>
          <w:sz w:val="20"/>
          <w:szCs w:val="20"/>
        </w:rPr>
        <w:t xml:space="preserve"> during the flower initiation and capsule development stages (N</w:t>
      </w:r>
      <w:r w:rsidRPr="00F83B19">
        <w:rPr>
          <w:rFonts w:ascii="Arial" w:hAnsi="Arial" w:cs="Arial"/>
          <w:bCs/>
          <w:sz w:val="20"/>
          <w:szCs w:val="20"/>
          <w:vertAlign w:val="subscript"/>
        </w:rPr>
        <w:t>2</w:t>
      </w:r>
      <w:r w:rsidRPr="00F83B19">
        <w:rPr>
          <w:rFonts w:ascii="Arial" w:hAnsi="Arial" w:cs="Arial"/>
          <w:bCs/>
          <w:sz w:val="20"/>
          <w:szCs w:val="20"/>
        </w:rPr>
        <w:t xml:space="preserve">) resulted in the highest plant height (68.91 cm), number of branches (4.36), </w:t>
      </w:r>
      <w:r w:rsidR="00FD58AF" w:rsidRPr="00F83B19">
        <w:rPr>
          <w:rFonts w:ascii="Arial" w:hAnsi="Arial" w:cs="Arial"/>
          <w:bCs/>
          <w:sz w:val="20"/>
          <w:szCs w:val="20"/>
        </w:rPr>
        <w:t xml:space="preserve">dry matter accumulation (8.86 g </w:t>
      </w:r>
      <w:r w:rsidRPr="00F83B19">
        <w:rPr>
          <w:rFonts w:ascii="Arial" w:hAnsi="Arial" w:cs="Arial"/>
          <w:bCs/>
          <w:sz w:val="20"/>
          <w:szCs w:val="20"/>
        </w:rPr>
        <w:t>plant</w:t>
      </w:r>
      <w:r w:rsidR="00FD58AF" w:rsidRPr="00F83B19">
        <w:rPr>
          <w:rFonts w:ascii="Arial" w:hAnsi="Arial" w:cs="Arial"/>
          <w:bCs/>
          <w:sz w:val="20"/>
          <w:szCs w:val="20"/>
          <w:vertAlign w:val="superscript"/>
        </w:rPr>
        <w:t>-1</w:t>
      </w:r>
      <w:r w:rsidRPr="00F83B19">
        <w:rPr>
          <w:rFonts w:ascii="Arial" w:hAnsi="Arial" w:cs="Arial"/>
          <w:bCs/>
          <w:sz w:val="20"/>
          <w:szCs w:val="20"/>
        </w:rPr>
        <w:t>), chlorophyll content (SPAD value: 25.53), and the number of days to 50% flowering (58.56 days) and physiological maturity (113 days). This treatment also recorded the highest yield attributes, including the number of capsules per plant (36.33), seed yield per plant (2.53 g), straw yield per plant (5.37 g), and test weight (8.25 g). The positive effects on growth and yield were attributed to higher branch numbers, dry matter, and chlorophyll content. However, the number of seeds per capsule was not significantly influenced by foliar nitrogen treatments, as this tr</w:t>
      </w:r>
      <w:r w:rsidR="00FD58AF" w:rsidRPr="00F83B19">
        <w:rPr>
          <w:rFonts w:ascii="Arial" w:hAnsi="Arial" w:cs="Arial"/>
          <w:bCs/>
          <w:sz w:val="20"/>
          <w:szCs w:val="20"/>
        </w:rPr>
        <w:t>ait is genetically determined and t</w:t>
      </w:r>
      <w:r w:rsidRPr="00F83B19">
        <w:rPr>
          <w:rFonts w:ascii="Arial" w:hAnsi="Arial" w:cs="Arial"/>
          <w:bCs/>
          <w:sz w:val="20"/>
          <w:szCs w:val="20"/>
        </w:rPr>
        <w:t>hese results are consistent with those reported by Kikon et al. (2024).</w:t>
      </w:r>
    </w:p>
    <w:p w14:paraId="30449B41" w14:textId="77777777" w:rsidR="00E0025C" w:rsidRPr="00F83B19" w:rsidRDefault="00426F50" w:rsidP="00E0025C">
      <w:pPr>
        <w:spacing w:after="0" w:line="360" w:lineRule="auto"/>
        <w:ind w:firstLine="360"/>
        <w:jc w:val="both"/>
        <w:rPr>
          <w:rFonts w:ascii="Arial" w:hAnsi="Arial" w:cs="Arial"/>
          <w:bCs/>
          <w:sz w:val="20"/>
          <w:szCs w:val="20"/>
        </w:rPr>
      </w:pPr>
      <w:proofErr w:type="spellStart"/>
      <w:r w:rsidRPr="00F83B19">
        <w:rPr>
          <w:rFonts w:ascii="Arial" w:hAnsi="Arial" w:cs="Arial"/>
          <w:bCs/>
          <w:sz w:val="20"/>
          <w:szCs w:val="20"/>
        </w:rPr>
        <w:t>Dehury</w:t>
      </w:r>
      <w:proofErr w:type="spellEnd"/>
      <w:r w:rsidRPr="00F83B19">
        <w:rPr>
          <w:rFonts w:ascii="Arial" w:hAnsi="Arial" w:cs="Arial"/>
          <w:bCs/>
          <w:sz w:val="20"/>
          <w:szCs w:val="20"/>
        </w:rPr>
        <w:t xml:space="preserve"> et al. (2024), based on a year-long experiment, concluded that</w:t>
      </w:r>
      <w:r w:rsidR="00FD58AF" w:rsidRPr="00F83B19">
        <w:rPr>
          <w:rFonts w:ascii="Arial" w:hAnsi="Arial" w:cs="Arial"/>
          <w:bCs/>
          <w:sz w:val="20"/>
          <w:szCs w:val="20"/>
        </w:rPr>
        <w:t xml:space="preserve"> applying 75% nitrogen (22.5 kg </w:t>
      </w:r>
      <w:r w:rsidRPr="00F83B19">
        <w:rPr>
          <w:rFonts w:ascii="Arial" w:hAnsi="Arial" w:cs="Arial"/>
          <w:bCs/>
          <w:sz w:val="20"/>
          <w:szCs w:val="20"/>
        </w:rPr>
        <w:t>ha</w:t>
      </w:r>
      <w:r w:rsidR="00FD58AF" w:rsidRPr="00F83B19">
        <w:rPr>
          <w:rFonts w:ascii="Arial" w:hAnsi="Arial" w:cs="Arial"/>
          <w:bCs/>
          <w:sz w:val="20"/>
          <w:szCs w:val="20"/>
          <w:vertAlign w:val="superscript"/>
        </w:rPr>
        <w:t>-1</w:t>
      </w:r>
      <w:r w:rsidRPr="00F83B19">
        <w:rPr>
          <w:rFonts w:ascii="Arial" w:hAnsi="Arial" w:cs="Arial"/>
          <w:bCs/>
          <w:sz w:val="20"/>
          <w:szCs w:val="20"/>
        </w:rPr>
        <w:t>) along wi</w:t>
      </w:r>
      <w:r w:rsidR="00FD58AF" w:rsidRPr="00F83B19">
        <w:rPr>
          <w:rFonts w:ascii="Arial" w:hAnsi="Arial" w:cs="Arial"/>
          <w:bCs/>
          <w:sz w:val="20"/>
          <w:szCs w:val="20"/>
        </w:rPr>
        <w:t>th one spray of nano-urea (3 ml litre</w:t>
      </w:r>
      <w:r w:rsidR="00FD58AF" w:rsidRPr="00F83B19">
        <w:rPr>
          <w:rFonts w:ascii="Arial" w:hAnsi="Arial" w:cs="Arial"/>
          <w:bCs/>
          <w:sz w:val="20"/>
          <w:szCs w:val="20"/>
          <w:vertAlign w:val="superscript"/>
        </w:rPr>
        <w:t>-1</w:t>
      </w:r>
      <w:r w:rsidRPr="00F83B19">
        <w:rPr>
          <w:rFonts w:ascii="Arial" w:hAnsi="Arial" w:cs="Arial"/>
          <w:bCs/>
          <w:sz w:val="20"/>
          <w:szCs w:val="20"/>
        </w:rPr>
        <w:t>) at the flower initiation stage resulted in higher nitrogen availability and nutrient uptake, making it the most productive and economical option for linseed production in Jharkhand. Moreover, the combination of 100% nitrogen (N</w:t>
      </w:r>
      <w:r w:rsidRPr="00F83B19">
        <w:rPr>
          <w:rFonts w:ascii="Arial" w:hAnsi="Arial" w:cs="Arial"/>
          <w:bCs/>
          <w:sz w:val="20"/>
          <w:szCs w:val="20"/>
          <w:vertAlign w:val="subscript"/>
        </w:rPr>
        <w:t>1</w:t>
      </w:r>
      <w:r w:rsidRPr="00F83B19">
        <w:rPr>
          <w:rFonts w:ascii="Arial" w:hAnsi="Arial" w:cs="Arial"/>
          <w:bCs/>
          <w:sz w:val="20"/>
          <w:szCs w:val="20"/>
        </w:rPr>
        <w:t>) soil application and two fol</w:t>
      </w:r>
      <w:r w:rsidR="00FD58AF" w:rsidRPr="00F83B19">
        <w:rPr>
          <w:rFonts w:ascii="Arial" w:hAnsi="Arial" w:cs="Arial"/>
          <w:bCs/>
          <w:sz w:val="20"/>
          <w:szCs w:val="20"/>
        </w:rPr>
        <w:t xml:space="preserve">iar sprays of nano-urea at 3 ml </w:t>
      </w:r>
      <w:r w:rsidRPr="00F83B19">
        <w:rPr>
          <w:rFonts w:ascii="Arial" w:hAnsi="Arial" w:cs="Arial"/>
          <w:bCs/>
          <w:sz w:val="20"/>
          <w:szCs w:val="20"/>
        </w:rPr>
        <w:t>lit</w:t>
      </w:r>
      <w:r w:rsidR="00FD58AF" w:rsidRPr="00F83B19">
        <w:rPr>
          <w:rFonts w:ascii="Arial" w:hAnsi="Arial" w:cs="Arial"/>
          <w:bCs/>
          <w:sz w:val="20"/>
          <w:szCs w:val="20"/>
        </w:rPr>
        <w:t>re</w:t>
      </w:r>
      <w:r w:rsidR="00FD58AF" w:rsidRPr="00F83B19">
        <w:rPr>
          <w:rFonts w:ascii="Arial" w:hAnsi="Arial" w:cs="Arial"/>
          <w:bCs/>
          <w:sz w:val="20"/>
          <w:szCs w:val="20"/>
          <w:vertAlign w:val="superscript"/>
        </w:rPr>
        <w:t>-1</w:t>
      </w:r>
      <w:r w:rsidRPr="00F83B19">
        <w:rPr>
          <w:rFonts w:ascii="Arial" w:hAnsi="Arial" w:cs="Arial"/>
          <w:bCs/>
          <w:sz w:val="20"/>
          <w:szCs w:val="20"/>
        </w:rPr>
        <w:t xml:space="preserve"> during flowering and capsule development stages (F</w:t>
      </w:r>
      <w:r w:rsidRPr="00F83B19">
        <w:rPr>
          <w:rFonts w:ascii="Arial" w:hAnsi="Arial" w:cs="Arial"/>
          <w:bCs/>
          <w:sz w:val="20"/>
          <w:szCs w:val="20"/>
          <w:vertAlign w:val="subscript"/>
        </w:rPr>
        <w:t>3</w:t>
      </w:r>
      <w:r w:rsidRPr="00F83B19">
        <w:rPr>
          <w:rFonts w:ascii="Arial" w:hAnsi="Arial" w:cs="Arial"/>
          <w:bCs/>
          <w:sz w:val="20"/>
          <w:szCs w:val="20"/>
        </w:rPr>
        <w:t>) resulted in the highest seed and straw yields, B:C ratio, nitrogen use efficiency, nitrogen content in grain and straw, and NPK uptake in grain and straw compared to other treatments.</w:t>
      </w:r>
    </w:p>
    <w:p w14:paraId="5304D1EC" w14:textId="77777777" w:rsidR="00783C07" w:rsidRPr="00F83B19" w:rsidRDefault="00783C07" w:rsidP="004A6A4E">
      <w:pPr>
        <w:spacing w:after="0" w:line="360" w:lineRule="auto"/>
        <w:ind w:firstLine="720"/>
        <w:jc w:val="both"/>
        <w:rPr>
          <w:rFonts w:ascii="Arial" w:hAnsi="Arial" w:cs="Arial"/>
          <w:b/>
          <w:bCs/>
          <w:sz w:val="20"/>
          <w:szCs w:val="20"/>
        </w:rPr>
      </w:pPr>
    </w:p>
    <w:p w14:paraId="7AF6253F" w14:textId="77777777" w:rsidR="004F76BB" w:rsidRPr="004F76BB" w:rsidRDefault="004F76BB" w:rsidP="004F76BB">
      <w:pPr>
        <w:spacing w:after="0" w:line="360" w:lineRule="auto"/>
        <w:jc w:val="both"/>
        <w:rPr>
          <w:rFonts w:ascii="Arial" w:hAnsi="Arial" w:cs="Arial"/>
          <w:b/>
          <w:bCs/>
        </w:rPr>
      </w:pPr>
      <w:r w:rsidRPr="004F76BB">
        <w:rPr>
          <w:rFonts w:ascii="Arial" w:hAnsi="Arial" w:cs="Arial"/>
          <w:b/>
          <w:bCs/>
        </w:rPr>
        <w:t>CONC</w:t>
      </w:r>
      <w:r>
        <w:rPr>
          <w:rFonts w:ascii="Arial" w:hAnsi="Arial" w:cs="Arial"/>
          <w:b/>
          <w:bCs/>
        </w:rPr>
        <w:t>L</w:t>
      </w:r>
      <w:r w:rsidRPr="004F76BB">
        <w:rPr>
          <w:rFonts w:ascii="Arial" w:hAnsi="Arial" w:cs="Arial"/>
          <w:b/>
          <w:bCs/>
        </w:rPr>
        <w:t xml:space="preserve">USION </w:t>
      </w:r>
    </w:p>
    <w:p w14:paraId="4FFFCBE9" w14:textId="77777777" w:rsidR="004A6A4E" w:rsidRPr="00F83B19" w:rsidRDefault="004A6A4E" w:rsidP="004F76BB">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In the face of mounting global agricultural challenges—including soil nutrient depletion, reduced nitrogen use efficiency (NUE), and the pressing need to sustainably increase crop yields—nano urea emerges as a transformative innovation in nutrient management. Its application in linseed </w:t>
      </w:r>
      <w:r w:rsidRPr="00F83B19">
        <w:rPr>
          <w:rFonts w:ascii="Arial" w:hAnsi="Arial" w:cs="Arial"/>
          <w:bCs/>
          <w:sz w:val="20"/>
          <w:szCs w:val="20"/>
        </w:rPr>
        <w:lastRenderedPageBreak/>
        <w:t xml:space="preserve">cultivation, as reaffirmed by recent findings (Kumar </w:t>
      </w:r>
      <w:r w:rsidR="007C2765" w:rsidRPr="00F83B19">
        <w:rPr>
          <w:rFonts w:ascii="Arial" w:hAnsi="Arial" w:cs="Arial"/>
          <w:bCs/>
          <w:sz w:val="20"/>
          <w:szCs w:val="20"/>
        </w:rPr>
        <w:t xml:space="preserve">et al. 2024, </w:t>
      </w:r>
      <w:r w:rsidRPr="00F83B19">
        <w:rPr>
          <w:rFonts w:ascii="Arial" w:hAnsi="Arial" w:cs="Arial"/>
          <w:bCs/>
          <w:sz w:val="20"/>
          <w:szCs w:val="20"/>
        </w:rPr>
        <w:t xml:space="preserve">Reddy </w:t>
      </w:r>
      <w:r w:rsidR="007C2765" w:rsidRPr="00F83B19">
        <w:rPr>
          <w:rFonts w:ascii="Arial" w:hAnsi="Arial" w:cs="Arial"/>
          <w:bCs/>
          <w:sz w:val="20"/>
          <w:szCs w:val="20"/>
        </w:rPr>
        <w:t>et al.</w:t>
      </w:r>
      <w:r w:rsidRPr="00F83B19">
        <w:rPr>
          <w:rFonts w:ascii="Arial" w:hAnsi="Arial" w:cs="Arial"/>
          <w:bCs/>
          <w:sz w:val="20"/>
          <w:szCs w:val="20"/>
        </w:rPr>
        <w:t xml:space="preserve"> 2023), has demonstrated significant improvements in seed and stover yield, nutrient uptake, and economic returns. The enhanced nitrogen delivery through foliar nano-urea sprays, particularly when integrated with recommended nitrogen doses, underscores its superior efficiency and reduced environmental impact compared to conventional fertilizers.</w:t>
      </w:r>
    </w:p>
    <w:p w14:paraId="233E8463" w14:textId="77777777" w:rsidR="004A6A4E" w:rsidRPr="00F83B19" w:rsidRDefault="004A6A4E" w:rsidP="004A6A4E">
      <w:pPr>
        <w:spacing w:after="0" w:line="360" w:lineRule="auto"/>
        <w:ind w:firstLine="720"/>
        <w:jc w:val="both"/>
        <w:rPr>
          <w:rFonts w:ascii="Arial" w:hAnsi="Arial" w:cs="Arial"/>
          <w:bCs/>
          <w:sz w:val="20"/>
          <w:szCs w:val="20"/>
        </w:rPr>
      </w:pPr>
      <w:r w:rsidRPr="00F83B19">
        <w:rPr>
          <w:rFonts w:ascii="Arial" w:hAnsi="Arial" w:cs="Arial"/>
          <w:bCs/>
          <w:sz w:val="20"/>
          <w:szCs w:val="20"/>
        </w:rPr>
        <w:t xml:space="preserve">At the core of 21st-century agricultural sustainability is the need to produce more with less—less land, less </w:t>
      </w:r>
      <w:proofErr w:type="spellStart"/>
      <w:r w:rsidRPr="00F83B19">
        <w:rPr>
          <w:rFonts w:ascii="Arial" w:hAnsi="Arial" w:cs="Arial"/>
          <w:bCs/>
          <w:sz w:val="20"/>
          <w:szCs w:val="20"/>
        </w:rPr>
        <w:t>labor</w:t>
      </w:r>
      <w:proofErr w:type="spellEnd"/>
      <w:r w:rsidRPr="00F83B19">
        <w:rPr>
          <w:rFonts w:ascii="Arial" w:hAnsi="Arial" w:cs="Arial"/>
          <w:bCs/>
          <w:sz w:val="20"/>
          <w:szCs w:val="20"/>
        </w:rPr>
        <w:t>, and fewer synthetic inputs—while ensuring food security and environmental resilience. Nano urea aligns seamlessly with this vision. Its controlled-release mechanism and increased absorption efficiency not only reduce fertilizer losses but also mitigate pollution, making it a critical tool in sustainable intensification.</w:t>
      </w:r>
    </w:p>
    <w:p w14:paraId="30697C2B" w14:textId="77777777" w:rsidR="004A6A4E" w:rsidRPr="00F83B19" w:rsidRDefault="004A6A4E" w:rsidP="004A6A4E">
      <w:pPr>
        <w:spacing w:after="0" w:line="360" w:lineRule="auto"/>
        <w:ind w:firstLine="720"/>
        <w:jc w:val="both"/>
        <w:rPr>
          <w:rFonts w:ascii="Arial" w:hAnsi="Arial" w:cs="Arial"/>
          <w:bCs/>
          <w:sz w:val="20"/>
          <w:szCs w:val="20"/>
        </w:rPr>
      </w:pPr>
      <w:r w:rsidRPr="00F83B19">
        <w:rPr>
          <w:rFonts w:ascii="Arial" w:hAnsi="Arial" w:cs="Arial"/>
          <w:bCs/>
          <w:sz w:val="20"/>
          <w:szCs w:val="20"/>
        </w:rPr>
        <w:t>Thus, nano urea represents a key step toward rethinking nitrogen management in linseed and broader cropping systems. It supports the dual goals of sustainability and productivity, offering a scalable, eco-friendly solution that addresses both the agronomic and environmental demands of modern agriculture. As such, it holds enormous potential to reshape input strategies and reinforce the future of global food systems under climate and resource constraints.</w:t>
      </w:r>
    </w:p>
    <w:p w14:paraId="27BFE602" w14:textId="77777777" w:rsidR="004F67E9" w:rsidRDefault="004F67E9" w:rsidP="00094863">
      <w:pPr>
        <w:spacing w:after="0" w:line="360" w:lineRule="auto"/>
        <w:jc w:val="both"/>
        <w:rPr>
          <w:rFonts w:ascii="Arial" w:hAnsi="Arial" w:cs="Arial"/>
          <w:bCs/>
          <w:sz w:val="20"/>
          <w:szCs w:val="20"/>
        </w:rPr>
      </w:pPr>
      <w:bookmarkStart w:id="0" w:name="_GoBack"/>
      <w:bookmarkEnd w:id="0"/>
    </w:p>
    <w:p w14:paraId="5ED8F26A" w14:textId="77777777" w:rsidR="004F67E9" w:rsidRDefault="004F67E9" w:rsidP="00094863">
      <w:pPr>
        <w:spacing w:after="0" w:line="360" w:lineRule="auto"/>
        <w:jc w:val="both"/>
        <w:rPr>
          <w:rFonts w:ascii="Arial" w:hAnsi="Arial" w:cs="Arial"/>
          <w:bCs/>
          <w:sz w:val="20"/>
          <w:szCs w:val="20"/>
        </w:rPr>
      </w:pPr>
    </w:p>
    <w:p w14:paraId="162D9964" w14:textId="77777777" w:rsidR="004F67E9" w:rsidRPr="004F67E9" w:rsidRDefault="004F67E9" w:rsidP="004F67E9">
      <w:pPr>
        <w:spacing w:after="0" w:line="360" w:lineRule="auto"/>
        <w:jc w:val="both"/>
        <w:rPr>
          <w:rFonts w:ascii="Arial" w:hAnsi="Arial" w:cs="Arial"/>
          <w:bCs/>
          <w:sz w:val="20"/>
          <w:szCs w:val="20"/>
        </w:rPr>
      </w:pPr>
      <w:r w:rsidRPr="004F67E9">
        <w:rPr>
          <w:rFonts w:ascii="Arial" w:hAnsi="Arial" w:cs="Arial"/>
          <w:bCs/>
          <w:sz w:val="20"/>
          <w:szCs w:val="20"/>
        </w:rPr>
        <w:t>COMPETING INTERESTS DISCLAIMER:</w:t>
      </w:r>
    </w:p>
    <w:p w14:paraId="6D83072F" w14:textId="6E62524A" w:rsidR="004F67E9" w:rsidRDefault="004F67E9" w:rsidP="004F67E9">
      <w:pPr>
        <w:spacing w:after="0" w:line="360" w:lineRule="auto"/>
        <w:jc w:val="both"/>
        <w:rPr>
          <w:rFonts w:ascii="Arial" w:hAnsi="Arial" w:cs="Arial"/>
          <w:bCs/>
          <w:sz w:val="20"/>
          <w:szCs w:val="20"/>
        </w:rPr>
      </w:pPr>
      <w:r w:rsidRPr="004F67E9">
        <w:rPr>
          <w:rFonts w:ascii="Arial" w:hAnsi="Arial" w:cs="Arial"/>
          <w:bCs/>
          <w:sz w:val="20"/>
          <w:szCs w:val="20"/>
        </w:rPr>
        <w:t>Authors have declared that they have no known competing financial interests OR non-financial interests OR personal relationships that could have appeared to influence the work reported in this paper.</w:t>
      </w:r>
    </w:p>
    <w:p w14:paraId="5CA26CD0" w14:textId="77777777" w:rsidR="004F67E9" w:rsidRDefault="004F67E9" w:rsidP="00094863">
      <w:pPr>
        <w:spacing w:after="0" w:line="360" w:lineRule="auto"/>
        <w:jc w:val="both"/>
        <w:rPr>
          <w:rFonts w:ascii="Arial" w:hAnsi="Arial" w:cs="Arial"/>
          <w:bCs/>
          <w:sz w:val="20"/>
          <w:szCs w:val="20"/>
        </w:rPr>
      </w:pPr>
    </w:p>
    <w:p w14:paraId="3F76576C" w14:textId="77777777" w:rsidR="004F67E9" w:rsidRDefault="004F67E9" w:rsidP="00094863">
      <w:pPr>
        <w:spacing w:after="0" w:line="360" w:lineRule="auto"/>
        <w:jc w:val="both"/>
        <w:rPr>
          <w:rFonts w:ascii="Arial" w:hAnsi="Arial" w:cs="Arial"/>
          <w:bCs/>
          <w:sz w:val="20"/>
          <w:szCs w:val="20"/>
        </w:rPr>
      </w:pPr>
    </w:p>
    <w:p w14:paraId="5E56A73D" w14:textId="77777777" w:rsidR="004F67E9" w:rsidRPr="00F83B19" w:rsidRDefault="004F67E9" w:rsidP="00094863">
      <w:pPr>
        <w:spacing w:after="0" w:line="360" w:lineRule="auto"/>
        <w:jc w:val="both"/>
        <w:rPr>
          <w:rFonts w:ascii="Arial" w:hAnsi="Arial" w:cs="Arial"/>
          <w:bCs/>
          <w:sz w:val="20"/>
          <w:szCs w:val="20"/>
        </w:rPr>
      </w:pPr>
    </w:p>
    <w:p w14:paraId="25DDE1AE" w14:textId="77777777" w:rsidR="00D36E02" w:rsidRPr="00F83B19" w:rsidRDefault="00F83B19" w:rsidP="00783C07">
      <w:pPr>
        <w:spacing w:after="0" w:line="360" w:lineRule="auto"/>
        <w:rPr>
          <w:rFonts w:ascii="Arial" w:hAnsi="Arial" w:cs="Arial"/>
          <w:b/>
          <w:bCs/>
        </w:rPr>
      </w:pPr>
      <w:r w:rsidRPr="00F83B19">
        <w:rPr>
          <w:rFonts w:ascii="Arial" w:hAnsi="Arial" w:cs="Arial"/>
          <w:b/>
          <w:bCs/>
        </w:rPr>
        <w:t>REFERENCE</w:t>
      </w:r>
    </w:p>
    <w:p w14:paraId="4C27A135" w14:textId="77777777" w:rsidR="0068775E" w:rsidRPr="00F83B19" w:rsidRDefault="00094863"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Anonymous.</w:t>
      </w:r>
      <w:r w:rsidR="0068775E" w:rsidRPr="00F83B19">
        <w:rPr>
          <w:rFonts w:ascii="Arial" w:hAnsi="Arial" w:cs="Arial"/>
          <w:bCs/>
          <w:iCs/>
          <w:sz w:val="20"/>
          <w:szCs w:val="20"/>
        </w:rPr>
        <w:t xml:space="preserve"> 2006. Annual Group Meeting on Linseed and Safflower., Souvenir, Directorate of Research, N. D. University of Agriculture and Technology, Narendra Nagar, </w:t>
      </w:r>
      <w:proofErr w:type="spellStart"/>
      <w:r w:rsidR="0068775E" w:rsidRPr="00F83B19">
        <w:rPr>
          <w:rFonts w:ascii="Arial" w:hAnsi="Arial" w:cs="Arial"/>
          <w:bCs/>
          <w:iCs/>
          <w:sz w:val="20"/>
          <w:szCs w:val="20"/>
        </w:rPr>
        <w:t>Kumarganj</w:t>
      </w:r>
      <w:proofErr w:type="spellEnd"/>
      <w:r w:rsidR="0068775E" w:rsidRPr="00F83B19">
        <w:rPr>
          <w:rFonts w:ascii="Arial" w:hAnsi="Arial" w:cs="Arial"/>
          <w:bCs/>
          <w:iCs/>
          <w:sz w:val="20"/>
          <w:szCs w:val="20"/>
        </w:rPr>
        <w:t>, Faizabad, Uttar Pradesh.</w:t>
      </w:r>
    </w:p>
    <w:p w14:paraId="276055A8"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Anonymous. 2003. Flax: A health and nutrition primer. Winnipeg: Flax council of Canada, Canada.</w:t>
      </w:r>
    </w:p>
    <w:p w14:paraId="35C2DAFC"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Bartolucci C</w:t>
      </w:r>
      <w:r w:rsidR="0068775E" w:rsidRPr="00F83B19">
        <w:rPr>
          <w:rFonts w:ascii="Arial" w:hAnsi="Arial" w:cs="Arial"/>
          <w:bCs/>
          <w:iCs/>
          <w:sz w:val="20"/>
          <w:szCs w:val="20"/>
        </w:rPr>
        <w:t>, Sco</w:t>
      </w:r>
      <w:r w:rsidRPr="00F83B19">
        <w:rPr>
          <w:rFonts w:ascii="Arial" w:hAnsi="Arial" w:cs="Arial"/>
          <w:bCs/>
          <w:iCs/>
          <w:sz w:val="20"/>
          <w:szCs w:val="20"/>
        </w:rPr>
        <w:t xml:space="preserve">gnamiglio V, </w:t>
      </w:r>
      <w:proofErr w:type="spellStart"/>
      <w:r w:rsidRPr="00F83B19">
        <w:rPr>
          <w:rFonts w:ascii="Arial" w:hAnsi="Arial" w:cs="Arial"/>
          <w:bCs/>
          <w:iCs/>
          <w:sz w:val="20"/>
          <w:szCs w:val="20"/>
        </w:rPr>
        <w:t>Antonacci</w:t>
      </w:r>
      <w:proofErr w:type="spellEnd"/>
      <w:r w:rsidRPr="00F83B19">
        <w:rPr>
          <w:rFonts w:ascii="Arial" w:hAnsi="Arial" w:cs="Arial"/>
          <w:bCs/>
          <w:iCs/>
          <w:sz w:val="20"/>
          <w:szCs w:val="20"/>
        </w:rPr>
        <w:t xml:space="preserve"> A</w:t>
      </w:r>
      <w:r w:rsidR="002D3402" w:rsidRPr="00F83B19">
        <w:rPr>
          <w:rFonts w:ascii="Arial" w:hAnsi="Arial" w:cs="Arial"/>
          <w:bCs/>
          <w:iCs/>
          <w:sz w:val="20"/>
          <w:szCs w:val="20"/>
        </w:rPr>
        <w:t xml:space="preserve"> &amp;</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Fr</w:t>
      </w:r>
      <w:r w:rsidRPr="00F83B19">
        <w:rPr>
          <w:rFonts w:ascii="Arial" w:hAnsi="Arial" w:cs="Arial"/>
          <w:bCs/>
          <w:iCs/>
          <w:sz w:val="20"/>
          <w:szCs w:val="20"/>
        </w:rPr>
        <w:t>aceto</w:t>
      </w:r>
      <w:proofErr w:type="spellEnd"/>
      <w:r w:rsidRPr="00F83B19">
        <w:rPr>
          <w:rFonts w:ascii="Arial" w:hAnsi="Arial" w:cs="Arial"/>
          <w:bCs/>
          <w:iCs/>
          <w:sz w:val="20"/>
          <w:szCs w:val="20"/>
        </w:rPr>
        <w:t xml:space="preserve"> L </w:t>
      </w:r>
      <w:r w:rsidR="0068775E" w:rsidRPr="00F83B19">
        <w:rPr>
          <w:rFonts w:ascii="Arial" w:hAnsi="Arial" w:cs="Arial"/>
          <w:bCs/>
          <w:iCs/>
          <w:sz w:val="20"/>
          <w:szCs w:val="20"/>
        </w:rPr>
        <w:t xml:space="preserve">F. 2022. What makes nanotechnologies applied to agriculture </w:t>
      </w:r>
      <w:proofErr w:type="gramStart"/>
      <w:r w:rsidR="0068775E" w:rsidRPr="00F83B19">
        <w:rPr>
          <w:rFonts w:ascii="Arial" w:hAnsi="Arial" w:cs="Arial"/>
          <w:bCs/>
          <w:iCs/>
          <w:sz w:val="20"/>
          <w:szCs w:val="20"/>
        </w:rPr>
        <w:t>green?.</w:t>
      </w:r>
      <w:proofErr w:type="gramEnd"/>
      <w:r w:rsidR="0068775E" w:rsidRPr="00F83B19">
        <w:rPr>
          <w:rFonts w:ascii="Arial" w:hAnsi="Arial" w:cs="Arial"/>
          <w:bCs/>
          <w:iCs/>
          <w:sz w:val="20"/>
          <w:szCs w:val="20"/>
        </w:rPr>
        <w:t xml:space="preserve"> </w:t>
      </w:r>
      <w:r w:rsidR="0068775E" w:rsidRPr="00F83B19">
        <w:rPr>
          <w:rFonts w:ascii="Arial" w:hAnsi="Arial" w:cs="Arial"/>
          <w:bCs/>
          <w:i/>
          <w:iCs/>
          <w:sz w:val="20"/>
          <w:szCs w:val="20"/>
        </w:rPr>
        <w:t>Nano Today</w:t>
      </w:r>
      <w:r w:rsidR="0068775E" w:rsidRPr="00F83B19">
        <w:rPr>
          <w:rFonts w:ascii="Arial" w:hAnsi="Arial" w:cs="Arial"/>
          <w:bCs/>
          <w:iCs/>
          <w:sz w:val="20"/>
          <w:szCs w:val="20"/>
        </w:rPr>
        <w:t xml:space="preserve"> 43:101389.</w:t>
      </w:r>
    </w:p>
    <w:p w14:paraId="0F57BDEE"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Batjes</w:t>
      </w:r>
      <w:proofErr w:type="spellEnd"/>
      <w:r w:rsidRPr="00F83B19">
        <w:rPr>
          <w:rFonts w:ascii="Arial" w:hAnsi="Arial" w:cs="Arial"/>
          <w:bCs/>
          <w:iCs/>
          <w:sz w:val="20"/>
          <w:szCs w:val="20"/>
        </w:rPr>
        <w:t xml:space="preserve"> N</w:t>
      </w:r>
      <w:r w:rsidR="0068775E" w:rsidRPr="00F83B19">
        <w:rPr>
          <w:rFonts w:ascii="Arial" w:hAnsi="Arial" w:cs="Arial"/>
          <w:bCs/>
          <w:iCs/>
          <w:sz w:val="20"/>
          <w:szCs w:val="20"/>
        </w:rPr>
        <w:t xml:space="preserve"> H. 2014. Total carbon and nitrogen in the soils of the world.</w:t>
      </w:r>
      <w:r w:rsidR="0068775E" w:rsidRPr="00F83B19">
        <w:rPr>
          <w:rFonts w:ascii="Arial" w:hAnsi="Arial" w:cs="Arial"/>
          <w:b/>
          <w:bCs/>
          <w:iCs/>
          <w:sz w:val="20"/>
          <w:szCs w:val="20"/>
        </w:rPr>
        <w:t xml:space="preserve"> </w:t>
      </w:r>
      <w:r w:rsidR="0068775E" w:rsidRPr="00F83B19">
        <w:rPr>
          <w:rFonts w:ascii="Arial" w:hAnsi="Arial" w:cs="Arial"/>
          <w:bCs/>
          <w:i/>
          <w:iCs/>
          <w:sz w:val="20"/>
          <w:szCs w:val="20"/>
        </w:rPr>
        <w:t>European Journal of Soil Science</w:t>
      </w:r>
      <w:r w:rsidR="0068775E" w:rsidRPr="00F83B19">
        <w:rPr>
          <w:rFonts w:ascii="Arial" w:hAnsi="Arial" w:cs="Arial"/>
          <w:bCs/>
          <w:iCs/>
          <w:sz w:val="20"/>
          <w:szCs w:val="20"/>
        </w:rPr>
        <w:t xml:space="preserve"> 47: 151–163. </w:t>
      </w:r>
    </w:p>
    <w:p w14:paraId="341E18C5"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Campbell B M, Thornton P</w:t>
      </w:r>
      <w:r w:rsidR="0068775E" w:rsidRPr="00F83B19">
        <w:rPr>
          <w:rFonts w:ascii="Arial" w:hAnsi="Arial" w:cs="Arial"/>
          <w:bCs/>
          <w:iCs/>
          <w:sz w:val="20"/>
          <w:szCs w:val="20"/>
        </w:rPr>
        <w:t xml:space="preserve">, </w:t>
      </w:r>
      <w:proofErr w:type="spellStart"/>
      <w:r w:rsidRPr="00F83B19">
        <w:rPr>
          <w:rFonts w:ascii="Arial" w:hAnsi="Arial" w:cs="Arial"/>
          <w:bCs/>
          <w:iCs/>
          <w:sz w:val="20"/>
          <w:szCs w:val="20"/>
        </w:rPr>
        <w:t>Zougmoré</w:t>
      </w:r>
      <w:proofErr w:type="spellEnd"/>
      <w:r w:rsidRPr="00F83B19">
        <w:rPr>
          <w:rFonts w:ascii="Arial" w:hAnsi="Arial" w:cs="Arial"/>
          <w:bCs/>
          <w:iCs/>
          <w:sz w:val="20"/>
          <w:szCs w:val="20"/>
        </w:rPr>
        <w:t xml:space="preserve"> R,</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Asten</w:t>
      </w:r>
      <w:proofErr w:type="spellEnd"/>
      <w:r w:rsidRPr="00F83B19">
        <w:rPr>
          <w:rFonts w:ascii="Arial" w:hAnsi="Arial" w:cs="Arial"/>
          <w:bCs/>
          <w:iCs/>
          <w:sz w:val="20"/>
          <w:szCs w:val="20"/>
        </w:rPr>
        <w:t xml:space="preserve"> P</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Lipper</w:t>
      </w:r>
      <w:r w:rsidR="0068775E" w:rsidRPr="00F83B19">
        <w:rPr>
          <w:rFonts w:ascii="Arial" w:hAnsi="Arial" w:cs="Arial"/>
          <w:bCs/>
          <w:iCs/>
          <w:sz w:val="20"/>
          <w:szCs w:val="20"/>
        </w:rPr>
        <w:t xml:space="preserve"> L. 2014. Sustainable intensification: what is its role in climate smart agriculture?</w:t>
      </w:r>
      <w:r w:rsidR="0068775E" w:rsidRPr="00F83B19">
        <w:rPr>
          <w:rFonts w:ascii="Arial" w:hAnsi="Arial" w:cs="Arial"/>
          <w:b/>
          <w:bCs/>
          <w:iCs/>
          <w:sz w:val="20"/>
          <w:szCs w:val="20"/>
        </w:rPr>
        <w:t xml:space="preserve"> </w:t>
      </w:r>
      <w:r w:rsidR="0068775E" w:rsidRPr="00F83B19">
        <w:rPr>
          <w:rFonts w:ascii="Arial" w:hAnsi="Arial" w:cs="Arial"/>
          <w:bCs/>
          <w:i/>
          <w:iCs/>
          <w:sz w:val="20"/>
          <w:szCs w:val="20"/>
        </w:rPr>
        <w:t>Current Opinion in Environmental Sustainability</w:t>
      </w:r>
      <w:r w:rsidR="0068775E" w:rsidRPr="00F83B19">
        <w:rPr>
          <w:rFonts w:ascii="Arial" w:hAnsi="Arial" w:cs="Arial"/>
          <w:bCs/>
          <w:iCs/>
          <w:sz w:val="20"/>
          <w:szCs w:val="20"/>
        </w:rPr>
        <w:t xml:space="preserve"> 8: 39–43. </w:t>
      </w:r>
    </w:p>
    <w:p w14:paraId="01A91815"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Coskuner</w:t>
      </w:r>
      <w:proofErr w:type="spellEnd"/>
      <w:r w:rsidRPr="00F83B19">
        <w:rPr>
          <w:rFonts w:ascii="Arial" w:hAnsi="Arial" w:cs="Arial"/>
          <w:bCs/>
          <w:iCs/>
          <w:sz w:val="20"/>
          <w:szCs w:val="20"/>
        </w:rPr>
        <w:t xml:space="preserve"> Y</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w:t>
      </w:r>
      <w:proofErr w:type="spellStart"/>
      <w:r w:rsidRPr="00F83B19">
        <w:rPr>
          <w:rFonts w:ascii="Arial" w:hAnsi="Arial" w:cs="Arial"/>
          <w:bCs/>
          <w:iCs/>
          <w:sz w:val="20"/>
          <w:szCs w:val="20"/>
        </w:rPr>
        <w:t>Karababa</w:t>
      </w:r>
      <w:proofErr w:type="spellEnd"/>
      <w:r w:rsidR="0068775E" w:rsidRPr="00F83B19">
        <w:rPr>
          <w:rFonts w:ascii="Arial" w:hAnsi="Arial" w:cs="Arial"/>
          <w:bCs/>
          <w:iCs/>
          <w:sz w:val="20"/>
          <w:szCs w:val="20"/>
        </w:rPr>
        <w:t xml:space="preserve"> E. 2007: Some physical properties of flaxseed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 xml:space="preserve">Journal of Food Engineering </w:t>
      </w:r>
      <w:r w:rsidR="0068775E" w:rsidRPr="00F83B19">
        <w:rPr>
          <w:rFonts w:ascii="Arial" w:hAnsi="Arial" w:cs="Arial"/>
          <w:bCs/>
          <w:iCs/>
          <w:sz w:val="20"/>
          <w:szCs w:val="20"/>
        </w:rPr>
        <w:t>78: 1067-1073.</w:t>
      </w:r>
    </w:p>
    <w:p w14:paraId="4F0DA14A"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Dehury</w:t>
      </w:r>
      <w:proofErr w:type="spellEnd"/>
      <w:r w:rsidRPr="00F83B19">
        <w:rPr>
          <w:rFonts w:ascii="Arial" w:hAnsi="Arial" w:cs="Arial"/>
          <w:bCs/>
          <w:iCs/>
          <w:sz w:val="20"/>
          <w:szCs w:val="20"/>
        </w:rPr>
        <w:t xml:space="preserve"> C, </w:t>
      </w:r>
      <w:proofErr w:type="spellStart"/>
      <w:r w:rsidRPr="00F83B19">
        <w:rPr>
          <w:rFonts w:ascii="Arial" w:hAnsi="Arial" w:cs="Arial"/>
          <w:bCs/>
          <w:iCs/>
          <w:sz w:val="20"/>
          <w:szCs w:val="20"/>
        </w:rPr>
        <w:t>Alam</w:t>
      </w:r>
      <w:proofErr w:type="spellEnd"/>
      <w:r w:rsidRPr="00F83B19">
        <w:rPr>
          <w:rFonts w:ascii="Arial" w:hAnsi="Arial" w:cs="Arial"/>
          <w:bCs/>
          <w:iCs/>
          <w:sz w:val="20"/>
          <w:szCs w:val="20"/>
        </w:rPr>
        <w:t xml:space="preserve"> P, Singh CS, Kumari M</w:t>
      </w:r>
      <w:r w:rsidR="0068775E" w:rsidRPr="00F83B19">
        <w:rPr>
          <w:rFonts w:ascii="Arial" w:hAnsi="Arial" w:cs="Arial"/>
          <w:bCs/>
          <w:iCs/>
          <w:sz w:val="20"/>
          <w:szCs w:val="20"/>
        </w:rPr>
        <w:t>, Pandey</w:t>
      </w:r>
      <w:r w:rsidRPr="00F83B19">
        <w:rPr>
          <w:rFonts w:ascii="Arial" w:hAnsi="Arial" w:cs="Arial"/>
          <w:bCs/>
          <w:iCs/>
          <w:sz w:val="20"/>
          <w:szCs w:val="20"/>
        </w:rPr>
        <w:t xml:space="preserve"> SK, Bhagat B</w:t>
      </w:r>
      <w:r w:rsidR="002D3402" w:rsidRPr="00F83B19">
        <w:rPr>
          <w:rFonts w:ascii="Arial" w:hAnsi="Arial" w:cs="Arial"/>
          <w:bCs/>
          <w:iCs/>
          <w:sz w:val="20"/>
          <w:szCs w:val="20"/>
        </w:rPr>
        <w:t xml:space="preserve">, &amp; </w:t>
      </w:r>
      <w:r w:rsidRPr="00F83B19">
        <w:rPr>
          <w:rFonts w:ascii="Arial" w:hAnsi="Arial" w:cs="Arial"/>
          <w:bCs/>
          <w:iCs/>
          <w:sz w:val="20"/>
          <w:szCs w:val="20"/>
        </w:rPr>
        <w:t>Ranjan</w:t>
      </w:r>
      <w:r w:rsidR="0068775E" w:rsidRPr="00F83B19">
        <w:rPr>
          <w:rFonts w:ascii="Arial" w:hAnsi="Arial" w:cs="Arial"/>
          <w:bCs/>
          <w:iCs/>
          <w:sz w:val="20"/>
          <w:szCs w:val="20"/>
        </w:rPr>
        <w:t xml:space="preserve"> S. 2024. Nutrient uptake, yield and nutrient availability by linseed as affected by nano-urea foliar application in red and yellow soil. </w:t>
      </w:r>
      <w:r w:rsidR="0068775E" w:rsidRPr="00F83B19">
        <w:rPr>
          <w:rFonts w:ascii="Arial" w:hAnsi="Arial" w:cs="Arial"/>
          <w:bCs/>
          <w:i/>
          <w:iCs/>
          <w:sz w:val="20"/>
          <w:szCs w:val="20"/>
        </w:rPr>
        <w:t>Plant Archives</w:t>
      </w:r>
      <w:r w:rsidR="0068775E" w:rsidRPr="00F83B19">
        <w:rPr>
          <w:rFonts w:ascii="Arial" w:hAnsi="Arial" w:cs="Arial"/>
          <w:bCs/>
          <w:iCs/>
          <w:sz w:val="20"/>
          <w:szCs w:val="20"/>
        </w:rPr>
        <w:t xml:space="preserve"> 24(2): 393-399</w:t>
      </w:r>
    </w:p>
    <w:p w14:paraId="58F16E8C" w14:textId="77777777" w:rsidR="0068775E" w:rsidRPr="00F83B19" w:rsidRDefault="0068775E" w:rsidP="00515B1B">
      <w:pPr>
        <w:pStyle w:val="ListParagraph"/>
        <w:numPr>
          <w:ilvl w:val="0"/>
          <w:numId w:val="7"/>
        </w:numPr>
        <w:ind w:left="0" w:firstLine="0"/>
        <w:jc w:val="both"/>
        <w:rPr>
          <w:rFonts w:ascii="Arial" w:hAnsi="Arial" w:cs="Arial"/>
          <w:bCs/>
          <w:iCs/>
          <w:sz w:val="20"/>
          <w:szCs w:val="20"/>
        </w:rPr>
      </w:pPr>
      <w:r w:rsidRPr="00F83B19">
        <w:rPr>
          <w:rFonts w:ascii="Arial" w:hAnsi="Arial" w:cs="Arial"/>
          <w:bCs/>
          <w:iCs/>
          <w:sz w:val="20"/>
          <w:szCs w:val="20"/>
        </w:rPr>
        <w:t>Durgeshwari, S.K., Dwiv</w:t>
      </w:r>
      <w:r w:rsidR="002D3402" w:rsidRPr="00F83B19">
        <w:rPr>
          <w:rFonts w:ascii="Arial" w:hAnsi="Arial" w:cs="Arial"/>
          <w:bCs/>
          <w:iCs/>
          <w:sz w:val="20"/>
          <w:szCs w:val="20"/>
        </w:rPr>
        <w:t xml:space="preserve">edi., </w:t>
      </w:r>
      <w:proofErr w:type="spellStart"/>
      <w:r w:rsidR="002D3402" w:rsidRPr="00F83B19">
        <w:rPr>
          <w:rFonts w:ascii="Arial" w:hAnsi="Arial" w:cs="Arial"/>
          <w:bCs/>
          <w:iCs/>
          <w:sz w:val="20"/>
          <w:szCs w:val="20"/>
        </w:rPr>
        <w:t>Puhup</w:t>
      </w:r>
      <w:proofErr w:type="spellEnd"/>
      <w:r w:rsidR="002D3402" w:rsidRPr="00F83B19">
        <w:rPr>
          <w:rFonts w:ascii="Arial" w:hAnsi="Arial" w:cs="Arial"/>
          <w:bCs/>
          <w:iCs/>
          <w:sz w:val="20"/>
          <w:szCs w:val="20"/>
        </w:rPr>
        <w:t>, C. S., Nath, A. &amp;</w:t>
      </w:r>
      <w:r w:rsidRPr="00F83B19">
        <w:rPr>
          <w:rFonts w:ascii="Arial" w:hAnsi="Arial" w:cs="Arial"/>
          <w:bCs/>
          <w:iCs/>
          <w:sz w:val="20"/>
          <w:szCs w:val="20"/>
        </w:rPr>
        <w:t xml:space="preserve"> Saxena, R. 2024. Effect of nano-urea supplementation on yield attributes, yield and economics of linseed (</w:t>
      </w:r>
      <w:proofErr w:type="spellStart"/>
      <w:r w:rsidRPr="00F83B19">
        <w:rPr>
          <w:rFonts w:ascii="Arial" w:hAnsi="Arial" w:cs="Arial"/>
          <w:bCs/>
          <w:i/>
          <w:iCs/>
          <w:sz w:val="20"/>
          <w:szCs w:val="20"/>
        </w:rPr>
        <w:t>Linum</w:t>
      </w:r>
      <w:proofErr w:type="spellEnd"/>
      <w:r w:rsidRPr="00F83B19">
        <w:rPr>
          <w:rFonts w:ascii="Arial" w:hAnsi="Arial" w:cs="Arial"/>
          <w:bCs/>
          <w:i/>
          <w:iCs/>
          <w:sz w:val="20"/>
          <w:szCs w:val="20"/>
        </w:rPr>
        <w:t xml:space="preserve"> </w:t>
      </w:r>
      <w:proofErr w:type="spellStart"/>
      <w:r w:rsidRPr="00F83B19">
        <w:rPr>
          <w:rFonts w:ascii="Arial" w:hAnsi="Arial" w:cs="Arial"/>
          <w:bCs/>
          <w:i/>
          <w:iCs/>
          <w:sz w:val="20"/>
          <w:szCs w:val="20"/>
        </w:rPr>
        <w:t>usitatissimum</w:t>
      </w:r>
      <w:proofErr w:type="spellEnd"/>
      <w:r w:rsidRPr="00F83B19">
        <w:rPr>
          <w:rFonts w:ascii="Arial" w:hAnsi="Arial" w:cs="Arial"/>
          <w:bCs/>
          <w:iCs/>
          <w:sz w:val="20"/>
          <w:szCs w:val="20"/>
        </w:rPr>
        <w:t xml:space="preserve"> L.). </w:t>
      </w:r>
      <w:r w:rsidRPr="00F83B19">
        <w:rPr>
          <w:rFonts w:ascii="Arial" w:hAnsi="Arial" w:cs="Arial"/>
          <w:bCs/>
          <w:i/>
          <w:iCs/>
          <w:sz w:val="20"/>
          <w:szCs w:val="20"/>
        </w:rPr>
        <w:t>International Journal of Research in Agronomy</w:t>
      </w:r>
      <w:r w:rsidRPr="00F83B19">
        <w:rPr>
          <w:rFonts w:ascii="Arial" w:hAnsi="Arial" w:cs="Arial"/>
          <w:bCs/>
          <w:iCs/>
          <w:sz w:val="20"/>
          <w:szCs w:val="20"/>
        </w:rPr>
        <w:t xml:space="preserve"> SP-7(12): 275-278</w:t>
      </w:r>
    </w:p>
    <w:p w14:paraId="412ACDEC" w14:textId="77777777" w:rsidR="00515B1B" w:rsidRPr="00F83B19" w:rsidRDefault="0068775E" w:rsidP="00515B1B">
      <w:pPr>
        <w:pStyle w:val="ListParagraph"/>
        <w:numPr>
          <w:ilvl w:val="0"/>
          <w:numId w:val="7"/>
        </w:numPr>
        <w:ind w:left="0" w:firstLine="0"/>
        <w:jc w:val="both"/>
        <w:rPr>
          <w:rFonts w:ascii="Arial" w:hAnsi="Arial" w:cs="Arial"/>
          <w:bCs/>
          <w:iCs/>
          <w:sz w:val="20"/>
          <w:szCs w:val="20"/>
        </w:rPr>
      </w:pPr>
      <w:proofErr w:type="spellStart"/>
      <w:r w:rsidRPr="00F83B19">
        <w:rPr>
          <w:rFonts w:ascii="Arial" w:hAnsi="Arial" w:cs="Arial"/>
          <w:bCs/>
          <w:iCs/>
          <w:sz w:val="20"/>
          <w:szCs w:val="20"/>
        </w:rPr>
        <w:lastRenderedPageBreak/>
        <w:t>Dimkpa</w:t>
      </w:r>
      <w:proofErr w:type="spellEnd"/>
      <w:r w:rsidRPr="00F83B19">
        <w:rPr>
          <w:rFonts w:ascii="Arial" w:hAnsi="Arial" w:cs="Arial"/>
          <w:bCs/>
          <w:iCs/>
          <w:sz w:val="20"/>
          <w:szCs w:val="20"/>
        </w:rPr>
        <w:t xml:space="preserve"> C. O. 2014. Can nanotechnology deliver the promised benefits without negatively impacting soil microbial </w:t>
      </w:r>
      <w:proofErr w:type="gramStart"/>
      <w:r w:rsidRPr="00F83B19">
        <w:rPr>
          <w:rFonts w:ascii="Arial" w:hAnsi="Arial" w:cs="Arial"/>
          <w:bCs/>
          <w:iCs/>
          <w:sz w:val="20"/>
          <w:szCs w:val="20"/>
        </w:rPr>
        <w:t>life?.</w:t>
      </w:r>
      <w:proofErr w:type="gramEnd"/>
      <w:r w:rsidRPr="00F83B19">
        <w:rPr>
          <w:rFonts w:ascii="Arial" w:hAnsi="Arial" w:cs="Arial"/>
          <w:bCs/>
          <w:iCs/>
          <w:sz w:val="20"/>
          <w:szCs w:val="20"/>
        </w:rPr>
        <w:t xml:space="preserve"> </w:t>
      </w:r>
      <w:r w:rsidRPr="00F83B19">
        <w:rPr>
          <w:rFonts w:ascii="Arial" w:hAnsi="Arial" w:cs="Arial"/>
          <w:bCs/>
          <w:i/>
          <w:iCs/>
          <w:sz w:val="20"/>
          <w:szCs w:val="20"/>
        </w:rPr>
        <w:t xml:space="preserve">Journal of Basic Microbiology </w:t>
      </w:r>
      <w:r w:rsidRPr="00F83B19">
        <w:rPr>
          <w:rFonts w:ascii="Arial" w:hAnsi="Arial" w:cs="Arial"/>
          <w:bCs/>
          <w:iCs/>
          <w:sz w:val="20"/>
          <w:szCs w:val="20"/>
        </w:rPr>
        <w:t xml:space="preserve">54: 889–904. </w:t>
      </w:r>
    </w:p>
    <w:p w14:paraId="222AA124" w14:textId="77777777" w:rsidR="0068775E" w:rsidRPr="00F83B19" w:rsidRDefault="0068775E" w:rsidP="00515B1B">
      <w:pPr>
        <w:pStyle w:val="ListParagraph"/>
        <w:numPr>
          <w:ilvl w:val="0"/>
          <w:numId w:val="7"/>
        </w:numPr>
        <w:ind w:left="0" w:firstLine="0"/>
        <w:jc w:val="both"/>
        <w:rPr>
          <w:rFonts w:ascii="Arial" w:hAnsi="Arial" w:cs="Arial"/>
          <w:bCs/>
          <w:iCs/>
          <w:sz w:val="20"/>
          <w:szCs w:val="20"/>
        </w:rPr>
      </w:pPr>
      <w:proofErr w:type="spellStart"/>
      <w:r w:rsidRPr="00F83B19">
        <w:rPr>
          <w:rFonts w:ascii="Arial" w:hAnsi="Arial" w:cs="Arial"/>
          <w:bCs/>
          <w:iCs/>
          <w:sz w:val="20"/>
          <w:szCs w:val="20"/>
        </w:rPr>
        <w:t>Djaman</w:t>
      </w:r>
      <w:proofErr w:type="spellEnd"/>
      <w:r w:rsidRPr="00F83B19">
        <w:rPr>
          <w:rFonts w:ascii="Arial" w:hAnsi="Arial" w:cs="Arial"/>
          <w:bCs/>
          <w:iCs/>
          <w:sz w:val="20"/>
          <w:szCs w:val="20"/>
        </w:rPr>
        <w:t xml:space="preserve">, K., Mel, V.C., </w:t>
      </w:r>
      <w:proofErr w:type="spellStart"/>
      <w:r w:rsidRPr="00F83B19">
        <w:rPr>
          <w:rFonts w:ascii="Arial" w:hAnsi="Arial" w:cs="Arial"/>
          <w:bCs/>
          <w:iCs/>
          <w:sz w:val="20"/>
          <w:szCs w:val="20"/>
        </w:rPr>
        <w:t>Ametonou</w:t>
      </w:r>
      <w:proofErr w:type="spellEnd"/>
      <w:r w:rsidRPr="00F83B19">
        <w:rPr>
          <w:rFonts w:ascii="Arial" w:hAnsi="Arial" w:cs="Arial"/>
          <w:bCs/>
          <w:iCs/>
          <w:sz w:val="20"/>
          <w:szCs w:val="20"/>
        </w:rPr>
        <w:t>, F.Y., El-</w:t>
      </w:r>
      <w:proofErr w:type="spellStart"/>
      <w:r w:rsidRPr="00F83B19">
        <w:rPr>
          <w:rFonts w:ascii="Arial" w:hAnsi="Arial" w:cs="Arial"/>
          <w:bCs/>
          <w:iCs/>
          <w:sz w:val="20"/>
          <w:szCs w:val="20"/>
        </w:rPr>
        <w:t>Namaky</w:t>
      </w:r>
      <w:proofErr w:type="spellEnd"/>
      <w:r w:rsidRPr="00F83B19">
        <w:rPr>
          <w:rFonts w:ascii="Arial" w:hAnsi="Arial" w:cs="Arial"/>
          <w:bCs/>
          <w:iCs/>
          <w:sz w:val="20"/>
          <w:szCs w:val="20"/>
        </w:rPr>
        <w:t xml:space="preserve"> R., Diallo, M.D.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Koudahe</w:t>
      </w:r>
      <w:proofErr w:type="spellEnd"/>
      <w:r w:rsidRPr="00F83B19">
        <w:rPr>
          <w:rFonts w:ascii="Arial" w:hAnsi="Arial" w:cs="Arial"/>
          <w:bCs/>
          <w:iCs/>
          <w:sz w:val="20"/>
          <w:szCs w:val="20"/>
        </w:rPr>
        <w:t xml:space="preserve">, K. 2018. Effect of nitrogen fertilizer dose and application timing on yield and nitrogen use efficiency of irrigated hybrid rice under semi-arid conditions. </w:t>
      </w:r>
      <w:r w:rsidRPr="00F83B19">
        <w:rPr>
          <w:rFonts w:ascii="Arial" w:hAnsi="Arial" w:cs="Arial"/>
          <w:bCs/>
          <w:i/>
          <w:iCs/>
          <w:sz w:val="20"/>
          <w:szCs w:val="20"/>
        </w:rPr>
        <w:t xml:space="preserve">Journal of Agricultural Science and Food Research </w:t>
      </w:r>
      <w:r w:rsidRPr="00F83B19">
        <w:rPr>
          <w:rFonts w:ascii="Arial" w:hAnsi="Arial" w:cs="Arial"/>
          <w:bCs/>
          <w:iCs/>
          <w:sz w:val="20"/>
          <w:szCs w:val="20"/>
        </w:rPr>
        <w:t xml:space="preserve">9(2): 2-7. </w:t>
      </w:r>
    </w:p>
    <w:p w14:paraId="5874A3B7"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FAO. World Fertilizer Trends and Outlook to 2022. Rome.</w:t>
      </w:r>
    </w:p>
    <w:p w14:paraId="0DB981D2"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Fathi </w:t>
      </w:r>
      <w:r w:rsidR="0068775E" w:rsidRPr="00F83B19">
        <w:rPr>
          <w:rFonts w:ascii="Arial" w:hAnsi="Arial" w:cs="Arial"/>
          <w:bCs/>
          <w:iCs/>
          <w:sz w:val="20"/>
          <w:szCs w:val="20"/>
        </w:rPr>
        <w:t>A. 2020. Tillage systems and use of chemical fertilizers (N.P.K) Interaction on soil properties and maize quantitative and qualitative traits</w:t>
      </w:r>
      <w:r w:rsidR="0068775E" w:rsidRPr="00F83B19">
        <w:rPr>
          <w:rFonts w:ascii="Arial" w:hAnsi="Arial" w:cs="Arial"/>
          <w:bCs/>
          <w:i/>
          <w:iCs/>
          <w:sz w:val="20"/>
          <w:szCs w:val="20"/>
        </w:rPr>
        <w:t xml:space="preserve">. </w:t>
      </w:r>
      <w:r w:rsidR="0068775E" w:rsidRPr="00F83B19">
        <w:rPr>
          <w:rFonts w:ascii="Arial" w:hAnsi="Arial" w:cs="Arial"/>
          <w:bCs/>
          <w:iCs/>
          <w:sz w:val="20"/>
          <w:szCs w:val="20"/>
        </w:rPr>
        <w:t>Faculty of Agriculture. Islamic Azad University, Ayatollah Amoli Branch.</w:t>
      </w:r>
    </w:p>
    <w:p w14:paraId="20B5FCB4"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Fathi A, Farnia A, &amp; Maleki</w:t>
      </w:r>
      <w:r w:rsidR="0068775E" w:rsidRPr="00F83B19">
        <w:rPr>
          <w:rFonts w:ascii="Arial" w:hAnsi="Arial" w:cs="Arial"/>
          <w:bCs/>
          <w:iCs/>
          <w:sz w:val="20"/>
          <w:szCs w:val="20"/>
        </w:rPr>
        <w:t xml:space="preserve"> A. 2013. Effects of Nitrogen and Phosphorous Biofertilizers on Yield and Yield Components of Corn AS71 in </w:t>
      </w:r>
      <w:proofErr w:type="spellStart"/>
      <w:r w:rsidR="0068775E" w:rsidRPr="00F83B19">
        <w:rPr>
          <w:rFonts w:ascii="Arial" w:hAnsi="Arial" w:cs="Arial"/>
          <w:bCs/>
          <w:iCs/>
          <w:sz w:val="20"/>
          <w:szCs w:val="20"/>
        </w:rPr>
        <w:t>Dareh-shahr</w:t>
      </w:r>
      <w:proofErr w:type="spellEnd"/>
      <w:r w:rsidR="0068775E" w:rsidRPr="00F83B19">
        <w:rPr>
          <w:rFonts w:ascii="Arial" w:hAnsi="Arial" w:cs="Arial"/>
          <w:bCs/>
          <w:iCs/>
          <w:sz w:val="20"/>
          <w:szCs w:val="20"/>
        </w:rPr>
        <w:t xml:space="preserve">. </w:t>
      </w:r>
      <w:r w:rsidR="0068775E" w:rsidRPr="00F83B19">
        <w:rPr>
          <w:rFonts w:ascii="Arial" w:hAnsi="Arial" w:cs="Arial"/>
          <w:bCs/>
          <w:i/>
          <w:iCs/>
          <w:sz w:val="20"/>
          <w:szCs w:val="20"/>
        </w:rPr>
        <w:t>Iran Journal of Crop Ecophysiology</w:t>
      </w:r>
      <w:r w:rsidR="0068775E" w:rsidRPr="00F83B19">
        <w:rPr>
          <w:rFonts w:ascii="Arial" w:hAnsi="Arial" w:cs="Arial"/>
          <w:bCs/>
          <w:iCs/>
          <w:sz w:val="20"/>
          <w:szCs w:val="20"/>
        </w:rPr>
        <w:t xml:space="preserve"> </w:t>
      </w:r>
      <w:r w:rsidR="0068775E" w:rsidRPr="00F83B19">
        <w:rPr>
          <w:rFonts w:ascii="Arial" w:hAnsi="Arial" w:cs="Arial"/>
          <w:bCs/>
          <w:i/>
          <w:iCs/>
          <w:sz w:val="20"/>
          <w:szCs w:val="20"/>
        </w:rPr>
        <w:t>7,</w:t>
      </w:r>
      <w:r w:rsidR="0068775E" w:rsidRPr="00F83B19">
        <w:rPr>
          <w:rFonts w:ascii="Arial" w:hAnsi="Arial" w:cs="Arial"/>
          <w:bCs/>
          <w:iCs/>
          <w:sz w:val="20"/>
          <w:szCs w:val="20"/>
        </w:rPr>
        <w:t xml:space="preserve">1(25): 105–114. </w:t>
      </w:r>
    </w:p>
    <w:p w14:paraId="00AC4DB3"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F</w:t>
      </w:r>
      <w:r w:rsidR="00515B1B" w:rsidRPr="00F83B19">
        <w:rPr>
          <w:rFonts w:ascii="Arial" w:hAnsi="Arial" w:cs="Arial"/>
          <w:bCs/>
          <w:iCs/>
          <w:sz w:val="20"/>
          <w:szCs w:val="20"/>
        </w:rPr>
        <w:t>athi</w:t>
      </w:r>
      <w:proofErr w:type="spellEnd"/>
      <w:r w:rsidR="00515B1B" w:rsidRPr="00F83B19">
        <w:rPr>
          <w:rFonts w:ascii="Arial" w:hAnsi="Arial" w:cs="Arial"/>
          <w:bCs/>
          <w:iCs/>
          <w:sz w:val="20"/>
          <w:szCs w:val="20"/>
        </w:rPr>
        <w:t xml:space="preserve"> A</w:t>
      </w:r>
      <w:r w:rsidRPr="00F83B19">
        <w:rPr>
          <w:rFonts w:ascii="Arial" w:hAnsi="Arial" w:cs="Arial"/>
          <w:bCs/>
          <w:iCs/>
          <w:sz w:val="20"/>
          <w:szCs w:val="20"/>
        </w:rPr>
        <w:t xml:space="preserve">, &amp; </w:t>
      </w:r>
      <w:proofErr w:type="spellStart"/>
      <w:r w:rsidRPr="00F83B19">
        <w:rPr>
          <w:rFonts w:ascii="Arial" w:hAnsi="Arial" w:cs="Arial"/>
          <w:bCs/>
          <w:iCs/>
          <w:sz w:val="20"/>
          <w:szCs w:val="20"/>
        </w:rPr>
        <w:t>Zeidali</w:t>
      </w:r>
      <w:proofErr w:type="spellEnd"/>
      <w:r w:rsidRPr="00F83B19">
        <w:rPr>
          <w:rFonts w:ascii="Arial" w:hAnsi="Arial" w:cs="Arial"/>
          <w:bCs/>
          <w:iCs/>
          <w:sz w:val="20"/>
          <w:szCs w:val="20"/>
        </w:rPr>
        <w:t>, E. 2021. Conservation tillage and nitrogen fertilizer: a review of corn growth, yield and weed management.</w:t>
      </w:r>
      <w:r w:rsidRPr="00F83B19">
        <w:rPr>
          <w:rFonts w:ascii="Arial" w:hAnsi="Arial" w:cs="Arial"/>
          <w:bCs/>
          <w:i/>
          <w:iCs/>
          <w:sz w:val="20"/>
          <w:szCs w:val="20"/>
        </w:rPr>
        <w:t xml:space="preserve"> Central Asian Journal of Plant Science Innovation </w:t>
      </w:r>
      <w:r w:rsidRPr="00F83B19">
        <w:rPr>
          <w:rFonts w:ascii="Arial" w:hAnsi="Arial" w:cs="Arial"/>
          <w:bCs/>
          <w:iCs/>
          <w:sz w:val="20"/>
          <w:szCs w:val="20"/>
        </w:rPr>
        <w:t xml:space="preserve">1(3): 121–142. </w:t>
      </w:r>
    </w:p>
    <w:p w14:paraId="6D2D8A5E"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Fiamelda</w:t>
      </w:r>
      <w:proofErr w:type="spellEnd"/>
      <w:r w:rsidR="0068775E" w:rsidRPr="00F83B19">
        <w:rPr>
          <w:rFonts w:ascii="Arial" w:hAnsi="Arial" w:cs="Arial"/>
          <w:bCs/>
          <w:iCs/>
          <w:sz w:val="20"/>
          <w:szCs w:val="20"/>
        </w:rPr>
        <w:t xml:space="preserve"> L. 2020. Analysis of water and electricity consumption of urea fertilizer industry: case study PT. X. </w:t>
      </w:r>
      <w:proofErr w:type="spellStart"/>
      <w:r w:rsidR="0068775E" w:rsidRPr="00F83B19">
        <w:rPr>
          <w:rFonts w:ascii="Arial" w:hAnsi="Arial" w:cs="Arial"/>
          <w:bCs/>
          <w:iCs/>
          <w:sz w:val="20"/>
          <w:szCs w:val="20"/>
        </w:rPr>
        <w:t>InIOP</w:t>
      </w:r>
      <w:proofErr w:type="spellEnd"/>
      <w:r w:rsidR="0068775E" w:rsidRPr="00F83B19">
        <w:rPr>
          <w:rFonts w:ascii="Arial" w:hAnsi="Arial" w:cs="Arial"/>
          <w:bCs/>
          <w:iCs/>
          <w:sz w:val="20"/>
          <w:szCs w:val="20"/>
        </w:rPr>
        <w:t xml:space="preserve"> Conference Series: Earth and Environmental Science 472: 012034</w:t>
      </w:r>
    </w:p>
    <w:p w14:paraId="072216CA" w14:textId="77777777" w:rsidR="0068775E" w:rsidRPr="00F83B19" w:rsidRDefault="00515B1B"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Field C</w:t>
      </w:r>
      <w:r w:rsidR="0068775E" w:rsidRPr="00F83B19">
        <w:rPr>
          <w:rFonts w:ascii="Arial" w:hAnsi="Arial" w:cs="Arial"/>
          <w:bCs/>
          <w:iCs/>
          <w:sz w:val="20"/>
          <w:szCs w:val="20"/>
        </w:rPr>
        <w:t>, Meri</w:t>
      </w:r>
      <w:r w:rsidRPr="00F83B19">
        <w:rPr>
          <w:rFonts w:ascii="Arial" w:hAnsi="Arial" w:cs="Arial"/>
          <w:bCs/>
          <w:iCs/>
          <w:sz w:val="20"/>
          <w:szCs w:val="20"/>
        </w:rPr>
        <w:t>no</w:t>
      </w:r>
      <w:r w:rsidR="002D3402" w:rsidRPr="00F83B19">
        <w:rPr>
          <w:rFonts w:ascii="Arial" w:hAnsi="Arial" w:cs="Arial"/>
          <w:bCs/>
          <w:iCs/>
          <w:sz w:val="20"/>
          <w:szCs w:val="20"/>
        </w:rPr>
        <w:t xml:space="preserve"> J. &amp; </w:t>
      </w:r>
      <w:r w:rsidRPr="00F83B19">
        <w:rPr>
          <w:rFonts w:ascii="Arial" w:hAnsi="Arial" w:cs="Arial"/>
          <w:bCs/>
          <w:iCs/>
          <w:sz w:val="20"/>
          <w:szCs w:val="20"/>
        </w:rPr>
        <w:t xml:space="preserve">Mooney H </w:t>
      </w:r>
      <w:r w:rsidR="0068775E" w:rsidRPr="00F83B19">
        <w:rPr>
          <w:rFonts w:ascii="Arial" w:hAnsi="Arial" w:cs="Arial"/>
          <w:bCs/>
          <w:iCs/>
          <w:sz w:val="20"/>
          <w:szCs w:val="20"/>
        </w:rPr>
        <w:t xml:space="preserve">A. 1983. Compromises between water-use efficiency and nitrogen-use efficiency in five species of California evergreens. </w:t>
      </w:r>
      <w:proofErr w:type="spellStart"/>
      <w:proofErr w:type="gramStart"/>
      <w:r w:rsidR="0068775E" w:rsidRPr="00F83B19">
        <w:rPr>
          <w:rFonts w:ascii="Arial" w:hAnsi="Arial" w:cs="Arial"/>
          <w:bCs/>
          <w:i/>
          <w:iCs/>
          <w:sz w:val="20"/>
          <w:szCs w:val="20"/>
        </w:rPr>
        <w:t>Oecologia</w:t>
      </w:r>
      <w:proofErr w:type="spellEnd"/>
      <w:r w:rsidR="0068775E" w:rsidRPr="00F83B19">
        <w:rPr>
          <w:rFonts w:ascii="Arial" w:hAnsi="Arial" w:cs="Arial"/>
          <w:bCs/>
          <w:i/>
          <w:iCs/>
          <w:sz w:val="20"/>
          <w:szCs w:val="20"/>
        </w:rPr>
        <w:t xml:space="preserve">  </w:t>
      </w:r>
      <w:r w:rsidR="0068775E" w:rsidRPr="00F83B19">
        <w:rPr>
          <w:rFonts w:ascii="Arial" w:hAnsi="Arial" w:cs="Arial"/>
          <w:bCs/>
          <w:iCs/>
          <w:sz w:val="20"/>
          <w:szCs w:val="20"/>
        </w:rPr>
        <w:t>60</w:t>
      </w:r>
      <w:proofErr w:type="gramEnd"/>
      <w:r w:rsidR="0068775E" w:rsidRPr="00F83B19">
        <w:rPr>
          <w:rFonts w:ascii="Arial" w:hAnsi="Arial" w:cs="Arial"/>
          <w:bCs/>
          <w:iCs/>
          <w:sz w:val="20"/>
          <w:szCs w:val="20"/>
        </w:rPr>
        <w:t xml:space="preserve">: 384–389. </w:t>
      </w:r>
    </w:p>
    <w:p w14:paraId="41D0EBEB"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Food and Agriculture Organization of the United Nations (FAO). 2001. FAOSTAT database (</w:t>
      </w:r>
      <w:hyperlink r:id="rId11" w:history="1">
        <w:r w:rsidRPr="00F83B19">
          <w:rPr>
            <w:rStyle w:val="Hyperlink"/>
            <w:rFonts w:ascii="Arial" w:hAnsi="Arial" w:cs="Arial"/>
            <w:bCs/>
            <w:iCs/>
            <w:sz w:val="20"/>
            <w:szCs w:val="20"/>
          </w:rPr>
          <w:t>http://apps.fao.org</w:t>
        </w:r>
      </w:hyperlink>
      <w:r w:rsidRPr="00F83B19">
        <w:rPr>
          <w:rFonts w:ascii="Arial" w:hAnsi="Arial" w:cs="Arial"/>
          <w:bCs/>
          <w:iCs/>
          <w:sz w:val="20"/>
          <w:szCs w:val="20"/>
        </w:rPr>
        <w:t>).</w:t>
      </w:r>
    </w:p>
    <w:p w14:paraId="06F77A7B" w14:textId="77777777" w:rsidR="0068775E" w:rsidRPr="00F83B19" w:rsidRDefault="00515B1B" w:rsidP="001B2609">
      <w:pPr>
        <w:pStyle w:val="ListParagraph"/>
        <w:numPr>
          <w:ilvl w:val="0"/>
          <w:numId w:val="7"/>
        </w:numPr>
        <w:ind w:left="284" w:hanging="284"/>
        <w:jc w:val="both"/>
        <w:rPr>
          <w:rFonts w:ascii="Arial" w:hAnsi="Arial" w:cs="Arial"/>
          <w:bCs/>
          <w:i/>
          <w:iCs/>
          <w:sz w:val="20"/>
          <w:szCs w:val="20"/>
        </w:rPr>
      </w:pPr>
      <w:r w:rsidRPr="00F83B19">
        <w:rPr>
          <w:rFonts w:ascii="Arial" w:hAnsi="Arial" w:cs="Arial"/>
          <w:bCs/>
          <w:iCs/>
          <w:sz w:val="20"/>
          <w:szCs w:val="20"/>
        </w:rPr>
        <w:t xml:space="preserve">Gayathri A, </w:t>
      </w:r>
      <w:proofErr w:type="spellStart"/>
      <w:r w:rsidRPr="00F83B19">
        <w:rPr>
          <w:rFonts w:ascii="Arial" w:hAnsi="Arial" w:cs="Arial"/>
          <w:bCs/>
          <w:iCs/>
          <w:sz w:val="20"/>
          <w:szCs w:val="20"/>
        </w:rPr>
        <w:t>Ghuge</w:t>
      </w:r>
      <w:proofErr w:type="spellEnd"/>
      <w:r w:rsidRPr="00F83B19">
        <w:rPr>
          <w:rFonts w:ascii="Arial" w:hAnsi="Arial" w:cs="Arial"/>
          <w:bCs/>
          <w:iCs/>
          <w:sz w:val="20"/>
          <w:szCs w:val="20"/>
        </w:rPr>
        <w:t xml:space="preserve"> S, Shinde A, Mahesh</w:t>
      </w:r>
      <w:r w:rsidR="0068775E" w:rsidRPr="00F83B19">
        <w:rPr>
          <w:rFonts w:ascii="Arial" w:hAnsi="Arial" w:cs="Arial"/>
          <w:bCs/>
          <w:iCs/>
          <w:sz w:val="20"/>
          <w:szCs w:val="20"/>
        </w:rPr>
        <w:t xml:space="preserve"> S. </w:t>
      </w:r>
      <w:r w:rsidR="002D3402" w:rsidRPr="00F83B19">
        <w:rPr>
          <w:rFonts w:ascii="Arial" w:hAnsi="Arial" w:cs="Arial"/>
          <w:bCs/>
          <w:iCs/>
          <w:sz w:val="20"/>
          <w:szCs w:val="20"/>
        </w:rPr>
        <w:t>&amp;</w:t>
      </w:r>
      <w:r w:rsidRPr="00F83B19">
        <w:rPr>
          <w:rFonts w:ascii="Arial" w:hAnsi="Arial" w:cs="Arial"/>
          <w:bCs/>
          <w:iCs/>
          <w:sz w:val="20"/>
          <w:szCs w:val="20"/>
        </w:rPr>
        <w:t xml:space="preserve"> Pawar</w:t>
      </w:r>
      <w:r w:rsidR="0068775E" w:rsidRPr="00F83B19">
        <w:rPr>
          <w:rFonts w:ascii="Arial" w:hAnsi="Arial" w:cs="Arial"/>
          <w:bCs/>
          <w:iCs/>
          <w:sz w:val="20"/>
          <w:szCs w:val="20"/>
        </w:rPr>
        <w:t xml:space="preserve"> A. 2023.  </w:t>
      </w:r>
      <w:r w:rsidR="0068775E" w:rsidRPr="00F83B19">
        <w:rPr>
          <w:rFonts w:ascii="Arial" w:hAnsi="Arial" w:cs="Arial"/>
          <w:bCs/>
          <w:i/>
          <w:iCs/>
          <w:sz w:val="20"/>
          <w:szCs w:val="20"/>
        </w:rPr>
        <w:t>Study of Nitrogen Rates and Nano Urea Effects on Physiological Parameters and Yield of Safflower (Carthamus tinctorius L.). International Journal of Environment and Climate Change</w:t>
      </w:r>
      <w:r w:rsidR="0068775E" w:rsidRPr="00F83B19">
        <w:rPr>
          <w:rFonts w:ascii="Arial" w:hAnsi="Arial" w:cs="Arial"/>
          <w:bCs/>
          <w:iCs/>
          <w:sz w:val="20"/>
          <w:szCs w:val="20"/>
        </w:rPr>
        <w:t xml:space="preserve"> 13(10):3974-3981. </w:t>
      </w:r>
    </w:p>
    <w:p w14:paraId="5F226792"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Global agriculture towards 2050. </w:t>
      </w:r>
      <w:hyperlink r:id="rId12" w:history="1">
        <w:r w:rsidRPr="00F83B19">
          <w:rPr>
            <w:rStyle w:val="Hyperlink"/>
            <w:rFonts w:ascii="Arial" w:hAnsi="Arial" w:cs="Arial"/>
            <w:bCs/>
            <w:iCs/>
            <w:sz w:val="20"/>
            <w:szCs w:val="20"/>
          </w:rPr>
          <w:t>https://www.fao.org/fileadmin/templates/wsfs/docs/Issues_papers/HLEF2050_Global_Agriculture.pdf</w:t>
        </w:r>
      </w:hyperlink>
      <w:r w:rsidRPr="00F83B19">
        <w:rPr>
          <w:rFonts w:ascii="Arial" w:hAnsi="Arial" w:cs="Arial"/>
          <w:bCs/>
          <w:iCs/>
          <w:sz w:val="20"/>
          <w:szCs w:val="20"/>
        </w:rPr>
        <w:t xml:space="preserve"> accessed on June 19 2025.</w:t>
      </w:r>
    </w:p>
    <w:p w14:paraId="45EC304B"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Getinet</w:t>
      </w:r>
      <w:proofErr w:type="spellEnd"/>
      <w:r w:rsidRPr="00F83B19">
        <w:rPr>
          <w:rFonts w:ascii="Arial" w:hAnsi="Arial" w:cs="Arial"/>
          <w:bCs/>
          <w:iCs/>
          <w:sz w:val="20"/>
          <w:szCs w:val="20"/>
        </w:rPr>
        <w:t xml:space="preserve"> A</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w:t>
      </w:r>
      <w:proofErr w:type="spellStart"/>
      <w:r w:rsidRPr="00F83B19">
        <w:rPr>
          <w:rFonts w:ascii="Arial" w:hAnsi="Arial" w:cs="Arial"/>
          <w:bCs/>
          <w:iCs/>
          <w:sz w:val="20"/>
          <w:szCs w:val="20"/>
        </w:rPr>
        <w:t>Nigussie</w:t>
      </w:r>
      <w:proofErr w:type="spellEnd"/>
      <w:r w:rsidR="0068775E" w:rsidRPr="00F83B19">
        <w:rPr>
          <w:rFonts w:ascii="Arial" w:hAnsi="Arial" w:cs="Arial"/>
          <w:bCs/>
          <w:iCs/>
          <w:sz w:val="20"/>
          <w:szCs w:val="20"/>
        </w:rPr>
        <w:t xml:space="preserve"> A. 1997: Highland Oil Crops: A </w:t>
      </w:r>
      <w:proofErr w:type="gramStart"/>
      <w:r w:rsidR="0068775E" w:rsidRPr="00F83B19">
        <w:rPr>
          <w:rFonts w:ascii="Arial" w:hAnsi="Arial" w:cs="Arial"/>
          <w:bCs/>
          <w:iCs/>
          <w:sz w:val="20"/>
          <w:szCs w:val="20"/>
        </w:rPr>
        <w:t>three decade</w:t>
      </w:r>
      <w:proofErr w:type="gramEnd"/>
      <w:r w:rsidR="0068775E" w:rsidRPr="00F83B19">
        <w:rPr>
          <w:rFonts w:ascii="Arial" w:hAnsi="Arial" w:cs="Arial"/>
          <w:bCs/>
          <w:iCs/>
          <w:sz w:val="20"/>
          <w:szCs w:val="20"/>
        </w:rPr>
        <w:t xml:space="preserve"> research experience in Ethiopia. Research Report No. 30. Institute of Agricultural Research, Addis Ababa, Ethiopia.</w:t>
      </w:r>
    </w:p>
    <w:p w14:paraId="11058870"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Gill K </w:t>
      </w:r>
      <w:r w:rsidR="0068775E" w:rsidRPr="00F83B19">
        <w:rPr>
          <w:rFonts w:ascii="Arial" w:hAnsi="Arial" w:cs="Arial"/>
          <w:bCs/>
          <w:iCs/>
          <w:sz w:val="20"/>
          <w:szCs w:val="20"/>
        </w:rPr>
        <w:t>S. 1987. Linseed. Indian Council of Agricultural Research, New Delhi.</w:t>
      </w:r>
    </w:p>
    <w:p w14:paraId="1C4FE657"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Goodarzi F, Delshad M</w:t>
      </w:r>
      <w:r w:rsidR="0068775E" w:rsidRPr="00F83B19">
        <w:rPr>
          <w:rFonts w:ascii="Arial" w:hAnsi="Arial" w:cs="Arial"/>
          <w:bCs/>
          <w:iCs/>
          <w:sz w:val="20"/>
          <w:szCs w:val="20"/>
        </w:rPr>
        <w:t>, Soltan</w:t>
      </w:r>
      <w:r w:rsidRPr="00F83B19">
        <w:rPr>
          <w:rFonts w:ascii="Arial" w:hAnsi="Arial" w:cs="Arial"/>
          <w:bCs/>
          <w:iCs/>
          <w:sz w:val="20"/>
          <w:szCs w:val="20"/>
        </w:rPr>
        <w:t>i F, &amp; Mansouri</w:t>
      </w:r>
      <w:r w:rsidR="0068775E" w:rsidRPr="00F83B19">
        <w:rPr>
          <w:rFonts w:ascii="Arial" w:hAnsi="Arial" w:cs="Arial"/>
          <w:bCs/>
          <w:iCs/>
          <w:sz w:val="20"/>
          <w:szCs w:val="20"/>
        </w:rPr>
        <w:t xml:space="preserve"> H. 2020. Changes in some growth and yield indices of Spinach (</w:t>
      </w:r>
      <w:r w:rsidR="0068775E" w:rsidRPr="00F83B19">
        <w:rPr>
          <w:rFonts w:ascii="Arial" w:hAnsi="Arial" w:cs="Arial"/>
          <w:bCs/>
          <w:i/>
          <w:iCs/>
          <w:sz w:val="20"/>
          <w:szCs w:val="20"/>
        </w:rPr>
        <w:t>Spinacia oleracea</w:t>
      </w:r>
      <w:r w:rsidR="0068775E" w:rsidRPr="00F83B19">
        <w:rPr>
          <w:rFonts w:ascii="Arial" w:hAnsi="Arial" w:cs="Arial"/>
          <w:bCs/>
          <w:iCs/>
          <w:sz w:val="20"/>
          <w:szCs w:val="20"/>
        </w:rPr>
        <w:t xml:space="preserve"> L.) under nitrogen fertilization and plant density. </w:t>
      </w:r>
      <w:r w:rsidR="0068775E" w:rsidRPr="00F83B19">
        <w:rPr>
          <w:rFonts w:ascii="Arial" w:hAnsi="Arial" w:cs="Arial"/>
          <w:bCs/>
          <w:i/>
          <w:iCs/>
          <w:sz w:val="20"/>
          <w:szCs w:val="20"/>
        </w:rPr>
        <w:t xml:space="preserve">Iranian Journal of Field Crops Research </w:t>
      </w:r>
      <w:r w:rsidR="0068775E" w:rsidRPr="00F83B19">
        <w:rPr>
          <w:rFonts w:ascii="Arial" w:hAnsi="Arial" w:cs="Arial"/>
          <w:bCs/>
          <w:iCs/>
          <w:sz w:val="20"/>
          <w:szCs w:val="20"/>
        </w:rPr>
        <w:t xml:space="preserve">51(2): 183–198. </w:t>
      </w:r>
    </w:p>
    <w:p w14:paraId="40444D2E"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Gutierrez C, Rubilar M, Jara C</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Verdugo</w:t>
      </w:r>
      <w:proofErr w:type="spellEnd"/>
      <w:r w:rsidRPr="00F83B19">
        <w:rPr>
          <w:rFonts w:ascii="Arial" w:hAnsi="Arial" w:cs="Arial"/>
          <w:bCs/>
          <w:iCs/>
          <w:sz w:val="20"/>
          <w:szCs w:val="20"/>
        </w:rPr>
        <w:t xml:space="preserve"> M, </w:t>
      </w:r>
      <w:proofErr w:type="spellStart"/>
      <w:r w:rsidRPr="00F83B19">
        <w:rPr>
          <w:rFonts w:ascii="Arial" w:hAnsi="Arial" w:cs="Arial"/>
          <w:bCs/>
          <w:iCs/>
          <w:sz w:val="20"/>
          <w:szCs w:val="20"/>
        </w:rPr>
        <w:t>Sineiro</w:t>
      </w:r>
      <w:proofErr w:type="spellEnd"/>
      <w:r w:rsidR="0068775E" w:rsidRPr="00F83B19">
        <w:rPr>
          <w:rFonts w:ascii="Arial" w:hAnsi="Arial" w:cs="Arial"/>
          <w:bCs/>
          <w:iCs/>
          <w:sz w:val="20"/>
          <w:szCs w:val="20"/>
        </w:rPr>
        <w:t xml:space="preserve"> J. </w:t>
      </w:r>
      <w:r w:rsidR="002D3402" w:rsidRPr="00F83B19">
        <w:rPr>
          <w:rFonts w:ascii="Arial" w:hAnsi="Arial" w:cs="Arial"/>
          <w:bCs/>
          <w:iCs/>
          <w:sz w:val="20"/>
          <w:szCs w:val="20"/>
        </w:rPr>
        <w:t>&amp;</w:t>
      </w:r>
      <w:r w:rsidRPr="00F83B19">
        <w:rPr>
          <w:rFonts w:ascii="Arial" w:hAnsi="Arial" w:cs="Arial"/>
          <w:bCs/>
          <w:iCs/>
          <w:sz w:val="20"/>
          <w:szCs w:val="20"/>
        </w:rPr>
        <w:t xml:space="preserve"> Shene</w:t>
      </w:r>
      <w:r w:rsidR="0068775E" w:rsidRPr="00F83B19">
        <w:rPr>
          <w:rFonts w:ascii="Arial" w:hAnsi="Arial" w:cs="Arial"/>
          <w:bCs/>
          <w:iCs/>
          <w:sz w:val="20"/>
          <w:szCs w:val="20"/>
        </w:rPr>
        <w:t xml:space="preserve"> C. 2010. Flaxseed and flaxseed cake as a source of compounds for food industry. </w:t>
      </w:r>
      <w:r w:rsidR="002D3402" w:rsidRPr="00F83B19">
        <w:rPr>
          <w:rFonts w:ascii="Arial" w:hAnsi="Arial" w:cs="Arial"/>
          <w:bCs/>
          <w:i/>
          <w:iCs/>
          <w:sz w:val="20"/>
          <w:szCs w:val="20"/>
        </w:rPr>
        <w:t xml:space="preserve">Journal of </w:t>
      </w:r>
      <w:r w:rsidR="0068775E" w:rsidRPr="00F83B19">
        <w:rPr>
          <w:rFonts w:ascii="Arial" w:hAnsi="Arial" w:cs="Arial"/>
          <w:bCs/>
          <w:i/>
          <w:iCs/>
          <w:sz w:val="20"/>
          <w:szCs w:val="20"/>
        </w:rPr>
        <w:t xml:space="preserve">Soil Science </w:t>
      </w:r>
      <w:proofErr w:type="gramStart"/>
      <w:r w:rsidR="0068775E" w:rsidRPr="00F83B19">
        <w:rPr>
          <w:rFonts w:ascii="Arial" w:hAnsi="Arial" w:cs="Arial"/>
          <w:bCs/>
          <w:i/>
          <w:iCs/>
          <w:sz w:val="20"/>
          <w:szCs w:val="20"/>
        </w:rPr>
        <w:t>and  Plant</w:t>
      </w:r>
      <w:proofErr w:type="gramEnd"/>
      <w:r w:rsidR="0068775E" w:rsidRPr="00F83B19">
        <w:rPr>
          <w:rFonts w:ascii="Arial" w:hAnsi="Arial" w:cs="Arial"/>
          <w:bCs/>
          <w:i/>
          <w:iCs/>
          <w:sz w:val="20"/>
          <w:szCs w:val="20"/>
        </w:rPr>
        <w:t xml:space="preserve"> Nutrition</w:t>
      </w:r>
      <w:r w:rsidR="0068775E" w:rsidRPr="00F83B19">
        <w:rPr>
          <w:rFonts w:ascii="Arial" w:hAnsi="Arial" w:cs="Arial"/>
          <w:bCs/>
          <w:iCs/>
          <w:sz w:val="20"/>
          <w:szCs w:val="20"/>
        </w:rPr>
        <w:t xml:space="preserve"> 10 (4): 454-463.</w:t>
      </w:r>
    </w:p>
    <w:p w14:paraId="1751B2AF"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proofErr w:type="spellStart"/>
      <w:proofErr w:type="gramStart"/>
      <w:r w:rsidRPr="00F83B19">
        <w:rPr>
          <w:rFonts w:ascii="Arial" w:hAnsi="Arial" w:cs="Arial"/>
          <w:bCs/>
          <w:iCs/>
          <w:sz w:val="20"/>
          <w:szCs w:val="20"/>
        </w:rPr>
        <w:t>Hanifuzzaman</w:t>
      </w:r>
      <w:proofErr w:type="spellEnd"/>
      <w:r w:rsidRPr="00F83B19">
        <w:rPr>
          <w:rFonts w:ascii="Arial" w:hAnsi="Arial" w:cs="Arial"/>
          <w:bCs/>
          <w:iCs/>
          <w:sz w:val="20"/>
          <w:szCs w:val="20"/>
        </w:rPr>
        <w:t xml:space="preserve">  M</w:t>
      </w:r>
      <w:proofErr w:type="gramEnd"/>
      <w:r w:rsidRPr="00F83B19">
        <w:rPr>
          <w:rFonts w:ascii="Arial" w:hAnsi="Arial" w:cs="Arial"/>
          <w:bCs/>
          <w:iCs/>
          <w:sz w:val="20"/>
          <w:szCs w:val="20"/>
        </w:rPr>
        <w:t>, Uddin FMJ, Sarkar-</w:t>
      </w:r>
      <w:proofErr w:type="spellStart"/>
      <w:r w:rsidRPr="00F83B19">
        <w:rPr>
          <w:rFonts w:ascii="Arial" w:hAnsi="Arial" w:cs="Arial"/>
          <w:bCs/>
          <w:iCs/>
          <w:sz w:val="20"/>
          <w:szCs w:val="20"/>
        </w:rPr>
        <w:t>Mostofa</w:t>
      </w:r>
      <w:proofErr w:type="spellEnd"/>
      <w:r w:rsidRPr="00F83B19">
        <w:rPr>
          <w:rFonts w:ascii="Arial" w:hAnsi="Arial" w:cs="Arial"/>
          <w:bCs/>
          <w:iCs/>
          <w:sz w:val="20"/>
          <w:szCs w:val="20"/>
        </w:rPr>
        <w:t xml:space="preserve"> MG, </w:t>
      </w:r>
      <w:proofErr w:type="spellStart"/>
      <w:r w:rsidRPr="00F83B19">
        <w:rPr>
          <w:rFonts w:ascii="Arial" w:hAnsi="Arial" w:cs="Arial"/>
          <w:bCs/>
          <w:iCs/>
          <w:sz w:val="20"/>
          <w:szCs w:val="20"/>
        </w:rPr>
        <w:t>Shubroto</w:t>
      </w:r>
      <w:proofErr w:type="spellEnd"/>
      <w:r w:rsidRPr="00F83B19">
        <w:rPr>
          <w:rFonts w:ascii="Arial" w:hAnsi="Arial" w:cs="Arial"/>
          <w:bCs/>
          <w:iCs/>
          <w:sz w:val="20"/>
          <w:szCs w:val="20"/>
        </w:rPr>
        <w:t xml:space="preserve"> SK, Paul SK</w:t>
      </w:r>
      <w:r w:rsidR="0068775E" w:rsidRPr="00F83B19">
        <w:rPr>
          <w:rFonts w:ascii="Arial" w:hAnsi="Arial" w:cs="Arial"/>
          <w:bCs/>
          <w:iCs/>
          <w:sz w:val="20"/>
          <w:szCs w:val="20"/>
        </w:rPr>
        <w:t xml:space="preserve"> and R</w:t>
      </w:r>
      <w:r w:rsidRPr="00F83B19">
        <w:rPr>
          <w:rFonts w:ascii="Arial" w:hAnsi="Arial" w:cs="Arial"/>
          <w:bCs/>
          <w:iCs/>
          <w:sz w:val="20"/>
          <w:szCs w:val="20"/>
        </w:rPr>
        <w:t xml:space="preserve">ashid  M </w:t>
      </w:r>
      <w:r w:rsidR="0068775E" w:rsidRPr="00F83B19">
        <w:rPr>
          <w:rFonts w:ascii="Arial" w:hAnsi="Arial" w:cs="Arial"/>
          <w:bCs/>
          <w:iCs/>
          <w:sz w:val="20"/>
          <w:szCs w:val="20"/>
        </w:rPr>
        <w:t>H. 2022. Effect of zinc and boron management on yield and yield contributing characters of Aus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Research Crop</w:t>
      </w:r>
      <w:r w:rsidR="0068775E" w:rsidRPr="00F83B19">
        <w:rPr>
          <w:rFonts w:ascii="Arial" w:hAnsi="Arial" w:cs="Arial"/>
          <w:bCs/>
          <w:iCs/>
          <w:sz w:val="20"/>
          <w:szCs w:val="20"/>
        </w:rPr>
        <w:t xml:space="preserve"> 23:1-10.</w:t>
      </w:r>
    </w:p>
    <w:p w14:paraId="3440964D"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Harode M N, </w:t>
      </w:r>
      <w:proofErr w:type="spellStart"/>
      <w:r w:rsidRPr="00F83B19">
        <w:rPr>
          <w:rFonts w:ascii="Arial" w:hAnsi="Arial" w:cs="Arial"/>
          <w:bCs/>
          <w:iCs/>
          <w:sz w:val="20"/>
          <w:szCs w:val="20"/>
        </w:rPr>
        <w:t>Mankar</w:t>
      </w:r>
      <w:proofErr w:type="spellEnd"/>
      <w:r w:rsidRPr="00F83B19">
        <w:rPr>
          <w:rFonts w:ascii="Arial" w:hAnsi="Arial" w:cs="Arial"/>
          <w:bCs/>
          <w:iCs/>
          <w:sz w:val="20"/>
          <w:szCs w:val="20"/>
        </w:rPr>
        <w:t xml:space="preserve"> D </w:t>
      </w:r>
      <w:proofErr w:type="spellStart"/>
      <w:r w:rsidRPr="00F83B19">
        <w:rPr>
          <w:rFonts w:ascii="Arial" w:hAnsi="Arial" w:cs="Arial"/>
          <w:bCs/>
          <w:iCs/>
          <w:sz w:val="20"/>
          <w:szCs w:val="20"/>
        </w:rPr>
        <w:t>D</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Thakare</w:t>
      </w:r>
      <w:proofErr w:type="spellEnd"/>
      <w:r w:rsidRPr="00F83B19">
        <w:rPr>
          <w:rFonts w:ascii="Arial" w:hAnsi="Arial" w:cs="Arial"/>
          <w:bCs/>
          <w:iCs/>
          <w:sz w:val="20"/>
          <w:szCs w:val="20"/>
        </w:rPr>
        <w:t xml:space="preserve"> S </w:t>
      </w:r>
      <w:proofErr w:type="spellStart"/>
      <w:r w:rsidRPr="00F83B19">
        <w:rPr>
          <w:rFonts w:ascii="Arial" w:hAnsi="Arial" w:cs="Arial"/>
          <w:bCs/>
          <w:iCs/>
          <w:sz w:val="20"/>
          <w:szCs w:val="20"/>
        </w:rPr>
        <w:t>S</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Pagar</w:t>
      </w:r>
      <w:proofErr w:type="spellEnd"/>
      <w:r w:rsidRPr="00F83B19">
        <w:rPr>
          <w:rFonts w:ascii="Arial" w:hAnsi="Arial" w:cs="Arial"/>
          <w:bCs/>
          <w:iCs/>
          <w:sz w:val="20"/>
          <w:szCs w:val="20"/>
        </w:rPr>
        <w:t xml:space="preserve"> PC, </w:t>
      </w:r>
      <w:proofErr w:type="spellStart"/>
      <w:r w:rsidRPr="00F83B19">
        <w:rPr>
          <w:rFonts w:ascii="Arial" w:hAnsi="Arial" w:cs="Arial"/>
          <w:bCs/>
          <w:iCs/>
          <w:sz w:val="20"/>
          <w:szCs w:val="20"/>
        </w:rPr>
        <w:t>Koytade</w:t>
      </w:r>
      <w:proofErr w:type="spellEnd"/>
      <w:r w:rsidRPr="00F83B19">
        <w:rPr>
          <w:rFonts w:ascii="Arial" w:hAnsi="Arial" w:cs="Arial"/>
          <w:bCs/>
          <w:iCs/>
          <w:sz w:val="20"/>
          <w:szCs w:val="20"/>
        </w:rPr>
        <w:t xml:space="preserve"> G, </w:t>
      </w:r>
      <w:proofErr w:type="spellStart"/>
      <w:r w:rsidRPr="00F83B19">
        <w:rPr>
          <w:rFonts w:ascii="Arial" w:hAnsi="Arial" w:cs="Arial"/>
          <w:bCs/>
          <w:iCs/>
          <w:sz w:val="20"/>
          <w:szCs w:val="20"/>
        </w:rPr>
        <w:t>Kubde</w:t>
      </w:r>
      <w:proofErr w:type="spellEnd"/>
      <w:r w:rsidRPr="00F83B19">
        <w:rPr>
          <w:rFonts w:ascii="Arial" w:hAnsi="Arial" w:cs="Arial"/>
          <w:bCs/>
          <w:iCs/>
          <w:sz w:val="20"/>
          <w:szCs w:val="20"/>
        </w:rPr>
        <w:t xml:space="preserve"> K J</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Nair</w:t>
      </w:r>
      <w:r w:rsidR="0068775E" w:rsidRPr="00F83B19">
        <w:rPr>
          <w:rFonts w:ascii="Arial" w:hAnsi="Arial" w:cs="Arial"/>
          <w:bCs/>
          <w:iCs/>
          <w:sz w:val="20"/>
          <w:szCs w:val="20"/>
        </w:rPr>
        <w:t xml:space="preserve"> B. 2024. Effect of nano-urea supplementation on growth and yield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International Journal of Advanced Biochemistry Research</w:t>
      </w:r>
      <w:r w:rsidR="0068775E" w:rsidRPr="00F83B19">
        <w:rPr>
          <w:rFonts w:ascii="Arial" w:hAnsi="Arial" w:cs="Arial"/>
          <w:bCs/>
          <w:iCs/>
          <w:sz w:val="20"/>
          <w:szCs w:val="20"/>
        </w:rPr>
        <w:t xml:space="preserve">  SP-8(10) : 427-431</w:t>
      </w:r>
    </w:p>
    <w:p w14:paraId="2CD2E0B0"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Henao</w:t>
      </w:r>
      <w:r w:rsidR="0068775E" w:rsidRPr="00F83B19">
        <w:rPr>
          <w:rFonts w:ascii="Arial" w:hAnsi="Arial" w:cs="Arial"/>
          <w:bCs/>
          <w:iCs/>
          <w:sz w:val="20"/>
          <w:szCs w:val="20"/>
        </w:rPr>
        <w:t xml:space="preserve"> J.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Baanante</w:t>
      </w:r>
      <w:proofErr w:type="spellEnd"/>
      <w:r w:rsidR="0068775E" w:rsidRPr="00F83B19">
        <w:rPr>
          <w:rFonts w:ascii="Arial" w:hAnsi="Arial" w:cs="Arial"/>
          <w:bCs/>
          <w:iCs/>
          <w:sz w:val="20"/>
          <w:szCs w:val="20"/>
        </w:rPr>
        <w:t xml:space="preserve"> C. 1999. </w:t>
      </w:r>
      <w:r w:rsidR="0068775E" w:rsidRPr="00F83B19">
        <w:rPr>
          <w:rFonts w:ascii="Arial" w:hAnsi="Arial" w:cs="Arial"/>
          <w:bCs/>
          <w:i/>
          <w:iCs/>
          <w:sz w:val="20"/>
          <w:szCs w:val="20"/>
        </w:rPr>
        <w:t>Estimating rates of nutrient depletion in soils of agricultural lands of Africa</w:t>
      </w:r>
      <w:r w:rsidR="0068775E" w:rsidRPr="00F83B19">
        <w:rPr>
          <w:rFonts w:ascii="Arial" w:hAnsi="Arial" w:cs="Arial"/>
          <w:bCs/>
          <w:iCs/>
          <w:sz w:val="20"/>
          <w:szCs w:val="20"/>
        </w:rPr>
        <w:t xml:space="preserve">. International Fertilizer Development </w:t>
      </w:r>
      <w:proofErr w:type="spellStart"/>
      <w:r w:rsidR="0068775E" w:rsidRPr="00F83B19">
        <w:rPr>
          <w:rFonts w:ascii="Arial" w:hAnsi="Arial" w:cs="Arial"/>
          <w:bCs/>
          <w:iCs/>
          <w:sz w:val="20"/>
          <w:szCs w:val="20"/>
        </w:rPr>
        <w:t>Center</w:t>
      </w:r>
      <w:proofErr w:type="spellEnd"/>
      <w:r w:rsidR="0068775E" w:rsidRPr="00F83B19">
        <w:rPr>
          <w:rFonts w:ascii="Arial" w:hAnsi="Arial" w:cs="Arial"/>
          <w:bCs/>
          <w:iCs/>
          <w:sz w:val="20"/>
          <w:szCs w:val="20"/>
        </w:rPr>
        <w:t xml:space="preserve"> (IFDC), Muscle</w:t>
      </w:r>
      <w:r w:rsidR="0068775E" w:rsidRPr="00F83B19">
        <w:rPr>
          <w:rFonts w:ascii="Arial" w:hAnsi="Arial" w:cs="Arial"/>
          <w:bCs/>
          <w:i/>
          <w:iCs/>
          <w:sz w:val="20"/>
          <w:szCs w:val="20"/>
        </w:rPr>
        <w:t xml:space="preserve"> </w:t>
      </w:r>
      <w:r w:rsidR="0068775E" w:rsidRPr="00F83B19">
        <w:rPr>
          <w:rFonts w:ascii="Arial" w:hAnsi="Arial" w:cs="Arial"/>
          <w:bCs/>
          <w:iCs/>
          <w:sz w:val="20"/>
          <w:szCs w:val="20"/>
        </w:rPr>
        <w:t>Shoals, Alabama, USA 76 pp.</w:t>
      </w:r>
    </w:p>
    <w:p w14:paraId="31029C2D" w14:textId="77777777" w:rsidR="0068775E" w:rsidRPr="00F83B19" w:rsidRDefault="0020691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Hirose</w:t>
      </w:r>
      <w:r w:rsidR="0068775E" w:rsidRPr="00F83B19">
        <w:rPr>
          <w:rFonts w:ascii="Arial" w:hAnsi="Arial" w:cs="Arial"/>
          <w:bCs/>
          <w:iCs/>
          <w:sz w:val="20"/>
          <w:szCs w:val="20"/>
        </w:rPr>
        <w:t xml:space="preserve"> T. </w:t>
      </w:r>
      <w:r w:rsidR="002D3402" w:rsidRPr="00F83B19">
        <w:rPr>
          <w:rFonts w:ascii="Arial" w:hAnsi="Arial" w:cs="Arial"/>
          <w:bCs/>
          <w:iCs/>
          <w:sz w:val="20"/>
          <w:szCs w:val="20"/>
        </w:rPr>
        <w:t>&amp;</w:t>
      </w:r>
      <w:r w:rsidRPr="00F83B19">
        <w:rPr>
          <w:rFonts w:ascii="Arial" w:hAnsi="Arial" w:cs="Arial"/>
          <w:bCs/>
          <w:iCs/>
          <w:sz w:val="20"/>
          <w:szCs w:val="20"/>
        </w:rPr>
        <w:t xml:space="preserve"> Bazzaz F </w:t>
      </w:r>
      <w:r w:rsidR="0068775E" w:rsidRPr="00F83B19">
        <w:rPr>
          <w:rFonts w:ascii="Arial" w:hAnsi="Arial" w:cs="Arial"/>
          <w:bCs/>
          <w:iCs/>
          <w:sz w:val="20"/>
          <w:szCs w:val="20"/>
        </w:rPr>
        <w:t xml:space="preserve">A. 1998. Trade-off Between Light- and Nitrogen-use Efficiency in Canopy Photosynthesis. </w:t>
      </w:r>
      <w:r w:rsidR="0068775E" w:rsidRPr="00F83B19">
        <w:rPr>
          <w:rFonts w:ascii="Arial" w:hAnsi="Arial" w:cs="Arial"/>
          <w:bCs/>
          <w:i/>
          <w:iCs/>
          <w:sz w:val="20"/>
          <w:szCs w:val="20"/>
        </w:rPr>
        <w:t xml:space="preserve">Annals of Botany </w:t>
      </w:r>
      <w:r w:rsidR="0068775E" w:rsidRPr="00F83B19">
        <w:rPr>
          <w:rFonts w:ascii="Arial" w:hAnsi="Arial" w:cs="Arial"/>
          <w:bCs/>
          <w:iCs/>
          <w:sz w:val="20"/>
          <w:szCs w:val="20"/>
        </w:rPr>
        <w:t xml:space="preserve">82: 195–202. </w:t>
      </w:r>
    </w:p>
    <w:p w14:paraId="4C2E34D3"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Jacob</w:t>
      </w:r>
      <w:r w:rsidR="006512A4" w:rsidRPr="00F83B19">
        <w:rPr>
          <w:rFonts w:ascii="Arial" w:hAnsi="Arial" w:cs="Arial"/>
          <w:bCs/>
          <w:iCs/>
          <w:sz w:val="20"/>
          <w:szCs w:val="20"/>
        </w:rPr>
        <w:t>sz M</w:t>
      </w:r>
      <w:r w:rsidRPr="00F83B19">
        <w:rPr>
          <w:rFonts w:ascii="Arial" w:hAnsi="Arial" w:cs="Arial"/>
          <w:bCs/>
          <w:iCs/>
          <w:sz w:val="20"/>
          <w:szCs w:val="20"/>
        </w:rPr>
        <w:t>J.</w:t>
      </w:r>
      <w:r w:rsidR="002D3402" w:rsidRPr="00F83B19">
        <w:rPr>
          <w:rFonts w:ascii="Arial" w:hAnsi="Arial" w:cs="Arial"/>
          <w:bCs/>
          <w:iCs/>
          <w:sz w:val="20"/>
          <w:szCs w:val="20"/>
        </w:rPr>
        <w:t xml:space="preserve"> &amp;</w:t>
      </w:r>
      <w:r w:rsidR="006512A4" w:rsidRPr="00F83B19">
        <w:rPr>
          <w:rFonts w:ascii="Arial" w:hAnsi="Arial" w:cs="Arial"/>
          <w:bCs/>
          <w:iCs/>
          <w:sz w:val="20"/>
          <w:szCs w:val="20"/>
        </w:rPr>
        <w:t xml:space="preserve"> Vander</w:t>
      </w:r>
      <w:r w:rsidRPr="00F83B19">
        <w:rPr>
          <w:rFonts w:ascii="Arial" w:hAnsi="Arial" w:cs="Arial"/>
          <w:bCs/>
          <w:iCs/>
          <w:sz w:val="20"/>
          <w:szCs w:val="20"/>
        </w:rPr>
        <w:t xml:space="preserve"> Merwe. 2012: Production guidelines for flax (</w:t>
      </w:r>
      <w:proofErr w:type="spellStart"/>
      <w:r w:rsidRPr="00F83B19">
        <w:rPr>
          <w:rFonts w:ascii="Arial" w:hAnsi="Arial" w:cs="Arial"/>
          <w:bCs/>
          <w:i/>
          <w:iCs/>
          <w:sz w:val="20"/>
          <w:szCs w:val="20"/>
        </w:rPr>
        <w:t>Linum</w:t>
      </w:r>
      <w:proofErr w:type="spellEnd"/>
      <w:r w:rsidRPr="00F83B19">
        <w:rPr>
          <w:rFonts w:ascii="Arial" w:hAnsi="Arial" w:cs="Arial"/>
          <w:bCs/>
          <w:i/>
          <w:iCs/>
          <w:sz w:val="20"/>
          <w:szCs w:val="20"/>
        </w:rPr>
        <w:t xml:space="preserve"> </w:t>
      </w:r>
      <w:proofErr w:type="spellStart"/>
      <w:r w:rsidRPr="00F83B19">
        <w:rPr>
          <w:rFonts w:ascii="Arial" w:hAnsi="Arial" w:cs="Arial"/>
          <w:bCs/>
          <w:i/>
          <w:iCs/>
          <w:sz w:val="20"/>
          <w:szCs w:val="20"/>
        </w:rPr>
        <w:t>usitatissimum</w:t>
      </w:r>
      <w:proofErr w:type="spellEnd"/>
      <w:r w:rsidRPr="00F83B19">
        <w:rPr>
          <w:rFonts w:ascii="Arial" w:hAnsi="Arial" w:cs="Arial"/>
          <w:bCs/>
          <w:iCs/>
          <w:sz w:val="20"/>
          <w:szCs w:val="20"/>
        </w:rPr>
        <w:t xml:space="preserve"> L.) Directorate Communication services, Department of Agriculture, Forestry and Fisheries, Pretoria, South Africa.</w:t>
      </w:r>
    </w:p>
    <w:p w14:paraId="23AD71A0"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Kandasamy S</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Prema R</w:t>
      </w:r>
      <w:r w:rsidR="0068775E" w:rsidRPr="00F83B19">
        <w:rPr>
          <w:rFonts w:ascii="Arial" w:hAnsi="Arial" w:cs="Arial"/>
          <w:bCs/>
          <w:iCs/>
          <w:sz w:val="20"/>
          <w:szCs w:val="20"/>
        </w:rPr>
        <w:t>S. 2015. Methods of synthesis of nano particles and its applications. </w:t>
      </w:r>
      <w:r w:rsidR="0068775E" w:rsidRPr="00F83B19">
        <w:rPr>
          <w:rFonts w:ascii="Arial" w:hAnsi="Arial" w:cs="Arial"/>
          <w:bCs/>
          <w:i/>
          <w:iCs/>
          <w:sz w:val="20"/>
          <w:szCs w:val="20"/>
        </w:rPr>
        <w:t>Journal of Chemical and Pharmaceutical Research</w:t>
      </w:r>
      <w:r w:rsidR="0068775E" w:rsidRPr="00F83B19">
        <w:rPr>
          <w:rFonts w:ascii="Arial" w:hAnsi="Arial" w:cs="Arial"/>
          <w:bCs/>
          <w:iCs/>
          <w:sz w:val="20"/>
          <w:szCs w:val="20"/>
        </w:rPr>
        <w:t> 7: 278–285. </w:t>
      </w:r>
    </w:p>
    <w:p w14:paraId="4FECBAFA"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Kikon</w:t>
      </w:r>
      <w:proofErr w:type="spellEnd"/>
      <w:r w:rsidRPr="00F83B19">
        <w:rPr>
          <w:rFonts w:ascii="Arial" w:hAnsi="Arial" w:cs="Arial"/>
          <w:bCs/>
          <w:iCs/>
          <w:sz w:val="20"/>
          <w:szCs w:val="20"/>
        </w:rPr>
        <w:t xml:space="preserve"> N, Solo V, </w:t>
      </w:r>
      <w:proofErr w:type="spellStart"/>
      <w:r w:rsidRPr="00F83B19">
        <w:rPr>
          <w:rFonts w:ascii="Arial" w:hAnsi="Arial" w:cs="Arial"/>
          <w:bCs/>
          <w:iCs/>
          <w:sz w:val="20"/>
          <w:szCs w:val="20"/>
        </w:rPr>
        <w:t>Longkumer</w:t>
      </w:r>
      <w:proofErr w:type="spellEnd"/>
      <w:r w:rsidRPr="00F83B19">
        <w:rPr>
          <w:rFonts w:ascii="Arial" w:hAnsi="Arial" w:cs="Arial"/>
          <w:bCs/>
          <w:iCs/>
          <w:sz w:val="20"/>
          <w:szCs w:val="20"/>
        </w:rPr>
        <w:t xml:space="preserve"> LT, </w:t>
      </w:r>
      <w:proofErr w:type="spellStart"/>
      <w:r w:rsidRPr="00F83B19">
        <w:rPr>
          <w:rFonts w:ascii="Arial" w:hAnsi="Arial" w:cs="Arial"/>
          <w:bCs/>
          <w:iCs/>
          <w:sz w:val="20"/>
          <w:szCs w:val="20"/>
        </w:rPr>
        <w:t>Amlari</w:t>
      </w:r>
      <w:proofErr w:type="spellEnd"/>
      <w:r w:rsidRPr="00F83B19">
        <w:rPr>
          <w:rFonts w:ascii="Arial" w:hAnsi="Arial" w:cs="Arial"/>
          <w:bCs/>
          <w:iCs/>
          <w:sz w:val="20"/>
          <w:szCs w:val="20"/>
        </w:rPr>
        <w:t xml:space="preserve"> I, Singh AK</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Tzudir</w:t>
      </w:r>
      <w:proofErr w:type="spellEnd"/>
      <w:r w:rsidR="0068775E" w:rsidRPr="00F83B19">
        <w:rPr>
          <w:rFonts w:ascii="Arial" w:hAnsi="Arial" w:cs="Arial"/>
          <w:bCs/>
          <w:iCs/>
          <w:sz w:val="20"/>
          <w:szCs w:val="20"/>
        </w:rPr>
        <w:t xml:space="preserve"> L. 2024.Effect of soil and foliar nitrogen fertilization on performance and economics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cultivation </w:t>
      </w:r>
      <w:r w:rsidR="0068775E" w:rsidRPr="00F83B19">
        <w:rPr>
          <w:rFonts w:ascii="Arial" w:hAnsi="Arial" w:cs="Arial"/>
          <w:bCs/>
          <w:iCs/>
          <w:sz w:val="20"/>
          <w:szCs w:val="20"/>
        </w:rPr>
        <w:lastRenderedPageBreak/>
        <w:t xml:space="preserve">under rainfed conditions of Nagaland. </w:t>
      </w:r>
      <w:r w:rsidR="0068775E" w:rsidRPr="00F83B19">
        <w:rPr>
          <w:rFonts w:ascii="Arial" w:hAnsi="Arial" w:cs="Arial"/>
          <w:bCs/>
          <w:i/>
          <w:iCs/>
          <w:sz w:val="20"/>
          <w:szCs w:val="20"/>
        </w:rPr>
        <w:t>Indian Journal of Agricultural Research</w:t>
      </w:r>
      <w:r w:rsidR="0068775E" w:rsidRPr="00F83B19">
        <w:rPr>
          <w:rFonts w:ascii="Arial" w:hAnsi="Arial" w:cs="Arial"/>
          <w:bCs/>
          <w:iCs/>
          <w:sz w:val="20"/>
          <w:szCs w:val="20"/>
        </w:rPr>
        <w:t xml:space="preserve"> </w:t>
      </w:r>
      <w:hyperlink r:id="rId13" w:history="1">
        <w:r w:rsidR="0068775E" w:rsidRPr="00F83B19">
          <w:rPr>
            <w:rStyle w:val="Hyperlink"/>
            <w:rFonts w:ascii="Arial" w:hAnsi="Arial" w:cs="Arial"/>
            <w:bCs/>
            <w:iCs/>
            <w:sz w:val="20"/>
            <w:szCs w:val="20"/>
          </w:rPr>
          <w:t>https://doi.org/10.18805/ijare.a-6239</w:t>
        </w:r>
      </w:hyperlink>
    </w:p>
    <w:p w14:paraId="47CDD6F8"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Kumar VV</w:t>
      </w:r>
      <w:r w:rsidR="0068775E" w:rsidRPr="00F83B19">
        <w:rPr>
          <w:rFonts w:ascii="Arial" w:hAnsi="Arial" w:cs="Arial"/>
          <w:bCs/>
          <w:iCs/>
          <w:sz w:val="20"/>
          <w:szCs w:val="20"/>
        </w:rPr>
        <w:t>, Ananda N, Shank</w:t>
      </w:r>
      <w:r w:rsidRPr="00F83B19">
        <w:rPr>
          <w:rFonts w:ascii="Arial" w:hAnsi="Arial" w:cs="Arial"/>
          <w:bCs/>
          <w:iCs/>
          <w:sz w:val="20"/>
          <w:szCs w:val="20"/>
        </w:rPr>
        <w:t>ar K, Krishnamurthy D</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Meena M</w:t>
      </w:r>
      <w:r w:rsidR="0068775E" w:rsidRPr="00F83B19">
        <w:rPr>
          <w:rFonts w:ascii="Arial" w:hAnsi="Arial" w:cs="Arial"/>
          <w:bCs/>
          <w:iCs/>
          <w:sz w:val="20"/>
          <w:szCs w:val="20"/>
        </w:rPr>
        <w:t>K. 2024. Studies on nitrogen management in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through nano urea</w:t>
      </w:r>
      <w:r w:rsidR="0068775E" w:rsidRPr="00F83B19">
        <w:rPr>
          <w:rFonts w:ascii="Arial" w:hAnsi="Arial" w:cs="Arial"/>
          <w:bCs/>
          <w:i/>
          <w:iCs/>
          <w:sz w:val="20"/>
          <w:szCs w:val="20"/>
        </w:rPr>
        <w:t xml:space="preserve">. International Journal of Research in Agronomy </w:t>
      </w:r>
      <w:r w:rsidR="0068775E" w:rsidRPr="00F83B19">
        <w:rPr>
          <w:rFonts w:ascii="Arial" w:hAnsi="Arial" w:cs="Arial"/>
          <w:bCs/>
          <w:iCs/>
          <w:sz w:val="20"/>
          <w:szCs w:val="20"/>
        </w:rPr>
        <w:t xml:space="preserve">SP-7(10): 404-409. </w:t>
      </w:r>
    </w:p>
    <w:p w14:paraId="3EBCD33E"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Kumar M, Perumal M, Murugan G, Sudhagar R, Vikram SB</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Bada </w:t>
      </w:r>
      <w:r w:rsidR="0068775E" w:rsidRPr="00F83B19">
        <w:rPr>
          <w:rFonts w:ascii="Arial" w:hAnsi="Arial" w:cs="Arial"/>
          <w:bCs/>
          <w:iCs/>
          <w:sz w:val="20"/>
          <w:szCs w:val="20"/>
        </w:rPr>
        <w:t>R. 2022. Evaluation of nano-urea on growth and yield attributes of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Chemical Science Review and Letters</w:t>
      </w:r>
      <w:r w:rsidR="0068775E" w:rsidRPr="00F83B19">
        <w:rPr>
          <w:rFonts w:ascii="Arial" w:hAnsi="Arial" w:cs="Arial"/>
          <w:bCs/>
          <w:iCs/>
          <w:sz w:val="20"/>
          <w:szCs w:val="20"/>
        </w:rPr>
        <w:t xml:space="preserve"> 211-214</w:t>
      </w:r>
    </w:p>
    <w:p w14:paraId="6D00C19F"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Kumar R, Kumar R</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Prakash</w:t>
      </w:r>
      <w:r w:rsidR="0068775E" w:rsidRPr="00F83B19">
        <w:rPr>
          <w:rFonts w:ascii="Arial" w:hAnsi="Arial" w:cs="Arial"/>
          <w:bCs/>
          <w:iCs/>
          <w:sz w:val="20"/>
          <w:szCs w:val="20"/>
        </w:rPr>
        <w:t xml:space="preserve"> O. 2019. Chapter-5 the impact of chemical fertilizers on our environment and ecosystem. Chief Ed. 35:69.</w:t>
      </w:r>
    </w:p>
    <w:p w14:paraId="5110D145"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Kumar S, Singh VK, Shekhawat K, Upadhyay PK, Rathore S </w:t>
      </w:r>
      <w:proofErr w:type="spellStart"/>
      <w:r w:rsidRPr="00F83B19">
        <w:rPr>
          <w:rFonts w:ascii="Arial" w:hAnsi="Arial" w:cs="Arial"/>
          <w:bCs/>
          <w:iCs/>
          <w:sz w:val="20"/>
          <w:szCs w:val="20"/>
        </w:rPr>
        <w:t>S</w:t>
      </w:r>
      <w:proofErr w:type="spellEnd"/>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Didawat</w:t>
      </w:r>
      <w:proofErr w:type="spellEnd"/>
      <w:r w:rsidRPr="00F83B19">
        <w:rPr>
          <w:rFonts w:ascii="Arial" w:hAnsi="Arial" w:cs="Arial"/>
          <w:bCs/>
          <w:iCs/>
          <w:sz w:val="20"/>
          <w:szCs w:val="20"/>
        </w:rPr>
        <w:t xml:space="preserve"> R </w:t>
      </w:r>
      <w:r w:rsidR="0068775E" w:rsidRPr="00F83B19">
        <w:rPr>
          <w:rFonts w:ascii="Arial" w:hAnsi="Arial" w:cs="Arial"/>
          <w:bCs/>
          <w:iCs/>
          <w:sz w:val="20"/>
          <w:szCs w:val="20"/>
        </w:rPr>
        <w:t xml:space="preserve">K. 2022. Real time nitrogen and irrigation management for enhanced productivity and nutrient use efficiency of maize under conservation agriculture. </w:t>
      </w:r>
      <w:r w:rsidR="0068775E" w:rsidRPr="00F83B19">
        <w:rPr>
          <w:rFonts w:ascii="Arial" w:hAnsi="Arial" w:cs="Arial"/>
          <w:bCs/>
          <w:i/>
          <w:iCs/>
          <w:sz w:val="20"/>
          <w:szCs w:val="20"/>
        </w:rPr>
        <w:t xml:space="preserve">The Indian Society </w:t>
      </w:r>
      <w:proofErr w:type="gramStart"/>
      <w:r w:rsidR="0068775E" w:rsidRPr="00F83B19">
        <w:rPr>
          <w:rFonts w:ascii="Arial" w:hAnsi="Arial" w:cs="Arial"/>
          <w:bCs/>
          <w:i/>
          <w:iCs/>
          <w:sz w:val="20"/>
          <w:szCs w:val="20"/>
        </w:rPr>
        <w:t>Of</w:t>
      </w:r>
      <w:proofErr w:type="gramEnd"/>
      <w:r w:rsidR="0068775E" w:rsidRPr="00F83B19">
        <w:rPr>
          <w:rFonts w:ascii="Arial" w:hAnsi="Arial" w:cs="Arial"/>
          <w:bCs/>
          <w:i/>
          <w:iCs/>
          <w:sz w:val="20"/>
          <w:szCs w:val="20"/>
        </w:rPr>
        <w:t xml:space="preserve"> Agricultural Science </w:t>
      </w:r>
      <w:r w:rsidR="0068775E" w:rsidRPr="00F83B19">
        <w:rPr>
          <w:rFonts w:ascii="Arial" w:hAnsi="Arial" w:cs="Arial"/>
          <w:bCs/>
          <w:iCs/>
          <w:sz w:val="20"/>
          <w:szCs w:val="20"/>
        </w:rPr>
        <w:t>159.</w:t>
      </w:r>
    </w:p>
    <w:p w14:paraId="0D391C1C"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Lohar D, Pathak M K</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Srivastava R </w:t>
      </w:r>
      <w:r w:rsidR="0068775E" w:rsidRPr="00F83B19">
        <w:rPr>
          <w:rFonts w:ascii="Arial" w:hAnsi="Arial" w:cs="Arial"/>
          <w:bCs/>
          <w:iCs/>
          <w:sz w:val="20"/>
          <w:szCs w:val="20"/>
        </w:rPr>
        <w:t xml:space="preserve">P. 2023. Nano Urea's Role in Agricultural Innovation: A Comprehensive Review of Efficacy and Environmental Impact. </w:t>
      </w:r>
      <w:r w:rsidR="0068775E" w:rsidRPr="00F83B19">
        <w:rPr>
          <w:rFonts w:ascii="Arial" w:hAnsi="Arial" w:cs="Arial"/>
          <w:bCs/>
          <w:i/>
          <w:iCs/>
          <w:sz w:val="20"/>
          <w:szCs w:val="20"/>
        </w:rPr>
        <w:t xml:space="preserve">International Journal of Research Publication and Reviews </w:t>
      </w:r>
      <w:r w:rsidR="0068775E" w:rsidRPr="00F83B19">
        <w:rPr>
          <w:rFonts w:ascii="Arial" w:hAnsi="Arial" w:cs="Arial"/>
          <w:bCs/>
          <w:iCs/>
          <w:sz w:val="20"/>
          <w:szCs w:val="20"/>
        </w:rPr>
        <w:t xml:space="preserve">4 (8): 3291-3298 </w:t>
      </w:r>
    </w:p>
    <w:p w14:paraId="62F8220E"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Mahm</w:t>
      </w:r>
      <w:r w:rsidR="006512A4" w:rsidRPr="00F83B19">
        <w:rPr>
          <w:rFonts w:ascii="Arial" w:hAnsi="Arial" w:cs="Arial"/>
          <w:bCs/>
          <w:iCs/>
          <w:sz w:val="20"/>
          <w:szCs w:val="20"/>
        </w:rPr>
        <w:t xml:space="preserve">ud K, Panday, D, </w:t>
      </w:r>
      <w:proofErr w:type="spellStart"/>
      <w:r w:rsidR="006512A4" w:rsidRPr="00F83B19">
        <w:rPr>
          <w:rFonts w:ascii="Arial" w:hAnsi="Arial" w:cs="Arial"/>
          <w:bCs/>
          <w:iCs/>
          <w:sz w:val="20"/>
          <w:szCs w:val="20"/>
        </w:rPr>
        <w:t>Mergoum</w:t>
      </w:r>
      <w:proofErr w:type="spellEnd"/>
      <w:r w:rsidR="006512A4" w:rsidRPr="00F83B19">
        <w:rPr>
          <w:rFonts w:ascii="Arial" w:hAnsi="Arial" w:cs="Arial"/>
          <w:bCs/>
          <w:iCs/>
          <w:sz w:val="20"/>
          <w:szCs w:val="20"/>
        </w:rPr>
        <w:t xml:space="preserve">, A </w:t>
      </w:r>
      <w:r w:rsidR="002D3402" w:rsidRPr="00F83B19">
        <w:rPr>
          <w:rFonts w:ascii="Arial" w:hAnsi="Arial" w:cs="Arial"/>
          <w:bCs/>
          <w:iCs/>
          <w:sz w:val="20"/>
          <w:szCs w:val="20"/>
        </w:rPr>
        <w:t>&amp;</w:t>
      </w:r>
      <w:r w:rsidR="006512A4" w:rsidRPr="00F83B19">
        <w:rPr>
          <w:rFonts w:ascii="Arial" w:hAnsi="Arial" w:cs="Arial"/>
          <w:bCs/>
          <w:iCs/>
          <w:sz w:val="20"/>
          <w:szCs w:val="20"/>
        </w:rPr>
        <w:t xml:space="preserve"> </w:t>
      </w:r>
      <w:proofErr w:type="spellStart"/>
      <w:r w:rsidR="006512A4" w:rsidRPr="00F83B19">
        <w:rPr>
          <w:rFonts w:ascii="Arial" w:hAnsi="Arial" w:cs="Arial"/>
          <w:bCs/>
          <w:iCs/>
          <w:sz w:val="20"/>
          <w:szCs w:val="20"/>
        </w:rPr>
        <w:t>Missaoui</w:t>
      </w:r>
      <w:proofErr w:type="spellEnd"/>
      <w:r w:rsidRPr="00F83B19">
        <w:rPr>
          <w:rFonts w:ascii="Arial" w:hAnsi="Arial" w:cs="Arial"/>
          <w:bCs/>
          <w:iCs/>
          <w:sz w:val="20"/>
          <w:szCs w:val="20"/>
        </w:rPr>
        <w:t xml:space="preserve"> A. 2021. Nitrogen losses and potential mitigation strategies for a sustainable agro-ecosystem. </w:t>
      </w:r>
      <w:r w:rsidRPr="00F83B19">
        <w:rPr>
          <w:rFonts w:ascii="Arial" w:hAnsi="Arial" w:cs="Arial"/>
          <w:bCs/>
          <w:i/>
          <w:iCs/>
          <w:sz w:val="20"/>
          <w:szCs w:val="20"/>
        </w:rPr>
        <w:t>Sustainability</w:t>
      </w:r>
      <w:r w:rsidRPr="00F83B19">
        <w:rPr>
          <w:rFonts w:ascii="Arial" w:hAnsi="Arial" w:cs="Arial"/>
          <w:bCs/>
          <w:iCs/>
          <w:sz w:val="20"/>
          <w:szCs w:val="20"/>
        </w:rPr>
        <w:t xml:space="preserve"> 13(4): 2400.</w:t>
      </w:r>
    </w:p>
    <w:p w14:paraId="643F62A7"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Marchiol</w:t>
      </w:r>
      <w:proofErr w:type="spellEnd"/>
      <w:r w:rsidRPr="00F83B19">
        <w:rPr>
          <w:rFonts w:ascii="Arial" w:hAnsi="Arial" w:cs="Arial"/>
          <w:bCs/>
          <w:iCs/>
          <w:sz w:val="20"/>
          <w:szCs w:val="20"/>
        </w:rPr>
        <w:t xml:space="preserve"> </w:t>
      </w:r>
      <w:r w:rsidR="006512A4" w:rsidRPr="00F83B19">
        <w:rPr>
          <w:rFonts w:ascii="Arial" w:hAnsi="Arial" w:cs="Arial"/>
          <w:bCs/>
          <w:iCs/>
          <w:sz w:val="20"/>
          <w:szCs w:val="20"/>
        </w:rPr>
        <w:t xml:space="preserve">L, </w:t>
      </w:r>
      <w:proofErr w:type="spellStart"/>
      <w:r w:rsidR="006512A4" w:rsidRPr="00F83B19">
        <w:rPr>
          <w:rFonts w:ascii="Arial" w:hAnsi="Arial" w:cs="Arial"/>
          <w:bCs/>
          <w:iCs/>
          <w:sz w:val="20"/>
          <w:szCs w:val="20"/>
        </w:rPr>
        <w:t>Lafisco</w:t>
      </w:r>
      <w:proofErr w:type="spellEnd"/>
      <w:r w:rsidR="006512A4" w:rsidRPr="00F83B19">
        <w:rPr>
          <w:rFonts w:ascii="Arial" w:hAnsi="Arial" w:cs="Arial"/>
          <w:bCs/>
          <w:iCs/>
          <w:sz w:val="20"/>
          <w:szCs w:val="20"/>
        </w:rPr>
        <w:t xml:space="preserve"> M, </w:t>
      </w:r>
      <w:proofErr w:type="spellStart"/>
      <w:r w:rsidR="006512A4" w:rsidRPr="00F83B19">
        <w:rPr>
          <w:rFonts w:ascii="Arial" w:hAnsi="Arial" w:cs="Arial"/>
          <w:bCs/>
          <w:iCs/>
          <w:sz w:val="20"/>
          <w:szCs w:val="20"/>
        </w:rPr>
        <w:t>Fellet</w:t>
      </w:r>
      <w:proofErr w:type="spellEnd"/>
      <w:r w:rsidR="006512A4" w:rsidRPr="00F83B19">
        <w:rPr>
          <w:rFonts w:ascii="Arial" w:hAnsi="Arial" w:cs="Arial"/>
          <w:bCs/>
          <w:iCs/>
          <w:sz w:val="20"/>
          <w:szCs w:val="20"/>
        </w:rPr>
        <w:t xml:space="preserve"> G</w:t>
      </w:r>
      <w:r w:rsidRPr="00F83B19">
        <w:rPr>
          <w:rFonts w:ascii="Arial" w:hAnsi="Arial" w:cs="Arial"/>
          <w:bCs/>
          <w:iCs/>
          <w:sz w:val="20"/>
          <w:szCs w:val="20"/>
        </w:rPr>
        <w:t xml:space="preserve"> </w:t>
      </w:r>
      <w:r w:rsidR="002D3402" w:rsidRPr="00F83B19">
        <w:rPr>
          <w:rFonts w:ascii="Arial" w:hAnsi="Arial" w:cs="Arial"/>
          <w:bCs/>
          <w:iCs/>
          <w:sz w:val="20"/>
          <w:szCs w:val="20"/>
        </w:rPr>
        <w:t xml:space="preserve">&amp; </w:t>
      </w:r>
      <w:proofErr w:type="spellStart"/>
      <w:r w:rsidRPr="00F83B19">
        <w:rPr>
          <w:rFonts w:ascii="Arial" w:hAnsi="Arial" w:cs="Arial"/>
          <w:bCs/>
          <w:iCs/>
          <w:sz w:val="20"/>
          <w:szCs w:val="20"/>
        </w:rPr>
        <w:t>Adamiano</w:t>
      </w:r>
      <w:proofErr w:type="spellEnd"/>
      <w:r w:rsidRPr="00F83B19">
        <w:rPr>
          <w:rFonts w:ascii="Arial" w:hAnsi="Arial" w:cs="Arial"/>
          <w:bCs/>
          <w:iCs/>
          <w:sz w:val="20"/>
          <w:szCs w:val="20"/>
        </w:rPr>
        <w:t xml:space="preserve"> A. 2020. Nanotechnology supports the next agricultural revolution. In: Sparks DL, editor. </w:t>
      </w:r>
      <w:r w:rsidRPr="00F83B19">
        <w:rPr>
          <w:rFonts w:ascii="Arial" w:hAnsi="Arial" w:cs="Arial"/>
          <w:bCs/>
          <w:i/>
          <w:iCs/>
          <w:sz w:val="20"/>
          <w:szCs w:val="20"/>
        </w:rPr>
        <w:t>Advances in Agronomy</w:t>
      </w:r>
      <w:r w:rsidRPr="00F83B19">
        <w:rPr>
          <w:rFonts w:ascii="Arial" w:hAnsi="Arial" w:cs="Arial"/>
          <w:bCs/>
          <w:iCs/>
          <w:sz w:val="20"/>
          <w:szCs w:val="20"/>
        </w:rPr>
        <w:t>. Cambridge, UK: Academic Press p. 27-116</w:t>
      </w:r>
    </w:p>
    <w:p w14:paraId="6EB88C43"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Midde SK, Perumal MS, Murugan G</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Su</w:t>
      </w:r>
      <w:r w:rsidRPr="00F83B19">
        <w:rPr>
          <w:rFonts w:ascii="Arial" w:hAnsi="Arial" w:cs="Arial"/>
          <w:bCs/>
          <w:iCs/>
          <w:sz w:val="20"/>
          <w:szCs w:val="20"/>
        </w:rPr>
        <w:t>dhagar</w:t>
      </w:r>
      <w:proofErr w:type="spellEnd"/>
      <w:r w:rsidRPr="00F83B19">
        <w:rPr>
          <w:rFonts w:ascii="Arial" w:hAnsi="Arial" w:cs="Arial"/>
          <w:bCs/>
          <w:iCs/>
          <w:sz w:val="20"/>
          <w:szCs w:val="20"/>
        </w:rPr>
        <w:t xml:space="preserve"> R, </w:t>
      </w:r>
      <w:proofErr w:type="spellStart"/>
      <w:r w:rsidRPr="00F83B19">
        <w:rPr>
          <w:rFonts w:ascii="Arial" w:hAnsi="Arial" w:cs="Arial"/>
          <w:bCs/>
          <w:iCs/>
          <w:sz w:val="20"/>
          <w:szCs w:val="20"/>
        </w:rPr>
        <w:t>Mattepally</w:t>
      </w:r>
      <w:proofErr w:type="spellEnd"/>
      <w:r w:rsidRPr="00F83B19">
        <w:rPr>
          <w:rFonts w:ascii="Arial" w:hAnsi="Arial" w:cs="Arial"/>
          <w:bCs/>
          <w:iCs/>
          <w:sz w:val="20"/>
          <w:szCs w:val="20"/>
        </w:rPr>
        <w:t xml:space="preserve"> VS</w:t>
      </w:r>
      <w:r w:rsidR="0068775E" w:rsidRPr="00F83B19">
        <w:rPr>
          <w:rFonts w:ascii="Arial" w:hAnsi="Arial" w:cs="Arial"/>
          <w:bCs/>
          <w:iCs/>
          <w:sz w:val="20"/>
          <w:szCs w:val="20"/>
        </w:rPr>
        <w:t xml:space="preserve"> </w:t>
      </w:r>
      <w:r w:rsidR="002D3402" w:rsidRPr="00F83B19">
        <w:rPr>
          <w:rFonts w:ascii="Arial" w:hAnsi="Arial" w:cs="Arial"/>
          <w:bCs/>
          <w:iCs/>
          <w:sz w:val="20"/>
          <w:szCs w:val="20"/>
        </w:rPr>
        <w:t xml:space="preserve">&amp; </w:t>
      </w:r>
      <w:r w:rsidRPr="00F83B19">
        <w:rPr>
          <w:rFonts w:ascii="Arial" w:hAnsi="Arial" w:cs="Arial"/>
          <w:bCs/>
          <w:iCs/>
          <w:sz w:val="20"/>
          <w:szCs w:val="20"/>
        </w:rPr>
        <w:t>Bada M</w:t>
      </w:r>
      <w:r w:rsidR="0068775E" w:rsidRPr="00F83B19">
        <w:rPr>
          <w:rFonts w:ascii="Arial" w:hAnsi="Arial" w:cs="Arial"/>
          <w:bCs/>
          <w:iCs/>
          <w:sz w:val="20"/>
          <w:szCs w:val="20"/>
        </w:rPr>
        <w:t>R. 2022. Evaluation of nano urea on growth and yield attributes of rice (</w:t>
      </w:r>
      <w:r w:rsidR="0068775E" w:rsidRPr="00F83B19">
        <w:rPr>
          <w:rFonts w:ascii="Arial" w:hAnsi="Arial" w:cs="Arial"/>
          <w:bCs/>
          <w:i/>
          <w:iCs/>
          <w:sz w:val="20"/>
          <w:szCs w:val="20"/>
        </w:rPr>
        <w:t>Oryza sativa</w:t>
      </w:r>
      <w:r w:rsidR="0068775E" w:rsidRPr="00F83B19">
        <w:rPr>
          <w:rFonts w:ascii="Arial" w:hAnsi="Arial" w:cs="Arial"/>
          <w:bCs/>
          <w:iCs/>
          <w:sz w:val="20"/>
          <w:szCs w:val="20"/>
        </w:rPr>
        <w:t xml:space="preserve"> L.). </w:t>
      </w:r>
      <w:r w:rsidR="0068775E" w:rsidRPr="00F83B19">
        <w:rPr>
          <w:rFonts w:ascii="Arial" w:hAnsi="Arial" w:cs="Arial"/>
          <w:bCs/>
          <w:i/>
          <w:iCs/>
          <w:sz w:val="20"/>
          <w:szCs w:val="20"/>
        </w:rPr>
        <w:t>Chemical Science Review and Letters</w:t>
      </w:r>
      <w:r w:rsidR="0068775E" w:rsidRPr="00F83B19">
        <w:rPr>
          <w:rFonts w:ascii="Arial" w:hAnsi="Arial" w:cs="Arial"/>
          <w:bCs/>
          <w:iCs/>
          <w:sz w:val="20"/>
          <w:szCs w:val="20"/>
        </w:rPr>
        <w:t xml:space="preserve"> 11(42):211-4.</w:t>
      </w:r>
    </w:p>
    <w:p w14:paraId="38E9E040" w14:textId="77777777" w:rsidR="0068775E" w:rsidRPr="00F83B19" w:rsidRDefault="006512A4"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Mishra AK</w:t>
      </w:r>
      <w:r w:rsidR="0068775E" w:rsidRPr="00F83B19">
        <w:rPr>
          <w:rFonts w:ascii="Arial" w:hAnsi="Arial" w:cs="Arial"/>
          <w:bCs/>
          <w:iCs/>
          <w:sz w:val="20"/>
          <w:szCs w:val="20"/>
        </w:rPr>
        <w:t>,</w:t>
      </w:r>
      <w:r w:rsidRPr="00F83B19">
        <w:rPr>
          <w:rFonts w:ascii="Arial" w:hAnsi="Arial" w:cs="Arial"/>
          <w:bCs/>
          <w:iCs/>
          <w:sz w:val="20"/>
          <w:szCs w:val="20"/>
        </w:rPr>
        <w:t xml:space="preserve"> Mohanta YK, Mahanta Ray, M K</w:t>
      </w:r>
      <w:r w:rsidR="0068775E" w:rsidRPr="00F83B19">
        <w:rPr>
          <w:rFonts w:ascii="Arial" w:hAnsi="Arial" w:cs="Arial"/>
          <w:bCs/>
          <w:iCs/>
          <w:sz w:val="20"/>
          <w:szCs w:val="20"/>
        </w:rPr>
        <w:t>,</w:t>
      </w:r>
      <w:r w:rsidR="00266FB5" w:rsidRPr="00F83B19">
        <w:rPr>
          <w:rFonts w:ascii="Arial" w:hAnsi="Arial" w:cs="Arial"/>
          <w:bCs/>
          <w:iCs/>
          <w:sz w:val="20"/>
          <w:szCs w:val="20"/>
        </w:rPr>
        <w:t xml:space="preserve"> Khan M, Baek K </w:t>
      </w:r>
      <w:r w:rsidR="0068775E" w:rsidRPr="00F83B19">
        <w:rPr>
          <w:rFonts w:ascii="Arial" w:hAnsi="Arial" w:cs="Arial"/>
          <w:bCs/>
          <w:iCs/>
          <w:sz w:val="20"/>
          <w:szCs w:val="20"/>
        </w:rPr>
        <w:t xml:space="preserve">H. </w:t>
      </w:r>
      <w:r w:rsidR="002D3402" w:rsidRPr="00F83B19">
        <w:rPr>
          <w:rFonts w:ascii="Arial" w:hAnsi="Arial" w:cs="Arial"/>
          <w:bCs/>
          <w:iCs/>
          <w:sz w:val="20"/>
          <w:szCs w:val="20"/>
        </w:rPr>
        <w:t>&amp;</w:t>
      </w:r>
      <w:r w:rsidR="00266FB5" w:rsidRPr="00F83B19">
        <w:rPr>
          <w:rFonts w:ascii="Arial" w:hAnsi="Arial" w:cs="Arial"/>
          <w:bCs/>
          <w:iCs/>
          <w:sz w:val="20"/>
          <w:szCs w:val="20"/>
        </w:rPr>
        <w:t xml:space="preserve"> </w:t>
      </w:r>
      <w:proofErr w:type="spellStart"/>
      <w:r w:rsidR="00266FB5" w:rsidRPr="00F83B19">
        <w:rPr>
          <w:rFonts w:ascii="Arial" w:hAnsi="Arial" w:cs="Arial"/>
          <w:bCs/>
          <w:iCs/>
          <w:sz w:val="20"/>
          <w:szCs w:val="20"/>
        </w:rPr>
        <w:t>Chakrabartty</w:t>
      </w:r>
      <w:proofErr w:type="spellEnd"/>
      <w:r w:rsidR="0068775E" w:rsidRPr="00F83B19">
        <w:rPr>
          <w:rFonts w:ascii="Arial" w:hAnsi="Arial" w:cs="Arial"/>
          <w:bCs/>
          <w:iCs/>
          <w:sz w:val="20"/>
          <w:szCs w:val="20"/>
        </w:rPr>
        <w:t xml:space="preserve"> I.</w:t>
      </w:r>
      <w:r w:rsidR="00266FB5" w:rsidRPr="00F83B19">
        <w:rPr>
          <w:rFonts w:ascii="Arial" w:hAnsi="Arial" w:cs="Arial"/>
          <w:bCs/>
          <w:iCs/>
          <w:sz w:val="20"/>
          <w:szCs w:val="20"/>
        </w:rPr>
        <w:t xml:space="preserve"> </w:t>
      </w:r>
      <w:r w:rsidR="0068775E" w:rsidRPr="00F83B19">
        <w:rPr>
          <w:rFonts w:ascii="Arial" w:hAnsi="Arial" w:cs="Arial"/>
          <w:bCs/>
          <w:iCs/>
          <w:sz w:val="20"/>
          <w:szCs w:val="20"/>
        </w:rPr>
        <w:t xml:space="preserve">2022.  </w:t>
      </w:r>
      <w:proofErr w:type="spellStart"/>
      <w:r w:rsidR="0068775E" w:rsidRPr="00F83B19">
        <w:rPr>
          <w:rFonts w:ascii="Arial" w:hAnsi="Arial" w:cs="Arial"/>
          <w:bCs/>
          <w:iCs/>
          <w:sz w:val="20"/>
          <w:szCs w:val="20"/>
        </w:rPr>
        <w:t>Nanofertilizers</w:t>
      </w:r>
      <w:proofErr w:type="spellEnd"/>
      <w:r w:rsidR="0068775E" w:rsidRPr="00F83B19">
        <w:rPr>
          <w:rFonts w:ascii="Arial" w:hAnsi="Arial" w:cs="Arial"/>
          <w:bCs/>
          <w:iCs/>
          <w:sz w:val="20"/>
          <w:szCs w:val="20"/>
        </w:rPr>
        <w:t xml:space="preserve">: a smart and sustainable attribute to modern agriculture. </w:t>
      </w:r>
      <w:r w:rsidR="0068775E" w:rsidRPr="00F83B19">
        <w:rPr>
          <w:rFonts w:ascii="Arial" w:hAnsi="Arial" w:cs="Arial"/>
          <w:bCs/>
          <w:i/>
          <w:iCs/>
          <w:sz w:val="20"/>
          <w:szCs w:val="20"/>
        </w:rPr>
        <w:t>Plants</w:t>
      </w:r>
      <w:r w:rsidR="0068775E" w:rsidRPr="00F83B19">
        <w:rPr>
          <w:rFonts w:ascii="Arial" w:hAnsi="Arial" w:cs="Arial"/>
          <w:bCs/>
          <w:iCs/>
          <w:sz w:val="20"/>
          <w:szCs w:val="20"/>
        </w:rPr>
        <w:t xml:space="preserve"> 11(19):2587</w:t>
      </w:r>
    </w:p>
    <w:p w14:paraId="7F4CBF1A"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Mukhopadhyay S</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S</w:t>
      </w:r>
      <w:proofErr w:type="spellEnd"/>
      <w:r w:rsidR="0068775E" w:rsidRPr="00F83B19">
        <w:rPr>
          <w:rFonts w:ascii="Arial" w:hAnsi="Arial" w:cs="Arial"/>
          <w:bCs/>
          <w:iCs/>
          <w:sz w:val="20"/>
          <w:szCs w:val="20"/>
        </w:rPr>
        <w:t>. 2014. Nanotechnology in agriculture: prospects and constraints. </w:t>
      </w:r>
      <w:r w:rsidR="0068775E" w:rsidRPr="00F83B19">
        <w:rPr>
          <w:rFonts w:ascii="Arial" w:hAnsi="Arial" w:cs="Arial"/>
          <w:bCs/>
          <w:i/>
          <w:iCs/>
          <w:sz w:val="20"/>
          <w:szCs w:val="20"/>
        </w:rPr>
        <w:t>Nanotechnology, Science and Applications</w:t>
      </w:r>
      <w:r w:rsidR="0068775E" w:rsidRPr="00F83B19">
        <w:rPr>
          <w:rFonts w:ascii="Arial" w:hAnsi="Arial" w:cs="Arial"/>
          <w:bCs/>
          <w:iCs/>
          <w:sz w:val="20"/>
          <w:szCs w:val="20"/>
        </w:rPr>
        <w:t xml:space="preserve"> 7: 63–71. </w:t>
      </w:r>
    </w:p>
    <w:p w14:paraId="3E4C5011"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Pandey, R. </w:t>
      </w:r>
      <w:r w:rsidR="002D3402" w:rsidRPr="00F83B19">
        <w:rPr>
          <w:rFonts w:ascii="Arial" w:hAnsi="Arial" w:cs="Arial"/>
          <w:bCs/>
          <w:iCs/>
          <w:sz w:val="20"/>
          <w:szCs w:val="20"/>
        </w:rPr>
        <w:t>&amp;</w:t>
      </w:r>
      <w:r w:rsidRPr="00F83B19">
        <w:rPr>
          <w:rFonts w:ascii="Arial" w:hAnsi="Arial" w:cs="Arial"/>
          <w:bCs/>
          <w:iCs/>
          <w:sz w:val="20"/>
          <w:szCs w:val="20"/>
        </w:rPr>
        <w:t xml:space="preserve"> Dayal, R. 2003: Flax-Jute and Flax-Cotton Blended Fabric. </w:t>
      </w:r>
      <w:r w:rsidRPr="00F83B19">
        <w:rPr>
          <w:rFonts w:ascii="Arial" w:hAnsi="Arial" w:cs="Arial"/>
          <w:bCs/>
          <w:i/>
          <w:iCs/>
          <w:sz w:val="20"/>
          <w:szCs w:val="20"/>
        </w:rPr>
        <w:t>Asian Textile Journal</w:t>
      </w:r>
      <w:r w:rsidRPr="00F83B19">
        <w:rPr>
          <w:rFonts w:ascii="Arial" w:hAnsi="Arial" w:cs="Arial"/>
          <w:bCs/>
          <w:iCs/>
          <w:sz w:val="20"/>
          <w:szCs w:val="20"/>
        </w:rPr>
        <w:t xml:space="preserve"> 12(7): 5155.</w:t>
      </w:r>
    </w:p>
    <w:p w14:paraId="10A86D5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Panday DM, </w:t>
      </w:r>
      <w:proofErr w:type="spellStart"/>
      <w:r w:rsidRPr="00F83B19">
        <w:rPr>
          <w:rFonts w:ascii="Arial" w:hAnsi="Arial" w:cs="Arial"/>
          <w:bCs/>
          <w:iCs/>
          <w:sz w:val="20"/>
          <w:szCs w:val="20"/>
        </w:rPr>
        <w:t>Talathi</w:t>
      </w:r>
      <w:proofErr w:type="spellEnd"/>
      <w:r w:rsidRPr="00F83B19">
        <w:rPr>
          <w:rFonts w:ascii="Arial" w:hAnsi="Arial" w:cs="Arial"/>
          <w:bCs/>
          <w:iCs/>
          <w:sz w:val="20"/>
          <w:szCs w:val="20"/>
        </w:rPr>
        <w:t xml:space="preserve"> MS, </w:t>
      </w:r>
      <w:proofErr w:type="spellStart"/>
      <w:r w:rsidRPr="00F83B19">
        <w:rPr>
          <w:rFonts w:ascii="Arial" w:hAnsi="Arial" w:cs="Arial"/>
          <w:bCs/>
          <w:iCs/>
          <w:sz w:val="20"/>
          <w:szCs w:val="20"/>
        </w:rPr>
        <w:t>Bodake</w:t>
      </w:r>
      <w:proofErr w:type="spellEnd"/>
      <w:r w:rsidRPr="00F83B19">
        <w:rPr>
          <w:rFonts w:ascii="Arial" w:hAnsi="Arial" w:cs="Arial"/>
          <w:bCs/>
          <w:iCs/>
          <w:sz w:val="20"/>
          <w:szCs w:val="20"/>
        </w:rPr>
        <w:t xml:space="preserve"> PS, Chavan VG, More SS, </w:t>
      </w:r>
      <w:proofErr w:type="spellStart"/>
      <w:r w:rsidRPr="00F83B19">
        <w:rPr>
          <w:rFonts w:ascii="Arial" w:hAnsi="Arial" w:cs="Arial"/>
          <w:bCs/>
          <w:iCs/>
          <w:sz w:val="20"/>
          <w:szCs w:val="20"/>
        </w:rPr>
        <w:t>Pethe</w:t>
      </w:r>
      <w:proofErr w:type="spellEnd"/>
      <w:r w:rsidRPr="00F83B19">
        <w:rPr>
          <w:rFonts w:ascii="Arial" w:hAnsi="Arial" w:cs="Arial"/>
          <w:bCs/>
          <w:iCs/>
          <w:sz w:val="20"/>
          <w:szCs w:val="20"/>
        </w:rPr>
        <w:t xml:space="preserve"> UB, </w:t>
      </w:r>
      <w:proofErr w:type="spellStart"/>
      <w:r w:rsidRPr="00F83B19">
        <w:rPr>
          <w:rFonts w:ascii="Arial" w:hAnsi="Arial" w:cs="Arial"/>
          <w:bCs/>
          <w:iCs/>
          <w:sz w:val="20"/>
          <w:szCs w:val="20"/>
        </w:rPr>
        <w:t>Rajemahadik</w:t>
      </w:r>
      <w:proofErr w:type="spellEnd"/>
      <w:r w:rsidRPr="00F83B19">
        <w:rPr>
          <w:rFonts w:ascii="Arial" w:hAnsi="Arial" w:cs="Arial"/>
          <w:bCs/>
          <w:iCs/>
          <w:sz w:val="20"/>
          <w:szCs w:val="20"/>
        </w:rPr>
        <w:t xml:space="preserve"> VA, </w:t>
      </w:r>
      <w:proofErr w:type="spellStart"/>
      <w:r w:rsidRPr="00F83B19">
        <w:rPr>
          <w:rFonts w:ascii="Arial" w:hAnsi="Arial" w:cs="Arial"/>
          <w:bCs/>
          <w:iCs/>
          <w:sz w:val="20"/>
          <w:szCs w:val="20"/>
        </w:rPr>
        <w:t>Ghodake</w:t>
      </w:r>
      <w:proofErr w:type="spellEnd"/>
      <w:r w:rsidRPr="00F83B19">
        <w:rPr>
          <w:rFonts w:ascii="Arial" w:hAnsi="Arial" w:cs="Arial"/>
          <w:bCs/>
          <w:iCs/>
          <w:sz w:val="20"/>
          <w:szCs w:val="20"/>
        </w:rPr>
        <w:t xml:space="preserve"> SS</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Mote G</w:t>
      </w:r>
      <w:r w:rsidR="0068775E" w:rsidRPr="00F83B19">
        <w:rPr>
          <w:rFonts w:ascii="Arial" w:hAnsi="Arial" w:cs="Arial"/>
          <w:bCs/>
          <w:iCs/>
          <w:sz w:val="20"/>
          <w:szCs w:val="20"/>
        </w:rPr>
        <w:t>K. 2022. Response of nitrogen level and nano urea on mustard (</w:t>
      </w:r>
      <w:r w:rsidR="0068775E" w:rsidRPr="00F83B19">
        <w:rPr>
          <w:rFonts w:ascii="Arial" w:hAnsi="Arial" w:cs="Arial"/>
          <w:bCs/>
          <w:i/>
          <w:iCs/>
          <w:sz w:val="20"/>
          <w:szCs w:val="20"/>
        </w:rPr>
        <w:t>Brassica juncea</w:t>
      </w:r>
      <w:r w:rsidR="0068775E" w:rsidRPr="00F83B19">
        <w:rPr>
          <w:rFonts w:ascii="Arial" w:hAnsi="Arial" w:cs="Arial"/>
          <w:bCs/>
          <w:iCs/>
          <w:sz w:val="20"/>
          <w:szCs w:val="20"/>
        </w:rPr>
        <w:t xml:space="preserve"> L.)</w:t>
      </w:r>
      <w:r w:rsidR="0068775E" w:rsidRPr="00F83B19">
        <w:rPr>
          <w:rFonts w:ascii="Arial" w:hAnsi="Arial" w:cs="Arial"/>
          <w:b/>
          <w:bCs/>
          <w:i/>
          <w:iCs/>
          <w:sz w:val="20"/>
          <w:szCs w:val="20"/>
        </w:rPr>
        <w:t xml:space="preserve"> </w:t>
      </w:r>
      <w:r w:rsidR="0068775E" w:rsidRPr="00F83B19">
        <w:rPr>
          <w:rFonts w:ascii="Arial" w:hAnsi="Arial" w:cs="Arial"/>
          <w:bCs/>
          <w:iCs/>
          <w:sz w:val="20"/>
          <w:szCs w:val="20"/>
        </w:rPr>
        <w:t xml:space="preserve">under Konkan condition. </w:t>
      </w:r>
      <w:r w:rsidR="0068775E" w:rsidRPr="00F83B19">
        <w:rPr>
          <w:rFonts w:ascii="Arial" w:hAnsi="Arial" w:cs="Arial"/>
          <w:bCs/>
          <w:i/>
          <w:iCs/>
          <w:sz w:val="20"/>
          <w:szCs w:val="20"/>
        </w:rPr>
        <w:t>The Pharma Innovation Journal</w:t>
      </w:r>
      <w:r w:rsidR="0068775E" w:rsidRPr="00F83B19">
        <w:rPr>
          <w:rFonts w:ascii="Arial" w:hAnsi="Arial" w:cs="Arial"/>
          <w:bCs/>
          <w:iCs/>
          <w:sz w:val="20"/>
          <w:szCs w:val="20"/>
        </w:rPr>
        <w:t xml:space="preserve"> 11(12): 2055-2061.</w:t>
      </w:r>
    </w:p>
    <w:p w14:paraId="2876D821"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Pandorf</w:t>
      </w:r>
      <w:proofErr w:type="spellEnd"/>
      <w:r w:rsidRPr="00F83B19">
        <w:rPr>
          <w:rFonts w:ascii="Arial" w:hAnsi="Arial" w:cs="Arial"/>
          <w:bCs/>
          <w:iCs/>
          <w:sz w:val="20"/>
          <w:szCs w:val="20"/>
        </w:rPr>
        <w:t xml:space="preserve"> M, </w:t>
      </w:r>
      <w:proofErr w:type="spellStart"/>
      <w:r w:rsidRPr="00F83B19">
        <w:rPr>
          <w:rFonts w:ascii="Arial" w:hAnsi="Arial" w:cs="Arial"/>
          <w:bCs/>
          <w:iCs/>
          <w:sz w:val="20"/>
          <w:szCs w:val="20"/>
        </w:rPr>
        <w:t>Pourzahedi</w:t>
      </w:r>
      <w:proofErr w:type="spellEnd"/>
      <w:r w:rsidRPr="00F83B19">
        <w:rPr>
          <w:rFonts w:ascii="Arial" w:hAnsi="Arial" w:cs="Arial"/>
          <w:bCs/>
          <w:iCs/>
          <w:sz w:val="20"/>
          <w:szCs w:val="20"/>
        </w:rPr>
        <w:t xml:space="preserve"> L, Gilbertson</w:t>
      </w:r>
      <w:r w:rsidR="0068775E" w:rsidRPr="00F83B19">
        <w:rPr>
          <w:rFonts w:ascii="Arial" w:hAnsi="Arial" w:cs="Arial"/>
          <w:bCs/>
          <w:iCs/>
          <w:sz w:val="20"/>
          <w:szCs w:val="20"/>
        </w:rPr>
        <w:t xml:space="preserve"> </w:t>
      </w:r>
      <w:r w:rsidRPr="00F83B19">
        <w:rPr>
          <w:rFonts w:ascii="Arial" w:hAnsi="Arial" w:cs="Arial"/>
          <w:bCs/>
          <w:iCs/>
          <w:sz w:val="20"/>
          <w:szCs w:val="20"/>
        </w:rPr>
        <w:t xml:space="preserve">L, Lowry G V, </w:t>
      </w:r>
      <w:proofErr w:type="spellStart"/>
      <w:r w:rsidRPr="00F83B19">
        <w:rPr>
          <w:rFonts w:ascii="Arial" w:hAnsi="Arial" w:cs="Arial"/>
          <w:bCs/>
          <w:iCs/>
          <w:sz w:val="20"/>
          <w:szCs w:val="20"/>
        </w:rPr>
        <w:t>Herckes</w:t>
      </w:r>
      <w:proofErr w:type="spellEnd"/>
      <w:r w:rsidRPr="00F83B19">
        <w:rPr>
          <w:rFonts w:ascii="Arial" w:hAnsi="Arial" w:cs="Arial"/>
          <w:bCs/>
          <w:iCs/>
          <w:sz w:val="20"/>
          <w:szCs w:val="20"/>
        </w:rPr>
        <w:t xml:space="preserve"> P</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w:t>
      </w:r>
      <w:proofErr w:type="spellStart"/>
      <w:r w:rsidRPr="00F83B19">
        <w:rPr>
          <w:rFonts w:ascii="Arial" w:hAnsi="Arial" w:cs="Arial"/>
          <w:bCs/>
          <w:iCs/>
          <w:sz w:val="20"/>
          <w:szCs w:val="20"/>
        </w:rPr>
        <w:t>Westerhoff</w:t>
      </w:r>
      <w:proofErr w:type="spellEnd"/>
      <w:r w:rsidR="0068775E" w:rsidRPr="00F83B19">
        <w:rPr>
          <w:rFonts w:ascii="Arial" w:hAnsi="Arial" w:cs="Arial"/>
          <w:bCs/>
          <w:iCs/>
          <w:sz w:val="20"/>
          <w:szCs w:val="20"/>
        </w:rPr>
        <w:t xml:space="preserve"> P. 2020. Graphite nanoparticle addition to fertilizers reduces nitrate leaching in growth of lettuce (</w:t>
      </w:r>
      <w:r w:rsidR="0068775E" w:rsidRPr="00F83B19">
        <w:rPr>
          <w:rFonts w:ascii="Arial" w:hAnsi="Arial" w:cs="Arial"/>
          <w:bCs/>
          <w:i/>
          <w:iCs/>
          <w:sz w:val="20"/>
          <w:szCs w:val="20"/>
        </w:rPr>
        <w:t>Lactuca sativa</w:t>
      </w:r>
      <w:r w:rsidR="0068775E" w:rsidRPr="00F83B19">
        <w:rPr>
          <w:rFonts w:ascii="Arial" w:hAnsi="Arial" w:cs="Arial"/>
          <w:bCs/>
          <w:iCs/>
          <w:sz w:val="20"/>
          <w:szCs w:val="20"/>
        </w:rPr>
        <w:t xml:space="preserve">). </w:t>
      </w:r>
      <w:r w:rsidR="0068775E" w:rsidRPr="00F83B19">
        <w:rPr>
          <w:rFonts w:ascii="Arial" w:hAnsi="Arial" w:cs="Arial"/>
          <w:bCs/>
          <w:i/>
          <w:iCs/>
          <w:sz w:val="20"/>
          <w:szCs w:val="20"/>
        </w:rPr>
        <w:t>Environmental Science Nano</w:t>
      </w:r>
      <w:r w:rsidR="0068775E" w:rsidRPr="00F83B19">
        <w:rPr>
          <w:rFonts w:ascii="Arial" w:hAnsi="Arial" w:cs="Arial"/>
          <w:bCs/>
          <w:iCs/>
          <w:sz w:val="20"/>
          <w:szCs w:val="20"/>
        </w:rPr>
        <w:t xml:space="preserve"> 7(1): 127- 138. </w:t>
      </w:r>
    </w:p>
    <w:p w14:paraId="724E2EB2"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Prasad R, Bhattacharyya</w:t>
      </w:r>
      <w:r w:rsidR="0068775E" w:rsidRPr="00F83B19">
        <w:rPr>
          <w:rFonts w:ascii="Arial" w:hAnsi="Arial" w:cs="Arial"/>
          <w:bCs/>
          <w:iCs/>
          <w:sz w:val="20"/>
          <w:szCs w:val="20"/>
        </w:rPr>
        <w:t xml:space="preserve"> A </w:t>
      </w:r>
      <w:r w:rsidR="002D3402" w:rsidRPr="00F83B19">
        <w:rPr>
          <w:rFonts w:ascii="Arial" w:hAnsi="Arial" w:cs="Arial"/>
          <w:bCs/>
          <w:iCs/>
          <w:sz w:val="20"/>
          <w:szCs w:val="20"/>
        </w:rPr>
        <w:t xml:space="preserve">&amp; </w:t>
      </w:r>
      <w:r w:rsidRPr="00F83B19">
        <w:rPr>
          <w:rFonts w:ascii="Arial" w:hAnsi="Arial" w:cs="Arial"/>
          <w:bCs/>
          <w:iCs/>
          <w:sz w:val="20"/>
          <w:szCs w:val="20"/>
        </w:rPr>
        <w:t>Nguyen</w:t>
      </w:r>
      <w:r w:rsidR="0068775E" w:rsidRPr="00F83B19">
        <w:rPr>
          <w:rFonts w:ascii="Arial" w:hAnsi="Arial" w:cs="Arial"/>
          <w:bCs/>
          <w:iCs/>
          <w:sz w:val="20"/>
          <w:szCs w:val="20"/>
        </w:rPr>
        <w:t xml:space="preserve"> Q. 2017. Nanotechnology in Sustainable Agriculture: Recent Developments, Challenges, and Perspectives. </w:t>
      </w:r>
      <w:r w:rsidR="0068775E" w:rsidRPr="00F83B19">
        <w:rPr>
          <w:rFonts w:ascii="Arial" w:hAnsi="Arial" w:cs="Arial"/>
          <w:bCs/>
          <w:i/>
          <w:iCs/>
          <w:sz w:val="20"/>
          <w:szCs w:val="20"/>
        </w:rPr>
        <w:t>Frontiers in Microbiology</w:t>
      </w:r>
      <w:r w:rsidR="0068775E" w:rsidRPr="00F83B19">
        <w:rPr>
          <w:rFonts w:ascii="Arial" w:hAnsi="Arial" w:cs="Arial"/>
          <w:bCs/>
          <w:iCs/>
          <w:sz w:val="20"/>
          <w:szCs w:val="20"/>
        </w:rPr>
        <w:t xml:space="preserve"> Volume 8.</w:t>
      </w:r>
    </w:p>
    <w:p w14:paraId="3C625228"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Pras</w:t>
      </w:r>
      <w:r w:rsidR="00266FB5" w:rsidRPr="00F83B19">
        <w:rPr>
          <w:rFonts w:ascii="Arial" w:hAnsi="Arial" w:cs="Arial"/>
          <w:bCs/>
          <w:iCs/>
          <w:sz w:val="20"/>
          <w:szCs w:val="20"/>
        </w:rPr>
        <w:t>ad R, Kumar V</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Prasad</w:t>
      </w:r>
      <w:r w:rsidR="00266FB5" w:rsidRPr="00F83B19">
        <w:rPr>
          <w:rFonts w:ascii="Arial" w:hAnsi="Arial" w:cs="Arial"/>
          <w:bCs/>
          <w:iCs/>
          <w:sz w:val="20"/>
          <w:szCs w:val="20"/>
        </w:rPr>
        <w:t xml:space="preserve"> K </w:t>
      </w:r>
      <w:r w:rsidRPr="00F83B19">
        <w:rPr>
          <w:rFonts w:ascii="Arial" w:hAnsi="Arial" w:cs="Arial"/>
          <w:bCs/>
          <w:iCs/>
          <w:sz w:val="20"/>
          <w:szCs w:val="20"/>
        </w:rPr>
        <w:t>S. 2014. Nanotechnology in sustainable agriculture: present concerns and future aspects. </w:t>
      </w:r>
      <w:r w:rsidRPr="00F83B19">
        <w:rPr>
          <w:rFonts w:ascii="Arial" w:hAnsi="Arial" w:cs="Arial"/>
          <w:bCs/>
          <w:i/>
          <w:iCs/>
          <w:sz w:val="20"/>
          <w:szCs w:val="20"/>
        </w:rPr>
        <w:t>African Journal Biotechnology</w:t>
      </w:r>
      <w:r w:rsidRPr="00F83B19">
        <w:rPr>
          <w:rFonts w:ascii="Arial" w:hAnsi="Arial" w:cs="Arial"/>
          <w:bCs/>
          <w:iCs/>
          <w:sz w:val="20"/>
          <w:szCs w:val="20"/>
        </w:rPr>
        <w:t xml:space="preserve"> 13: 705–713. </w:t>
      </w:r>
    </w:p>
    <w:p w14:paraId="22F6AD29"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Potter P</w:t>
      </w:r>
      <w:r w:rsidR="0068775E" w:rsidRPr="00F83B19">
        <w:rPr>
          <w:rFonts w:ascii="Arial" w:hAnsi="Arial" w:cs="Arial"/>
          <w:bCs/>
          <w:iCs/>
          <w:sz w:val="20"/>
          <w:szCs w:val="20"/>
        </w:rPr>
        <w:t>,</w:t>
      </w:r>
      <w:r w:rsidRPr="00F83B19">
        <w:rPr>
          <w:rFonts w:ascii="Arial" w:hAnsi="Arial" w:cs="Arial"/>
          <w:bCs/>
          <w:iCs/>
          <w:sz w:val="20"/>
          <w:szCs w:val="20"/>
        </w:rPr>
        <w:t xml:space="preserve"> </w:t>
      </w:r>
      <w:proofErr w:type="spellStart"/>
      <w:r w:rsidRPr="00F83B19">
        <w:rPr>
          <w:rFonts w:ascii="Arial" w:hAnsi="Arial" w:cs="Arial"/>
          <w:bCs/>
          <w:iCs/>
          <w:sz w:val="20"/>
          <w:szCs w:val="20"/>
        </w:rPr>
        <w:t>Ramankutty</w:t>
      </w:r>
      <w:proofErr w:type="spellEnd"/>
      <w:r w:rsidRPr="00F83B19">
        <w:rPr>
          <w:rFonts w:ascii="Arial" w:hAnsi="Arial" w:cs="Arial"/>
          <w:bCs/>
          <w:iCs/>
          <w:sz w:val="20"/>
          <w:szCs w:val="20"/>
        </w:rPr>
        <w:t xml:space="preserve"> N, Bennett E M</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Donner S</w:t>
      </w:r>
      <w:r w:rsidR="0068775E" w:rsidRPr="00F83B19">
        <w:rPr>
          <w:rFonts w:ascii="Arial" w:hAnsi="Arial" w:cs="Arial"/>
          <w:bCs/>
          <w:iCs/>
          <w:sz w:val="20"/>
          <w:szCs w:val="20"/>
        </w:rPr>
        <w:t xml:space="preserve"> D. 2010. Characterizing the spatial patterns of global fertilizer application and manure production. </w:t>
      </w:r>
      <w:r w:rsidR="0068775E" w:rsidRPr="00F83B19">
        <w:rPr>
          <w:rFonts w:ascii="Arial" w:hAnsi="Arial" w:cs="Arial"/>
          <w:bCs/>
          <w:i/>
          <w:iCs/>
          <w:sz w:val="20"/>
          <w:szCs w:val="20"/>
        </w:rPr>
        <w:t>Earth Interactions</w:t>
      </w:r>
      <w:r w:rsidR="0068775E" w:rsidRPr="00F83B19">
        <w:rPr>
          <w:rFonts w:ascii="Arial" w:hAnsi="Arial" w:cs="Arial"/>
          <w:bCs/>
          <w:iCs/>
          <w:sz w:val="20"/>
          <w:szCs w:val="20"/>
        </w:rPr>
        <w:t xml:space="preserve"> 14 (2): 1–22. </w:t>
      </w:r>
    </w:p>
    <w:p w14:paraId="6C5DD58F"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Ramesh Y, </w:t>
      </w:r>
      <w:proofErr w:type="spellStart"/>
      <w:r w:rsidRPr="00F83B19">
        <w:rPr>
          <w:rFonts w:ascii="Arial" w:hAnsi="Arial" w:cs="Arial"/>
          <w:bCs/>
          <w:iCs/>
          <w:sz w:val="20"/>
          <w:szCs w:val="20"/>
        </w:rPr>
        <w:t>Shivchandra</w:t>
      </w:r>
      <w:proofErr w:type="spellEnd"/>
      <w:r w:rsidRPr="00F83B19">
        <w:rPr>
          <w:rFonts w:ascii="Arial" w:hAnsi="Arial" w:cs="Arial"/>
          <w:bCs/>
          <w:iCs/>
          <w:sz w:val="20"/>
          <w:szCs w:val="20"/>
        </w:rPr>
        <w:t xml:space="preserve"> WS, Kishor PP</w:t>
      </w:r>
      <w:r w:rsidR="0068775E" w:rsidRPr="00F83B19">
        <w:rPr>
          <w:rFonts w:ascii="Arial" w:hAnsi="Arial" w:cs="Arial"/>
          <w:bCs/>
          <w:iCs/>
          <w:sz w:val="20"/>
          <w:szCs w:val="20"/>
        </w:rPr>
        <w:t>, Shende</w:t>
      </w:r>
      <w:r w:rsidRPr="00F83B19">
        <w:rPr>
          <w:rFonts w:ascii="Arial" w:hAnsi="Arial" w:cs="Arial"/>
          <w:bCs/>
          <w:iCs/>
          <w:sz w:val="20"/>
          <w:szCs w:val="20"/>
        </w:rPr>
        <w:t xml:space="preserve"> SM, Laxman C</w:t>
      </w:r>
      <w:r w:rsidR="002D3402" w:rsidRPr="00F83B19">
        <w:rPr>
          <w:rFonts w:ascii="Arial" w:hAnsi="Arial" w:cs="Arial"/>
          <w:bCs/>
          <w:iCs/>
          <w:sz w:val="20"/>
          <w:szCs w:val="20"/>
        </w:rPr>
        <w:t xml:space="preserve"> &amp;</w:t>
      </w:r>
      <w:r w:rsidRPr="00F83B19">
        <w:rPr>
          <w:rFonts w:ascii="Arial" w:hAnsi="Arial" w:cs="Arial"/>
          <w:bCs/>
          <w:iCs/>
          <w:sz w:val="20"/>
          <w:szCs w:val="20"/>
        </w:rPr>
        <w:t xml:space="preserve"> Bhosale</w:t>
      </w:r>
      <w:r w:rsidR="0068775E" w:rsidRPr="00F83B19">
        <w:rPr>
          <w:rFonts w:ascii="Arial" w:hAnsi="Arial" w:cs="Arial"/>
          <w:bCs/>
          <w:iCs/>
          <w:sz w:val="20"/>
          <w:szCs w:val="20"/>
        </w:rPr>
        <w:t xml:space="preserve"> </w:t>
      </w:r>
      <w:r w:rsidRPr="00F83B19">
        <w:rPr>
          <w:rFonts w:ascii="Arial" w:hAnsi="Arial" w:cs="Arial"/>
          <w:bCs/>
          <w:iCs/>
          <w:sz w:val="20"/>
          <w:szCs w:val="20"/>
        </w:rPr>
        <w:t>A</w:t>
      </w:r>
      <w:r w:rsidR="0068775E" w:rsidRPr="00F83B19">
        <w:rPr>
          <w:rFonts w:ascii="Arial" w:hAnsi="Arial" w:cs="Arial"/>
          <w:bCs/>
          <w:iCs/>
          <w:sz w:val="20"/>
          <w:szCs w:val="20"/>
        </w:rPr>
        <w:t>B. 2023. Impact of foliar application of nano-Nitrogen fertilizer on yield, nutrient uptake and quality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 </w:t>
      </w:r>
      <w:r w:rsidR="0068775E" w:rsidRPr="00F83B19">
        <w:rPr>
          <w:rFonts w:ascii="Arial" w:hAnsi="Arial" w:cs="Arial"/>
          <w:bCs/>
          <w:i/>
          <w:iCs/>
          <w:sz w:val="20"/>
          <w:szCs w:val="20"/>
        </w:rPr>
        <w:t>The Pharma Innovation Journal</w:t>
      </w:r>
      <w:r w:rsidR="0068775E" w:rsidRPr="00F83B19">
        <w:rPr>
          <w:rFonts w:ascii="Arial" w:hAnsi="Arial" w:cs="Arial"/>
          <w:bCs/>
          <w:iCs/>
          <w:sz w:val="20"/>
          <w:szCs w:val="20"/>
        </w:rPr>
        <w:t xml:space="preserve"> 12(12): 1756-1760.</w:t>
      </w:r>
    </w:p>
    <w:p w14:paraId="66D6BCB8"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Reddy</w:t>
      </w:r>
      <w:r w:rsidR="0068775E" w:rsidRPr="00F83B19">
        <w:rPr>
          <w:rFonts w:ascii="Arial" w:hAnsi="Arial" w:cs="Arial"/>
          <w:bCs/>
          <w:iCs/>
          <w:sz w:val="20"/>
          <w:szCs w:val="20"/>
        </w:rPr>
        <w:t xml:space="preserve"> </w:t>
      </w:r>
      <w:r w:rsidRPr="00F83B19">
        <w:rPr>
          <w:rFonts w:ascii="Arial" w:hAnsi="Arial" w:cs="Arial"/>
          <w:bCs/>
          <w:iCs/>
          <w:sz w:val="20"/>
          <w:szCs w:val="20"/>
        </w:rPr>
        <w:t xml:space="preserve">R, </w:t>
      </w:r>
      <w:proofErr w:type="spellStart"/>
      <w:r w:rsidRPr="00F83B19">
        <w:rPr>
          <w:rFonts w:ascii="Arial" w:hAnsi="Arial" w:cs="Arial"/>
          <w:bCs/>
          <w:iCs/>
          <w:sz w:val="20"/>
          <w:szCs w:val="20"/>
        </w:rPr>
        <w:t>Longkumer</w:t>
      </w:r>
      <w:proofErr w:type="spellEnd"/>
      <w:r w:rsidRPr="00F83B19">
        <w:rPr>
          <w:rFonts w:ascii="Arial" w:hAnsi="Arial" w:cs="Arial"/>
          <w:bCs/>
          <w:iCs/>
          <w:sz w:val="20"/>
          <w:szCs w:val="20"/>
        </w:rPr>
        <w:t xml:space="preserve"> L</w:t>
      </w:r>
      <w:r w:rsidR="0068775E" w:rsidRPr="00F83B19">
        <w:rPr>
          <w:rFonts w:ascii="Arial" w:hAnsi="Arial" w:cs="Arial"/>
          <w:bCs/>
          <w:iCs/>
          <w:sz w:val="20"/>
          <w:szCs w:val="20"/>
        </w:rPr>
        <w:t>T</w:t>
      </w:r>
      <w:r w:rsidRPr="00F83B19">
        <w:rPr>
          <w:rFonts w:ascii="Arial" w:hAnsi="Arial" w:cs="Arial"/>
          <w:bCs/>
          <w:iCs/>
          <w:sz w:val="20"/>
          <w:szCs w:val="20"/>
        </w:rPr>
        <w:t xml:space="preserve">, </w:t>
      </w:r>
      <w:proofErr w:type="spellStart"/>
      <w:r w:rsidRPr="00F83B19">
        <w:rPr>
          <w:rFonts w:ascii="Arial" w:hAnsi="Arial" w:cs="Arial"/>
          <w:bCs/>
          <w:iCs/>
          <w:sz w:val="20"/>
          <w:szCs w:val="20"/>
        </w:rPr>
        <w:t>Kikon</w:t>
      </w:r>
      <w:proofErr w:type="spellEnd"/>
      <w:r w:rsidRPr="00F83B19">
        <w:rPr>
          <w:rFonts w:ascii="Arial" w:hAnsi="Arial" w:cs="Arial"/>
          <w:bCs/>
          <w:iCs/>
          <w:sz w:val="20"/>
          <w:szCs w:val="20"/>
        </w:rPr>
        <w:t xml:space="preserve"> </w:t>
      </w:r>
      <w:proofErr w:type="spellStart"/>
      <w:r w:rsidRPr="00F83B19">
        <w:rPr>
          <w:rFonts w:ascii="Arial" w:hAnsi="Arial" w:cs="Arial"/>
          <w:bCs/>
          <w:iCs/>
          <w:sz w:val="20"/>
          <w:szCs w:val="20"/>
        </w:rPr>
        <w:t>N,Naik</w:t>
      </w:r>
      <w:proofErr w:type="spellEnd"/>
      <w:r w:rsidRPr="00F83B19">
        <w:rPr>
          <w:rFonts w:ascii="Arial" w:hAnsi="Arial" w:cs="Arial"/>
          <w:bCs/>
          <w:iCs/>
          <w:sz w:val="20"/>
          <w:szCs w:val="20"/>
        </w:rPr>
        <w:t xml:space="preserve"> M</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0068775E" w:rsidRPr="00F83B19">
        <w:rPr>
          <w:rFonts w:ascii="Arial" w:hAnsi="Arial" w:cs="Arial"/>
          <w:bCs/>
          <w:iCs/>
          <w:sz w:val="20"/>
          <w:szCs w:val="20"/>
        </w:rPr>
        <w:t xml:space="preserve"> </w:t>
      </w:r>
      <w:r w:rsidRPr="00F83B19">
        <w:rPr>
          <w:rFonts w:ascii="Arial" w:hAnsi="Arial" w:cs="Arial"/>
          <w:bCs/>
          <w:iCs/>
          <w:sz w:val="20"/>
          <w:szCs w:val="20"/>
        </w:rPr>
        <w:t>Kumawat</w:t>
      </w:r>
      <w:r w:rsidR="0068775E" w:rsidRPr="00F83B19">
        <w:rPr>
          <w:rFonts w:ascii="Arial" w:hAnsi="Arial" w:cs="Arial"/>
          <w:bCs/>
          <w:iCs/>
          <w:sz w:val="20"/>
          <w:szCs w:val="20"/>
        </w:rPr>
        <w:t xml:space="preserve"> L. 2023. </w:t>
      </w:r>
      <w:r w:rsidR="0068775E" w:rsidRPr="00F83B19">
        <w:rPr>
          <w:rFonts w:ascii="Arial" w:hAnsi="Arial" w:cs="Arial"/>
          <w:bCs/>
          <w:iCs/>
          <w:sz w:val="20"/>
          <w:szCs w:val="20"/>
        </w:rPr>
        <w:br/>
        <w:t xml:space="preserve">Nutrient uptake and yield of linseed under different doses and application methods of nitrogenous fertilizers. </w:t>
      </w:r>
      <w:hyperlink r:id="rId14" w:history="1">
        <w:r w:rsidR="0068775E" w:rsidRPr="00F83B19">
          <w:rPr>
            <w:rStyle w:val="Hyperlink"/>
            <w:rFonts w:ascii="Arial" w:hAnsi="Arial" w:cs="Arial"/>
            <w:bCs/>
            <w:iCs/>
            <w:sz w:val="20"/>
            <w:szCs w:val="20"/>
          </w:rPr>
          <w:t>https://www.researchgate.net/publication/371450294_NUTRIENT_UPTAKE_AND_YIELD_OF_LINSEED_UNDER_DIFFERENT_DOSES_AND_APPLICATION_METHODS_OF_NITROGENOUS_FERTILIZERS</w:t>
        </w:r>
      </w:hyperlink>
      <w:r w:rsidR="0068775E" w:rsidRPr="00F83B19">
        <w:rPr>
          <w:rFonts w:ascii="Arial" w:hAnsi="Arial" w:cs="Arial"/>
          <w:bCs/>
          <w:iCs/>
          <w:sz w:val="20"/>
          <w:szCs w:val="20"/>
        </w:rPr>
        <w:t xml:space="preserve"> [accessed Jun 23 2025].</w:t>
      </w:r>
    </w:p>
    <w:p w14:paraId="5712BCBA"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lastRenderedPageBreak/>
        <w:t>Rop</w:t>
      </w:r>
      <w:proofErr w:type="spellEnd"/>
      <w:r w:rsidRPr="00F83B19">
        <w:rPr>
          <w:rFonts w:ascii="Arial" w:hAnsi="Arial" w:cs="Arial"/>
          <w:bCs/>
          <w:iCs/>
          <w:sz w:val="20"/>
          <w:szCs w:val="20"/>
        </w:rPr>
        <w:t xml:space="preserve"> K, </w:t>
      </w:r>
      <w:proofErr w:type="spellStart"/>
      <w:r w:rsidRPr="00F83B19">
        <w:rPr>
          <w:rFonts w:ascii="Arial" w:hAnsi="Arial" w:cs="Arial"/>
          <w:bCs/>
          <w:iCs/>
          <w:sz w:val="20"/>
          <w:szCs w:val="20"/>
        </w:rPr>
        <w:t>Karuku</w:t>
      </w:r>
      <w:proofErr w:type="spellEnd"/>
      <w:r w:rsidRPr="00F83B19">
        <w:rPr>
          <w:rFonts w:ascii="Arial" w:hAnsi="Arial" w:cs="Arial"/>
          <w:bCs/>
          <w:iCs/>
          <w:sz w:val="20"/>
          <w:szCs w:val="20"/>
        </w:rPr>
        <w:t xml:space="preserve"> GN, </w:t>
      </w:r>
      <w:proofErr w:type="spellStart"/>
      <w:r w:rsidRPr="00F83B19">
        <w:rPr>
          <w:rFonts w:ascii="Arial" w:hAnsi="Arial" w:cs="Arial"/>
          <w:bCs/>
          <w:iCs/>
          <w:sz w:val="20"/>
          <w:szCs w:val="20"/>
        </w:rPr>
        <w:t>Mbui</w:t>
      </w:r>
      <w:proofErr w:type="spellEnd"/>
      <w:r w:rsidRPr="00F83B19">
        <w:rPr>
          <w:rFonts w:ascii="Arial" w:hAnsi="Arial" w:cs="Arial"/>
          <w:bCs/>
          <w:iCs/>
          <w:sz w:val="20"/>
          <w:szCs w:val="20"/>
        </w:rPr>
        <w:t xml:space="preserve"> D, </w:t>
      </w:r>
      <w:proofErr w:type="spellStart"/>
      <w:r w:rsidRPr="00F83B19">
        <w:rPr>
          <w:rFonts w:ascii="Arial" w:hAnsi="Arial" w:cs="Arial"/>
          <w:bCs/>
          <w:iCs/>
          <w:sz w:val="20"/>
          <w:szCs w:val="20"/>
        </w:rPr>
        <w:t>Njomo</w:t>
      </w:r>
      <w:proofErr w:type="spellEnd"/>
      <w:r w:rsidRPr="00F83B19">
        <w:rPr>
          <w:rFonts w:ascii="Arial" w:hAnsi="Arial" w:cs="Arial"/>
          <w:bCs/>
          <w:iCs/>
          <w:sz w:val="20"/>
          <w:szCs w:val="20"/>
        </w:rPr>
        <w:t xml:space="preserve"> N</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0068775E" w:rsidRPr="00F83B19">
        <w:rPr>
          <w:rFonts w:ascii="Arial" w:hAnsi="Arial" w:cs="Arial"/>
          <w:bCs/>
          <w:iCs/>
          <w:sz w:val="20"/>
          <w:szCs w:val="20"/>
        </w:rPr>
        <w:t xml:space="preserve"> </w:t>
      </w:r>
      <w:proofErr w:type="spellStart"/>
      <w:r w:rsidRPr="00F83B19">
        <w:rPr>
          <w:rFonts w:ascii="Arial" w:hAnsi="Arial" w:cs="Arial"/>
          <w:bCs/>
          <w:iCs/>
          <w:sz w:val="20"/>
          <w:szCs w:val="20"/>
        </w:rPr>
        <w:t>Michira</w:t>
      </w:r>
      <w:proofErr w:type="spellEnd"/>
      <w:r w:rsidR="0068775E" w:rsidRPr="00F83B19">
        <w:rPr>
          <w:rFonts w:ascii="Arial" w:hAnsi="Arial" w:cs="Arial"/>
          <w:bCs/>
          <w:iCs/>
          <w:sz w:val="20"/>
          <w:szCs w:val="20"/>
        </w:rPr>
        <w:t xml:space="preserve"> I. 2019. Evaluating the effects of formulated nano-NPK slow-release fertilizer composite on the performance and yield of maize, kale and capsicum. </w:t>
      </w:r>
      <w:r w:rsidR="0068775E" w:rsidRPr="00F83B19">
        <w:rPr>
          <w:rFonts w:ascii="Arial" w:hAnsi="Arial" w:cs="Arial"/>
          <w:bCs/>
          <w:i/>
          <w:iCs/>
          <w:sz w:val="20"/>
          <w:szCs w:val="20"/>
        </w:rPr>
        <w:t>Annals of Agricultural Sciences</w:t>
      </w:r>
      <w:r w:rsidR="0068775E" w:rsidRPr="00F83B19">
        <w:rPr>
          <w:rFonts w:ascii="Arial" w:hAnsi="Arial" w:cs="Arial"/>
          <w:bCs/>
          <w:iCs/>
          <w:sz w:val="20"/>
          <w:szCs w:val="20"/>
        </w:rPr>
        <w:t xml:space="preserve"> 64(1):9-19.</w:t>
      </w:r>
    </w:p>
    <w:p w14:paraId="04DF1C4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Sheldrick WF, JK</w:t>
      </w:r>
      <w:r w:rsidR="002D3402" w:rsidRPr="00F83B19">
        <w:rPr>
          <w:rFonts w:ascii="Arial" w:hAnsi="Arial" w:cs="Arial"/>
          <w:bCs/>
          <w:iCs/>
          <w:sz w:val="20"/>
          <w:szCs w:val="20"/>
        </w:rPr>
        <w:t xml:space="preserve"> Syers &amp;</w:t>
      </w:r>
      <w:r w:rsidRPr="00F83B19">
        <w:rPr>
          <w:rFonts w:ascii="Arial" w:hAnsi="Arial" w:cs="Arial"/>
          <w:bCs/>
          <w:iCs/>
          <w:sz w:val="20"/>
          <w:szCs w:val="20"/>
        </w:rPr>
        <w:t xml:space="preserve"> J </w:t>
      </w:r>
      <w:r w:rsidR="0068775E" w:rsidRPr="00F83B19">
        <w:rPr>
          <w:rFonts w:ascii="Arial" w:hAnsi="Arial" w:cs="Arial"/>
          <w:bCs/>
          <w:iCs/>
          <w:sz w:val="20"/>
          <w:szCs w:val="20"/>
        </w:rPr>
        <w:t xml:space="preserve">Lingard. 2002. A conceptual model for conducting nutrient audits at national, regional, and global scales. </w:t>
      </w:r>
      <w:r w:rsidR="0068775E" w:rsidRPr="00F83B19">
        <w:rPr>
          <w:rFonts w:ascii="Arial" w:hAnsi="Arial" w:cs="Arial"/>
          <w:bCs/>
          <w:i/>
          <w:iCs/>
          <w:sz w:val="20"/>
          <w:szCs w:val="20"/>
        </w:rPr>
        <w:t>Nutrient Cycling in Agroecosystems</w:t>
      </w:r>
      <w:r w:rsidR="0068775E" w:rsidRPr="00F83B19">
        <w:rPr>
          <w:rFonts w:ascii="Arial" w:hAnsi="Arial" w:cs="Arial"/>
          <w:bCs/>
          <w:iCs/>
          <w:sz w:val="20"/>
          <w:szCs w:val="20"/>
        </w:rPr>
        <w:t xml:space="preserve"> 62:61-72.</w:t>
      </w:r>
    </w:p>
    <w:p w14:paraId="7E4C175E"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Shukla</w:t>
      </w:r>
      <w:r w:rsidR="0068775E" w:rsidRPr="00F83B19">
        <w:rPr>
          <w:rFonts w:ascii="Arial" w:hAnsi="Arial" w:cs="Arial"/>
          <w:bCs/>
          <w:iCs/>
          <w:sz w:val="20"/>
          <w:szCs w:val="20"/>
        </w:rPr>
        <w:t xml:space="preserve"> </w:t>
      </w:r>
      <w:r w:rsidRPr="00F83B19">
        <w:rPr>
          <w:rFonts w:ascii="Arial" w:hAnsi="Arial" w:cs="Arial"/>
          <w:bCs/>
          <w:iCs/>
          <w:sz w:val="20"/>
          <w:szCs w:val="20"/>
        </w:rPr>
        <w:t>P,  Chaurasia  P,  Younis  K, Qadri O, Faridi S</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Srivastava</w:t>
      </w:r>
      <w:r w:rsidR="0068775E" w:rsidRPr="00F83B19">
        <w:rPr>
          <w:rFonts w:ascii="Arial" w:hAnsi="Arial" w:cs="Arial"/>
          <w:bCs/>
          <w:iCs/>
          <w:sz w:val="20"/>
          <w:szCs w:val="20"/>
        </w:rPr>
        <w:t xml:space="preserve"> G. 2019. Nanotechnology in sustainable agriculture: studies from seed priming to post-harvest management. Nanotechnology for Environmental Engineering 4:11</w:t>
      </w:r>
    </w:p>
    <w:p w14:paraId="482979F8"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Siddiqui </w:t>
      </w:r>
      <w:proofErr w:type="gramStart"/>
      <w:r w:rsidRPr="00F83B19">
        <w:rPr>
          <w:rFonts w:ascii="Arial" w:hAnsi="Arial" w:cs="Arial"/>
          <w:bCs/>
          <w:iCs/>
          <w:sz w:val="20"/>
          <w:szCs w:val="20"/>
        </w:rPr>
        <w:t>M</w:t>
      </w:r>
      <w:r w:rsidR="0068775E" w:rsidRPr="00F83B19">
        <w:rPr>
          <w:rFonts w:ascii="Arial" w:hAnsi="Arial" w:cs="Arial"/>
          <w:bCs/>
          <w:iCs/>
          <w:sz w:val="20"/>
          <w:szCs w:val="20"/>
        </w:rPr>
        <w:t>Z .</w:t>
      </w:r>
      <w:proofErr w:type="gramEnd"/>
      <w:r w:rsidR="0068775E" w:rsidRPr="00F83B19">
        <w:rPr>
          <w:rFonts w:ascii="Arial" w:hAnsi="Arial" w:cs="Arial"/>
          <w:bCs/>
          <w:iCs/>
          <w:sz w:val="20"/>
          <w:szCs w:val="20"/>
        </w:rPr>
        <w:t xml:space="preserve"> 2023. Thesis. Effect of foliar application of nano urea and nano zinc on growth, quality and productivity of Indian mustard [</w:t>
      </w:r>
      <w:r w:rsidR="0068775E" w:rsidRPr="00F83B19">
        <w:rPr>
          <w:rFonts w:ascii="Arial" w:hAnsi="Arial" w:cs="Arial"/>
          <w:bCs/>
          <w:i/>
          <w:iCs/>
          <w:sz w:val="20"/>
          <w:szCs w:val="20"/>
        </w:rPr>
        <w:t>Brassica juncea</w:t>
      </w:r>
      <w:r w:rsidR="0068775E" w:rsidRPr="00F83B19">
        <w:rPr>
          <w:rFonts w:ascii="Arial" w:hAnsi="Arial" w:cs="Arial"/>
          <w:bCs/>
          <w:iCs/>
          <w:sz w:val="20"/>
          <w:szCs w:val="20"/>
        </w:rPr>
        <w:t xml:space="preserve"> (L.)]. </w:t>
      </w:r>
      <w:hyperlink r:id="rId15" w:history="1">
        <w:r w:rsidR="0068775E" w:rsidRPr="00F83B19">
          <w:rPr>
            <w:rStyle w:val="Hyperlink"/>
            <w:rFonts w:ascii="Arial" w:hAnsi="Arial" w:cs="Arial"/>
            <w:bCs/>
            <w:iCs/>
            <w:sz w:val="20"/>
            <w:szCs w:val="20"/>
          </w:rPr>
          <w:t>https://krishikosh.egranth.ac.in/handle/1/5810198905</w:t>
        </w:r>
      </w:hyperlink>
    </w:p>
    <w:p w14:paraId="7A38ECA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Taheri F, Maleki A, &amp; Fathi</w:t>
      </w:r>
      <w:r w:rsidR="0068775E" w:rsidRPr="00F83B19">
        <w:rPr>
          <w:rFonts w:ascii="Arial" w:hAnsi="Arial" w:cs="Arial"/>
          <w:bCs/>
          <w:iCs/>
          <w:sz w:val="20"/>
          <w:szCs w:val="20"/>
        </w:rPr>
        <w:t xml:space="preserve"> A. 2021. Study of different levels of nitrogen fertilizer and irrigation on quantitative and qualitative characteristics of Quinoa grain yield. </w:t>
      </w:r>
      <w:r w:rsidR="0068775E" w:rsidRPr="00F83B19">
        <w:rPr>
          <w:rFonts w:ascii="Arial" w:hAnsi="Arial" w:cs="Arial"/>
          <w:bCs/>
          <w:i/>
          <w:iCs/>
          <w:sz w:val="20"/>
          <w:szCs w:val="20"/>
        </w:rPr>
        <w:t>Crop Physiology Journal 13</w:t>
      </w:r>
      <w:r w:rsidR="0068775E" w:rsidRPr="00F83B19">
        <w:rPr>
          <w:rFonts w:ascii="Arial" w:hAnsi="Arial" w:cs="Arial"/>
          <w:bCs/>
          <w:iCs/>
          <w:sz w:val="20"/>
          <w:szCs w:val="20"/>
        </w:rPr>
        <w:t>(50): 135–149.</w:t>
      </w:r>
    </w:p>
    <w:p w14:paraId="74DB4FB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Thornhill S, Vargyas E, Fitzgerald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Chisholm </w:t>
      </w:r>
      <w:r w:rsidR="0068775E" w:rsidRPr="00F83B19">
        <w:rPr>
          <w:rFonts w:ascii="Arial" w:hAnsi="Arial" w:cs="Arial"/>
          <w:bCs/>
          <w:iCs/>
          <w:sz w:val="20"/>
          <w:szCs w:val="20"/>
        </w:rPr>
        <w:t>N. 2016. Household food security and biofuel feedstock production in rural Mozambique and Tanzania. </w:t>
      </w:r>
      <w:r w:rsidR="0068775E" w:rsidRPr="00F83B19">
        <w:rPr>
          <w:rFonts w:ascii="Arial" w:hAnsi="Arial" w:cs="Arial"/>
          <w:bCs/>
          <w:i/>
          <w:iCs/>
          <w:sz w:val="20"/>
          <w:szCs w:val="20"/>
        </w:rPr>
        <w:t>Food Security</w:t>
      </w:r>
      <w:r w:rsidR="0068775E" w:rsidRPr="00F83B19">
        <w:rPr>
          <w:rFonts w:ascii="Arial" w:hAnsi="Arial" w:cs="Arial"/>
          <w:bCs/>
          <w:iCs/>
          <w:sz w:val="20"/>
          <w:szCs w:val="20"/>
        </w:rPr>
        <w:t xml:space="preserve"> 8: 953–971. </w:t>
      </w:r>
    </w:p>
    <w:p w14:paraId="1C8D9D9C"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Varsha V, Singh R</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Singh</w:t>
      </w:r>
      <w:r w:rsidR="0068775E" w:rsidRPr="00F83B19">
        <w:rPr>
          <w:rFonts w:ascii="Arial" w:hAnsi="Arial" w:cs="Arial"/>
          <w:bCs/>
          <w:iCs/>
          <w:sz w:val="20"/>
          <w:szCs w:val="20"/>
        </w:rPr>
        <w:t xml:space="preserve"> E. 2020. Effect of different levels of Phosphorus and Sulphur on Growth and Yield of Linseed (</w:t>
      </w:r>
      <w:proofErr w:type="spellStart"/>
      <w:r w:rsidR="0068775E" w:rsidRPr="00F83B19">
        <w:rPr>
          <w:rFonts w:ascii="Arial" w:hAnsi="Arial" w:cs="Arial"/>
          <w:bCs/>
          <w:i/>
          <w:iCs/>
          <w:sz w:val="20"/>
          <w:szCs w:val="20"/>
        </w:rPr>
        <w:t>Linum</w:t>
      </w:r>
      <w:proofErr w:type="spellEnd"/>
      <w:r w:rsidR="0068775E" w:rsidRPr="00F83B19">
        <w:rPr>
          <w:rFonts w:ascii="Arial" w:hAnsi="Arial" w:cs="Arial"/>
          <w:bCs/>
          <w:i/>
          <w:iCs/>
          <w:sz w:val="20"/>
          <w:szCs w:val="20"/>
        </w:rPr>
        <w:t xml:space="preserve"> </w:t>
      </w:r>
      <w:proofErr w:type="spellStart"/>
      <w:r w:rsidR="0068775E" w:rsidRPr="00F83B19">
        <w:rPr>
          <w:rFonts w:ascii="Arial" w:hAnsi="Arial" w:cs="Arial"/>
          <w:bCs/>
          <w:i/>
          <w:iCs/>
          <w:sz w:val="20"/>
          <w:szCs w:val="20"/>
        </w:rPr>
        <w:t>usitatissimum</w:t>
      </w:r>
      <w:proofErr w:type="spellEnd"/>
      <w:r w:rsidR="0068775E" w:rsidRPr="00F83B19">
        <w:rPr>
          <w:rFonts w:ascii="Arial" w:hAnsi="Arial" w:cs="Arial"/>
          <w:bCs/>
          <w:iCs/>
          <w:sz w:val="20"/>
          <w:szCs w:val="20"/>
        </w:rPr>
        <w:t xml:space="preserve"> L.).</w:t>
      </w:r>
      <w:r w:rsidR="0068775E" w:rsidRPr="00F83B19">
        <w:rPr>
          <w:rFonts w:ascii="Arial" w:hAnsi="Arial" w:cs="Arial"/>
          <w:bCs/>
          <w:i/>
          <w:iCs/>
          <w:sz w:val="20"/>
          <w:szCs w:val="20"/>
        </w:rPr>
        <w:t xml:space="preserve"> International Journal of Current Microbiology and Applied Sciences </w:t>
      </w:r>
      <w:r w:rsidR="0068775E" w:rsidRPr="00F83B19">
        <w:rPr>
          <w:rFonts w:ascii="Arial" w:hAnsi="Arial" w:cs="Arial"/>
          <w:bCs/>
          <w:iCs/>
          <w:sz w:val="20"/>
          <w:szCs w:val="20"/>
        </w:rPr>
        <w:t xml:space="preserve"> 9(12):1692-1696</w:t>
      </w:r>
    </w:p>
    <w:p w14:paraId="7FE42ED4"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Verma KK, Song XP, Joshi A, Tian DD, Rajput VD, Singh M, Arora J, </w:t>
      </w:r>
      <w:proofErr w:type="spellStart"/>
      <w:r w:rsidRPr="00F83B19">
        <w:rPr>
          <w:rFonts w:ascii="Arial" w:hAnsi="Arial" w:cs="Arial"/>
          <w:bCs/>
          <w:iCs/>
          <w:sz w:val="20"/>
          <w:szCs w:val="20"/>
        </w:rPr>
        <w:t>Minkina</w:t>
      </w:r>
      <w:proofErr w:type="spellEnd"/>
      <w:r w:rsidRPr="00F83B19">
        <w:rPr>
          <w:rFonts w:ascii="Arial" w:hAnsi="Arial" w:cs="Arial"/>
          <w:bCs/>
          <w:iCs/>
          <w:sz w:val="20"/>
          <w:szCs w:val="20"/>
        </w:rPr>
        <w:t xml:space="preserve">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Li Y</w:t>
      </w:r>
      <w:r w:rsidR="0068775E" w:rsidRPr="00F83B19">
        <w:rPr>
          <w:rFonts w:ascii="Arial" w:hAnsi="Arial" w:cs="Arial"/>
          <w:bCs/>
          <w:iCs/>
          <w:sz w:val="20"/>
          <w:szCs w:val="20"/>
        </w:rPr>
        <w:t xml:space="preserve">R. 2022. Recent trends in nano-fertilizers for sustainable agriculture under climate change for global food security. </w:t>
      </w:r>
      <w:r w:rsidR="0068775E" w:rsidRPr="00F83B19">
        <w:rPr>
          <w:rFonts w:ascii="Arial" w:hAnsi="Arial" w:cs="Arial"/>
          <w:bCs/>
          <w:i/>
          <w:iCs/>
          <w:sz w:val="20"/>
          <w:szCs w:val="20"/>
        </w:rPr>
        <w:t>Nanomaterials</w:t>
      </w:r>
      <w:r w:rsidR="0068775E" w:rsidRPr="00F83B19">
        <w:rPr>
          <w:rFonts w:ascii="Arial" w:hAnsi="Arial" w:cs="Arial"/>
          <w:bCs/>
          <w:iCs/>
          <w:sz w:val="20"/>
          <w:szCs w:val="20"/>
        </w:rPr>
        <w:t xml:space="preserve"> 12(1):173.</w:t>
      </w:r>
    </w:p>
    <w:p w14:paraId="6FE56DF4" w14:textId="77777777" w:rsidR="0068775E" w:rsidRPr="00F83B19" w:rsidRDefault="0068775E"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 xml:space="preserve">Vijayakumar, S., Goud, L.D., Reddy, H., Kumar, M.R </w:t>
      </w:r>
      <w:r w:rsidR="002D3402" w:rsidRPr="00F83B19">
        <w:rPr>
          <w:rFonts w:ascii="Arial" w:hAnsi="Arial" w:cs="Arial"/>
          <w:bCs/>
          <w:iCs/>
          <w:sz w:val="20"/>
          <w:szCs w:val="20"/>
        </w:rPr>
        <w:t>&amp;</w:t>
      </w:r>
      <w:r w:rsidRPr="00F83B19">
        <w:rPr>
          <w:rFonts w:ascii="Arial" w:hAnsi="Arial" w:cs="Arial"/>
          <w:bCs/>
          <w:iCs/>
          <w:sz w:val="20"/>
          <w:szCs w:val="20"/>
        </w:rPr>
        <w:t xml:space="preserve"> Sundaram, R.M. 2022. Efficient nitrogen management technologies for sustainable rice production. </w:t>
      </w:r>
      <w:r w:rsidRPr="00F83B19">
        <w:rPr>
          <w:rFonts w:ascii="Arial" w:hAnsi="Arial" w:cs="Arial"/>
          <w:bCs/>
          <w:i/>
          <w:iCs/>
          <w:sz w:val="20"/>
          <w:szCs w:val="20"/>
        </w:rPr>
        <w:t>Journal of Rice Research</w:t>
      </w:r>
      <w:r w:rsidRPr="00F83B19">
        <w:rPr>
          <w:rFonts w:ascii="Arial" w:hAnsi="Arial" w:cs="Arial"/>
          <w:bCs/>
          <w:iCs/>
          <w:sz w:val="20"/>
          <w:szCs w:val="20"/>
        </w:rPr>
        <w:t xml:space="preserve"> 15(2):1-19. </w:t>
      </w:r>
    </w:p>
    <w:p w14:paraId="4FB81C0E"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proofErr w:type="spellStart"/>
      <w:r w:rsidRPr="00F83B19">
        <w:rPr>
          <w:rFonts w:ascii="Arial" w:hAnsi="Arial" w:cs="Arial"/>
          <w:bCs/>
          <w:iCs/>
          <w:sz w:val="20"/>
          <w:szCs w:val="20"/>
        </w:rPr>
        <w:t>Vittal</w:t>
      </w:r>
      <w:proofErr w:type="spellEnd"/>
      <w:r w:rsidRPr="00F83B19">
        <w:rPr>
          <w:rFonts w:ascii="Arial" w:hAnsi="Arial" w:cs="Arial"/>
          <w:bCs/>
          <w:iCs/>
          <w:sz w:val="20"/>
          <w:szCs w:val="20"/>
        </w:rPr>
        <w:t xml:space="preserve"> KPR, </w:t>
      </w:r>
      <w:proofErr w:type="spellStart"/>
      <w:r w:rsidRPr="00F83B19">
        <w:rPr>
          <w:rFonts w:ascii="Arial" w:hAnsi="Arial" w:cs="Arial"/>
          <w:bCs/>
          <w:iCs/>
          <w:sz w:val="20"/>
          <w:szCs w:val="20"/>
        </w:rPr>
        <w:t>Kerkhi</w:t>
      </w:r>
      <w:proofErr w:type="spellEnd"/>
      <w:r w:rsidRPr="00F83B19">
        <w:rPr>
          <w:rFonts w:ascii="Arial" w:hAnsi="Arial" w:cs="Arial"/>
          <w:bCs/>
          <w:iCs/>
          <w:sz w:val="20"/>
          <w:szCs w:val="20"/>
        </w:rPr>
        <w:t xml:space="preserve"> SA, Chary GR, Sankar GR</w:t>
      </w:r>
      <w:r w:rsidR="0068775E" w:rsidRPr="00F83B19">
        <w:rPr>
          <w:rFonts w:ascii="Arial" w:hAnsi="Arial" w:cs="Arial"/>
          <w:bCs/>
          <w:iCs/>
          <w:sz w:val="20"/>
          <w:szCs w:val="20"/>
        </w:rPr>
        <w:t>M</w:t>
      </w:r>
      <w:r w:rsidRPr="00F83B19">
        <w:rPr>
          <w:rFonts w:ascii="Arial" w:hAnsi="Arial" w:cs="Arial"/>
          <w:bCs/>
          <w:iCs/>
          <w:sz w:val="20"/>
          <w:szCs w:val="20"/>
        </w:rPr>
        <w:t>, Ramakrishna YS, Srijaya T</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Samra J</w:t>
      </w:r>
      <w:r w:rsidR="0068775E" w:rsidRPr="00F83B19">
        <w:rPr>
          <w:rFonts w:ascii="Arial" w:hAnsi="Arial" w:cs="Arial"/>
          <w:bCs/>
          <w:iCs/>
          <w:sz w:val="20"/>
          <w:szCs w:val="20"/>
        </w:rPr>
        <w:t xml:space="preserve">S. 2005: District wise promising technologies for rainfed </w:t>
      </w:r>
      <w:proofErr w:type="gramStart"/>
      <w:r w:rsidR="0068775E" w:rsidRPr="00F83B19">
        <w:rPr>
          <w:rFonts w:ascii="Arial" w:hAnsi="Arial" w:cs="Arial"/>
          <w:bCs/>
          <w:iCs/>
          <w:sz w:val="20"/>
          <w:szCs w:val="20"/>
        </w:rPr>
        <w:t>linseed based</w:t>
      </w:r>
      <w:proofErr w:type="gramEnd"/>
      <w:r w:rsidR="0068775E" w:rsidRPr="00F83B19">
        <w:rPr>
          <w:rFonts w:ascii="Arial" w:hAnsi="Arial" w:cs="Arial"/>
          <w:bCs/>
          <w:iCs/>
          <w:sz w:val="20"/>
          <w:szCs w:val="20"/>
        </w:rPr>
        <w:t xml:space="preserve"> production system in India, Central Research Institute for Dryland Agriculture, </w:t>
      </w:r>
      <w:proofErr w:type="spellStart"/>
      <w:r w:rsidR="0068775E" w:rsidRPr="00F83B19">
        <w:rPr>
          <w:rFonts w:ascii="Arial" w:hAnsi="Arial" w:cs="Arial"/>
          <w:bCs/>
          <w:iCs/>
          <w:sz w:val="20"/>
          <w:szCs w:val="20"/>
        </w:rPr>
        <w:t>Santoshnagar</w:t>
      </w:r>
      <w:proofErr w:type="spellEnd"/>
      <w:r w:rsidR="0068775E" w:rsidRPr="00F83B19">
        <w:rPr>
          <w:rFonts w:ascii="Arial" w:hAnsi="Arial" w:cs="Arial"/>
          <w:bCs/>
          <w:iCs/>
          <w:sz w:val="20"/>
          <w:szCs w:val="20"/>
        </w:rPr>
        <w:t>, Hyderabad.</w:t>
      </w:r>
    </w:p>
    <w:p w14:paraId="65192D02"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Wen P, Wu Z, Han Y</w:t>
      </w:r>
      <w:r w:rsidR="0068775E" w:rsidRPr="00F83B19">
        <w:rPr>
          <w:rFonts w:ascii="Arial" w:hAnsi="Arial" w:cs="Arial"/>
          <w:bCs/>
          <w:iCs/>
          <w:sz w:val="20"/>
          <w:szCs w:val="20"/>
        </w:rPr>
        <w:t xml:space="preserve">, </w:t>
      </w:r>
      <w:proofErr w:type="spellStart"/>
      <w:r w:rsidR="0068775E" w:rsidRPr="00F83B19">
        <w:rPr>
          <w:rFonts w:ascii="Arial" w:hAnsi="Arial" w:cs="Arial"/>
          <w:bCs/>
          <w:iCs/>
          <w:sz w:val="20"/>
          <w:szCs w:val="20"/>
        </w:rPr>
        <w:t>Cravotto</w:t>
      </w:r>
      <w:proofErr w:type="spellEnd"/>
      <w:r w:rsidRPr="00F83B19">
        <w:rPr>
          <w:rFonts w:ascii="Arial" w:hAnsi="Arial" w:cs="Arial"/>
          <w:bCs/>
          <w:iCs/>
          <w:sz w:val="20"/>
          <w:szCs w:val="20"/>
        </w:rPr>
        <w:t xml:space="preserve"> G, Wang J</w:t>
      </w:r>
      <w:r w:rsidR="0068775E" w:rsidRPr="00F83B19">
        <w:rPr>
          <w:rFonts w:ascii="Arial" w:hAnsi="Arial" w:cs="Arial"/>
          <w:bCs/>
          <w:iCs/>
          <w:sz w:val="20"/>
          <w:szCs w:val="20"/>
        </w:rPr>
        <w:t xml:space="preserve"> </w:t>
      </w:r>
      <w:r w:rsidR="002D3402" w:rsidRPr="00F83B19">
        <w:rPr>
          <w:rFonts w:ascii="Arial" w:hAnsi="Arial" w:cs="Arial"/>
          <w:bCs/>
          <w:iCs/>
          <w:sz w:val="20"/>
          <w:szCs w:val="20"/>
        </w:rPr>
        <w:t>&amp;</w:t>
      </w:r>
      <w:r w:rsidRPr="00F83B19">
        <w:rPr>
          <w:rFonts w:ascii="Arial" w:hAnsi="Arial" w:cs="Arial"/>
          <w:bCs/>
          <w:iCs/>
          <w:sz w:val="20"/>
          <w:szCs w:val="20"/>
        </w:rPr>
        <w:t xml:space="preserve"> Ye B</w:t>
      </w:r>
      <w:r w:rsidR="0068775E" w:rsidRPr="00F83B19">
        <w:rPr>
          <w:rFonts w:ascii="Arial" w:hAnsi="Arial" w:cs="Arial"/>
          <w:bCs/>
          <w:iCs/>
          <w:sz w:val="20"/>
          <w:szCs w:val="20"/>
        </w:rPr>
        <w:t xml:space="preserve">C. 2017. Microwave-assisted synthesis of a novel biochar-based slow-release nitrogen fertilizer with enhanced water-retention capacity. </w:t>
      </w:r>
      <w:r w:rsidR="0068775E" w:rsidRPr="00F83B19">
        <w:rPr>
          <w:rFonts w:ascii="Arial" w:hAnsi="Arial" w:cs="Arial"/>
          <w:bCs/>
          <w:i/>
          <w:iCs/>
          <w:sz w:val="20"/>
          <w:szCs w:val="20"/>
        </w:rPr>
        <w:t>ACS Sustainable Chemistry &amp; Engineering</w:t>
      </w:r>
      <w:r w:rsidR="0068775E" w:rsidRPr="00F83B19">
        <w:rPr>
          <w:rFonts w:ascii="Arial" w:hAnsi="Arial" w:cs="Arial"/>
          <w:bCs/>
          <w:iCs/>
          <w:sz w:val="20"/>
          <w:szCs w:val="20"/>
        </w:rPr>
        <w:t xml:space="preserve"> 5(8):7374-82.</w:t>
      </w:r>
    </w:p>
    <w:p w14:paraId="11E0A376" w14:textId="77777777" w:rsidR="0068775E" w:rsidRPr="00F83B19" w:rsidRDefault="00266FB5" w:rsidP="001B2609">
      <w:pPr>
        <w:pStyle w:val="ListParagraph"/>
        <w:numPr>
          <w:ilvl w:val="0"/>
          <w:numId w:val="7"/>
        </w:numPr>
        <w:ind w:left="284" w:hanging="284"/>
        <w:jc w:val="both"/>
        <w:rPr>
          <w:rFonts w:ascii="Arial" w:hAnsi="Arial" w:cs="Arial"/>
          <w:bCs/>
          <w:iCs/>
          <w:sz w:val="20"/>
          <w:szCs w:val="20"/>
        </w:rPr>
      </w:pPr>
      <w:r w:rsidRPr="00F83B19">
        <w:rPr>
          <w:rFonts w:ascii="Arial" w:hAnsi="Arial" w:cs="Arial"/>
          <w:bCs/>
          <w:iCs/>
          <w:sz w:val="20"/>
          <w:szCs w:val="20"/>
        </w:rPr>
        <w:t>Zebarth BJ</w:t>
      </w:r>
      <w:r w:rsidR="0068775E" w:rsidRPr="00F83B19">
        <w:rPr>
          <w:rFonts w:ascii="Arial" w:hAnsi="Arial" w:cs="Arial"/>
          <w:bCs/>
          <w:iCs/>
          <w:sz w:val="20"/>
          <w:szCs w:val="20"/>
        </w:rPr>
        <w:t>, &amp; Sheard</w:t>
      </w:r>
      <w:r w:rsidRPr="00F83B19">
        <w:rPr>
          <w:rFonts w:ascii="Arial" w:hAnsi="Arial" w:cs="Arial"/>
          <w:bCs/>
          <w:iCs/>
          <w:sz w:val="20"/>
          <w:szCs w:val="20"/>
        </w:rPr>
        <w:t xml:space="preserve"> R</w:t>
      </w:r>
      <w:r w:rsidR="0068775E" w:rsidRPr="00F83B19">
        <w:rPr>
          <w:rFonts w:ascii="Arial" w:hAnsi="Arial" w:cs="Arial"/>
          <w:bCs/>
          <w:iCs/>
          <w:sz w:val="20"/>
          <w:szCs w:val="20"/>
        </w:rPr>
        <w:t xml:space="preserve">W. 1992. Influence of rate and timing of nitrogen fertilization on yield and quality of hard red winter wheat in Ontario. </w:t>
      </w:r>
      <w:r w:rsidR="0068775E" w:rsidRPr="00F83B19">
        <w:rPr>
          <w:rFonts w:ascii="Arial" w:hAnsi="Arial" w:cs="Arial"/>
          <w:bCs/>
          <w:i/>
          <w:iCs/>
          <w:sz w:val="20"/>
          <w:szCs w:val="20"/>
        </w:rPr>
        <w:t xml:space="preserve">Canada Journal of Plant Science </w:t>
      </w:r>
      <w:r w:rsidR="0068775E" w:rsidRPr="00F83B19">
        <w:rPr>
          <w:rFonts w:ascii="Arial" w:hAnsi="Arial" w:cs="Arial"/>
          <w:bCs/>
          <w:iCs/>
          <w:sz w:val="20"/>
          <w:szCs w:val="20"/>
        </w:rPr>
        <w:t xml:space="preserve">72(1): 13–19. </w:t>
      </w:r>
    </w:p>
    <w:p w14:paraId="71EB9166" w14:textId="77777777" w:rsidR="00D36E02" w:rsidRPr="00F83B19" w:rsidRDefault="00266FB5" w:rsidP="001B2609">
      <w:pPr>
        <w:pStyle w:val="ListParagraph"/>
        <w:numPr>
          <w:ilvl w:val="0"/>
          <w:numId w:val="7"/>
        </w:numPr>
        <w:ind w:left="284" w:hanging="284"/>
        <w:jc w:val="both"/>
        <w:rPr>
          <w:rFonts w:ascii="Arial" w:hAnsi="Arial" w:cs="Arial"/>
          <w:bCs/>
          <w:iCs/>
          <w:color w:val="000000" w:themeColor="text1"/>
          <w:sz w:val="20"/>
          <w:szCs w:val="20"/>
        </w:rPr>
      </w:pPr>
      <w:r w:rsidRPr="00F83B19">
        <w:rPr>
          <w:rFonts w:ascii="Arial" w:hAnsi="Arial" w:cs="Arial"/>
          <w:bCs/>
          <w:iCs/>
          <w:color w:val="000000" w:themeColor="text1"/>
          <w:sz w:val="20"/>
          <w:szCs w:val="20"/>
        </w:rPr>
        <w:t>Zhang Q, Han L, Jing H, Blom D A, Lin Y</w:t>
      </w:r>
      <w:r w:rsidR="0068775E" w:rsidRPr="00F83B19">
        <w:rPr>
          <w:rFonts w:ascii="Arial" w:hAnsi="Arial" w:cs="Arial"/>
          <w:bCs/>
          <w:iCs/>
          <w:color w:val="000000" w:themeColor="text1"/>
          <w:sz w:val="20"/>
          <w:szCs w:val="20"/>
        </w:rPr>
        <w:t>, Xin</w:t>
      </w:r>
      <w:r w:rsidRPr="00F83B19">
        <w:rPr>
          <w:rFonts w:ascii="Arial" w:hAnsi="Arial" w:cs="Arial"/>
          <w:bCs/>
          <w:iCs/>
          <w:color w:val="000000" w:themeColor="text1"/>
          <w:sz w:val="20"/>
          <w:szCs w:val="20"/>
        </w:rPr>
        <w:t xml:space="preserve"> H L and Wang </w:t>
      </w:r>
      <w:r w:rsidR="00BA52B9" w:rsidRPr="00F83B19">
        <w:rPr>
          <w:rFonts w:ascii="Arial" w:hAnsi="Arial" w:cs="Arial"/>
          <w:bCs/>
          <w:iCs/>
          <w:color w:val="000000" w:themeColor="text1"/>
          <w:sz w:val="20"/>
          <w:szCs w:val="20"/>
        </w:rPr>
        <w:t>H</w:t>
      </w:r>
      <w:r w:rsidR="0068775E" w:rsidRPr="00F83B19">
        <w:rPr>
          <w:rFonts w:ascii="Arial" w:hAnsi="Arial" w:cs="Arial"/>
          <w:bCs/>
          <w:iCs/>
          <w:color w:val="000000" w:themeColor="text1"/>
          <w:sz w:val="20"/>
          <w:szCs w:val="20"/>
        </w:rPr>
        <w:t>.</w:t>
      </w:r>
      <w:r w:rsidR="00BA52B9" w:rsidRPr="00F83B19">
        <w:rPr>
          <w:rFonts w:ascii="Arial" w:hAnsi="Arial" w:cs="Arial"/>
          <w:bCs/>
          <w:iCs/>
          <w:color w:val="000000" w:themeColor="text1"/>
          <w:sz w:val="20"/>
          <w:szCs w:val="20"/>
        </w:rPr>
        <w:t xml:space="preserve"> 2016.</w:t>
      </w:r>
      <w:r w:rsidR="0068775E" w:rsidRPr="00F83B19">
        <w:rPr>
          <w:rFonts w:ascii="Arial" w:hAnsi="Arial" w:cs="Arial"/>
          <w:bCs/>
          <w:iCs/>
          <w:color w:val="000000" w:themeColor="text1"/>
          <w:sz w:val="20"/>
          <w:szCs w:val="20"/>
        </w:rPr>
        <w:t xml:space="preserve"> Facet control of gold nanorods. </w:t>
      </w:r>
      <w:r w:rsidR="0068775E" w:rsidRPr="00F83B19">
        <w:rPr>
          <w:rFonts w:ascii="Arial" w:hAnsi="Arial" w:cs="Arial"/>
          <w:bCs/>
          <w:i/>
          <w:iCs/>
          <w:color w:val="000000" w:themeColor="text1"/>
          <w:sz w:val="20"/>
          <w:szCs w:val="20"/>
        </w:rPr>
        <w:t>ACS Nano</w:t>
      </w:r>
      <w:r w:rsidR="0068775E" w:rsidRPr="00F83B19">
        <w:rPr>
          <w:rFonts w:ascii="Arial" w:hAnsi="Arial" w:cs="Arial"/>
          <w:bCs/>
          <w:iCs/>
          <w:color w:val="000000" w:themeColor="text1"/>
          <w:sz w:val="20"/>
          <w:szCs w:val="20"/>
        </w:rPr>
        <w:t> 10: 2960–2974.</w:t>
      </w:r>
    </w:p>
    <w:p w14:paraId="7535E459" w14:textId="77777777" w:rsidR="00D36E02" w:rsidRPr="00F83B19" w:rsidRDefault="00D36E02" w:rsidP="00D36E02">
      <w:pPr>
        <w:spacing w:after="0" w:line="360" w:lineRule="auto"/>
        <w:ind w:left="709" w:hanging="709"/>
        <w:jc w:val="both"/>
        <w:rPr>
          <w:rFonts w:ascii="Arial" w:hAnsi="Arial" w:cs="Arial"/>
          <w:bCs/>
          <w:sz w:val="20"/>
          <w:szCs w:val="20"/>
        </w:rPr>
      </w:pPr>
    </w:p>
    <w:p w14:paraId="2F86128F" w14:textId="77777777" w:rsidR="00D36E02" w:rsidRPr="00F83B19" w:rsidRDefault="00D36E02" w:rsidP="00D36E02">
      <w:pPr>
        <w:spacing w:after="0" w:line="360" w:lineRule="auto"/>
        <w:ind w:left="709" w:hanging="709"/>
        <w:jc w:val="both"/>
        <w:rPr>
          <w:rFonts w:ascii="Arial" w:hAnsi="Arial" w:cs="Arial"/>
          <w:bCs/>
          <w:sz w:val="20"/>
          <w:szCs w:val="20"/>
        </w:rPr>
      </w:pPr>
    </w:p>
    <w:p w14:paraId="4582C4E7" w14:textId="77777777" w:rsidR="00A3774A" w:rsidRPr="00F83B19" w:rsidRDefault="00A3774A" w:rsidP="00BA52B9">
      <w:pPr>
        <w:spacing w:after="0" w:line="360" w:lineRule="auto"/>
        <w:jc w:val="both"/>
        <w:rPr>
          <w:rFonts w:ascii="Arial" w:hAnsi="Arial" w:cs="Arial"/>
          <w:bCs/>
          <w:sz w:val="20"/>
          <w:szCs w:val="20"/>
        </w:rPr>
      </w:pPr>
    </w:p>
    <w:sectPr w:rsidR="00A3774A" w:rsidRPr="00F83B19" w:rsidSect="007C276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3B10D" w14:textId="77777777" w:rsidR="009B0AC5" w:rsidRDefault="009B0AC5" w:rsidP="00A27C01">
      <w:pPr>
        <w:spacing w:after="0" w:line="240" w:lineRule="auto"/>
      </w:pPr>
      <w:r>
        <w:separator/>
      </w:r>
    </w:p>
  </w:endnote>
  <w:endnote w:type="continuationSeparator" w:id="0">
    <w:p w14:paraId="41B3C7A9" w14:textId="77777777" w:rsidR="009B0AC5" w:rsidRDefault="009B0AC5" w:rsidP="00A2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D556" w14:textId="77777777" w:rsidR="00A27C01" w:rsidRDefault="00A27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2D14" w14:textId="77777777" w:rsidR="00A27C01" w:rsidRDefault="00A27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A19E" w14:textId="77777777" w:rsidR="00A27C01" w:rsidRDefault="00A27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5F9FE" w14:textId="77777777" w:rsidR="009B0AC5" w:rsidRDefault="009B0AC5" w:rsidP="00A27C01">
      <w:pPr>
        <w:spacing w:after="0" w:line="240" w:lineRule="auto"/>
      </w:pPr>
      <w:r>
        <w:separator/>
      </w:r>
    </w:p>
  </w:footnote>
  <w:footnote w:type="continuationSeparator" w:id="0">
    <w:p w14:paraId="2D6A8722" w14:textId="77777777" w:rsidR="009B0AC5" w:rsidRDefault="009B0AC5" w:rsidP="00A27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E40B0" w14:textId="03478BB0" w:rsidR="00A27C01" w:rsidRDefault="00A27C01">
    <w:pPr>
      <w:pStyle w:val="Header"/>
    </w:pPr>
    <w:r>
      <w:rPr>
        <w:noProof/>
      </w:rPr>
      <w:pict w14:anchorId="7AC56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4403" w14:textId="2DC0CB76" w:rsidR="00A27C01" w:rsidRDefault="00A27C01">
    <w:pPr>
      <w:pStyle w:val="Header"/>
    </w:pPr>
    <w:r>
      <w:rPr>
        <w:noProof/>
      </w:rPr>
      <w:pict w14:anchorId="27A2D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E0159" w14:textId="01B76668" w:rsidR="00A27C01" w:rsidRDefault="00A27C01">
    <w:pPr>
      <w:pStyle w:val="Header"/>
    </w:pPr>
    <w:r>
      <w:rPr>
        <w:noProof/>
      </w:rPr>
      <w:pict w14:anchorId="22D5D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43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35E6"/>
    <w:multiLevelType w:val="multilevel"/>
    <w:tmpl w:val="8508EBAE"/>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9A73A1"/>
    <w:multiLevelType w:val="multilevel"/>
    <w:tmpl w:val="6A46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A53FA9"/>
    <w:multiLevelType w:val="hybridMultilevel"/>
    <w:tmpl w:val="C12AFA98"/>
    <w:lvl w:ilvl="0" w:tplc="7338A3F0">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E0290D"/>
    <w:multiLevelType w:val="hybridMultilevel"/>
    <w:tmpl w:val="14C2A1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D45153"/>
    <w:multiLevelType w:val="multilevel"/>
    <w:tmpl w:val="46F6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314133"/>
    <w:multiLevelType w:val="hybridMultilevel"/>
    <w:tmpl w:val="BB0439DC"/>
    <w:lvl w:ilvl="0" w:tplc="40090019">
      <w:start w:val="1"/>
      <w:numFmt w:val="low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6" w15:restartNumberingAfterBreak="0">
    <w:nsid w:val="7F437A66"/>
    <w:multiLevelType w:val="multilevel"/>
    <w:tmpl w:val="D71E4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0"/>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DA9"/>
    <w:rsid w:val="00044845"/>
    <w:rsid w:val="00045EE0"/>
    <w:rsid w:val="00094863"/>
    <w:rsid w:val="000A35F6"/>
    <w:rsid w:val="000C5834"/>
    <w:rsid w:val="000F7BC3"/>
    <w:rsid w:val="000F7F2D"/>
    <w:rsid w:val="00107686"/>
    <w:rsid w:val="0012529F"/>
    <w:rsid w:val="00146125"/>
    <w:rsid w:val="00194B4B"/>
    <w:rsid w:val="001B2609"/>
    <w:rsid w:val="001C0D67"/>
    <w:rsid w:val="001C35E5"/>
    <w:rsid w:val="00206914"/>
    <w:rsid w:val="002413F1"/>
    <w:rsid w:val="00262D04"/>
    <w:rsid w:val="00266FB5"/>
    <w:rsid w:val="002D2C55"/>
    <w:rsid w:val="002D3402"/>
    <w:rsid w:val="00304401"/>
    <w:rsid w:val="00311392"/>
    <w:rsid w:val="003451FD"/>
    <w:rsid w:val="003469D9"/>
    <w:rsid w:val="0035433C"/>
    <w:rsid w:val="00373335"/>
    <w:rsid w:val="0038754C"/>
    <w:rsid w:val="003D14C4"/>
    <w:rsid w:val="00401C91"/>
    <w:rsid w:val="00406F35"/>
    <w:rsid w:val="00416EF6"/>
    <w:rsid w:val="00426F50"/>
    <w:rsid w:val="00442917"/>
    <w:rsid w:val="0048000A"/>
    <w:rsid w:val="004A6A4E"/>
    <w:rsid w:val="004F67E9"/>
    <w:rsid w:val="004F76BB"/>
    <w:rsid w:val="00515B1B"/>
    <w:rsid w:val="0051696D"/>
    <w:rsid w:val="005232A1"/>
    <w:rsid w:val="00575655"/>
    <w:rsid w:val="00583ECC"/>
    <w:rsid w:val="005947EC"/>
    <w:rsid w:val="005B27E8"/>
    <w:rsid w:val="005B7E07"/>
    <w:rsid w:val="005E6336"/>
    <w:rsid w:val="00640D4B"/>
    <w:rsid w:val="006512A4"/>
    <w:rsid w:val="006712DB"/>
    <w:rsid w:val="0068775E"/>
    <w:rsid w:val="00695D8B"/>
    <w:rsid w:val="006D5912"/>
    <w:rsid w:val="007162B3"/>
    <w:rsid w:val="00783C07"/>
    <w:rsid w:val="00792AAA"/>
    <w:rsid w:val="007B29C1"/>
    <w:rsid w:val="007C2765"/>
    <w:rsid w:val="007F09DF"/>
    <w:rsid w:val="00843F04"/>
    <w:rsid w:val="00863447"/>
    <w:rsid w:val="0094362E"/>
    <w:rsid w:val="00943D51"/>
    <w:rsid w:val="0098036D"/>
    <w:rsid w:val="009B0AC5"/>
    <w:rsid w:val="009F5DA9"/>
    <w:rsid w:val="009F75F3"/>
    <w:rsid w:val="00A0485D"/>
    <w:rsid w:val="00A27C01"/>
    <w:rsid w:val="00A3653A"/>
    <w:rsid w:val="00A3774A"/>
    <w:rsid w:val="00A87525"/>
    <w:rsid w:val="00A95140"/>
    <w:rsid w:val="00AA411D"/>
    <w:rsid w:val="00AB7E4E"/>
    <w:rsid w:val="00AC3C55"/>
    <w:rsid w:val="00AE3A00"/>
    <w:rsid w:val="00AE50DE"/>
    <w:rsid w:val="00B40067"/>
    <w:rsid w:val="00B672D0"/>
    <w:rsid w:val="00B937E4"/>
    <w:rsid w:val="00B94F21"/>
    <w:rsid w:val="00BA52B9"/>
    <w:rsid w:val="00BE1394"/>
    <w:rsid w:val="00C05129"/>
    <w:rsid w:val="00C14591"/>
    <w:rsid w:val="00C66C51"/>
    <w:rsid w:val="00D36E02"/>
    <w:rsid w:val="00D37881"/>
    <w:rsid w:val="00D71CD4"/>
    <w:rsid w:val="00D74BF1"/>
    <w:rsid w:val="00D96DF3"/>
    <w:rsid w:val="00E0025C"/>
    <w:rsid w:val="00E00996"/>
    <w:rsid w:val="00E351E7"/>
    <w:rsid w:val="00E3569B"/>
    <w:rsid w:val="00E50331"/>
    <w:rsid w:val="00E74034"/>
    <w:rsid w:val="00E7453C"/>
    <w:rsid w:val="00F40CBD"/>
    <w:rsid w:val="00F83B19"/>
    <w:rsid w:val="00FB4C16"/>
    <w:rsid w:val="00FC1057"/>
    <w:rsid w:val="00FD58AF"/>
    <w:rsid w:val="00FD63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E47A2"/>
  <w15:docId w15:val="{CBF0822B-E7AA-4504-BE3F-93598740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335"/>
    <w:rPr>
      <w:color w:val="0000FF" w:themeColor="hyperlink"/>
      <w:u w:val="single"/>
    </w:rPr>
  </w:style>
  <w:style w:type="table" w:styleId="TableGrid">
    <w:name w:val="Table Grid"/>
    <w:basedOn w:val="TableNormal"/>
    <w:uiPriority w:val="59"/>
    <w:rsid w:val="0034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4845"/>
    <w:rPr>
      <w:rFonts w:ascii="Times New Roman" w:hAnsi="Times New Roman" w:cs="Times New Roman"/>
      <w:sz w:val="24"/>
      <w:szCs w:val="24"/>
    </w:rPr>
  </w:style>
  <w:style w:type="paragraph" w:styleId="ListParagraph">
    <w:name w:val="List Paragraph"/>
    <w:basedOn w:val="Normal"/>
    <w:uiPriority w:val="34"/>
    <w:qFormat/>
    <w:rsid w:val="004A6A4E"/>
    <w:pPr>
      <w:ind w:left="720"/>
      <w:contextualSpacing/>
    </w:pPr>
  </w:style>
  <w:style w:type="paragraph" w:styleId="BalloonText">
    <w:name w:val="Balloon Text"/>
    <w:basedOn w:val="Normal"/>
    <w:link w:val="BalloonTextChar"/>
    <w:uiPriority w:val="99"/>
    <w:semiHidden/>
    <w:unhideWhenUsed/>
    <w:rsid w:val="00AB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E4E"/>
    <w:rPr>
      <w:rFonts w:ascii="Tahoma" w:hAnsi="Tahoma" w:cs="Tahoma"/>
      <w:sz w:val="16"/>
      <w:szCs w:val="16"/>
    </w:rPr>
  </w:style>
  <w:style w:type="paragraph" w:styleId="Header">
    <w:name w:val="header"/>
    <w:basedOn w:val="Normal"/>
    <w:link w:val="HeaderChar"/>
    <w:uiPriority w:val="99"/>
    <w:unhideWhenUsed/>
    <w:rsid w:val="00A27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C01"/>
  </w:style>
  <w:style w:type="paragraph" w:styleId="Footer">
    <w:name w:val="footer"/>
    <w:basedOn w:val="Normal"/>
    <w:link w:val="FooterChar"/>
    <w:uiPriority w:val="99"/>
    <w:unhideWhenUsed/>
    <w:rsid w:val="00A27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1385">
      <w:bodyDiv w:val="1"/>
      <w:marLeft w:val="0"/>
      <w:marRight w:val="0"/>
      <w:marTop w:val="0"/>
      <w:marBottom w:val="0"/>
      <w:divBdr>
        <w:top w:val="none" w:sz="0" w:space="0" w:color="auto"/>
        <w:left w:val="none" w:sz="0" w:space="0" w:color="auto"/>
        <w:bottom w:val="none" w:sz="0" w:space="0" w:color="auto"/>
        <w:right w:val="none" w:sz="0" w:space="0" w:color="auto"/>
      </w:divBdr>
    </w:div>
    <w:div w:id="98454140">
      <w:bodyDiv w:val="1"/>
      <w:marLeft w:val="0"/>
      <w:marRight w:val="0"/>
      <w:marTop w:val="0"/>
      <w:marBottom w:val="0"/>
      <w:divBdr>
        <w:top w:val="none" w:sz="0" w:space="0" w:color="auto"/>
        <w:left w:val="none" w:sz="0" w:space="0" w:color="auto"/>
        <w:bottom w:val="none" w:sz="0" w:space="0" w:color="auto"/>
        <w:right w:val="none" w:sz="0" w:space="0" w:color="auto"/>
      </w:divBdr>
    </w:div>
    <w:div w:id="166873089">
      <w:bodyDiv w:val="1"/>
      <w:marLeft w:val="0"/>
      <w:marRight w:val="0"/>
      <w:marTop w:val="0"/>
      <w:marBottom w:val="0"/>
      <w:divBdr>
        <w:top w:val="none" w:sz="0" w:space="0" w:color="auto"/>
        <w:left w:val="none" w:sz="0" w:space="0" w:color="auto"/>
        <w:bottom w:val="none" w:sz="0" w:space="0" w:color="auto"/>
        <w:right w:val="none" w:sz="0" w:space="0" w:color="auto"/>
      </w:divBdr>
      <w:divsChild>
        <w:div w:id="753741981">
          <w:marLeft w:val="0"/>
          <w:marRight w:val="0"/>
          <w:marTop w:val="0"/>
          <w:marBottom w:val="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892617953">
          <w:marLeft w:val="0"/>
          <w:marRight w:val="0"/>
          <w:marTop w:val="0"/>
          <w:marBottom w:val="0"/>
          <w:divBdr>
            <w:top w:val="none" w:sz="0" w:space="0" w:color="auto"/>
            <w:left w:val="none" w:sz="0" w:space="0" w:color="auto"/>
            <w:bottom w:val="none" w:sz="0" w:space="0" w:color="auto"/>
            <w:right w:val="none" w:sz="0" w:space="0" w:color="auto"/>
          </w:divBdr>
        </w:div>
        <w:div w:id="363486035">
          <w:marLeft w:val="0"/>
          <w:marRight w:val="0"/>
          <w:marTop w:val="0"/>
          <w:marBottom w:val="0"/>
          <w:divBdr>
            <w:top w:val="none" w:sz="0" w:space="0" w:color="auto"/>
            <w:left w:val="none" w:sz="0" w:space="0" w:color="auto"/>
            <w:bottom w:val="none" w:sz="0" w:space="0" w:color="auto"/>
            <w:right w:val="none" w:sz="0" w:space="0" w:color="auto"/>
          </w:divBdr>
        </w:div>
        <w:div w:id="293023096">
          <w:marLeft w:val="0"/>
          <w:marRight w:val="0"/>
          <w:marTop w:val="0"/>
          <w:marBottom w:val="0"/>
          <w:divBdr>
            <w:top w:val="none" w:sz="0" w:space="0" w:color="auto"/>
            <w:left w:val="none" w:sz="0" w:space="0" w:color="auto"/>
            <w:bottom w:val="none" w:sz="0" w:space="0" w:color="auto"/>
            <w:right w:val="none" w:sz="0" w:space="0" w:color="auto"/>
          </w:divBdr>
        </w:div>
        <w:div w:id="1831873394">
          <w:marLeft w:val="0"/>
          <w:marRight w:val="0"/>
          <w:marTop w:val="0"/>
          <w:marBottom w:val="0"/>
          <w:divBdr>
            <w:top w:val="none" w:sz="0" w:space="0" w:color="auto"/>
            <w:left w:val="none" w:sz="0" w:space="0" w:color="auto"/>
            <w:bottom w:val="none" w:sz="0" w:space="0" w:color="auto"/>
            <w:right w:val="none" w:sz="0" w:space="0" w:color="auto"/>
          </w:divBdr>
        </w:div>
        <w:div w:id="1247230756">
          <w:marLeft w:val="0"/>
          <w:marRight w:val="0"/>
          <w:marTop w:val="0"/>
          <w:marBottom w:val="0"/>
          <w:divBdr>
            <w:top w:val="none" w:sz="0" w:space="0" w:color="auto"/>
            <w:left w:val="none" w:sz="0" w:space="0" w:color="auto"/>
            <w:bottom w:val="none" w:sz="0" w:space="0" w:color="auto"/>
            <w:right w:val="none" w:sz="0" w:space="0" w:color="auto"/>
          </w:divBdr>
        </w:div>
        <w:div w:id="2029989768">
          <w:marLeft w:val="0"/>
          <w:marRight w:val="0"/>
          <w:marTop w:val="0"/>
          <w:marBottom w:val="0"/>
          <w:divBdr>
            <w:top w:val="none" w:sz="0" w:space="0" w:color="auto"/>
            <w:left w:val="none" w:sz="0" w:space="0" w:color="auto"/>
            <w:bottom w:val="none" w:sz="0" w:space="0" w:color="auto"/>
            <w:right w:val="none" w:sz="0" w:space="0" w:color="auto"/>
          </w:divBdr>
        </w:div>
      </w:divsChild>
    </w:div>
    <w:div w:id="328868269">
      <w:bodyDiv w:val="1"/>
      <w:marLeft w:val="0"/>
      <w:marRight w:val="0"/>
      <w:marTop w:val="0"/>
      <w:marBottom w:val="0"/>
      <w:divBdr>
        <w:top w:val="none" w:sz="0" w:space="0" w:color="auto"/>
        <w:left w:val="none" w:sz="0" w:space="0" w:color="auto"/>
        <w:bottom w:val="none" w:sz="0" w:space="0" w:color="auto"/>
        <w:right w:val="none" w:sz="0" w:space="0" w:color="auto"/>
      </w:divBdr>
    </w:div>
    <w:div w:id="427819474">
      <w:bodyDiv w:val="1"/>
      <w:marLeft w:val="0"/>
      <w:marRight w:val="0"/>
      <w:marTop w:val="0"/>
      <w:marBottom w:val="0"/>
      <w:divBdr>
        <w:top w:val="none" w:sz="0" w:space="0" w:color="auto"/>
        <w:left w:val="none" w:sz="0" w:space="0" w:color="auto"/>
        <w:bottom w:val="none" w:sz="0" w:space="0" w:color="auto"/>
        <w:right w:val="none" w:sz="0" w:space="0" w:color="auto"/>
      </w:divBdr>
    </w:div>
    <w:div w:id="553583982">
      <w:bodyDiv w:val="1"/>
      <w:marLeft w:val="0"/>
      <w:marRight w:val="0"/>
      <w:marTop w:val="0"/>
      <w:marBottom w:val="0"/>
      <w:divBdr>
        <w:top w:val="none" w:sz="0" w:space="0" w:color="auto"/>
        <w:left w:val="none" w:sz="0" w:space="0" w:color="auto"/>
        <w:bottom w:val="none" w:sz="0" w:space="0" w:color="auto"/>
        <w:right w:val="none" w:sz="0" w:space="0" w:color="auto"/>
      </w:divBdr>
    </w:div>
    <w:div w:id="655961777">
      <w:bodyDiv w:val="1"/>
      <w:marLeft w:val="0"/>
      <w:marRight w:val="0"/>
      <w:marTop w:val="0"/>
      <w:marBottom w:val="0"/>
      <w:divBdr>
        <w:top w:val="none" w:sz="0" w:space="0" w:color="auto"/>
        <w:left w:val="none" w:sz="0" w:space="0" w:color="auto"/>
        <w:bottom w:val="none" w:sz="0" w:space="0" w:color="auto"/>
        <w:right w:val="none" w:sz="0" w:space="0" w:color="auto"/>
      </w:divBdr>
    </w:div>
    <w:div w:id="687875853">
      <w:bodyDiv w:val="1"/>
      <w:marLeft w:val="0"/>
      <w:marRight w:val="0"/>
      <w:marTop w:val="0"/>
      <w:marBottom w:val="0"/>
      <w:divBdr>
        <w:top w:val="none" w:sz="0" w:space="0" w:color="auto"/>
        <w:left w:val="none" w:sz="0" w:space="0" w:color="auto"/>
        <w:bottom w:val="none" w:sz="0" w:space="0" w:color="auto"/>
        <w:right w:val="none" w:sz="0" w:space="0" w:color="auto"/>
      </w:divBdr>
    </w:div>
    <w:div w:id="723992358">
      <w:bodyDiv w:val="1"/>
      <w:marLeft w:val="0"/>
      <w:marRight w:val="0"/>
      <w:marTop w:val="0"/>
      <w:marBottom w:val="0"/>
      <w:divBdr>
        <w:top w:val="none" w:sz="0" w:space="0" w:color="auto"/>
        <w:left w:val="none" w:sz="0" w:space="0" w:color="auto"/>
        <w:bottom w:val="none" w:sz="0" w:space="0" w:color="auto"/>
        <w:right w:val="none" w:sz="0" w:space="0" w:color="auto"/>
      </w:divBdr>
    </w:div>
    <w:div w:id="747071556">
      <w:bodyDiv w:val="1"/>
      <w:marLeft w:val="0"/>
      <w:marRight w:val="0"/>
      <w:marTop w:val="0"/>
      <w:marBottom w:val="0"/>
      <w:divBdr>
        <w:top w:val="none" w:sz="0" w:space="0" w:color="auto"/>
        <w:left w:val="none" w:sz="0" w:space="0" w:color="auto"/>
        <w:bottom w:val="none" w:sz="0" w:space="0" w:color="auto"/>
        <w:right w:val="none" w:sz="0" w:space="0" w:color="auto"/>
      </w:divBdr>
    </w:div>
    <w:div w:id="858663241">
      <w:bodyDiv w:val="1"/>
      <w:marLeft w:val="0"/>
      <w:marRight w:val="0"/>
      <w:marTop w:val="0"/>
      <w:marBottom w:val="0"/>
      <w:divBdr>
        <w:top w:val="none" w:sz="0" w:space="0" w:color="auto"/>
        <w:left w:val="none" w:sz="0" w:space="0" w:color="auto"/>
        <w:bottom w:val="none" w:sz="0" w:space="0" w:color="auto"/>
        <w:right w:val="none" w:sz="0" w:space="0" w:color="auto"/>
      </w:divBdr>
    </w:div>
    <w:div w:id="893128344">
      <w:bodyDiv w:val="1"/>
      <w:marLeft w:val="0"/>
      <w:marRight w:val="0"/>
      <w:marTop w:val="0"/>
      <w:marBottom w:val="0"/>
      <w:divBdr>
        <w:top w:val="none" w:sz="0" w:space="0" w:color="auto"/>
        <w:left w:val="none" w:sz="0" w:space="0" w:color="auto"/>
        <w:bottom w:val="none" w:sz="0" w:space="0" w:color="auto"/>
        <w:right w:val="none" w:sz="0" w:space="0" w:color="auto"/>
      </w:divBdr>
    </w:div>
    <w:div w:id="1020157087">
      <w:bodyDiv w:val="1"/>
      <w:marLeft w:val="0"/>
      <w:marRight w:val="0"/>
      <w:marTop w:val="0"/>
      <w:marBottom w:val="0"/>
      <w:divBdr>
        <w:top w:val="none" w:sz="0" w:space="0" w:color="auto"/>
        <w:left w:val="none" w:sz="0" w:space="0" w:color="auto"/>
        <w:bottom w:val="none" w:sz="0" w:space="0" w:color="auto"/>
        <w:right w:val="none" w:sz="0" w:space="0" w:color="auto"/>
      </w:divBdr>
    </w:div>
    <w:div w:id="1167598777">
      <w:bodyDiv w:val="1"/>
      <w:marLeft w:val="0"/>
      <w:marRight w:val="0"/>
      <w:marTop w:val="0"/>
      <w:marBottom w:val="0"/>
      <w:divBdr>
        <w:top w:val="none" w:sz="0" w:space="0" w:color="auto"/>
        <w:left w:val="none" w:sz="0" w:space="0" w:color="auto"/>
        <w:bottom w:val="none" w:sz="0" w:space="0" w:color="auto"/>
        <w:right w:val="none" w:sz="0" w:space="0" w:color="auto"/>
      </w:divBdr>
    </w:div>
    <w:div w:id="1340544514">
      <w:bodyDiv w:val="1"/>
      <w:marLeft w:val="0"/>
      <w:marRight w:val="0"/>
      <w:marTop w:val="0"/>
      <w:marBottom w:val="0"/>
      <w:divBdr>
        <w:top w:val="none" w:sz="0" w:space="0" w:color="auto"/>
        <w:left w:val="none" w:sz="0" w:space="0" w:color="auto"/>
        <w:bottom w:val="none" w:sz="0" w:space="0" w:color="auto"/>
        <w:right w:val="none" w:sz="0" w:space="0" w:color="auto"/>
      </w:divBdr>
    </w:div>
    <w:div w:id="1368947838">
      <w:bodyDiv w:val="1"/>
      <w:marLeft w:val="0"/>
      <w:marRight w:val="0"/>
      <w:marTop w:val="0"/>
      <w:marBottom w:val="0"/>
      <w:divBdr>
        <w:top w:val="none" w:sz="0" w:space="0" w:color="auto"/>
        <w:left w:val="none" w:sz="0" w:space="0" w:color="auto"/>
        <w:bottom w:val="none" w:sz="0" w:space="0" w:color="auto"/>
        <w:right w:val="none" w:sz="0" w:space="0" w:color="auto"/>
      </w:divBdr>
    </w:div>
    <w:div w:id="1500845489">
      <w:bodyDiv w:val="1"/>
      <w:marLeft w:val="0"/>
      <w:marRight w:val="0"/>
      <w:marTop w:val="0"/>
      <w:marBottom w:val="0"/>
      <w:divBdr>
        <w:top w:val="none" w:sz="0" w:space="0" w:color="auto"/>
        <w:left w:val="none" w:sz="0" w:space="0" w:color="auto"/>
        <w:bottom w:val="none" w:sz="0" w:space="0" w:color="auto"/>
        <w:right w:val="none" w:sz="0" w:space="0" w:color="auto"/>
      </w:divBdr>
      <w:divsChild>
        <w:div w:id="735056358">
          <w:marLeft w:val="0"/>
          <w:marRight w:val="0"/>
          <w:marTop w:val="0"/>
          <w:marBottom w:val="0"/>
          <w:divBdr>
            <w:top w:val="none" w:sz="0" w:space="0" w:color="auto"/>
            <w:left w:val="none" w:sz="0" w:space="0" w:color="auto"/>
            <w:bottom w:val="none" w:sz="0" w:space="0" w:color="auto"/>
            <w:right w:val="none" w:sz="0" w:space="0" w:color="auto"/>
          </w:divBdr>
        </w:div>
        <w:div w:id="977303768">
          <w:marLeft w:val="0"/>
          <w:marRight w:val="0"/>
          <w:marTop w:val="0"/>
          <w:marBottom w:val="0"/>
          <w:divBdr>
            <w:top w:val="none" w:sz="0" w:space="0" w:color="auto"/>
            <w:left w:val="none" w:sz="0" w:space="0" w:color="auto"/>
            <w:bottom w:val="none" w:sz="0" w:space="0" w:color="auto"/>
            <w:right w:val="none" w:sz="0" w:space="0" w:color="auto"/>
          </w:divBdr>
        </w:div>
        <w:div w:id="833492293">
          <w:marLeft w:val="0"/>
          <w:marRight w:val="0"/>
          <w:marTop w:val="0"/>
          <w:marBottom w:val="0"/>
          <w:divBdr>
            <w:top w:val="none" w:sz="0" w:space="0" w:color="auto"/>
            <w:left w:val="none" w:sz="0" w:space="0" w:color="auto"/>
            <w:bottom w:val="none" w:sz="0" w:space="0" w:color="auto"/>
            <w:right w:val="none" w:sz="0" w:space="0" w:color="auto"/>
          </w:divBdr>
        </w:div>
        <w:div w:id="2032877358">
          <w:marLeft w:val="0"/>
          <w:marRight w:val="0"/>
          <w:marTop w:val="0"/>
          <w:marBottom w:val="0"/>
          <w:divBdr>
            <w:top w:val="none" w:sz="0" w:space="0" w:color="auto"/>
            <w:left w:val="none" w:sz="0" w:space="0" w:color="auto"/>
            <w:bottom w:val="none" w:sz="0" w:space="0" w:color="auto"/>
            <w:right w:val="none" w:sz="0" w:space="0" w:color="auto"/>
          </w:divBdr>
        </w:div>
      </w:divsChild>
    </w:div>
    <w:div w:id="1580944391">
      <w:bodyDiv w:val="1"/>
      <w:marLeft w:val="0"/>
      <w:marRight w:val="0"/>
      <w:marTop w:val="0"/>
      <w:marBottom w:val="0"/>
      <w:divBdr>
        <w:top w:val="none" w:sz="0" w:space="0" w:color="auto"/>
        <w:left w:val="none" w:sz="0" w:space="0" w:color="auto"/>
        <w:bottom w:val="none" w:sz="0" w:space="0" w:color="auto"/>
        <w:right w:val="none" w:sz="0" w:space="0" w:color="auto"/>
      </w:divBdr>
      <w:divsChild>
        <w:div w:id="818693220">
          <w:marLeft w:val="0"/>
          <w:marRight w:val="0"/>
          <w:marTop w:val="0"/>
          <w:marBottom w:val="0"/>
          <w:divBdr>
            <w:top w:val="none" w:sz="0" w:space="0" w:color="auto"/>
            <w:left w:val="none" w:sz="0" w:space="0" w:color="auto"/>
            <w:bottom w:val="none" w:sz="0" w:space="0" w:color="auto"/>
            <w:right w:val="none" w:sz="0" w:space="0" w:color="auto"/>
          </w:divBdr>
          <w:divsChild>
            <w:div w:id="267203822">
              <w:marLeft w:val="0"/>
              <w:marRight w:val="0"/>
              <w:marTop w:val="0"/>
              <w:marBottom w:val="0"/>
              <w:divBdr>
                <w:top w:val="none" w:sz="0" w:space="0" w:color="auto"/>
                <w:left w:val="none" w:sz="0" w:space="0" w:color="auto"/>
                <w:bottom w:val="none" w:sz="0" w:space="0" w:color="auto"/>
                <w:right w:val="none" w:sz="0" w:space="0" w:color="auto"/>
              </w:divBdr>
              <w:divsChild>
                <w:div w:id="183054817">
                  <w:marLeft w:val="0"/>
                  <w:marRight w:val="0"/>
                  <w:marTop w:val="0"/>
                  <w:marBottom w:val="0"/>
                  <w:divBdr>
                    <w:top w:val="none" w:sz="0" w:space="0" w:color="auto"/>
                    <w:left w:val="none" w:sz="0" w:space="0" w:color="auto"/>
                    <w:bottom w:val="none" w:sz="0" w:space="0" w:color="auto"/>
                    <w:right w:val="none" w:sz="0" w:space="0" w:color="auto"/>
                  </w:divBdr>
                  <w:divsChild>
                    <w:div w:id="119149620">
                      <w:marLeft w:val="0"/>
                      <w:marRight w:val="0"/>
                      <w:marTop w:val="0"/>
                      <w:marBottom w:val="0"/>
                      <w:divBdr>
                        <w:top w:val="none" w:sz="0" w:space="0" w:color="auto"/>
                        <w:left w:val="none" w:sz="0" w:space="0" w:color="auto"/>
                        <w:bottom w:val="none" w:sz="0" w:space="0" w:color="auto"/>
                        <w:right w:val="none" w:sz="0" w:space="0" w:color="auto"/>
                      </w:divBdr>
                      <w:divsChild>
                        <w:div w:id="395857675">
                          <w:marLeft w:val="0"/>
                          <w:marRight w:val="0"/>
                          <w:marTop w:val="0"/>
                          <w:marBottom w:val="0"/>
                          <w:divBdr>
                            <w:top w:val="none" w:sz="0" w:space="0" w:color="auto"/>
                            <w:left w:val="none" w:sz="0" w:space="0" w:color="auto"/>
                            <w:bottom w:val="none" w:sz="0" w:space="0" w:color="auto"/>
                            <w:right w:val="none" w:sz="0" w:space="0" w:color="auto"/>
                          </w:divBdr>
                          <w:divsChild>
                            <w:div w:id="1530070887">
                              <w:marLeft w:val="0"/>
                              <w:marRight w:val="0"/>
                              <w:marTop w:val="0"/>
                              <w:marBottom w:val="0"/>
                              <w:divBdr>
                                <w:top w:val="none" w:sz="0" w:space="0" w:color="auto"/>
                                <w:left w:val="none" w:sz="0" w:space="0" w:color="auto"/>
                                <w:bottom w:val="none" w:sz="0" w:space="0" w:color="auto"/>
                                <w:right w:val="none" w:sz="0" w:space="0" w:color="auto"/>
                              </w:divBdr>
                              <w:divsChild>
                                <w:div w:id="1033270176">
                                  <w:marLeft w:val="0"/>
                                  <w:marRight w:val="0"/>
                                  <w:marTop w:val="0"/>
                                  <w:marBottom w:val="0"/>
                                  <w:divBdr>
                                    <w:top w:val="none" w:sz="0" w:space="0" w:color="auto"/>
                                    <w:left w:val="none" w:sz="0" w:space="0" w:color="auto"/>
                                    <w:bottom w:val="none" w:sz="0" w:space="0" w:color="auto"/>
                                    <w:right w:val="none" w:sz="0" w:space="0" w:color="auto"/>
                                  </w:divBdr>
                                  <w:divsChild>
                                    <w:div w:id="16781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661507">
      <w:bodyDiv w:val="1"/>
      <w:marLeft w:val="0"/>
      <w:marRight w:val="0"/>
      <w:marTop w:val="0"/>
      <w:marBottom w:val="0"/>
      <w:divBdr>
        <w:top w:val="none" w:sz="0" w:space="0" w:color="auto"/>
        <w:left w:val="none" w:sz="0" w:space="0" w:color="auto"/>
        <w:bottom w:val="none" w:sz="0" w:space="0" w:color="auto"/>
        <w:right w:val="none" w:sz="0" w:space="0" w:color="auto"/>
      </w:divBdr>
    </w:div>
    <w:div w:id="1642809561">
      <w:bodyDiv w:val="1"/>
      <w:marLeft w:val="0"/>
      <w:marRight w:val="0"/>
      <w:marTop w:val="0"/>
      <w:marBottom w:val="0"/>
      <w:divBdr>
        <w:top w:val="none" w:sz="0" w:space="0" w:color="auto"/>
        <w:left w:val="none" w:sz="0" w:space="0" w:color="auto"/>
        <w:bottom w:val="none" w:sz="0" w:space="0" w:color="auto"/>
        <w:right w:val="none" w:sz="0" w:space="0" w:color="auto"/>
      </w:divBdr>
      <w:divsChild>
        <w:div w:id="1463429002">
          <w:marLeft w:val="0"/>
          <w:marRight w:val="0"/>
          <w:marTop w:val="15"/>
          <w:marBottom w:val="0"/>
          <w:divBdr>
            <w:top w:val="single" w:sz="48" w:space="0" w:color="auto"/>
            <w:left w:val="single" w:sz="48" w:space="0" w:color="auto"/>
            <w:bottom w:val="single" w:sz="48" w:space="0" w:color="auto"/>
            <w:right w:val="single" w:sz="48" w:space="0" w:color="auto"/>
          </w:divBdr>
          <w:divsChild>
            <w:div w:id="1319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89519">
      <w:bodyDiv w:val="1"/>
      <w:marLeft w:val="0"/>
      <w:marRight w:val="0"/>
      <w:marTop w:val="0"/>
      <w:marBottom w:val="0"/>
      <w:divBdr>
        <w:top w:val="none" w:sz="0" w:space="0" w:color="auto"/>
        <w:left w:val="none" w:sz="0" w:space="0" w:color="auto"/>
        <w:bottom w:val="none" w:sz="0" w:space="0" w:color="auto"/>
        <w:right w:val="none" w:sz="0" w:space="0" w:color="auto"/>
      </w:divBdr>
    </w:div>
    <w:div w:id="2029521137">
      <w:bodyDiv w:val="1"/>
      <w:marLeft w:val="0"/>
      <w:marRight w:val="0"/>
      <w:marTop w:val="0"/>
      <w:marBottom w:val="0"/>
      <w:divBdr>
        <w:top w:val="none" w:sz="0" w:space="0" w:color="auto"/>
        <w:left w:val="none" w:sz="0" w:space="0" w:color="auto"/>
        <w:bottom w:val="none" w:sz="0" w:space="0" w:color="auto"/>
        <w:right w:val="none" w:sz="0" w:space="0" w:color="auto"/>
      </w:divBdr>
      <w:divsChild>
        <w:div w:id="1870214783">
          <w:marLeft w:val="0"/>
          <w:marRight w:val="0"/>
          <w:marTop w:val="450"/>
          <w:marBottom w:val="0"/>
          <w:divBdr>
            <w:top w:val="none" w:sz="0" w:space="0" w:color="auto"/>
            <w:left w:val="none" w:sz="0" w:space="0" w:color="auto"/>
            <w:bottom w:val="none" w:sz="0" w:space="0" w:color="auto"/>
            <w:right w:val="none" w:sz="0" w:space="0" w:color="auto"/>
          </w:divBdr>
        </w:div>
        <w:div w:id="1057585540">
          <w:marLeft w:val="0"/>
          <w:marRight w:val="0"/>
          <w:marTop w:val="450"/>
          <w:marBottom w:val="0"/>
          <w:divBdr>
            <w:top w:val="none" w:sz="0" w:space="0" w:color="auto"/>
            <w:left w:val="none" w:sz="0" w:space="0" w:color="auto"/>
            <w:bottom w:val="none" w:sz="0" w:space="0" w:color="auto"/>
            <w:right w:val="none" w:sz="0" w:space="0" w:color="auto"/>
          </w:divBdr>
        </w:div>
      </w:divsChild>
    </w:div>
    <w:div w:id="2092265379">
      <w:bodyDiv w:val="1"/>
      <w:marLeft w:val="0"/>
      <w:marRight w:val="0"/>
      <w:marTop w:val="0"/>
      <w:marBottom w:val="0"/>
      <w:divBdr>
        <w:top w:val="none" w:sz="0" w:space="0" w:color="auto"/>
        <w:left w:val="none" w:sz="0" w:space="0" w:color="auto"/>
        <w:bottom w:val="none" w:sz="0" w:space="0" w:color="auto"/>
        <w:right w:val="none" w:sz="0" w:space="0" w:color="auto"/>
      </w:divBdr>
    </w:div>
    <w:div w:id="21364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8805/ijare.a-6239"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fao.org/fileadmin/templates/wsfs/docs/Issues_papers/HLEF2050_Global_Agricultur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ps.fao.org" TargetMode="External"/><Relationship Id="rId5" Type="http://schemas.openxmlformats.org/officeDocument/2006/relationships/footnotes" Target="footnotes.xml"/><Relationship Id="rId15" Type="http://schemas.openxmlformats.org/officeDocument/2006/relationships/hyperlink" Target="https://krishikosh.egranth.ac.in/handle/1/5810198905"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researchgate.net/publication/371450294_NUTRIENT_UPTAKE_AND_YIELD_OF_LINSEED_UNDER_DIFFERENT_DOSES_AND_APPLICATION_METHODS_OF_NITROGENOUS_FERTILIZE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7116</Words>
  <Characters>40563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1180</cp:lastModifiedBy>
  <cp:revision>19</cp:revision>
  <dcterms:created xsi:type="dcterms:W3CDTF">2025-07-18T08:42:00Z</dcterms:created>
  <dcterms:modified xsi:type="dcterms:W3CDTF">2025-07-19T08:20:00Z</dcterms:modified>
</cp:coreProperties>
</file>