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ED2D" w14:textId="1A6B59DE" w:rsidR="00CB0F4D" w:rsidRPr="00F00AB1" w:rsidRDefault="00F00AB1" w:rsidP="00CB0F4D">
      <w:pPr>
        <w:pStyle w:val="Author"/>
        <w:spacing w:line="240" w:lineRule="auto"/>
        <w:jc w:val="left"/>
        <w:rPr>
          <w:rFonts w:ascii="Arial" w:hAnsi="Arial" w:cs="Arial"/>
          <w:b w:val="0"/>
          <w:iCs/>
          <w:kern w:val="28"/>
          <w:szCs w:val="24"/>
          <w:u w:val="single"/>
        </w:rPr>
      </w:pPr>
      <w:r w:rsidRPr="00F00AB1">
        <w:rPr>
          <w:rFonts w:ascii="Arial" w:hAnsi="Arial" w:cs="Arial"/>
          <w:b w:val="0"/>
          <w:iCs/>
          <w:kern w:val="28"/>
          <w:szCs w:val="24"/>
          <w:u w:val="single"/>
        </w:rPr>
        <w:t>Original Research Article</w:t>
      </w:r>
    </w:p>
    <w:p w14:paraId="37936118" w14:textId="77777777" w:rsidR="00075A27" w:rsidRDefault="00075A27" w:rsidP="00CB0F4D">
      <w:pPr>
        <w:pStyle w:val="Author"/>
        <w:spacing w:line="240" w:lineRule="auto"/>
        <w:rPr>
          <w:rFonts w:ascii="Arial" w:hAnsi="Arial" w:cs="Arial"/>
          <w:bCs/>
          <w:iCs/>
          <w:kern w:val="28"/>
          <w:szCs w:val="24"/>
        </w:rPr>
      </w:pPr>
    </w:p>
    <w:p w14:paraId="7AD36109" w14:textId="2D7D3628" w:rsidR="00163BC4" w:rsidRPr="00754073" w:rsidRDefault="00EF6F9D" w:rsidP="00CB0F4D">
      <w:pPr>
        <w:pStyle w:val="Author"/>
        <w:spacing w:line="240" w:lineRule="auto"/>
        <w:rPr>
          <w:rFonts w:ascii="Arial" w:hAnsi="Arial" w:cs="Arial"/>
          <w:bCs/>
          <w:szCs w:val="24"/>
        </w:rPr>
      </w:pPr>
      <w:r w:rsidRPr="00754073">
        <w:rPr>
          <w:rFonts w:ascii="Arial" w:hAnsi="Arial" w:cs="Arial"/>
          <w:bCs/>
          <w:iCs/>
          <w:kern w:val="28"/>
          <w:szCs w:val="24"/>
        </w:rPr>
        <w:t>Genetic Variability studies for yield and yield contributing traits in Sesame (</w:t>
      </w:r>
      <w:r w:rsidRPr="00754073">
        <w:rPr>
          <w:rFonts w:ascii="Arial" w:hAnsi="Arial" w:cs="Arial"/>
          <w:bCs/>
          <w:i/>
          <w:kern w:val="28"/>
          <w:szCs w:val="24"/>
        </w:rPr>
        <w:t>sesamum indicum</w:t>
      </w:r>
      <w:r w:rsidRPr="00754073">
        <w:rPr>
          <w:rFonts w:ascii="Arial" w:hAnsi="Arial" w:cs="Arial"/>
          <w:bCs/>
          <w:iCs/>
          <w:kern w:val="28"/>
          <w:szCs w:val="24"/>
        </w:rPr>
        <w:t xml:space="preserve"> L.)</w:t>
      </w:r>
      <w:r w:rsidRPr="00754073">
        <w:rPr>
          <w:rFonts w:ascii="Arial" w:hAnsi="Arial" w:cs="Arial"/>
          <w:bCs/>
          <w:szCs w:val="24"/>
        </w:rPr>
        <w:t xml:space="preserve"> </w:t>
      </w:r>
      <w:r w:rsidR="00231920" w:rsidRPr="00754073">
        <w:rPr>
          <w:rFonts w:ascii="Arial" w:hAnsi="Arial" w:cs="Arial"/>
          <w:bCs/>
          <w:szCs w:val="24"/>
        </w:rPr>
        <w:t xml:space="preserve"> </w:t>
      </w:r>
    </w:p>
    <w:p w14:paraId="1CF43A43" w14:textId="77777777" w:rsidR="00075A27" w:rsidRDefault="00075A27" w:rsidP="00CB0F4D">
      <w:pPr>
        <w:pStyle w:val="Author"/>
        <w:spacing w:line="240" w:lineRule="auto"/>
        <w:rPr>
          <w:rFonts w:ascii="Arial" w:hAnsi="Arial" w:cs="Arial"/>
        </w:rPr>
      </w:pPr>
    </w:p>
    <w:p w14:paraId="6BA1AAFF" w14:textId="77777777" w:rsidR="00075A27" w:rsidRDefault="00075A27" w:rsidP="00CB0F4D">
      <w:pPr>
        <w:pStyle w:val="Author"/>
        <w:spacing w:line="240" w:lineRule="auto"/>
        <w:rPr>
          <w:rFonts w:ascii="Arial" w:hAnsi="Arial" w:cs="Arial"/>
        </w:rPr>
      </w:pPr>
    </w:p>
    <w:p w14:paraId="46AB055F" w14:textId="4DDBD53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F9F7F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7B25BE" w14:textId="77777777" w:rsidTr="005944A3">
        <w:tc>
          <w:tcPr>
            <w:tcW w:w="8424" w:type="dxa"/>
            <w:shd w:val="clear" w:color="auto" w:fill="F2F2F2"/>
          </w:tcPr>
          <w:p w14:paraId="1E7C955F" w14:textId="75187AF9" w:rsidR="00505F06" w:rsidRPr="005944A3" w:rsidRDefault="00607E6D" w:rsidP="005944A3">
            <w:pPr>
              <w:pStyle w:val="Body"/>
              <w:spacing w:after="0"/>
              <w:rPr>
                <w:rFonts w:ascii="Arial" w:eastAsia="Calibri" w:hAnsi="Arial" w:cs="Arial"/>
                <w:szCs w:val="22"/>
              </w:rPr>
            </w:pPr>
            <w:r w:rsidRPr="00607E6D">
              <w:rPr>
                <w:rFonts w:ascii="Arial" w:eastAsia="Calibri" w:hAnsi="Arial" w:cs="Arial"/>
                <w:szCs w:val="22"/>
              </w:rPr>
              <w:t>Sesame is one of the oldest cultivated oilseed crops and is commonly referred to as the "Queen of Oilseeds" due to the superior quality of its oil, which exhibits strong resistance to oxidative rancidity. The present investigation was undertaken to assess genetic variability, heritability, and genetic advance for yield and its contributing traits in sesame. A total of 30 genotypes (28 entries and 2 checks) were evaluated at the Oilseeds Research Station, College of Agriculture, Latur, during Rabi 2024–2025 using a randomized block design with two replications. The trial was sown on November 28, 2024, at a spacing of 30 × 10 cm. The genotypic coefficient of variation (GCV) and phenotypic coefficient of variation (PCV) ranged from low to high. The lowest GCV and PCV were observed for traits such as oil content, days to maturity, plant height, and number of seeds per capsule; moderate values were recorded for traits like number of capsules per plant, 1000-seed weight, and days to 50% flowering. In contrast, the highest GCV and PCV values were noted for seed yield per plant, number of branches per plant, and capsule leng</w:t>
            </w:r>
            <w:bookmarkStart w:id="0" w:name="_GoBack"/>
            <w:bookmarkEnd w:id="0"/>
            <w:r w:rsidRPr="00607E6D">
              <w:rPr>
                <w:rFonts w:ascii="Arial" w:eastAsia="Calibri" w:hAnsi="Arial" w:cs="Arial"/>
                <w:szCs w:val="22"/>
              </w:rPr>
              <w:t>th. All traits exhibited high heritability, with the highest values for days to 50% flowering, oil content, capsule length, number of branches per plant, and seed yield per plant. These findings suggest the predominance of additive genetic effects for these traits. Therefore, these characteristics are promising targets for direct selection in breeding programs. In conclusion, the genotypes studied exhibited considerable genetic variability for yield and related traits, offering significant potential for improvement in future breeding efforts.</w:t>
            </w:r>
          </w:p>
        </w:tc>
      </w:tr>
    </w:tbl>
    <w:p w14:paraId="2055E9B3" w14:textId="77777777" w:rsidR="00537D6A" w:rsidRDefault="00537D6A" w:rsidP="00537D6A">
      <w:pPr>
        <w:outlineLvl w:val="1"/>
        <w:rPr>
          <w:rFonts w:ascii="Arial" w:hAnsi="Arial" w:cs="Arial"/>
          <w:i/>
        </w:rPr>
      </w:pPr>
    </w:p>
    <w:p w14:paraId="1EF733AB" w14:textId="1D2C111A" w:rsidR="005944A3" w:rsidRPr="005944A3" w:rsidRDefault="00A24E7E" w:rsidP="00645B04">
      <w:pPr>
        <w:jc w:val="both"/>
        <w:outlineLvl w:val="1"/>
        <w:rPr>
          <w:rFonts w:ascii="Arial" w:hAnsi="Arial" w:cs="Arial"/>
        </w:rPr>
      </w:pPr>
      <w:r>
        <w:rPr>
          <w:rFonts w:ascii="Arial" w:hAnsi="Arial" w:cs="Arial"/>
          <w:i/>
        </w:rPr>
        <w:t>Keywords:</w:t>
      </w:r>
      <w:r w:rsidR="009573B8">
        <w:rPr>
          <w:rFonts w:ascii="Arial" w:hAnsi="Arial" w:cs="Arial"/>
          <w:i/>
        </w:rPr>
        <w:t xml:space="preserve"> </w:t>
      </w:r>
      <w:r w:rsidR="005944A3" w:rsidRPr="005944A3">
        <w:rPr>
          <w:rFonts w:ascii="Arial" w:hAnsi="Arial" w:cs="Arial"/>
        </w:rPr>
        <w:t>Genetic variability, Heritability,</w:t>
      </w:r>
      <w:r w:rsidR="00645B04">
        <w:rPr>
          <w:rFonts w:ascii="Arial" w:hAnsi="Arial" w:cs="Arial"/>
        </w:rPr>
        <w:t xml:space="preserve"> </w:t>
      </w:r>
      <w:r w:rsidR="005944A3" w:rsidRPr="005944A3">
        <w:rPr>
          <w:rFonts w:ascii="Arial" w:hAnsi="Arial" w:cs="Arial"/>
        </w:rPr>
        <w:t>Randomized block design,</w:t>
      </w:r>
      <w:r w:rsidR="009573B8">
        <w:rPr>
          <w:rFonts w:ascii="Arial" w:hAnsi="Arial" w:cs="Arial"/>
        </w:rPr>
        <w:t xml:space="preserve"> </w:t>
      </w:r>
      <w:r w:rsidR="00645B04" w:rsidRPr="005944A3">
        <w:rPr>
          <w:rFonts w:ascii="Arial" w:hAnsi="Arial" w:cs="Arial"/>
        </w:rPr>
        <w:t>Geneti</w:t>
      </w:r>
      <w:r w:rsidR="00645B04">
        <w:rPr>
          <w:rFonts w:ascii="Arial" w:hAnsi="Arial" w:cs="Arial"/>
        </w:rPr>
        <w:t>c advance</w:t>
      </w:r>
      <w:r w:rsidR="005944A3" w:rsidRPr="005944A3">
        <w:rPr>
          <w:rFonts w:ascii="Arial" w:hAnsi="Arial" w:cs="Arial"/>
        </w:rPr>
        <w:t xml:space="preserve">. </w:t>
      </w:r>
    </w:p>
    <w:p w14:paraId="6F0DB807" w14:textId="77777777" w:rsidR="00223F02" w:rsidRDefault="00223F02" w:rsidP="00441B6F">
      <w:pPr>
        <w:pStyle w:val="AbstHead"/>
        <w:spacing w:after="0"/>
        <w:jc w:val="both"/>
        <w:rPr>
          <w:rFonts w:ascii="Arial" w:hAnsi="Arial" w:cs="Arial"/>
        </w:rPr>
      </w:pPr>
    </w:p>
    <w:p w14:paraId="160B681B" w14:textId="3EA0BA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4301F3" w14:textId="77777777" w:rsidR="004926AA" w:rsidRDefault="004926AA" w:rsidP="004926AA">
      <w:pPr>
        <w:pStyle w:val="BodyText"/>
        <w:ind w:right="17"/>
        <w:contextualSpacing/>
        <w:jc w:val="both"/>
        <w:rPr>
          <w:rFonts w:ascii="Arial" w:hAnsi="Arial" w:cs="Arial"/>
          <w:spacing w:val="-2"/>
          <w:lang w:val="en-IN"/>
        </w:rPr>
      </w:pPr>
      <w:r>
        <w:rPr>
          <w:rFonts w:ascii="Arial" w:hAnsi="Arial" w:cs="Arial"/>
        </w:rPr>
        <w:t xml:space="preserve">                           </w:t>
      </w:r>
      <w:r w:rsidRPr="004926AA">
        <w:rPr>
          <w:rFonts w:ascii="Arial" w:hAnsi="Arial" w:cs="Arial"/>
        </w:rPr>
        <w:t>Sesame</w:t>
      </w:r>
      <w:r w:rsidRPr="004926AA">
        <w:rPr>
          <w:rFonts w:ascii="Arial" w:hAnsi="Arial" w:cs="Arial"/>
          <w:spacing w:val="-2"/>
          <w:lang w:val="en-IN"/>
        </w:rPr>
        <w:t xml:space="preserve"> (</w:t>
      </w:r>
      <w:r w:rsidRPr="004926AA">
        <w:rPr>
          <w:rFonts w:ascii="Arial" w:hAnsi="Arial" w:cs="Arial"/>
          <w:i/>
          <w:iCs/>
          <w:spacing w:val="-2"/>
          <w:lang w:val="en-IN"/>
        </w:rPr>
        <w:t>Sesamum indicum</w:t>
      </w:r>
      <w:r w:rsidRPr="004926AA">
        <w:rPr>
          <w:rFonts w:ascii="Arial" w:hAnsi="Arial" w:cs="Arial"/>
          <w:spacing w:val="-2"/>
          <w:lang w:val="en-IN"/>
        </w:rPr>
        <w:t xml:space="preserve"> L.) is among the oldest oilseed crop, having been domesticated around 3000 years ago. Most wild species within the </w:t>
      </w:r>
      <w:r w:rsidRPr="004926AA">
        <w:rPr>
          <w:rFonts w:ascii="Arial" w:hAnsi="Arial" w:cs="Arial"/>
          <w:i/>
          <w:iCs/>
          <w:spacing w:val="-2"/>
          <w:lang w:val="en-IN"/>
        </w:rPr>
        <w:t>Sesamum</w:t>
      </w:r>
      <w:r w:rsidRPr="004926AA">
        <w:rPr>
          <w:rFonts w:ascii="Arial" w:hAnsi="Arial" w:cs="Arial"/>
          <w:spacing w:val="-2"/>
          <w:lang w:val="en-IN"/>
        </w:rPr>
        <w:t xml:space="preserve"> genus are indigenous to Sub-Saharan Africa. The cultivated variety, </w:t>
      </w:r>
      <w:r w:rsidRPr="004926AA">
        <w:rPr>
          <w:rFonts w:ascii="Arial" w:hAnsi="Arial" w:cs="Arial"/>
          <w:i/>
          <w:iCs/>
          <w:spacing w:val="-2"/>
          <w:lang w:val="en-IN"/>
        </w:rPr>
        <w:t>S. indicum</w:t>
      </w:r>
      <w:r w:rsidRPr="004926AA">
        <w:rPr>
          <w:rFonts w:ascii="Arial" w:hAnsi="Arial" w:cs="Arial"/>
          <w:spacing w:val="-2"/>
          <w:lang w:val="en-IN"/>
        </w:rPr>
        <w:t xml:space="preserve">, is believed to have originated in India. Sesame is cultivated in three distinct seasons: </w:t>
      </w:r>
      <w:r w:rsidRPr="004926AA">
        <w:rPr>
          <w:rFonts w:ascii="Arial" w:hAnsi="Arial" w:cs="Arial"/>
          <w:i/>
          <w:iCs/>
          <w:spacing w:val="-2"/>
          <w:lang w:val="en-IN"/>
        </w:rPr>
        <w:t>kharif</w:t>
      </w:r>
      <w:r w:rsidRPr="004926AA">
        <w:rPr>
          <w:rFonts w:ascii="Arial" w:hAnsi="Arial" w:cs="Arial"/>
          <w:spacing w:val="-2"/>
          <w:lang w:val="en-IN"/>
        </w:rPr>
        <w:t xml:space="preserve">, </w:t>
      </w:r>
      <w:r w:rsidRPr="004926AA">
        <w:rPr>
          <w:rFonts w:ascii="Arial" w:hAnsi="Arial" w:cs="Arial"/>
          <w:i/>
          <w:iCs/>
          <w:spacing w:val="-2"/>
          <w:lang w:val="en-IN"/>
        </w:rPr>
        <w:t>rabi</w:t>
      </w:r>
      <w:r w:rsidRPr="004926AA">
        <w:rPr>
          <w:rFonts w:ascii="Arial" w:hAnsi="Arial" w:cs="Arial"/>
          <w:spacing w:val="-2"/>
          <w:lang w:val="en-IN"/>
        </w:rPr>
        <w:t xml:space="preserve"> and </w:t>
      </w:r>
      <w:r w:rsidRPr="004926AA">
        <w:rPr>
          <w:rFonts w:ascii="Arial" w:hAnsi="Arial" w:cs="Arial"/>
          <w:i/>
          <w:iCs/>
          <w:spacing w:val="-2"/>
          <w:lang w:val="en-IN"/>
        </w:rPr>
        <w:t>summer</w:t>
      </w:r>
      <w:r w:rsidRPr="004926AA">
        <w:rPr>
          <w:rFonts w:ascii="Arial" w:hAnsi="Arial" w:cs="Arial"/>
          <w:spacing w:val="-2"/>
          <w:lang w:val="en-IN"/>
        </w:rPr>
        <w:t xml:space="preserve">. During the </w:t>
      </w:r>
      <w:r w:rsidRPr="004926AA">
        <w:rPr>
          <w:rFonts w:ascii="Arial" w:hAnsi="Arial" w:cs="Arial"/>
          <w:i/>
          <w:iCs/>
          <w:spacing w:val="-2"/>
          <w:lang w:val="en-IN"/>
        </w:rPr>
        <w:t>kharif</w:t>
      </w:r>
      <w:r w:rsidRPr="004926AA">
        <w:rPr>
          <w:rFonts w:ascii="Arial" w:hAnsi="Arial" w:cs="Arial"/>
          <w:spacing w:val="-2"/>
          <w:lang w:val="en-IN"/>
        </w:rPr>
        <w:t xml:space="preserve"> season (June–July), it is typically grown as a rainfed crop using residual soil moisture. In the </w:t>
      </w:r>
      <w:r w:rsidRPr="004926AA">
        <w:rPr>
          <w:rFonts w:ascii="Arial" w:hAnsi="Arial" w:cs="Arial"/>
          <w:i/>
          <w:iCs/>
          <w:spacing w:val="-2"/>
          <w:lang w:val="en-IN"/>
        </w:rPr>
        <w:t>rabi</w:t>
      </w:r>
      <w:r w:rsidRPr="004926AA">
        <w:rPr>
          <w:rFonts w:ascii="Arial" w:hAnsi="Arial" w:cs="Arial"/>
          <w:spacing w:val="-2"/>
          <w:lang w:val="en-IN"/>
        </w:rPr>
        <w:t xml:space="preserve"> season (October–November), it is cultivated under partial irrigation, while in</w:t>
      </w:r>
      <w:r w:rsidRPr="004926AA">
        <w:rPr>
          <w:rFonts w:ascii="Arial" w:hAnsi="Arial" w:cs="Arial"/>
          <w:i/>
          <w:iCs/>
          <w:spacing w:val="-2"/>
          <w:lang w:val="en-IN"/>
        </w:rPr>
        <w:t xml:space="preserve"> summer</w:t>
      </w:r>
      <w:r w:rsidRPr="004926AA">
        <w:rPr>
          <w:rFonts w:ascii="Arial" w:hAnsi="Arial" w:cs="Arial"/>
          <w:spacing w:val="-2"/>
          <w:lang w:val="en-IN"/>
        </w:rPr>
        <w:t xml:space="preserve"> (March–April), it is grown with full irrigation. Globally, India ranks third in sesame production after Myanmar and China and second in terms of cultivation area, following Sudan (AICRP,2019-20). The crop’s primary </w:t>
      </w:r>
      <w:proofErr w:type="spellStart"/>
      <w:r w:rsidRPr="004926AA">
        <w:rPr>
          <w:rFonts w:ascii="Arial" w:hAnsi="Arial" w:cs="Arial"/>
          <w:spacing w:val="-2"/>
          <w:lang w:val="en-IN"/>
        </w:rPr>
        <w:t>center</w:t>
      </w:r>
      <w:proofErr w:type="spellEnd"/>
      <w:r w:rsidRPr="004926AA">
        <w:rPr>
          <w:rFonts w:ascii="Arial" w:hAnsi="Arial" w:cs="Arial"/>
          <w:spacing w:val="-2"/>
          <w:lang w:val="en-IN"/>
        </w:rPr>
        <w:t xml:space="preserve"> of origin is thought to be in Asia or East Africa, with secondary </w:t>
      </w:r>
      <w:proofErr w:type="spellStart"/>
      <w:r w:rsidRPr="004926AA">
        <w:rPr>
          <w:rFonts w:ascii="Arial" w:hAnsi="Arial" w:cs="Arial"/>
          <w:spacing w:val="-2"/>
          <w:lang w:val="en-IN"/>
        </w:rPr>
        <w:t>centers</w:t>
      </w:r>
      <w:proofErr w:type="spellEnd"/>
      <w:r w:rsidRPr="004926AA">
        <w:rPr>
          <w:rFonts w:ascii="Arial" w:hAnsi="Arial" w:cs="Arial"/>
          <w:spacing w:val="-2"/>
          <w:lang w:val="en-IN"/>
        </w:rPr>
        <w:t xml:space="preserve"> of diversity likely located in Afghanistan and Ethiopia (Vavilov, 1951).</w:t>
      </w:r>
    </w:p>
    <w:p w14:paraId="49579FAB" w14:textId="126B57E4" w:rsidR="004926AA" w:rsidRDefault="004926AA" w:rsidP="004926AA">
      <w:pPr>
        <w:pStyle w:val="BodyText"/>
        <w:ind w:right="17"/>
        <w:contextualSpacing/>
        <w:jc w:val="both"/>
        <w:rPr>
          <w:rFonts w:ascii="Arial" w:hAnsi="Arial" w:cs="Arial"/>
        </w:rPr>
      </w:pPr>
      <w:r>
        <w:rPr>
          <w:rFonts w:ascii="Arial" w:hAnsi="Arial" w:cs="Arial"/>
          <w:spacing w:val="-2"/>
          <w:lang w:val="en-IN"/>
        </w:rPr>
        <w:t xml:space="preserve">  </w:t>
      </w:r>
      <w:r w:rsidR="005811E2">
        <w:rPr>
          <w:rFonts w:ascii="Arial" w:hAnsi="Arial" w:cs="Arial"/>
          <w:spacing w:val="-2"/>
          <w:lang w:val="en-IN"/>
        </w:rPr>
        <w:tab/>
      </w:r>
      <w:r w:rsidRPr="004926AA">
        <w:rPr>
          <w:rFonts w:ascii="Arial" w:hAnsi="Arial" w:cs="Arial"/>
        </w:rPr>
        <w:t>Sesame is commonly designated as the “Queen of Oilseed Crops” owing to the superior quality of its oil, which exhibits strong resistance to oxidative rancidity. The seeds possess a high oil content, ranging from 44% to 63% and a protein content of approximately 18% to 20%. Sesame oil is particularly abundant in unsaturated fatty acids, notably linoleic and oleic acids. Additionally, the protein fraction of sesame seeds is rich in essential amino acids, including tryptophan and sulfur - containing amino acids such as methionine.</w:t>
      </w:r>
    </w:p>
    <w:p w14:paraId="188A5237" w14:textId="5D80C8FA" w:rsidR="00C25F45" w:rsidRDefault="004926AA" w:rsidP="00C25F45">
      <w:pPr>
        <w:pStyle w:val="BodyText"/>
        <w:ind w:right="17"/>
        <w:contextualSpacing/>
        <w:jc w:val="both"/>
        <w:rPr>
          <w:rFonts w:ascii="Arial" w:hAnsi="Arial" w:cs="Arial"/>
          <w:lang w:val="en-IN"/>
        </w:rPr>
      </w:pPr>
      <w:r>
        <w:rPr>
          <w:rFonts w:ascii="Arial" w:hAnsi="Arial" w:cs="Arial"/>
        </w:rPr>
        <w:t xml:space="preserve">  </w:t>
      </w:r>
      <w:r>
        <w:rPr>
          <w:rFonts w:ascii="Arial" w:hAnsi="Arial" w:cs="Arial"/>
        </w:rPr>
        <w:tab/>
      </w:r>
      <w:r w:rsidRPr="004926AA">
        <w:rPr>
          <w:rFonts w:ascii="Arial" w:hAnsi="Arial" w:cs="Arial"/>
          <w:lang w:val="en-IN"/>
        </w:rPr>
        <w:t xml:space="preserve">Sesame, also known by various regional names such as Benne, Gingelly, Til, Tila, Simsim and Gergelim, is a self-pollinated crop belonging to the family </w:t>
      </w:r>
      <w:r w:rsidRPr="004926AA">
        <w:rPr>
          <w:rFonts w:ascii="Arial" w:hAnsi="Arial" w:cs="Arial"/>
          <w:i/>
          <w:iCs/>
          <w:lang w:val="en-IN"/>
        </w:rPr>
        <w:t>Pedaliaceae</w:t>
      </w:r>
      <w:r w:rsidRPr="004926AA">
        <w:rPr>
          <w:rFonts w:ascii="Arial" w:hAnsi="Arial" w:cs="Arial"/>
          <w:lang w:val="en-IN"/>
        </w:rPr>
        <w:t xml:space="preserve">, with a chromosome number of 2n = 26. It is primarily cultivated in warm regions across the tropics and subtropics. Sesame is typically grown on plains up to an elevation of 1200 meters, in areas receiving approximately 500 mm of annual rainfall. Optimal conditions for rapid </w:t>
      </w:r>
      <w:r w:rsidRPr="004926AA">
        <w:rPr>
          <w:rFonts w:ascii="Arial" w:hAnsi="Arial" w:cs="Arial"/>
          <w:lang w:val="en-IN"/>
        </w:rPr>
        <w:lastRenderedPageBreak/>
        <w:t>germination, early growth and flower development include temperatures ranging between 25°C and 27°C. In India, the total area under sesame cultivation is 15.23 lakh hectares, with a production volume of 8.02 lakh tonnes and an average productivity of 1,855 kg per hectare. In contrast, the state of Maharashtra accounts for 0.11 lakh hectares of sesame cultivation, producing 0.03 lakh tonnes, with an average productivity of 783 kg per hectare (Indiastat, 2022–23).</w:t>
      </w:r>
    </w:p>
    <w:p w14:paraId="567D4A86" w14:textId="68C60D7B"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Improving </w:t>
      </w:r>
      <w:r>
        <w:rPr>
          <w:rFonts w:ascii="Arial" w:hAnsi="Arial" w:cs="Arial"/>
          <w:lang w:val="en-IN"/>
        </w:rPr>
        <w:t>sesame</w:t>
      </w:r>
      <w:r w:rsidRPr="00755FBA">
        <w:rPr>
          <w:rFonts w:ascii="Arial" w:hAnsi="Arial" w:cs="Arial"/>
          <w:lang w:val="en-IN"/>
        </w:rPr>
        <w:t xml:space="preserve"> yield is a complex challenge due to the inheritance patterns of key traits, which are governed by both additive and non-additive gene</w:t>
      </w:r>
      <w:r>
        <w:rPr>
          <w:rFonts w:ascii="Arial" w:hAnsi="Arial" w:cs="Arial"/>
          <w:lang w:val="en-IN"/>
        </w:rPr>
        <w:t xml:space="preserve"> action</w:t>
      </w:r>
      <w:r w:rsidRPr="00755FBA">
        <w:rPr>
          <w:rFonts w:ascii="Arial" w:hAnsi="Arial" w:cs="Arial"/>
          <w:lang w:val="en-IN"/>
        </w:rPr>
        <w:t>s. Understanding genetic parameters such as variability, heritability, and genetic advance is essential for the development of high-yielding</w:t>
      </w:r>
      <w:r w:rsidRPr="00093AC9">
        <w:rPr>
          <w:rFonts w:ascii="Arial" w:hAnsi="Arial" w:cs="Arial"/>
          <w:lang w:val="en-IN"/>
        </w:rPr>
        <w:t xml:space="preserve"> </w:t>
      </w:r>
      <w:r w:rsidR="00093AC9" w:rsidRPr="00093AC9">
        <w:rPr>
          <w:rFonts w:ascii="Arial" w:hAnsi="Arial" w:cs="Arial"/>
          <w:lang w:val="en-IN"/>
        </w:rPr>
        <w:t>sesame</w:t>
      </w:r>
      <w:r w:rsidRPr="00093AC9">
        <w:rPr>
          <w:rFonts w:ascii="Arial" w:hAnsi="Arial" w:cs="Arial"/>
          <w:lang w:val="en-IN"/>
        </w:rPr>
        <w:t xml:space="preserve"> </w:t>
      </w:r>
      <w:r w:rsidRPr="00755FBA">
        <w:rPr>
          <w:rFonts w:ascii="Arial" w:hAnsi="Arial" w:cs="Arial"/>
          <w:lang w:val="en-IN"/>
        </w:rPr>
        <w:t xml:space="preserve">varieties. This study aims to assess the genetic variability, heritability, and genetic advance of key traits related to yield and quality in </w:t>
      </w:r>
      <w:r w:rsidR="00093AC9">
        <w:rPr>
          <w:rFonts w:ascii="Arial" w:hAnsi="Arial" w:cs="Arial"/>
          <w:lang w:val="en-IN"/>
        </w:rPr>
        <w:t>sesame</w:t>
      </w:r>
      <w:r w:rsidRPr="00755FBA">
        <w:rPr>
          <w:rFonts w:ascii="Arial" w:hAnsi="Arial" w:cs="Arial"/>
          <w:lang w:val="en-IN"/>
        </w:rPr>
        <w:t>, with the ultimate goal of enhancing productivity and addressing existing yield gaps.</w:t>
      </w:r>
    </w:p>
    <w:p w14:paraId="3D4D97DA" w14:textId="2DDF057A"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This research investigates </w:t>
      </w:r>
      <w:r>
        <w:rPr>
          <w:rFonts w:ascii="Arial" w:hAnsi="Arial" w:cs="Arial"/>
          <w:lang w:val="en-IN"/>
        </w:rPr>
        <w:t>28+2</w:t>
      </w:r>
      <w:r w:rsidRPr="00755FBA">
        <w:rPr>
          <w:rFonts w:ascii="Arial" w:hAnsi="Arial" w:cs="Arial"/>
          <w:lang w:val="en-IN"/>
        </w:rPr>
        <w:t xml:space="preserve"> genotypes of </w:t>
      </w:r>
      <w:r>
        <w:rPr>
          <w:rFonts w:ascii="Arial" w:hAnsi="Arial" w:cs="Arial"/>
          <w:lang w:val="en-IN"/>
        </w:rPr>
        <w:t>sesame</w:t>
      </w:r>
      <w:r w:rsidRPr="00755FBA">
        <w:rPr>
          <w:rFonts w:ascii="Arial" w:hAnsi="Arial" w:cs="Arial"/>
          <w:lang w:val="en-IN"/>
        </w:rPr>
        <w:t xml:space="preserve">, selected for their potential to improve seed yield and other critical agronomic traits. The primary traits under investigation include seed yield, oil content, and plant height, all of which are </w:t>
      </w:r>
      <w:r>
        <w:rPr>
          <w:rFonts w:ascii="Arial" w:hAnsi="Arial" w:cs="Arial"/>
          <w:lang w:val="en-IN"/>
        </w:rPr>
        <w:t xml:space="preserve">important </w:t>
      </w:r>
      <w:r w:rsidRPr="00755FBA">
        <w:rPr>
          <w:rFonts w:ascii="Arial" w:hAnsi="Arial" w:cs="Arial"/>
          <w:lang w:val="en-IN"/>
        </w:rPr>
        <w:t xml:space="preserve">for improving overall crop productivity. By examining the genetic variability and heritability of these traits, this study seeks to identify superior genotypes that can be utilized in future breeding programs. The results will provide valuable insights into the development of high-yielding </w:t>
      </w:r>
      <w:r>
        <w:rPr>
          <w:rFonts w:ascii="Arial" w:hAnsi="Arial" w:cs="Arial"/>
          <w:lang w:val="en-IN"/>
        </w:rPr>
        <w:t>sesame</w:t>
      </w:r>
      <w:r w:rsidRPr="00755FBA">
        <w:rPr>
          <w:rFonts w:ascii="Arial" w:hAnsi="Arial" w:cs="Arial"/>
          <w:lang w:val="en-IN"/>
        </w:rPr>
        <w:t xml:space="preserve"> varieties, contributing to advancements in breeding techniques and optimizing productivity, particularly in regions such as India, where </w:t>
      </w:r>
      <w:r w:rsidR="00093AC9">
        <w:rPr>
          <w:rFonts w:ascii="Arial" w:hAnsi="Arial" w:cs="Arial"/>
          <w:lang w:val="en-IN"/>
        </w:rPr>
        <w:t>sesame</w:t>
      </w:r>
      <w:r w:rsidRPr="00755FBA">
        <w:rPr>
          <w:rFonts w:ascii="Arial" w:hAnsi="Arial" w:cs="Arial"/>
          <w:lang w:val="en-IN"/>
        </w:rPr>
        <w:t xml:space="preserve"> yield remains suboptimal.</w:t>
      </w:r>
    </w:p>
    <w:p w14:paraId="37221594" w14:textId="77777777" w:rsidR="00C25F45" w:rsidRPr="00093AC9" w:rsidRDefault="00C25F45" w:rsidP="00C25F45">
      <w:pPr>
        <w:pStyle w:val="BodyText"/>
        <w:ind w:right="17"/>
        <w:contextualSpacing/>
        <w:jc w:val="both"/>
        <w:rPr>
          <w:rFonts w:ascii="Arial" w:hAnsi="Arial" w:cs="Arial"/>
          <w:lang w:val="en-IN"/>
        </w:rPr>
      </w:pPr>
    </w:p>
    <w:p w14:paraId="2B9496A1" w14:textId="77777777" w:rsidR="00C25F45" w:rsidRDefault="00902823" w:rsidP="00C25F45">
      <w:pPr>
        <w:pStyle w:val="BodyText"/>
        <w:ind w:right="17"/>
        <w:contextualSpacing/>
        <w:jc w:val="both"/>
        <w:rPr>
          <w:rFonts w:ascii="Arial" w:hAnsi="Arial" w:cs="Arial"/>
          <w:b/>
          <w:bCs/>
          <w:sz w:val="22"/>
          <w:szCs w:val="22"/>
        </w:rPr>
      </w:pPr>
      <w:r w:rsidRPr="00C25F45">
        <w:rPr>
          <w:rFonts w:ascii="Arial" w:hAnsi="Arial" w:cs="Arial"/>
          <w:b/>
          <w:bCs/>
          <w:sz w:val="22"/>
          <w:szCs w:val="22"/>
        </w:rPr>
        <w:t>2.</w:t>
      </w:r>
      <w:r w:rsidR="00C25F45">
        <w:rPr>
          <w:rFonts w:ascii="Arial" w:hAnsi="Arial" w:cs="Arial"/>
          <w:b/>
          <w:bCs/>
          <w:sz w:val="22"/>
          <w:szCs w:val="22"/>
        </w:rPr>
        <w:t xml:space="preserve"> MATERIAL AND METHODS</w:t>
      </w:r>
    </w:p>
    <w:p w14:paraId="014E3B60" w14:textId="77777777" w:rsidR="00C25F45" w:rsidRDefault="00C25F45" w:rsidP="00C25F45">
      <w:pPr>
        <w:pStyle w:val="BodyText"/>
        <w:ind w:right="17"/>
        <w:contextualSpacing/>
        <w:jc w:val="both"/>
        <w:rPr>
          <w:rFonts w:ascii="Arial" w:hAnsi="Arial" w:cs="Arial"/>
          <w:b/>
          <w:bCs/>
          <w:sz w:val="22"/>
          <w:szCs w:val="22"/>
        </w:rPr>
      </w:pPr>
    </w:p>
    <w:p w14:paraId="0256DE11" w14:textId="77777777" w:rsidR="00C25F45" w:rsidRDefault="00C25F45" w:rsidP="00C25F45">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6257E6AD" w14:textId="145F89AB" w:rsidR="005022C4" w:rsidRDefault="003040A8" w:rsidP="00443D30">
      <w:pPr>
        <w:pStyle w:val="BodyText"/>
        <w:spacing w:after="0"/>
        <w:ind w:firstLine="720"/>
        <w:contextualSpacing/>
        <w:jc w:val="both"/>
        <w:outlineLvl w:val="1"/>
        <w:rPr>
          <w:rFonts w:ascii="Arial" w:hAnsi="Arial" w:cs="Arial"/>
        </w:rPr>
      </w:pPr>
      <w:r w:rsidRPr="003040A8">
        <w:rPr>
          <w:rFonts w:ascii="Arial" w:hAnsi="Arial" w:cs="Arial"/>
        </w:rPr>
        <w:t>The present study was carried out at the Oilseeds Research Station, Latur, during the Rabi season of 2024–25 under standard irrigated conditions. The experimental material comprised 28 genotypes along with 2 checks, laid out in a Randomized Block Design (RBD) with two replications. Sowing was done using the line sowing method. Recommended doses of fertilizers and standard agronomic practices were followed to ensure healthy crop growth. Observations for 10 quantitative morphological traits were recorded by randomly selecting 5 plants from each plot in both replications. Each genotype was sown in rows 3 meters long, with a spacing of 30 cm between rows and 10 cm between plants. Border rows were planted around the experimental area to minimize border effects. The plot size was maintained at 4 × 0.60 m², and all necessary practices were followed to promote optimal crop development.</w:t>
      </w:r>
    </w:p>
    <w:p w14:paraId="38C1EFC2" w14:textId="77777777" w:rsidR="00443D30" w:rsidRDefault="00443D30" w:rsidP="00443D30">
      <w:pPr>
        <w:pStyle w:val="BodyText"/>
        <w:spacing w:after="0"/>
        <w:ind w:firstLine="720"/>
        <w:contextualSpacing/>
        <w:jc w:val="both"/>
        <w:outlineLvl w:val="1"/>
        <w:rPr>
          <w:rFonts w:ascii="Arial" w:hAnsi="Arial" w:cs="Arial"/>
        </w:rPr>
      </w:pPr>
    </w:p>
    <w:p w14:paraId="6E8E5A52" w14:textId="77777777" w:rsidR="005022C4" w:rsidRPr="00BD7458" w:rsidRDefault="005022C4" w:rsidP="005022C4">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5396781F" w14:textId="7E3EC3F0" w:rsidR="00ED2DBD" w:rsidRPr="007F205E" w:rsidRDefault="005022C4" w:rsidP="005022C4">
      <w:pPr>
        <w:pStyle w:val="Body"/>
        <w:spacing w:after="0"/>
        <w:rPr>
          <w:rFonts w:ascii="Arial" w:hAnsi="Arial" w:cs="Arial"/>
          <w:lang w:val="en-IN"/>
        </w:rPr>
      </w:pPr>
      <w:r>
        <w:rPr>
          <w:lang w:val="en-IN"/>
        </w:rPr>
        <w:t xml:space="preserve"> </w:t>
      </w:r>
      <w:r>
        <w:rPr>
          <w:lang w:val="en-IN"/>
        </w:rPr>
        <w:tab/>
      </w:r>
      <w:r w:rsidR="003040A8" w:rsidRPr="007F205E">
        <w:rPr>
          <w:rFonts w:ascii="Arial" w:hAnsi="Arial" w:cs="Arial"/>
        </w:rPr>
        <w:t>Morphological observations for 10 quantitative traits were recorded by randomly selecting 5 plants from each plot in both replications. The traits evaluated included days to 50% flowering, days to maturity, plant height (cm), number of branches per plant, number of capsules per plant, number of seeds per capsule, 1000-seed weight (g), harvest index (%), oil content (%), and seed yield per plant (g). Days to 50% flowering were recorded when 50% of the plants in each plot had flowered, while days to maturity were noted when the plants reached physiological maturity. Plant height was measured from the base of the plant to the tip of the tallest stem. The number of branches per plant, number of capsules per plant, and number of seeds per capsule were counted to assess reproductive potential. The 1000-seed weight was obtained by weighing a random sample of 1000 seeds. Harvest index was calculated as the ratio of seed yield to total plant biomass and expressed as a percentage. Oil content was estimated using the Soxhlet extraction method, and seed yield per plant was recorded by weighing the seeds harvested from each selected plant.</w:t>
      </w:r>
    </w:p>
    <w:p w14:paraId="5C40FEB9" w14:textId="77777777" w:rsidR="00ED2DBD" w:rsidRDefault="00ED2DBD" w:rsidP="00ED2DBD">
      <w:pPr>
        <w:pStyle w:val="Body"/>
        <w:spacing w:after="0"/>
        <w:jc w:val="left"/>
        <w:rPr>
          <w:rFonts w:ascii="Arial" w:hAnsi="Arial" w:cs="Arial"/>
          <w:b/>
          <w:sz w:val="22"/>
          <w:szCs w:val="22"/>
        </w:rPr>
      </w:pPr>
      <w:r>
        <w:rPr>
          <w:rFonts w:ascii="Arial" w:hAnsi="Arial" w:cs="Arial"/>
          <w:b/>
          <w:sz w:val="22"/>
          <w:szCs w:val="22"/>
        </w:rPr>
        <w:t>2.3 Stastical A</w:t>
      </w:r>
      <w:r w:rsidRPr="00BD7458">
        <w:rPr>
          <w:rFonts w:ascii="Arial" w:hAnsi="Arial" w:cs="Arial"/>
          <w:b/>
          <w:sz w:val="22"/>
          <w:szCs w:val="22"/>
        </w:rPr>
        <w:t>nalysis</w:t>
      </w:r>
    </w:p>
    <w:p w14:paraId="1C04F033" w14:textId="3574CE53" w:rsidR="00790ADA" w:rsidRDefault="00ED2DBD" w:rsidP="00441B6F">
      <w:pPr>
        <w:pStyle w:val="Body"/>
        <w:spacing w:after="0"/>
        <w:rPr>
          <w:rFonts w:ascii="Arial" w:hAnsi="Arial" w:cs="Arial"/>
        </w:rPr>
      </w:pPr>
      <w:r>
        <w:rPr>
          <w:rFonts w:ascii="Arial" w:hAnsi="Arial" w:cs="Arial"/>
        </w:rPr>
        <w:t xml:space="preserve"> </w:t>
      </w:r>
      <w:r>
        <w:rPr>
          <w:rFonts w:ascii="Arial" w:hAnsi="Arial" w:cs="Arial"/>
        </w:rPr>
        <w:tab/>
      </w:r>
      <w:r w:rsidR="003040A8" w:rsidRPr="003040A8">
        <w:rPr>
          <w:rFonts w:ascii="Arial" w:hAnsi="Arial" w:cs="Arial"/>
        </w:rPr>
        <w:t xml:space="preserve">The overall mean values for various traits were subjected to statistical analysis. Analysis of variance (ANOVA) was performed using the Randomized Block Design (RBD) </w:t>
      </w:r>
      <w:r w:rsidR="003040A8" w:rsidRPr="003040A8">
        <w:rPr>
          <w:rFonts w:ascii="Arial" w:hAnsi="Arial" w:cs="Arial"/>
        </w:rPr>
        <w:lastRenderedPageBreak/>
        <w:t xml:space="preserve">method, as described by </w:t>
      </w:r>
      <w:proofErr w:type="spellStart"/>
      <w:r w:rsidR="003040A8" w:rsidRPr="003040A8">
        <w:rPr>
          <w:rFonts w:ascii="Arial" w:hAnsi="Arial" w:cs="Arial"/>
        </w:rPr>
        <w:t>Panse</w:t>
      </w:r>
      <w:proofErr w:type="spellEnd"/>
      <w:r w:rsidR="003040A8" w:rsidRPr="003040A8">
        <w:rPr>
          <w:rFonts w:ascii="Arial" w:hAnsi="Arial" w:cs="Arial"/>
        </w:rPr>
        <w:t xml:space="preserve"> and </w:t>
      </w:r>
      <w:proofErr w:type="spellStart"/>
      <w:r w:rsidR="003040A8" w:rsidRPr="003040A8">
        <w:rPr>
          <w:rFonts w:ascii="Arial" w:hAnsi="Arial" w:cs="Arial"/>
        </w:rPr>
        <w:t>Sukhatme</w:t>
      </w:r>
      <w:proofErr w:type="spellEnd"/>
      <w:r w:rsidR="003040A8" w:rsidRPr="003040A8">
        <w:rPr>
          <w:rFonts w:ascii="Arial" w:hAnsi="Arial" w:cs="Arial"/>
        </w:rPr>
        <w:t xml:space="preserve"> (1967). The genotypic coefficient of variation (GCV) and phenotypic coefficient of variation (PCV) were calculated using the formula proposed by Burton and Devane (1953). Estimates of heritability and genetic advance as a percentage of the mean (GAM) were also computed. According to the classification by </w:t>
      </w:r>
      <w:proofErr w:type="spellStart"/>
      <w:r w:rsidR="003040A8" w:rsidRPr="003040A8">
        <w:rPr>
          <w:rFonts w:ascii="Arial" w:hAnsi="Arial" w:cs="Arial"/>
        </w:rPr>
        <w:t>Sivasubramanian</w:t>
      </w:r>
      <w:proofErr w:type="spellEnd"/>
      <w:r w:rsidR="003040A8" w:rsidRPr="003040A8">
        <w:rPr>
          <w:rFonts w:ascii="Arial" w:hAnsi="Arial" w:cs="Arial"/>
        </w:rPr>
        <w:t xml:space="preserve"> and </w:t>
      </w:r>
      <w:proofErr w:type="spellStart"/>
      <w:r w:rsidR="003040A8" w:rsidRPr="003040A8">
        <w:rPr>
          <w:rFonts w:ascii="Arial" w:hAnsi="Arial" w:cs="Arial"/>
        </w:rPr>
        <w:t>Madhavamenon</w:t>
      </w:r>
      <w:proofErr w:type="spellEnd"/>
      <w:r w:rsidR="003040A8" w:rsidRPr="003040A8">
        <w:rPr>
          <w:rFonts w:ascii="Arial" w:hAnsi="Arial" w:cs="Arial"/>
        </w:rPr>
        <w:t xml:space="preserve">, both phenotypic and genotypic coefficients of variation are categorized as high (&gt;20%), moderate (10–20%), and low (&lt;10%). Heritability (h²) estimates were classified by Johnson </w:t>
      </w:r>
      <w:r w:rsidR="003040A8" w:rsidRPr="00847843">
        <w:rPr>
          <w:rFonts w:ascii="Arial" w:hAnsi="Arial" w:cs="Arial"/>
          <w:i/>
          <w:iCs/>
        </w:rPr>
        <w:t>et al.</w:t>
      </w:r>
      <w:r w:rsidR="003040A8" w:rsidRPr="003040A8">
        <w:rPr>
          <w:rFonts w:ascii="Arial" w:hAnsi="Arial" w:cs="Arial"/>
        </w:rPr>
        <w:t xml:space="preserve"> as low (0–30%), medium (30–60%), and high (&gt;60%). Similarly, genetic advance as a percentage of mean was categorized by Johanson </w:t>
      </w:r>
      <w:r w:rsidR="003040A8" w:rsidRPr="003E4E19">
        <w:rPr>
          <w:rFonts w:ascii="Arial" w:hAnsi="Arial" w:cs="Arial"/>
          <w:i/>
          <w:iCs/>
        </w:rPr>
        <w:t>et al.</w:t>
      </w:r>
      <w:r w:rsidR="003040A8" w:rsidRPr="003040A8">
        <w:rPr>
          <w:rFonts w:ascii="Arial" w:hAnsi="Arial" w:cs="Arial"/>
        </w:rPr>
        <w:t xml:space="preserve"> as low (&lt;10%), moderate (10–20%), and high (&gt;20%). All statistical analyses were conducted using R software version 4.5.1.</w:t>
      </w:r>
    </w:p>
    <w:p w14:paraId="4F5EF934" w14:textId="77777777" w:rsidR="00433925" w:rsidRPr="00FB3A86" w:rsidRDefault="00433925" w:rsidP="00441B6F">
      <w:pPr>
        <w:pStyle w:val="Body"/>
        <w:spacing w:after="0"/>
        <w:rPr>
          <w:rFonts w:ascii="Arial" w:hAnsi="Arial" w:cs="Arial"/>
        </w:rPr>
      </w:pPr>
    </w:p>
    <w:p w14:paraId="047FA0A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43157D" w14:textId="77777777" w:rsidR="00790ADA" w:rsidRPr="00FB3A86" w:rsidRDefault="00790ADA" w:rsidP="00441B6F">
      <w:pPr>
        <w:pStyle w:val="Head1"/>
        <w:spacing w:after="0"/>
        <w:jc w:val="both"/>
        <w:rPr>
          <w:rFonts w:ascii="Arial" w:hAnsi="Arial" w:cs="Arial"/>
        </w:rPr>
      </w:pPr>
    </w:p>
    <w:p w14:paraId="18845DE9" w14:textId="77777777" w:rsidR="00ED2DBD" w:rsidRPr="00662494" w:rsidRDefault="00ED2DBD" w:rsidP="00ED2DBD">
      <w:pPr>
        <w:pStyle w:val="Body"/>
        <w:spacing w:after="0"/>
        <w:jc w:val="left"/>
        <w:rPr>
          <w:rFonts w:ascii="Arial" w:hAnsi="Arial" w:cs="Arial"/>
          <w:sz w:val="22"/>
          <w:szCs w:val="22"/>
        </w:rPr>
      </w:pPr>
      <w:r w:rsidRPr="00662494">
        <w:rPr>
          <w:rFonts w:ascii="Arial" w:hAnsi="Arial" w:cs="Arial"/>
          <w:b/>
          <w:sz w:val="22"/>
          <w:szCs w:val="22"/>
        </w:rPr>
        <w:t>3.1 Analysis of Variance</w:t>
      </w:r>
    </w:p>
    <w:p w14:paraId="7248E23C" w14:textId="77777777" w:rsidR="00510981" w:rsidRPr="00510981" w:rsidRDefault="00863BD3" w:rsidP="00510981">
      <w:pPr>
        <w:ind w:firstLine="567"/>
        <w:jc w:val="both"/>
        <w:rPr>
          <w:rFonts w:ascii="Arial" w:hAnsi="Arial" w:cs="Arial"/>
          <w:lang w:val="en-IN"/>
        </w:rPr>
      </w:pPr>
      <w:r>
        <w:rPr>
          <w:rFonts w:ascii="Arial" w:hAnsi="Arial" w:cs="Arial"/>
        </w:rPr>
        <w:t xml:space="preserve"> </w:t>
      </w:r>
      <w:r w:rsidR="00510981" w:rsidRPr="00510981">
        <w:rPr>
          <w:rFonts w:ascii="Arial" w:hAnsi="Arial" w:cs="Arial"/>
          <w:lang w:val="en-IN"/>
        </w:rPr>
        <w:t>The analysis of variance and the mean performance of the sesame genotypes for various traits are presented in Table 1. The results revealed that the mean sum of squares due to genotypes was highly significant for all the traits studied. This indicates the presence of substantial genetic variability among the genotypes.</w:t>
      </w:r>
    </w:p>
    <w:p w14:paraId="711BFE99" w14:textId="77777777" w:rsidR="00510981" w:rsidRPr="00510981" w:rsidRDefault="00510981" w:rsidP="00510981">
      <w:pPr>
        <w:ind w:firstLine="567"/>
        <w:jc w:val="both"/>
        <w:rPr>
          <w:rFonts w:ascii="Arial" w:hAnsi="Arial" w:cs="Arial"/>
          <w:lang w:val="en-IN"/>
        </w:rPr>
      </w:pPr>
      <w:r w:rsidRPr="00510981">
        <w:rPr>
          <w:rFonts w:ascii="Arial" w:hAnsi="Arial" w:cs="Arial"/>
          <w:lang w:val="en-IN"/>
        </w:rPr>
        <w:t xml:space="preserve">Significant differences were observed among genotypes for all characters, including days to 50% flowering, days to maturity, plant height (cm), number of branches per plant, number of capsules per plant, number of seeds per capsule, 1000-seed weight (g), capsule length, oil content (%), and seed yield per plant (g). The wide range of variability found for yield and its component traits highlights considerable potential for genetic improvement, where selection for one trait could lead to simultaneous enhancement of others. Similar findings were reported by Patel </w:t>
      </w:r>
      <w:r w:rsidRPr="00510981">
        <w:rPr>
          <w:rFonts w:ascii="Arial" w:hAnsi="Arial" w:cs="Arial"/>
          <w:i/>
          <w:iCs/>
          <w:lang w:val="en-IN"/>
        </w:rPr>
        <w:t>et al.</w:t>
      </w:r>
      <w:r w:rsidRPr="00510981">
        <w:rPr>
          <w:rFonts w:ascii="Arial" w:hAnsi="Arial" w:cs="Arial"/>
          <w:lang w:val="en-IN"/>
        </w:rPr>
        <w:t xml:space="preserve"> (2022), Kumar </w:t>
      </w:r>
      <w:r w:rsidRPr="00510981">
        <w:rPr>
          <w:rFonts w:ascii="Arial" w:hAnsi="Arial" w:cs="Arial"/>
          <w:i/>
          <w:iCs/>
          <w:lang w:val="en-IN"/>
        </w:rPr>
        <w:t>et al.</w:t>
      </w:r>
      <w:r w:rsidRPr="00510981">
        <w:rPr>
          <w:rFonts w:ascii="Arial" w:hAnsi="Arial" w:cs="Arial"/>
          <w:lang w:val="en-IN"/>
        </w:rPr>
        <w:t xml:space="preserve"> (2021), </w:t>
      </w:r>
      <w:proofErr w:type="spellStart"/>
      <w:r w:rsidRPr="00510981">
        <w:rPr>
          <w:rFonts w:ascii="Arial" w:hAnsi="Arial" w:cs="Arial"/>
          <w:lang w:val="en-IN"/>
        </w:rPr>
        <w:t>Sasipriya</w:t>
      </w:r>
      <w:proofErr w:type="spellEnd"/>
      <w:r w:rsidRPr="00510981">
        <w:rPr>
          <w:rFonts w:ascii="Arial" w:hAnsi="Arial" w:cs="Arial"/>
          <w:lang w:val="en-IN"/>
        </w:rPr>
        <w:t xml:space="preserve"> </w:t>
      </w:r>
      <w:r w:rsidRPr="00510981">
        <w:rPr>
          <w:rFonts w:ascii="Arial" w:hAnsi="Arial" w:cs="Arial"/>
          <w:i/>
          <w:iCs/>
          <w:lang w:val="en-IN"/>
        </w:rPr>
        <w:t>et al.</w:t>
      </w:r>
      <w:r w:rsidRPr="00510981">
        <w:rPr>
          <w:rFonts w:ascii="Arial" w:hAnsi="Arial" w:cs="Arial"/>
          <w:lang w:val="en-IN"/>
        </w:rPr>
        <w:t xml:space="preserve"> (2022), Srikant </w:t>
      </w:r>
      <w:r w:rsidRPr="00510981">
        <w:rPr>
          <w:rFonts w:ascii="Arial" w:hAnsi="Arial" w:cs="Arial"/>
          <w:i/>
          <w:iCs/>
          <w:lang w:val="en-IN"/>
        </w:rPr>
        <w:t>et al.</w:t>
      </w:r>
      <w:r w:rsidRPr="00510981">
        <w:rPr>
          <w:rFonts w:ascii="Arial" w:hAnsi="Arial" w:cs="Arial"/>
          <w:lang w:val="en-IN"/>
        </w:rPr>
        <w:t xml:space="preserve"> (2022), and Ravindra </w:t>
      </w:r>
      <w:r w:rsidRPr="00510981">
        <w:rPr>
          <w:rFonts w:ascii="Arial" w:hAnsi="Arial" w:cs="Arial"/>
          <w:i/>
          <w:iCs/>
          <w:lang w:val="en-IN"/>
        </w:rPr>
        <w:t>et al.</w:t>
      </w:r>
      <w:r w:rsidRPr="00510981">
        <w:rPr>
          <w:rFonts w:ascii="Arial" w:hAnsi="Arial" w:cs="Arial"/>
          <w:lang w:val="en-IN"/>
        </w:rPr>
        <w:t xml:space="preserve"> (2020).</w:t>
      </w:r>
    </w:p>
    <w:p w14:paraId="38480A81" w14:textId="5A031583" w:rsidR="00790ADA" w:rsidRDefault="00790ADA" w:rsidP="00510981">
      <w:pPr>
        <w:ind w:firstLine="567"/>
        <w:jc w:val="both"/>
        <w:rPr>
          <w:rFonts w:ascii="Arial" w:hAnsi="Arial" w:cs="Arial"/>
        </w:rPr>
      </w:pPr>
    </w:p>
    <w:p w14:paraId="115F496C" w14:textId="728C6BDB" w:rsidR="00863BD3" w:rsidRDefault="00A13F77" w:rsidP="00441B6F">
      <w:pPr>
        <w:tabs>
          <w:tab w:val="left" w:pos="1080"/>
        </w:tabs>
        <w:jc w:val="both"/>
        <w:rPr>
          <w:rFonts w:ascii="Arial" w:eastAsia="Calibri" w:hAnsi="Arial" w:cs="Arial"/>
          <w:b/>
          <w:bCs/>
          <w:color w:val="000000" w:themeColor="text1"/>
        </w:rPr>
      </w:pPr>
      <w:r w:rsidRPr="00F24458">
        <w:rPr>
          <w:rFonts w:ascii="Arial" w:eastAsia="Calibri" w:hAnsi="Arial" w:cs="Arial"/>
          <w:b/>
          <w:bCs/>
          <w:color w:val="000000" w:themeColor="text1"/>
        </w:rPr>
        <w:t xml:space="preserve">Table 1: Analysis of variance for ten yield-contributing characters in </w:t>
      </w:r>
      <w:r>
        <w:rPr>
          <w:rFonts w:ascii="Arial" w:eastAsia="Calibri" w:hAnsi="Arial" w:cs="Arial"/>
          <w:b/>
          <w:bCs/>
          <w:color w:val="000000" w:themeColor="text1"/>
        </w:rPr>
        <w:t>sesame.</w:t>
      </w:r>
    </w:p>
    <w:p w14:paraId="2E228929" w14:textId="77777777" w:rsidR="00A13F77" w:rsidRDefault="00A13F77" w:rsidP="00441B6F">
      <w:pPr>
        <w:tabs>
          <w:tab w:val="left" w:pos="1080"/>
        </w:tabs>
        <w:jc w:val="both"/>
        <w:rPr>
          <w:rFonts w:ascii="Arial" w:eastAsia="Calibri" w:hAnsi="Arial" w:cs="Arial"/>
          <w:b/>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1"/>
        <w:gridCol w:w="2609"/>
        <w:gridCol w:w="1907"/>
        <w:gridCol w:w="2195"/>
        <w:gridCol w:w="991"/>
      </w:tblGrid>
      <w:tr w:rsidR="00A13F77" w14:paraId="7DFAC3DF" w14:textId="77777777" w:rsidTr="00A13F77">
        <w:trPr>
          <w:trHeight w:val="315"/>
        </w:trPr>
        <w:tc>
          <w:tcPr>
            <w:tcW w:w="0" w:type="auto"/>
            <w:vMerge w:val="restart"/>
            <w:vAlign w:val="center"/>
          </w:tcPr>
          <w:p w14:paraId="71C7CE3E" w14:textId="77777777" w:rsidR="00A13F77" w:rsidRPr="00305B63" w:rsidRDefault="00A13F77" w:rsidP="00237FA0">
            <w:pPr>
              <w:pStyle w:val="TableParagraph"/>
              <w:spacing w:before="3"/>
              <w:ind w:left="0"/>
              <w:rPr>
                <w:rFonts w:ascii="Arial" w:hAnsi="Arial" w:cs="Arial"/>
                <w:b/>
                <w:sz w:val="20"/>
                <w:szCs w:val="20"/>
              </w:rPr>
            </w:pPr>
          </w:p>
          <w:p w14:paraId="19401B1C" w14:textId="62FD32BB" w:rsidR="00A13F77" w:rsidRPr="00305B63" w:rsidRDefault="00A13F77" w:rsidP="0009026C">
            <w:pPr>
              <w:pStyle w:val="TableParagraph"/>
              <w:jc w:val="left"/>
              <w:rPr>
                <w:rFonts w:ascii="Arial" w:hAnsi="Arial" w:cs="Arial"/>
                <w:b/>
                <w:sz w:val="20"/>
                <w:szCs w:val="20"/>
              </w:rPr>
            </w:pPr>
            <w:r w:rsidRPr="00305B63">
              <w:rPr>
                <w:rFonts w:ascii="Arial" w:hAnsi="Arial" w:cs="Arial"/>
                <w:b/>
                <w:spacing w:val="-4"/>
                <w:sz w:val="20"/>
                <w:szCs w:val="20"/>
              </w:rPr>
              <w:t>S.</w:t>
            </w:r>
            <w:r w:rsidR="0009026C">
              <w:rPr>
                <w:rFonts w:ascii="Arial" w:hAnsi="Arial" w:cs="Arial"/>
                <w:b/>
                <w:spacing w:val="-4"/>
                <w:sz w:val="20"/>
                <w:szCs w:val="20"/>
              </w:rPr>
              <w:t xml:space="preserve"> </w:t>
            </w:r>
            <w:r w:rsidRPr="00305B63">
              <w:rPr>
                <w:rFonts w:ascii="Arial" w:hAnsi="Arial" w:cs="Arial"/>
                <w:b/>
                <w:spacing w:val="-4"/>
                <w:sz w:val="20"/>
                <w:szCs w:val="20"/>
              </w:rPr>
              <w:t>No</w:t>
            </w:r>
          </w:p>
        </w:tc>
        <w:tc>
          <w:tcPr>
            <w:tcW w:w="0" w:type="auto"/>
            <w:vMerge w:val="restart"/>
            <w:vAlign w:val="center"/>
          </w:tcPr>
          <w:p w14:paraId="4B5CBAF1" w14:textId="77777777" w:rsidR="00A13F77" w:rsidRPr="00305B63" w:rsidRDefault="00A13F77" w:rsidP="00237FA0">
            <w:pPr>
              <w:pStyle w:val="TableParagraph"/>
              <w:spacing w:before="3"/>
              <w:ind w:left="0"/>
              <w:rPr>
                <w:rFonts w:ascii="Arial" w:hAnsi="Arial" w:cs="Arial"/>
                <w:b/>
                <w:sz w:val="20"/>
                <w:szCs w:val="20"/>
              </w:rPr>
            </w:pPr>
          </w:p>
          <w:p w14:paraId="3F7C8B1D" w14:textId="77777777" w:rsidR="00A13F77" w:rsidRPr="00305B63" w:rsidRDefault="00A13F77" w:rsidP="00237FA0">
            <w:pPr>
              <w:pStyle w:val="TableParagraph"/>
              <w:ind w:left="576"/>
              <w:jc w:val="left"/>
              <w:rPr>
                <w:rFonts w:ascii="Arial" w:hAnsi="Arial" w:cs="Arial"/>
                <w:b/>
                <w:sz w:val="20"/>
                <w:szCs w:val="20"/>
              </w:rPr>
            </w:pPr>
            <w:r>
              <w:rPr>
                <w:rFonts w:ascii="Arial" w:hAnsi="Arial" w:cs="Arial"/>
                <w:b/>
                <w:spacing w:val="-2"/>
                <w:sz w:val="20"/>
                <w:szCs w:val="20"/>
              </w:rPr>
              <w:t xml:space="preserve">  </w:t>
            </w:r>
            <w:r w:rsidRPr="00305B63">
              <w:rPr>
                <w:rFonts w:ascii="Arial" w:hAnsi="Arial" w:cs="Arial"/>
                <w:b/>
                <w:spacing w:val="-2"/>
                <w:sz w:val="20"/>
                <w:szCs w:val="20"/>
              </w:rPr>
              <w:t>CHARACTERS</w:t>
            </w:r>
          </w:p>
        </w:tc>
        <w:tc>
          <w:tcPr>
            <w:tcW w:w="0" w:type="auto"/>
            <w:gridSpan w:val="3"/>
            <w:vAlign w:val="center"/>
          </w:tcPr>
          <w:p w14:paraId="27F1B007" w14:textId="77777777" w:rsidR="00A13F77" w:rsidRPr="00305B63" w:rsidRDefault="00A13F77" w:rsidP="00237FA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09026C" w14:paraId="0607090A" w14:textId="77777777" w:rsidTr="00A13F77">
        <w:trPr>
          <w:trHeight w:val="619"/>
        </w:trPr>
        <w:tc>
          <w:tcPr>
            <w:tcW w:w="0" w:type="auto"/>
            <w:vMerge/>
            <w:tcBorders>
              <w:top w:val="nil"/>
            </w:tcBorders>
            <w:vAlign w:val="center"/>
          </w:tcPr>
          <w:p w14:paraId="18393F38" w14:textId="77777777" w:rsidR="00A13F77" w:rsidRPr="00305B63" w:rsidRDefault="00A13F77" w:rsidP="00237FA0">
            <w:pPr>
              <w:jc w:val="center"/>
              <w:rPr>
                <w:rFonts w:ascii="Arial" w:hAnsi="Arial" w:cs="Arial"/>
              </w:rPr>
            </w:pPr>
          </w:p>
        </w:tc>
        <w:tc>
          <w:tcPr>
            <w:tcW w:w="0" w:type="auto"/>
            <w:vMerge/>
            <w:tcBorders>
              <w:top w:val="nil"/>
            </w:tcBorders>
            <w:vAlign w:val="center"/>
          </w:tcPr>
          <w:p w14:paraId="673B0EE6" w14:textId="77777777" w:rsidR="00A13F77" w:rsidRPr="00305B63" w:rsidRDefault="00A13F77" w:rsidP="00237FA0">
            <w:pPr>
              <w:jc w:val="center"/>
              <w:rPr>
                <w:rFonts w:ascii="Arial" w:hAnsi="Arial" w:cs="Arial"/>
              </w:rPr>
            </w:pPr>
          </w:p>
        </w:tc>
        <w:tc>
          <w:tcPr>
            <w:tcW w:w="0" w:type="auto"/>
            <w:vAlign w:val="center"/>
          </w:tcPr>
          <w:p w14:paraId="5FB7794D" w14:textId="77777777" w:rsidR="00A13F77" w:rsidRPr="00305B63" w:rsidRDefault="00A13F77" w:rsidP="00237FA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0" w:type="auto"/>
            <w:vAlign w:val="center"/>
          </w:tcPr>
          <w:p w14:paraId="1CB56075" w14:textId="191DF35B" w:rsidR="00A13F77" w:rsidRPr="00305B63" w:rsidRDefault="00A13F77" w:rsidP="00237FA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w:t>
            </w:r>
            <w:r w:rsidR="0009026C">
              <w:rPr>
                <w:rFonts w:ascii="Arial" w:hAnsi="Arial" w:cs="Arial"/>
                <w:b/>
                <w:spacing w:val="-2"/>
                <w:sz w:val="20"/>
                <w:szCs w:val="20"/>
              </w:rPr>
              <w:t>29</w:t>
            </w:r>
            <w:r w:rsidRPr="00305B63">
              <w:rPr>
                <w:rFonts w:ascii="Arial" w:hAnsi="Arial" w:cs="Arial"/>
                <w:b/>
                <w:spacing w:val="-2"/>
                <w:sz w:val="20"/>
                <w:szCs w:val="20"/>
              </w:rPr>
              <w:t>)</w:t>
            </w:r>
          </w:p>
        </w:tc>
        <w:tc>
          <w:tcPr>
            <w:tcW w:w="0" w:type="auto"/>
            <w:vAlign w:val="center"/>
          </w:tcPr>
          <w:p w14:paraId="7542280A" w14:textId="67F7CFBC" w:rsidR="00A13F77" w:rsidRPr="00305B63" w:rsidRDefault="00A13F77" w:rsidP="00237FA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w:t>
            </w:r>
            <w:r w:rsidR="0009026C">
              <w:rPr>
                <w:rFonts w:ascii="Arial" w:hAnsi="Arial" w:cs="Arial"/>
                <w:b/>
                <w:spacing w:val="-4"/>
                <w:sz w:val="20"/>
                <w:szCs w:val="20"/>
              </w:rPr>
              <w:t>29</w:t>
            </w:r>
            <w:r w:rsidRPr="00305B63">
              <w:rPr>
                <w:rFonts w:ascii="Arial" w:hAnsi="Arial" w:cs="Arial"/>
                <w:b/>
                <w:spacing w:val="-4"/>
                <w:sz w:val="20"/>
                <w:szCs w:val="20"/>
              </w:rPr>
              <w:t>)</w:t>
            </w:r>
          </w:p>
        </w:tc>
      </w:tr>
      <w:tr w:rsidR="0009026C" w14:paraId="0CC0F186" w14:textId="77777777" w:rsidTr="00A13F77">
        <w:trPr>
          <w:trHeight w:val="315"/>
        </w:trPr>
        <w:tc>
          <w:tcPr>
            <w:tcW w:w="0" w:type="auto"/>
            <w:vAlign w:val="center"/>
          </w:tcPr>
          <w:p w14:paraId="56F26C6B"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0" w:type="auto"/>
            <w:vAlign w:val="center"/>
          </w:tcPr>
          <w:p w14:paraId="2D363005" w14:textId="77777777" w:rsidR="00A13F77" w:rsidRPr="00305B63" w:rsidRDefault="00A13F77" w:rsidP="00237FA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Pr>
                <w:rFonts w:ascii="Arial" w:hAnsi="Arial" w:cs="Arial"/>
                <w:spacing w:val="-2"/>
                <w:sz w:val="20"/>
                <w:szCs w:val="20"/>
              </w:rPr>
              <w:t>flowering</w:t>
            </w:r>
          </w:p>
        </w:tc>
        <w:tc>
          <w:tcPr>
            <w:tcW w:w="0" w:type="auto"/>
            <w:vAlign w:val="center"/>
          </w:tcPr>
          <w:p w14:paraId="12DCFFEB" w14:textId="79C18FC5"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12.50</w:t>
            </w:r>
          </w:p>
        </w:tc>
        <w:tc>
          <w:tcPr>
            <w:tcW w:w="0" w:type="auto"/>
            <w:vAlign w:val="center"/>
          </w:tcPr>
          <w:p w14:paraId="43529484" w14:textId="649C22AC" w:rsidR="00A13F77" w:rsidRPr="00332140" w:rsidRDefault="00A13F77" w:rsidP="00237FA0">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83.15</w:t>
            </w:r>
          </w:p>
        </w:tc>
        <w:tc>
          <w:tcPr>
            <w:tcW w:w="0" w:type="auto"/>
            <w:vAlign w:val="center"/>
          </w:tcPr>
          <w:p w14:paraId="521863FE" w14:textId="78FBD6D6"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3.8</w:t>
            </w:r>
          </w:p>
        </w:tc>
      </w:tr>
      <w:tr w:rsidR="0009026C" w14:paraId="7C67B5A4" w14:textId="77777777" w:rsidTr="00A13F77">
        <w:trPr>
          <w:trHeight w:val="342"/>
        </w:trPr>
        <w:tc>
          <w:tcPr>
            <w:tcW w:w="0" w:type="auto"/>
            <w:vAlign w:val="center"/>
          </w:tcPr>
          <w:p w14:paraId="60FE6AE2"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0" w:type="auto"/>
            <w:vAlign w:val="center"/>
          </w:tcPr>
          <w:p w14:paraId="1B574BB3"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0" w:type="auto"/>
            <w:vAlign w:val="center"/>
          </w:tcPr>
          <w:p w14:paraId="7EFFE592" w14:textId="7C6F7A7A"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12.15</w:t>
            </w:r>
          </w:p>
        </w:tc>
        <w:tc>
          <w:tcPr>
            <w:tcW w:w="0" w:type="auto"/>
            <w:vAlign w:val="center"/>
          </w:tcPr>
          <w:p w14:paraId="3A17002F" w14:textId="2343BBE2"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58.45</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1F6EE584" w14:textId="11B048F6" w:rsidR="00A13F77" w:rsidRPr="00305B63" w:rsidRDefault="0009026C" w:rsidP="0009026C">
            <w:pPr>
              <w:pStyle w:val="TableParagraph"/>
              <w:spacing w:line="263" w:lineRule="exact"/>
              <w:ind w:left="11"/>
              <w:jc w:val="left"/>
              <w:rPr>
                <w:rFonts w:ascii="Arial" w:hAnsi="Arial" w:cs="Arial"/>
                <w:sz w:val="20"/>
                <w:szCs w:val="20"/>
              </w:rPr>
            </w:pPr>
            <w:r>
              <w:rPr>
                <w:rFonts w:ascii="Arial" w:hAnsi="Arial" w:cs="Arial"/>
                <w:sz w:val="20"/>
                <w:szCs w:val="20"/>
              </w:rPr>
              <w:t xml:space="preserve">   10.28</w:t>
            </w:r>
          </w:p>
        </w:tc>
      </w:tr>
      <w:tr w:rsidR="0009026C" w14:paraId="74CB695A" w14:textId="77777777" w:rsidTr="00A13F77">
        <w:trPr>
          <w:trHeight w:val="342"/>
        </w:trPr>
        <w:tc>
          <w:tcPr>
            <w:tcW w:w="0" w:type="auto"/>
            <w:vAlign w:val="center"/>
          </w:tcPr>
          <w:p w14:paraId="31B059BA" w14:textId="77777777" w:rsidR="00A13F77" w:rsidRPr="00305B63" w:rsidRDefault="00A13F77" w:rsidP="00237FA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0" w:type="auto"/>
            <w:vAlign w:val="center"/>
          </w:tcPr>
          <w:p w14:paraId="556F05DE"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Pr>
                <w:rFonts w:ascii="Arial" w:hAnsi="Arial" w:cs="Arial"/>
                <w:sz w:val="20"/>
                <w:szCs w:val="20"/>
              </w:rPr>
              <w:t xml:space="preserve"> (cm)</w:t>
            </w:r>
          </w:p>
        </w:tc>
        <w:tc>
          <w:tcPr>
            <w:tcW w:w="0" w:type="auto"/>
            <w:vAlign w:val="center"/>
          </w:tcPr>
          <w:p w14:paraId="1F40F290" w14:textId="2D8A4252"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93.20</w:t>
            </w:r>
          </w:p>
        </w:tc>
        <w:tc>
          <w:tcPr>
            <w:tcW w:w="0" w:type="auto"/>
            <w:vAlign w:val="center"/>
          </w:tcPr>
          <w:p w14:paraId="19A63AC8" w14:textId="1FB3AD67"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205.48</w:t>
            </w:r>
            <w:r w:rsidR="00A13F77" w:rsidRPr="00332140">
              <w:rPr>
                <w:rFonts w:ascii="Arial" w:hAnsi="Arial" w:cs="Arial"/>
                <w:b/>
                <w:sz w:val="20"/>
                <w:szCs w:val="20"/>
              </w:rPr>
              <w:t>**</w:t>
            </w:r>
          </w:p>
        </w:tc>
        <w:tc>
          <w:tcPr>
            <w:tcW w:w="0" w:type="auto"/>
            <w:vAlign w:val="center"/>
          </w:tcPr>
          <w:p w14:paraId="1929D48A" w14:textId="43586358" w:rsidR="00A13F77" w:rsidRPr="00305B63" w:rsidRDefault="0009026C" w:rsidP="00237FA0">
            <w:pPr>
              <w:pStyle w:val="TableParagraph"/>
              <w:spacing w:line="263" w:lineRule="exact"/>
              <w:ind w:left="11"/>
              <w:rPr>
                <w:rFonts w:ascii="Arial" w:hAnsi="Arial" w:cs="Arial"/>
                <w:sz w:val="20"/>
                <w:szCs w:val="20"/>
              </w:rPr>
            </w:pPr>
            <w:r>
              <w:rPr>
                <w:rFonts w:ascii="Arial" w:hAnsi="Arial" w:cs="Arial"/>
                <w:sz w:val="20"/>
                <w:szCs w:val="20"/>
              </w:rPr>
              <w:t>22.11</w:t>
            </w:r>
          </w:p>
        </w:tc>
      </w:tr>
      <w:tr w:rsidR="0009026C" w14:paraId="7A583C33" w14:textId="77777777" w:rsidTr="00A13F77">
        <w:trPr>
          <w:trHeight w:val="315"/>
        </w:trPr>
        <w:tc>
          <w:tcPr>
            <w:tcW w:w="0" w:type="auto"/>
            <w:vAlign w:val="center"/>
          </w:tcPr>
          <w:p w14:paraId="3A959CE1" w14:textId="77777777" w:rsidR="00A13F77" w:rsidRPr="00305B63" w:rsidRDefault="00A13F77" w:rsidP="00237FA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0" w:type="auto"/>
            <w:vAlign w:val="center"/>
          </w:tcPr>
          <w:p w14:paraId="18B02EE5" w14:textId="77777777" w:rsidR="00A13F77" w:rsidRPr="00305B63" w:rsidRDefault="00A13F77" w:rsidP="00237FA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branches per plant</w:t>
            </w:r>
          </w:p>
        </w:tc>
        <w:tc>
          <w:tcPr>
            <w:tcW w:w="0" w:type="auto"/>
            <w:vAlign w:val="center"/>
          </w:tcPr>
          <w:p w14:paraId="3A03C1C9" w14:textId="472610DB" w:rsidR="00A13F77" w:rsidRPr="00305B63" w:rsidRDefault="0009026C" w:rsidP="00237FA0">
            <w:pPr>
              <w:pStyle w:val="TableParagraph"/>
              <w:spacing w:line="261" w:lineRule="exact"/>
              <w:ind w:left="9"/>
              <w:rPr>
                <w:rFonts w:ascii="Arial" w:hAnsi="Arial" w:cs="Arial"/>
                <w:sz w:val="20"/>
                <w:szCs w:val="20"/>
              </w:rPr>
            </w:pPr>
            <w:r>
              <w:rPr>
                <w:rFonts w:ascii="Arial" w:hAnsi="Arial" w:cs="Arial"/>
                <w:sz w:val="20"/>
                <w:szCs w:val="20"/>
              </w:rPr>
              <w:t>0.322</w:t>
            </w:r>
          </w:p>
        </w:tc>
        <w:tc>
          <w:tcPr>
            <w:tcW w:w="0" w:type="auto"/>
            <w:vAlign w:val="center"/>
          </w:tcPr>
          <w:p w14:paraId="3D2E1782" w14:textId="38177FF3" w:rsidR="00A13F77" w:rsidRPr="00BC2907" w:rsidRDefault="0009026C" w:rsidP="00237FA0">
            <w:pPr>
              <w:pStyle w:val="TableParagraph"/>
              <w:spacing w:line="261" w:lineRule="exact"/>
              <w:rPr>
                <w:rFonts w:ascii="Arial" w:hAnsi="Arial" w:cs="Arial"/>
                <w:b/>
                <w:sz w:val="20"/>
                <w:szCs w:val="20"/>
              </w:rPr>
            </w:pPr>
            <w:r>
              <w:rPr>
                <w:rFonts w:ascii="Arial" w:hAnsi="Arial" w:cs="Arial"/>
                <w:b/>
                <w:sz w:val="20"/>
                <w:szCs w:val="20"/>
              </w:rPr>
              <w:t>1.158</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2C48A7C0" w14:textId="1EE67BE6" w:rsidR="00A13F77" w:rsidRPr="00305B63" w:rsidRDefault="0009026C" w:rsidP="00237FA0">
            <w:pPr>
              <w:pStyle w:val="TableParagraph"/>
              <w:spacing w:line="261" w:lineRule="exact"/>
              <w:ind w:left="11"/>
              <w:rPr>
                <w:rFonts w:ascii="Arial" w:hAnsi="Arial" w:cs="Arial"/>
                <w:sz w:val="20"/>
                <w:szCs w:val="20"/>
              </w:rPr>
            </w:pPr>
            <w:r>
              <w:rPr>
                <w:rFonts w:ascii="Arial" w:hAnsi="Arial" w:cs="Arial"/>
                <w:sz w:val="20"/>
                <w:szCs w:val="20"/>
              </w:rPr>
              <w:t>0.08</w:t>
            </w:r>
          </w:p>
        </w:tc>
      </w:tr>
      <w:tr w:rsidR="0009026C" w14:paraId="09BE65DC" w14:textId="77777777" w:rsidTr="00A13F77">
        <w:trPr>
          <w:trHeight w:val="315"/>
        </w:trPr>
        <w:tc>
          <w:tcPr>
            <w:tcW w:w="0" w:type="auto"/>
            <w:vAlign w:val="center"/>
          </w:tcPr>
          <w:p w14:paraId="260A6D5C"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0" w:type="auto"/>
            <w:vAlign w:val="center"/>
          </w:tcPr>
          <w:p w14:paraId="79122D92" w14:textId="77777777" w:rsidR="00A13F77" w:rsidRPr="00305B63" w:rsidRDefault="00A13F77" w:rsidP="00237FA0">
            <w:pPr>
              <w:pStyle w:val="TableParagraph"/>
              <w:spacing w:line="260" w:lineRule="exact"/>
              <w:ind w:left="11" w:right="1"/>
              <w:rPr>
                <w:rFonts w:ascii="Arial" w:hAnsi="Arial" w:cs="Arial"/>
                <w:sz w:val="20"/>
                <w:szCs w:val="20"/>
              </w:rPr>
            </w:pPr>
            <w:r>
              <w:rPr>
                <w:rFonts w:ascii="Arial" w:hAnsi="Arial" w:cs="Arial"/>
                <w:sz w:val="20"/>
                <w:szCs w:val="20"/>
              </w:rPr>
              <w:t>Number of capsules per plant</w:t>
            </w:r>
          </w:p>
        </w:tc>
        <w:tc>
          <w:tcPr>
            <w:tcW w:w="0" w:type="auto"/>
            <w:vAlign w:val="center"/>
          </w:tcPr>
          <w:p w14:paraId="496B415C" w14:textId="7F905C51"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17.28</w:t>
            </w:r>
          </w:p>
        </w:tc>
        <w:tc>
          <w:tcPr>
            <w:tcW w:w="0" w:type="auto"/>
            <w:vAlign w:val="center"/>
          </w:tcPr>
          <w:p w14:paraId="32B7420F" w14:textId="6C1DAF88" w:rsidR="00A13F77" w:rsidRPr="00BC2907" w:rsidRDefault="0009026C" w:rsidP="00237FA0">
            <w:pPr>
              <w:pStyle w:val="TableParagraph"/>
              <w:spacing w:line="260" w:lineRule="exact"/>
              <w:rPr>
                <w:rFonts w:ascii="Arial" w:hAnsi="Arial" w:cs="Arial"/>
                <w:b/>
                <w:sz w:val="20"/>
                <w:szCs w:val="20"/>
              </w:rPr>
            </w:pPr>
            <w:r>
              <w:rPr>
                <w:rFonts w:ascii="Arial" w:hAnsi="Arial" w:cs="Arial"/>
                <w:b/>
                <w:sz w:val="20"/>
                <w:szCs w:val="20"/>
              </w:rPr>
              <w:t>118.95</w:t>
            </w:r>
            <w:r w:rsidR="00A13F77" w:rsidRPr="00332140">
              <w:rPr>
                <w:rFonts w:ascii="Arial" w:hAnsi="Arial" w:cs="Arial"/>
                <w:b/>
                <w:sz w:val="20"/>
                <w:szCs w:val="20"/>
              </w:rPr>
              <w:t>**</w:t>
            </w:r>
          </w:p>
        </w:tc>
        <w:tc>
          <w:tcPr>
            <w:tcW w:w="0" w:type="auto"/>
            <w:vAlign w:val="center"/>
          </w:tcPr>
          <w:p w14:paraId="3B6E18E9" w14:textId="4CF6E8C0"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16.75</w:t>
            </w:r>
          </w:p>
        </w:tc>
      </w:tr>
      <w:tr w:rsidR="0009026C" w14:paraId="2E8341B6" w14:textId="77777777" w:rsidTr="00A13F77">
        <w:trPr>
          <w:trHeight w:val="315"/>
        </w:trPr>
        <w:tc>
          <w:tcPr>
            <w:tcW w:w="0" w:type="auto"/>
            <w:vAlign w:val="center"/>
          </w:tcPr>
          <w:p w14:paraId="685659C6"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0" w:type="auto"/>
            <w:vAlign w:val="center"/>
          </w:tcPr>
          <w:p w14:paraId="53BEEB41" w14:textId="77777777" w:rsidR="00A13F77" w:rsidRPr="00305B63" w:rsidRDefault="00A13F77" w:rsidP="00237FA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seeds per capsule</w:t>
            </w:r>
          </w:p>
        </w:tc>
        <w:tc>
          <w:tcPr>
            <w:tcW w:w="0" w:type="auto"/>
            <w:vAlign w:val="center"/>
          </w:tcPr>
          <w:p w14:paraId="5E53ECC9" w14:textId="466FBABE"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3.6</w:t>
            </w:r>
          </w:p>
        </w:tc>
        <w:tc>
          <w:tcPr>
            <w:tcW w:w="0" w:type="auto"/>
            <w:vAlign w:val="center"/>
          </w:tcPr>
          <w:p w14:paraId="54AFC27F" w14:textId="515FC785"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38.43</w:t>
            </w:r>
            <w:r w:rsidR="00A13F77" w:rsidRPr="00332140">
              <w:rPr>
                <w:rFonts w:ascii="Arial" w:hAnsi="Arial" w:cs="Arial"/>
                <w:b/>
                <w:sz w:val="20"/>
                <w:szCs w:val="20"/>
              </w:rPr>
              <w:t>**</w:t>
            </w:r>
          </w:p>
        </w:tc>
        <w:tc>
          <w:tcPr>
            <w:tcW w:w="0" w:type="auto"/>
            <w:vAlign w:val="center"/>
          </w:tcPr>
          <w:p w14:paraId="75C5560E" w14:textId="5BBEE325"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13.50</w:t>
            </w:r>
          </w:p>
        </w:tc>
      </w:tr>
      <w:tr w:rsidR="0009026C" w14:paraId="16B1251F" w14:textId="77777777" w:rsidTr="00A13F77">
        <w:trPr>
          <w:trHeight w:val="317"/>
        </w:trPr>
        <w:tc>
          <w:tcPr>
            <w:tcW w:w="0" w:type="auto"/>
            <w:vAlign w:val="center"/>
          </w:tcPr>
          <w:p w14:paraId="7C7CA8DF" w14:textId="77777777" w:rsidR="00A13F77" w:rsidRPr="00305B63" w:rsidRDefault="00A13F77" w:rsidP="00237FA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0" w:type="auto"/>
            <w:vAlign w:val="center"/>
          </w:tcPr>
          <w:p w14:paraId="55677756" w14:textId="2491D922" w:rsidR="00A13F77" w:rsidRPr="00305B63" w:rsidRDefault="0009026C" w:rsidP="00237FA0">
            <w:pPr>
              <w:pStyle w:val="TableParagraph"/>
              <w:spacing w:line="263" w:lineRule="exact"/>
              <w:ind w:left="11" w:right="2"/>
              <w:rPr>
                <w:rFonts w:ascii="Arial" w:hAnsi="Arial" w:cs="Arial"/>
                <w:sz w:val="20"/>
                <w:szCs w:val="20"/>
              </w:rPr>
            </w:pPr>
            <w:r>
              <w:rPr>
                <w:rFonts w:ascii="Arial" w:hAnsi="Arial" w:cs="Arial"/>
                <w:sz w:val="20"/>
                <w:szCs w:val="20"/>
              </w:rPr>
              <w:t>Length of capsule</w:t>
            </w:r>
          </w:p>
        </w:tc>
        <w:tc>
          <w:tcPr>
            <w:tcW w:w="0" w:type="auto"/>
            <w:vAlign w:val="center"/>
          </w:tcPr>
          <w:p w14:paraId="7D59EFB0" w14:textId="3CF3F94B"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0.1406</w:t>
            </w:r>
          </w:p>
        </w:tc>
        <w:tc>
          <w:tcPr>
            <w:tcW w:w="0" w:type="auto"/>
            <w:vAlign w:val="center"/>
          </w:tcPr>
          <w:p w14:paraId="7E4D1DC8" w14:textId="700A44B0"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0.5819</w:t>
            </w:r>
            <w:r w:rsidR="00A13F77" w:rsidRPr="00332140">
              <w:rPr>
                <w:rFonts w:ascii="Arial" w:hAnsi="Arial" w:cs="Arial"/>
                <w:b/>
                <w:sz w:val="20"/>
                <w:szCs w:val="20"/>
              </w:rPr>
              <w:t>**</w:t>
            </w:r>
          </w:p>
        </w:tc>
        <w:tc>
          <w:tcPr>
            <w:tcW w:w="0" w:type="auto"/>
            <w:vAlign w:val="center"/>
          </w:tcPr>
          <w:p w14:paraId="6F7C82C1" w14:textId="5F8F54DF" w:rsidR="00A13F77" w:rsidRPr="00305B63" w:rsidRDefault="00A11A41" w:rsidP="00237FA0">
            <w:pPr>
              <w:pStyle w:val="TableParagraph"/>
              <w:spacing w:line="263" w:lineRule="exact"/>
              <w:ind w:left="11"/>
              <w:rPr>
                <w:rFonts w:ascii="Arial" w:hAnsi="Arial" w:cs="Arial"/>
                <w:sz w:val="20"/>
                <w:szCs w:val="20"/>
              </w:rPr>
            </w:pPr>
            <w:r>
              <w:rPr>
                <w:rFonts w:ascii="Arial" w:hAnsi="Arial" w:cs="Arial"/>
                <w:sz w:val="20"/>
                <w:szCs w:val="20"/>
              </w:rPr>
              <w:t>0.035</w:t>
            </w:r>
          </w:p>
        </w:tc>
      </w:tr>
      <w:tr w:rsidR="0009026C" w14:paraId="5D70D697" w14:textId="77777777" w:rsidTr="00A13F77">
        <w:trPr>
          <w:trHeight w:val="315"/>
        </w:trPr>
        <w:tc>
          <w:tcPr>
            <w:tcW w:w="0" w:type="auto"/>
            <w:vAlign w:val="center"/>
          </w:tcPr>
          <w:p w14:paraId="24E9C53E"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0" w:type="auto"/>
            <w:vAlign w:val="center"/>
          </w:tcPr>
          <w:p w14:paraId="3740B118" w14:textId="4893F5C5" w:rsidR="00A13F77" w:rsidRPr="00305B63" w:rsidRDefault="0009026C" w:rsidP="00237FA0">
            <w:pPr>
              <w:pStyle w:val="TableParagraph"/>
              <w:spacing w:line="260" w:lineRule="exact"/>
              <w:ind w:left="11" w:right="6"/>
              <w:rPr>
                <w:rFonts w:ascii="Arial" w:hAnsi="Arial" w:cs="Arial"/>
                <w:sz w:val="20"/>
                <w:szCs w:val="20"/>
              </w:rPr>
            </w:pPr>
            <w:r>
              <w:rPr>
                <w:rFonts w:ascii="Arial" w:hAnsi="Arial" w:cs="Arial"/>
                <w:sz w:val="20"/>
                <w:szCs w:val="20"/>
              </w:rPr>
              <w:t>1000-seed weight (g)</w:t>
            </w:r>
          </w:p>
        </w:tc>
        <w:tc>
          <w:tcPr>
            <w:tcW w:w="0" w:type="auto"/>
            <w:vAlign w:val="center"/>
          </w:tcPr>
          <w:p w14:paraId="47D6A9D4" w14:textId="2CE05344" w:rsidR="00A13F77" w:rsidRPr="00305B63" w:rsidRDefault="00A11A41" w:rsidP="00A11A41">
            <w:pPr>
              <w:pStyle w:val="TableParagraph"/>
              <w:spacing w:line="260" w:lineRule="exact"/>
              <w:ind w:left="9"/>
              <w:jc w:val="left"/>
              <w:rPr>
                <w:rFonts w:ascii="Arial" w:hAnsi="Arial" w:cs="Arial"/>
                <w:sz w:val="20"/>
                <w:szCs w:val="20"/>
              </w:rPr>
            </w:pPr>
            <w:r>
              <w:rPr>
                <w:rFonts w:ascii="Arial" w:hAnsi="Arial" w:cs="Arial"/>
                <w:sz w:val="20"/>
                <w:szCs w:val="20"/>
              </w:rPr>
              <w:t xml:space="preserve">              0.013</w:t>
            </w:r>
          </w:p>
        </w:tc>
        <w:tc>
          <w:tcPr>
            <w:tcW w:w="0" w:type="auto"/>
            <w:vAlign w:val="center"/>
          </w:tcPr>
          <w:p w14:paraId="113E0821" w14:textId="746E1FCE"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0.330</w:t>
            </w:r>
            <w:r w:rsidR="00A13F77" w:rsidRPr="00332140">
              <w:rPr>
                <w:rFonts w:ascii="Arial" w:hAnsi="Arial" w:cs="Arial"/>
                <w:b/>
                <w:sz w:val="20"/>
                <w:szCs w:val="20"/>
              </w:rPr>
              <w:t>**</w:t>
            </w:r>
          </w:p>
        </w:tc>
        <w:tc>
          <w:tcPr>
            <w:tcW w:w="0" w:type="auto"/>
            <w:vAlign w:val="center"/>
          </w:tcPr>
          <w:p w14:paraId="13CA92DD" w14:textId="1F099612"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0.050</w:t>
            </w:r>
          </w:p>
        </w:tc>
      </w:tr>
      <w:tr w:rsidR="0009026C" w14:paraId="621E23A1" w14:textId="77777777" w:rsidTr="00A13F77">
        <w:trPr>
          <w:trHeight w:val="315"/>
        </w:trPr>
        <w:tc>
          <w:tcPr>
            <w:tcW w:w="0" w:type="auto"/>
            <w:vAlign w:val="center"/>
          </w:tcPr>
          <w:p w14:paraId="4CE5426F"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0" w:type="auto"/>
            <w:vAlign w:val="center"/>
          </w:tcPr>
          <w:p w14:paraId="12328587" w14:textId="77777777" w:rsidR="00A13F77" w:rsidRPr="00305B63" w:rsidRDefault="00A13F77" w:rsidP="00237FA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0" w:type="auto"/>
            <w:vAlign w:val="center"/>
          </w:tcPr>
          <w:p w14:paraId="3739406B" w14:textId="4C588103"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0.36</w:t>
            </w:r>
          </w:p>
        </w:tc>
        <w:tc>
          <w:tcPr>
            <w:tcW w:w="0" w:type="auto"/>
            <w:vAlign w:val="center"/>
          </w:tcPr>
          <w:p w14:paraId="2A692170" w14:textId="08F3090C"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24.72</w:t>
            </w:r>
            <w:r w:rsidR="00A13F77" w:rsidRPr="00332140">
              <w:rPr>
                <w:rFonts w:ascii="Arial" w:hAnsi="Arial" w:cs="Arial"/>
                <w:b/>
                <w:sz w:val="20"/>
                <w:szCs w:val="20"/>
              </w:rPr>
              <w:t>**</w:t>
            </w:r>
          </w:p>
        </w:tc>
        <w:tc>
          <w:tcPr>
            <w:tcW w:w="0" w:type="auto"/>
            <w:vAlign w:val="center"/>
          </w:tcPr>
          <w:p w14:paraId="1E3493FD" w14:textId="48715FB1"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w:t>
            </w:r>
          </w:p>
        </w:tc>
      </w:tr>
      <w:tr w:rsidR="0009026C" w14:paraId="4C8DE652" w14:textId="77777777" w:rsidTr="00A13F77">
        <w:trPr>
          <w:trHeight w:val="317"/>
        </w:trPr>
        <w:tc>
          <w:tcPr>
            <w:tcW w:w="0" w:type="auto"/>
            <w:vAlign w:val="center"/>
          </w:tcPr>
          <w:p w14:paraId="3949C5B5"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0" w:type="auto"/>
            <w:vAlign w:val="center"/>
          </w:tcPr>
          <w:p w14:paraId="5E329202" w14:textId="77777777" w:rsidR="00A13F77" w:rsidRPr="00305B63" w:rsidRDefault="00A13F77" w:rsidP="00237FA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0" w:type="auto"/>
            <w:vAlign w:val="center"/>
          </w:tcPr>
          <w:p w14:paraId="55184E16" w14:textId="67F68E2E"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0.24</w:t>
            </w:r>
          </w:p>
        </w:tc>
        <w:tc>
          <w:tcPr>
            <w:tcW w:w="0" w:type="auto"/>
            <w:vAlign w:val="center"/>
          </w:tcPr>
          <w:p w14:paraId="20788965" w14:textId="06F8218B"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9.12</w:t>
            </w:r>
            <w:r w:rsidR="00A13F77" w:rsidRPr="00332140">
              <w:rPr>
                <w:rFonts w:ascii="Arial" w:hAnsi="Arial" w:cs="Arial"/>
                <w:b/>
                <w:sz w:val="20"/>
                <w:szCs w:val="20"/>
              </w:rPr>
              <w:t>**</w:t>
            </w:r>
          </w:p>
        </w:tc>
        <w:tc>
          <w:tcPr>
            <w:tcW w:w="0" w:type="auto"/>
            <w:vAlign w:val="center"/>
          </w:tcPr>
          <w:p w14:paraId="4B3BB4A4" w14:textId="3DD000A7" w:rsidR="00A13F77" w:rsidRPr="00305B63" w:rsidRDefault="00A13F77" w:rsidP="00237FA0">
            <w:pPr>
              <w:pStyle w:val="TableParagraph"/>
              <w:spacing w:line="263" w:lineRule="exact"/>
              <w:ind w:left="11"/>
              <w:rPr>
                <w:rFonts w:ascii="Arial" w:hAnsi="Arial" w:cs="Arial"/>
                <w:sz w:val="20"/>
                <w:szCs w:val="20"/>
              </w:rPr>
            </w:pPr>
            <w:r>
              <w:rPr>
                <w:rFonts w:ascii="Arial" w:hAnsi="Arial" w:cs="Arial"/>
                <w:sz w:val="20"/>
                <w:szCs w:val="20"/>
              </w:rPr>
              <w:t>0.</w:t>
            </w:r>
            <w:r w:rsidR="00A11A41">
              <w:rPr>
                <w:rFonts w:ascii="Arial" w:hAnsi="Arial" w:cs="Arial"/>
                <w:sz w:val="20"/>
                <w:szCs w:val="20"/>
              </w:rPr>
              <w:t>866</w:t>
            </w:r>
          </w:p>
        </w:tc>
      </w:tr>
    </w:tbl>
    <w:p w14:paraId="325869BC" w14:textId="77777777" w:rsidR="00A13F77" w:rsidRDefault="00A13F77" w:rsidP="00441B6F">
      <w:pPr>
        <w:tabs>
          <w:tab w:val="left" w:pos="1080"/>
        </w:tabs>
        <w:jc w:val="both"/>
        <w:rPr>
          <w:rFonts w:ascii="Arial" w:eastAsia="Calibri" w:hAnsi="Arial" w:cs="Arial"/>
          <w:b/>
          <w:bCs/>
          <w:color w:val="000000" w:themeColor="text1"/>
        </w:rPr>
      </w:pPr>
    </w:p>
    <w:p w14:paraId="2B67549E" w14:textId="77777777" w:rsidR="00A13F77" w:rsidRDefault="00A13F77" w:rsidP="00A13F77">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72FEC349" w14:textId="77777777" w:rsidR="00B554B7" w:rsidRDefault="00A11A41" w:rsidP="00B554B7">
      <w:pPr>
        <w:spacing w:before="120" w:after="120"/>
        <w:rPr>
          <w:rFonts w:ascii="Arial" w:hAnsi="Arial" w:cs="Arial"/>
          <w:b/>
          <w:sz w:val="22"/>
          <w:szCs w:val="22"/>
        </w:rPr>
      </w:pPr>
      <w:r w:rsidRPr="0072426E">
        <w:rPr>
          <w:rFonts w:ascii="Arial" w:hAnsi="Arial" w:cs="Arial"/>
          <w:b/>
          <w:bCs/>
          <w:sz w:val="22"/>
          <w:szCs w:val="22"/>
        </w:rPr>
        <w:lastRenderedPageBreak/>
        <w:t>3.2</w:t>
      </w:r>
      <w:r>
        <w:rPr>
          <w:rFonts w:ascii="Arial" w:hAnsi="Arial" w:cs="Arial"/>
          <w:sz w:val="22"/>
          <w:szCs w:val="22"/>
        </w:rPr>
        <w:t xml:space="preserve"> </w:t>
      </w:r>
      <w:r w:rsidRPr="00662494">
        <w:rPr>
          <w:rFonts w:ascii="Arial" w:hAnsi="Arial" w:cs="Arial"/>
          <w:b/>
          <w:sz w:val="22"/>
          <w:szCs w:val="22"/>
        </w:rPr>
        <w:t>Mean Performanc</w:t>
      </w:r>
      <w:r>
        <w:rPr>
          <w:rFonts w:ascii="Arial" w:hAnsi="Arial" w:cs="Arial"/>
          <w:b/>
          <w:sz w:val="22"/>
          <w:szCs w:val="22"/>
        </w:rPr>
        <w:t>e</w:t>
      </w:r>
    </w:p>
    <w:p w14:paraId="0A954288"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Based on the mean performance, the highest seed yield per plant was recorded in genotypes JLS-1411-1-1 (14.60 g) and TS-13 (14.60 g), followed by TLT-13-1 (13.95 g), JLS-1417-4-3 (13.60 g), and JLS-1512-35-2 (13.55 g), highlighting their potential as high-yielding genotypes for future varietal improvement programs. Similarly, the highest oil content was noted in JLS-1512-35-2 (48.50%), followed by TLT-10 (48.25%), JLS-1411-1-1 (47.65%), and TS-13 (47.65%), suggesting these genotypes as promising candidates for improving oil quality in sesame.</w:t>
      </w:r>
    </w:p>
    <w:p w14:paraId="1B260837"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Notably, early flowering was observed in LT-109 (41.50 days), TLT-12 (43 days), LT-105 (47 days), and LT-111 (47 days). These early flowering genotypes are particularly valuable in regions prone to terminal drought stress, as they allow the crop to complete its reproductive phase before adverse environmental conditions set in, thereby contributing to yield stability under moisture-limited environments.</w:t>
      </w:r>
    </w:p>
    <w:p w14:paraId="1D15F149"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Regarding maturity, genotypes such as TS-50 (91.50 days), TS-110 (91.50 days), TLT-09 (93 days), TLT-05-2 (93 days), and TLT-13-1 (93 days) exhibited early maturity. These genotypes are suitable for early harvesting and can support double cropping systems or post-rainy season cultivation, ultimately enhancing cropping intensity and farm profitability.</w:t>
      </w:r>
    </w:p>
    <w:p w14:paraId="6DD6460C" w14:textId="77777777" w:rsidR="00510981" w:rsidRPr="00510981" w:rsidRDefault="00510981" w:rsidP="00510981">
      <w:pPr>
        <w:pStyle w:val="Body"/>
        <w:spacing w:after="0"/>
        <w:rPr>
          <w:rFonts w:ascii="Arial" w:hAnsi="Arial" w:cs="Arial"/>
          <w:lang w:val="en-IN"/>
        </w:rPr>
      </w:pPr>
      <w:r w:rsidRPr="00510981">
        <w:rPr>
          <w:rFonts w:ascii="Arial" w:hAnsi="Arial" w:cs="Arial"/>
          <w:lang w:val="en-IN"/>
        </w:rPr>
        <w:t>Additionally, dwarf plant height was recorded in TS-113 (79.50 cm), TLT-7 (90 cm), LT-107 (92 cm), LT-111 (92.50 cm), and JLT-408 (93.60 cm). Dwarf genotypes are beneficial as they offer better lodging resistance under high-input conditions and are more suitable for dense planting, improving plant stand stability and potentially increasing yield per unit area.</w:t>
      </w:r>
    </w:p>
    <w:p w14:paraId="16283747" w14:textId="77777777" w:rsidR="00646372" w:rsidRDefault="00646372" w:rsidP="00B554B7">
      <w:pPr>
        <w:pStyle w:val="Body"/>
        <w:spacing w:after="0"/>
        <w:rPr>
          <w:rFonts w:ascii="Arial" w:hAnsi="Arial" w:cs="Arial"/>
          <w:lang w:val="en-IN"/>
        </w:rPr>
      </w:pPr>
    </w:p>
    <w:p w14:paraId="53DB7A78" w14:textId="77777777" w:rsidR="00646372" w:rsidRPr="00AC1718" w:rsidRDefault="00646372" w:rsidP="00646372">
      <w:pPr>
        <w:pStyle w:val="Body"/>
        <w:spacing w:after="0"/>
        <w:rPr>
          <w:rFonts w:ascii="Arial" w:hAnsi="Arial" w:cs="Arial"/>
          <w:b/>
          <w:bCs/>
          <w:sz w:val="22"/>
          <w:szCs w:val="22"/>
        </w:rPr>
      </w:pPr>
      <w:r w:rsidRPr="00AC1718">
        <w:rPr>
          <w:rFonts w:ascii="Arial" w:hAnsi="Arial" w:cs="Arial"/>
          <w:b/>
          <w:bCs/>
          <w:sz w:val="22"/>
          <w:szCs w:val="22"/>
        </w:rPr>
        <w:t>3.3 Genotypic and Phenotypic coefficient of Variation</w:t>
      </w:r>
    </w:p>
    <w:p w14:paraId="09814244" w14:textId="4E67459B" w:rsidR="00EB6A2D" w:rsidRPr="00DF5736" w:rsidRDefault="00510981" w:rsidP="00EB6A2D">
      <w:pPr>
        <w:ind w:firstLine="567"/>
        <w:jc w:val="both"/>
        <w:outlineLvl w:val="1"/>
        <w:rPr>
          <w:rFonts w:ascii="Arial" w:hAnsi="Arial" w:cs="Arial"/>
        </w:rPr>
      </w:pPr>
      <w:r w:rsidRPr="00DF5736">
        <w:rPr>
          <w:rFonts w:ascii="Arial" w:hAnsi="Arial" w:cs="Arial"/>
        </w:rPr>
        <w:t>Variance is a statistical measure that reflects the extent of variability observed in quantitative traits within a population. While phenotypic variance represents the total observed variation, it does not accurately indicate the portion that can be fixed in subsequent generations. In contrast, genotypic variance accounts for the heritable portion of variation that can be passed on and fixed through selection. Environmental variance, however, varies across locations and cannot be inherited or fixed</w:t>
      </w:r>
      <w:r w:rsidR="00EB6A2D" w:rsidRPr="00DF5736">
        <w:rPr>
          <w:rFonts w:ascii="Arial" w:hAnsi="Arial" w:cs="Arial"/>
        </w:rPr>
        <w:t>.</w:t>
      </w:r>
    </w:p>
    <w:p w14:paraId="5E79C5EE" w14:textId="54BA48DB" w:rsidR="00510981" w:rsidRPr="00DF5736" w:rsidRDefault="00510981" w:rsidP="000E5687">
      <w:pPr>
        <w:ind w:firstLine="567"/>
        <w:jc w:val="both"/>
        <w:outlineLvl w:val="1"/>
        <w:rPr>
          <w:rFonts w:ascii="Arial" w:hAnsi="Arial" w:cs="Arial"/>
        </w:rPr>
      </w:pPr>
      <w:r w:rsidRPr="00DF5736">
        <w:rPr>
          <w:rFonts w:ascii="Arial" w:hAnsi="Arial" w:cs="Arial"/>
        </w:rPr>
        <w:t>High values of genotypic coefficient of variation (GCV) and phenotypic coefficient of variation (PCV) were observed for seed yield per plant (GCV = 19.01%, PCV = 19.98%), indicating substantial genetic variability with minimal environmental influence, making this trait highly amenable to improvement through simple selection methods</w:t>
      </w:r>
      <w:r w:rsidR="00003F25" w:rsidRPr="00DF5736">
        <w:rPr>
          <w:rFonts w:ascii="Arial" w:hAnsi="Arial" w:cs="Arial"/>
        </w:rPr>
        <w:t xml:space="preserve"> </w:t>
      </w:r>
      <w:r w:rsidR="00077EFF" w:rsidRPr="00DF5736">
        <w:rPr>
          <w:rFonts w:ascii="Arial" w:hAnsi="Arial" w:cs="Arial"/>
        </w:rPr>
        <w:t>similar</w:t>
      </w:r>
      <w:r w:rsidR="00003F25" w:rsidRPr="00DF5736">
        <w:rPr>
          <w:rFonts w:ascii="Arial" w:hAnsi="Arial" w:cs="Arial"/>
        </w:rPr>
        <w:t xml:space="preserve"> finding reported by</w:t>
      </w:r>
      <w:r w:rsidRPr="00DF5736">
        <w:rPr>
          <w:rFonts w:ascii="Arial" w:hAnsi="Arial" w:cs="Arial"/>
        </w:rPr>
        <w:t xml:space="preserve"> Mahla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2024</w:t>
      </w:r>
      <w:r w:rsidR="00003F25" w:rsidRPr="00DF5736">
        <w:rPr>
          <w:rFonts w:ascii="Arial" w:hAnsi="Arial" w:cs="Arial"/>
        </w:rPr>
        <w:t>)</w:t>
      </w:r>
      <w:r w:rsidRPr="00DF5736">
        <w:rPr>
          <w:rFonts w:ascii="Arial" w:hAnsi="Arial" w:cs="Arial"/>
        </w:rPr>
        <w:t xml:space="preserve"> </w:t>
      </w:r>
      <w:proofErr w:type="spellStart"/>
      <w:r w:rsidRPr="00DF5736">
        <w:rPr>
          <w:rFonts w:ascii="Arial" w:hAnsi="Arial" w:cs="Arial"/>
        </w:rPr>
        <w:t>Akkigunta</w:t>
      </w:r>
      <w:proofErr w:type="spellEnd"/>
      <w:r w:rsidRPr="00DF5736">
        <w:rPr>
          <w:rFonts w:ascii="Arial" w:hAnsi="Arial" w:cs="Arial"/>
        </w:rPr>
        <w:t xml:space="preserve">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 xml:space="preserve">2024). Similarly, the number of branches per plant recorded high GCV (19.31%) and PCV (20.40%), suggesting sufficient scope for effective selection (Kumar </w:t>
      </w:r>
      <w:r w:rsidRPr="00DF5736">
        <w:rPr>
          <w:rFonts w:ascii="Arial" w:hAnsi="Arial" w:cs="Arial"/>
          <w:i/>
          <w:iCs/>
        </w:rPr>
        <w:t>et al.</w:t>
      </w:r>
      <w:r w:rsidRPr="00DF5736">
        <w:rPr>
          <w:rFonts w:ascii="Arial" w:hAnsi="Arial" w:cs="Arial"/>
        </w:rPr>
        <w:t xml:space="preserve">, 2022). Capsule length also exhibited high variability, with GCV and PCV values of 18.20% and 18.78%, respectively, indicating strong genetic diversity and stability across environments (Kumar and Kumari, 2022; Kiruthika </w:t>
      </w:r>
      <w:r w:rsidRPr="00DF5736">
        <w:rPr>
          <w:rFonts w:ascii="Arial" w:hAnsi="Arial" w:cs="Arial"/>
          <w:i/>
          <w:iCs/>
        </w:rPr>
        <w:t>et al.</w:t>
      </w:r>
      <w:r w:rsidRPr="00DF5736">
        <w:rPr>
          <w:rFonts w:ascii="Arial" w:hAnsi="Arial" w:cs="Arial"/>
        </w:rPr>
        <w:t xml:space="preserve">, 2018). Moderate estimates of GCV and PCV were noted for the number of capsules per plant (GCV = 12.21%, PCV = 13.17%), suggesting a moderate level of variability suitable for genetic enhancement </w:t>
      </w:r>
      <w:r w:rsidR="00003F25" w:rsidRPr="00DF5736">
        <w:rPr>
          <w:rFonts w:ascii="Arial" w:hAnsi="Arial" w:cs="Arial"/>
        </w:rPr>
        <w:t xml:space="preserve">similar findings reported by </w:t>
      </w:r>
      <w:r w:rsidRPr="00DF5736">
        <w:rPr>
          <w:rFonts w:ascii="Arial" w:hAnsi="Arial" w:cs="Arial"/>
        </w:rPr>
        <w:t xml:space="preserve">Vamshi </w:t>
      </w:r>
      <w:r w:rsidR="00003F25" w:rsidRPr="00DF5736">
        <w:rPr>
          <w:rFonts w:ascii="Arial" w:hAnsi="Arial" w:cs="Arial"/>
          <w:i/>
          <w:iCs/>
        </w:rPr>
        <w:t>et al.</w:t>
      </w:r>
      <w:r w:rsidR="00003F25" w:rsidRPr="00DF5736">
        <w:rPr>
          <w:rFonts w:ascii="Arial" w:hAnsi="Arial" w:cs="Arial"/>
        </w:rPr>
        <w:t>, (2021</w:t>
      </w:r>
      <w:r w:rsidRPr="00DF5736">
        <w:rPr>
          <w:rFonts w:ascii="Arial" w:hAnsi="Arial" w:cs="Arial"/>
        </w:rPr>
        <w:t xml:space="preserve">). Likewise, 1000-seed weight displayed moderate variability (GCV = 12.28%, PCV = 13.34%), indicating good potential for improvement through selection (Kiruthika </w:t>
      </w:r>
      <w:r w:rsidRPr="00C74A69">
        <w:rPr>
          <w:rFonts w:ascii="Arial" w:hAnsi="Arial" w:cs="Arial"/>
          <w:i/>
          <w:iCs/>
        </w:rPr>
        <w:t>et al.</w:t>
      </w:r>
      <w:r w:rsidRPr="00DF5736">
        <w:rPr>
          <w:rFonts w:ascii="Arial" w:hAnsi="Arial" w:cs="Arial"/>
        </w:rPr>
        <w:t>, 2018). Days to 50% flowering showed moderate GCV (11.91%) and PCV (12.16%), reflecting stable inheritance and limited environmental influence</w:t>
      </w:r>
      <w:r w:rsidR="00003F25" w:rsidRPr="00DF5736">
        <w:rPr>
          <w:rFonts w:ascii="Arial" w:hAnsi="Arial" w:cs="Arial"/>
        </w:rPr>
        <w:t xml:space="preserve"> similar findings reported by</w:t>
      </w:r>
      <w:r w:rsidRPr="00DF5736">
        <w:rPr>
          <w:rFonts w:ascii="Arial" w:hAnsi="Arial" w:cs="Arial"/>
        </w:rPr>
        <w:t xml:space="preserve"> Anuradha </w:t>
      </w:r>
      <w:r w:rsidR="00003F25" w:rsidRPr="00C74A69">
        <w:rPr>
          <w:rFonts w:ascii="Arial" w:hAnsi="Arial" w:cs="Arial"/>
          <w:i/>
          <w:iCs/>
        </w:rPr>
        <w:t>et al.</w:t>
      </w:r>
      <w:r w:rsidR="00003F25" w:rsidRPr="00DF5736">
        <w:rPr>
          <w:rFonts w:ascii="Arial" w:hAnsi="Arial" w:cs="Arial"/>
        </w:rPr>
        <w:t>, (2017</w:t>
      </w:r>
      <w:r w:rsidRPr="00DF5736">
        <w:rPr>
          <w:rFonts w:ascii="Arial" w:hAnsi="Arial" w:cs="Arial"/>
        </w:rPr>
        <w:t>).</w:t>
      </w:r>
    </w:p>
    <w:p w14:paraId="35D711B5" w14:textId="1C479985" w:rsidR="00510981" w:rsidRPr="00DF5736" w:rsidRDefault="00510981" w:rsidP="00510981">
      <w:pPr>
        <w:pStyle w:val="Body"/>
        <w:ind w:firstLine="567"/>
        <w:contextualSpacing/>
        <w:rPr>
          <w:rFonts w:ascii="Arial" w:hAnsi="Arial" w:cs="Arial"/>
        </w:rPr>
      </w:pPr>
      <w:r w:rsidRPr="00DF5736">
        <w:rPr>
          <w:rFonts w:ascii="Arial" w:hAnsi="Arial" w:cs="Arial"/>
        </w:rPr>
        <w:t>In contrast, relatively low GCV and PCV values were recorded for plant height (GCV = 9.36%, PCV = 9.91%), oil content (GCV = 8.14%, PCV = 8.31%), number of seeds per capsule (GCV = 6.3%, PCV = 7.8%), and days to maturity (GCV = 4.96%, PCV = 5.46%). These lower values indicate greater stability but limited potential for immediate improvement through simple selection</w:t>
      </w:r>
      <w:r w:rsidR="009573B8" w:rsidRPr="00DF5736">
        <w:rPr>
          <w:rFonts w:ascii="Arial" w:hAnsi="Arial" w:cs="Arial"/>
        </w:rPr>
        <w:t xml:space="preserve"> similar findings reported by</w:t>
      </w:r>
      <w:r w:rsidRPr="00DF5736">
        <w:rPr>
          <w:rFonts w:ascii="Arial" w:hAnsi="Arial" w:cs="Arial"/>
        </w:rPr>
        <w:t xml:space="preserve"> Rahna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w:t>
      </w:r>
      <w:r w:rsidRPr="00DF5736">
        <w:rPr>
          <w:rFonts w:ascii="Arial" w:hAnsi="Arial" w:cs="Arial"/>
        </w:rPr>
        <w:t xml:space="preserve"> Gore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 xml:space="preserve">) and </w:t>
      </w:r>
      <w:proofErr w:type="spellStart"/>
      <w:r w:rsidRPr="00DF5736">
        <w:rPr>
          <w:rFonts w:ascii="Arial" w:hAnsi="Arial" w:cs="Arial"/>
        </w:rPr>
        <w:t>Thiyagu</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p>
    <w:p w14:paraId="0DC03BFD" w14:textId="33754B50" w:rsidR="00CC3630" w:rsidRPr="00510981" w:rsidRDefault="00D240A1" w:rsidP="00510981">
      <w:pPr>
        <w:pStyle w:val="Body"/>
        <w:contextualSpacing/>
      </w:pPr>
      <w:r w:rsidRPr="00D240A1">
        <w:rPr>
          <w:rFonts w:ascii="Arial" w:hAnsi="Arial" w:cs="Arial"/>
          <w:b/>
          <w:sz w:val="22"/>
          <w:szCs w:val="22"/>
        </w:rPr>
        <w:t>3.4 Heritability and Genetic Advance as percent of mean</w:t>
      </w:r>
    </w:p>
    <w:p w14:paraId="0F00E3C0" w14:textId="77777777" w:rsidR="00156094" w:rsidRDefault="00156094" w:rsidP="00766E14">
      <w:pPr>
        <w:pStyle w:val="Body"/>
        <w:ind w:firstLine="720"/>
        <w:contextualSpacing/>
        <w:rPr>
          <w:rFonts w:ascii="Arial" w:hAnsi="Arial" w:cs="Arial"/>
          <w:bCs/>
        </w:rPr>
      </w:pPr>
      <w:r w:rsidRPr="00156094">
        <w:rPr>
          <w:rFonts w:ascii="Arial" w:hAnsi="Arial" w:cs="Arial"/>
          <w:bCs/>
        </w:rPr>
        <w:lastRenderedPageBreak/>
        <w:t>Heritability reflects the proportion of total phenotypic variation that can be attributed to genetic factors, whereas genetic advance estimates the expected improvement in a trait through selection. Together, these parameters provide valuable insights for plant breeders in designing effective strategies to develop improved crop varieties. Broad-sense heritability helps determine the extent to which observed variation is genetically controlled. Genetic advance, on the other hand, predicts the level of improvement achievable in future generations through selection and serves as a useful tool for enhancing genetic gain in breeding programs.</w:t>
      </w:r>
    </w:p>
    <w:p w14:paraId="77752A31" w14:textId="77777777" w:rsidR="00156094" w:rsidRDefault="00156094" w:rsidP="00176D33">
      <w:pPr>
        <w:pStyle w:val="Body"/>
        <w:ind w:firstLine="720"/>
        <w:contextualSpacing/>
        <w:rPr>
          <w:rFonts w:ascii="Arial" w:hAnsi="Arial" w:cs="Arial"/>
          <w:bCs/>
        </w:rPr>
      </w:pPr>
      <w:r w:rsidRPr="00156094">
        <w:rPr>
          <w:rFonts w:ascii="Arial" w:hAnsi="Arial" w:cs="Arial"/>
          <w:bCs/>
        </w:rPr>
        <w:t xml:space="preserve">All the traits listed in Table 2 and Figure 2 exhibited high heritability. Traits with high heritability accompanied by high genetic advance as a percentage of the mean indicate that additive gene action is predominant, making them highly responsive to selection. Notably, days to 50% flowering showed a heritability of 96.05% with a genetic advance of 24.06%, oil content had a heritability of 95.92% with a genetic advance of 16.41%, and capsule length showed 93.33% heritability and 36.34% genetic advance. Likewise, the number of branches per plant and seed yield per plant showed heritability values of 92.86% and 90.50%, respectively, with corresponding genetic advances of 38.35% and 37.25%, respectively, as detailed in Table 2. These results suggest that simple phenotypic selection would be effective for improving these traits. Similar findings have been reported by Rahna </w:t>
      </w:r>
      <w:r w:rsidRPr="00C74A69">
        <w:rPr>
          <w:rFonts w:ascii="Arial" w:hAnsi="Arial" w:cs="Arial"/>
          <w:bCs/>
          <w:i/>
          <w:iCs/>
        </w:rPr>
        <w:t>et al.</w:t>
      </w:r>
      <w:r w:rsidRPr="00156094">
        <w:rPr>
          <w:rFonts w:ascii="Arial" w:hAnsi="Arial" w:cs="Arial"/>
          <w:bCs/>
        </w:rPr>
        <w:t xml:space="preserve"> (2023), Sasipriya </w:t>
      </w:r>
      <w:r w:rsidRPr="0013414E">
        <w:rPr>
          <w:rFonts w:ascii="Arial" w:hAnsi="Arial" w:cs="Arial"/>
          <w:bCs/>
          <w:i/>
          <w:iCs/>
        </w:rPr>
        <w:t>et al.</w:t>
      </w:r>
      <w:r w:rsidRPr="00156094">
        <w:rPr>
          <w:rFonts w:ascii="Arial" w:hAnsi="Arial" w:cs="Arial"/>
          <w:bCs/>
        </w:rPr>
        <w:t xml:space="preserve"> (2022), Kumar </w:t>
      </w:r>
      <w:r w:rsidRPr="0013414E">
        <w:rPr>
          <w:rFonts w:ascii="Arial" w:hAnsi="Arial" w:cs="Arial"/>
          <w:bCs/>
          <w:i/>
          <w:iCs/>
        </w:rPr>
        <w:t>et al.</w:t>
      </w:r>
      <w:r w:rsidRPr="00156094">
        <w:rPr>
          <w:rFonts w:ascii="Arial" w:hAnsi="Arial" w:cs="Arial"/>
          <w:bCs/>
        </w:rPr>
        <w:t xml:space="preserve"> (2022), Patel </w:t>
      </w:r>
      <w:r w:rsidRPr="0013414E">
        <w:rPr>
          <w:rFonts w:ascii="Arial" w:hAnsi="Arial" w:cs="Arial"/>
          <w:bCs/>
          <w:i/>
          <w:iCs/>
        </w:rPr>
        <w:t>et al.</w:t>
      </w:r>
      <w:r w:rsidRPr="00156094">
        <w:rPr>
          <w:rFonts w:ascii="Arial" w:hAnsi="Arial" w:cs="Arial"/>
          <w:bCs/>
        </w:rPr>
        <w:t xml:space="preserve"> (2022), Srikanth and Ghodke (2022), Bharathi </w:t>
      </w:r>
      <w:r w:rsidRPr="0013414E">
        <w:rPr>
          <w:rFonts w:ascii="Arial" w:hAnsi="Arial" w:cs="Arial"/>
          <w:bCs/>
          <w:i/>
          <w:iCs/>
        </w:rPr>
        <w:t>et al.</w:t>
      </w:r>
      <w:r w:rsidRPr="00156094">
        <w:rPr>
          <w:rFonts w:ascii="Arial" w:hAnsi="Arial" w:cs="Arial"/>
          <w:bCs/>
        </w:rPr>
        <w:t xml:space="preserve"> (2021), Yadav </w:t>
      </w:r>
      <w:r w:rsidRPr="0013414E">
        <w:rPr>
          <w:rFonts w:ascii="Arial" w:hAnsi="Arial" w:cs="Arial"/>
          <w:bCs/>
          <w:i/>
          <w:iCs/>
        </w:rPr>
        <w:t>et al.</w:t>
      </w:r>
      <w:r w:rsidRPr="00156094">
        <w:rPr>
          <w:rFonts w:ascii="Arial" w:hAnsi="Arial" w:cs="Arial"/>
          <w:bCs/>
        </w:rPr>
        <w:t xml:space="preserve"> (2020), and Kavitha and Ganesan (2021), who also noted high heritability with high genetic advance in sesame, supporting the conclusion that such traits are primarily governed by additive gene action and are amenable to improvement through selection.</w:t>
      </w:r>
    </w:p>
    <w:p w14:paraId="6401A6AC" w14:textId="49E20815" w:rsidR="004C7388" w:rsidRPr="00176D33" w:rsidRDefault="00156094" w:rsidP="00176D33">
      <w:pPr>
        <w:pStyle w:val="Body"/>
        <w:ind w:firstLine="720"/>
        <w:contextualSpacing/>
        <w:rPr>
          <w:rFonts w:ascii="Arial" w:hAnsi="Arial" w:cs="Arial"/>
          <w:bCs/>
        </w:rPr>
      </w:pPr>
      <w:r w:rsidRPr="00156094">
        <w:rPr>
          <w:rFonts w:ascii="Arial" w:hAnsi="Arial" w:cs="Arial"/>
          <w:bCs/>
        </w:rPr>
        <w:t xml:space="preserve">In contrast, high heritability combined with moderate to low genetic advance often points to the involvement of non-additive gene effects such as dominance and epistasis, or to environmental influences that mask genetic potential. This situation may reduce the effectiveness of direct selection, especially in early generations. This trend was observed in traits such as plant height (heritability 89.2%, genetic advance 18.20%), number of capsules per plant (85.91%, 23.31%), 1000-seed weight (84.73%, 23.28%), days to maturity (82.4%, 9.28%), and number of seeds per capsule (64.85%, 10.49%). These results suggest limited prospects for immediate improvement through direct selection. Similar observations were made by Meena </w:t>
      </w:r>
      <w:r w:rsidRPr="0013414E">
        <w:rPr>
          <w:rFonts w:ascii="Arial" w:hAnsi="Arial" w:cs="Arial"/>
          <w:bCs/>
          <w:i/>
          <w:iCs/>
        </w:rPr>
        <w:t>et al.</w:t>
      </w:r>
      <w:r w:rsidRPr="00156094">
        <w:rPr>
          <w:rFonts w:ascii="Arial" w:hAnsi="Arial" w:cs="Arial"/>
          <w:bCs/>
        </w:rPr>
        <w:t xml:space="preserve"> (2020), Ramesh and Senthilkumar (2018), Venkatesan </w:t>
      </w:r>
      <w:r w:rsidRPr="002557A2">
        <w:rPr>
          <w:rFonts w:ascii="Arial" w:hAnsi="Arial" w:cs="Arial"/>
          <w:bCs/>
          <w:i/>
          <w:iCs/>
        </w:rPr>
        <w:t>et al.</w:t>
      </w:r>
      <w:r w:rsidRPr="00156094">
        <w:rPr>
          <w:rFonts w:ascii="Arial" w:hAnsi="Arial" w:cs="Arial"/>
          <w:bCs/>
        </w:rPr>
        <w:t xml:space="preserve"> (2019), Ghosh </w:t>
      </w:r>
      <w:r w:rsidRPr="002557A2">
        <w:rPr>
          <w:rFonts w:ascii="Arial" w:hAnsi="Arial" w:cs="Arial"/>
          <w:bCs/>
          <w:i/>
          <w:iCs/>
        </w:rPr>
        <w:t>et al.</w:t>
      </w:r>
      <w:r w:rsidRPr="00156094">
        <w:rPr>
          <w:rFonts w:ascii="Arial" w:hAnsi="Arial" w:cs="Arial"/>
          <w:bCs/>
        </w:rPr>
        <w:t xml:space="preserve"> (2021), Dwivedi </w:t>
      </w:r>
      <w:r w:rsidRPr="002557A2">
        <w:rPr>
          <w:rFonts w:ascii="Arial" w:hAnsi="Arial" w:cs="Arial"/>
          <w:bCs/>
          <w:i/>
          <w:iCs/>
        </w:rPr>
        <w:t>et al.</w:t>
      </w:r>
      <w:r w:rsidRPr="00156094">
        <w:rPr>
          <w:rFonts w:ascii="Arial" w:hAnsi="Arial" w:cs="Arial"/>
          <w:bCs/>
        </w:rPr>
        <w:t xml:space="preserve"> (2020), Bharathi and </w:t>
      </w:r>
      <w:proofErr w:type="spellStart"/>
      <w:r w:rsidRPr="00156094">
        <w:rPr>
          <w:rFonts w:ascii="Arial" w:hAnsi="Arial" w:cs="Arial"/>
          <w:bCs/>
        </w:rPr>
        <w:t>Vanniarajan</w:t>
      </w:r>
      <w:proofErr w:type="spellEnd"/>
      <w:r w:rsidRPr="00156094">
        <w:rPr>
          <w:rFonts w:ascii="Arial" w:hAnsi="Arial" w:cs="Arial"/>
          <w:bCs/>
        </w:rPr>
        <w:t xml:space="preserve"> (2016), Jayakumar </w:t>
      </w:r>
      <w:r w:rsidRPr="007805AF">
        <w:rPr>
          <w:rFonts w:ascii="Arial" w:hAnsi="Arial" w:cs="Arial"/>
          <w:bCs/>
          <w:i/>
          <w:iCs/>
        </w:rPr>
        <w:t>et al.</w:t>
      </w:r>
      <w:r w:rsidRPr="00156094">
        <w:rPr>
          <w:rFonts w:ascii="Arial" w:hAnsi="Arial" w:cs="Arial"/>
          <w:bCs/>
        </w:rPr>
        <w:t xml:space="preserve"> (2018), Ashakiran and Ranganatha (2017), </w:t>
      </w:r>
      <w:proofErr w:type="spellStart"/>
      <w:r w:rsidRPr="00156094">
        <w:rPr>
          <w:rFonts w:ascii="Arial" w:hAnsi="Arial" w:cs="Arial"/>
          <w:bCs/>
        </w:rPr>
        <w:t>Thirugnanakumar</w:t>
      </w:r>
      <w:proofErr w:type="spellEnd"/>
      <w:r w:rsidRPr="00156094">
        <w:rPr>
          <w:rFonts w:ascii="Arial" w:hAnsi="Arial" w:cs="Arial"/>
          <w:bCs/>
        </w:rPr>
        <w:t xml:space="preserve"> </w:t>
      </w:r>
      <w:r w:rsidRPr="007805AF">
        <w:rPr>
          <w:rFonts w:ascii="Arial" w:hAnsi="Arial" w:cs="Arial"/>
          <w:bCs/>
          <w:i/>
          <w:iCs/>
        </w:rPr>
        <w:t>et al.</w:t>
      </w:r>
      <w:r w:rsidRPr="00156094">
        <w:rPr>
          <w:rFonts w:ascii="Arial" w:hAnsi="Arial" w:cs="Arial"/>
          <w:bCs/>
        </w:rPr>
        <w:t xml:space="preserve"> (2017), and Ravichandran </w:t>
      </w:r>
      <w:r w:rsidRPr="007805AF">
        <w:rPr>
          <w:rFonts w:ascii="Arial" w:hAnsi="Arial" w:cs="Arial"/>
          <w:bCs/>
          <w:i/>
          <w:iCs/>
        </w:rPr>
        <w:t>et al.</w:t>
      </w:r>
      <w:r w:rsidRPr="00156094">
        <w:rPr>
          <w:rFonts w:ascii="Arial" w:hAnsi="Arial" w:cs="Arial"/>
          <w:bCs/>
        </w:rPr>
        <w:t xml:space="preserve"> (2019).</w:t>
      </w:r>
    </w:p>
    <w:p w14:paraId="685D2D7F" w14:textId="77777777" w:rsidR="00156094" w:rsidRDefault="004C7388" w:rsidP="00156094">
      <w:pPr>
        <w:pStyle w:val="Body"/>
        <w:contextualSpacing/>
        <w:rPr>
          <w:rFonts w:ascii="Arial" w:hAnsi="Arial" w:cs="Arial"/>
          <w:b/>
          <w:bCs/>
          <w:sz w:val="22"/>
          <w:szCs w:val="22"/>
        </w:rPr>
      </w:pPr>
      <w:r w:rsidRPr="004C7388">
        <w:rPr>
          <w:rFonts w:ascii="Arial" w:hAnsi="Arial" w:cs="Arial"/>
          <w:b/>
          <w:bCs/>
          <w:sz w:val="22"/>
          <w:szCs w:val="22"/>
        </w:rPr>
        <w:t>4. C</w:t>
      </w:r>
      <w:r w:rsidR="00A8476A">
        <w:rPr>
          <w:rFonts w:ascii="Arial" w:hAnsi="Arial" w:cs="Arial"/>
          <w:b/>
          <w:bCs/>
          <w:sz w:val="22"/>
          <w:szCs w:val="22"/>
        </w:rPr>
        <w:t>ONCLUSION</w:t>
      </w:r>
    </w:p>
    <w:p w14:paraId="6B9300AE" w14:textId="4E1797CF" w:rsidR="00156094" w:rsidRDefault="00156094" w:rsidP="00156094">
      <w:pPr>
        <w:pStyle w:val="Body"/>
        <w:ind w:firstLine="720"/>
        <w:contextualSpacing/>
        <w:rPr>
          <w:rFonts w:ascii="Arial" w:hAnsi="Arial" w:cs="Arial"/>
        </w:rPr>
      </w:pPr>
      <w:r w:rsidRPr="00156094">
        <w:rPr>
          <w:rFonts w:ascii="Arial" w:hAnsi="Arial" w:cs="Arial"/>
        </w:rPr>
        <w:t>The present investigation highlights considerable variability among all the genotypes for each of the traits studied. The highest values of genotypic and phenotypic coefficients of variation (GCV and PCV) were observed for seed yield per plant (g), number of branches per plant, and capsule length. In contrast, lower GCV and PCV values were noted for oil content, days to maturity, number of capsules per plant, and plant height. The presence of substantial genetic variability in the breeding material provides a strong foundation for effective selection and plays a crucial role in identifying suitable parental lines for use in hybridization programs aimed at crop improvement.</w:t>
      </w:r>
      <w:r>
        <w:rPr>
          <w:rFonts w:ascii="Arial" w:hAnsi="Arial" w:cs="Arial"/>
        </w:rPr>
        <w:t xml:space="preserve"> </w:t>
      </w:r>
      <w:r w:rsidRPr="00156094">
        <w:rPr>
          <w:rFonts w:ascii="Arial" w:hAnsi="Arial" w:cs="Arial"/>
        </w:rPr>
        <w:t>High heritability accompanied by high genetic advance as a percentage of the mean was recorded for traits such as days to 50% flowering, oil content, capsule length, number of branches per plant, and seed yield per plant. Furthermore, moderate heritability combined with moderate genetic advance was observed for plant height, number of capsules per plant, and 1000-seed weight. These results indicate that these traits are largely governed by additive gene action, suggesting that selection based on these characteristics would be effective for achieving genetic improvement.</w:t>
      </w:r>
    </w:p>
    <w:p w14:paraId="7FC7244F" w14:textId="77777777" w:rsidR="00AA419D" w:rsidRDefault="00AA419D" w:rsidP="00156094">
      <w:pPr>
        <w:pStyle w:val="Body"/>
        <w:ind w:firstLine="720"/>
        <w:contextualSpacing/>
        <w:rPr>
          <w:rFonts w:ascii="Arial" w:hAnsi="Arial" w:cs="Arial"/>
        </w:rPr>
      </w:pPr>
    </w:p>
    <w:p w14:paraId="2B6C093D" w14:textId="77777777" w:rsidR="00AA419D" w:rsidRPr="00156094" w:rsidRDefault="00AA419D" w:rsidP="00156094">
      <w:pPr>
        <w:pStyle w:val="Body"/>
        <w:ind w:firstLine="720"/>
        <w:contextualSpacing/>
        <w:rPr>
          <w:rFonts w:ascii="Arial" w:hAnsi="Arial" w:cs="Arial"/>
          <w:b/>
          <w:bCs/>
          <w:sz w:val="22"/>
          <w:szCs w:val="22"/>
        </w:rPr>
      </w:pPr>
    </w:p>
    <w:p w14:paraId="6D2FA887" w14:textId="77777777" w:rsidR="00860000" w:rsidRDefault="00860000" w:rsidP="00441B6F">
      <w:pPr>
        <w:pStyle w:val="ReferHead"/>
        <w:spacing w:after="0"/>
        <w:jc w:val="both"/>
        <w:rPr>
          <w:rFonts w:ascii="Arial" w:hAnsi="Arial" w:cs="Arial"/>
        </w:rPr>
      </w:pPr>
    </w:p>
    <w:p w14:paraId="1D35F232" w14:textId="74C9A222" w:rsidR="002C57D2" w:rsidRPr="002C57D2" w:rsidRDefault="00B01FCD" w:rsidP="00051579">
      <w:pPr>
        <w:pStyle w:val="ReferHead"/>
        <w:tabs>
          <w:tab w:val="left" w:pos="142"/>
          <w:tab w:val="left" w:pos="284"/>
          <w:tab w:val="left" w:pos="426"/>
        </w:tabs>
        <w:spacing w:after="0"/>
        <w:ind w:left="567" w:hanging="567"/>
        <w:jc w:val="both"/>
        <w:rPr>
          <w:rFonts w:ascii="Arial" w:hAnsi="Arial" w:cs="Arial"/>
        </w:rPr>
      </w:pPr>
      <w:r w:rsidRPr="00FB3A86">
        <w:rPr>
          <w:rFonts w:ascii="Arial" w:hAnsi="Arial" w:cs="Arial"/>
        </w:rPr>
        <w:t>References</w:t>
      </w:r>
    </w:p>
    <w:p w14:paraId="39991BDE" w14:textId="77777777" w:rsidR="00790ADA" w:rsidRDefault="00790ADA" w:rsidP="00051579">
      <w:pPr>
        <w:pStyle w:val="Body"/>
        <w:tabs>
          <w:tab w:val="left" w:pos="142"/>
          <w:tab w:val="left" w:pos="284"/>
          <w:tab w:val="left" w:pos="426"/>
        </w:tabs>
        <w:spacing w:after="0"/>
        <w:ind w:left="567" w:hanging="567"/>
        <w:rPr>
          <w:rFonts w:ascii="Arial" w:hAnsi="Arial" w:cs="Arial"/>
        </w:rPr>
      </w:pPr>
    </w:p>
    <w:p w14:paraId="53D76833" w14:textId="77777777" w:rsidR="00925B93" w:rsidRPr="00CF6ED1" w:rsidRDefault="00A33E15" w:rsidP="00D421EC">
      <w:pPr>
        <w:pStyle w:val="NormalWeb"/>
        <w:tabs>
          <w:tab w:val="left" w:pos="142"/>
          <w:tab w:val="left" w:pos="284"/>
          <w:tab w:val="left" w:pos="426"/>
        </w:tabs>
        <w:ind w:left="567" w:hanging="567"/>
        <w:contextualSpacing/>
        <w:jc w:val="both"/>
        <w:rPr>
          <w:rFonts w:ascii="Arial" w:hAnsi="Arial" w:cs="Arial"/>
          <w:sz w:val="20"/>
          <w:szCs w:val="20"/>
        </w:rPr>
      </w:pPr>
      <w:r w:rsidRPr="00CF6ED1">
        <w:rPr>
          <w:rFonts w:ascii="Arial" w:hAnsi="Arial" w:cs="Arial"/>
          <w:sz w:val="20"/>
          <w:szCs w:val="20"/>
        </w:rPr>
        <w:t xml:space="preserve">AICRP (All India Coordinated Research Project on Sesame and Niger). (2020). </w:t>
      </w:r>
      <w:r w:rsidRPr="00CF6ED1">
        <w:rPr>
          <w:rStyle w:val="Emphasis"/>
          <w:rFonts w:ascii="Arial" w:hAnsi="Arial" w:cs="Arial"/>
          <w:sz w:val="20"/>
          <w:szCs w:val="20"/>
        </w:rPr>
        <w:t>Annual report 2019–20</w:t>
      </w:r>
      <w:r w:rsidRPr="00CF6ED1">
        <w:rPr>
          <w:rFonts w:ascii="Arial" w:hAnsi="Arial" w:cs="Arial"/>
          <w:sz w:val="20"/>
          <w:szCs w:val="20"/>
        </w:rPr>
        <w:t>. ICAR - Indian Institute of Oilseeds Research.</w:t>
      </w:r>
    </w:p>
    <w:p w14:paraId="6AD87580" w14:textId="0BDDB78E" w:rsidR="00A33E15" w:rsidRPr="00CF6ED1" w:rsidRDefault="00A33E15"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Vavilov, N. I. (1951). </w:t>
      </w:r>
      <w:r w:rsidRPr="00CF6ED1">
        <w:rPr>
          <w:rStyle w:val="Emphasis"/>
          <w:rFonts w:ascii="Arial" w:hAnsi="Arial" w:cs="Arial"/>
          <w:sz w:val="20"/>
          <w:szCs w:val="20"/>
        </w:rPr>
        <w:t>The origin, variation, immunity and breeding of cultivated plants</w:t>
      </w:r>
      <w:r w:rsidRPr="00CF6ED1">
        <w:rPr>
          <w:rFonts w:ascii="Arial" w:hAnsi="Arial" w:cs="Arial"/>
          <w:sz w:val="20"/>
          <w:szCs w:val="20"/>
        </w:rPr>
        <w:t xml:space="preserve"> (K. S. Chester, Trans.). Chronica Botanica, 13, 1–366.</w:t>
      </w:r>
    </w:p>
    <w:p w14:paraId="46DA9147" w14:textId="78C7A07A" w:rsidR="00694B3E" w:rsidRPr="00CF6ED1" w:rsidRDefault="00E00B42" w:rsidP="00D421EC">
      <w:pPr>
        <w:pStyle w:val="NormalWeb"/>
        <w:ind w:left="720" w:hanging="720"/>
        <w:contextualSpacing/>
        <w:jc w:val="both"/>
        <w:rPr>
          <w:rFonts w:ascii="Arial" w:hAnsi="Arial" w:cs="Arial"/>
          <w:sz w:val="20"/>
          <w:szCs w:val="20"/>
          <w:lang w:val="en-US" w:eastAsia="en-US" w:bidi="ar-SA"/>
        </w:rPr>
      </w:pPr>
      <w:proofErr w:type="spellStart"/>
      <w:r w:rsidRPr="00CF6ED1">
        <w:rPr>
          <w:rFonts w:ascii="Arial" w:hAnsi="Arial" w:cs="Arial"/>
          <w:sz w:val="20"/>
          <w:szCs w:val="20"/>
          <w:lang w:val="en-US" w:eastAsia="en-US" w:bidi="ar-SA"/>
        </w:rPr>
        <w:t>Indiastat</w:t>
      </w:r>
      <w:proofErr w:type="spellEnd"/>
      <w:r w:rsidRPr="00CF6ED1">
        <w:rPr>
          <w:rFonts w:ascii="Arial" w:hAnsi="Arial" w:cs="Arial"/>
          <w:sz w:val="20"/>
          <w:szCs w:val="20"/>
          <w:lang w:val="en-US" w:eastAsia="en-US" w:bidi="ar-SA"/>
        </w:rPr>
        <w:t xml:space="preserve">. (2023). </w:t>
      </w:r>
      <w:r w:rsidRPr="00CF6ED1">
        <w:rPr>
          <w:rFonts w:ascii="Arial" w:hAnsi="Arial" w:cs="Arial"/>
          <w:i/>
          <w:iCs/>
          <w:sz w:val="20"/>
          <w:szCs w:val="20"/>
          <w:lang w:val="en-US" w:eastAsia="en-US" w:bidi="ar-SA"/>
        </w:rPr>
        <w:t>State-wise area, production and productivity of sesame in India (2022–23)</w:t>
      </w:r>
      <w:r w:rsidRPr="00CF6ED1">
        <w:rPr>
          <w:rFonts w:ascii="Arial" w:hAnsi="Arial" w:cs="Arial"/>
          <w:sz w:val="20"/>
          <w:szCs w:val="20"/>
          <w:lang w:val="en-US" w:eastAsia="en-US" w:bidi="ar-SA"/>
        </w:rPr>
        <w:t xml:space="preserve">. Retrieved from </w:t>
      </w:r>
      <w:hyperlink r:id="rId8" w:tgtFrame="_new" w:history="1">
        <w:r w:rsidRPr="00CF6ED1">
          <w:rPr>
            <w:rFonts w:ascii="Arial" w:hAnsi="Arial" w:cs="Arial"/>
            <w:color w:val="0000FF"/>
            <w:sz w:val="20"/>
            <w:szCs w:val="20"/>
            <w:u w:val="single"/>
            <w:lang w:val="en-US" w:eastAsia="en-US" w:bidi="ar-SA"/>
          </w:rPr>
          <w:t>https://www.indiastat.com</w:t>
        </w:r>
      </w:hyperlink>
    </w:p>
    <w:p w14:paraId="370B06A7"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Burton, G. W., &amp; Devane, E. H. (1953). Estimating heritability in tall fescue (</w:t>
      </w:r>
      <w:r w:rsidRPr="00CF6ED1">
        <w:rPr>
          <w:rFonts w:ascii="Arial" w:hAnsi="Arial" w:cs="Arial"/>
          <w:i/>
          <w:iCs/>
          <w:sz w:val="20"/>
          <w:szCs w:val="20"/>
        </w:rPr>
        <w:t>Festuca arundinacea</w:t>
      </w:r>
      <w:r w:rsidRPr="00CF6ED1">
        <w:rPr>
          <w:rFonts w:ascii="Arial" w:hAnsi="Arial" w:cs="Arial"/>
          <w:sz w:val="20"/>
          <w:szCs w:val="20"/>
        </w:rPr>
        <w:t xml:space="preserve">) from replicated clonal material. </w:t>
      </w:r>
      <w:r w:rsidRPr="00CF6ED1">
        <w:rPr>
          <w:rFonts w:ascii="Arial" w:hAnsi="Arial" w:cs="Arial"/>
          <w:i/>
          <w:iCs/>
          <w:sz w:val="20"/>
          <w:szCs w:val="20"/>
        </w:rPr>
        <w:t>Agronomy Journal, 45</w:t>
      </w:r>
      <w:r w:rsidRPr="00CF6ED1">
        <w:rPr>
          <w:rFonts w:ascii="Arial" w:hAnsi="Arial" w:cs="Arial"/>
          <w:sz w:val="20"/>
          <w:szCs w:val="20"/>
        </w:rPr>
        <w:t>(10), 478–481. https://doi.org/10.2134/agronj1953.00021962004500100005x</w:t>
      </w:r>
    </w:p>
    <w:p w14:paraId="3D0B0B6F"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Johnson, H. W., Robinson, H. F., &amp; Comstock, R. E. (1955). Estimates of genetic and environmental variability in soybeans. </w:t>
      </w:r>
      <w:r w:rsidRPr="00CF6ED1">
        <w:rPr>
          <w:rFonts w:ascii="Arial" w:hAnsi="Arial" w:cs="Arial"/>
          <w:i/>
          <w:iCs/>
          <w:sz w:val="20"/>
          <w:szCs w:val="20"/>
        </w:rPr>
        <w:t>Agronomy Journal, 47</w:t>
      </w:r>
      <w:r w:rsidRPr="00CF6ED1">
        <w:rPr>
          <w:rFonts w:ascii="Arial" w:hAnsi="Arial" w:cs="Arial"/>
          <w:sz w:val="20"/>
          <w:szCs w:val="20"/>
        </w:rPr>
        <w:t>(7), 314–318. https://doi.org/10.2134/agronj1955.00021962004700070009x</w:t>
      </w:r>
    </w:p>
    <w:p w14:paraId="6BC28833"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Panse, V. G., &amp; </w:t>
      </w:r>
      <w:proofErr w:type="spellStart"/>
      <w:r w:rsidRPr="00CF6ED1">
        <w:rPr>
          <w:rFonts w:ascii="Arial" w:hAnsi="Arial" w:cs="Arial"/>
          <w:sz w:val="20"/>
          <w:szCs w:val="20"/>
        </w:rPr>
        <w:t>Sukhatme</w:t>
      </w:r>
      <w:proofErr w:type="spellEnd"/>
      <w:r w:rsidRPr="00CF6ED1">
        <w:rPr>
          <w:rFonts w:ascii="Arial" w:hAnsi="Arial" w:cs="Arial"/>
          <w:sz w:val="20"/>
          <w:szCs w:val="20"/>
        </w:rPr>
        <w:t xml:space="preserve">, P. V. (1967). </w:t>
      </w:r>
      <w:r w:rsidRPr="00CF6ED1">
        <w:rPr>
          <w:rFonts w:ascii="Arial" w:hAnsi="Arial" w:cs="Arial"/>
          <w:i/>
          <w:iCs/>
          <w:sz w:val="20"/>
          <w:szCs w:val="20"/>
        </w:rPr>
        <w:t>Statistical methods for agricultural workers</w:t>
      </w:r>
      <w:r w:rsidRPr="00CF6ED1">
        <w:rPr>
          <w:rFonts w:ascii="Arial" w:hAnsi="Arial" w:cs="Arial"/>
          <w:sz w:val="20"/>
          <w:szCs w:val="20"/>
        </w:rPr>
        <w:t xml:space="preserve"> (2nd ed.). Indian Council of Agricultural Research.</w:t>
      </w:r>
    </w:p>
    <w:p w14:paraId="20EFF56E" w14:textId="7E13E4D5"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Sivasubramanian, S., &amp; </w:t>
      </w:r>
      <w:proofErr w:type="spellStart"/>
      <w:r w:rsidRPr="00CF6ED1">
        <w:rPr>
          <w:rFonts w:ascii="Arial" w:hAnsi="Arial" w:cs="Arial"/>
          <w:sz w:val="20"/>
          <w:szCs w:val="20"/>
        </w:rPr>
        <w:t>Madhavamenon</w:t>
      </w:r>
      <w:proofErr w:type="spellEnd"/>
      <w:r w:rsidRPr="00CF6ED1">
        <w:rPr>
          <w:rFonts w:ascii="Arial" w:hAnsi="Arial" w:cs="Arial"/>
          <w:sz w:val="20"/>
          <w:szCs w:val="20"/>
        </w:rPr>
        <w:t xml:space="preserve">, P. (1973). Genotypic and phenotypic variability in rice. </w:t>
      </w:r>
      <w:r w:rsidRPr="00CF6ED1">
        <w:rPr>
          <w:rFonts w:ascii="Arial" w:hAnsi="Arial" w:cs="Arial"/>
          <w:i/>
          <w:iCs/>
          <w:sz w:val="20"/>
          <w:szCs w:val="20"/>
        </w:rPr>
        <w:t>Madras Agricultural Journal, 60</w:t>
      </w:r>
      <w:r w:rsidRPr="00CF6ED1">
        <w:rPr>
          <w:rFonts w:ascii="Arial" w:hAnsi="Arial" w:cs="Arial"/>
          <w:sz w:val="20"/>
          <w:szCs w:val="20"/>
        </w:rPr>
        <w:t>, 1093–1096.</w:t>
      </w:r>
    </w:p>
    <w:p w14:paraId="7549D1C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Patel, A. I., Patel, J. B., &amp; Patel, D. A. (2022).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11</w:t>
      </w:r>
      <w:r w:rsidRPr="00CF6ED1">
        <w:rPr>
          <w:rFonts w:ascii="Arial" w:hAnsi="Arial" w:cs="Arial"/>
          <w:sz w:val="20"/>
          <w:szCs w:val="20"/>
        </w:rPr>
        <w:t>(1), 2513–2516.</w:t>
      </w:r>
    </w:p>
    <w:p w14:paraId="2C02C85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Kumar, R., Yadav, R. K., &amp; Meena, H. P. (2021). Assessment of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38</w:t>
      </w:r>
      <w:r w:rsidRPr="00CF6ED1">
        <w:rPr>
          <w:rFonts w:ascii="Arial" w:hAnsi="Arial" w:cs="Arial"/>
          <w:sz w:val="20"/>
          <w:szCs w:val="20"/>
        </w:rPr>
        <w:t>(1), 45–48.</w:t>
      </w:r>
    </w:p>
    <w:p w14:paraId="01CD93CC" w14:textId="77777777" w:rsidR="001D5E44" w:rsidRPr="00CF6ED1" w:rsidRDefault="001D5E44" w:rsidP="001D5E44">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Sasipriya</w:t>
      </w:r>
      <w:proofErr w:type="spellEnd"/>
      <w:r w:rsidRPr="00CF6ED1">
        <w:rPr>
          <w:rFonts w:ascii="Arial" w:hAnsi="Arial" w:cs="Arial"/>
          <w:sz w:val="20"/>
          <w:szCs w:val="20"/>
        </w:rPr>
        <w:t>, R., Ganesan, K. N., &amp; Senthilkumar, P. (2022). Genetic variability and character association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13</w:t>
      </w:r>
      <w:r w:rsidRPr="00CF6ED1">
        <w:rPr>
          <w:rFonts w:ascii="Arial" w:hAnsi="Arial" w:cs="Arial"/>
          <w:sz w:val="20"/>
          <w:szCs w:val="20"/>
        </w:rPr>
        <w:t>(2), 496–500.</w:t>
      </w:r>
    </w:p>
    <w:p w14:paraId="46AB9DD3"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Srikanth, M., &amp; Ghodke, M. K. (2022). Variability and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genotypes under rainfed condition. </w:t>
      </w:r>
      <w:r w:rsidRPr="00CF6ED1">
        <w:rPr>
          <w:rFonts w:ascii="Arial" w:hAnsi="Arial" w:cs="Arial"/>
          <w:i/>
          <w:iCs/>
          <w:sz w:val="20"/>
          <w:szCs w:val="20"/>
        </w:rPr>
        <w:t>International Journal of Current Microbiology and Applied Sciences, 11</w:t>
      </w:r>
      <w:r w:rsidRPr="00CF6ED1">
        <w:rPr>
          <w:rFonts w:ascii="Arial" w:hAnsi="Arial" w:cs="Arial"/>
          <w:sz w:val="20"/>
          <w:szCs w:val="20"/>
        </w:rPr>
        <w:t>(3), 1234–1240.</w:t>
      </w:r>
    </w:p>
    <w:p w14:paraId="40D281A5"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Ravindra, V., &amp; Bhalerao, R. R. (2020). Genetic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Journal of Pharmacognosy and Phytochemistry, 9</w:t>
      </w:r>
      <w:r w:rsidRPr="00CF6ED1">
        <w:rPr>
          <w:rFonts w:ascii="Arial" w:hAnsi="Arial" w:cs="Arial"/>
          <w:sz w:val="20"/>
          <w:szCs w:val="20"/>
        </w:rPr>
        <w:t>(5), 456–460.</w:t>
      </w:r>
    </w:p>
    <w:p w14:paraId="5DAF186E"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Akkigunta</w:t>
      </w:r>
      <w:proofErr w:type="spellEnd"/>
      <w:r w:rsidRPr="00CF6ED1">
        <w:rPr>
          <w:rFonts w:ascii="Arial" w:hAnsi="Arial" w:cs="Arial"/>
          <w:sz w:val="20"/>
          <w:szCs w:val="20"/>
        </w:rPr>
        <w:t>, V. R., Prasad, S. R., &amp; Rao, V. R. (2024). Genetic variability and heritability studies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International Journal of Agriculture Sciences, 16</w:t>
      </w:r>
      <w:r w:rsidRPr="00CF6ED1">
        <w:rPr>
          <w:rFonts w:ascii="Arial" w:hAnsi="Arial" w:cs="Arial"/>
          <w:sz w:val="20"/>
          <w:szCs w:val="20"/>
        </w:rPr>
        <w:t>(2), 112–116.</w:t>
      </w:r>
    </w:p>
    <w:p w14:paraId="21491838"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Anuradha, K., Reddy, K. H. P., &amp; Reddy, B. G. M. (2017). Genetic variability and character association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Pure &amp; Applied Bioscience, 5</w:t>
      </w:r>
      <w:r w:rsidRPr="00CF6ED1">
        <w:rPr>
          <w:rFonts w:ascii="Arial" w:hAnsi="Arial" w:cs="Arial"/>
          <w:sz w:val="20"/>
          <w:szCs w:val="20"/>
        </w:rPr>
        <w:t>(6), 670–675.</w:t>
      </w:r>
    </w:p>
    <w:p w14:paraId="0C32D12C"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Gore, A. K., More, S. J., &amp; Satpute, R. A. (2023).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for yield and yield components. </w:t>
      </w:r>
      <w:r w:rsidRPr="00CF6ED1">
        <w:rPr>
          <w:rFonts w:ascii="Arial" w:hAnsi="Arial" w:cs="Arial"/>
          <w:i/>
          <w:iCs/>
          <w:sz w:val="20"/>
          <w:szCs w:val="20"/>
        </w:rPr>
        <w:t>International Journal of Current Microbiology and Applied Sciences, 12</w:t>
      </w:r>
      <w:r w:rsidRPr="00CF6ED1">
        <w:rPr>
          <w:rFonts w:ascii="Arial" w:hAnsi="Arial" w:cs="Arial"/>
          <w:sz w:val="20"/>
          <w:szCs w:val="20"/>
        </w:rPr>
        <w:t>(2), 287–293.</w:t>
      </w:r>
    </w:p>
    <w:p w14:paraId="148F3AA3"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Kiruthika, A., Paramasivam, K., &amp; </w:t>
      </w:r>
      <w:proofErr w:type="spellStart"/>
      <w:r w:rsidRPr="00CF6ED1">
        <w:rPr>
          <w:rFonts w:ascii="Arial" w:hAnsi="Arial" w:cs="Arial"/>
          <w:sz w:val="20"/>
          <w:szCs w:val="20"/>
        </w:rPr>
        <w:t>Thirumeni</w:t>
      </w:r>
      <w:proofErr w:type="spellEnd"/>
      <w:r w:rsidRPr="00CF6ED1">
        <w:rPr>
          <w:rFonts w:ascii="Arial" w:hAnsi="Arial" w:cs="Arial"/>
          <w:sz w:val="20"/>
          <w:szCs w:val="20"/>
        </w:rPr>
        <w:t>, S. (2018).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7</w:t>
      </w:r>
      <w:r w:rsidRPr="00CF6ED1">
        <w:rPr>
          <w:rFonts w:ascii="Arial" w:hAnsi="Arial" w:cs="Arial"/>
          <w:sz w:val="20"/>
          <w:szCs w:val="20"/>
        </w:rPr>
        <w:t>(4), 1138–1144.</w:t>
      </w:r>
    </w:p>
    <w:p w14:paraId="55C934CA"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Kumar, R., Yadav, R. K., &amp; Meena, H. P. (2022).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39</w:t>
      </w:r>
      <w:r w:rsidRPr="00CF6ED1">
        <w:rPr>
          <w:rFonts w:ascii="Arial" w:hAnsi="Arial" w:cs="Arial"/>
          <w:sz w:val="20"/>
          <w:szCs w:val="20"/>
        </w:rPr>
        <w:t>(1), 42–45.</w:t>
      </w:r>
    </w:p>
    <w:p w14:paraId="22FAFE5B"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Kumar, S., &amp; Kumari, P. (2022). Assessment of genetic variability and correlation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11</w:t>
      </w:r>
      <w:r w:rsidRPr="00CF6ED1">
        <w:rPr>
          <w:rFonts w:ascii="Arial" w:hAnsi="Arial" w:cs="Arial"/>
          <w:sz w:val="20"/>
          <w:szCs w:val="20"/>
        </w:rPr>
        <w:t>(6), 2243–2246.</w:t>
      </w:r>
    </w:p>
    <w:p w14:paraId="11FC9BCA"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lastRenderedPageBreak/>
        <w:t>Mahla, R. S., Meena, B. L., &amp; Meena, R. P. (2024). Genetic variability and character association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Indian Journal of Agricultural Research, 58</w:t>
      </w:r>
      <w:r w:rsidRPr="00CF6ED1">
        <w:rPr>
          <w:rFonts w:ascii="Arial" w:hAnsi="Arial" w:cs="Arial"/>
          <w:sz w:val="20"/>
          <w:szCs w:val="20"/>
        </w:rPr>
        <w:t>(1), 98–102.</w:t>
      </w:r>
    </w:p>
    <w:p w14:paraId="22F146BD"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Rahna, A. M., Ansar, M., &amp; Bhat, S. A. (2023).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12</w:t>
      </w:r>
      <w:r w:rsidRPr="00CF6ED1">
        <w:rPr>
          <w:rFonts w:ascii="Arial" w:hAnsi="Arial" w:cs="Arial"/>
          <w:sz w:val="20"/>
          <w:szCs w:val="20"/>
        </w:rPr>
        <w:t>(1), 134–137.</w:t>
      </w:r>
    </w:p>
    <w:p w14:paraId="1D337689"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Thiyagu</w:t>
      </w:r>
      <w:proofErr w:type="spellEnd"/>
      <w:r w:rsidRPr="00CF6ED1">
        <w:rPr>
          <w:rFonts w:ascii="Arial" w:hAnsi="Arial" w:cs="Arial"/>
          <w:sz w:val="20"/>
          <w:szCs w:val="20"/>
        </w:rPr>
        <w:t>, K., Kumar, S., &amp; Jeyakumar, P. (2023). Estimation of genetic variability and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Electronic Journal of Plant Breeding, 14</w:t>
      </w:r>
      <w:r w:rsidRPr="00CF6ED1">
        <w:rPr>
          <w:rFonts w:ascii="Arial" w:hAnsi="Arial" w:cs="Arial"/>
          <w:sz w:val="20"/>
          <w:szCs w:val="20"/>
        </w:rPr>
        <w:t>(1), 164–169.</w:t>
      </w:r>
    </w:p>
    <w:p w14:paraId="5A57303F"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Vamshi, K., Reddy, K. H. P., &amp; Kumar, V. S. (2021). Genetic variability, heritability and genetic advance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10</w:t>
      </w:r>
      <w:r w:rsidRPr="00CF6ED1">
        <w:rPr>
          <w:rFonts w:ascii="Arial" w:hAnsi="Arial" w:cs="Arial"/>
          <w:sz w:val="20"/>
          <w:szCs w:val="20"/>
        </w:rPr>
        <w:t>(4), 1754–1758.</w:t>
      </w:r>
    </w:p>
    <w:p w14:paraId="7ACDD6DE"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Ashakiran, K., &amp; Ranganatha, A. R. G. (2017).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6</w:t>
      </w:r>
      <w:r w:rsidRPr="00CF6ED1">
        <w:rPr>
          <w:rFonts w:ascii="Arial" w:hAnsi="Arial" w:cs="Arial"/>
          <w:sz w:val="20"/>
          <w:szCs w:val="20"/>
        </w:rPr>
        <w:t>(9), 3501–3507.</w:t>
      </w:r>
    </w:p>
    <w:p w14:paraId="45B8F750"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Bharathi, D., &amp; </w:t>
      </w:r>
      <w:proofErr w:type="spellStart"/>
      <w:r w:rsidRPr="00CF6ED1">
        <w:rPr>
          <w:rFonts w:ascii="Arial" w:hAnsi="Arial" w:cs="Arial"/>
          <w:sz w:val="20"/>
          <w:szCs w:val="20"/>
        </w:rPr>
        <w:t>Vanniarajan</w:t>
      </w:r>
      <w:proofErr w:type="spellEnd"/>
      <w:r w:rsidRPr="00CF6ED1">
        <w:rPr>
          <w:rFonts w:ascii="Arial" w:hAnsi="Arial" w:cs="Arial"/>
          <w:sz w:val="20"/>
          <w:szCs w:val="20"/>
        </w:rPr>
        <w:t>, C. (2016).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7</w:t>
      </w:r>
      <w:r w:rsidRPr="00CF6ED1">
        <w:rPr>
          <w:rFonts w:ascii="Arial" w:hAnsi="Arial" w:cs="Arial"/>
          <w:sz w:val="20"/>
          <w:szCs w:val="20"/>
        </w:rPr>
        <w:t>(4), 1042–1046.</w:t>
      </w:r>
    </w:p>
    <w:p w14:paraId="63F48ADB"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Bharathi, D., </w:t>
      </w:r>
      <w:proofErr w:type="spellStart"/>
      <w:r w:rsidRPr="00CF6ED1">
        <w:rPr>
          <w:rFonts w:ascii="Arial" w:hAnsi="Arial" w:cs="Arial"/>
          <w:sz w:val="20"/>
          <w:szCs w:val="20"/>
        </w:rPr>
        <w:t>Vanniarajan</w:t>
      </w:r>
      <w:proofErr w:type="spellEnd"/>
      <w:r w:rsidRPr="00CF6ED1">
        <w:rPr>
          <w:rFonts w:ascii="Arial" w:hAnsi="Arial" w:cs="Arial"/>
          <w:sz w:val="20"/>
          <w:szCs w:val="20"/>
        </w:rPr>
        <w:t>, C., &amp; Muthiah, A. R. (2021).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Plant Archives, 21</w:t>
      </w:r>
      <w:r w:rsidRPr="00CF6ED1">
        <w:rPr>
          <w:rFonts w:ascii="Arial" w:hAnsi="Arial" w:cs="Arial"/>
          <w:sz w:val="20"/>
          <w:szCs w:val="20"/>
        </w:rPr>
        <w:t>(1), 1502–1505.</w:t>
      </w:r>
    </w:p>
    <w:p w14:paraId="377FE8BF"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Dwivedi, P., Maurya, K. N., &amp; Singh, D. B. (2020). Studies on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9</w:t>
      </w:r>
      <w:r w:rsidRPr="00CF6ED1">
        <w:rPr>
          <w:rFonts w:ascii="Arial" w:hAnsi="Arial" w:cs="Arial"/>
          <w:sz w:val="20"/>
          <w:szCs w:val="20"/>
        </w:rPr>
        <w:t>(5), 1847–1850.</w:t>
      </w:r>
    </w:p>
    <w:p w14:paraId="4110C486"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Ghosh, P., Ray, S., &amp; Mandal, P. (2021). Genetic variability and trait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Agricultural Sciences, 13</w:t>
      </w:r>
      <w:r w:rsidRPr="00CF6ED1">
        <w:rPr>
          <w:rFonts w:ascii="Arial" w:hAnsi="Arial" w:cs="Arial"/>
          <w:sz w:val="20"/>
          <w:szCs w:val="20"/>
        </w:rPr>
        <w:t>(2), 112–115.</w:t>
      </w:r>
    </w:p>
    <w:p w14:paraId="3B501A0D"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Jayakumar, P., </w:t>
      </w:r>
      <w:proofErr w:type="spellStart"/>
      <w:r w:rsidRPr="00CF6ED1">
        <w:rPr>
          <w:rFonts w:ascii="Arial" w:hAnsi="Arial" w:cs="Arial"/>
          <w:sz w:val="20"/>
          <w:szCs w:val="20"/>
        </w:rPr>
        <w:t>Thirumeni</w:t>
      </w:r>
      <w:proofErr w:type="spellEnd"/>
      <w:r w:rsidRPr="00CF6ED1">
        <w:rPr>
          <w:rFonts w:ascii="Arial" w:hAnsi="Arial" w:cs="Arial"/>
          <w:sz w:val="20"/>
          <w:szCs w:val="20"/>
        </w:rPr>
        <w:t>, S., &amp; Paramasivam, K. (2018).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Madras Agricultural Journal, 105</w:t>
      </w:r>
      <w:r w:rsidRPr="00CF6ED1">
        <w:rPr>
          <w:rFonts w:ascii="Arial" w:hAnsi="Arial" w:cs="Arial"/>
          <w:sz w:val="20"/>
          <w:szCs w:val="20"/>
        </w:rPr>
        <w:t>(7–9), 346–349.</w:t>
      </w:r>
    </w:p>
    <w:p w14:paraId="3E621AA8" w14:textId="228C369A" w:rsidR="00AC0A8D" w:rsidRPr="00CF6ED1" w:rsidRDefault="00AC0A8D" w:rsidP="00736A87">
      <w:pPr>
        <w:pStyle w:val="NormalWeb"/>
        <w:ind w:left="720" w:hanging="720"/>
        <w:contextualSpacing/>
        <w:jc w:val="both"/>
        <w:rPr>
          <w:rFonts w:ascii="Arial" w:hAnsi="Arial" w:cs="Arial"/>
          <w:sz w:val="20"/>
          <w:szCs w:val="20"/>
        </w:rPr>
      </w:pPr>
      <w:r w:rsidRPr="00CF6ED1">
        <w:rPr>
          <w:rFonts w:ascii="Arial" w:hAnsi="Arial" w:cs="Arial"/>
          <w:sz w:val="20"/>
          <w:szCs w:val="20"/>
        </w:rPr>
        <w:t>Kavitha, D., &amp; Ganesan, K. N. (2021). Genetic variability and heritability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12</w:t>
      </w:r>
      <w:r w:rsidRPr="00CF6ED1">
        <w:rPr>
          <w:rFonts w:ascii="Arial" w:hAnsi="Arial" w:cs="Arial"/>
          <w:sz w:val="20"/>
          <w:szCs w:val="20"/>
        </w:rPr>
        <w:t>(1), 294–298.</w:t>
      </w:r>
    </w:p>
    <w:p w14:paraId="66280DB4" w14:textId="7A108D8E" w:rsidR="00AC0A8D" w:rsidRPr="00CF6ED1" w:rsidRDefault="00AC0A8D" w:rsidP="00F46890">
      <w:pPr>
        <w:pStyle w:val="NormalWeb"/>
        <w:ind w:left="720" w:hanging="720"/>
        <w:contextualSpacing/>
        <w:jc w:val="both"/>
        <w:rPr>
          <w:rFonts w:ascii="Arial" w:hAnsi="Arial" w:cs="Arial"/>
          <w:sz w:val="20"/>
          <w:szCs w:val="20"/>
        </w:rPr>
      </w:pPr>
      <w:r w:rsidRPr="00CF6ED1">
        <w:rPr>
          <w:rFonts w:ascii="Arial" w:hAnsi="Arial" w:cs="Arial"/>
          <w:sz w:val="20"/>
          <w:szCs w:val="20"/>
        </w:rPr>
        <w:t>Meena, H. P., Yadav, R. K., &amp; Kumar, R. (2020).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Indian Journal of Agricultural Sciences, 90</w:t>
      </w:r>
      <w:r w:rsidRPr="00CF6ED1">
        <w:rPr>
          <w:rFonts w:ascii="Arial" w:hAnsi="Arial" w:cs="Arial"/>
          <w:sz w:val="20"/>
          <w:szCs w:val="20"/>
        </w:rPr>
        <w:t>(8), 1521–1525.</w:t>
      </w:r>
    </w:p>
    <w:p w14:paraId="29A2A5C8"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Ramesh, K., &amp; Senthilkumar, G. (2018). Genetic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Agriculture and Ecology, 6</w:t>
      </w:r>
      <w:r w:rsidRPr="00CF6ED1">
        <w:rPr>
          <w:rFonts w:ascii="Arial" w:hAnsi="Arial" w:cs="Arial"/>
          <w:sz w:val="20"/>
          <w:szCs w:val="20"/>
        </w:rPr>
        <w:t>(1), 24–29.</w:t>
      </w:r>
    </w:p>
    <w:p w14:paraId="612FE5E5" w14:textId="069DDC03" w:rsidR="00AC0A8D" w:rsidRPr="00CF6ED1" w:rsidRDefault="00AC0A8D" w:rsidP="00FB5E58">
      <w:pPr>
        <w:pStyle w:val="NormalWeb"/>
        <w:ind w:left="720" w:hanging="720"/>
        <w:contextualSpacing/>
        <w:jc w:val="both"/>
        <w:rPr>
          <w:rFonts w:ascii="Arial" w:hAnsi="Arial" w:cs="Arial"/>
          <w:sz w:val="20"/>
          <w:szCs w:val="20"/>
        </w:rPr>
      </w:pPr>
      <w:r w:rsidRPr="00CF6ED1">
        <w:rPr>
          <w:rFonts w:ascii="Arial" w:hAnsi="Arial" w:cs="Arial"/>
          <w:sz w:val="20"/>
          <w:szCs w:val="20"/>
        </w:rPr>
        <w:t>Ravichandran, V., Senthilkumar, P., &amp; Karthikeyan, P. (2019).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Agricultural Science Digest, 39</w:t>
      </w:r>
      <w:r w:rsidRPr="00CF6ED1">
        <w:rPr>
          <w:rFonts w:ascii="Arial" w:hAnsi="Arial" w:cs="Arial"/>
          <w:sz w:val="20"/>
          <w:szCs w:val="20"/>
        </w:rPr>
        <w:t>(2), 135–138.</w:t>
      </w:r>
    </w:p>
    <w:p w14:paraId="059368B2"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Thirugnanakumar</w:t>
      </w:r>
      <w:proofErr w:type="spellEnd"/>
      <w:r w:rsidRPr="00CF6ED1">
        <w:rPr>
          <w:rFonts w:ascii="Arial" w:hAnsi="Arial" w:cs="Arial"/>
          <w:sz w:val="20"/>
          <w:szCs w:val="20"/>
        </w:rPr>
        <w:t xml:space="preserve">, S., </w:t>
      </w:r>
      <w:proofErr w:type="spellStart"/>
      <w:r w:rsidRPr="00CF6ED1">
        <w:rPr>
          <w:rFonts w:ascii="Arial" w:hAnsi="Arial" w:cs="Arial"/>
          <w:sz w:val="20"/>
          <w:szCs w:val="20"/>
        </w:rPr>
        <w:t>Rathinavel</w:t>
      </w:r>
      <w:proofErr w:type="spellEnd"/>
      <w:r w:rsidRPr="00CF6ED1">
        <w:rPr>
          <w:rFonts w:ascii="Arial" w:hAnsi="Arial" w:cs="Arial"/>
          <w:sz w:val="20"/>
          <w:szCs w:val="20"/>
        </w:rPr>
        <w:t>, R., &amp; Manivannan, N. (2017). Studies on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34</w:t>
      </w:r>
      <w:r w:rsidRPr="00CF6ED1">
        <w:rPr>
          <w:rFonts w:ascii="Arial" w:hAnsi="Arial" w:cs="Arial"/>
          <w:sz w:val="20"/>
          <w:szCs w:val="20"/>
        </w:rPr>
        <w:t>(2), 120–123.</w:t>
      </w:r>
    </w:p>
    <w:p w14:paraId="3743E4B4" w14:textId="48829140" w:rsidR="00C065BD" w:rsidRPr="00CF6ED1" w:rsidRDefault="00AC0A8D" w:rsidP="006F3D2D">
      <w:pPr>
        <w:pStyle w:val="NormalWeb"/>
        <w:ind w:left="720" w:hanging="720"/>
        <w:contextualSpacing/>
        <w:jc w:val="both"/>
        <w:rPr>
          <w:rFonts w:ascii="Arial" w:hAnsi="Arial" w:cs="Arial"/>
          <w:sz w:val="20"/>
          <w:szCs w:val="20"/>
        </w:rPr>
      </w:pPr>
      <w:r w:rsidRPr="00CF6ED1">
        <w:rPr>
          <w:rFonts w:ascii="Arial" w:hAnsi="Arial" w:cs="Arial"/>
          <w:sz w:val="20"/>
          <w:szCs w:val="20"/>
        </w:rPr>
        <w:t>Yadav, R. K., Meena, H. P., &amp; Kumar, R. (2020). Estimation of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37</w:t>
      </w:r>
      <w:r w:rsidRPr="00CF6ED1">
        <w:rPr>
          <w:rFonts w:ascii="Arial" w:hAnsi="Arial" w:cs="Arial"/>
          <w:sz w:val="20"/>
          <w:szCs w:val="20"/>
        </w:rPr>
        <w:t>(1), 58–61.</w:t>
      </w:r>
    </w:p>
    <w:p w14:paraId="781FAAA7" w14:textId="77777777" w:rsidR="00204198" w:rsidRDefault="00204198" w:rsidP="001306DA">
      <w:pPr>
        <w:pStyle w:val="Body"/>
        <w:spacing w:after="0"/>
        <w:rPr>
          <w:rFonts w:ascii="Arial" w:hAnsi="Arial" w:cs="Arial"/>
          <w:color w:val="000000" w:themeColor="text1"/>
        </w:rPr>
      </w:pPr>
    </w:p>
    <w:p w14:paraId="7F6F57CE" w14:textId="77777777" w:rsidR="00204198" w:rsidRDefault="00204198" w:rsidP="001306DA">
      <w:pPr>
        <w:pStyle w:val="Body"/>
        <w:spacing w:after="0"/>
        <w:rPr>
          <w:rFonts w:ascii="Arial" w:hAnsi="Arial" w:cs="Arial"/>
          <w:color w:val="000000" w:themeColor="text1"/>
        </w:rPr>
      </w:pPr>
    </w:p>
    <w:p w14:paraId="092CB946" w14:textId="77777777" w:rsidR="00204198" w:rsidRDefault="00204198" w:rsidP="001306DA">
      <w:pPr>
        <w:pStyle w:val="Body"/>
        <w:spacing w:after="0"/>
        <w:rPr>
          <w:rFonts w:ascii="Arial" w:hAnsi="Arial" w:cs="Arial"/>
          <w:color w:val="000000" w:themeColor="text1"/>
        </w:rPr>
      </w:pPr>
    </w:p>
    <w:p w14:paraId="5BCD9B58" w14:textId="77777777" w:rsidR="00204198" w:rsidRDefault="00204198" w:rsidP="001306DA">
      <w:pPr>
        <w:pStyle w:val="Body"/>
        <w:spacing w:after="0"/>
        <w:rPr>
          <w:rFonts w:ascii="Arial" w:hAnsi="Arial" w:cs="Arial"/>
          <w:color w:val="000000" w:themeColor="text1"/>
        </w:rPr>
      </w:pPr>
    </w:p>
    <w:p w14:paraId="23D57FE5" w14:textId="77777777" w:rsidR="00204198" w:rsidRDefault="00204198" w:rsidP="001306DA">
      <w:pPr>
        <w:pStyle w:val="Body"/>
        <w:spacing w:after="0"/>
        <w:rPr>
          <w:rFonts w:ascii="Arial" w:hAnsi="Arial" w:cs="Arial"/>
          <w:color w:val="000000" w:themeColor="text1"/>
        </w:rPr>
      </w:pPr>
    </w:p>
    <w:p w14:paraId="6FD3D758" w14:textId="77777777" w:rsidR="00204198" w:rsidRDefault="00204198" w:rsidP="001306DA">
      <w:pPr>
        <w:pStyle w:val="Body"/>
        <w:spacing w:after="0"/>
        <w:rPr>
          <w:rFonts w:ascii="Arial" w:hAnsi="Arial" w:cs="Arial"/>
          <w:color w:val="000000" w:themeColor="text1"/>
        </w:rPr>
      </w:pPr>
    </w:p>
    <w:p w14:paraId="2AA281F7" w14:textId="77777777" w:rsidR="00204198" w:rsidRDefault="00204198" w:rsidP="001306DA">
      <w:pPr>
        <w:pStyle w:val="Body"/>
        <w:spacing w:after="0"/>
        <w:rPr>
          <w:rFonts w:ascii="Arial" w:hAnsi="Arial" w:cs="Arial"/>
          <w:color w:val="000000" w:themeColor="text1"/>
        </w:rPr>
      </w:pPr>
    </w:p>
    <w:p w14:paraId="6518D2F7" w14:textId="77777777" w:rsidR="00204198" w:rsidRDefault="00204198" w:rsidP="001306DA">
      <w:pPr>
        <w:pStyle w:val="Body"/>
        <w:spacing w:after="0"/>
        <w:rPr>
          <w:rFonts w:ascii="Arial" w:hAnsi="Arial" w:cs="Arial"/>
          <w:color w:val="000000" w:themeColor="text1"/>
        </w:rPr>
      </w:pPr>
    </w:p>
    <w:p w14:paraId="25959850" w14:textId="77777777" w:rsidR="00204198" w:rsidRDefault="00204198" w:rsidP="001306DA">
      <w:pPr>
        <w:pStyle w:val="Body"/>
        <w:spacing w:after="0"/>
        <w:rPr>
          <w:rFonts w:ascii="Arial" w:hAnsi="Arial" w:cs="Arial"/>
          <w:color w:val="000000" w:themeColor="text1"/>
        </w:rPr>
      </w:pPr>
    </w:p>
    <w:p w14:paraId="187C66FA" w14:textId="77777777" w:rsidR="00204198" w:rsidRDefault="00204198" w:rsidP="001306DA">
      <w:pPr>
        <w:pStyle w:val="Body"/>
        <w:spacing w:after="0"/>
        <w:rPr>
          <w:rFonts w:ascii="Arial" w:hAnsi="Arial" w:cs="Arial"/>
          <w:color w:val="000000" w:themeColor="text1"/>
        </w:rPr>
      </w:pPr>
    </w:p>
    <w:p w14:paraId="79CA6601" w14:textId="77777777" w:rsidR="00204198" w:rsidRDefault="00204198" w:rsidP="001306DA">
      <w:pPr>
        <w:pStyle w:val="Body"/>
        <w:spacing w:after="0"/>
        <w:rPr>
          <w:rFonts w:ascii="Arial" w:hAnsi="Arial" w:cs="Arial"/>
          <w:color w:val="000000" w:themeColor="text1"/>
        </w:rPr>
      </w:pPr>
    </w:p>
    <w:p w14:paraId="46C1BC6A" w14:textId="77777777" w:rsidR="00204198" w:rsidRDefault="00204198" w:rsidP="001306DA">
      <w:pPr>
        <w:pStyle w:val="Body"/>
        <w:spacing w:after="0"/>
        <w:rPr>
          <w:rFonts w:ascii="Arial" w:hAnsi="Arial" w:cs="Arial"/>
          <w:color w:val="000000" w:themeColor="text1"/>
        </w:rPr>
      </w:pPr>
    </w:p>
    <w:p w14:paraId="0361ADFD" w14:textId="77777777" w:rsidR="00204198" w:rsidRDefault="00204198" w:rsidP="001306DA">
      <w:pPr>
        <w:pStyle w:val="Body"/>
        <w:spacing w:after="0"/>
        <w:rPr>
          <w:rFonts w:ascii="Arial" w:hAnsi="Arial" w:cs="Arial"/>
          <w:color w:val="000000" w:themeColor="text1"/>
        </w:rPr>
      </w:pPr>
    </w:p>
    <w:p w14:paraId="4438DB36" w14:textId="77777777" w:rsidR="00204198" w:rsidRDefault="00204198" w:rsidP="001306DA">
      <w:pPr>
        <w:pStyle w:val="Body"/>
        <w:spacing w:after="0"/>
        <w:rPr>
          <w:rFonts w:ascii="Arial" w:hAnsi="Arial" w:cs="Arial"/>
          <w:color w:val="000000" w:themeColor="text1"/>
        </w:rPr>
      </w:pPr>
    </w:p>
    <w:p w14:paraId="683F0ADF" w14:textId="77777777" w:rsidR="00204198" w:rsidRDefault="00204198" w:rsidP="001306DA">
      <w:pPr>
        <w:pStyle w:val="Body"/>
        <w:spacing w:after="0"/>
        <w:rPr>
          <w:rFonts w:ascii="Arial" w:hAnsi="Arial" w:cs="Arial"/>
          <w:color w:val="000000" w:themeColor="text1"/>
        </w:rPr>
      </w:pPr>
    </w:p>
    <w:p w14:paraId="7B5A2E7C" w14:textId="77777777" w:rsidR="00204198" w:rsidRDefault="00204198" w:rsidP="001306DA">
      <w:pPr>
        <w:pStyle w:val="Body"/>
        <w:spacing w:after="0"/>
        <w:rPr>
          <w:rFonts w:ascii="Arial" w:hAnsi="Arial" w:cs="Arial"/>
          <w:color w:val="000000" w:themeColor="text1"/>
        </w:rPr>
      </w:pPr>
    </w:p>
    <w:p w14:paraId="693EA830" w14:textId="77777777" w:rsidR="00204198" w:rsidRDefault="00204198" w:rsidP="001306DA">
      <w:pPr>
        <w:pStyle w:val="Body"/>
        <w:spacing w:after="0"/>
        <w:rPr>
          <w:rFonts w:ascii="Arial" w:hAnsi="Arial" w:cs="Arial"/>
          <w:color w:val="000000" w:themeColor="text1"/>
        </w:rPr>
      </w:pPr>
    </w:p>
    <w:p w14:paraId="54825FAF" w14:textId="77777777" w:rsidR="00204198" w:rsidRDefault="00204198" w:rsidP="001306DA">
      <w:pPr>
        <w:pStyle w:val="Body"/>
        <w:spacing w:after="0"/>
        <w:rPr>
          <w:rFonts w:ascii="Arial" w:hAnsi="Arial" w:cs="Arial"/>
          <w:color w:val="000000" w:themeColor="text1"/>
        </w:rPr>
      </w:pPr>
    </w:p>
    <w:p w14:paraId="1F223364" w14:textId="77777777" w:rsidR="00204198" w:rsidRDefault="00204198" w:rsidP="001306DA">
      <w:pPr>
        <w:pStyle w:val="Body"/>
        <w:spacing w:after="0"/>
        <w:rPr>
          <w:rFonts w:ascii="Arial" w:hAnsi="Arial" w:cs="Arial"/>
          <w:color w:val="000000" w:themeColor="text1"/>
        </w:rPr>
      </w:pPr>
    </w:p>
    <w:p w14:paraId="34E5AA81" w14:textId="77777777" w:rsidR="00204198" w:rsidRDefault="00204198" w:rsidP="001306DA">
      <w:pPr>
        <w:pStyle w:val="Body"/>
        <w:spacing w:after="0"/>
        <w:rPr>
          <w:rFonts w:ascii="Arial" w:hAnsi="Arial" w:cs="Arial"/>
          <w:color w:val="000000" w:themeColor="text1"/>
        </w:rPr>
      </w:pPr>
    </w:p>
    <w:p w14:paraId="3C9FA930" w14:textId="77777777" w:rsidR="00204198" w:rsidRDefault="00204198" w:rsidP="001306DA">
      <w:pPr>
        <w:pStyle w:val="Body"/>
        <w:spacing w:after="0"/>
        <w:rPr>
          <w:rFonts w:ascii="Arial" w:hAnsi="Arial" w:cs="Arial"/>
          <w:color w:val="000000" w:themeColor="text1"/>
        </w:rPr>
      </w:pPr>
    </w:p>
    <w:p w14:paraId="6CF84E69" w14:textId="77777777" w:rsidR="00156094" w:rsidRDefault="00156094" w:rsidP="001306DA">
      <w:pPr>
        <w:pStyle w:val="Body"/>
        <w:spacing w:after="0"/>
        <w:rPr>
          <w:rFonts w:ascii="Arial" w:hAnsi="Arial" w:cs="Arial"/>
          <w:color w:val="000000" w:themeColor="text1"/>
        </w:rPr>
      </w:pPr>
    </w:p>
    <w:p w14:paraId="2B3379FC" w14:textId="77777777" w:rsidR="00156094" w:rsidRDefault="00156094" w:rsidP="001306DA">
      <w:pPr>
        <w:pStyle w:val="Body"/>
        <w:spacing w:after="0"/>
        <w:rPr>
          <w:rFonts w:ascii="Arial" w:hAnsi="Arial" w:cs="Arial"/>
          <w:color w:val="000000" w:themeColor="text1"/>
        </w:rPr>
      </w:pPr>
    </w:p>
    <w:p w14:paraId="5A10F09E" w14:textId="77777777" w:rsidR="00156094" w:rsidRDefault="00156094" w:rsidP="001306DA">
      <w:pPr>
        <w:pStyle w:val="Body"/>
        <w:spacing w:after="0"/>
        <w:rPr>
          <w:rFonts w:ascii="Arial" w:hAnsi="Arial" w:cs="Arial"/>
          <w:color w:val="000000" w:themeColor="text1"/>
        </w:rPr>
      </w:pPr>
    </w:p>
    <w:p w14:paraId="5A04F4BB" w14:textId="77777777" w:rsidR="00156094" w:rsidRDefault="00156094" w:rsidP="001306DA">
      <w:pPr>
        <w:pStyle w:val="Body"/>
        <w:spacing w:after="0"/>
        <w:rPr>
          <w:rFonts w:ascii="Arial" w:hAnsi="Arial" w:cs="Arial"/>
          <w:color w:val="000000" w:themeColor="text1"/>
        </w:rPr>
      </w:pPr>
    </w:p>
    <w:p w14:paraId="0A608D93" w14:textId="77777777" w:rsidR="00CF6ED1" w:rsidRDefault="00CF6ED1" w:rsidP="001306DA">
      <w:pPr>
        <w:pStyle w:val="Body"/>
        <w:spacing w:after="0"/>
        <w:rPr>
          <w:rFonts w:ascii="Arial" w:hAnsi="Arial" w:cs="Arial"/>
          <w:color w:val="000000" w:themeColor="text1"/>
        </w:rPr>
      </w:pPr>
    </w:p>
    <w:p w14:paraId="4085B2C7" w14:textId="77777777" w:rsidR="00CF6ED1" w:rsidRDefault="00CF6ED1" w:rsidP="001306DA">
      <w:pPr>
        <w:pStyle w:val="Body"/>
        <w:spacing w:after="0"/>
        <w:rPr>
          <w:rFonts w:ascii="Arial" w:hAnsi="Arial" w:cs="Arial"/>
          <w:color w:val="000000" w:themeColor="text1"/>
        </w:rPr>
      </w:pPr>
    </w:p>
    <w:p w14:paraId="1F49492D" w14:textId="77777777" w:rsidR="00CF6ED1" w:rsidRDefault="00CF6ED1" w:rsidP="001306DA">
      <w:pPr>
        <w:pStyle w:val="Body"/>
        <w:spacing w:after="0"/>
        <w:rPr>
          <w:rFonts w:ascii="Arial" w:hAnsi="Arial" w:cs="Arial"/>
          <w:color w:val="000000" w:themeColor="text1"/>
        </w:rPr>
      </w:pPr>
    </w:p>
    <w:p w14:paraId="03835AF1" w14:textId="77777777" w:rsidR="00CF6ED1" w:rsidRDefault="00CF6ED1" w:rsidP="001306DA">
      <w:pPr>
        <w:pStyle w:val="Body"/>
        <w:spacing w:after="0"/>
        <w:rPr>
          <w:rFonts w:ascii="Arial" w:hAnsi="Arial" w:cs="Arial"/>
          <w:color w:val="000000" w:themeColor="text1"/>
        </w:rPr>
      </w:pPr>
    </w:p>
    <w:p w14:paraId="1C593F36" w14:textId="77777777" w:rsidR="00CF6ED1" w:rsidRDefault="00CF6ED1" w:rsidP="001306DA">
      <w:pPr>
        <w:pStyle w:val="Body"/>
        <w:spacing w:after="0"/>
        <w:rPr>
          <w:rFonts w:ascii="Arial" w:hAnsi="Arial" w:cs="Arial"/>
          <w:color w:val="000000" w:themeColor="text1"/>
        </w:rPr>
      </w:pPr>
    </w:p>
    <w:p w14:paraId="3030F9FB" w14:textId="77777777" w:rsidR="00CF6ED1" w:rsidRDefault="00CF6ED1" w:rsidP="001306DA">
      <w:pPr>
        <w:pStyle w:val="Body"/>
        <w:spacing w:after="0"/>
        <w:rPr>
          <w:rFonts w:ascii="Arial" w:hAnsi="Arial" w:cs="Arial"/>
          <w:color w:val="000000" w:themeColor="text1"/>
        </w:rPr>
      </w:pPr>
    </w:p>
    <w:p w14:paraId="02210522" w14:textId="77777777" w:rsidR="00CF6ED1" w:rsidRDefault="00CF6ED1" w:rsidP="001306DA">
      <w:pPr>
        <w:pStyle w:val="Body"/>
        <w:spacing w:after="0"/>
        <w:rPr>
          <w:rFonts w:ascii="Arial" w:hAnsi="Arial" w:cs="Arial"/>
          <w:color w:val="000000" w:themeColor="text1"/>
        </w:rPr>
      </w:pPr>
    </w:p>
    <w:p w14:paraId="34CBA500" w14:textId="77777777" w:rsidR="00CF6ED1" w:rsidRDefault="00CF6ED1" w:rsidP="001306DA">
      <w:pPr>
        <w:pStyle w:val="Body"/>
        <w:spacing w:after="0"/>
        <w:rPr>
          <w:rFonts w:ascii="Arial" w:hAnsi="Arial" w:cs="Arial"/>
          <w:color w:val="000000" w:themeColor="text1"/>
        </w:rPr>
      </w:pPr>
    </w:p>
    <w:p w14:paraId="784AF47F" w14:textId="77777777" w:rsidR="00CF6ED1" w:rsidRDefault="00CF6ED1" w:rsidP="001306DA">
      <w:pPr>
        <w:pStyle w:val="Body"/>
        <w:spacing w:after="0"/>
        <w:rPr>
          <w:rFonts w:ascii="Arial" w:hAnsi="Arial" w:cs="Arial"/>
          <w:color w:val="000000" w:themeColor="text1"/>
        </w:rPr>
      </w:pPr>
    </w:p>
    <w:p w14:paraId="40B476E9" w14:textId="77777777" w:rsidR="00CF6ED1" w:rsidRDefault="00CF6ED1" w:rsidP="001306DA">
      <w:pPr>
        <w:pStyle w:val="Body"/>
        <w:spacing w:after="0"/>
        <w:rPr>
          <w:rFonts w:ascii="Arial" w:hAnsi="Arial" w:cs="Arial"/>
          <w:color w:val="000000" w:themeColor="text1"/>
        </w:rPr>
      </w:pPr>
    </w:p>
    <w:p w14:paraId="596C06CD" w14:textId="77777777" w:rsidR="00CF6ED1" w:rsidRDefault="00CF6ED1" w:rsidP="001306DA">
      <w:pPr>
        <w:pStyle w:val="Body"/>
        <w:spacing w:after="0"/>
        <w:rPr>
          <w:rFonts w:ascii="Arial" w:hAnsi="Arial" w:cs="Arial"/>
          <w:color w:val="000000" w:themeColor="text1"/>
        </w:rPr>
      </w:pPr>
    </w:p>
    <w:p w14:paraId="60612548" w14:textId="77777777" w:rsidR="00CF6ED1" w:rsidRDefault="00CF6ED1" w:rsidP="001306DA">
      <w:pPr>
        <w:pStyle w:val="Body"/>
        <w:spacing w:after="0"/>
        <w:rPr>
          <w:rFonts w:ascii="Arial" w:hAnsi="Arial" w:cs="Arial"/>
          <w:color w:val="000000" w:themeColor="text1"/>
        </w:rPr>
      </w:pPr>
    </w:p>
    <w:p w14:paraId="6F36E9C6" w14:textId="77777777" w:rsidR="00CF6ED1" w:rsidRDefault="00CF6ED1" w:rsidP="001306DA">
      <w:pPr>
        <w:pStyle w:val="Body"/>
        <w:spacing w:after="0"/>
        <w:rPr>
          <w:rFonts w:ascii="Arial" w:hAnsi="Arial" w:cs="Arial"/>
          <w:color w:val="000000" w:themeColor="text1"/>
        </w:rPr>
      </w:pPr>
    </w:p>
    <w:p w14:paraId="3C48FB27" w14:textId="77777777" w:rsidR="00CF6ED1" w:rsidRDefault="00CF6ED1" w:rsidP="001306DA">
      <w:pPr>
        <w:pStyle w:val="Body"/>
        <w:spacing w:after="0"/>
        <w:rPr>
          <w:rFonts w:ascii="Arial" w:hAnsi="Arial" w:cs="Arial"/>
          <w:color w:val="000000" w:themeColor="text1"/>
        </w:rPr>
      </w:pPr>
    </w:p>
    <w:p w14:paraId="01FB3CB0" w14:textId="77777777" w:rsidR="00CF6ED1" w:rsidRDefault="00CF6ED1" w:rsidP="001306DA">
      <w:pPr>
        <w:pStyle w:val="Body"/>
        <w:spacing w:after="0"/>
        <w:rPr>
          <w:rFonts w:ascii="Arial" w:hAnsi="Arial" w:cs="Arial"/>
          <w:color w:val="000000" w:themeColor="text1"/>
        </w:rPr>
      </w:pPr>
    </w:p>
    <w:p w14:paraId="0F9F5AC6" w14:textId="77777777" w:rsidR="00CF6ED1" w:rsidRDefault="00CF6ED1" w:rsidP="001306DA">
      <w:pPr>
        <w:pStyle w:val="Body"/>
        <w:spacing w:after="0"/>
        <w:rPr>
          <w:rFonts w:ascii="Arial" w:hAnsi="Arial" w:cs="Arial"/>
          <w:color w:val="000000" w:themeColor="text1"/>
        </w:rPr>
      </w:pPr>
    </w:p>
    <w:p w14:paraId="4039BC9C" w14:textId="77777777" w:rsidR="00CF6ED1" w:rsidRDefault="00CF6ED1" w:rsidP="001306DA">
      <w:pPr>
        <w:pStyle w:val="Body"/>
        <w:spacing w:after="0"/>
        <w:rPr>
          <w:rFonts w:ascii="Arial" w:hAnsi="Arial" w:cs="Arial"/>
          <w:color w:val="000000" w:themeColor="text1"/>
        </w:rPr>
      </w:pPr>
    </w:p>
    <w:p w14:paraId="61EB0E5B" w14:textId="77777777" w:rsidR="00CF6ED1" w:rsidRDefault="00CF6ED1" w:rsidP="001306DA">
      <w:pPr>
        <w:pStyle w:val="Body"/>
        <w:spacing w:after="0"/>
        <w:rPr>
          <w:rFonts w:ascii="Arial" w:hAnsi="Arial" w:cs="Arial"/>
          <w:color w:val="000000" w:themeColor="text1"/>
        </w:rPr>
      </w:pPr>
    </w:p>
    <w:p w14:paraId="15610EC0" w14:textId="77777777" w:rsidR="00CF6ED1" w:rsidRDefault="00CF6ED1" w:rsidP="001306DA">
      <w:pPr>
        <w:pStyle w:val="Body"/>
        <w:spacing w:after="0"/>
        <w:rPr>
          <w:rFonts w:ascii="Arial" w:hAnsi="Arial" w:cs="Arial"/>
          <w:color w:val="000000" w:themeColor="text1"/>
        </w:rPr>
      </w:pPr>
    </w:p>
    <w:p w14:paraId="647E6805" w14:textId="77777777" w:rsidR="00CF6ED1" w:rsidRDefault="00CF6ED1" w:rsidP="001306DA">
      <w:pPr>
        <w:pStyle w:val="Body"/>
        <w:spacing w:after="0"/>
        <w:rPr>
          <w:rFonts w:ascii="Arial" w:hAnsi="Arial" w:cs="Arial"/>
          <w:color w:val="000000" w:themeColor="text1"/>
        </w:rPr>
      </w:pPr>
    </w:p>
    <w:p w14:paraId="104A996D" w14:textId="77777777" w:rsidR="00CF6ED1" w:rsidRDefault="00CF6ED1" w:rsidP="001306DA">
      <w:pPr>
        <w:pStyle w:val="Body"/>
        <w:spacing w:after="0"/>
        <w:rPr>
          <w:rFonts w:ascii="Arial" w:hAnsi="Arial" w:cs="Arial"/>
          <w:color w:val="000000" w:themeColor="text1"/>
        </w:rPr>
      </w:pPr>
    </w:p>
    <w:p w14:paraId="17EF495A" w14:textId="77777777" w:rsidR="00CF6ED1" w:rsidRDefault="00CF6ED1" w:rsidP="001306DA">
      <w:pPr>
        <w:pStyle w:val="Body"/>
        <w:spacing w:after="0"/>
        <w:rPr>
          <w:rFonts w:ascii="Arial" w:hAnsi="Arial" w:cs="Arial"/>
          <w:color w:val="000000" w:themeColor="text1"/>
        </w:rPr>
      </w:pPr>
    </w:p>
    <w:p w14:paraId="53BF87DC" w14:textId="77777777" w:rsidR="00CF6ED1" w:rsidRDefault="00CF6ED1" w:rsidP="001306DA">
      <w:pPr>
        <w:pStyle w:val="Body"/>
        <w:spacing w:after="0"/>
        <w:rPr>
          <w:rFonts w:ascii="Arial" w:hAnsi="Arial" w:cs="Arial"/>
          <w:color w:val="000000" w:themeColor="text1"/>
        </w:rPr>
      </w:pPr>
    </w:p>
    <w:p w14:paraId="0C473942" w14:textId="77777777" w:rsidR="00204198" w:rsidRDefault="00204198" w:rsidP="001306DA">
      <w:pPr>
        <w:pStyle w:val="Body"/>
        <w:spacing w:after="0"/>
        <w:rPr>
          <w:rFonts w:ascii="Arial" w:hAnsi="Arial" w:cs="Arial"/>
          <w:color w:val="000000" w:themeColor="text1"/>
        </w:rPr>
      </w:pPr>
    </w:p>
    <w:p w14:paraId="105F8669" w14:textId="7F75A8CF" w:rsidR="00284C4C" w:rsidRPr="003763C1" w:rsidRDefault="001306DA" w:rsidP="001306DA">
      <w:pPr>
        <w:pStyle w:val="Body"/>
        <w:spacing w:after="0"/>
      </w:pPr>
      <w:r w:rsidRPr="00C71FE1">
        <w:rPr>
          <w:rFonts w:ascii="Arial" w:hAnsi="Arial" w:cs="Arial"/>
          <w:color w:val="000000" w:themeColor="text1"/>
        </w:rPr>
        <w:t>Table</w:t>
      </w:r>
      <w:r w:rsidRPr="00C71FE1">
        <w:rPr>
          <w:rFonts w:ascii="Arial" w:hAnsi="Arial" w:cs="Arial"/>
          <w:color w:val="000000" w:themeColor="text1"/>
          <w:spacing w:val="-2"/>
        </w:rPr>
        <w:t xml:space="preserve"> </w:t>
      </w:r>
      <w:r>
        <w:rPr>
          <w:rFonts w:ascii="Arial" w:hAnsi="Arial" w:cs="Arial"/>
          <w:color w:val="000000" w:themeColor="text1"/>
        </w:rPr>
        <w:t>2</w:t>
      </w:r>
      <w:r w:rsidRPr="001112E9">
        <w:rPr>
          <w:rFonts w:ascii="Arial" w:hAnsi="Arial" w:cs="Arial"/>
          <w:color w:val="000000" w:themeColor="text1"/>
        </w:rPr>
        <w:t>.</w:t>
      </w:r>
      <w:r w:rsidRPr="001112E9">
        <w:rPr>
          <w:rFonts w:ascii="Arial" w:hAnsi="Arial" w:cs="Arial"/>
          <w:color w:val="000000" w:themeColor="text1"/>
          <w:spacing w:val="-1"/>
        </w:rPr>
        <w:t xml:space="preserve"> </w:t>
      </w:r>
      <w:r w:rsidRPr="001112E9">
        <w:rPr>
          <w:rFonts w:ascii="Arial" w:hAnsi="Arial" w:cs="Arial"/>
          <w:color w:val="000000" w:themeColor="text1"/>
        </w:rPr>
        <w:t>Parameters of genetic variability for yield and yield contributing character in</w:t>
      </w:r>
      <w:r w:rsidR="006F3D2D">
        <w:rPr>
          <w:rFonts w:ascii="Arial" w:hAnsi="Arial" w:cs="Arial"/>
          <w:color w:val="000000" w:themeColor="text1"/>
        </w:rPr>
        <w:t xml:space="preserve"> sesame.</w:t>
      </w:r>
    </w:p>
    <w:tbl>
      <w:tblPr>
        <w:tblpPr w:leftFromText="180" w:rightFromText="180" w:vertAnchor="page" w:horzAnchor="margin" w:tblpXSpec="center" w:tblpY="19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
        <w:gridCol w:w="1172"/>
        <w:gridCol w:w="686"/>
        <w:gridCol w:w="645"/>
        <w:gridCol w:w="542"/>
        <w:gridCol w:w="538"/>
        <w:gridCol w:w="536"/>
        <w:gridCol w:w="648"/>
        <w:gridCol w:w="1166"/>
        <w:gridCol w:w="945"/>
        <w:gridCol w:w="998"/>
      </w:tblGrid>
      <w:tr w:rsidR="003040A8" w14:paraId="4792398F" w14:textId="77777777" w:rsidTr="006413B0">
        <w:trPr>
          <w:trHeight w:val="937"/>
        </w:trPr>
        <w:tc>
          <w:tcPr>
            <w:tcW w:w="0" w:type="auto"/>
          </w:tcPr>
          <w:p w14:paraId="3ABEE8D9" w14:textId="77777777" w:rsidR="00204198" w:rsidRPr="00CB6C57" w:rsidRDefault="00204198" w:rsidP="006413B0">
            <w:pPr>
              <w:pStyle w:val="TableParagraph"/>
              <w:ind w:left="23"/>
              <w:jc w:val="left"/>
              <w:rPr>
                <w:rFonts w:ascii="Arial" w:hAnsi="Arial" w:cs="Arial"/>
                <w:b/>
                <w:sz w:val="20"/>
                <w:szCs w:val="20"/>
              </w:rPr>
            </w:pPr>
            <w:r w:rsidRPr="00CB6C57">
              <w:rPr>
                <w:rFonts w:ascii="Arial" w:hAnsi="Arial" w:cs="Arial"/>
                <w:b/>
                <w:spacing w:val="-5"/>
                <w:sz w:val="20"/>
                <w:szCs w:val="20"/>
              </w:rPr>
              <w:lastRenderedPageBreak/>
              <w:t>Sr.</w:t>
            </w:r>
          </w:p>
          <w:p w14:paraId="48F7B009" w14:textId="77777777" w:rsidR="00204198" w:rsidRPr="00CB6C57" w:rsidRDefault="00204198" w:rsidP="006413B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0" w:type="auto"/>
          </w:tcPr>
          <w:p w14:paraId="612935FD" w14:textId="77777777" w:rsidR="00204198" w:rsidRPr="00CB6C57" w:rsidRDefault="00204198" w:rsidP="006413B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0" w:type="auto"/>
          </w:tcPr>
          <w:p w14:paraId="05091A42" w14:textId="77777777" w:rsidR="00204198" w:rsidRPr="00CB6C57" w:rsidRDefault="00204198" w:rsidP="006413B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0" w:type="auto"/>
          </w:tcPr>
          <w:p w14:paraId="4941064E" w14:textId="77777777" w:rsidR="00204198" w:rsidRPr="00CB6C57" w:rsidRDefault="00204198" w:rsidP="006413B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0" w:type="auto"/>
          </w:tcPr>
          <w:p w14:paraId="5E9BBE3E" w14:textId="77777777" w:rsidR="00204198" w:rsidRPr="00CB6C57" w:rsidRDefault="00204198" w:rsidP="006413B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17DE3D8C" w14:textId="77777777" w:rsidR="00204198" w:rsidRPr="00CB6C57" w:rsidRDefault="00204198" w:rsidP="006413B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0" w:type="auto"/>
          </w:tcPr>
          <w:p w14:paraId="43EBE25A" w14:textId="77777777" w:rsidR="00204198" w:rsidRPr="00CB6C57" w:rsidRDefault="00204198" w:rsidP="006413B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4B575CE7" w14:textId="77777777" w:rsidR="00204198" w:rsidRPr="00CB6C57" w:rsidRDefault="00204198" w:rsidP="006413B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0" w:type="auto"/>
          </w:tcPr>
          <w:p w14:paraId="7193EB52" w14:textId="77777777" w:rsidR="00204198" w:rsidRPr="00CB6C57" w:rsidRDefault="00204198" w:rsidP="006413B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0" w:type="auto"/>
          </w:tcPr>
          <w:p w14:paraId="52B7AE16" w14:textId="77777777" w:rsidR="00204198" w:rsidRPr="00CB6C57" w:rsidRDefault="00204198" w:rsidP="006413B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0" w:type="auto"/>
          </w:tcPr>
          <w:p w14:paraId="6B9E6139" w14:textId="77777777" w:rsidR="00204198" w:rsidRPr="00CB6C57" w:rsidRDefault="00204198" w:rsidP="006413B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604C2BD" w14:textId="77777777" w:rsidR="00204198" w:rsidRPr="00CB6C57" w:rsidRDefault="00204198" w:rsidP="006413B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6FAFB063" w14:textId="77777777" w:rsidR="00204198" w:rsidRPr="00CB6C57" w:rsidRDefault="00204198" w:rsidP="006413B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0" w:type="auto"/>
          </w:tcPr>
          <w:p w14:paraId="420EBD1A" w14:textId="77777777" w:rsidR="00204198" w:rsidRPr="00CB6C57" w:rsidRDefault="00204198" w:rsidP="006413B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A796117" w14:textId="70A2DDAD" w:rsidR="00204198" w:rsidRPr="00CB6C57" w:rsidRDefault="003040A8" w:rsidP="006413B0">
            <w:pPr>
              <w:pStyle w:val="TableParagraph"/>
              <w:ind w:left="42" w:right="14"/>
              <w:jc w:val="both"/>
              <w:rPr>
                <w:rFonts w:ascii="Arial" w:hAnsi="Arial" w:cs="Arial"/>
                <w:b/>
                <w:sz w:val="20"/>
                <w:szCs w:val="20"/>
              </w:rPr>
            </w:pPr>
            <w:r w:rsidRPr="00CB6C57">
              <w:rPr>
                <w:rFonts w:ascii="Arial" w:hAnsi="Arial" w:cs="Arial"/>
                <w:b/>
                <w:sz w:val="20"/>
                <w:szCs w:val="20"/>
              </w:rPr>
              <w:t>advance (</w:t>
            </w:r>
            <w:r w:rsidR="00204198" w:rsidRPr="00CB6C57">
              <w:rPr>
                <w:rFonts w:ascii="Arial" w:hAnsi="Arial" w:cs="Arial"/>
                <w:b/>
                <w:spacing w:val="-4"/>
                <w:sz w:val="20"/>
                <w:szCs w:val="20"/>
              </w:rPr>
              <w:t>1%)</w:t>
            </w:r>
          </w:p>
        </w:tc>
        <w:tc>
          <w:tcPr>
            <w:tcW w:w="0" w:type="auto"/>
          </w:tcPr>
          <w:p w14:paraId="2D8E969C" w14:textId="77777777" w:rsidR="00204198" w:rsidRPr="00CB6C57" w:rsidRDefault="00204198" w:rsidP="006413B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52349DB0" w14:textId="3FB8F077" w:rsidR="00204198" w:rsidRPr="00CB6C57" w:rsidRDefault="00204198" w:rsidP="006413B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003040A8" w:rsidRPr="00CB6C57">
              <w:rPr>
                <w:rFonts w:ascii="Arial" w:hAnsi="Arial" w:cs="Arial"/>
                <w:b/>
                <w:spacing w:val="-4"/>
                <w:sz w:val="20"/>
                <w:szCs w:val="20"/>
              </w:rPr>
              <w:t>Mean</w:t>
            </w:r>
          </w:p>
        </w:tc>
      </w:tr>
      <w:tr w:rsidR="003040A8" w14:paraId="0DF39F2A" w14:textId="77777777" w:rsidTr="00FB4298">
        <w:trPr>
          <w:trHeight w:val="465"/>
        </w:trPr>
        <w:tc>
          <w:tcPr>
            <w:tcW w:w="0" w:type="auto"/>
          </w:tcPr>
          <w:p w14:paraId="4FB70DD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1</w:t>
            </w:r>
          </w:p>
        </w:tc>
        <w:tc>
          <w:tcPr>
            <w:tcW w:w="0" w:type="auto"/>
          </w:tcPr>
          <w:p w14:paraId="3C9C0592"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0" w:type="auto"/>
          </w:tcPr>
          <w:p w14:paraId="488E788C" w14:textId="55A31A19" w:rsidR="003040A8" w:rsidRPr="00CB6C57" w:rsidRDefault="003040A8" w:rsidP="003040A8">
            <w:pPr>
              <w:pStyle w:val="TableParagraph"/>
              <w:rPr>
                <w:rFonts w:ascii="Arial" w:hAnsi="Arial" w:cs="Arial"/>
                <w:sz w:val="20"/>
                <w:szCs w:val="20"/>
              </w:rPr>
            </w:pPr>
            <w:r>
              <w:rPr>
                <w:rFonts w:ascii="Arial" w:hAnsi="Arial" w:cs="Arial"/>
                <w:sz w:val="20"/>
                <w:szCs w:val="20"/>
              </w:rPr>
              <w:t>41.5-64.5</w:t>
            </w:r>
          </w:p>
        </w:tc>
        <w:tc>
          <w:tcPr>
            <w:tcW w:w="0" w:type="auto"/>
            <w:tcBorders>
              <w:top w:val="single" w:sz="8" w:space="0" w:color="000000"/>
              <w:left w:val="single" w:sz="8" w:space="0" w:color="000000"/>
              <w:bottom w:val="single" w:sz="8" w:space="0" w:color="000000"/>
              <w:right w:val="single" w:sz="8" w:space="0" w:color="000000"/>
            </w:tcBorders>
          </w:tcPr>
          <w:p w14:paraId="1CB369C7" w14:textId="4862A467"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53.016</w:t>
            </w:r>
          </w:p>
        </w:tc>
        <w:tc>
          <w:tcPr>
            <w:tcW w:w="0" w:type="auto"/>
            <w:tcBorders>
              <w:top w:val="single" w:sz="8" w:space="0" w:color="000000"/>
              <w:left w:val="single" w:sz="8" w:space="0" w:color="000000"/>
              <w:bottom w:val="single" w:sz="8" w:space="0" w:color="000000"/>
              <w:right w:val="single" w:sz="8" w:space="0" w:color="000000"/>
            </w:tcBorders>
          </w:tcPr>
          <w:p w14:paraId="29EDC5BF" w14:textId="53384F4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39.93</w:t>
            </w:r>
          </w:p>
        </w:tc>
        <w:tc>
          <w:tcPr>
            <w:tcW w:w="0" w:type="auto"/>
            <w:tcBorders>
              <w:top w:val="single" w:sz="8" w:space="0" w:color="000000"/>
              <w:left w:val="single" w:sz="8" w:space="0" w:color="000000"/>
              <w:bottom w:val="single" w:sz="8" w:space="0" w:color="000000"/>
              <w:right w:val="single" w:sz="8" w:space="0" w:color="000000"/>
            </w:tcBorders>
          </w:tcPr>
          <w:p w14:paraId="21C7EAAF" w14:textId="3AC1556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41.57</w:t>
            </w:r>
          </w:p>
        </w:tc>
        <w:tc>
          <w:tcPr>
            <w:tcW w:w="0" w:type="auto"/>
            <w:tcBorders>
              <w:top w:val="single" w:sz="8" w:space="0" w:color="000000"/>
              <w:left w:val="single" w:sz="8" w:space="0" w:color="000000"/>
              <w:bottom w:val="single" w:sz="8" w:space="0" w:color="000000"/>
              <w:right w:val="single" w:sz="8" w:space="0" w:color="000000"/>
            </w:tcBorders>
          </w:tcPr>
          <w:p w14:paraId="0D82FB31" w14:textId="13A13032"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11.91</w:t>
            </w:r>
          </w:p>
        </w:tc>
        <w:tc>
          <w:tcPr>
            <w:tcW w:w="0" w:type="auto"/>
            <w:tcBorders>
              <w:top w:val="single" w:sz="8" w:space="0" w:color="000000"/>
              <w:left w:val="single" w:sz="8" w:space="0" w:color="000000"/>
              <w:bottom w:val="single" w:sz="8" w:space="0" w:color="000000"/>
              <w:right w:val="single" w:sz="8" w:space="0" w:color="000000"/>
            </w:tcBorders>
          </w:tcPr>
          <w:p w14:paraId="74EB4271" w14:textId="2B63BAE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12.16</w:t>
            </w:r>
          </w:p>
        </w:tc>
        <w:tc>
          <w:tcPr>
            <w:tcW w:w="0" w:type="auto"/>
            <w:tcBorders>
              <w:top w:val="single" w:sz="8" w:space="0" w:color="000000"/>
              <w:left w:val="single" w:sz="8" w:space="0" w:color="000000"/>
              <w:bottom w:val="single" w:sz="8" w:space="0" w:color="000000"/>
              <w:right w:val="single" w:sz="8" w:space="0" w:color="000000"/>
            </w:tcBorders>
          </w:tcPr>
          <w:p w14:paraId="0060D95F" w14:textId="5BFFA322"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96.05</w:t>
            </w:r>
          </w:p>
        </w:tc>
        <w:tc>
          <w:tcPr>
            <w:tcW w:w="0" w:type="auto"/>
            <w:tcBorders>
              <w:top w:val="single" w:sz="8" w:space="0" w:color="000000"/>
              <w:left w:val="single" w:sz="8" w:space="0" w:color="000000"/>
              <w:bottom w:val="single" w:sz="8" w:space="0" w:color="000000"/>
              <w:right w:val="single" w:sz="8" w:space="0" w:color="000000"/>
            </w:tcBorders>
          </w:tcPr>
          <w:p w14:paraId="1E7FCFC8" w14:textId="4A1116F4"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12.75</w:t>
            </w:r>
          </w:p>
        </w:tc>
        <w:tc>
          <w:tcPr>
            <w:tcW w:w="0" w:type="auto"/>
            <w:tcBorders>
              <w:top w:val="single" w:sz="8" w:space="0" w:color="000000"/>
              <w:left w:val="single" w:sz="8" w:space="0" w:color="000000"/>
              <w:bottom w:val="single" w:sz="8" w:space="0" w:color="000000"/>
              <w:right w:val="single" w:sz="8" w:space="0" w:color="000000"/>
            </w:tcBorders>
          </w:tcPr>
          <w:p w14:paraId="2852DCF6" w14:textId="02E6CC4C"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24.06</w:t>
            </w:r>
          </w:p>
        </w:tc>
      </w:tr>
      <w:tr w:rsidR="003040A8" w14:paraId="1FDC193D" w14:textId="77777777" w:rsidTr="00FB4298">
        <w:trPr>
          <w:trHeight w:val="465"/>
        </w:trPr>
        <w:tc>
          <w:tcPr>
            <w:tcW w:w="0" w:type="auto"/>
          </w:tcPr>
          <w:p w14:paraId="562DC0E9"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2</w:t>
            </w:r>
          </w:p>
        </w:tc>
        <w:tc>
          <w:tcPr>
            <w:tcW w:w="0" w:type="auto"/>
          </w:tcPr>
          <w:p w14:paraId="344E7C64"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0" w:type="auto"/>
          </w:tcPr>
          <w:p w14:paraId="4206E8B0" w14:textId="39C84DF5" w:rsidR="003040A8" w:rsidRPr="00CB6C57" w:rsidRDefault="003040A8" w:rsidP="003040A8">
            <w:pPr>
              <w:pStyle w:val="TableParagraph"/>
              <w:rPr>
                <w:rFonts w:ascii="Arial" w:hAnsi="Arial" w:cs="Arial"/>
                <w:sz w:val="20"/>
                <w:szCs w:val="20"/>
              </w:rPr>
            </w:pPr>
            <w:r>
              <w:rPr>
                <w:rFonts w:ascii="Arial" w:hAnsi="Arial" w:cs="Arial"/>
                <w:sz w:val="20"/>
                <w:szCs w:val="20"/>
              </w:rPr>
              <w:t>91.5-110</w:t>
            </w:r>
          </w:p>
        </w:tc>
        <w:tc>
          <w:tcPr>
            <w:tcW w:w="0" w:type="auto"/>
            <w:tcBorders>
              <w:top w:val="single" w:sz="8" w:space="0" w:color="000000"/>
              <w:left w:val="single" w:sz="8" w:space="0" w:color="000000"/>
              <w:bottom w:val="single" w:sz="8" w:space="0" w:color="000000"/>
              <w:right w:val="single" w:sz="8" w:space="0" w:color="000000"/>
            </w:tcBorders>
          </w:tcPr>
          <w:p w14:paraId="1E19720B" w14:textId="2EAB1CC4" w:rsidR="003040A8" w:rsidRPr="00EF5A8B" w:rsidRDefault="003040A8" w:rsidP="003040A8">
            <w:pPr>
              <w:pStyle w:val="TableParagraph"/>
              <w:ind w:left="8" w:right="-15"/>
              <w:rPr>
                <w:rFonts w:ascii="Arial" w:hAnsi="Arial" w:cs="Arial"/>
                <w:sz w:val="20"/>
                <w:szCs w:val="20"/>
              </w:rPr>
            </w:pPr>
            <w:r w:rsidRPr="00EF5A8B">
              <w:rPr>
                <w:rFonts w:ascii="Arial" w:hAnsi="Arial" w:cs="Arial"/>
                <w:color w:val="000000" w:themeColor="text1"/>
                <w:kern w:val="24"/>
                <w:sz w:val="20"/>
                <w:szCs w:val="20"/>
                <w:lang w:eastAsia="en-IN" w:bidi="hi-IN"/>
              </w:rPr>
              <w:t>98.85</w:t>
            </w:r>
          </w:p>
        </w:tc>
        <w:tc>
          <w:tcPr>
            <w:tcW w:w="0" w:type="auto"/>
            <w:tcBorders>
              <w:top w:val="single" w:sz="8" w:space="0" w:color="000000"/>
              <w:left w:val="single" w:sz="8" w:space="0" w:color="000000"/>
              <w:bottom w:val="single" w:sz="8" w:space="0" w:color="000000"/>
              <w:right w:val="single" w:sz="8" w:space="0" w:color="000000"/>
            </w:tcBorders>
          </w:tcPr>
          <w:p w14:paraId="5138DC1F" w14:textId="1B81DFAB"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24.08</w:t>
            </w:r>
          </w:p>
        </w:tc>
        <w:tc>
          <w:tcPr>
            <w:tcW w:w="0" w:type="auto"/>
            <w:tcBorders>
              <w:top w:val="single" w:sz="8" w:space="0" w:color="000000"/>
              <w:left w:val="single" w:sz="8" w:space="0" w:color="000000"/>
              <w:bottom w:val="single" w:sz="8" w:space="0" w:color="000000"/>
              <w:right w:val="single" w:sz="8" w:space="0" w:color="000000"/>
            </w:tcBorders>
          </w:tcPr>
          <w:p w14:paraId="0D618016" w14:textId="06168513"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29.22</w:t>
            </w:r>
          </w:p>
        </w:tc>
        <w:tc>
          <w:tcPr>
            <w:tcW w:w="0" w:type="auto"/>
            <w:tcBorders>
              <w:top w:val="single" w:sz="8" w:space="0" w:color="000000"/>
              <w:left w:val="single" w:sz="8" w:space="0" w:color="000000"/>
              <w:bottom w:val="single" w:sz="8" w:space="0" w:color="000000"/>
              <w:right w:val="single" w:sz="8" w:space="0" w:color="000000"/>
            </w:tcBorders>
          </w:tcPr>
          <w:p w14:paraId="707B71E7" w14:textId="5B6C5F5C"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4.96</w:t>
            </w:r>
          </w:p>
        </w:tc>
        <w:tc>
          <w:tcPr>
            <w:tcW w:w="0" w:type="auto"/>
            <w:tcBorders>
              <w:top w:val="single" w:sz="8" w:space="0" w:color="000000"/>
              <w:left w:val="single" w:sz="8" w:space="0" w:color="000000"/>
              <w:bottom w:val="single" w:sz="8" w:space="0" w:color="000000"/>
              <w:right w:val="single" w:sz="8" w:space="0" w:color="000000"/>
            </w:tcBorders>
          </w:tcPr>
          <w:p w14:paraId="4ACDA7AC" w14:textId="157CEF8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5.46</w:t>
            </w:r>
          </w:p>
        </w:tc>
        <w:tc>
          <w:tcPr>
            <w:tcW w:w="0" w:type="auto"/>
            <w:tcBorders>
              <w:top w:val="single" w:sz="8" w:space="0" w:color="000000"/>
              <w:left w:val="single" w:sz="8" w:space="0" w:color="000000"/>
              <w:bottom w:val="single" w:sz="8" w:space="0" w:color="000000"/>
              <w:right w:val="single" w:sz="8" w:space="0" w:color="000000"/>
            </w:tcBorders>
          </w:tcPr>
          <w:p w14:paraId="4EA65BF5" w14:textId="2EB58CEC"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82.4</w:t>
            </w:r>
          </w:p>
        </w:tc>
        <w:tc>
          <w:tcPr>
            <w:tcW w:w="0" w:type="auto"/>
            <w:tcBorders>
              <w:top w:val="single" w:sz="8" w:space="0" w:color="000000"/>
              <w:left w:val="single" w:sz="8" w:space="0" w:color="000000"/>
              <w:bottom w:val="single" w:sz="8" w:space="0" w:color="000000"/>
              <w:right w:val="single" w:sz="8" w:space="0" w:color="000000"/>
            </w:tcBorders>
          </w:tcPr>
          <w:p w14:paraId="5F22A41D" w14:textId="64325A01"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9.17</w:t>
            </w:r>
          </w:p>
        </w:tc>
        <w:tc>
          <w:tcPr>
            <w:tcW w:w="0" w:type="auto"/>
            <w:tcBorders>
              <w:top w:val="single" w:sz="8" w:space="0" w:color="000000"/>
              <w:left w:val="single" w:sz="8" w:space="0" w:color="000000"/>
              <w:bottom w:val="single" w:sz="8" w:space="0" w:color="000000"/>
              <w:right w:val="single" w:sz="8" w:space="0" w:color="000000"/>
            </w:tcBorders>
          </w:tcPr>
          <w:p w14:paraId="4EFECBC5" w14:textId="5C9431D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9.28</w:t>
            </w:r>
          </w:p>
        </w:tc>
      </w:tr>
      <w:tr w:rsidR="003040A8" w14:paraId="751C14FF" w14:textId="77777777" w:rsidTr="00FB4298">
        <w:trPr>
          <w:trHeight w:val="465"/>
        </w:trPr>
        <w:tc>
          <w:tcPr>
            <w:tcW w:w="0" w:type="auto"/>
          </w:tcPr>
          <w:p w14:paraId="59C0F660"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3</w:t>
            </w:r>
          </w:p>
        </w:tc>
        <w:tc>
          <w:tcPr>
            <w:tcW w:w="0" w:type="auto"/>
          </w:tcPr>
          <w:p w14:paraId="5AB8AA13"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0" w:type="auto"/>
          </w:tcPr>
          <w:p w14:paraId="796175A3" w14:textId="6695EE09" w:rsidR="003040A8" w:rsidRPr="00EF5A8B" w:rsidRDefault="003040A8" w:rsidP="003040A8">
            <w:pPr>
              <w:pStyle w:val="TableParagraph"/>
              <w:rPr>
                <w:rFonts w:ascii="Arial" w:hAnsi="Arial" w:cs="Arial"/>
                <w:sz w:val="20"/>
                <w:szCs w:val="20"/>
              </w:rPr>
            </w:pPr>
            <w:r w:rsidRPr="00EF5A8B">
              <w:rPr>
                <w:rFonts w:ascii="Arial" w:hAnsi="Arial" w:cs="Arial"/>
                <w:color w:val="000000"/>
                <w:kern w:val="24"/>
                <w:sz w:val="20"/>
                <w:szCs w:val="20"/>
                <w:lang w:val="en-IN" w:eastAsia="en-IN" w:bidi="hi-IN"/>
              </w:rPr>
              <w:t>92-118.25</w:t>
            </w:r>
          </w:p>
        </w:tc>
        <w:tc>
          <w:tcPr>
            <w:tcW w:w="0" w:type="auto"/>
            <w:tcBorders>
              <w:top w:val="single" w:sz="8" w:space="0" w:color="000000"/>
              <w:left w:val="single" w:sz="8" w:space="0" w:color="000000"/>
              <w:bottom w:val="single" w:sz="8" w:space="0" w:color="000000"/>
              <w:right w:val="single" w:sz="8" w:space="0" w:color="000000"/>
            </w:tcBorders>
          </w:tcPr>
          <w:p w14:paraId="2AEAED25" w14:textId="18FA3304"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102.21</w:t>
            </w:r>
          </w:p>
        </w:tc>
        <w:tc>
          <w:tcPr>
            <w:tcW w:w="0" w:type="auto"/>
            <w:tcBorders>
              <w:top w:val="single" w:sz="8" w:space="0" w:color="000000"/>
              <w:left w:val="single" w:sz="8" w:space="0" w:color="000000"/>
              <w:bottom w:val="single" w:sz="8" w:space="0" w:color="000000"/>
              <w:right w:val="single" w:sz="8" w:space="0" w:color="000000"/>
            </w:tcBorders>
          </w:tcPr>
          <w:p w14:paraId="119872E5" w14:textId="60D60A81"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91.68</w:t>
            </w:r>
          </w:p>
        </w:tc>
        <w:tc>
          <w:tcPr>
            <w:tcW w:w="0" w:type="auto"/>
            <w:tcBorders>
              <w:top w:val="single" w:sz="8" w:space="0" w:color="000000"/>
              <w:left w:val="single" w:sz="8" w:space="0" w:color="000000"/>
              <w:bottom w:val="single" w:sz="8" w:space="0" w:color="000000"/>
              <w:right w:val="single" w:sz="8" w:space="0" w:color="000000"/>
            </w:tcBorders>
          </w:tcPr>
          <w:p w14:paraId="207C757D" w14:textId="42CB5C27"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102.4</w:t>
            </w:r>
          </w:p>
        </w:tc>
        <w:tc>
          <w:tcPr>
            <w:tcW w:w="0" w:type="auto"/>
            <w:tcBorders>
              <w:top w:val="single" w:sz="8" w:space="0" w:color="000000"/>
              <w:left w:val="single" w:sz="8" w:space="0" w:color="000000"/>
              <w:bottom w:val="single" w:sz="8" w:space="0" w:color="000000"/>
              <w:right w:val="single" w:sz="8" w:space="0" w:color="000000"/>
            </w:tcBorders>
          </w:tcPr>
          <w:p w14:paraId="61B3FC06" w14:textId="23468C7A"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9.36</w:t>
            </w:r>
          </w:p>
        </w:tc>
        <w:tc>
          <w:tcPr>
            <w:tcW w:w="0" w:type="auto"/>
            <w:tcBorders>
              <w:top w:val="single" w:sz="8" w:space="0" w:color="000000"/>
              <w:left w:val="single" w:sz="8" w:space="0" w:color="000000"/>
              <w:bottom w:val="single" w:sz="8" w:space="0" w:color="000000"/>
              <w:right w:val="single" w:sz="8" w:space="0" w:color="000000"/>
            </w:tcBorders>
          </w:tcPr>
          <w:p w14:paraId="50D8542F" w14:textId="4F2008B9"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9.91</w:t>
            </w:r>
          </w:p>
        </w:tc>
        <w:tc>
          <w:tcPr>
            <w:tcW w:w="0" w:type="auto"/>
            <w:tcBorders>
              <w:top w:val="single" w:sz="8" w:space="0" w:color="000000"/>
              <w:left w:val="single" w:sz="8" w:space="0" w:color="000000"/>
              <w:bottom w:val="single" w:sz="8" w:space="0" w:color="000000"/>
              <w:right w:val="single" w:sz="8" w:space="0" w:color="000000"/>
            </w:tcBorders>
          </w:tcPr>
          <w:p w14:paraId="16227F65" w14:textId="4B02D3B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89.2</w:t>
            </w:r>
          </w:p>
        </w:tc>
        <w:tc>
          <w:tcPr>
            <w:tcW w:w="0" w:type="auto"/>
            <w:tcBorders>
              <w:top w:val="single" w:sz="8" w:space="0" w:color="000000"/>
              <w:left w:val="single" w:sz="8" w:space="0" w:color="000000"/>
              <w:bottom w:val="single" w:sz="8" w:space="0" w:color="000000"/>
              <w:right w:val="single" w:sz="8" w:space="0" w:color="000000"/>
            </w:tcBorders>
          </w:tcPr>
          <w:p w14:paraId="447E03E2" w14:textId="7F7C36C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18.63</w:t>
            </w:r>
          </w:p>
        </w:tc>
        <w:tc>
          <w:tcPr>
            <w:tcW w:w="0" w:type="auto"/>
            <w:tcBorders>
              <w:top w:val="single" w:sz="8" w:space="0" w:color="000000"/>
              <w:left w:val="single" w:sz="8" w:space="0" w:color="000000"/>
              <w:bottom w:val="single" w:sz="8" w:space="0" w:color="000000"/>
              <w:right w:val="single" w:sz="8" w:space="0" w:color="000000"/>
            </w:tcBorders>
          </w:tcPr>
          <w:p w14:paraId="3167C5CD" w14:textId="067090A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18.20</w:t>
            </w:r>
          </w:p>
        </w:tc>
      </w:tr>
      <w:tr w:rsidR="003040A8" w14:paraId="515FCF51" w14:textId="77777777" w:rsidTr="00FB4298">
        <w:trPr>
          <w:trHeight w:val="465"/>
        </w:trPr>
        <w:tc>
          <w:tcPr>
            <w:tcW w:w="0" w:type="auto"/>
          </w:tcPr>
          <w:p w14:paraId="515E7E6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4</w:t>
            </w:r>
          </w:p>
        </w:tc>
        <w:tc>
          <w:tcPr>
            <w:tcW w:w="0" w:type="auto"/>
          </w:tcPr>
          <w:p w14:paraId="312555A5"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0053754F" w14:textId="7643BAEE"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2.5-4.95</w:t>
            </w:r>
          </w:p>
        </w:tc>
        <w:tc>
          <w:tcPr>
            <w:tcW w:w="0" w:type="auto"/>
            <w:tcBorders>
              <w:top w:val="single" w:sz="8" w:space="0" w:color="000000"/>
              <w:left w:val="single" w:sz="8" w:space="0" w:color="000000"/>
              <w:bottom w:val="single" w:sz="8" w:space="0" w:color="000000"/>
              <w:right w:val="single" w:sz="8" w:space="0" w:color="000000"/>
            </w:tcBorders>
          </w:tcPr>
          <w:p w14:paraId="1CC80D6D" w14:textId="4CC47C56"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3.79</w:t>
            </w:r>
          </w:p>
        </w:tc>
        <w:tc>
          <w:tcPr>
            <w:tcW w:w="0" w:type="auto"/>
            <w:tcBorders>
              <w:top w:val="single" w:sz="8" w:space="0" w:color="000000"/>
              <w:left w:val="single" w:sz="8" w:space="0" w:color="000000"/>
              <w:bottom w:val="single" w:sz="8" w:space="0" w:color="000000"/>
              <w:right w:val="single" w:sz="8" w:space="0" w:color="000000"/>
            </w:tcBorders>
          </w:tcPr>
          <w:p w14:paraId="41B7CB24" w14:textId="71A9CF93"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0.538</w:t>
            </w:r>
          </w:p>
        </w:tc>
        <w:tc>
          <w:tcPr>
            <w:tcW w:w="0" w:type="auto"/>
            <w:tcBorders>
              <w:top w:val="single" w:sz="8" w:space="0" w:color="000000"/>
              <w:left w:val="single" w:sz="8" w:space="0" w:color="000000"/>
              <w:bottom w:val="single" w:sz="8" w:space="0" w:color="000000"/>
              <w:right w:val="single" w:sz="8" w:space="0" w:color="000000"/>
            </w:tcBorders>
          </w:tcPr>
          <w:p w14:paraId="42F90350" w14:textId="354AD26F"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0.57</w:t>
            </w:r>
          </w:p>
        </w:tc>
        <w:tc>
          <w:tcPr>
            <w:tcW w:w="0" w:type="auto"/>
            <w:tcBorders>
              <w:top w:val="single" w:sz="8" w:space="0" w:color="000000"/>
              <w:left w:val="single" w:sz="8" w:space="0" w:color="000000"/>
              <w:bottom w:val="single" w:sz="8" w:space="0" w:color="000000"/>
              <w:right w:val="single" w:sz="8" w:space="0" w:color="000000"/>
            </w:tcBorders>
          </w:tcPr>
          <w:p w14:paraId="6600E8BB" w14:textId="3D2AC757"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19.31</w:t>
            </w:r>
          </w:p>
        </w:tc>
        <w:tc>
          <w:tcPr>
            <w:tcW w:w="0" w:type="auto"/>
            <w:tcBorders>
              <w:top w:val="single" w:sz="8" w:space="0" w:color="000000"/>
              <w:left w:val="single" w:sz="8" w:space="0" w:color="000000"/>
              <w:bottom w:val="single" w:sz="8" w:space="0" w:color="000000"/>
              <w:right w:val="single" w:sz="8" w:space="0" w:color="000000"/>
            </w:tcBorders>
          </w:tcPr>
          <w:p w14:paraId="4BED3183" w14:textId="6139CBC1"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20.40</w:t>
            </w:r>
          </w:p>
        </w:tc>
        <w:tc>
          <w:tcPr>
            <w:tcW w:w="0" w:type="auto"/>
            <w:tcBorders>
              <w:top w:val="single" w:sz="8" w:space="0" w:color="000000"/>
              <w:left w:val="single" w:sz="8" w:space="0" w:color="000000"/>
              <w:bottom w:val="single" w:sz="8" w:space="0" w:color="000000"/>
              <w:right w:val="single" w:sz="8" w:space="0" w:color="000000"/>
            </w:tcBorders>
          </w:tcPr>
          <w:p w14:paraId="659157CA" w14:textId="73EDD6A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92.86</w:t>
            </w:r>
          </w:p>
        </w:tc>
        <w:tc>
          <w:tcPr>
            <w:tcW w:w="0" w:type="auto"/>
            <w:tcBorders>
              <w:top w:val="single" w:sz="8" w:space="0" w:color="000000"/>
              <w:left w:val="single" w:sz="8" w:space="0" w:color="000000"/>
              <w:bottom w:val="single" w:sz="8" w:space="0" w:color="000000"/>
              <w:right w:val="single" w:sz="8" w:space="0" w:color="000000"/>
            </w:tcBorders>
          </w:tcPr>
          <w:p w14:paraId="13E1BB20" w14:textId="358ADB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1.4560</w:t>
            </w:r>
          </w:p>
        </w:tc>
        <w:tc>
          <w:tcPr>
            <w:tcW w:w="0" w:type="auto"/>
            <w:tcBorders>
              <w:top w:val="single" w:sz="8" w:space="0" w:color="000000"/>
              <w:left w:val="single" w:sz="8" w:space="0" w:color="000000"/>
              <w:bottom w:val="single" w:sz="8" w:space="0" w:color="000000"/>
              <w:right w:val="single" w:sz="8" w:space="0" w:color="000000"/>
            </w:tcBorders>
          </w:tcPr>
          <w:p w14:paraId="55D46CD3" w14:textId="3307355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38.35</w:t>
            </w:r>
          </w:p>
        </w:tc>
      </w:tr>
      <w:tr w:rsidR="003040A8" w14:paraId="408B191E" w14:textId="77777777" w:rsidTr="00FB4298">
        <w:trPr>
          <w:trHeight w:val="468"/>
        </w:trPr>
        <w:tc>
          <w:tcPr>
            <w:tcW w:w="0" w:type="auto"/>
          </w:tcPr>
          <w:p w14:paraId="63A12925"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5</w:t>
            </w:r>
          </w:p>
        </w:tc>
        <w:tc>
          <w:tcPr>
            <w:tcW w:w="0" w:type="auto"/>
          </w:tcPr>
          <w:p w14:paraId="38B45EA9"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7AA05AA6" w14:textId="55E57F0F" w:rsidR="003040A8" w:rsidRPr="00EF5A8B" w:rsidRDefault="003040A8" w:rsidP="003040A8">
            <w:pPr>
              <w:pStyle w:val="TableParagraph"/>
              <w:ind w:right="1"/>
              <w:rPr>
                <w:rFonts w:ascii="Arial" w:hAnsi="Arial" w:cs="Arial"/>
                <w:sz w:val="20"/>
                <w:szCs w:val="20"/>
              </w:rPr>
            </w:pPr>
            <w:r w:rsidRPr="00EF5A8B">
              <w:rPr>
                <w:rFonts w:ascii="Arial" w:hAnsi="Arial" w:cs="Arial"/>
                <w:color w:val="000000" w:themeColor="text1"/>
                <w:kern w:val="24"/>
                <w:sz w:val="20"/>
                <w:szCs w:val="20"/>
                <w:lang w:eastAsia="en-IN" w:bidi="hi-IN"/>
              </w:rPr>
              <w:t>44.5-70.5</w:t>
            </w:r>
          </w:p>
        </w:tc>
        <w:tc>
          <w:tcPr>
            <w:tcW w:w="0" w:type="auto"/>
            <w:tcBorders>
              <w:top w:val="single" w:sz="8" w:space="0" w:color="000000"/>
              <w:left w:val="single" w:sz="8" w:space="0" w:color="000000"/>
              <w:bottom w:val="single" w:sz="8" w:space="0" w:color="000000"/>
              <w:right w:val="single" w:sz="8" w:space="0" w:color="000000"/>
            </w:tcBorders>
          </w:tcPr>
          <w:p w14:paraId="74C289AA" w14:textId="1DEA4C1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58.53</w:t>
            </w:r>
          </w:p>
        </w:tc>
        <w:tc>
          <w:tcPr>
            <w:tcW w:w="0" w:type="auto"/>
            <w:tcBorders>
              <w:top w:val="single" w:sz="8" w:space="0" w:color="000000"/>
              <w:left w:val="single" w:sz="8" w:space="0" w:color="000000"/>
              <w:bottom w:val="single" w:sz="8" w:space="0" w:color="000000"/>
              <w:right w:val="single" w:sz="8" w:space="0" w:color="000000"/>
            </w:tcBorders>
          </w:tcPr>
          <w:p w14:paraId="6628263B" w14:textId="19391C9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51.09</w:t>
            </w:r>
          </w:p>
        </w:tc>
        <w:tc>
          <w:tcPr>
            <w:tcW w:w="0" w:type="auto"/>
            <w:tcBorders>
              <w:top w:val="single" w:sz="8" w:space="0" w:color="000000"/>
              <w:left w:val="single" w:sz="8" w:space="0" w:color="000000"/>
              <w:bottom w:val="single" w:sz="8" w:space="0" w:color="000000"/>
              <w:right w:val="single" w:sz="8" w:space="0" w:color="000000"/>
            </w:tcBorders>
          </w:tcPr>
          <w:p w14:paraId="2D4F9FCB" w14:textId="0009B0E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59.47</w:t>
            </w:r>
          </w:p>
        </w:tc>
        <w:tc>
          <w:tcPr>
            <w:tcW w:w="0" w:type="auto"/>
            <w:tcBorders>
              <w:top w:val="single" w:sz="8" w:space="0" w:color="000000"/>
              <w:left w:val="single" w:sz="8" w:space="0" w:color="000000"/>
              <w:bottom w:val="single" w:sz="8" w:space="0" w:color="000000"/>
              <w:right w:val="single" w:sz="8" w:space="0" w:color="000000"/>
            </w:tcBorders>
          </w:tcPr>
          <w:p w14:paraId="62B1F9F9" w14:textId="26452F00"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12.21</w:t>
            </w:r>
          </w:p>
        </w:tc>
        <w:tc>
          <w:tcPr>
            <w:tcW w:w="0" w:type="auto"/>
            <w:tcBorders>
              <w:top w:val="single" w:sz="8" w:space="0" w:color="000000"/>
              <w:left w:val="single" w:sz="8" w:space="0" w:color="000000"/>
              <w:bottom w:val="single" w:sz="8" w:space="0" w:color="000000"/>
              <w:right w:val="single" w:sz="8" w:space="0" w:color="000000"/>
            </w:tcBorders>
          </w:tcPr>
          <w:p w14:paraId="60CFAD62" w14:textId="043BBD83"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13.17</w:t>
            </w:r>
          </w:p>
        </w:tc>
        <w:tc>
          <w:tcPr>
            <w:tcW w:w="0" w:type="auto"/>
            <w:tcBorders>
              <w:top w:val="single" w:sz="8" w:space="0" w:color="000000"/>
              <w:left w:val="single" w:sz="8" w:space="0" w:color="000000"/>
              <w:bottom w:val="single" w:sz="8" w:space="0" w:color="000000"/>
              <w:right w:val="single" w:sz="8" w:space="0" w:color="000000"/>
            </w:tcBorders>
          </w:tcPr>
          <w:p w14:paraId="1A3B5FF8" w14:textId="5B7C4E64"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85.91</w:t>
            </w:r>
          </w:p>
        </w:tc>
        <w:tc>
          <w:tcPr>
            <w:tcW w:w="0" w:type="auto"/>
            <w:tcBorders>
              <w:top w:val="single" w:sz="8" w:space="0" w:color="000000"/>
              <w:left w:val="single" w:sz="8" w:space="0" w:color="000000"/>
              <w:bottom w:val="single" w:sz="8" w:space="0" w:color="000000"/>
              <w:right w:val="single" w:sz="8" w:space="0" w:color="000000"/>
            </w:tcBorders>
          </w:tcPr>
          <w:p w14:paraId="72DD7EFD" w14:textId="43F95CB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13.64</w:t>
            </w:r>
          </w:p>
        </w:tc>
        <w:tc>
          <w:tcPr>
            <w:tcW w:w="0" w:type="auto"/>
            <w:tcBorders>
              <w:top w:val="single" w:sz="8" w:space="0" w:color="000000"/>
              <w:left w:val="single" w:sz="8" w:space="0" w:color="000000"/>
              <w:bottom w:val="single" w:sz="8" w:space="0" w:color="000000"/>
              <w:right w:val="single" w:sz="8" w:space="0" w:color="000000"/>
            </w:tcBorders>
          </w:tcPr>
          <w:p w14:paraId="365D9E35" w14:textId="2BC917E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23.31</w:t>
            </w:r>
          </w:p>
        </w:tc>
      </w:tr>
      <w:tr w:rsidR="003040A8" w14:paraId="28173317" w14:textId="77777777" w:rsidTr="00FB4298">
        <w:trPr>
          <w:trHeight w:val="465"/>
        </w:trPr>
        <w:tc>
          <w:tcPr>
            <w:tcW w:w="0" w:type="auto"/>
          </w:tcPr>
          <w:p w14:paraId="334F60C7"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6</w:t>
            </w:r>
          </w:p>
        </w:tc>
        <w:tc>
          <w:tcPr>
            <w:tcW w:w="0" w:type="auto"/>
          </w:tcPr>
          <w:p w14:paraId="074073B6"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0" w:type="auto"/>
            <w:tcBorders>
              <w:top w:val="single" w:sz="8" w:space="0" w:color="000000"/>
              <w:left w:val="single" w:sz="8" w:space="0" w:color="000000"/>
              <w:bottom w:val="single" w:sz="8" w:space="0" w:color="000000"/>
              <w:right w:val="single" w:sz="8" w:space="0" w:color="000000"/>
            </w:tcBorders>
          </w:tcPr>
          <w:p w14:paraId="4EA3B02F" w14:textId="501DBEF5"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49-63</w:t>
            </w:r>
          </w:p>
        </w:tc>
        <w:tc>
          <w:tcPr>
            <w:tcW w:w="0" w:type="auto"/>
            <w:tcBorders>
              <w:top w:val="single" w:sz="8" w:space="0" w:color="000000"/>
              <w:left w:val="single" w:sz="8" w:space="0" w:color="000000"/>
              <w:bottom w:val="single" w:sz="8" w:space="0" w:color="000000"/>
              <w:right w:val="single" w:sz="8" w:space="0" w:color="000000"/>
            </w:tcBorders>
          </w:tcPr>
          <w:p w14:paraId="78AAD536" w14:textId="75A4584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55.80</w:t>
            </w:r>
          </w:p>
        </w:tc>
        <w:tc>
          <w:tcPr>
            <w:tcW w:w="0" w:type="auto"/>
            <w:tcBorders>
              <w:top w:val="single" w:sz="8" w:space="0" w:color="000000"/>
              <w:left w:val="single" w:sz="8" w:space="0" w:color="000000"/>
              <w:bottom w:val="single" w:sz="8" w:space="0" w:color="000000"/>
              <w:right w:val="single" w:sz="8" w:space="0" w:color="000000"/>
            </w:tcBorders>
          </w:tcPr>
          <w:p w14:paraId="4CC26629" w14:textId="2AA84481"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12.46</w:t>
            </w:r>
          </w:p>
        </w:tc>
        <w:tc>
          <w:tcPr>
            <w:tcW w:w="0" w:type="auto"/>
            <w:tcBorders>
              <w:top w:val="single" w:sz="8" w:space="0" w:color="000000"/>
              <w:left w:val="single" w:sz="8" w:space="0" w:color="000000"/>
              <w:bottom w:val="single" w:sz="8" w:space="0" w:color="000000"/>
              <w:right w:val="single" w:sz="8" w:space="0" w:color="000000"/>
            </w:tcBorders>
          </w:tcPr>
          <w:p w14:paraId="58D62250" w14:textId="30C23FBA"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19.12</w:t>
            </w:r>
          </w:p>
        </w:tc>
        <w:tc>
          <w:tcPr>
            <w:tcW w:w="0" w:type="auto"/>
            <w:tcBorders>
              <w:top w:val="single" w:sz="8" w:space="0" w:color="000000"/>
              <w:left w:val="single" w:sz="8" w:space="0" w:color="000000"/>
              <w:bottom w:val="single" w:sz="8" w:space="0" w:color="000000"/>
              <w:right w:val="single" w:sz="8" w:space="0" w:color="000000"/>
            </w:tcBorders>
          </w:tcPr>
          <w:p w14:paraId="29EF34B9" w14:textId="337ABCBC"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6.326</w:t>
            </w:r>
          </w:p>
        </w:tc>
        <w:tc>
          <w:tcPr>
            <w:tcW w:w="0" w:type="auto"/>
            <w:tcBorders>
              <w:top w:val="single" w:sz="8" w:space="0" w:color="000000"/>
              <w:left w:val="single" w:sz="8" w:space="0" w:color="000000"/>
              <w:bottom w:val="single" w:sz="8" w:space="0" w:color="000000"/>
              <w:right w:val="single" w:sz="8" w:space="0" w:color="000000"/>
            </w:tcBorders>
          </w:tcPr>
          <w:p w14:paraId="58C678FE" w14:textId="5C7CCC16"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7.8562</w:t>
            </w:r>
          </w:p>
        </w:tc>
        <w:tc>
          <w:tcPr>
            <w:tcW w:w="0" w:type="auto"/>
            <w:tcBorders>
              <w:top w:val="single" w:sz="8" w:space="0" w:color="000000"/>
              <w:left w:val="single" w:sz="8" w:space="0" w:color="000000"/>
              <w:bottom w:val="single" w:sz="8" w:space="0" w:color="000000"/>
              <w:right w:val="single" w:sz="8" w:space="0" w:color="000000"/>
            </w:tcBorders>
          </w:tcPr>
          <w:p w14:paraId="511C95AB" w14:textId="61CFE30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64.85</w:t>
            </w:r>
          </w:p>
        </w:tc>
        <w:tc>
          <w:tcPr>
            <w:tcW w:w="0" w:type="auto"/>
            <w:tcBorders>
              <w:top w:val="single" w:sz="8" w:space="0" w:color="000000"/>
              <w:left w:val="single" w:sz="8" w:space="0" w:color="000000"/>
              <w:bottom w:val="single" w:sz="8" w:space="0" w:color="000000"/>
              <w:right w:val="single" w:sz="8" w:space="0" w:color="000000"/>
            </w:tcBorders>
          </w:tcPr>
          <w:p w14:paraId="50A6A274" w14:textId="2EE0C223"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5.85</w:t>
            </w:r>
          </w:p>
        </w:tc>
        <w:tc>
          <w:tcPr>
            <w:tcW w:w="0" w:type="auto"/>
            <w:tcBorders>
              <w:top w:val="single" w:sz="8" w:space="0" w:color="000000"/>
              <w:left w:val="single" w:sz="8" w:space="0" w:color="000000"/>
              <w:bottom w:val="single" w:sz="8" w:space="0" w:color="000000"/>
              <w:right w:val="single" w:sz="8" w:space="0" w:color="000000"/>
            </w:tcBorders>
          </w:tcPr>
          <w:p w14:paraId="23B3141C" w14:textId="1B534AA2"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10.49</w:t>
            </w:r>
          </w:p>
        </w:tc>
      </w:tr>
      <w:tr w:rsidR="003040A8" w14:paraId="04F5D6AE" w14:textId="77777777" w:rsidTr="00FB4298">
        <w:trPr>
          <w:trHeight w:val="465"/>
        </w:trPr>
        <w:tc>
          <w:tcPr>
            <w:tcW w:w="0" w:type="auto"/>
          </w:tcPr>
          <w:p w14:paraId="1D0FC6A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7</w:t>
            </w:r>
          </w:p>
        </w:tc>
        <w:tc>
          <w:tcPr>
            <w:tcW w:w="0" w:type="auto"/>
          </w:tcPr>
          <w:p w14:paraId="0145EC70" w14:textId="12D68C63" w:rsidR="003040A8" w:rsidRPr="00CB6C57" w:rsidRDefault="003040A8" w:rsidP="003040A8">
            <w:pPr>
              <w:pStyle w:val="TableParagraph"/>
              <w:ind w:left="12" w:right="2"/>
              <w:rPr>
                <w:rFonts w:ascii="Arial" w:hAnsi="Arial" w:cs="Arial"/>
                <w:sz w:val="20"/>
                <w:szCs w:val="20"/>
              </w:rPr>
            </w:pPr>
            <w:r>
              <w:rPr>
                <w:rFonts w:ascii="Arial" w:hAnsi="Arial" w:cs="Arial"/>
                <w:sz w:val="20"/>
                <w:szCs w:val="20"/>
              </w:rPr>
              <w:t>Length of capsule</w:t>
            </w:r>
          </w:p>
        </w:tc>
        <w:tc>
          <w:tcPr>
            <w:tcW w:w="0" w:type="auto"/>
            <w:tcBorders>
              <w:top w:val="single" w:sz="8" w:space="0" w:color="000000"/>
              <w:left w:val="single" w:sz="8" w:space="0" w:color="000000"/>
              <w:bottom w:val="single" w:sz="8" w:space="0" w:color="000000"/>
              <w:right w:val="single" w:sz="8" w:space="0" w:color="000000"/>
            </w:tcBorders>
          </w:tcPr>
          <w:p w14:paraId="728C3563" w14:textId="76768AE8"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2.1-3.55</w:t>
            </w:r>
          </w:p>
        </w:tc>
        <w:tc>
          <w:tcPr>
            <w:tcW w:w="0" w:type="auto"/>
            <w:tcBorders>
              <w:top w:val="single" w:sz="8" w:space="0" w:color="000000"/>
              <w:left w:val="single" w:sz="8" w:space="0" w:color="000000"/>
              <w:bottom w:val="single" w:sz="8" w:space="0" w:color="000000"/>
              <w:right w:val="single" w:sz="8" w:space="0" w:color="000000"/>
            </w:tcBorders>
          </w:tcPr>
          <w:p w14:paraId="07E919B8" w14:textId="4385A6EF"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2.87</w:t>
            </w:r>
          </w:p>
        </w:tc>
        <w:tc>
          <w:tcPr>
            <w:tcW w:w="0" w:type="auto"/>
            <w:tcBorders>
              <w:top w:val="single" w:sz="8" w:space="0" w:color="000000"/>
              <w:left w:val="single" w:sz="8" w:space="0" w:color="000000"/>
              <w:bottom w:val="single" w:sz="8" w:space="0" w:color="000000"/>
              <w:right w:val="single" w:sz="8" w:space="0" w:color="000000"/>
            </w:tcBorders>
          </w:tcPr>
          <w:p w14:paraId="148C6583" w14:textId="37612E70"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0.273</w:t>
            </w:r>
          </w:p>
        </w:tc>
        <w:tc>
          <w:tcPr>
            <w:tcW w:w="0" w:type="auto"/>
            <w:tcBorders>
              <w:top w:val="single" w:sz="8" w:space="0" w:color="000000"/>
              <w:left w:val="single" w:sz="8" w:space="0" w:color="000000"/>
              <w:bottom w:val="single" w:sz="8" w:space="0" w:color="000000"/>
              <w:right w:val="single" w:sz="8" w:space="0" w:color="000000"/>
            </w:tcBorders>
          </w:tcPr>
          <w:p w14:paraId="691F18DF" w14:textId="6487E37E"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0.291</w:t>
            </w:r>
          </w:p>
        </w:tc>
        <w:tc>
          <w:tcPr>
            <w:tcW w:w="0" w:type="auto"/>
            <w:tcBorders>
              <w:top w:val="single" w:sz="8" w:space="0" w:color="000000"/>
              <w:left w:val="single" w:sz="8" w:space="0" w:color="000000"/>
              <w:bottom w:val="single" w:sz="8" w:space="0" w:color="000000"/>
              <w:right w:val="single" w:sz="8" w:space="0" w:color="000000"/>
            </w:tcBorders>
          </w:tcPr>
          <w:p w14:paraId="690A0B62" w14:textId="4C200308"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18.20</w:t>
            </w:r>
          </w:p>
        </w:tc>
        <w:tc>
          <w:tcPr>
            <w:tcW w:w="0" w:type="auto"/>
            <w:tcBorders>
              <w:top w:val="single" w:sz="8" w:space="0" w:color="000000"/>
              <w:left w:val="single" w:sz="8" w:space="0" w:color="000000"/>
              <w:bottom w:val="single" w:sz="8" w:space="0" w:color="000000"/>
              <w:right w:val="single" w:sz="8" w:space="0" w:color="000000"/>
            </w:tcBorders>
          </w:tcPr>
          <w:p w14:paraId="4163AFC7" w14:textId="28A1B0D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18.78</w:t>
            </w:r>
          </w:p>
        </w:tc>
        <w:tc>
          <w:tcPr>
            <w:tcW w:w="0" w:type="auto"/>
            <w:tcBorders>
              <w:top w:val="single" w:sz="8" w:space="0" w:color="000000"/>
              <w:left w:val="single" w:sz="8" w:space="0" w:color="000000"/>
              <w:bottom w:val="single" w:sz="8" w:space="0" w:color="000000"/>
              <w:right w:val="single" w:sz="8" w:space="0" w:color="000000"/>
            </w:tcBorders>
          </w:tcPr>
          <w:p w14:paraId="285B44D4" w14:textId="3AB39A8F"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93.93</w:t>
            </w:r>
          </w:p>
        </w:tc>
        <w:tc>
          <w:tcPr>
            <w:tcW w:w="0" w:type="auto"/>
            <w:tcBorders>
              <w:top w:val="single" w:sz="8" w:space="0" w:color="000000"/>
              <w:left w:val="single" w:sz="8" w:space="0" w:color="000000"/>
              <w:bottom w:val="single" w:sz="8" w:space="0" w:color="000000"/>
              <w:right w:val="single" w:sz="8" w:space="0" w:color="000000"/>
            </w:tcBorders>
          </w:tcPr>
          <w:p w14:paraId="506C4332" w14:textId="1D520CB0"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1.0437</w:t>
            </w:r>
          </w:p>
        </w:tc>
        <w:tc>
          <w:tcPr>
            <w:tcW w:w="0" w:type="auto"/>
            <w:tcBorders>
              <w:top w:val="single" w:sz="8" w:space="0" w:color="000000"/>
              <w:left w:val="single" w:sz="8" w:space="0" w:color="000000"/>
              <w:bottom w:val="single" w:sz="8" w:space="0" w:color="000000"/>
              <w:right w:val="single" w:sz="8" w:space="0" w:color="000000"/>
            </w:tcBorders>
          </w:tcPr>
          <w:p w14:paraId="645AA842" w14:textId="55C35500"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36.34</w:t>
            </w:r>
          </w:p>
        </w:tc>
      </w:tr>
      <w:tr w:rsidR="003040A8" w14:paraId="7C6AE8C3" w14:textId="77777777" w:rsidTr="00FB4298">
        <w:trPr>
          <w:trHeight w:val="465"/>
        </w:trPr>
        <w:tc>
          <w:tcPr>
            <w:tcW w:w="0" w:type="auto"/>
          </w:tcPr>
          <w:p w14:paraId="6639777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8</w:t>
            </w:r>
          </w:p>
        </w:tc>
        <w:tc>
          <w:tcPr>
            <w:tcW w:w="0" w:type="auto"/>
          </w:tcPr>
          <w:p w14:paraId="45AA3C5F" w14:textId="5C49F5D3" w:rsidR="003040A8" w:rsidRPr="00CB6C57" w:rsidRDefault="003040A8" w:rsidP="003040A8">
            <w:pPr>
              <w:pStyle w:val="TableParagraph"/>
              <w:ind w:left="12" w:right="1"/>
              <w:rPr>
                <w:rFonts w:ascii="Arial" w:hAnsi="Arial" w:cs="Arial"/>
                <w:sz w:val="20"/>
                <w:szCs w:val="20"/>
              </w:rPr>
            </w:pPr>
            <w:r>
              <w:rPr>
                <w:rFonts w:ascii="Arial" w:hAnsi="Arial" w:cs="Arial"/>
                <w:sz w:val="20"/>
                <w:szCs w:val="20"/>
              </w:rPr>
              <w:t>1000 seed wt. (g)</w:t>
            </w:r>
          </w:p>
        </w:tc>
        <w:tc>
          <w:tcPr>
            <w:tcW w:w="0" w:type="auto"/>
            <w:tcBorders>
              <w:top w:val="single" w:sz="8" w:space="0" w:color="000000"/>
              <w:left w:val="single" w:sz="8" w:space="0" w:color="000000"/>
              <w:bottom w:val="single" w:sz="8" w:space="0" w:color="000000"/>
              <w:right w:val="single" w:sz="8" w:space="0" w:color="000000"/>
            </w:tcBorders>
          </w:tcPr>
          <w:p w14:paraId="2EDADE4E" w14:textId="0B83C30B"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2.45-3.75</w:t>
            </w:r>
          </w:p>
        </w:tc>
        <w:tc>
          <w:tcPr>
            <w:tcW w:w="0" w:type="auto"/>
            <w:tcBorders>
              <w:top w:val="single" w:sz="8" w:space="0" w:color="000000"/>
              <w:left w:val="single" w:sz="8" w:space="0" w:color="000000"/>
              <w:bottom w:val="single" w:sz="8" w:space="0" w:color="000000"/>
              <w:right w:val="single" w:sz="8" w:space="0" w:color="000000"/>
            </w:tcBorders>
          </w:tcPr>
          <w:p w14:paraId="1D8F2F5A" w14:textId="40E62867"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3.04</w:t>
            </w:r>
          </w:p>
        </w:tc>
        <w:tc>
          <w:tcPr>
            <w:tcW w:w="0" w:type="auto"/>
            <w:tcBorders>
              <w:top w:val="single" w:sz="8" w:space="0" w:color="000000"/>
              <w:left w:val="single" w:sz="8" w:space="0" w:color="000000"/>
              <w:bottom w:val="single" w:sz="8" w:space="0" w:color="000000"/>
              <w:right w:val="single" w:sz="8" w:space="0" w:color="000000"/>
            </w:tcBorders>
          </w:tcPr>
          <w:p w14:paraId="19186172" w14:textId="4CE5DDFA"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0.139</w:t>
            </w:r>
          </w:p>
        </w:tc>
        <w:tc>
          <w:tcPr>
            <w:tcW w:w="0" w:type="auto"/>
            <w:tcBorders>
              <w:top w:val="single" w:sz="8" w:space="0" w:color="000000"/>
              <w:left w:val="single" w:sz="8" w:space="0" w:color="000000"/>
              <w:bottom w:val="single" w:sz="8" w:space="0" w:color="000000"/>
              <w:right w:val="single" w:sz="8" w:space="0" w:color="000000"/>
            </w:tcBorders>
          </w:tcPr>
          <w:p w14:paraId="575F0C68" w14:textId="6EB3DA40"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0.165</w:t>
            </w:r>
          </w:p>
        </w:tc>
        <w:tc>
          <w:tcPr>
            <w:tcW w:w="0" w:type="auto"/>
            <w:tcBorders>
              <w:top w:val="single" w:sz="8" w:space="0" w:color="000000"/>
              <w:left w:val="single" w:sz="8" w:space="0" w:color="000000"/>
              <w:bottom w:val="single" w:sz="8" w:space="0" w:color="000000"/>
              <w:right w:val="single" w:sz="8" w:space="0" w:color="000000"/>
            </w:tcBorders>
          </w:tcPr>
          <w:p w14:paraId="746BE23F" w14:textId="53E7EF8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12.28</w:t>
            </w:r>
          </w:p>
        </w:tc>
        <w:tc>
          <w:tcPr>
            <w:tcW w:w="0" w:type="auto"/>
            <w:tcBorders>
              <w:top w:val="single" w:sz="8" w:space="0" w:color="000000"/>
              <w:left w:val="single" w:sz="8" w:space="0" w:color="000000"/>
              <w:bottom w:val="single" w:sz="8" w:space="0" w:color="000000"/>
              <w:right w:val="single" w:sz="8" w:space="0" w:color="000000"/>
            </w:tcBorders>
          </w:tcPr>
          <w:p w14:paraId="69D37D60" w14:textId="6763879F"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13.34</w:t>
            </w:r>
          </w:p>
        </w:tc>
        <w:tc>
          <w:tcPr>
            <w:tcW w:w="0" w:type="auto"/>
            <w:tcBorders>
              <w:top w:val="single" w:sz="8" w:space="0" w:color="000000"/>
              <w:left w:val="single" w:sz="8" w:space="0" w:color="000000"/>
              <w:bottom w:val="single" w:sz="8" w:space="0" w:color="000000"/>
              <w:right w:val="single" w:sz="8" w:space="0" w:color="000000"/>
            </w:tcBorders>
          </w:tcPr>
          <w:p w14:paraId="717DBAB1" w14:textId="2493B86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84.73</w:t>
            </w:r>
          </w:p>
        </w:tc>
        <w:tc>
          <w:tcPr>
            <w:tcW w:w="0" w:type="auto"/>
            <w:tcBorders>
              <w:top w:val="single" w:sz="8" w:space="0" w:color="000000"/>
              <w:left w:val="single" w:sz="8" w:space="0" w:color="000000"/>
              <w:bottom w:val="single" w:sz="8" w:space="0" w:color="000000"/>
              <w:right w:val="single" w:sz="8" w:space="0" w:color="000000"/>
            </w:tcBorders>
          </w:tcPr>
          <w:p w14:paraId="7F700AF0" w14:textId="4FF88716"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0.7092</w:t>
            </w:r>
          </w:p>
        </w:tc>
        <w:tc>
          <w:tcPr>
            <w:tcW w:w="0" w:type="auto"/>
            <w:tcBorders>
              <w:top w:val="single" w:sz="8" w:space="0" w:color="000000"/>
              <w:left w:val="single" w:sz="8" w:space="0" w:color="000000"/>
              <w:bottom w:val="single" w:sz="8" w:space="0" w:color="000000"/>
              <w:right w:val="single" w:sz="8" w:space="0" w:color="000000"/>
            </w:tcBorders>
          </w:tcPr>
          <w:p w14:paraId="08609619" w14:textId="532FFA3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23.28</w:t>
            </w:r>
          </w:p>
        </w:tc>
      </w:tr>
      <w:tr w:rsidR="003040A8" w14:paraId="38A6C9B8" w14:textId="77777777" w:rsidTr="00FB4298">
        <w:trPr>
          <w:trHeight w:val="468"/>
        </w:trPr>
        <w:tc>
          <w:tcPr>
            <w:tcW w:w="0" w:type="auto"/>
          </w:tcPr>
          <w:p w14:paraId="2C707D13"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9</w:t>
            </w:r>
          </w:p>
        </w:tc>
        <w:tc>
          <w:tcPr>
            <w:tcW w:w="0" w:type="auto"/>
          </w:tcPr>
          <w:p w14:paraId="727AFBAB" w14:textId="77777777" w:rsidR="003040A8" w:rsidRPr="00CB6C57" w:rsidRDefault="003040A8" w:rsidP="003040A8">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0" w:type="auto"/>
            <w:tcBorders>
              <w:top w:val="single" w:sz="8" w:space="0" w:color="000000"/>
              <w:left w:val="single" w:sz="8" w:space="0" w:color="000000"/>
              <w:bottom w:val="single" w:sz="8" w:space="0" w:color="000000"/>
              <w:right w:val="single" w:sz="8" w:space="0" w:color="000000"/>
            </w:tcBorders>
          </w:tcPr>
          <w:p w14:paraId="7315D10B" w14:textId="5D3E976A"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36.4-48.5</w:t>
            </w:r>
          </w:p>
        </w:tc>
        <w:tc>
          <w:tcPr>
            <w:tcW w:w="0" w:type="auto"/>
            <w:tcBorders>
              <w:top w:val="single" w:sz="8" w:space="0" w:color="000000"/>
              <w:left w:val="single" w:sz="8" w:space="0" w:color="000000"/>
              <w:bottom w:val="single" w:sz="8" w:space="0" w:color="000000"/>
              <w:right w:val="single" w:sz="8" w:space="0" w:color="000000"/>
            </w:tcBorders>
          </w:tcPr>
          <w:p w14:paraId="27019200" w14:textId="5CCA412B"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42.32</w:t>
            </w:r>
          </w:p>
        </w:tc>
        <w:tc>
          <w:tcPr>
            <w:tcW w:w="0" w:type="auto"/>
            <w:tcBorders>
              <w:top w:val="single" w:sz="8" w:space="0" w:color="000000"/>
              <w:left w:val="single" w:sz="8" w:space="0" w:color="000000"/>
              <w:bottom w:val="single" w:sz="8" w:space="0" w:color="000000"/>
              <w:right w:val="single" w:sz="8" w:space="0" w:color="000000"/>
            </w:tcBorders>
          </w:tcPr>
          <w:p w14:paraId="024ADF59" w14:textId="236155DC"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11.85</w:t>
            </w:r>
          </w:p>
        </w:tc>
        <w:tc>
          <w:tcPr>
            <w:tcW w:w="0" w:type="auto"/>
            <w:tcBorders>
              <w:top w:val="single" w:sz="8" w:space="0" w:color="000000"/>
              <w:left w:val="single" w:sz="8" w:space="0" w:color="000000"/>
              <w:bottom w:val="single" w:sz="8" w:space="0" w:color="000000"/>
              <w:right w:val="single" w:sz="8" w:space="0" w:color="000000"/>
            </w:tcBorders>
          </w:tcPr>
          <w:p w14:paraId="0D67088A" w14:textId="51980756"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12.36</w:t>
            </w:r>
          </w:p>
        </w:tc>
        <w:tc>
          <w:tcPr>
            <w:tcW w:w="0" w:type="auto"/>
            <w:tcBorders>
              <w:top w:val="single" w:sz="8" w:space="0" w:color="000000"/>
              <w:left w:val="single" w:sz="8" w:space="0" w:color="000000"/>
              <w:bottom w:val="single" w:sz="8" w:space="0" w:color="000000"/>
              <w:right w:val="single" w:sz="8" w:space="0" w:color="000000"/>
            </w:tcBorders>
          </w:tcPr>
          <w:p w14:paraId="44BF5A3F" w14:textId="4EE86495"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8.136</w:t>
            </w:r>
          </w:p>
        </w:tc>
        <w:tc>
          <w:tcPr>
            <w:tcW w:w="0" w:type="auto"/>
            <w:tcBorders>
              <w:top w:val="single" w:sz="8" w:space="0" w:color="000000"/>
              <w:left w:val="single" w:sz="8" w:space="0" w:color="000000"/>
              <w:bottom w:val="single" w:sz="8" w:space="0" w:color="000000"/>
              <w:right w:val="single" w:sz="8" w:space="0" w:color="000000"/>
            </w:tcBorders>
          </w:tcPr>
          <w:p w14:paraId="7BF5F1A2" w14:textId="557E2FE6"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8.3074</w:t>
            </w:r>
          </w:p>
        </w:tc>
        <w:tc>
          <w:tcPr>
            <w:tcW w:w="0" w:type="auto"/>
            <w:tcBorders>
              <w:top w:val="single" w:sz="8" w:space="0" w:color="000000"/>
              <w:left w:val="single" w:sz="8" w:space="0" w:color="000000"/>
              <w:bottom w:val="single" w:sz="8" w:space="0" w:color="000000"/>
              <w:right w:val="single" w:sz="8" w:space="0" w:color="000000"/>
            </w:tcBorders>
          </w:tcPr>
          <w:p w14:paraId="2543D062" w14:textId="2E52CB5E"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95.92</w:t>
            </w:r>
          </w:p>
        </w:tc>
        <w:tc>
          <w:tcPr>
            <w:tcW w:w="0" w:type="auto"/>
            <w:tcBorders>
              <w:top w:val="single" w:sz="8" w:space="0" w:color="000000"/>
              <w:left w:val="single" w:sz="8" w:space="0" w:color="000000"/>
              <w:bottom w:val="single" w:sz="8" w:space="0" w:color="000000"/>
              <w:right w:val="single" w:sz="8" w:space="0" w:color="000000"/>
            </w:tcBorders>
          </w:tcPr>
          <w:p w14:paraId="359E153F" w14:textId="7D6AA3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6.9480</w:t>
            </w:r>
          </w:p>
        </w:tc>
        <w:tc>
          <w:tcPr>
            <w:tcW w:w="0" w:type="auto"/>
            <w:tcBorders>
              <w:top w:val="single" w:sz="8" w:space="0" w:color="000000"/>
              <w:left w:val="single" w:sz="8" w:space="0" w:color="000000"/>
              <w:bottom w:val="single" w:sz="8" w:space="0" w:color="000000"/>
              <w:right w:val="single" w:sz="8" w:space="0" w:color="000000"/>
            </w:tcBorders>
          </w:tcPr>
          <w:p w14:paraId="0CA1DCF8" w14:textId="1A19AD8F"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16.41</w:t>
            </w:r>
          </w:p>
        </w:tc>
      </w:tr>
      <w:tr w:rsidR="003040A8" w14:paraId="0297D08E" w14:textId="77777777" w:rsidTr="00FB4298">
        <w:trPr>
          <w:trHeight w:val="465"/>
        </w:trPr>
        <w:tc>
          <w:tcPr>
            <w:tcW w:w="0" w:type="auto"/>
          </w:tcPr>
          <w:p w14:paraId="71957773" w14:textId="77777777" w:rsidR="003040A8" w:rsidRPr="00CB6C57" w:rsidRDefault="003040A8" w:rsidP="003040A8">
            <w:pPr>
              <w:pStyle w:val="TableParagraph"/>
              <w:ind w:right="2"/>
              <w:rPr>
                <w:rFonts w:ascii="Arial" w:hAnsi="Arial" w:cs="Arial"/>
                <w:sz w:val="20"/>
                <w:szCs w:val="20"/>
              </w:rPr>
            </w:pPr>
            <w:r w:rsidRPr="00CB6C57">
              <w:rPr>
                <w:rFonts w:ascii="Arial" w:hAnsi="Arial" w:cs="Arial"/>
                <w:spacing w:val="-5"/>
                <w:sz w:val="20"/>
                <w:szCs w:val="20"/>
              </w:rPr>
              <w:t>10</w:t>
            </w:r>
          </w:p>
        </w:tc>
        <w:tc>
          <w:tcPr>
            <w:tcW w:w="0" w:type="auto"/>
          </w:tcPr>
          <w:p w14:paraId="0E146E4B"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0" w:type="auto"/>
            <w:tcBorders>
              <w:top w:val="single" w:sz="8" w:space="0" w:color="000000"/>
              <w:left w:val="single" w:sz="8" w:space="0" w:color="000000"/>
              <w:bottom w:val="single" w:sz="8" w:space="0" w:color="000000"/>
              <w:right w:val="single" w:sz="8" w:space="0" w:color="000000"/>
            </w:tcBorders>
          </w:tcPr>
          <w:p w14:paraId="40D7DBEF" w14:textId="4F81C6F1"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8.05-14.6</w:t>
            </w:r>
          </w:p>
        </w:tc>
        <w:tc>
          <w:tcPr>
            <w:tcW w:w="0" w:type="auto"/>
            <w:tcBorders>
              <w:top w:val="single" w:sz="8" w:space="0" w:color="000000"/>
              <w:left w:val="single" w:sz="8" w:space="0" w:color="000000"/>
              <w:bottom w:val="single" w:sz="8" w:space="0" w:color="000000"/>
              <w:right w:val="single" w:sz="8" w:space="0" w:color="000000"/>
            </w:tcBorders>
          </w:tcPr>
          <w:p w14:paraId="341D2B81" w14:textId="7C00F208"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10.69</w:t>
            </w:r>
          </w:p>
        </w:tc>
        <w:tc>
          <w:tcPr>
            <w:tcW w:w="0" w:type="auto"/>
            <w:tcBorders>
              <w:top w:val="single" w:sz="8" w:space="0" w:color="000000"/>
              <w:left w:val="single" w:sz="8" w:space="0" w:color="000000"/>
              <w:bottom w:val="single" w:sz="8" w:space="0" w:color="000000"/>
              <w:right w:val="single" w:sz="8" w:space="0" w:color="000000"/>
            </w:tcBorders>
          </w:tcPr>
          <w:p w14:paraId="5E1AB8DF" w14:textId="4D2DF1B9"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4.130</w:t>
            </w:r>
          </w:p>
        </w:tc>
        <w:tc>
          <w:tcPr>
            <w:tcW w:w="0" w:type="auto"/>
            <w:tcBorders>
              <w:top w:val="single" w:sz="8" w:space="0" w:color="000000"/>
              <w:left w:val="single" w:sz="8" w:space="0" w:color="000000"/>
              <w:bottom w:val="single" w:sz="8" w:space="0" w:color="000000"/>
              <w:right w:val="single" w:sz="8" w:space="0" w:color="000000"/>
            </w:tcBorders>
          </w:tcPr>
          <w:p w14:paraId="42332804" w14:textId="4FF0F14D"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4.56</w:t>
            </w:r>
          </w:p>
        </w:tc>
        <w:tc>
          <w:tcPr>
            <w:tcW w:w="0" w:type="auto"/>
            <w:tcBorders>
              <w:top w:val="single" w:sz="8" w:space="0" w:color="000000"/>
              <w:left w:val="single" w:sz="8" w:space="0" w:color="000000"/>
              <w:bottom w:val="single" w:sz="8" w:space="0" w:color="000000"/>
              <w:right w:val="single" w:sz="8" w:space="0" w:color="000000"/>
            </w:tcBorders>
          </w:tcPr>
          <w:p w14:paraId="3F92F599" w14:textId="5B578584"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19.01</w:t>
            </w:r>
          </w:p>
        </w:tc>
        <w:tc>
          <w:tcPr>
            <w:tcW w:w="0" w:type="auto"/>
            <w:tcBorders>
              <w:top w:val="single" w:sz="8" w:space="0" w:color="000000"/>
              <w:left w:val="single" w:sz="8" w:space="0" w:color="000000"/>
              <w:bottom w:val="single" w:sz="8" w:space="0" w:color="000000"/>
              <w:right w:val="single" w:sz="8" w:space="0" w:color="000000"/>
            </w:tcBorders>
          </w:tcPr>
          <w:p w14:paraId="03E4C7C0" w14:textId="616BFE08"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19.98</w:t>
            </w:r>
          </w:p>
        </w:tc>
        <w:tc>
          <w:tcPr>
            <w:tcW w:w="0" w:type="auto"/>
            <w:tcBorders>
              <w:top w:val="single" w:sz="8" w:space="0" w:color="000000"/>
              <w:left w:val="single" w:sz="8" w:space="0" w:color="000000"/>
              <w:bottom w:val="single" w:sz="8" w:space="0" w:color="000000"/>
              <w:right w:val="single" w:sz="8" w:space="0" w:color="000000"/>
            </w:tcBorders>
          </w:tcPr>
          <w:p w14:paraId="7ACFCA11" w14:textId="657E86CA"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90.50</w:t>
            </w:r>
          </w:p>
        </w:tc>
        <w:tc>
          <w:tcPr>
            <w:tcW w:w="0" w:type="auto"/>
            <w:tcBorders>
              <w:top w:val="single" w:sz="8" w:space="0" w:color="000000"/>
              <w:left w:val="single" w:sz="8" w:space="0" w:color="000000"/>
              <w:bottom w:val="single" w:sz="8" w:space="0" w:color="000000"/>
              <w:right w:val="single" w:sz="8" w:space="0" w:color="000000"/>
            </w:tcBorders>
          </w:tcPr>
          <w:p w14:paraId="1087ECA8" w14:textId="0E47EDE4"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3.98</w:t>
            </w:r>
          </w:p>
        </w:tc>
        <w:tc>
          <w:tcPr>
            <w:tcW w:w="0" w:type="auto"/>
            <w:tcBorders>
              <w:top w:val="single" w:sz="8" w:space="0" w:color="000000"/>
              <w:left w:val="single" w:sz="8" w:space="0" w:color="000000"/>
              <w:bottom w:val="single" w:sz="8" w:space="0" w:color="000000"/>
              <w:right w:val="single" w:sz="8" w:space="0" w:color="000000"/>
            </w:tcBorders>
          </w:tcPr>
          <w:p w14:paraId="498EB3E2" w14:textId="1698D993" w:rsidR="003040A8" w:rsidRPr="00CB6C57" w:rsidRDefault="003040A8" w:rsidP="003040A8">
            <w:pPr>
              <w:pStyle w:val="TableParagraph"/>
              <w:ind w:left="24" w:right="1"/>
              <w:rPr>
                <w:rFonts w:ascii="Arial" w:hAnsi="Arial" w:cs="Arial"/>
                <w:sz w:val="20"/>
                <w:szCs w:val="20"/>
              </w:rPr>
            </w:pPr>
            <w:r w:rsidRPr="00D202B9">
              <w:rPr>
                <w:color w:val="000000" w:themeColor="text1"/>
                <w:kern w:val="24"/>
                <w:sz w:val="24"/>
                <w:szCs w:val="24"/>
                <w:lang w:eastAsia="en-IN" w:bidi="hi-IN"/>
              </w:rPr>
              <w:t>37.25</w:t>
            </w:r>
          </w:p>
        </w:tc>
      </w:tr>
    </w:tbl>
    <w:p w14:paraId="3BB42DE1" w14:textId="77777777" w:rsidR="00284C4C" w:rsidRDefault="00284C4C" w:rsidP="00441B6F">
      <w:pPr>
        <w:pStyle w:val="Body"/>
        <w:spacing w:after="0"/>
        <w:rPr>
          <w:i/>
          <w:u w:val="single"/>
        </w:rPr>
      </w:pPr>
    </w:p>
    <w:p w14:paraId="3A2E616A" w14:textId="0EAE704A" w:rsidR="00D74CB0" w:rsidRPr="00B91805" w:rsidRDefault="00441B6F" w:rsidP="00B91805">
      <w:pPr>
        <w:pStyle w:val="Body"/>
        <w:spacing w:after="0"/>
        <w:rPr>
          <w:i/>
          <w:u w:val="single"/>
        </w:rPr>
      </w:pPr>
      <w:r>
        <w:t xml:space="preserve">. </w:t>
      </w:r>
    </w:p>
    <w:p w14:paraId="68D1BB41" w14:textId="77777777" w:rsidR="006137AC" w:rsidRPr="00745D1A" w:rsidRDefault="006137AC" w:rsidP="006137AC">
      <w:pPr>
        <w:rPr>
          <w:rFonts w:ascii="Arial" w:hAnsi="Arial" w:cs="Arial"/>
          <w:lang w:val="en-IN"/>
        </w:rPr>
      </w:pPr>
      <w:r w:rsidRPr="00745D1A">
        <w:rPr>
          <w:rFonts w:ascii="Arial" w:hAnsi="Arial" w:cs="Arial"/>
          <w:lang w:val="en-IN"/>
        </w:rPr>
        <w:t>GV = Genotypic variance, PV = Phenotypic variance, GCV = Genotypic coefficient of variation, PCV = Phenotypic coefficient variation</w:t>
      </w:r>
    </w:p>
    <w:p w14:paraId="51098B2C" w14:textId="77777777" w:rsidR="006137AC" w:rsidRPr="00745D1A" w:rsidRDefault="006137AC" w:rsidP="006137AC">
      <w:pPr>
        <w:rPr>
          <w:rFonts w:ascii="Arial" w:hAnsi="Arial" w:cs="Arial"/>
        </w:rPr>
      </w:pPr>
    </w:p>
    <w:p w14:paraId="762D080C" w14:textId="77777777" w:rsidR="006137AC" w:rsidRDefault="006137AC" w:rsidP="006137AC"/>
    <w:p w14:paraId="6C771CA8" w14:textId="77777777" w:rsidR="00D641D7" w:rsidRDefault="00D641D7" w:rsidP="00441B6F">
      <w:pPr>
        <w:pStyle w:val="Body"/>
        <w:spacing w:after="0"/>
      </w:pPr>
    </w:p>
    <w:p w14:paraId="3179F3A9" w14:textId="77777777" w:rsidR="00204198" w:rsidRDefault="00204198" w:rsidP="00441B6F">
      <w:pPr>
        <w:pStyle w:val="Body"/>
        <w:spacing w:after="0"/>
      </w:pPr>
    </w:p>
    <w:p w14:paraId="11900142" w14:textId="77777777" w:rsidR="00204198" w:rsidRDefault="00204198" w:rsidP="00441B6F">
      <w:pPr>
        <w:pStyle w:val="Body"/>
        <w:spacing w:after="0"/>
      </w:pPr>
    </w:p>
    <w:p w14:paraId="281F312D" w14:textId="77777777" w:rsidR="00204198" w:rsidRDefault="00204198" w:rsidP="00441B6F">
      <w:pPr>
        <w:pStyle w:val="Body"/>
        <w:spacing w:after="0"/>
      </w:pPr>
    </w:p>
    <w:p w14:paraId="28FF5AF3" w14:textId="77777777" w:rsidR="00204198" w:rsidRDefault="00204198" w:rsidP="00441B6F">
      <w:pPr>
        <w:pStyle w:val="Body"/>
        <w:spacing w:after="0"/>
      </w:pPr>
    </w:p>
    <w:p w14:paraId="5BCCEEB4" w14:textId="77777777" w:rsidR="00204198" w:rsidRDefault="00204198" w:rsidP="00441B6F">
      <w:pPr>
        <w:pStyle w:val="Body"/>
        <w:spacing w:after="0"/>
      </w:pPr>
    </w:p>
    <w:p w14:paraId="60FA9D0D" w14:textId="77777777" w:rsidR="00204198" w:rsidRDefault="00204198" w:rsidP="00441B6F">
      <w:pPr>
        <w:pStyle w:val="Body"/>
        <w:spacing w:after="0"/>
      </w:pPr>
    </w:p>
    <w:p w14:paraId="129A3EBC" w14:textId="77777777" w:rsidR="00204198" w:rsidRDefault="00204198" w:rsidP="00441B6F">
      <w:pPr>
        <w:pStyle w:val="Body"/>
        <w:spacing w:after="0"/>
      </w:pPr>
    </w:p>
    <w:p w14:paraId="2BD42A10" w14:textId="77777777" w:rsidR="00204198" w:rsidRDefault="00204198" w:rsidP="00441B6F">
      <w:pPr>
        <w:pStyle w:val="Body"/>
        <w:spacing w:after="0"/>
      </w:pPr>
    </w:p>
    <w:p w14:paraId="652BAC3C" w14:textId="77777777" w:rsidR="00204198" w:rsidRDefault="00204198" w:rsidP="00441B6F">
      <w:pPr>
        <w:pStyle w:val="Body"/>
        <w:spacing w:after="0"/>
      </w:pPr>
    </w:p>
    <w:p w14:paraId="053CCAD6" w14:textId="77777777" w:rsidR="00204198" w:rsidRDefault="00204198" w:rsidP="00441B6F">
      <w:pPr>
        <w:pStyle w:val="Body"/>
        <w:spacing w:after="0"/>
      </w:pPr>
    </w:p>
    <w:p w14:paraId="0A9BB29E" w14:textId="77777777" w:rsidR="00204198" w:rsidRDefault="00204198" w:rsidP="00441B6F">
      <w:pPr>
        <w:pStyle w:val="Body"/>
        <w:spacing w:after="0"/>
      </w:pPr>
    </w:p>
    <w:p w14:paraId="3281D4FF" w14:textId="77777777" w:rsidR="009F09EC" w:rsidRDefault="009F09EC" w:rsidP="00441B6F">
      <w:pPr>
        <w:pStyle w:val="Body"/>
        <w:spacing w:after="0"/>
      </w:pPr>
    </w:p>
    <w:p w14:paraId="39AB2ADA" w14:textId="77777777" w:rsidR="009F09EC" w:rsidRDefault="009F09EC" w:rsidP="00441B6F">
      <w:pPr>
        <w:pStyle w:val="Body"/>
        <w:spacing w:after="0"/>
      </w:pPr>
    </w:p>
    <w:p w14:paraId="73EB9EB4" w14:textId="77777777" w:rsidR="009F09EC" w:rsidRDefault="009F09EC" w:rsidP="00441B6F">
      <w:pPr>
        <w:pStyle w:val="Body"/>
        <w:spacing w:after="0"/>
      </w:pPr>
    </w:p>
    <w:p w14:paraId="62C3D2A1" w14:textId="77777777" w:rsidR="002867DB" w:rsidRDefault="002867DB" w:rsidP="00441B6F">
      <w:pPr>
        <w:pStyle w:val="Body"/>
        <w:spacing w:after="0"/>
      </w:pPr>
    </w:p>
    <w:p w14:paraId="4E2390C8" w14:textId="77777777" w:rsidR="00EF5A8B" w:rsidRDefault="00EF5A8B" w:rsidP="00441B6F">
      <w:pPr>
        <w:pStyle w:val="Body"/>
        <w:spacing w:after="0"/>
      </w:pPr>
    </w:p>
    <w:p w14:paraId="3826A57A" w14:textId="77777777" w:rsidR="00EF5A8B" w:rsidRDefault="00EF5A8B" w:rsidP="00441B6F">
      <w:pPr>
        <w:pStyle w:val="Body"/>
        <w:spacing w:after="0"/>
      </w:pPr>
    </w:p>
    <w:p w14:paraId="14BEFB04" w14:textId="77777777" w:rsidR="00EF5A8B" w:rsidRPr="00EF5A8B" w:rsidRDefault="00EF5A8B" w:rsidP="00441B6F">
      <w:pPr>
        <w:pStyle w:val="Body"/>
        <w:spacing w:after="0"/>
        <w:rPr>
          <w:rFonts w:ascii="Arial" w:hAnsi="Arial" w:cs="Arial"/>
        </w:rPr>
      </w:pPr>
    </w:p>
    <w:p w14:paraId="6EFEEE44" w14:textId="7A84244E" w:rsidR="00D641D7" w:rsidRDefault="00166CFA" w:rsidP="00441B6F">
      <w:pPr>
        <w:pStyle w:val="Body"/>
        <w:spacing w:after="0"/>
      </w:pPr>
      <w:r w:rsidRPr="00166CFA">
        <w:rPr>
          <w:noProof/>
        </w:rPr>
        <w:lastRenderedPageBreak/>
        <w:drawing>
          <wp:inline distT="0" distB="0" distL="0" distR="0" wp14:anchorId="3A71B9E6" wp14:editId="764345F9">
            <wp:extent cx="5212080" cy="2644140"/>
            <wp:effectExtent l="0" t="0" r="7620" b="3810"/>
            <wp:docPr id="449399110" name="Chart 1">
              <a:extLst xmlns:a="http://schemas.openxmlformats.org/drawingml/2006/main">
                <a:ext uri="{FF2B5EF4-FFF2-40B4-BE49-F238E27FC236}">
                  <a16:creationId xmlns:a16="http://schemas.microsoft.com/office/drawing/2014/main" id="{94A3E3FC-F5E1-6B5E-74DD-1FD9AE114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72178" w14:textId="232A808A" w:rsidR="00745215" w:rsidRDefault="00745215" w:rsidP="00556D91">
      <w:pPr>
        <w:pStyle w:val="Body"/>
        <w:spacing w:after="0"/>
      </w:pPr>
    </w:p>
    <w:p w14:paraId="38CE39C2" w14:textId="77777777" w:rsidR="000B6980" w:rsidRDefault="000B6980" w:rsidP="009D129B">
      <w:pPr>
        <w:pStyle w:val="Body"/>
        <w:rPr>
          <w:rFonts w:ascii="Arial" w:hAnsi="Arial" w:cs="Arial"/>
          <w:bCs/>
        </w:rPr>
      </w:pPr>
    </w:p>
    <w:p w14:paraId="55137D53" w14:textId="2D598F67" w:rsidR="009F09EC" w:rsidRPr="002867DB" w:rsidRDefault="009D129B" w:rsidP="002867DB">
      <w:pPr>
        <w:pStyle w:val="Body"/>
        <w:rPr>
          <w:rFonts w:ascii="Arial" w:hAnsi="Arial" w:cs="Arial"/>
          <w:b/>
        </w:rPr>
      </w:pPr>
      <w:r w:rsidRPr="009D129B">
        <w:rPr>
          <w:rFonts w:ascii="Arial" w:hAnsi="Arial" w:cs="Arial"/>
          <w:b/>
        </w:rPr>
        <w:t>Fig.1.Genotypic and phenotypic coefficient of variation for yield and yield contributing character.</w:t>
      </w:r>
    </w:p>
    <w:p w14:paraId="6996FFE0" w14:textId="73FBEEEF" w:rsidR="00745215" w:rsidRPr="00556D91" w:rsidRDefault="00745215" w:rsidP="00556D91">
      <w:pPr>
        <w:pStyle w:val="Body"/>
        <w:spacing w:after="0"/>
        <w:rPr>
          <w:lang w:val="en-GB"/>
        </w:rPr>
        <w:sectPr w:rsidR="00745215" w:rsidRPr="00556D91" w:rsidSect="00AA311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pPr>
    </w:p>
    <w:p w14:paraId="34F423C1" w14:textId="7A963A38" w:rsidR="001B470E" w:rsidRDefault="000D6582" w:rsidP="00244CA4">
      <w:pPr>
        <w:pStyle w:val="Appendix"/>
        <w:tabs>
          <w:tab w:val="left" w:pos="567"/>
          <w:tab w:val="left" w:pos="10490"/>
        </w:tabs>
        <w:spacing w:after="0"/>
        <w:ind w:right="310"/>
        <w:jc w:val="both"/>
        <w:rPr>
          <w:noProof/>
        </w:rPr>
      </w:pPr>
      <w:r>
        <w:rPr>
          <w:noProof/>
        </w:rPr>
        <w:t xml:space="preserve">           </w:t>
      </w:r>
      <w:r w:rsidR="00ED4EF1">
        <w:rPr>
          <w:noProof/>
        </w:rPr>
        <w:t xml:space="preserve">        </w:t>
      </w:r>
      <w:r w:rsidR="008135E2" w:rsidRPr="008135E2">
        <w:rPr>
          <w:noProof/>
        </w:rPr>
        <w:drawing>
          <wp:inline distT="0" distB="0" distL="0" distR="0" wp14:anchorId="2B54D3B1" wp14:editId="62AB55BD">
            <wp:extent cx="5175858" cy="2774950"/>
            <wp:effectExtent l="0" t="0" r="6350" b="6350"/>
            <wp:docPr id="948399011" name="Chart 1">
              <a:extLst xmlns:a="http://schemas.openxmlformats.org/drawingml/2006/main">
                <a:ext uri="{FF2B5EF4-FFF2-40B4-BE49-F238E27FC236}">
                  <a16:creationId xmlns:a16="http://schemas.microsoft.com/office/drawing/2014/main" id="{A138DD1D-B53F-4C71-244A-6202E054A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1D801" w14:textId="76CF24A1" w:rsidR="00AB437D" w:rsidRPr="00DE5D89" w:rsidRDefault="001D4B0E" w:rsidP="00EF5A8B">
      <w:pPr>
        <w:tabs>
          <w:tab w:val="left" w:pos="709"/>
          <w:tab w:val="left" w:pos="1190"/>
        </w:tabs>
        <w:ind w:left="1134" w:hanging="283"/>
        <w:rPr>
          <w:rFonts w:ascii="Arial" w:eastAsia="Calibri" w:hAnsi="Arial" w:cs="Arial"/>
          <w:b/>
          <w:kern w:val="2"/>
          <w14:ligatures w14:val="standardContextual"/>
        </w:rPr>
      </w:pPr>
      <w:r>
        <w:rPr>
          <w:rFonts w:ascii="Calibri" w:eastAsia="Calibri" w:hAnsi="Calibri" w:cs="Mangal"/>
          <w:b/>
          <w:kern w:val="2"/>
          <w:sz w:val="22"/>
          <w:szCs w:val="22"/>
          <w:lang w:val="en-IN"/>
          <w14:ligatures w14:val="standardContextual"/>
        </w:rPr>
        <w:t xml:space="preserve"> </w:t>
      </w:r>
      <w:r w:rsidR="00EF5A8B">
        <w:rPr>
          <w:rFonts w:ascii="Calibri" w:eastAsia="Calibri" w:hAnsi="Calibri" w:cs="Mangal"/>
          <w:b/>
          <w:kern w:val="2"/>
          <w:sz w:val="22"/>
          <w:szCs w:val="22"/>
          <w:lang w:val="en-IN"/>
          <w14:ligatures w14:val="standardContextual"/>
        </w:rPr>
        <w:t xml:space="preserve">    </w:t>
      </w:r>
      <w:r w:rsidR="00775564">
        <w:rPr>
          <w:rFonts w:ascii="Calibri" w:eastAsia="Calibri" w:hAnsi="Calibri" w:cs="Mangal"/>
          <w:b/>
          <w:kern w:val="2"/>
          <w:sz w:val="22"/>
          <w:szCs w:val="22"/>
          <w:lang w:val="en-IN"/>
          <w14:ligatures w14:val="standardContextual"/>
        </w:rPr>
        <w:t>F</w:t>
      </w:r>
      <w:r w:rsidR="00BC38A6">
        <w:rPr>
          <w:rFonts w:ascii="Calibri" w:eastAsia="Calibri" w:hAnsi="Calibri" w:cs="Mangal"/>
          <w:b/>
          <w:kern w:val="2"/>
          <w:sz w:val="22"/>
          <w:szCs w:val="22"/>
          <w:lang w:val="en-IN"/>
          <w14:ligatures w14:val="standardContextual"/>
        </w:rPr>
        <w:t>i</w:t>
      </w:r>
      <w:r w:rsidR="00775564">
        <w:rPr>
          <w:rFonts w:ascii="Calibri" w:eastAsia="Calibri" w:hAnsi="Calibri" w:cs="Mangal"/>
          <w:b/>
          <w:kern w:val="2"/>
          <w:sz w:val="22"/>
          <w:szCs w:val="22"/>
          <w:lang w:val="en-IN"/>
          <w14:ligatures w14:val="standardContextual"/>
        </w:rPr>
        <w:t>g</w:t>
      </w:r>
      <w:r w:rsidR="00C33CAD">
        <w:rPr>
          <w:rFonts w:ascii="Calibri" w:eastAsia="Calibri" w:hAnsi="Calibri" w:cs="Mangal"/>
          <w:b/>
          <w:kern w:val="2"/>
          <w:sz w:val="22"/>
          <w:szCs w:val="22"/>
          <w:lang w:val="en-IN"/>
          <w14:ligatures w14:val="standardContextual"/>
        </w:rPr>
        <w:t xml:space="preserve"> 2</w:t>
      </w:r>
      <w:r w:rsidR="00775564">
        <w:rPr>
          <w:rFonts w:ascii="Calibri" w:eastAsia="Calibri" w:hAnsi="Calibri" w:cs="Mangal"/>
          <w:b/>
          <w:kern w:val="2"/>
          <w:sz w:val="22"/>
          <w:szCs w:val="22"/>
          <w:lang w:val="en-IN"/>
          <w14:ligatures w14:val="standardContextual"/>
        </w:rPr>
        <w:t xml:space="preserve">. </w:t>
      </w:r>
      <w:r w:rsidR="00244CA4" w:rsidRPr="00DE5D89">
        <w:rPr>
          <w:rFonts w:ascii="Arial" w:eastAsia="Calibri" w:hAnsi="Arial" w:cs="Arial"/>
          <w:b/>
          <w:kern w:val="2"/>
          <w:lang w:val="en-IN"/>
          <w14:ligatures w14:val="standardContextual"/>
        </w:rPr>
        <w:t>Heritability,</w:t>
      </w:r>
      <w:r w:rsidRPr="00DE5D89">
        <w:rPr>
          <w:rFonts w:ascii="Arial" w:eastAsia="Calibri" w:hAnsi="Arial" w:cs="Arial"/>
          <w:b/>
          <w:kern w:val="2"/>
          <w:lang w:val="en-IN"/>
          <w14:ligatures w14:val="standardContextual"/>
        </w:rPr>
        <w:t xml:space="preserve"> Genetic </w:t>
      </w:r>
      <w:r w:rsidR="00244CA4" w:rsidRPr="00DE5D89">
        <w:rPr>
          <w:rFonts w:ascii="Arial" w:eastAsia="Calibri" w:hAnsi="Arial" w:cs="Arial"/>
          <w:b/>
          <w:kern w:val="2"/>
          <w:lang w:val="en-IN"/>
          <w14:ligatures w14:val="standardContextual"/>
        </w:rPr>
        <w:t>Advance and</w:t>
      </w:r>
      <w:r w:rsidR="009217D9" w:rsidRPr="00DE5D89">
        <w:rPr>
          <w:rFonts w:ascii="Arial" w:eastAsia="Calibri" w:hAnsi="Arial" w:cs="Arial"/>
          <w:b/>
          <w:kern w:val="2"/>
          <w:lang w:val="en-IN"/>
          <w14:ligatures w14:val="standardContextual"/>
        </w:rPr>
        <w:t xml:space="preserve"> Genetic advance </w:t>
      </w:r>
      <w:r w:rsidR="00891C20" w:rsidRPr="00DE5D89">
        <w:rPr>
          <w:rFonts w:ascii="Arial" w:eastAsia="Calibri" w:hAnsi="Arial" w:cs="Arial"/>
          <w:b/>
          <w:kern w:val="2"/>
          <w:lang w:val="en-IN"/>
          <w14:ligatures w14:val="standardContextual"/>
        </w:rPr>
        <w:t>as per cent of mea</w:t>
      </w:r>
      <w:r w:rsidR="005E0B56" w:rsidRPr="00DE5D89">
        <w:rPr>
          <w:rFonts w:ascii="Arial" w:eastAsia="Calibri" w:hAnsi="Arial" w:cs="Arial"/>
          <w:b/>
          <w:kern w:val="2"/>
          <w:lang w:val="en-IN"/>
          <w14:ligatures w14:val="standardContextual"/>
        </w:rPr>
        <w:t xml:space="preserve">n </w:t>
      </w:r>
      <w:r w:rsidR="00AB437D" w:rsidRPr="00DE5D89">
        <w:rPr>
          <w:rFonts w:ascii="Arial" w:eastAsia="Calibri" w:hAnsi="Arial" w:cs="Arial"/>
          <w:b/>
          <w:kern w:val="2"/>
          <w14:ligatures w14:val="standardContextual"/>
        </w:rPr>
        <w:t xml:space="preserve">for yield and </w:t>
      </w:r>
      <w:r w:rsidR="00EF5A8B">
        <w:rPr>
          <w:rFonts w:ascii="Arial" w:eastAsia="Calibri" w:hAnsi="Arial" w:cs="Arial"/>
          <w:b/>
          <w:kern w:val="2"/>
          <w14:ligatures w14:val="standardContextual"/>
        </w:rPr>
        <w:t xml:space="preserve">              </w:t>
      </w:r>
      <w:r w:rsidR="009F09EC" w:rsidRPr="00DE5D89">
        <w:rPr>
          <w:rFonts w:ascii="Arial" w:eastAsia="Calibri" w:hAnsi="Arial" w:cs="Arial"/>
          <w:b/>
          <w:kern w:val="2"/>
          <w14:ligatures w14:val="standardContextual"/>
        </w:rPr>
        <w:t>yield contributing</w:t>
      </w:r>
      <w:r w:rsidR="00AB437D" w:rsidRPr="00DE5D89">
        <w:rPr>
          <w:rFonts w:ascii="Arial" w:eastAsia="Calibri" w:hAnsi="Arial" w:cs="Arial"/>
          <w:b/>
          <w:kern w:val="2"/>
          <w14:ligatures w14:val="standardContextual"/>
        </w:rPr>
        <w:t xml:space="preserve"> character.</w:t>
      </w:r>
    </w:p>
    <w:p w14:paraId="11089ECB" w14:textId="77777777" w:rsidR="00AB437D" w:rsidRPr="00AB437D" w:rsidRDefault="00AB437D" w:rsidP="00DE5D89">
      <w:pPr>
        <w:tabs>
          <w:tab w:val="left" w:pos="1190"/>
        </w:tabs>
        <w:ind w:left="578"/>
        <w:jc w:val="both"/>
        <w:rPr>
          <w:rFonts w:ascii="Arial" w:eastAsia="Calibri" w:hAnsi="Arial" w:cs="Arial"/>
          <w:kern w:val="2"/>
          <w14:ligatures w14:val="standardContextual"/>
        </w:rPr>
      </w:pPr>
    </w:p>
    <w:p w14:paraId="3EABD14A" w14:textId="77777777" w:rsidR="00877FA3" w:rsidRDefault="00877FA3" w:rsidP="00244CA4">
      <w:pPr>
        <w:tabs>
          <w:tab w:val="left" w:pos="3894"/>
        </w:tabs>
        <w:rPr>
          <w:rFonts w:ascii="Arial" w:hAnsi="Arial" w:cs="Arial"/>
          <w:bCs/>
        </w:rPr>
      </w:pPr>
    </w:p>
    <w:p w14:paraId="02CEF9D3" w14:textId="77777777" w:rsidR="00877FA3" w:rsidRDefault="00877FA3" w:rsidP="00244CA4">
      <w:pPr>
        <w:tabs>
          <w:tab w:val="left" w:pos="3894"/>
        </w:tabs>
        <w:rPr>
          <w:rFonts w:ascii="Arial" w:hAnsi="Arial" w:cs="Arial"/>
          <w:bCs/>
        </w:rPr>
      </w:pPr>
    </w:p>
    <w:p w14:paraId="695013A9" w14:textId="77777777" w:rsidR="00877FA3" w:rsidRDefault="00877FA3" w:rsidP="00244CA4">
      <w:pPr>
        <w:tabs>
          <w:tab w:val="left" w:pos="3894"/>
        </w:tabs>
        <w:rPr>
          <w:rFonts w:ascii="Arial" w:hAnsi="Arial" w:cs="Arial"/>
          <w:bCs/>
        </w:rPr>
      </w:pPr>
    </w:p>
    <w:p w14:paraId="7B9B8B2B" w14:textId="77777777" w:rsidR="00877FA3" w:rsidRDefault="00877FA3" w:rsidP="00244CA4">
      <w:pPr>
        <w:tabs>
          <w:tab w:val="left" w:pos="3894"/>
        </w:tabs>
        <w:rPr>
          <w:rFonts w:ascii="Arial" w:hAnsi="Arial" w:cs="Arial"/>
          <w:bCs/>
        </w:rPr>
      </w:pPr>
    </w:p>
    <w:p w14:paraId="5BD3A5A6" w14:textId="77777777" w:rsidR="00877FA3" w:rsidRDefault="00877FA3" w:rsidP="00244CA4">
      <w:pPr>
        <w:tabs>
          <w:tab w:val="left" w:pos="3894"/>
        </w:tabs>
        <w:rPr>
          <w:rFonts w:ascii="Arial" w:hAnsi="Arial" w:cs="Arial"/>
          <w:bCs/>
        </w:rPr>
      </w:pPr>
    </w:p>
    <w:p w14:paraId="02DB7E02" w14:textId="77777777" w:rsidR="00877FA3" w:rsidRDefault="00877FA3" w:rsidP="00244CA4">
      <w:pPr>
        <w:tabs>
          <w:tab w:val="left" w:pos="3894"/>
        </w:tabs>
        <w:rPr>
          <w:rFonts w:ascii="Arial" w:hAnsi="Arial" w:cs="Arial"/>
          <w:bCs/>
        </w:rPr>
      </w:pPr>
    </w:p>
    <w:p w14:paraId="45563104" w14:textId="77777777" w:rsidR="00877FA3" w:rsidRDefault="00877FA3" w:rsidP="00244CA4">
      <w:pPr>
        <w:tabs>
          <w:tab w:val="left" w:pos="3894"/>
        </w:tabs>
        <w:rPr>
          <w:rFonts w:ascii="Arial" w:hAnsi="Arial" w:cs="Arial"/>
          <w:bCs/>
        </w:rPr>
      </w:pPr>
    </w:p>
    <w:p w14:paraId="307D7730" w14:textId="77777777" w:rsidR="00877FA3" w:rsidRDefault="00877FA3" w:rsidP="00244CA4">
      <w:pPr>
        <w:tabs>
          <w:tab w:val="left" w:pos="3894"/>
        </w:tabs>
        <w:rPr>
          <w:rFonts w:ascii="Arial" w:hAnsi="Arial" w:cs="Arial"/>
          <w:bCs/>
        </w:rPr>
      </w:pPr>
    </w:p>
    <w:p w14:paraId="5E0D74A7" w14:textId="77777777" w:rsidR="00877FA3" w:rsidRDefault="00877FA3" w:rsidP="00244CA4">
      <w:pPr>
        <w:tabs>
          <w:tab w:val="left" w:pos="3894"/>
        </w:tabs>
        <w:rPr>
          <w:rFonts w:ascii="Arial" w:hAnsi="Arial" w:cs="Arial"/>
          <w:bCs/>
        </w:rPr>
      </w:pPr>
    </w:p>
    <w:p w14:paraId="6EFCA84E" w14:textId="77777777" w:rsidR="00877FA3" w:rsidRDefault="00877FA3" w:rsidP="00244CA4">
      <w:pPr>
        <w:tabs>
          <w:tab w:val="left" w:pos="3894"/>
        </w:tabs>
        <w:rPr>
          <w:rFonts w:ascii="Arial" w:hAnsi="Arial" w:cs="Arial"/>
          <w:bCs/>
        </w:rPr>
      </w:pPr>
    </w:p>
    <w:p w14:paraId="4420ED1F" w14:textId="77777777" w:rsidR="00877FA3" w:rsidRDefault="00877FA3" w:rsidP="00244CA4">
      <w:pPr>
        <w:tabs>
          <w:tab w:val="left" w:pos="3894"/>
        </w:tabs>
        <w:rPr>
          <w:rFonts w:ascii="Arial" w:hAnsi="Arial" w:cs="Arial"/>
          <w:bCs/>
        </w:rPr>
      </w:pPr>
    </w:p>
    <w:p w14:paraId="644573FA" w14:textId="77777777" w:rsidR="00877FA3" w:rsidRDefault="00877FA3" w:rsidP="00244CA4">
      <w:pPr>
        <w:tabs>
          <w:tab w:val="left" w:pos="3894"/>
        </w:tabs>
        <w:rPr>
          <w:rFonts w:ascii="Arial" w:hAnsi="Arial" w:cs="Arial"/>
          <w:bCs/>
        </w:rPr>
      </w:pPr>
    </w:p>
    <w:p w14:paraId="05419588" w14:textId="77777777" w:rsidR="00877FA3" w:rsidRDefault="00877FA3" w:rsidP="00244CA4">
      <w:pPr>
        <w:tabs>
          <w:tab w:val="left" w:pos="3894"/>
        </w:tabs>
        <w:rPr>
          <w:rFonts w:ascii="Arial" w:hAnsi="Arial" w:cs="Arial"/>
          <w:bCs/>
        </w:rPr>
      </w:pPr>
    </w:p>
    <w:p w14:paraId="0C49E6F4" w14:textId="77777777" w:rsidR="00877FA3" w:rsidRDefault="00877FA3" w:rsidP="00244CA4">
      <w:pPr>
        <w:tabs>
          <w:tab w:val="left" w:pos="3894"/>
        </w:tabs>
        <w:rPr>
          <w:rFonts w:ascii="Arial" w:hAnsi="Arial" w:cs="Arial"/>
          <w:bCs/>
        </w:rPr>
      </w:pPr>
    </w:p>
    <w:p w14:paraId="0A7AE5B8" w14:textId="77777777" w:rsidR="00877FA3" w:rsidRDefault="00877FA3" w:rsidP="00244CA4">
      <w:pPr>
        <w:tabs>
          <w:tab w:val="left" w:pos="3894"/>
        </w:tabs>
        <w:rPr>
          <w:rFonts w:ascii="Arial" w:hAnsi="Arial" w:cs="Arial"/>
          <w:bCs/>
        </w:rPr>
      </w:pPr>
    </w:p>
    <w:p w14:paraId="6DC4DE83" w14:textId="77777777" w:rsidR="00877FA3" w:rsidRDefault="00877FA3" w:rsidP="00244CA4">
      <w:pPr>
        <w:tabs>
          <w:tab w:val="left" w:pos="3894"/>
        </w:tabs>
        <w:rPr>
          <w:rFonts w:ascii="Arial" w:hAnsi="Arial" w:cs="Arial"/>
          <w:bCs/>
        </w:rPr>
      </w:pPr>
    </w:p>
    <w:p w14:paraId="34E95214" w14:textId="77777777" w:rsidR="00877FA3" w:rsidRDefault="00877FA3" w:rsidP="00244CA4">
      <w:pPr>
        <w:tabs>
          <w:tab w:val="left" w:pos="3894"/>
        </w:tabs>
        <w:rPr>
          <w:rFonts w:ascii="Arial" w:hAnsi="Arial" w:cs="Arial"/>
          <w:bCs/>
        </w:rPr>
      </w:pPr>
    </w:p>
    <w:p w14:paraId="54FB3977" w14:textId="77777777" w:rsidR="00877FA3" w:rsidRDefault="00877FA3" w:rsidP="00244CA4">
      <w:pPr>
        <w:tabs>
          <w:tab w:val="left" w:pos="3894"/>
        </w:tabs>
        <w:rPr>
          <w:rFonts w:ascii="Arial" w:hAnsi="Arial" w:cs="Arial"/>
          <w:bCs/>
        </w:rPr>
      </w:pPr>
    </w:p>
    <w:p w14:paraId="3AD67F5B" w14:textId="77777777" w:rsidR="00877FA3" w:rsidRDefault="00877FA3" w:rsidP="00244CA4">
      <w:pPr>
        <w:tabs>
          <w:tab w:val="left" w:pos="3894"/>
        </w:tabs>
        <w:rPr>
          <w:rFonts w:ascii="Arial" w:hAnsi="Arial" w:cs="Arial"/>
          <w:bCs/>
        </w:rPr>
      </w:pPr>
    </w:p>
    <w:p w14:paraId="44DD6ABF" w14:textId="77777777" w:rsidR="00877FA3" w:rsidRDefault="00877FA3" w:rsidP="00244CA4">
      <w:pPr>
        <w:tabs>
          <w:tab w:val="left" w:pos="3894"/>
        </w:tabs>
        <w:rPr>
          <w:rFonts w:ascii="Arial" w:hAnsi="Arial" w:cs="Arial"/>
          <w:bCs/>
        </w:rPr>
      </w:pPr>
    </w:p>
    <w:p w14:paraId="091164A3" w14:textId="77777777" w:rsidR="00877FA3" w:rsidRDefault="00877FA3" w:rsidP="00244CA4">
      <w:pPr>
        <w:tabs>
          <w:tab w:val="left" w:pos="3894"/>
        </w:tabs>
        <w:rPr>
          <w:rFonts w:ascii="Arial" w:hAnsi="Arial" w:cs="Arial"/>
          <w:bCs/>
        </w:rPr>
      </w:pPr>
    </w:p>
    <w:p w14:paraId="71008784" w14:textId="77777777" w:rsidR="00877FA3" w:rsidRDefault="00877FA3" w:rsidP="00244CA4">
      <w:pPr>
        <w:tabs>
          <w:tab w:val="left" w:pos="3894"/>
        </w:tabs>
        <w:rPr>
          <w:rFonts w:ascii="Arial" w:hAnsi="Arial" w:cs="Arial"/>
          <w:bCs/>
        </w:rPr>
      </w:pPr>
    </w:p>
    <w:p w14:paraId="08EFAF70" w14:textId="298F140A" w:rsidR="00B9731A" w:rsidRPr="00D641D7" w:rsidRDefault="00244CA4" w:rsidP="00244CA4">
      <w:pPr>
        <w:tabs>
          <w:tab w:val="left" w:pos="3894"/>
        </w:tabs>
        <w:rPr>
          <w:rFonts w:ascii="Arial" w:hAnsi="Arial" w:cs="Arial"/>
          <w:bCs/>
        </w:rPr>
      </w:pPr>
      <w:r>
        <w:rPr>
          <w:rFonts w:ascii="Arial" w:hAnsi="Arial" w:cs="Arial"/>
          <w:bCs/>
        </w:rPr>
        <w:tab/>
      </w:r>
    </w:p>
    <w:sectPr w:rsidR="00B9731A" w:rsidRPr="00D641D7" w:rsidSect="00AA3118">
      <w:type w:val="continuous"/>
      <w:pgSz w:w="12240" w:h="15840"/>
      <w:pgMar w:top="720" w:right="17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94C3E" w14:textId="77777777" w:rsidR="00DF0310" w:rsidRDefault="00DF0310" w:rsidP="00C37E61">
      <w:r>
        <w:separator/>
      </w:r>
    </w:p>
  </w:endnote>
  <w:endnote w:type="continuationSeparator" w:id="0">
    <w:p w14:paraId="5E009021" w14:textId="77777777" w:rsidR="00DF0310" w:rsidRDefault="00DF03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D079" w14:textId="77777777" w:rsidR="00BB3614" w:rsidRDefault="00BB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6F2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491D" w14:textId="77777777" w:rsidR="00BB3614" w:rsidRDefault="00BB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A582" w14:textId="77777777" w:rsidR="00DF0310" w:rsidRDefault="00DF0310" w:rsidP="00C37E61">
      <w:r>
        <w:separator/>
      </w:r>
    </w:p>
  </w:footnote>
  <w:footnote w:type="continuationSeparator" w:id="0">
    <w:p w14:paraId="2A88D873" w14:textId="77777777" w:rsidR="00DF0310" w:rsidRDefault="00DF03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F228" w14:textId="3ECB8813" w:rsidR="00BB3614" w:rsidRDefault="00BB3614">
    <w:pPr>
      <w:pStyle w:val="Header"/>
    </w:pPr>
    <w:r>
      <w:rPr>
        <w:noProof/>
      </w:rPr>
      <w:pict w14:anchorId="3A5A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E78A" w14:textId="622282D4" w:rsidR="00BB3614" w:rsidRDefault="00BB3614">
    <w:pPr>
      <w:pStyle w:val="Header"/>
    </w:pPr>
    <w:r>
      <w:rPr>
        <w:noProof/>
      </w:rPr>
      <w:pict w14:anchorId="011A1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F97D" w14:textId="4350B2D5" w:rsidR="00BB3614" w:rsidRDefault="00BB3614">
    <w:pPr>
      <w:pStyle w:val="Header"/>
    </w:pPr>
    <w:r>
      <w:rPr>
        <w:noProof/>
      </w:rPr>
      <w:pict w14:anchorId="14A2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F25"/>
    <w:rsid w:val="000066C6"/>
    <w:rsid w:val="00013CDF"/>
    <w:rsid w:val="00013EDE"/>
    <w:rsid w:val="00030174"/>
    <w:rsid w:val="00036CFA"/>
    <w:rsid w:val="0004579C"/>
    <w:rsid w:val="00051579"/>
    <w:rsid w:val="0006610D"/>
    <w:rsid w:val="000672F2"/>
    <w:rsid w:val="00075A27"/>
    <w:rsid w:val="00077EFF"/>
    <w:rsid w:val="0008000E"/>
    <w:rsid w:val="0009026C"/>
    <w:rsid w:val="00093AC9"/>
    <w:rsid w:val="000959E8"/>
    <w:rsid w:val="000A1636"/>
    <w:rsid w:val="000A47FA"/>
    <w:rsid w:val="000A65D3"/>
    <w:rsid w:val="000B1E33"/>
    <w:rsid w:val="000B6980"/>
    <w:rsid w:val="000D6582"/>
    <w:rsid w:val="000D689F"/>
    <w:rsid w:val="000D7EB5"/>
    <w:rsid w:val="000E5687"/>
    <w:rsid w:val="000E7B7B"/>
    <w:rsid w:val="000E7D62"/>
    <w:rsid w:val="000F32CA"/>
    <w:rsid w:val="00103357"/>
    <w:rsid w:val="00107FC1"/>
    <w:rsid w:val="00121A08"/>
    <w:rsid w:val="00121F57"/>
    <w:rsid w:val="001234D6"/>
    <w:rsid w:val="00123C9F"/>
    <w:rsid w:val="00126190"/>
    <w:rsid w:val="001306DA"/>
    <w:rsid w:val="00130F17"/>
    <w:rsid w:val="001320BF"/>
    <w:rsid w:val="0013414E"/>
    <w:rsid w:val="00135891"/>
    <w:rsid w:val="0014486C"/>
    <w:rsid w:val="00156094"/>
    <w:rsid w:val="00163BC4"/>
    <w:rsid w:val="00164D65"/>
    <w:rsid w:val="00166CFA"/>
    <w:rsid w:val="001674AD"/>
    <w:rsid w:val="00176D33"/>
    <w:rsid w:val="00182629"/>
    <w:rsid w:val="00191062"/>
    <w:rsid w:val="00192B72"/>
    <w:rsid w:val="001A29D8"/>
    <w:rsid w:val="001A5CAA"/>
    <w:rsid w:val="001B0427"/>
    <w:rsid w:val="001B2BA9"/>
    <w:rsid w:val="001B470E"/>
    <w:rsid w:val="001C200D"/>
    <w:rsid w:val="001C2C5D"/>
    <w:rsid w:val="001D3A51"/>
    <w:rsid w:val="001D4B0E"/>
    <w:rsid w:val="001D5E44"/>
    <w:rsid w:val="001D730A"/>
    <w:rsid w:val="001E10D2"/>
    <w:rsid w:val="001E25B4"/>
    <w:rsid w:val="001E44FE"/>
    <w:rsid w:val="001E54BD"/>
    <w:rsid w:val="001F7784"/>
    <w:rsid w:val="00200595"/>
    <w:rsid w:val="00204198"/>
    <w:rsid w:val="00204835"/>
    <w:rsid w:val="002107CD"/>
    <w:rsid w:val="00214950"/>
    <w:rsid w:val="00216757"/>
    <w:rsid w:val="00222671"/>
    <w:rsid w:val="00223D33"/>
    <w:rsid w:val="00223F02"/>
    <w:rsid w:val="0022598E"/>
    <w:rsid w:val="00231920"/>
    <w:rsid w:val="0023195C"/>
    <w:rsid w:val="0024282C"/>
    <w:rsid w:val="00244CA4"/>
    <w:rsid w:val="002460DC"/>
    <w:rsid w:val="00250985"/>
    <w:rsid w:val="00253C45"/>
    <w:rsid w:val="002556F6"/>
    <w:rsid w:val="002557A2"/>
    <w:rsid w:val="00261782"/>
    <w:rsid w:val="00272A46"/>
    <w:rsid w:val="002829C9"/>
    <w:rsid w:val="002830AE"/>
    <w:rsid w:val="00283105"/>
    <w:rsid w:val="00284C4C"/>
    <w:rsid w:val="002867DB"/>
    <w:rsid w:val="00287E68"/>
    <w:rsid w:val="00290564"/>
    <w:rsid w:val="00294B00"/>
    <w:rsid w:val="00294BB4"/>
    <w:rsid w:val="00296529"/>
    <w:rsid w:val="002A2837"/>
    <w:rsid w:val="002B0F60"/>
    <w:rsid w:val="002B27FB"/>
    <w:rsid w:val="002B685A"/>
    <w:rsid w:val="002C57D2"/>
    <w:rsid w:val="002D06EB"/>
    <w:rsid w:val="002E0543"/>
    <w:rsid w:val="002E0D56"/>
    <w:rsid w:val="002E1373"/>
    <w:rsid w:val="002E3079"/>
    <w:rsid w:val="003040A8"/>
    <w:rsid w:val="00307365"/>
    <w:rsid w:val="00315186"/>
    <w:rsid w:val="00324E28"/>
    <w:rsid w:val="00326A3B"/>
    <w:rsid w:val="0033343E"/>
    <w:rsid w:val="003409B4"/>
    <w:rsid w:val="003512C2"/>
    <w:rsid w:val="003566A1"/>
    <w:rsid w:val="00356AC8"/>
    <w:rsid w:val="00371FB6"/>
    <w:rsid w:val="00372B9E"/>
    <w:rsid w:val="003763C1"/>
    <w:rsid w:val="00376BBE"/>
    <w:rsid w:val="00386F5E"/>
    <w:rsid w:val="00390192"/>
    <w:rsid w:val="00390802"/>
    <w:rsid w:val="0039224F"/>
    <w:rsid w:val="003A3570"/>
    <w:rsid w:val="003A43A4"/>
    <w:rsid w:val="003A7E18"/>
    <w:rsid w:val="003C096B"/>
    <w:rsid w:val="003C3A92"/>
    <w:rsid w:val="003C4C86"/>
    <w:rsid w:val="003C6258"/>
    <w:rsid w:val="003E2904"/>
    <w:rsid w:val="003E478B"/>
    <w:rsid w:val="003E4E19"/>
    <w:rsid w:val="003F0A7B"/>
    <w:rsid w:val="003F0D58"/>
    <w:rsid w:val="00401927"/>
    <w:rsid w:val="0041027F"/>
    <w:rsid w:val="00412475"/>
    <w:rsid w:val="00416E52"/>
    <w:rsid w:val="00423789"/>
    <w:rsid w:val="00433925"/>
    <w:rsid w:val="00434B22"/>
    <w:rsid w:val="00436302"/>
    <w:rsid w:val="00440F43"/>
    <w:rsid w:val="00441B6F"/>
    <w:rsid w:val="00443D30"/>
    <w:rsid w:val="00446221"/>
    <w:rsid w:val="004506D5"/>
    <w:rsid w:val="00450E62"/>
    <w:rsid w:val="004539DB"/>
    <w:rsid w:val="004551E4"/>
    <w:rsid w:val="00471A80"/>
    <w:rsid w:val="0047423B"/>
    <w:rsid w:val="0047625B"/>
    <w:rsid w:val="00485E30"/>
    <w:rsid w:val="0049078F"/>
    <w:rsid w:val="004926AA"/>
    <w:rsid w:val="00497575"/>
    <w:rsid w:val="004A37A8"/>
    <w:rsid w:val="004C1856"/>
    <w:rsid w:val="004C4B88"/>
    <w:rsid w:val="004C7388"/>
    <w:rsid w:val="004D305E"/>
    <w:rsid w:val="004D4277"/>
    <w:rsid w:val="004E5A34"/>
    <w:rsid w:val="005022C4"/>
    <w:rsid w:val="00502516"/>
    <w:rsid w:val="00505F06"/>
    <w:rsid w:val="00506828"/>
    <w:rsid w:val="00510981"/>
    <w:rsid w:val="00514DC6"/>
    <w:rsid w:val="005273E2"/>
    <w:rsid w:val="00527CFA"/>
    <w:rsid w:val="0053056E"/>
    <w:rsid w:val="00532B32"/>
    <w:rsid w:val="00537D6A"/>
    <w:rsid w:val="00546144"/>
    <w:rsid w:val="00554FDA"/>
    <w:rsid w:val="00556D91"/>
    <w:rsid w:val="005628A6"/>
    <w:rsid w:val="00562F84"/>
    <w:rsid w:val="00571C2A"/>
    <w:rsid w:val="005772B5"/>
    <w:rsid w:val="005811E2"/>
    <w:rsid w:val="005944A3"/>
    <w:rsid w:val="00595748"/>
    <w:rsid w:val="00596843"/>
    <w:rsid w:val="005A0B55"/>
    <w:rsid w:val="005A34C2"/>
    <w:rsid w:val="005C7244"/>
    <w:rsid w:val="005C784C"/>
    <w:rsid w:val="005D17F6"/>
    <w:rsid w:val="005D5B34"/>
    <w:rsid w:val="005D5BD6"/>
    <w:rsid w:val="005D60B4"/>
    <w:rsid w:val="005E0B56"/>
    <w:rsid w:val="005E5539"/>
    <w:rsid w:val="005E5A42"/>
    <w:rsid w:val="005F33E2"/>
    <w:rsid w:val="005F46AD"/>
    <w:rsid w:val="005F638F"/>
    <w:rsid w:val="00602BF5"/>
    <w:rsid w:val="00605BFC"/>
    <w:rsid w:val="00607E6D"/>
    <w:rsid w:val="006137AC"/>
    <w:rsid w:val="00617FDD"/>
    <w:rsid w:val="00633614"/>
    <w:rsid w:val="00633F68"/>
    <w:rsid w:val="00636EB2"/>
    <w:rsid w:val="006375B8"/>
    <w:rsid w:val="00641C79"/>
    <w:rsid w:val="00645B04"/>
    <w:rsid w:val="00646372"/>
    <w:rsid w:val="006616C0"/>
    <w:rsid w:val="0066510A"/>
    <w:rsid w:val="00673F9F"/>
    <w:rsid w:val="00686953"/>
    <w:rsid w:val="00687DEA"/>
    <w:rsid w:val="00687E67"/>
    <w:rsid w:val="006945D6"/>
    <w:rsid w:val="00694B3E"/>
    <w:rsid w:val="006951CB"/>
    <w:rsid w:val="006967F7"/>
    <w:rsid w:val="006A250C"/>
    <w:rsid w:val="006B21D3"/>
    <w:rsid w:val="006B57D0"/>
    <w:rsid w:val="006C2F8C"/>
    <w:rsid w:val="006C5FC3"/>
    <w:rsid w:val="006D1B96"/>
    <w:rsid w:val="006D2B0F"/>
    <w:rsid w:val="006D30FF"/>
    <w:rsid w:val="006D6940"/>
    <w:rsid w:val="006D7296"/>
    <w:rsid w:val="006E38FA"/>
    <w:rsid w:val="006F11EC"/>
    <w:rsid w:val="006F3D2D"/>
    <w:rsid w:val="0070082C"/>
    <w:rsid w:val="007369E6"/>
    <w:rsid w:val="00736A87"/>
    <w:rsid w:val="00745215"/>
    <w:rsid w:val="00746E59"/>
    <w:rsid w:val="00754073"/>
    <w:rsid w:val="00754C9A"/>
    <w:rsid w:val="0075599A"/>
    <w:rsid w:val="00761D52"/>
    <w:rsid w:val="00766E14"/>
    <w:rsid w:val="00767D3E"/>
    <w:rsid w:val="00775564"/>
    <w:rsid w:val="0077749E"/>
    <w:rsid w:val="007805AF"/>
    <w:rsid w:val="0078358F"/>
    <w:rsid w:val="00790ADA"/>
    <w:rsid w:val="00791129"/>
    <w:rsid w:val="00794BF9"/>
    <w:rsid w:val="007A2DAD"/>
    <w:rsid w:val="007A348C"/>
    <w:rsid w:val="007D2288"/>
    <w:rsid w:val="007D6520"/>
    <w:rsid w:val="007D7B7B"/>
    <w:rsid w:val="007E088F"/>
    <w:rsid w:val="007E34F7"/>
    <w:rsid w:val="007F0CBE"/>
    <w:rsid w:val="007F1EA7"/>
    <w:rsid w:val="007F205E"/>
    <w:rsid w:val="007F403D"/>
    <w:rsid w:val="007F7B32"/>
    <w:rsid w:val="00804BC2"/>
    <w:rsid w:val="008135E2"/>
    <w:rsid w:val="0081431A"/>
    <w:rsid w:val="00817E42"/>
    <w:rsid w:val="0083216F"/>
    <w:rsid w:val="0084420D"/>
    <w:rsid w:val="00847843"/>
    <w:rsid w:val="00860000"/>
    <w:rsid w:val="00863BD3"/>
    <w:rsid w:val="008641ED"/>
    <w:rsid w:val="008665E3"/>
    <w:rsid w:val="00866D66"/>
    <w:rsid w:val="008671C6"/>
    <w:rsid w:val="00873081"/>
    <w:rsid w:val="0087424A"/>
    <w:rsid w:val="00875803"/>
    <w:rsid w:val="00877FA3"/>
    <w:rsid w:val="00891C20"/>
    <w:rsid w:val="008940B2"/>
    <w:rsid w:val="00895EC2"/>
    <w:rsid w:val="008B459E"/>
    <w:rsid w:val="008C0B56"/>
    <w:rsid w:val="008E13AE"/>
    <w:rsid w:val="008E1506"/>
    <w:rsid w:val="008E5AC1"/>
    <w:rsid w:val="008E710C"/>
    <w:rsid w:val="008F69D6"/>
    <w:rsid w:val="00902823"/>
    <w:rsid w:val="00915CA6"/>
    <w:rsid w:val="009217D9"/>
    <w:rsid w:val="00925B93"/>
    <w:rsid w:val="00927834"/>
    <w:rsid w:val="00932CEF"/>
    <w:rsid w:val="00943F1D"/>
    <w:rsid w:val="009500A6"/>
    <w:rsid w:val="009573B8"/>
    <w:rsid w:val="00957C18"/>
    <w:rsid w:val="00960397"/>
    <w:rsid w:val="009658CD"/>
    <w:rsid w:val="009659BA"/>
    <w:rsid w:val="0097216F"/>
    <w:rsid w:val="00975D17"/>
    <w:rsid w:val="0098230A"/>
    <w:rsid w:val="00983040"/>
    <w:rsid w:val="00990FD4"/>
    <w:rsid w:val="009B3FB9"/>
    <w:rsid w:val="009C2465"/>
    <w:rsid w:val="009D129B"/>
    <w:rsid w:val="009D35A0"/>
    <w:rsid w:val="009D7EB7"/>
    <w:rsid w:val="009E048A"/>
    <w:rsid w:val="009E08E9"/>
    <w:rsid w:val="009E318D"/>
    <w:rsid w:val="009E3DB9"/>
    <w:rsid w:val="009E6CF5"/>
    <w:rsid w:val="009E6E35"/>
    <w:rsid w:val="009F09EC"/>
    <w:rsid w:val="009F0EDA"/>
    <w:rsid w:val="009F355C"/>
    <w:rsid w:val="00A03B96"/>
    <w:rsid w:val="00A05B19"/>
    <w:rsid w:val="00A1134E"/>
    <w:rsid w:val="00A11A41"/>
    <w:rsid w:val="00A13F77"/>
    <w:rsid w:val="00A16A32"/>
    <w:rsid w:val="00A210C4"/>
    <w:rsid w:val="00A24E7E"/>
    <w:rsid w:val="00A258C3"/>
    <w:rsid w:val="00A262C9"/>
    <w:rsid w:val="00A33E15"/>
    <w:rsid w:val="00A347C0"/>
    <w:rsid w:val="00A370C6"/>
    <w:rsid w:val="00A40FBF"/>
    <w:rsid w:val="00A46B6A"/>
    <w:rsid w:val="00A51431"/>
    <w:rsid w:val="00A539AD"/>
    <w:rsid w:val="00A54ED5"/>
    <w:rsid w:val="00A562E0"/>
    <w:rsid w:val="00A579DA"/>
    <w:rsid w:val="00A6460F"/>
    <w:rsid w:val="00A67FB7"/>
    <w:rsid w:val="00A75C3C"/>
    <w:rsid w:val="00A8476A"/>
    <w:rsid w:val="00A902FA"/>
    <w:rsid w:val="00A94063"/>
    <w:rsid w:val="00AA3118"/>
    <w:rsid w:val="00AA419D"/>
    <w:rsid w:val="00AA6219"/>
    <w:rsid w:val="00AA74E0"/>
    <w:rsid w:val="00AB437D"/>
    <w:rsid w:val="00AB703F"/>
    <w:rsid w:val="00AC0A8D"/>
    <w:rsid w:val="00AC6BB8"/>
    <w:rsid w:val="00AE008F"/>
    <w:rsid w:val="00AE49BD"/>
    <w:rsid w:val="00B01FCD"/>
    <w:rsid w:val="00B1776C"/>
    <w:rsid w:val="00B25852"/>
    <w:rsid w:val="00B315D2"/>
    <w:rsid w:val="00B5052E"/>
    <w:rsid w:val="00B51257"/>
    <w:rsid w:val="00B51709"/>
    <w:rsid w:val="00B52583"/>
    <w:rsid w:val="00B52896"/>
    <w:rsid w:val="00B554B7"/>
    <w:rsid w:val="00B5627E"/>
    <w:rsid w:val="00B73178"/>
    <w:rsid w:val="00B91805"/>
    <w:rsid w:val="00B93060"/>
    <w:rsid w:val="00B95236"/>
    <w:rsid w:val="00B96BD9"/>
    <w:rsid w:val="00B9731A"/>
    <w:rsid w:val="00BA1B01"/>
    <w:rsid w:val="00BA2641"/>
    <w:rsid w:val="00BA70CB"/>
    <w:rsid w:val="00BB3614"/>
    <w:rsid w:val="00BB37AA"/>
    <w:rsid w:val="00BC38A6"/>
    <w:rsid w:val="00BC53A0"/>
    <w:rsid w:val="00BE62AD"/>
    <w:rsid w:val="00BF121F"/>
    <w:rsid w:val="00BF1F80"/>
    <w:rsid w:val="00C065BD"/>
    <w:rsid w:val="00C166EF"/>
    <w:rsid w:val="00C17EB0"/>
    <w:rsid w:val="00C234D2"/>
    <w:rsid w:val="00C25F45"/>
    <w:rsid w:val="00C27F5F"/>
    <w:rsid w:val="00C30A0F"/>
    <w:rsid w:val="00C3162D"/>
    <w:rsid w:val="00C31DA5"/>
    <w:rsid w:val="00C33CAD"/>
    <w:rsid w:val="00C34156"/>
    <w:rsid w:val="00C3497C"/>
    <w:rsid w:val="00C37E61"/>
    <w:rsid w:val="00C41CED"/>
    <w:rsid w:val="00C428D5"/>
    <w:rsid w:val="00C5301E"/>
    <w:rsid w:val="00C70F1B"/>
    <w:rsid w:val="00C71A47"/>
    <w:rsid w:val="00C7464C"/>
    <w:rsid w:val="00C74A69"/>
    <w:rsid w:val="00C76CB8"/>
    <w:rsid w:val="00C81300"/>
    <w:rsid w:val="00C85588"/>
    <w:rsid w:val="00C87003"/>
    <w:rsid w:val="00CA6779"/>
    <w:rsid w:val="00CA7795"/>
    <w:rsid w:val="00CB0F4D"/>
    <w:rsid w:val="00CB12E4"/>
    <w:rsid w:val="00CB4DAB"/>
    <w:rsid w:val="00CC3630"/>
    <w:rsid w:val="00CD216E"/>
    <w:rsid w:val="00CD6755"/>
    <w:rsid w:val="00CD6856"/>
    <w:rsid w:val="00CE0089"/>
    <w:rsid w:val="00CE503B"/>
    <w:rsid w:val="00CE793C"/>
    <w:rsid w:val="00CF04BD"/>
    <w:rsid w:val="00CF0BEB"/>
    <w:rsid w:val="00CF193C"/>
    <w:rsid w:val="00CF6ED1"/>
    <w:rsid w:val="00D173F1"/>
    <w:rsid w:val="00D238D4"/>
    <w:rsid w:val="00D240A1"/>
    <w:rsid w:val="00D270B9"/>
    <w:rsid w:val="00D4065C"/>
    <w:rsid w:val="00D421EC"/>
    <w:rsid w:val="00D564E3"/>
    <w:rsid w:val="00D61655"/>
    <w:rsid w:val="00D641D7"/>
    <w:rsid w:val="00D67D4D"/>
    <w:rsid w:val="00D74CB0"/>
    <w:rsid w:val="00D75325"/>
    <w:rsid w:val="00D77610"/>
    <w:rsid w:val="00D815C0"/>
    <w:rsid w:val="00D8295D"/>
    <w:rsid w:val="00D86E1D"/>
    <w:rsid w:val="00DA07B8"/>
    <w:rsid w:val="00DC2A65"/>
    <w:rsid w:val="00DC7F53"/>
    <w:rsid w:val="00DE0E37"/>
    <w:rsid w:val="00DE15F0"/>
    <w:rsid w:val="00DE24D5"/>
    <w:rsid w:val="00DE5663"/>
    <w:rsid w:val="00DE5D89"/>
    <w:rsid w:val="00DE78AA"/>
    <w:rsid w:val="00DF0310"/>
    <w:rsid w:val="00DF5736"/>
    <w:rsid w:val="00DF7235"/>
    <w:rsid w:val="00E00B42"/>
    <w:rsid w:val="00E053D0"/>
    <w:rsid w:val="00E15994"/>
    <w:rsid w:val="00E219C9"/>
    <w:rsid w:val="00E3114E"/>
    <w:rsid w:val="00E31A70"/>
    <w:rsid w:val="00E35B02"/>
    <w:rsid w:val="00E42206"/>
    <w:rsid w:val="00E66496"/>
    <w:rsid w:val="00E66B35"/>
    <w:rsid w:val="00E66E10"/>
    <w:rsid w:val="00E74213"/>
    <w:rsid w:val="00E769F6"/>
    <w:rsid w:val="00E812CE"/>
    <w:rsid w:val="00E8407C"/>
    <w:rsid w:val="00E84F3C"/>
    <w:rsid w:val="00EA012C"/>
    <w:rsid w:val="00EB14DD"/>
    <w:rsid w:val="00EB6A2D"/>
    <w:rsid w:val="00EC60A5"/>
    <w:rsid w:val="00EC6A55"/>
    <w:rsid w:val="00ED0288"/>
    <w:rsid w:val="00ED2DBD"/>
    <w:rsid w:val="00ED4EF1"/>
    <w:rsid w:val="00ED7AF9"/>
    <w:rsid w:val="00EE52CB"/>
    <w:rsid w:val="00EF078E"/>
    <w:rsid w:val="00EF3C01"/>
    <w:rsid w:val="00EF581D"/>
    <w:rsid w:val="00EF5A8B"/>
    <w:rsid w:val="00EF6F9D"/>
    <w:rsid w:val="00EF7FD8"/>
    <w:rsid w:val="00F007A0"/>
    <w:rsid w:val="00F00AB1"/>
    <w:rsid w:val="00F06F59"/>
    <w:rsid w:val="00F17988"/>
    <w:rsid w:val="00F26440"/>
    <w:rsid w:val="00F30B35"/>
    <w:rsid w:val="00F46890"/>
    <w:rsid w:val="00F469F0"/>
    <w:rsid w:val="00F50E73"/>
    <w:rsid w:val="00F52080"/>
    <w:rsid w:val="00F53273"/>
    <w:rsid w:val="00F5440C"/>
    <w:rsid w:val="00F54D5E"/>
    <w:rsid w:val="00F755E4"/>
    <w:rsid w:val="00F75625"/>
    <w:rsid w:val="00F77D02"/>
    <w:rsid w:val="00F8167F"/>
    <w:rsid w:val="00F85E07"/>
    <w:rsid w:val="00F9677F"/>
    <w:rsid w:val="00FA414C"/>
    <w:rsid w:val="00FB3A86"/>
    <w:rsid w:val="00FB5E58"/>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0855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26AA"/>
    <w:pPr>
      <w:spacing w:after="120"/>
    </w:pPr>
  </w:style>
  <w:style w:type="character" w:customStyle="1" w:styleId="BodyTextChar">
    <w:name w:val="Body Text Char"/>
    <w:basedOn w:val="DefaultParagraphFont"/>
    <w:link w:val="BodyText"/>
    <w:rsid w:val="004926AA"/>
    <w:rPr>
      <w:rFonts w:ascii="Helvetica" w:hAnsi="Helvetica"/>
    </w:rPr>
  </w:style>
  <w:style w:type="paragraph" w:customStyle="1" w:styleId="TableParagraph">
    <w:name w:val="Table Paragraph"/>
    <w:basedOn w:val="Normal"/>
    <w:uiPriority w:val="1"/>
    <w:qFormat/>
    <w:rsid w:val="00A13F77"/>
    <w:pPr>
      <w:widowControl w:val="0"/>
      <w:autoSpaceDE w:val="0"/>
      <w:autoSpaceDN w:val="0"/>
      <w:ind w:left="10"/>
      <w:jc w:val="center"/>
    </w:pPr>
    <w:rPr>
      <w:rFonts w:ascii="Times New Roman" w:hAnsi="Times New Roman"/>
      <w:sz w:val="22"/>
      <w:szCs w:val="22"/>
    </w:rPr>
  </w:style>
  <w:style w:type="paragraph" w:styleId="NormalWeb">
    <w:name w:val="Normal (Web)"/>
    <w:basedOn w:val="Normal"/>
    <w:uiPriority w:val="99"/>
    <w:unhideWhenUsed/>
    <w:rsid w:val="00A33E15"/>
    <w:pPr>
      <w:spacing w:before="100" w:beforeAutospacing="1" w:after="100" w:afterAutospacing="1"/>
    </w:pPr>
    <w:rPr>
      <w:rFonts w:ascii="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1401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604320">
      <w:bodyDiv w:val="1"/>
      <w:marLeft w:val="0"/>
      <w:marRight w:val="0"/>
      <w:marTop w:val="0"/>
      <w:marBottom w:val="0"/>
      <w:divBdr>
        <w:top w:val="none" w:sz="0" w:space="0" w:color="auto"/>
        <w:left w:val="none" w:sz="0" w:space="0" w:color="auto"/>
        <w:bottom w:val="none" w:sz="0" w:space="0" w:color="auto"/>
        <w:right w:val="none" w:sz="0" w:space="0" w:color="auto"/>
      </w:divBdr>
    </w:div>
    <w:div w:id="799229975">
      <w:bodyDiv w:val="1"/>
      <w:marLeft w:val="0"/>
      <w:marRight w:val="0"/>
      <w:marTop w:val="0"/>
      <w:marBottom w:val="0"/>
      <w:divBdr>
        <w:top w:val="none" w:sz="0" w:space="0" w:color="auto"/>
        <w:left w:val="none" w:sz="0" w:space="0" w:color="auto"/>
        <w:bottom w:val="none" w:sz="0" w:space="0" w:color="auto"/>
        <w:right w:val="none" w:sz="0" w:space="0" w:color="auto"/>
      </w:divBdr>
    </w:div>
    <w:div w:id="9730283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18149">
      <w:bodyDiv w:val="1"/>
      <w:marLeft w:val="0"/>
      <w:marRight w:val="0"/>
      <w:marTop w:val="0"/>
      <w:marBottom w:val="0"/>
      <w:divBdr>
        <w:top w:val="none" w:sz="0" w:space="0" w:color="auto"/>
        <w:left w:val="none" w:sz="0" w:space="0" w:color="auto"/>
        <w:bottom w:val="none" w:sz="0" w:space="0" w:color="auto"/>
        <w:right w:val="none" w:sz="0" w:space="0" w:color="auto"/>
      </w:divBdr>
    </w:div>
    <w:div w:id="1694724378">
      <w:bodyDiv w:val="1"/>
      <w:marLeft w:val="0"/>
      <w:marRight w:val="0"/>
      <w:marTop w:val="0"/>
      <w:marBottom w:val="0"/>
      <w:divBdr>
        <w:top w:val="none" w:sz="0" w:space="0" w:color="auto"/>
        <w:left w:val="none" w:sz="0" w:space="0" w:color="auto"/>
        <w:bottom w:val="none" w:sz="0" w:space="0" w:color="auto"/>
        <w:right w:val="none" w:sz="0" w:space="0" w:color="auto"/>
      </w:divBdr>
    </w:div>
    <w:div w:id="16989676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4573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9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GCV(%)</c:v>
                </c:pt>
              </c:strCache>
            </c:strRef>
          </c:tx>
          <c:spPr>
            <a:solidFill>
              <a:schemeClr val="accent1"/>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Sheet1!$C$2:$C$11</c:f>
              <c:numCache>
                <c:formatCode>General</c:formatCode>
                <c:ptCount val="10"/>
                <c:pt idx="0">
                  <c:v>11.91</c:v>
                </c:pt>
                <c:pt idx="1">
                  <c:v>4.96</c:v>
                </c:pt>
                <c:pt idx="2">
                  <c:v>9.36</c:v>
                </c:pt>
                <c:pt idx="3">
                  <c:v>19.309999999999999</c:v>
                </c:pt>
                <c:pt idx="4">
                  <c:v>12.21</c:v>
                </c:pt>
                <c:pt idx="5">
                  <c:v>6.3259999999999996</c:v>
                </c:pt>
                <c:pt idx="6">
                  <c:v>18.2</c:v>
                </c:pt>
                <c:pt idx="7">
                  <c:v>12.28</c:v>
                </c:pt>
                <c:pt idx="8">
                  <c:v>8.1359999999999992</c:v>
                </c:pt>
                <c:pt idx="9">
                  <c:v>19.010000000000002</c:v>
                </c:pt>
              </c:numCache>
            </c:numRef>
          </c:val>
          <c:extLst>
            <c:ext xmlns:c16="http://schemas.microsoft.com/office/drawing/2014/chart" uri="{C3380CC4-5D6E-409C-BE32-E72D297353CC}">
              <c16:uniqueId val="{00000000-6EA3-4248-BCCD-ABC4B5A9BCE0}"/>
            </c:ext>
          </c:extLst>
        </c:ser>
        <c:ser>
          <c:idx val="1"/>
          <c:order val="1"/>
          <c:tx>
            <c:strRef>
              <c:f>Sheet1!$D$1</c:f>
              <c:strCache>
                <c:ptCount val="1"/>
                <c:pt idx="0">
                  <c:v>PCV(%)</c:v>
                </c:pt>
              </c:strCache>
            </c:strRef>
          </c:tx>
          <c:spPr>
            <a:solidFill>
              <a:schemeClr val="accent2"/>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Sheet1!$D$2:$D$11</c:f>
              <c:numCache>
                <c:formatCode>General</c:formatCode>
                <c:ptCount val="10"/>
                <c:pt idx="0">
                  <c:v>12.16</c:v>
                </c:pt>
                <c:pt idx="1">
                  <c:v>5.46</c:v>
                </c:pt>
                <c:pt idx="2">
                  <c:v>9.91</c:v>
                </c:pt>
                <c:pt idx="3">
                  <c:v>20.399999999999999</c:v>
                </c:pt>
                <c:pt idx="4">
                  <c:v>13.17</c:v>
                </c:pt>
                <c:pt idx="5">
                  <c:v>7.8562000000000003</c:v>
                </c:pt>
                <c:pt idx="6">
                  <c:v>18.78</c:v>
                </c:pt>
                <c:pt idx="7">
                  <c:v>13.34</c:v>
                </c:pt>
                <c:pt idx="8">
                  <c:v>8.3073999999999995</c:v>
                </c:pt>
                <c:pt idx="9">
                  <c:v>19.98</c:v>
                </c:pt>
              </c:numCache>
            </c:numRef>
          </c:val>
          <c:extLst>
            <c:ext xmlns:c16="http://schemas.microsoft.com/office/drawing/2014/chart" uri="{C3380CC4-5D6E-409C-BE32-E72D297353CC}">
              <c16:uniqueId val="{00000001-6EA3-4248-BCCD-ABC4B5A9BCE0}"/>
            </c:ext>
          </c:extLst>
        </c:ser>
        <c:dLbls>
          <c:showLegendKey val="0"/>
          <c:showVal val="0"/>
          <c:showCatName val="0"/>
          <c:showSerName val="0"/>
          <c:showPercent val="0"/>
          <c:showBubbleSize val="0"/>
        </c:dLbls>
        <c:gapWidth val="219"/>
        <c:overlap val="-27"/>
        <c:axId val="1609379216"/>
        <c:axId val="1609379696"/>
      </c:barChart>
      <c:catAx>
        <c:axId val="16093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696"/>
        <c:crosses val="autoZero"/>
        <c:auto val="1"/>
        <c:lblAlgn val="ctr"/>
        <c:lblOffset val="100"/>
        <c:noMultiLvlLbl val="0"/>
      </c:catAx>
      <c:valAx>
        <c:axId val="160937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H²(Broad Sense)</c:v>
                </c:pt>
              </c:strCache>
            </c:strRef>
          </c:tx>
          <c:spPr>
            <a:solidFill>
              <a:schemeClr val="accent1"/>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Sheet3!$B$2:$B$11</c:f>
              <c:numCache>
                <c:formatCode>General</c:formatCode>
                <c:ptCount val="10"/>
                <c:pt idx="0">
                  <c:v>96.05</c:v>
                </c:pt>
                <c:pt idx="1">
                  <c:v>82.4</c:v>
                </c:pt>
                <c:pt idx="2">
                  <c:v>89.2</c:v>
                </c:pt>
                <c:pt idx="3">
                  <c:v>92.86</c:v>
                </c:pt>
                <c:pt idx="4">
                  <c:v>85.91</c:v>
                </c:pt>
                <c:pt idx="5">
                  <c:v>64.849999999999994</c:v>
                </c:pt>
                <c:pt idx="6">
                  <c:v>93.93</c:v>
                </c:pt>
                <c:pt idx="7">
                  <c:v>84.73</c:v>
                </c:pt>
                <c:pt idx="8">
                  <c:v>95.92</c:v>
                </c:pt>
                <c:pt idx="9">
                  <c:v>90.5</c:v>
                </c:pt>
              </c:numCache>
            </c:numRef>
          </c:val>
          <c:extLst>
            <c:ext xmlns:c16="http://schemas.microsoft.com/office/drawing/2014/chart" uri="{C3380CC4-5D6E-409C-BE32-E72D297353CC}">
              <c16:uniqueId val="{00000000-58FC-4086-B1E5-D05C3D11F939}"/>
            </c:ext>
          </c:extLst>
        </c:ser>
        <c:ser>
          <c:idx val="1"/>
          <c:order val="1"/>
          <c:tx>
            <c:strRef>
              <c:f>Sheet3!$C$1</c:f>
              <c:strCache>
                <c:ptCount val="1"/>
                <c:pt idx="0">
                  <c:v>Genetic advance</c:v>
                </c:pt>
              </c:strCache>
            </c:strRef>
          </c:tx>
          <c:spPr>
            <a:solidFill>
              <a:schemeClr val="accent2"/>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Sheet3!$C$2:$C$11</c:f>
              <c:numCache>
                <c:formatCode>General</c:formatCode>
                <c:ptCount val="10"/>
                <c:pt idx="0">
                  <c:v>12.75</c:v>
                </c:pt>
                <c:pt idx="1">
                  <c:v>9.17</c:v>
                </c:pt>
                <c:pt idx="2">
                  <c:v>18.63</c:v>
                </c:pt>
                <c:pt idx="3">
                  <c:v>1.456</c:v>
                </c:pt>
                <c:pt idx="4">
                  <c:v>13.64</c:v>
                </c:pt>
                <c:pt idx="5">
                  <c:v>5.85</c:v>
                </c:pt>
                <c:pt idx="6">
                  <c:v>1.0437000000000001</c:v>
                </c:pt>
                <c:pt idx="7">
                  <c:v>0.70920000000000005</c:v>
                </c:pt>
                <c:pt idx="8">
                  <c:v>6.9480000000000004</c:v>
                </c:pt>
                <c:pt idx="9">
                  <c:v>3.98</c:v>
                </c:pt>
              </c:numCache>
            </c:numRef>
          </c:val>
          <c:extLst>
            <c:ext xmlns:c16="http://schemas.microsoft.com/office/drawing/2014/chart" uri="{C3380CC4-5D6E-409C-BE32-E72D297353CC}">
              <c16:uniqueId val="{00000001-58FC-4086-B1E5-D05C3D11F939}"/>
            </c:ext>
          </c:extLst>
        </c:ser>
        <c:ser>
          <c:idx val="2"/>
          <c:order val="2"/>
          <c:tx>
            <c:strRef>
              <c:f>Sheet3!$D$1</c:f>
              <c:strCache>
                <c:ptCount val="1"/>
                <c:pt idx="0">
                  <c:v>GAM (%)</c:v>
                </c:pt>
              </c:strCache>
            </c:strRef>
          </c:tx>
          <c:spPr>
            <a:solidFill>
              <a:schemeClr val="accent3"/>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Sheet3!$D$2:$D$11</c:f>
              <c:numCache>
                <c:formatCode>General</c:formatCode>
                <c:ptCount val="10"/>
                <c:pt idx="0">
                  <c:v>24.06</c:v>
                </c:pt>
                <c:pt idx="1">
                  <c:v>9.2799999999999994</c:v>
                </c:pt>
                <c:pt idx="2">
                  <c:v>18.2</c:v>
                </c:pt>
                <c:pt idx="3">
                  <c:v>38.35</c:v>
                </c:pt>
                <c:pt idx="4">
                  <c:v>23.31</c:v>
                </c:pt>
                <c:pt idx="5">
                  <c:v>10.49</c:v>
                </c:pt>
                <c:pt idx="6">
                  <c:v>36.340000000000003</c:v>
                </c:pt>
                <c:pt idx="7">
                  <c:v>23.28</c:v>
                </c:pt>
                <c:pt idx="8">
                  <c:v>16.41</c:v>
                </c:pt>
                <c:pt idx="9">
                  <c:v>37.25</c:v>
                </c:pt>
              </c:numCache>
            </c:numRef>
          </c:val>
          <c:extLst>
            <c:ext xmlns:c16="http://schemas.microsoft.com/office/drawing/2014/chart" uri="{C3380CC4-5D6E-409C-BE32-E72D297353CC}">
              <c16:uniqueId val="{00000002-58FC-4086-B1E5-D05C3D11F939}"/>
            </c:ext>
          </c:extLst>
        </c:ser>
        <c:dLbls>
          <c:showLegendKey val="0"/>
          <c:showVal val="0"/>
          <c:showCatName val="0"/>
          <c:showSerName val="0"/>
          <c:showPercent val="0"/>
          <c:showBubbleSize val="0"/>
        </c:dLbls>
        <c:gapWidth val="219"/>
        <c:overlap val="-27"/>
        <c:axId val="1278403312"/>
        <c:axId val="1278403792"/>
      </c:barChart>
      <c:catAx>
        <c:axId val="127840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8403792"/>
        <c:crosses val="autoZero"/>
        <c:auto val="1"/>
        <c:lblAlgn val="ctr"/>
        <c:lblOffset val="100"/>
        <c:noMultiLvlLbl val="0"/>
      </c:catAx>
      <c:valAx>
        <c:axId val="127840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40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F61D-14A9-474D-BB25-A26DC8B8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11</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2025-07-15T10:05:00Z</dcterms:created>
  <dcterms:modified xsi:type="dcterms:W3CDTF">2025-07-16T10:05:00Z</dcterms:modified>
</cp:coreProperties>
</file>