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7AC" w:rsidRPr="003347AC" w:rsidRDefault="003347AC" w:rsidP="004629B5">
      <w:pPr>
        <w:pStyle w:val="Title"/>
        <w:spacing w:after="0" w:line="360" w:lineRule="auto"/>
        <w:rPr>
          <w:rFonts w:ascii="Arial" w:hAnsi="Arial" w:cs="Arial"/>
          <w:bCs/>
          <w:i/>
          <w:iCs/>
          <w:u w:val="single"/>
        </w:rPr>
      </w:pPr>
      <w:r w:rsidRPr="003347AC">
        <w:rPr>
          <w:rFonts w:ascii="Arial" w:hAnsi="Arial" w:cs="Arial"/>
          <w:bCs/>
          <w:i/>
          <w:iCs/>
          <w:u w:val="single"/>
        </w:rPr>
        <w:t>Original Research Article</w:t>
      </w:r>
    </w:p>
    <w:p w:rsidR="00754C9A" w:rsidRDefault="004629B5" w:rsidP="004629B5">
      <w:pPr>
        <w:pStyle w:val="Title"/>
        <w:spacing w:after="0" w:line="360" w:lineRule="auto"/>
        <w:rPr>
          <w:rFonts w:ascii="Arial" w:hAnsi="Arial" w:cs="Arial"/>
        </w:rPr>
      </w:pPr>
      <w:r w:rsidRPr="004629B5">
        <w:rPr>
          <w:rFonts w:ascii="Arial" w:hAnsi="Arial" w:cs="Arial"/>
          <w:bCs/>
          <w:iCs/>
        </w:rPr>
        <w:t>Studies on genetic variability in Sunflower (</w:t>
      </w:r>
      <w:r w:rsidRPr="00050042">
        <w:rPr>
          <w:rFonts w:ascii="Arial" w:hAnsi="Arial" w:cs="Arial"/>
          <w:bCs/>
          <w:i/>
          <w:iCs/>
        </w:rPr>
        <w:t xml:space="preserve">Helianthus </w:t>
      </w:r>
      <w:proofErr w:type="spellStart"/>
      <w:r w:rsidRPr="00050042">
        <w:rPr>
          <w:rFonts w:ascii="Arial" w:hAnsi="Arial" w:cs="Arial"/>
          <w:bCs/>
          <w:i/>
          <w:iCs/>
        </w:rPr>
        <w:t>annuus</w:t>
      </w:r>
      <w:proofErr w:type="spellEnd"/>
      <w:r w:rsidRPr="004629B5">
        <w:rPr>
          <w:rFonts w:ascii="Arial" w:hAnsi="Arial" w:cs="Arial"/>
          <w:bCs/>
          <w:iCs/>
        </w:rPr>
        <w:t xml:space="preserve"> L.)</w:t>
      </w:r>
    </w:p>
    <w:p w:rsidR="00A258C3" w:rsidRPr="00790ADA" w:rsidRDefault="00A258C3" w:rsidP="00441B6F">
      <w:pPr>
        <w:pStyle w:val="Author"/>
        <w:spacing w:line="240" w:lineRule="auto"/>
        <w:jc w:val="both"/>
        <w:rPr>
          <w:rFonts w:ascii="Arial" w:hAnsi="Arial" w:cs="Arial"/>
          <w:sz w:val="36"/>
        </w:rPr>
      </w:pPr>
    </w:p>
    <w:p w:rsidR="002A42F7" w:rsidRDefault="002A42F7" w:rsidP="00621077">
      <w:pPr>
        <w:pStyle w:val="Affiliation"/>
        <w:spacing w:after="0" w:line="240" w:lineRule="auto"/>
        <w:rPr>
          <w:rFonts w:ascii="Arial" w:hAnsi="Arial" w:cs="Arial"/>
          <w:i/>
          <w:iCs/>
        </w:rPr>
      </w:pPr>
    </w:p>
    <w:p w:rsidR="00621077" w:rsidRDefault="00621077" w:rsidP="00621077">
      <w:pPr>
        <w:pStyle w:val="Affiliation"/>
        <w:spacing w:after="0" w:line="240" w:lineRule="auto"/>
        <w:rPr>
          <w:rFonts w:ascii="Arial" w:hAnsi="Arial" w:cs="Arial"/>
          <w:i/>
          <w:iCs/>
        </w:rPr>
      </w:pPr>
    </w:p>
    <w:p w:rsidR="002457B1" w:rsidRPr="002457B1" w:rsidRDefault="002457B1" w:rsidP="002457B1">
      <w:pPr>
        <w:pStyle w:val="Affiliation"/>
        <w:spacing w:after="0" w:line="240" w:lineRule="auto"/>
        <w:rPr>
          <w:rFonts w:ascii="Arial" w:hAnsi="Arial" w:cs="Arial"/>
          <w:i/>
          <w:iCs/>
        </w:rPr>
      </w:pPr>
    </w:p>
    <w:p w:rsidR="00B01FCD" w:rsidRPr="00FB3A86" w:rsidRDefault="00FD2DE0" w:rsidP="00441B6F">
      <w:pPr>
        <w:pStyle w:val="Copyright"/>
        <w:spacing w:after="0" w:line="240" w:lineRule="auto"/>
        <w:jc w:val="both"/>
        <w:rPr>
          <w:rFonts w:ascii="Arial" w:hAnsi="Arial" w:cs="Arial"/>
        </w:rPr>
        <w:sectPr w:rsidR="00B01FCD" w:rsidRPr="00FB3A86" w:rsidSect="000731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033D8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505F06" w:rsidRPr="00BA1B01" w:rsidRDefault="00B47391" w:rsidP="00B714D9">
            <w:pPr>
              <w:pStyle w:val="Body"/>
              <w:spacing w:after="0"/>
              <w:rPr>
                <w:rFonts w:ascii="Arial" w:eastAsia="Calibri" w:hAnsi="Arial" w:cs="Arial"/>
                <w:szCs w:val="22"/>
              </w:rPr>
            </w:pPr>
            <w:r w:rsidRPr="00B47391">
              <w:rPr>
                <w:rFonts w:ascii="Arial" w:eastAsia="Calibri" w:hAnsi="Arial" w:cs="Arial"/>
                <w:szCs w:val="22"/>
              </w:rPr>
              <w:t>A field experiment had been conducted to obtain information on genetic variability, heritability and genetic advance for seed yield and associated characters by using forty diverse genotypes. The analysis of variance revealed the significant differences among the genotypes for all the traits indicating presence of sufficient variability among the genotypes for various traits. High estimate of genotypic and phenotypic coefficient of variation were observed for seed yield per plant, hull content and head diameter. While, high heritability coupled with high genetic advance observed for plant height, head diameter, 100 seed weight, volume weight, seed yield per plant, hull content and oil content indicated that selection may be effective for improving these characters.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B47391" w:rsidRPr="00B47391">
        <w:rPr>
          <w:rFonts w:ascii="Arial" w:hAnsi="Arial" w:cs="Arial"/>
          <w:i/>
        </w:rPr>
        <w:t xml:space="preserve">Sunflower, variability, GCV, PCV, heritability, genetic advance        </w:t>
      </w:r>
    </w:p>
    <w:p w:rsidR="00790ADA" w:rsidRDefault="00790ADA" w:rsidP="00441B6F">
      <w:pPr>
        <w:pStyle w:val="Body"/>
        <w:spacing w:after="0"/>
        <w:rPr>
          <w:rFonts w:ascii="Arial" w:hAnsi="Arial" w:cs="Arial"/>
          <w:i/>
        </w:rPr>
      </w:pPr>
    </w:p>
    <w:p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B47391" w:rsidRPr="00B47391" w:rsidRDefault="00B47391" w:rsidP="00F61620">
      <w:pPr>
        <w:pStyle w:val="Body"/>
        <w:spacing w:before="120" w:after="120"/>
        <w:ind w:firstLine="567"/>
        <w:rPr>
          <w:rFonts w:ascii="Arial" w:hAnsi="Arial" w:cs="Arial"/>
        </w:rPr>
      </w:pPr>
      <w:r w:rsidRPr="00B47391">
        <w:rPr>
          <w:rFonts w:ascii="Arial" w:hAnsi="Arial" w:cs="Arial"/>
        </w:rPr>
        <w:t>In the Indian agricultural economy, oilseeds are important next to food grains. Among the various oilseed crops, sunflower (</w:t>
      </w:r>
      <w:r w:rsidRPr="00F61620">
        <w:rPr>
          <w:rFonts w:ascii="Arial" w:hAnsi="Arial" w:cs="Arial"/>
          <w:i/>
        </w:rPr>
        <w:t xml:space="preserve">Helianthus </w:t>
      </w:r>
      <w:proofErr w:type="spellStart"/>
      <w:r w:rsidRPr="00F61620">
        <w:rPr>
          <w:rFonts w:ascii="Arial" w:hAnsi="Arial" w:cs="Arial"/>
          <w:i/>
        </w:rPr>
        <w:t>annuus</w:t>
      </w:r>
      <w:proofErr w:type="spellEnd"/>
      <w:r w:rsidRPr="00B47391">
        <w:rPr>
          <w:rFonts w:ascii="Arial" w:hAnsi="Arial" w:cs="Arial"/>
        </w:rPr>
        <w:t xml:space="preserve"> L.) ranks prominently after groundnut, rapeseed-mustard and soybean. It is particularly valued for its production of heart-friendly edible oil, which has led to a consistent commercial demand. In sunflower breeding </w:t>
      </w:r>
      <w:proofErr w:type="spellStart"/>
      <w:r w:rsidRPr="00B47391">
        <w:rPr>
          <w:rFonts w:ascii="Arial" w:hAnsi="Arial" w:cs="Arial"/>
        </w:rPr>
        <w:t>programmes</w:t>
      </w:r>
      <w:proofErr w:type="spellEnd"/>
      <w:r w:rsidRPr="00B47391">
        <w:rPr>
          <w:rFonts w:ascii="Arial" w:hAnsi="Arial" w:cs="Arial"/>
        </w:rPr>
        <w:t>, the primary objective is to develop high-yielding cultivars with improved yield contributing traits. However, seed yield in sunflower is a complex quantitative trait substantially influenced by environmental factors. Therefore, a comprehensive understanding of the nature and extent of variability both genetic and non-genetic is essential for the formulation of an effective and systematic breeding strategy.</w:t>
      </w:r>
    </w:p>
    <w:p w:rsidR="00B47391" w:rsidRPr="00B47391" w:rsidRDefault="00B47391" w:rsidP="00F61620">
      <w:pPr>
        <w:pStyle w:val="Body"/>
        <w:spacing w:before="120" w:after="120"/>
        <w:ind w:firstLine="567"/>
        <w:rPr>
          <w:rFonts w:ascii="Arial" w:hAnsi="Arial" w:cs="Arial"/>
        </w:rPr>
      </w:pPr>
      <w:r w:rsidRPr="00B47391">
        <w:rPr>
          <w:rFonts w:ascii="Arial" w:hAnsi="Arial" w:cs="Arial"/>
        </w:rPr>
        <w:tab/>
        <w:t xml:space="preserve"> In India, sunflower is primarily cultivated in states such as Punjab, Haryana, Karnataka, Gujarat, Maharashtra, Uttar Pradesh, West Bengal, Odisha, Rajasthan, Tamil Nadu and Andhra Pradesh. At present, the crop covers an area of 3,64,000 hectares yielding a total production of 3.63 million </w:t>
      </w:r>
      <w:proofErr w:type="spellStart"/>
      <w:r w:rsidRPr="00B47391">
        <w:rPr>
          <w:rFonts w:ascii="Arial" w:hAnsi="Arial" w:cs="Arial"/>
        </w:rPr>
        <w:t>tonnes</w:t>
      </w:r>
      <w:proofErr w:type="spellEnd"/>
      <w:r w:rsidRPr="00B47391">
        <w:rPr>
          <w:rFonts w:ascii="Arial" w:hAnsi="Arial" w:cs="Arial"/>
        </w:rPr>
        <w:t xml:space="preserve"> with an average productivity of 996 kg per hectare. Karnataka, Maharashtra, and Andhra Pradesh together represent 70% of the total area under sunflower cultivation (Anonymous, 2023).</w:t>
      </w:r>
    </w:p>
    <w:p w:rsidR="00282BE1" w:rsidRDefault="00B47391" w:rsidP="00B47391">
      <w:pPr>
        <w:pStyle w:val="Body"/>
        <w:spacing w:after="0"/>
        <w:rPr>
          <w:rFonts w:ascii="Arial" w:hAnsi="Arial" w:cs="Arial"/>
        </w:rPr>
      </w:pPr>
      <w:r w:rsidRPr="00B47391">
        <w:rPr>
          <w:rFonts w:ascii="Arial" w:hAnsi="Arial" w:cs="Arial"/>
        </w:rPr>
        <w:tab/>
        <w:t xml:space="preserve">The success of any plant breeding </w:t>
      </w:r>
      <w:proofErr w:type="spellStart"/>
      <w:r w:rsidRPr="00B47391">
        <w:rPr>
          <w:rFonts w:ascii="Arial" w:hAnsi="Arial" w:cs="Arial"/>
        </w:rPr>
        <w:t>programme</w:t>
      </w:r>
      <w:proofErr w:type="spellEnd"/>
      <w:r w:rsidRPr="00B47391">
        <w:rPr>
          <w:rFonts w:ascii="Arial" w:hAnsi="Arial" w:cs="Arial"/>
        </w:rPr>
        <w:t xml:space="preserve"> largely depends on the presence of sufficient genetic variability within the crop species. Assessing the extent of variability among different cross combinations provides valuable insight into the genetic diversity available for selection. Estimation of heritability plays a crucial role in identifying the proportion of phenotypic variation that is attributable to genetic factors thereby enabling breeders to effectively select superior inbred lines from a genetically diverse population. Moreover, when heritability is considered in conjunction with genetic advance, it becomes a more reliable predictor of the potential response to selection than heritability alone. In this context, the </w:t>
      </w:r>
      <w:r w:rsidRPr="00B47391">
        <w:rPr>
          <w:rFonts w:ascii="Arial" w:hAnsi="Arial" w:cs="Arial"/>
        </w:rPr>
        <w:lastRenderedPageBreak/>
        <w:t>present investigation was carried out to assess the genetic variability, heritability and genetic advance in a set of forty sunflower (</w:t>
      </w:r>
      <w:r w:rsidRPr="000B4FA0">
        <w:rPr>
          <w:rFonts w:ascii="Arial" w:hAnsi="Arial" w:cs="Arial"/>
          <w:i/>
        </w:rPr>
        <w:t xml:space="preserve">Helianthus </w:t>
      </w:r>
      <w:proofErr w:type="spellStart"/>
      <w:r w:rsidRPr="000B4FA0">
        <w:rPr>
          <w:rFonts w:ascii="Arial" w:hAnsi="Arial" w:cs="Arial"/>
          <w:i/>
        </w:rPr>
        <w:t>annuus</w:t>
      </w:r>
      <w:proofErr w:type="spellEnd"/>
      <w:r w:rsidRPr="00B47391">
        <w:rPr>
          <w:rFonts w:ascii="Arial" w:hAnsi="Arial" w:cs="Arial"/>
        </w:rPr>
        <w:t xml:space="preserve"> L.) genotypes.</w:t>
      </w:r>
    </w:p>
    <w:p w:rsidR="00B47391" w:rsidRPr="00282BE1" w:rsidRDefault="00B47391" w:rsidP="00B47391">
      <w:pPr>
        <w:pStyle w:val="Body"/>
        <w:spacing w:after="0"/>
        <w:rPr>
          <w:rFonts w:ascii="Arial" w:hAnsi="Arial" w:cs="Arial"/>
        </w:rPr>
      </w:pPr>
    </w:p>
    <w:p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B47391" w:rsidRPr="00B47391" w:rsidRDefault="00B47391" w:rsidP="000B4FA0">
      <w:pPr>
        <w:pStyle w:val="Body"/>
        <w:spacing w:before="120" w:after="120"/>
        <w:ind w:firstLine="567"/>
        <w:rPr>
          <w:rFonts w:ascii="Arial" w:hAnsi="Arial" w:cs="Arial"/>
        </w:rPr>
      </w:pPr>
      <w:r w:rsidRPr="00B47391">
        <w:rPr>
          <w:rFonts w:ascii="Arial" w:hAnsi="Arial" w:cs="Arial"/>
        </w:rPr>
        <w:t>The present investigation was conducted at the Research farm, O</w:t>
      </w:r>
      <w:r w:rsidR="00420ECC">
        <w:rPr>
          <w:rFonts w:ascii="Arial" w:hAnsi="Arial" w:cs="Arial"/>
        </w:rPr>
        <w:t xml:space="preserve">ilseeds Research Station, Latur </w:t>
      </w:r>
      <w:r w:rsidRPr="00B47391">
        <w:rPr>
          <w:rFonts w:ascii="Arial" w:hAnsi="Arial" w:cs="Arial"/>
        </w:rPr>
        <w:t xml:space="preserve">during the </w:t>
      </w:r>
      <w:r w:rsidRPr="000B4FA0">
        <w:rPr>
          <w:rFonts w:ascii="Arial" w:hAnsi="Arial" w:cs="Arial"/>
          <w:i/>
        </w:rPr>
        <w:t>Kharif</w:t>
      </w:r>
      <w:r w:rsidRPr="00B47391">
        <w:rPr>
          <w:rFonts w:ascii="Arial" w:hAnsi="Arial" w:cs="Arial"/>
        </w:rPr>
        <w:t xml:space="preserve"> season of 2024-25. The experimental material comprised of advanced interspecific derivatives of Helianthus species, along with two check varieties taken from Oilseeds Research Station, Latur. The genotypes sown in a randomized block design with two replications having plot size 1.20×4.5 m2 and plant spacing of 60 cm and 30 cm respectively. All the recommended cultural, agronomical and plant protection measures was undertake</w:t>
      </w:r>
      <w:r w:rsidR="000B4FA0">
        <w:rPr>
          <w:rFonts w:ascii="Arial" w:hAnsi="Arial" w:cs="Arial"/>
        </w:rPr>
        <w:t xml:space="preserve">n during the crop growth period. </w:t>
      </w:r>
      <w:r w:rsidRPr="00B47391">
        <w:rPr>
          <w:rFonts w:ascii="Arial" w:hAnsi="Arial" w:cs="Arial"/>
        </w:rPr>
        <w:t>The data were recorded from five randomly selected plants from each genotype on ten distinct morphological characters viz., days to 50 per cent flowering, days to maturity, plant height (cm), head diameter (cm), Seed filling (%</w:t>
      </w:r>
      <w:proofErr w:type="gramStart"/>
      <w:r w:rsidRPr="00B47391">
        <w:rPr>
          <w:rFonts w:ascii="Arial" w:hAnsi="Arial" w:cs="Arial"/>
        </w:rPr>
        <w:t>),  100</w:t>
      </w:r>
      <w:proofErr w:type="gramEnd"/>
      <w:r w:rsidRPr="00B47391">
        <w:rPr>
          <w:rFonts w:ascii="Arial" w:hAnsi="Arial" w:cs="Arial"/>
        </w:rPr>
        <w:t xml:space="preserve"> seed weight (g), volume weight (g/100ml), hull content (%), seed yield per plant (g) and oil content (%). Days to 50 per cent flowering and days to maturity observations were recorded on plot basis only once.</w:t>
      </w:r>
    </w:p>
    <w:p w:rsidR="00282BE1" w:rsidRDefault="00B47391" w:rsidP="000B4FA0">
      <w:pPr>
        <w:pStyle w:val="Body"/>
        <w:spacing w:after="0"/>
        <w:ind w:firstLine="567"/>
        <w:rPr>
          <w:rFonts w:ascii="Arial" w:hAnsi="Arial" w:cs="Arial"/>
        </w:rPr>
      </w:pPr>
      <w:r w:rsidRPr="00B47391">
        <w:rPr>
          <w:rFonts w:ascii="Arial" w:hAnsi="Arial" w:cs="Arial"/>
        </w:rPr>
        <w:tab/>
        <w:t xml:space="preserve">The overall mean values of different characters were subjected to statistical analysis. Analysis of variance was done by subjecting the data to the statistical method on randomized block design (RBD) as described by </w:t>
      </w:r>
      <w:proofErr w:type="spellStart"/>
      <w:r w:rsidRPr="00B47391">
        <w:rPr>
          <w:rFonts w:ascii="Arial" w:hAnsi="Arial" w:cs="Arial"/>
        </w:rPr>
        <w:t>Panse</w:t>
      </w:r>
      <w:proofErr w:type="spellEnd"/>
      <w:r w:rsidRPr="00B47391">
        <w:rPr>
          <w:rFonts w:ascii="Arial" w:hAnsi="Arial" w:cs="Arial"/>
        </w:rPr>
        <w:t xml:space="preserve"> and </w:t>
      </w:r>
      <w:proofErr w:type="spellStart"/>
      <w:r w:rsidRPr="00B47391">
        <w:rPr>
          <w:rFonts w:ascii="Arial" w:hAnsi="Arial" w:cs="Arial"/>
        </w:rPr>
        <w:t>Sukhatme</w:t>
      </w:r>
      <w:proofErr w:type="spellEnd"/>
      <w:r w:rsidRPr="00B47391">
        <w:rPr>
          <w:rFonts w:ascii="Arial" w:hAnsi="Arial" w:cs="Arial"/>
        </w:rPr>
        <w:t xml:space="preserve"> (1985). The genotypic coefficient of variation (GCV) and phenotypic coefficient of variation (PCV) was computed according to the method suggested by Burton and de Vane (1953). The expected genetic advance (GA) expressed in percentage of mean were calculated by using the method suggested by Johnson </w:t>
      </w:r>
      <w:r w:rsidRPr="000B4FA0">
        <w:rPr>
          <w:rFonts w:ascii="Arial" w:hAnsi="Arial" w:cs="Arial"/>
          <w:i/>
        </w:rPr>
        <w:t>et al</w:t>
      </w:r>
      <w:r w:rsidRPr="00B47391">
        <w:rPr>
          <w:rFonts w:ascii="Arial" w:hAnsi="Arial" w:cs="Arial"/>
        </w:rPr>
        <w:t>. (1955).</w:t>
      </w:r>
    </w:p>
    <w:p w:rsidR="00B47391" w:rsidRPr="00FB3A86" w:rsidRDefault="00B47391" w:rsidP="00B47391">
      <w:pPr>
        <w:pStyle w:val="Body"/>
        <w:spacing w:after="0"/>
        <w:rPr>
          <w:rFonts w:ascii="Arial" w:hAnsi="Arial" w:cs="Arial"/>
        </w:rPr>
      </w:pPr>
    </w:p>
    <w:p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8C2643" w:rsidRDefault="008C2643" w:rsidP="00441B6F">
      <w:pPr>
        <w:pStyle w:val="Head1"/>
        <w:spacing w:after="0"/>
        <w:jc w:val="both"/>
        <w:rPr>
          <w:rFonts w:ascii="Arial" w:hAnsi="Arial" w:cs="Arial"/>
          <w:sz w:val="20"/>
          <w:szCs w:val="18"/>
        </w:rPr>
      </w:pPr>
    </w:p>
    <w:p w:rsidR="000B4FA0" w:rsidRPr="000B4FA0" w:rsidRDefault="008C2643" w:rsidP="00441B6F">
      <w:pPr>
        <w:pStyle w:val="Head1"/>
        <w:spacing w:after="0"/>
        <w:jc w:val="both"/>
        <w:rPr>
          <w:rFonts w:ascii="Arial" w:hAnsi="Arial" w:cs="Arial"/>
          <w:caps w:val="0"/>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p>
    <w:p w:rsidR="008848B7" w:rsidRDefault="00B47391" w:rsidP="000B4FA0">
      <w:pPr>
        <w:pStyle w:val="Body"/>
        <w:spacing w:after="0"/>
        <w:ind w:firstLine="567"/>
        <w:rPr>
          <w:rFonts w:ascii="Arial" w:hAnsi="Arial" w:cs="Arial"/>
        </w:rPr>
      </w:pPr>
      <w:r w:rsidRPr="00B47391">
        <w:rPr>
          <w:rFonts w:ascii="Arial" w:hAnsi="Arial" w:cs="Arial"/>
        </w:rPr>
        <w:t>The results obtained under the present investigatio</w:t>
      </w:r>
      <w:r w:rsidR="000A0915">
        <w:rPr>
          <w:rFonts w:ascii="Arial" w:hAnsi="Arial" w:cs="Arial"/>
        </w:rPr>
        <w:t>n are presented in (Table 1)</w:t>
      </w:r>
      <w:r w:rsidRPr="00B47391">
        <w:rPr>
          <w:rFonts w:ascii="Arial" w:hAnsi="Arial" w:cs="Arial"/>
        </w:rPr>
        <w:t xml:space="preserve">. Analysis of variance revealed significant differences among the genotypes for all the characters. A wide range of variability was exhibited by most of the traits under </w:t>
      </w:r>
      <w:proofErr w:type="spellStart"/>
      <w:proofErr w:type="gramStart"/>
      <w:r w:rsidRPr="00B47391">
        <w:rPr>
          <w:rFonts w:ascii="Arial" w:hAnsi="Arial" w:cs="Arial"/>
        </w:rPr>
        <w:t>study</w:t>
      </w:r>
      <w:r w:rsidR="000A0915">
        <w:rPr>
          <w:rFonts w:ascii="Arial" w:hAnsi="Arial" w:cs="Arial"/>
        </w:rPr>
        <w:t>.</w:t>
      </w:r>
      <w:r w:rsidRPr="00B47391">
        <w:rPr>
          <w:rFonts w:ascii="Arial" w:hAnsi="Arial" w:cs="Arial"/>
        </w:rPr>
        <w:t>The</w:t>
      </w:r>
      <w:proofErr w:type="spellEnd"/>
      <w:proofErr w:type="gramEnd"/>
      <w:r w:rsidRPr="00B47391">
        <w:rPr>
          <w:rFonts w:ascii="Arial" w:hAnsi="Arial" w:cs="Arial"/>
        </w:rPr>
        <w:t xml:space="preserve"> wide range of variation noticed in all the characters would offer scope of selection for improvement of desirable types. Similar results were also earlier reported by </w:t>
      </w:r>
      <w:proofErr w:type="spellStart"/>
      <w:r w:rsidRPr="00B47391">
        <w:rPr>
          <w:rFonts w:ascii="Arial" w:hAnsi="Arial" w:cs="Arial"/>
        </w:rPr>
        <w:t>Makane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xml:space="preserve"> (2011), Sujatha </w:t>
      </w:r>
      <w:r w:rsidRPr="000B4FA0">
        <w:rPr>
          <w:rFonts w:ascii="Arial" w:hAnsi="Arial" w:cs="Arial"/>
          <w:i/>
        </w:rPr>
        <w:t>et al.</w:t>
      </w:r>
      <w:r w:rsidRPr="00B47391">
        <w:rPr>
          <w:rFonts w:ascii="Arial" w:hAnsi="Arial" w:cs="Arial"/>
        </w:rPr>
        <w:t xml:space="preserve"> (2014) and </w:t>
      </w:r>
      <w:proofErr w:type="spellStart"/>
      <w:r w:rsidRPr="00B47391">
        <w:rPr>
          <w:rFonts w:ascii="Arial" w:hAnsi="Arial" w:cs="Arial"/>
        </w:rPr>
        <w:t>Supriya</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(2016).</w:t>
      </w:r>
    </w:p>
    <w:p w:rsidR="00B47391" w:rsidRDefault="00B47391" w:rsidP="008848B7">
      <w:pPr>
        <w:pStyle w:val="Body"/>
        <w:spacing w:after="0"/>
        <w:rPr>
          <w:rFonts w:ascii="Arial" w:hAnsi="Arial" w:cs="Arial"/>
        </w:rPr>
      </w:pPr>
    </w:p>
    <w:p w:rsidR="00B47391" w:rsidRDefault="00B47391" w:rsidP="008848B7">
      <w:pPr>
        <w:pStyle w:val="Body"/>
        <w:spacing w:after="0"/>
        <w:rPr>
          <w:rFonts w:ascii="Arial" w:hAnsi="Arial" w:cs="Arial"/>
          <w:b/>
        </w:rPr>
      </w:pPr>
      <w:r w:rsidRPr="00B47391">
        <w:rPr>
          <w:rFonts w:ascii="Arial" w:hAnsi="Arial" w:cs="Arial"/>
          <w:b/>
        </w:rPr>
        <w:t>3.2 Mean Performance</w:t>
      </w:r>
    </w:p>
    <w:p w:rsidR="00B47391" w:rsidRPr="00B47391" w:rsidRDefault="00B47391" w:rsidP="000B4FA0">
      <w:pPr>
        <w:pStyle w:val="Body"/>
        <w:spacing w:after="0"/>
        <w:ind w:firstLine="720"/>
        <w:rPr>
          <w:rFonts w:ascii="Arial" w:hAnsi="Arial" w:cs="Arial"/>
        </w:rPr>
      </w:pPr>
      <w:r w:rsidRPr="00B47391">
        <w:rPr>
          <w:rFonts w:ascii="Arial" w:hAnsi="Arial" w:cs="Arial"/>
        </w:rPr>
        <w:t xml:space="preserve">The average performance of forty genotypes along with mean, CV (%) and CD (5%) are presented in (Table 2). Seed yield per plant recorded a general mean of 19.85 g and the values ranged from 12.00 g (PB-1231) to 40.70 g (PB-15-20). Out of all forty genotypes evaluated, </w:t>
      </w:r>
      <w:proofErr w:type="gramStart"/>
      <w:r w:rsidRPr="00B47391">
        <w:rPr>
          <w:rFonts w:ascii="Arial" w:hAnsi="Arial" w:cs="Arial"/>
        </w:rPr>
        <w:t>twenty four</w:t>
      </w:r>
      <w:proofErr w:type="gramEnd"/>
      <w:r w:rsidRPr="00B47391">
        <w:rPr>
          <w:rFonts w:ascii="Arial" w:hAnsi="Arial" w:cs="Arial"/>
        </w:rPr>
        <w:t xml:space="preserve"> genotypes were below and the remaining sixteen genotypes were above the average value of seed yield per plant. PB-1231 (12.00 g) had the lowest seed yield followed by PB-1457 (12.50 g), PB-1643 (12.70 g) and PB-1349 (12.85 g) whereas PB-15-20 (40.70 g), PB-1 (38.45 g), PB-500 (29.90 g), PB-1627 (29.10 g) </w:t>
      </w:r>
      <w:proofErr w:type="gramStart"/>
      <w:r w:rsidRPr="00B47391">
        <w:rPr>
          <w:rFonts w:ascii="Arial" w:hAnsi="Arial" w:cs="Arial"/>
        </w:rPr>
        <w:t>and  PB</w:t>
      </w:r>
      <w:proofErr w:type="gramEnd"/>
      <w:r w:rsidRPr="00B47391">
        <w:rPr>
          <w:rFonts w:ascii="Arial" w:hAnsi="Arial" w:cs="Arial"/>
        </w:rPr>
        <w:t>-434 (27.75 g) had the higher seed yield.</w:t>
      </w:r>
    </w:p>
    <w:p w:rsidR="000461B6" w:rsidRDefault="000461B6" w:rsidP="008848B7">
      <w:pPr>
        <w:pStyle w:val="Body"/>
        <w:spacing w:after="0"/>
        <w:rPr>
          <w:rFonts w:ascii="Arial" w:hAnsi="Arial" w:cs="Arial"/>
        </w:rPr>
      </w:pPr>
    </w:p>
    <w:p w:rsidR="00502516" w:rsidRPr="008848B7" w:rsidRDefault="00B47391" w:rsidP="008848B7">
      <w:pPr>
        <w:pStyle w:val="Body"/>
        <w:spacing w:after="0"/>
        <w:rPr>
          <w:rFonts w:ascii="Arial" w:hAnsi="Arial" w:cs="Arial"/>
          <w:b/>
          <w:bCs/>
        </w:rPr>
      </w:pPr>
      <w:r>
        <w:rPr>
          <w:rFonts w:ascii="Arial" w:hAnsi="Arial" w:cs="Arial"/>
          <w:b/>
          <w:bCs/>
        </w:rPr>
        <w:t>3.3</w:t>
      </w:r>
      <w:r w:rsidR="008848B7">
        <w:rPr>
          <w:rFonts w:ascii="Arial" w:hAnsi="Arial" w:cs="Arial"/>
          <w:b/>
          <w:bCs/>
        </w:rPr>
        <w:t xml:space="preserve"> Genotypic and Phenotypic c</w:t>
      </w:r>
      <w:r>
        <w:rPr>
          <w:rFonts w:ascii="Arial" w:hAnsi="Arial" w:cs="Arial"/>
          <w:b/>
          <w:bCs/>
        </w:rPr>
        <w:t xml:space="preserve">oefficient of </w:t>
      </w:r>
      <w:r w:rsidR="008848B7" w:rsidRPr="008848B7">
        <w:rPr>
          <w:rFonts w:ascii="Arial" w:hAnsi="Arial" w:cs="Arial"/>
          <w:b/>
          <w:bCs/>
        </w:rPr>
        <w:t>Variation</w:t>
      </w:r>
      <w:r w:rsidR="00502516" w:rsidRPr="008848B7">
        <w:rPr>
          <w:rFonts w:ascii="Arial" w:hAnsi="Arial" w:cs="Arial"/>
          <w:b/>
          <w:bCs/>
        </w:rPr>
        <w:t xml:space="preserve"> </w:t>
      </w:r>
    </w:p>
    <w:p w:rsidR="008848B7" w:rsidRDefault="00B47391" w:rsidP="000B4FA0">
      <w:pPr>
        <w:pStyle w:val="Body"/>
        <w:spacing w:after="0"/>
        <w:ind w:firstLine="720"/>
        <w:rPr>
          <w:rFonts w:ascii="Arial" w:hAnsi="Arial" w:cs="Arial"/>
        </w:rPr>
      </w:pPr>
      <w:r w:rsidRPr="00B47391">
        <w:rPr>
          <w:rFonts w:ascii="Arial" w:hAnsi="Arial" w:cs="Arial"/>
        </w:rPr>
        <w:t xml:space="preserve">The range of genotypic coefficient of variation was smaller compared to phenotypic coefficient of variation. At phenotypic and genotypic </w:t>
      </w:r>
      <w:proofErr w:type="gramStart"/>
      <w:r w:rsidRPr="00B47391">
        <w:rPr>
          <w:rFonts w:ascii="Arial" w:hAnsi="Arial" w:cs="Arial"/>
        </w:rPr>
        <w:t>level</w:t>
      </w:r>
      <w:proofErr w:type="gramEnd"/>
      <w:r w:rsidRPr="00B47391">
        <w:rPr>
          <w:rFonts w:ascii="Arial" w:hAnsi="Arial" w:cs="Arial"/>
        </w:rPr>
        <w:t xml:space="preserve"> the values of PCV and GCV respect</w:t>
      </w:r>
      <w:r w:rsidR="000A0915">
        <w:rPr>
          <w:rFonts w:ascii="Arial" w:hAnsi="Arial" w:cs="Arial"/>
        </w:rPr>
        <w:t>ively were provided in (Table 3)</w:t>
      </w:r>
      <w:r w:rsidRPr="00B47391">
        <w:rPr>
          <w:rFonts w:ascii="Arial" w:hAnsi="Arial" w:cs="Arial"/>
        </w:rPr>
        <w:t xml:space="preserve">. </w:t>
      </w:r>
      <w:r w:rsidR="009D229A">
        <w:rPr>
          <w:rFonts w:ascii="Arial" w:hAnsi="Arial" w:cs="Arial"/>
        </w:rPr>
        <w:t xml:space="preserve">The graphical presentation is mentioned in (Fig. 1). </w:t>
      </w:r>
      <w:r w:rsidRPr="00B47391">
        <w:rPr>
          <w:rFonts w:ascii="Arial" w:hAnsi="Arial" w:cs="Arial"/>
        </w:rPr>
        <w:t xml:space="preserve">The highest value for phenotypic coefficient of variation were noticed in </w:t>
      </w:r>
      <w:proofErr w:type="gramStart"/>
      <w:r w:rsidRPr="00B47391">
        <w:rPr>
          <w:rFonts w:ascii="Arial" w:hAnsi="Arial" w:cs="Arial"/>
        </w:rPr>
        <w:t>trait  seed</w:t>
      </w:r>
      <w:proofErr w:type="gramEnd"/>
      <w:r w:rsidRPr="00B47391">
        <w:rPr>
          <w:rFonts w:ascii="Arial" w:hAnsi="Arial" w:cs="Arial"/>
        </w:rPr>
        <w:t xml:space="preserve"> yield per plant (32.79) followed by hull content (26.45), head diameter (26.16), 100 seed weight (17.50), plant height (16.05), volume weight (14.18), oil content (11.27) and days to 50 per cent flowering (10.13) whereas lower values were noticed in days to maturity (7.17) and </w:t>
      </w:r>
      <w:r w:rsidRPr="00B47391">
        <w:rPr>
          <w:rFonts w:ascii="Arial" w:hAnsi="Arial" w:cs="Arial"/>
        </w:rPr>
        <w:lastRenderedPageBreak/>
        <w:t xml:space="preserve">seed filling (6.46). The amount of variation among the genotypes can be indicated by genotypic coefficient of variation. Genotypic coefficient of variation was higher in seed yield per plant (32.51) followed hull content (26.06), head diameter (24.59), 100 seed weight (17.35), plant height (15.14), volume weight (13.73), oil content (11.05) and days to 50 per cent flowering (9.38) whereas lower values were noticed in days to maturity (6.60) and seed </w:t>
      </w:r>
      <w:proofErr w:type="gramStart"/>
      <w:r w:rsidRPr="00B47391">
        <w:rPr>
          <w:rFonts w:ascii="Arial" w:hAnsi="Arial" w:cs="Arial"/>
        </w:rPr>
        <w:t>filling  (</w:t>
      </w:r>
      <w:proofErr w:type="gramEnd"/>
      <w:r w:rsidRPr="00B47391">
        <w:rPr>
          <w:rFonts w:ascii="Arial" w:hAnsi="Arial" w:cs="Arial"/>
        </w:rPr>
        <w:t xml:space="preserve">5.92). Similar results on variability for different characters were reported by Nandini </w:t>
      </w:r>
      <w:r w:rsidRPr="000B4FA0">
        <w:rPr>
          <w:rFonts w:ascii="Arial" w:hAnsi="Arial" w:cs="Arial"/>
          <w:i/>
        </w:rPr>
        <w:t>et al</w:t>
      </w:r>
      <w:r w:rsidRPr="00B47391">
        <w:rPr>
          <w:rFonts w:ascii="Arial" w:hAnsi="Arial" w:cs="Arial"/>
        </w:rPr>
        <w:t xml:space="preserve">. (2017), Mohamed </w:t>
      </w:r>
      <w:r w:rsidRPr="000B4FA0">
        <w:rPr>
          <w:rFonts w:ascii="Arial" w:hAnsi="Arial" w:cs="Arial"/>
          <w:i/>
        </w:rPr>
        <w:t>et al</w:t>
      </w:r>
      <w:r w:rsidRPr="00B47391">
        <w:rPr>
          <w:rFonts w:ascii="Arial" w:hAnsi="Arial" w:cs="Arial"/>
        </w:rPr>
        <w:t xml:space="preserve">. (2018), Vipul </w:t>
      </w:r>
      <w:r w:rsidRPr="000B4FA0">
        <w:rPr>
          <w:rFonts w:ascii="Arial" w:hAnsi="Arial" w:cs="Arial"/>
          <w:i/>
        </w:rPr>
        <w:t>et al</w:t>
      </w:r>
      <w:r w:rsidRPr="00B47391">
        <w:rPr>
          <w:rFonts w:ascii="Arial" w:hAnsi="Arial" w:cs="Arial"/>
        </w:rPr>
        <w:t xml:space="preserve">. (2018), Reena </w:t>
      </w:r>
      <w:r w:rsidRPr="000B4FA0">
        <w:rPr>
          <w:rFonts w:ascii="Arial" w:hAnsi="Arial" w:cs="Arial"/>
          <w:i/>
        </w:rPr>
        <w:t>et al</w:t>
      </w:r>
      <w:r w:rsidRPr="00B47391">
        <w:rPr>
          <w:rFonts w:ascii="Arial" w:hAnsi="Arial" w:cs="Arial"/>
        </w:rPr>
        <w:t xml:space="preserve">. (2019) and Varalakshmi </w:t>
      </w:r>
      <w:r w:rsidRPr="000B4FA0">
        <w:rPr>
          <w:rFonts w:ascii="Arial" w:hAnsi="Arial" w:cs="Arial"/>
          <w:i/>
        </w:rPr>
        <w:t>et al</w:t>
      </w:r>
      <w:r w:rsidRPr="00B47391">
        <w:rPr>
          <w:rFonts w:ascii="Arial" w:hAnsi="Arial" w:cs="Arial"/>
        </w:rPr>
        <w:t>. (2019).</w:t>
      </w:r>
    </w:p>
    <w:p w:rsidR="00B47391" w:rsidRDefault="00B47391" w:rsidP="00441B6F">
      <w:pPr>
        <w:pStyle w:val="Body"/>
        <w:spacing w:after="0"/>
        <w:rPr>
          <w:rFonts w:ascii="Arial" w:hAnsi="Arial" w:cs="Arial"/>
        </w:rPr>
      </w:pPr>
    </w:p>
    <w:p w:rsidR="008848B7" w:rsidRPr="008848B7" w:rsidRDefault="000461B6" w:rsidP="00441B6F">
      <w:pPr>
        <w:pStyle w:val="Body"/>
        <w:spacing w:after="0"/>
        <w:rPr>
          <w:rFonts w:ascii="Arial" w:hAnsi="Arial" w:cs="Arial"/>
          <w:b/>
          <w:bCs/>
        </w:rPr>
      </w:pPr>
      <w:r>
        <w:rPr>
          <w:rFonts w:ascii="Arial" w:hAnsi="Arial" w:cs="Arial"/>
          <w:b/>
          <w:bCs/>
        </w:rPr>
        <w:t>3.4</w:t>
      </w:r>
      <w:r w:rsidR="008848B7" w:rsidRPr="008848B7">
        <w:rPr>
          <w:rFonts w:ascii="Arial" w:hAnsi="Arial" w:cs="Arial"/>
          <w:b/>
          <w:bCs/>
        </w:rPr>
        <w:t xml:space="preserve"> Heritability and Genetic Advance as per</w:t>
      </w:r>
      <w:r w:rsidR="00E058A9">
        <w:rPr>
          <w:rFonts w:ascii="Arial" w:hAnsi="Arial" w:cs="Arial"/>
          <w:b/>
          <w:bCs/>
        </w:rPr>
        <w:t xml:space="preserve"> </w:t>
      </w:r>
      <w:r w:rsidR="008848B7" w:rsidRPr="008848B7">
        <w:rPr>
          <w:rFonts w:ascii="Arial" w:hAnsi="Arial" w:cs="Arial"/>
          <w:b/>
          <w:bCs/>
        </w:rPr>
        <w:t>cent of mean</w:t>
      </w:r>
    </w:p>
    <w:p w:rsidR="00B47391" w:rsidRPr="00B47391" w:rsidRDefault="00B47391" w:rsidP="000B4FA0">
      <w:pPr>
        <w:pStyle w:val="Body"/>
        <w:ind w:firstLine="720"/>
        <w:rPr>
          <w:rFonts w:ascii="Arial" w:hAnsi="Arial" w:cs="Arial"/>
        </w:rPr>
      </w:pPr>
      <w:r w:rsidRPr="00B47391">
        <w:rPr>
          <w:rFonts w:ascii="Arial" w:hAnsi="Arial" w:cs="Arial"/>
        </w:rPr>
        <w:t>The estimates of heritability and expected genetic advance for various characters studied are shown in (Table 3)</w:t>
      </w:r>
      <w:r w:rsidR="009D229A">
        <w:rPr>
          <w:rFonts w:ascii="Arial" w:hAnsi="Arial" w:cs="Arial"/>
        </w:rPr>
        <w:t xml:space="preserve"> and (Fig.1)</w:t>
      </w:r>
      <w:r w:rsidRPr="00B47391">
        <w:rPr>
          <w:rFonts w:ascii="Arial" w:hAnsi="Arial" w:cs="Arial"/>
        </w:rPr>
        <w:t xml:space="preserve">. For the ten characters under the investigation heritability ranged from 83.80 % for seed filling to 98.34 % for 100 seed weight. The heritability estimates (broad sense) were high for 100 seed weight (98.34%) followed by seed yield per plant (98.31%), hull content (97.07%), oil content (96.15%), volume weight (93.73%), plant height (89.00%), head diameter (88.37%), days to 50 per cent flowering (85.79%), days to </w:t>
      </w:r>
      <w:proofErr w:type="gramStart"/>
      <w:r w:rsidRPr="00B47391">
        <w:rPr>
          <w:rFonts w:ascii="Arial" w:hAnsi="Arial" w:cs="Arial"/>
        </w:rPr>
        <w:t>maturity(</w:t>
      </w:r>
      <w:proofErr w:type="gramEnd"/>
      <w:r w:rsidRPr="00B47391">
        <w:rPr>
          <w:rFonts w:ascii="Arial" w:hAnsi="Arial" w:cs="Arial"/>
        </w:rPr>
        <w:t>84.68%) and seed filling (83.80%). Higher estimates of genetic advance were observed for plant height (35.59) followed by seed yield per plant (13.18), hull content (11.98), days to maturity (11.75), days to 50 per cent flowering (11.06), volume weight (10.08), seed filling (8.38), oil content (7.45), head diameter (5.71), while least genetic advance recorded for 100 seed weight (1.91).</w:t>
      </w:r>
    </w:p>
    <w:p w:rsidR="00E058A9" w:rsidRDefault="00B47391" w:rsidP="000B4FA0">
      <w:pPr>
        <w:pStyle w:val="Body"/>
        <w:spacing w:after="0"/>
        <w:ind w:firstLine="720"/>
        <w:rPr>
          <w:rFonts w:ascii="Arial" w:hAnsi="Arial" w:cs="Arial"/>
        </w:rPr>
      </w:pPr>
      <w:r w:rsidRPr="00B47391">
        <w:rPr>
          <w:rFonts w:ascii="Arial" w:hAnsi="Arial" w:cs="Arial"/>
        </w:rPr>
        <w:t xml:space="preserve">High heritability with high genetic advance was reported for plant height, head diameter, 100 seed weight, volume weight, seed yield per plant, hull content and oil content, whereas high heritability accompanied with low genetic advance were found in rest of the characters like Days to 50 per cent flowering, days to maturity and seed filling percentage. Similar results were reported by Sujatha </w:t>
      </w:r>
      <w:r w:rsidRPr="000B4FA0">
        <w:rPr>
          <w:rFonts w:ascii="Arial" w:hAnsi="Arial" w:cs="Arial"/>
          <w:i/>
        </w:rPr>
        <w:t>et al</w:t>
      </w:r>
      <w:r w:rsidRPr="00B47391">
        <w:rPr>
          <w:rFonts w:ascii="Arial" w:hAnsi="Arial" w:cs="Arial"/>
        </w:rPr>
        <w:t xml:space="preserve">. (2002) for plant height and seed yield per plant. Arshad </w:t>
      </w:r>
      <w:r w:rsidRPr="000B4FA0">
        <w:rPr>
          <w:rFonts w:ascii="Arial" w:hAnsi="Arial" w:cs="Arial"/>
          <w:i/>
        </w:rPr>
        <w:t>et al</w:t>
      </w:r>
      <w:r w:rsidRPr="00B47391">
        <w:rPr>
          <w:rFonts w:ascii="Arial" w:hAnsi="Arial" w:cs="Arial"/>
        </w:rPr>
        <w:t xml:space="preserve">. (2010) for days to flower initiation, days to maturity, plant height and seed yield. </w:t>
      </w:r>
      <w:proofErr w:type="spellStart"/>
      <w:r w:rsidRPr="00B47391">
        <w:rPr>
          <w:rFonts w:ascii="Arial" w:hAnsi="Arial" w:cs="Arial"/>
        </w:rPr>
        <w:t>Kalukhe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(2010) also reported similar results for seed yield per plant, oil content and plant height.</w:t>
      </w:r>
    </w:p>
    <w:p w:rsidR="00B47391" w:rsidRDefault="00B47391" w:rsidP="00B47391">
      <w:pPr>
        <w:pStyle w:val="Body"/>
        <w:spacing w:after="0"/>
        <w:rPr>
          <w:rFonts w:ascii="Arial" w:hAnsi="Arial" w:cs="Arial"/>
        </w:rPr>
      </w:pPr>
    </w:p>
    <w:p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0461B6" w:rsidRDefault="000461B6" w:rsidP="000B4FA0">
      <w:pPr>
        <w:pStyle w:val="ReferHead"/>
        <w:spacing w:after="0"/>
        <w:ind w:firstLine="720"/>
        <w:jc w:val="both"/>
        <w:rPr>
          <w:rFonts w:ascii="Arial" w:hAnsi="Arial" w:cs="Arial"/>
          <w:b w:val="0"/>
          <w:caps w:val="0"/>
          <w:sz w:val="20"/>
        </w:rPr>
      </w:pPr>
      <w:r w:rsidRPr="000461B6">
        <w:rPr>
          <w:rFonts w:ascii="Arial" w:hAnsi="Arial" w:cs="Arial"/>
          <w:b w:val="0"/>
          <w:caps w:val="0"/>
          <w:sz w:val="20"/>
        </w:rPr>
        <w:t>The results of the present study indicate that there was considerable genetic variability among the genotypes for most of the traits examined. Considerable variation was observed in the heritability estimates across all the traits under investigation. The highest genetic advance in absolute terms was recorded for plant height and seed yield per plant suggesting substantial scope for improvement through selection. High heritability estimates accompanied with high genetic advance as a percentage of the mean were observed for traits such as seed yield per plant, plant height, head diameter, 100 seed weight and oil content. This combination suggests that the expression of these traits is primarily governed by additive gene effects. Consequently, selection based on these traits is likely to be effective leading to significant genetic improvement in subsequent generations.</w:t>
      </w:r>
    </w:p>
    <w:p w:rsidR="000461B6" w:rsidRDefault="000461B6"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B92FC2" w:rsidRPr="00B92FC2" w:rsidRDefault="00694A87" w:rsidP="00B92FC2">
      <w:pPr>
        <w:pStyle w:val="Body"/>
        <w:spacing w:before="120" w:after="120"/>
        <w:ind w:left="567" w:hanging="567"/>
        <w:rPr>
          <w:rStyle w:val="Strong"/>
          <w:rFonts w:ascii="Arial" w:hAnsi="Arial" w:cs="Arial"/>
          <w:b w:val="0"/>
          <w:bCs w:val="0"/>
          <w:i/>
          <w:iCs/>
        </w:rPr>
      </w:pPr>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w:t>
      </w:r>
      <w:r w:rsidR="00A036E2">
        <w:rPr>
          <w:rStyle w:val="Strong"/>
          <w:rFonts w:ascii="Arial" w:hAnsi="Arial" w:cs="Arial"/>
          <w:b w:val="0"/>
          <w:bCs w:val="0"/>
        </w:rPr>
        <w:t>ics at a Glance 2023-24</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rsidR="00676E64" w:rsidRPr="00676E64" w:rsidRDefault="00676E64" w:rsidP="003D2B14">
      <w:pPr>
        <w:pStyle w:val="Body"/>
        <w:spacing w:before="120" w:after="120"/>
        <w:ind w:left="567" w:hanging="567"/>
        <w:rPr>
          <w:rStyle w:val="Strong"/>
          <w:rFonts w:ascii="Arial" w:hAnsi="Arial" w:cs="Arial"/>
          <w:b w:val="0"/>
          <w:bCs w:val="0"/>
        </w:rPr>
      </w:pPr>
      <w:proofErr w:type="spellStart"/>
      <w:r w:rsidRPr="00676E64">
        <w:rPr>
          <w:rStyle w:val="Strong"/>
          <w:rFonts w:ascii="Arial" w:hAnsi="Arial" w:cs="Arial"/>
          <w:b w:val="0"/>
          <w:bCs w:val="0"/>
        </w:rPr>
        <w:t>Panse</w:t>
      </w:r>
      <w:proofErr w:type="spellEnd"/>
      <w:r w:rsidRPr="00676E64">
        <w:rPr>
          <w:rStyle w:val="Strong"/>
          <w:rFonts w:ascii="Arial" w:hAnsi="Arial" w:cs="Arial"/>
          <w:b w:val="0"/>
          <w:bCs w:val="0"/>
        </w:rPr>
        <w:t xml:space="preserve">, V. G. and </w:t>
      </w:r>
      <w:proofErr w:type="spellStart"/>
      <w:r w:rsidRPr="00676E64">
        <w:rPr>
          <w:rStyle w:val="Strong"/>
          <w:rFonts w:ascii="Arial" w:hAnsi="Arial" w:cs="Arial"/>
          <w:b w:val="0"/>
          <w:bCs w:val="0"/>
        </w:rPr>
        <w:t>Sukhatme</w:t>
      </w:r>
      <w:proofErr w:type="spellEnd"/>
      <w:r w:rsidRPr="00676E64">
        <w:rPr>
          <w:rStyle w:val="Strong"/>
          <w:rFonts w:ascii="Arial" w:hAnsi="Arial" w:cs="Arial"/>
          <w:b w:val="0"/>
          <w:bCs w:val="0"/>
        </w:rPr>
        <w:t>, P. V. (1985). Statistical Methods for Agricultural Workers. ICAR, New Delhi, pp. 359.</w:t>
      </w:r>
    </w:p>
    <w:p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r w:rsidRPr="00676E64">
        <w:rPr>
          <w:rStyle w:val="Strong"/>
          <w:rFonts w:ascii="Arial" w:hAnsi="Arial" w:cs="Arial"/>
          <w:b w:val="0"/>
          <w:bCs w:val="0"/>
          <w:i/>
          <w:iCs/>
        </w:rPr>
        <w:t xml:space="preserve">Festuca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lastRenderedPageBreak/>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Makane</w:t>
      </w:r>
      <w:proofErr w:type="spellEnd"/>
      <w:r w:rsidRPr="00A036E2">
        <w:rPr>
          <w:rStyle w:val="Strong"/>
          <w:rFonts w:ascii="Arial" w:hAnsi="Arial" w:cs="Arial"/>
          <w:b w:val="0"/>
          <w:bCs w:val="0"/>
        </w:rPr>
        <w:t xml:space="preserve">, V. G., Shinde, C. A., </w:t>
      </w:r>
      <w:proofErr w:type="spellStart"/>
      <w:r w:rsidRPr="00A036E2">
        <w:rPr>
          <w:rStyle w:val="Strong"/>
          <w:rFonts w:ascii="Arial" w:hAnsi="Arial" w:cs="Arial"/>
          <w:b w:val="0"/>
          <w:bCs w:val="0"/>
        </w:rPr>
        <w:t>Mohrir</w:t>
      </w:r>
      <w:proofErr w:type="spellEnd"/>
      <w:r w:rsidRPr="00A036E2">
        <w:rPr>
          <w:rStyle w:val="Strong"/>
          <w:rFonts w:ascii="Arial" w:hAnsi="Arial" w:cs="Arial"/>
          <w:b w:val="0"/>
          <w:bCs w:val="0"/>
        </w:rPr>
        <w:t>, M. N. &amp; Shaikh, M. S. A. M. A. M. (2011). Genetic variability studies in new versions of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proofErr w:type="spellStart"/>
      <w:r w:rsidRPr="000A0915">
        <w:rPr>
          <w:rStyle w:val="Strong"/>
          <w:rFonts w:ascii="Arial" w:hAnsi="Arial" w:cs="Arial"/>
          <w:b w:val="0"/>
          <w:bCs w:val="0"/>
          <w:i/>
        </w:rPr>
        <w:t>Bioinfolet</w:t>
      </w:r>
      <w:proofErr w:type="spellEnd"/>
      <w:r w:rsidRPr="000A0915">
        <w:rPr>
          <w:rStyle w:val="Strong"/>
          <w:rFonts w:ascii="Arial" w:hAnsi="Arial" w:cs="Arial"/>
          <w:b w:val="0"/>
          <w:bCs w:val="0"/>
          <w:i/>
        </w:rPr>
        <w:t>,</w:t>
      </w:r>
      <w:r w:rsidRPr="00A036E2">
        <w:rPr>
          <w:rStyle w:val="Strong"/>
          <w:rFonts w:ascii="Arial" w:hAnsi="Arial" w:cs="Arial"/>
          <w:b w:val="0"/>
          <w:bCs w:val="0"/>
        </w:rPr>
        <w:t xml:space="preserve"> 8(1), 44–51.</w:t>
      </w:r>
    </w:p>
    <w:p w:rsidR="000F28BC" w:rsidRDefault="000F28BC" w:rsidP="000F28BC">
      <w:pPr>
        <w:pStyle w:val="Body"/>
        <w:spacing w:before="120" w:after="120"/>
        <w:ind w:left="567" w:hanging="567"/>
        <w:rPr>
          <w:rStyle w:val="Strong"/>
          <w:rFonts w:ascii="Arial" w:hAnsi="Arial" w:cs="Arial"/>
          <w:b w:val="0"/>
          <w:bCs w:val="0"/>
        </w:rPr>
      </w:pPr>
      <w:proofErr w:type="spellStart"/>
      <w:r w:rsidRPr="000F28BC">
        <w:rPr>
          <w:rStyle w:val="Strong"/>
          <w:rFonts w:ascii="Arial" w:hAnsi="Arial" w:cs="Arial"/>
          <w:b w:val="0"/>
          <w:bCs w:val="0"/>
        </w:rPr>
        <w:t>Neelima</w:t>
      </w:r>
      <w:proofErr w:type="spellEnd"/>
      <w:r w:rsidRPr="000F28BC">
        <w:rPr>
          <w:rStyle w:val="Strong"/>
          <w:rFonts w:ascii="Arial" w:hAnsi="Arial" w:cs="Arial"/>
          <w:b w:val="0"/>
          <w:bCs w:val="0"/>
        </w:rPr>
        <w:t xml:space="preserve">, S., Ashok, K., </w:t>
      </w:r>
      <w:proofErr w:type="spellStart"/>
      <w:r w:rsidRPr="000F28BC">
        <w:rPr>
          <w:rStyle w:val="Strong"/>
          <w:rFonts w:ascii="Arial" w:hAnsi="Arial" w:cs="Arial"/>
          <w:b w:val="0"/>
          <w:bCs w:val="0"/>
        </w:rPr>
        <w:t>Venkataramanamma</w:t>
      </w:r>
      <w:proofErr w:type="spellEnd"/>
      <w:r w:rsidR="000A0915">
        <w:rPr>
          <w:rStyle w:val="Strong"/>
          <w:rFonts w:ascii="Arial" w:hAnsi="Arial" w:cs="Arial"/>
          <w:b w:val="0"/>
          <w:bCs w:val="0"/>
        </w:rPr>
        <w:t>, K.</w:t>
      </w:r>
      <w:r w:rsidRPr="000F28BC">
        <w:rPr>
          <w:rStyle w:val="Strong"/>
          <w:rFonts w:ascii="Arial" w:hAnsi="Arial" w:cs="Arial"/>
          <w:b w:val="0"/>
          <w:bCs w:val="0"/>
        </w:rPr>
        <w:t xml:space="preserve"> &amp; </w:t>
      </w:r>
      <w:proofErr w:type="spellStart"/>
      <w:r w:rsidRPr="000F28BC">
        <w:rPr>
          <w:rStyle w:val="Strong"/>
          <w:rFonts w:ascii="Arial" w:hAnsi="Arial" w:cs="Arial"/>
          <w:b w:val="0"/>
          <w:bCs w:val="0"/>
        </w:rPr>
        <w:t>Padmalatha</w:t>
      </w:r>
      <w:proofErr w:type="spellEnd"/>
      <w:r w:rsidRPr="000F28BC">
        <w:rPr>
          <w:rStyle w:val="Strong"/>
          <w:rFonts w:ascii="Arial" w:hAnsi="Arial" w:cs="Arial"/>
          <w:b w:val="0"/>
          <w:bCs w:val="0"/>
        </w:rPr>
        <w:t xml:space="preserve">,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Sujatha, H. L., &amp; </w:t>
      </w:r>
      <w:proofErr w:type="spellStart"/>
      <w:r w:rsidRPr="00A036E2">
        <w:rPr>
          <w:rStyle w:val="Strong"/>
          <w:rFonts w:ascii="Arial" w:hAnsi="Arial" w:cs="Arial"/>
          <w:b w:val="0"/>
          <w:bCs w:val="0"/>
        </w:rPr>
        <w:t>Chikkadevaiah</w:t>
      </w:r>
      <w:proofErr w:type="spellEnd"/>
      <w:r w:rsidRPr="00A036E2">
        <w:rPr>
          <w:rStyle w:val="Strong"/>
          <w:rFonts w:ascii="Arial" w:hAnsi="Arial" w:cs="Arial"/>
          <w:b w:val="0"/>
          <w:bCs w:val="0"/>
        </w:rPr>
        <w:t xml:space="preserve">, N. (2014). Genetic variability study in sunflower </w:t>
      </w:r>
      <w:proofErr w:type="spellStart"/>
      <w:r w:rsidRPr="00A036E2">
        <w:rPr>
          <w:rStyle w:val="Strong"/>
          <w:rFonts w:ascii="Arial" w:hAnsi="Arial" w:cs="Arial"/>
          <w:b w:val="0"/>
          <w:bCs w:val="0"/>
        </w:rPr>
        <w:t>inbreds</w:t>
      </w:r>
      <w:proofErr w:type="spellEnd"/>
      <w:r w:rsidRPr="00A036E2">
        <w:rPr>
          <w:rStyle w:val="Strong"/>
          <w:rFonts w:ascii="Arial" w:hAnsi="Arial" w:cs="Arial"/>
          <w:b w:val="0"/>
          <w:bCs w:val="0"/>
        </w:rPr>
        <w:t xml:space="preserve">. </w:t>
      </w:r>
      <w:proofErr w:type="spellStart"/>
      <w:r w:rsidRPr="00A036E2">
        <w:rPr>
          <w:rStyle w:val="Strong"/>
          <w:rFonts w:ascii="Arial" w:hAnsi="Arial" w:cs="Arial"/>
          <w:b w:val="0"/>
          <w:bCs w:val="0"/>
        </w:rPr>
        <w:t>Helia</w:t>
      </w:r>
      <w:proofErr w:type="spellEnd"/>
      <w:r w:rsidRPr="00A036E2">
        <w:rPr>
          <w:rStyle w:val="Strong"/>
          <w:rFonts w:ascii="Arial" w:hAnsi="Arial" w:cs="Arial"/>
          <w:b w:val="0"/>
          <w:bCs w:val="0"/>
        </w:rPr>
        <w:t>, 25(37), 93–100.</w:t>
      </w:r>
    </w:p>
    <w:p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Supriya</w:t>
      </w:r>
      <w:proofErr w:type="spellEnd"/>
      <w:r w:rsidRPr="00A036E2">
        <w:rPr>
          <w:rStyle w:val="Strong"/>
          <w:rFonts w:ascii="Arial" w:hAnsi="Arial" w:cs="Arial"/>
          <w:b w:val="0"/>
          <w:bCs w:val="0"/>
        </w:rPr>
        <w:t xml:space="preserve">, V., Kulkarni, V. V., </w:t>
      </w:r>
      <w:proofErr w:type="spellStart"/>
      <w:r w:rsidRPr="00A036E2">
        <w:rPr>
          <w:rStyle w:val="Strong"/>
          <w:rFonts w:ascii="Arial" w:hAnsi="Arial" w:cs="Arial"/>
          <w:b w:val="0"/>
          <w:bCs w:val="0"/>
        </w:rPr>
        <w:t>Shanker</w:t>
      </w:r>
      <w:proofErr w:type="spellEnd"/>
      <w:r w:rsidRPr="00A036E2">
        <w:rPr>
          <w:rStyle w:val="Strong"/>
          <w:rFonts w:ascii="Arial" w:hAnsi="Arial" w:cs="Arial"/>
          <w:b w:val="0"/>
          <w:bCs w:val="0"/>
        </w:rPr>
        <w:t xml:space="preserve">, I. G., </w:t>
      </w:r>
      <w:proofErr w:type="spellStart"/>
      <w:r w:rsidRPr="00A036E2">
        <w:rPr>
          <w:rStyle w:val="Strong"/>
          <w:rFonts w:ascii="Arial" w:hAnsi="Arial" w:cs="Arial"/>
          <w:b w:val="0"/>
          <w:bCs w:val="0"/>
        </w:rPr>
        <w:t>Lokesha</w:t>
      </w:r>
      <w:proofErr w:type="spellEnd"/>
      <w:r w:rsidRPr="00A036E2">
        <w:rPr>
          <w:rStyle w:val="Strong"/>
          <w:rFonts w:ascii="Arial" w:hAnsi="Arial" w:cs="Arial"/>
          <w:b w:val="0"/>
          <w:bCs w:val="0"/>
        </w:rPr>
        <w:t xml:space="preserve">, R. &amp; </w:t>
      </w:r>
      <w:proofErr w:type="spellStart"/>
      <w:r w:rsidRPr="00A036E2">
        <w:rPr>
          <w:rStyle w:val="Strong"/>
          <w:rFonts w:ascii="Arial" w:hAnsi="Arial" w:cs="Arial"/>
          <w:b w:val="0"/>
          <w:bCs w:val="0"/>
        </w:rPr>
        <w:t>Govindappa</w:t>
      </w:r>
      <w:proofErr w:type="spellEnd"/>
      <w:r w:rsidRPr="00A036E2">
        <w:rPr>
          <w:rStyle w:val="Strong"/>
          <w:rFonts w:ascii="Arial" w:hAnsi="Arial" w:cs="Arial"/>
          <w:b w:val="0"/>
          <w:bCs w:val="0"/>
        </w:rPr>
        <w:t>, M. R. (2016). Genetic variability studies for yield and yield components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Electronic Journal of Plant Breeding, 7(3), 737-741</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Nandini, C., </w:t>
      </w:r>
      <w:proofErr w:type="spellStart"/>
      <w:r w:rsidRPr="00A036E2">
        <w:rPr>
          <w:rStyle w:val="Strong"/>
          <w:rFonts w:ascii="Arial" w:hAnsi="Arial" w:cs="Arial"/>
          <w:b w:val="0"/>
          <w:bCs w:val="0"/>
        </w:rPr>
        <w:t>Shadakshari</w:t>
      </w:r>
      <w:proofErr w:type="spellEnd"/>
      <w:r w:rsidRPr="00A036E2">
        <w:rPr>
          <w:rStyle w:val="Strong"/>
          <w:rFonts w:ascii="Arial" w:hAnsi="Arial" w:cs="Arial"/>
          <w:b w:val="0"/>
          <w:bCs w:val="0"/>
        </w:rPr>
        <w:t xml:space="preserve">, Y. G., Pushpa, D., </w:t>
      </w:r>
      <w:proofErr w:type="spellStart"/>
      <w:r w:rsidRPr="00A036E2">
        <w:rPr>
          <w:rStyle w:val="Strong"/>
          <w:rFonts w:ascii="Arial" w:hAnsi="Arial" w:cs="Arial"/>
          <w:b w:val="0"/>
          <w:bCs w:val="0"/>
        </w:rPr>
        <w:t>Puttarangaswamy</w:t>
      </w:r>
      <w:proofErr w:type="spellEnd"/>
      <w:r w:rsidRPr="00A036E2">
        <w:rPr>
          <w:rStyle w:val="Strong"/>
          <w:rFonts w:ascii="Arial" w:hAnsi="Arial" w:cs="Arial"/>
          <w:b w:val="0"/>
          <w:bCs w:val="0"/>
        </w:rPr>
        <w:t>, K. T. &amp; Kumar, V. (2017). Genetic diversity analysis in diversified CMS and restorer lines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xml:space="preserve"> 6(10), 3185–3189.</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Mohamed, E., </w:t>
      </w:r>
      <w:proofErr w:type="spellStart"/>
      <w:r w:rsidRPr="00A036E2">
        <w:rPr>
          <w:rStyle w:val="Strong"/>
          <w:rFonts w:ascii="Arial" w:hAnsi="Arial" w:cs="Arial"/>
          <w:b w:val="0"/>
          <w:bCs w:val="0"/>
        </w:rPr>
        <w:t>Fadlalla</w:t>
      </w:r>
      <w:proofErr w:type="spellEnd"/>
      <w:r w:rsidRPr="00A036E2">
        <w:rPr>
          <w:rStyle w:val="Strong"/>
          <w:rFonts w:ascii="Arial" w:hAnsi="Arial" w:cs="Arial"/>
          <w:b w:val="0"/>
          <w:bCs w:val="0"/>
        </w:rPr>
        <w:t xml:space="preserve">, H., Abdel, W. H. &amp; </w:t>
      </w:r>
      <w:proofErr w:type="spellStart"/>
      <w:r w:rsidRPr="00A036E2">
        <w:rPr>
          <w:rStyle w:val="Strong"/>
          <w:rFonts w:ascii="Arial" w:hAnsi="Arial" w:cs="Arial"/>
          <w:b w:val="0"/>
          <w:bCs w:val="0"/>
        </w:rPr>
        <w:t>Murwan</w:t>
      </w:r>
      <w:proofErr w:type="spellEnd"/>
      <w:r w:rsidRPr="00A036E2">
        <w:rPr>
          <w:rStyle w:val="Strong"/>
          <w:rFonts w:ascii="Arial" w:hAnsi="Arial" w:cs="Arial"/>
          <w:b w:val="0"/>
          <w:bCs w:val="0"/>
        </w:rPr>
        <w:t>, K. (2018). Genotypic variability in some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hybrids evaluated in </w:t>
      </w:r>
      <w:proofErr w:type="spellStart"/>
      <w:r w:rsidRPr="00A036E2">
        <w:rPr>
          <w:rStyle w:val="Strong"/>
          <w:rFonts w:ascii="Arial" w:hAnsi="Arial" w:cs="Arial"/>
          <w:b w:val="0"/>
          <w:bCs w:val="0"/>
        </w:rPr>
        <w:t>Khordunia</w:t>
      </w:r>
      <w:proofErr w:type="spellEnd"/>
      <w:r w:rsidRPr="00A036E2">
        <w:rPr>
          <w:rStyle w:val="Strong"/>
          <w:rFonts w:ascii="Arial" w:hAnsi="Arial" w:cs="Arial"/>
          <w:b w:val="0"/>
          <w:bCs w:val="0"/>
        </w:rPr>
        <w:t xml:space="preserve"> under rainfed conditions. </w:t>
      </w:r>
      <w:r w:rsidRPr="000A0915">
        <w:rPr>
          <w:rStyle w:val="Strong"/>
          <w:rFonts w:ascii="Arial" w:hAnsi="Arial" w:cs="Arial"/>
          <w:b w:val="0"/>
          <w:bCs w:val="0"/>
          <w:i/>
        </w:rPr>
        <w:t>African Journal of Agricultural Research</w:t>
      </w:r>
      <w:r w:rsidRPr="00A036E2">
        <w:rPr>
          <w:rStyle w:val="Strong"/>
          <w:rFonts w:ascii="Arial" w:hAnsi="Arial" w:cs="Arial"/>
          <w:b w:val="0"/>
          <w:bCs w:val="0"/>
        </w:rPr>
        <w:t>, 13, 844–850.</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Vipul, B. &amp; Patel, H. (2018). Genetic variability, heritability and genetic advance for seed yield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7(9), 2141–2143.</w:t>
      </w:r>
    </w:p>
    <w:p w:rsidR="00A036E2" w:rsidRPr="000F28BC"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Reena, R., </w:t>
      </w:r>
      <w:proofErr w:type="spellStart"/>
      <w:r w:rsidRPr="00A036E2">
        <w:rPr>
          <w:rStyle w:val="Strong"/>
          <w:rFonts w:ascii="Arial" w:hAnsi="Arial" w:cs="Arial"/>
          <w:b w:val="0"/>
          <w:bCs w:val="0"/>
        </w:rPr>
        <w:t>Sheoran</w:t>
      </w:r>
      <w:proofErr w:type="spellEnd"/>
      <w:r w:rsidRPr="00A036E2">
        <w:rPr>
          <w:rStyle w:val="Strong"/>
          <w:rFonts w:ascii="Arial" w:hAnsi="Arial" w:cs="Arial"/>
          <w:b w:val="0"/>
          <w:bCs w:val="0"/>
        </w:rPr>
        <w:t>, R. &amp; Sharma, B. (2019). Studies on variability, heritability and genetic advance for quantitative traits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genotypes.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8(2), 491–493.</w:t>
      </w:r>
    </w:p>
    <w:p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w:t>
      </w:r>
      <w:r w:rsidR="000A0915">
        <w:rPr>
          <w:rStyle w:val="Strong"/>
          <w:rFonts w:ascii="Arial" w:hAnsi="Arial" w:cs="Arial"/>
          <w:b w:val="0"/>
          <w:bCs w:val="0"/>
        </w:rPr>
        <w:t xml:space="preserve">, K., </w:t>
      </w:r>
      <w:proofErr w:type="spellStart"/>
      <w:r w:rsidR="000A0915">
        <w:rPr>
          <w:rStyle w:val="Strong"/>
          <w:rFonts w:ascii="Arial" w:hAnsi="Arial" w:cs="Arial"/>
          <w:b w:val="0"/>
          <w:bCs w:val="0"/>
        </w:rPr>
        <w:t>Neelima</w:t>
      </w:r>
      <w:proofErr w:type="spellEnd"/>
      <w:r w:rsidR="000A0915">
        <w:rPr>
          <w:rStyle w:val="Strong"/>
          <w:rFonts w:ascii="Arial" w:hAnsi="Arial" w:cs="Arial"/>
          <w:b w:val="0"/>
          <w:bCs w:val="0"/>
        </w:rPr>
        <w:t>, S., Reddy, R. N.</w:t>
      </w:r>
      <w:r w:rsidRPr="000F28BC">
        <w:rPr>
          <w:rStyle w:val="Strong"/>
          <w:rFonts w:ascii="Arial" w:hAnsi="Arial" w:cs="Arial"/>
          <w:b w:val="0"/>
          <w:bCs w:val="0"/>
        </w:rPr>
        <w:t xml:space="preserve"> &amp; </w:t>
      </w:r>
      <w:proofErr w:type="spellStart"/>
      <w:r w:rsidRPr="000F28BC">
        <w:rPr>
          <w:rStyle w:val="Strong"/>
          <w:rFonts w:ascii="Arial" w:hAnsi="Arial" w:cs="Arial"/>
          <w:b w:val="0"/>
          <w:bCs w:val="0"/>
        </w:rPr>
        <w:t>Sreenivasulu</w:t>
      </w:r>
      <w:proofErr w:type="spellEnd"/>
      <w:r w:rsidRPr="000F28BC">
        <w:rPr>
          <w:rStyle w:val="Strong"/>
          <w:rFonts w:ascii="Arial" w:hAnsi="Arial" w:cs="Arial"/>
          <w:b w:val="0"/>
          <w:bCs w:val="0"/>
        </w:rPr>
        <w:t>, K. N. (2019). Genetic variability studies for yield and its component traits in newly developed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0F28BC">
        <w:rPr>
          <w:rStyle w:val="Strong"/>
          <w:rFonts w:ascii="Arial" w:hAnsi="Arial" w:cs="Arial"/>
          <w:b w:val="0"/>
          <w:bCs w:val="0"/>
        </w:rPr>
        <w:t xml:space="preserve">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Nandini. (2002). Genetic variability study in sunflower </w:t>
      </w:r>
      <w:proofErr w:type="spellStart"/>
      <w:r w:rsidRPr="000F28BC">
        <w:rPr>
          <w:rStyle w:val="Strong"/>
          <w:rFonts w:ascii="Arial" w:hAnsi="Arial" w:cs="Arial"/>
          <w:b w:val="0"/>
          <w:bCs w:val="0"/>
        </w:rPr>
        <w:t>inbreds</w:t>
      </w:r>
      <w:proofErr w:type="spellEnd"/>
      <w:r w:rsidRPr="000F28BC">
        <w:rPr>
          <w:rStyle w:val="Strong"/>
          <w:rFonts w:ascii="Arial" w:hAnsi="Arial" w:cs="Arial"/>
          <w:b w:val="0"/>
          <w:bCs w:val="0"/>
        </w:rPr>
        <w:t xml:space="preserve">. </w:t>
      </w:r>
      <w:r w:rsidRPr="000F28BC">
        <w:rPr>
          <w:rStyle w:val="Strong"/>
          <w:rFonts w:ascii="Arial" w:hAnsi="Arial" w:cs="Arial"/>
          <w:b w:val="0"/>
          <w:bCs w:val="0"/>
          <w:i/>
          <w:iCs/>
        </w:rPr>
        <w:t>HELIA</w:t>
      </w:r>
      <w:r w:rsidRPr="000F28BC">
        <w:rPr>
          <w:rStyle w:val="Strong"/>
          <w:rFonts w:ascii="Arial" w:hAnsi="Arial" w:cs="Arial"/>
          <w:b w:val="0"/>
          <w:bCs w:val="0"/>
        </w:rPr>
        <w:t>, 25(37), 93-100.</w:t>
      </w:r>
    </w:p>
    <w:p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Arshad, M., Khan, M. A., </w:t>
      </w:r>
      <w:proofErr w:type="spellStart"/>
      <w:r w:rsidRPr="00A036E2">
        <w:rPr>
          <w:rStyle w:val="Strong"/>
          <w:rFonts w:ascii="Arial" w:hAnsi="Arial" w:cs="Arial"/>
          <w:b w:val="0"/>
          <w:bCs w:val="0"/>
        </w:rPr>
        <w:t>Jadoon</w:t>
      </w:r>
      <w:proofErr w:type="spellEnd"/>
      <w:r w:rsidRPr="00A036E2">
        <w:rPr>
          <w:rStyle w:val="Strong"/>
          <w:rFonts w:ascii="Arial" w:hAnsi="Arial" w:cs="Arial"/>
          <w:b w:val="0"/>
          <w:bCs w:val="0"/>
        </w:rPr>
        <w:t>,</w:t>
      </w:r>
      <w:r w:rsidR="000A0915">
        <w:rPr>
          <w:rStyle w:val="Strong"/>
          <w:rFonts w:ascii="Arial" w:hAnsi="Arial" w:cs="Arial"/>
          <w:b w:val="0"/>
          <w:bCs w:val="0"/>
        </w:rPr>
        <w:t xml:space="preserve"> S. A. &amp; Mohmand, A. S. (2010). </w:t>
      </w:r>
      <w:r w:rsidRPr="00A036E2">
        <w:rPr>
          <w:rStyle w:val="Strong"/>
          <w:rFonts w:ascii="Arial" w:hAnsi="Arial" w:cs="Arial"/>
          <w:b w:val="0"/>
          <w:bCs w:val="0"/>
        </w:rPr>
        <w:t>Factor analysis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A036E2">
        <w:rPr>
          <w:rStyle w:val="Strong"/>
          <w:rFonts w:ascii="Arial" w:hAnsi="Arial" w:cs="Arial"/>
          <w:b w:val="0"/>
          <w:bCs w:val="0"/>
        </w:rPr>
        <w:t xml:space="preserve"> L.) to</w:t>
      </w:r>
      <w:r w:rsidR="000A0915">
        <w:rPr>
          <w:rStyle w:val="Strong"/>
          <w:rFonts w:ascii="Arial" w:hAnsi="Arial" w:cs="Arial"/>
          <w:b w:val="0"/>
          <w:bCs w:val="0"/>
        </w:rPr>
        <w:t xml:space="preserve"> investigate desirable hybrids. </w:t>
      </w:r>
      <w:r w:rsidRPr="000A0915">
        <w:rPr>
          <w:rStyle w:val="Strong"/>
          <w:rFonts w:ascii="Arial" w:hAnsi="Arial" w:cs="Arial"/>
          <w:b w:val="0"/>
          <w:bCs w:val="0"/>
          <w:i/>
        </w:rPr>
        <w:t>Pakistan Journal of Botany</w:t>
      </w:r>
      <w:r w:rsidRPr="00A036E2">
        <w:rPr>
          <w:rStyle w:val="Strong"/>
          <w:rFonts w:ascii="Arial" w:hAnsi="Arial" w:cs="Arial"/>
          <w:b w:val="0"/>
          <w:bCs w:val="0"/>
        </w:rPr>
        <w:t>, 42(6), 4393–4402.</w:t>
      </w:r>
    </w:p>
    <w:p w:rsidR="00A036E2" w:rsidRPr="000F28BC" w:rsidRDefault="00F3461A" w:rsidP="000F28BC">
      <w:pPr>
        <w:pStyle w:val="Body"/>
        <w:spacing w:before="120" w:after="120"/>
        <w:ind w:left="567" w:hanging="567"/>
        <w:rPr>
          <w:rStyle w:val="Strong"/>
          <w:rFonts w:ascii="Arial" w:hAnsi="Arial" w:cs="Arial"/>
          <w:b w:val="0"/>
          <w:bCs w:val="0"/>
        </w:rPr>
      </w:pPr>
      <w:proofErr w:type="spellStart"/>
      <w:r w:rsidRPr="00F3461A">
        <w:rPr>
          <w:rStyle w:val="Strong"/>
          <w:rFonts w:ascii="Arial" w:hAnsi="Arial" w:cs="Arial"/>
          <w:b w:val="0"/>
          <w:bCs w:val="0"/>
        </w:rPr>
        <w:t>Kalukhe</w:t>
      </w:r>
      <w:proofErr w:type="spellEnd"/>
      <w:r w:rsidRPr="00F3461A">
        <w:rPr>
          <w:rStyle w:val="Strong"/>
          <w:rFonts w:ascii="Arial" w:hAnsi="Arial" w:cs="Arial"/>
          <w:b w:val="0"/>
          <w:bCs w:val="0"/>
        </w:rPr>
        <w:t>, V. K., Moon, M. K., Magar, N. M. &amp; Patil, S.S. (2010). Character association and path analysis for seed yield in sunflower (</w:t>
      </w:r>
      <w:r w:rsidRPr="000A0915">
        <w:rPr>
          <w:rStyle w:val="Strong"/>
          <w:rFonts w:ascii="Arial" w:hAnsi="Arial" w:cs="Arial"/>
          <w:b w:val="0"/>
          <w:bCs w:val="0"/>
          <w:i/>
        </w:rPr>
        <w:t xml:space="preserve">Helianthus </w:t>
      </w:r>
      <w:proofErr w:type="spellStart"/>
      <w:r w:rsidRPr="000A0915">
        <w:rPr>
          <w:rStyle w:val="Strong"/>
          <w:rFonts w:ascii="Arial" w:hAnsi="Arial" w:cs="Arial"/>
          <w:b w:val="0"/>
          <w:bCs w:val="0"/>
          <w:i/>
        </w:rPr>
        <w:t>annuus</w:t>
      </w:r>
      <w:proofErr w:type="spellEnd"/>
      <w:r w:rsidRPr="00F3461A">
        <w:rPr>
          <w:rStyle w:val="Strong"/>
          <w:rFonts w:ascii="Arial" w:hAnsi="Arial" w:cs="Arial"/>
          <w:b w:val="0"/>
          <w:bCs w:val="0"/>
        </w:rPr>
        <w:t xml:space="preserve"> L.). </w:t>
      </w:r>
      <w:r w:rsidRPr="000A0915">
        <w:rPr>
          <w:rStyle w:val="Strong"/>
          <w:rFonts w:ascii="Arial" w:hAnsi="Arial" w:cs="Arial"/>
          <w:b w:val="0"/>
          <w:bCs w:val="0"/>
          <w:i/>
        </w:rPr>
        <w:t>International Journal of Plant Sciences</w:t>
      </w:r>
      <w:r w:rsidRPr="00F3461A">
        <w:rPr>
          <w:rStyle w:val="Strong"/>
          <w:rFonts w:ascii="Arial" w:hAnsi="Arial" w:cs="Arial"/>
          <w:b w:val="0"/>
          <w:bCs w:val="0"/>
        </w:rPr>
        <w:t>, 5(2), 594-598.</w:t>
      </w:r>
    </w:p>
    <w:p w:rsidR="00F67D87" w:rsidRDefault="00F67D87" w:rsidP="00441B6F">
      <w:pPr>
        <w:pStyle w:val="Body"/>
        <w:spacing w:after="0"/>
        <w:rPr>
          <w:rFonts w:ascii="Arial" w:hAnsi="Arial" w:cs="Arial"/>
          <w:b/>
        </w:rPr>
        <w:sectPr w:rsidR="00F67D87" w:rsidSect="0007317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w:t>
      </w:r>
      <w:r w:rsidR="00F3461A" w:rsidRPr="00F3461A">
        <w:rPr>
          <w:rFonts w:ascii="Arial" w:eastAsia="Calibri" w:hAnsi="Arial" w:cs="Arial"/>
          <w:b/>
          <w:bCs/>
          <w:lang w:val="en-IN"/>
        </w:rPr>
        <w:t>Analysis of variance for yield and yield attributing traits in Sunflower</w:t>
      </w:r>
    </w:p>
    <w:tbl>
      <w:tblPr>
        <w:tblpPr w:leftFromText="180" w:rightFromText="180" w:vertAnchor="text" w:horzAnchor="page" w:tblpX="3843" w:tblpY="37"/>
        <w:tblW w:w="9315" w:type="dxa"/>
        <w:tblLook w:val="04A0" w:firstRow="1" w:lastRow="0" w:firstColumn="1" w:lastColumn="0" w:noHBand="0" w:noVBand="1"/>
      </w:tblPr>
      <w:tblGrid>
        <w:gridCol w:w="866"/>
        <w:gridCol w:w="3052"/>
        <w:gridCol w:w="1859"/>
        <w:gridCol w:w="1859"/>
        <w:gridCol w:w="1679"/>
      </w:tblGrid>
      <w:tr w:rsidR="00F3461A" w:rsidRPr="00F3461A" w:rsidTr="00F3461A">
        <w:trPr>
          <w:trHeight w:val="104"/>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Sr. No.</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Characters</w:t>
            </w:r>
          </w:p>
        </w:tc>
        <w:tc>
          <w:tcPr>
            <w:tcW w:w="5397" w:type="dxa"/>
            <w:gridSpan w:val="3"/>
            <w:tcBorders>
              <w:top w:val="single" w:sz="4" w:space="0" w:color="auto"/>
              <w:left w:val="nil"/>
              <w:bottom w:val="single" w:sz="4" w:space="0" w:color="auto"/>
              <w:right w:val="single" w:sz="4" w:space="0" w:color="000000"/>
            </w:tcBorders>
            <w:shd w:val="clear" w:color="auto" w:fill="auto"/>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Mean Sum of Squares</w:t>
            </w:r>
          </w:p>
        </w:tc>
      </w:tr>
      <w:tr w:rsidR="00F3461A" w:rsidRPr="00F3461A" w:rsidTr="00F3461A">
        <w:trPr>
          <w:trHeight w:val="104"/>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F3461A" w:rsidRPr="00F3461A" w:rsidRDefault="00F3461A" w:rsidP="00F3461A">
            <w:pPr>
              <w:rPr>
                <w:rFonts w:ascii="Arial" w:hAnsi="Arial" w:cs="Arial"/>
                <w:b/>
                <w:bCs/>
                <w:color w:val="000000"/>
                <w:sz w:val="18"/>
                <w:szCs w:val="18"/>
                <w:lang w:val="en-IN" w:eastAsia="en-IN"/>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F3461A" w:rsidRPr="00F3461A" w:rsidRDefault="00F3461A" w:rsidP="00F3461A">
            <w:pPr>
              <w:rPr>
                <w:rFonts w:ascii="Arial" w:hAnsi="Arial" w:cs="Arial"/>
                <w:b/>
                <w:bCs/>
                <w:color w:val="000000"/>
                <w:sz w:val="18"/>
                <w:szCs w:val="18"/>
                <w:lang w:val="en-IN" w:eastAsia="en-IN"/>
              </w:rPr>
            </w:pPr>
          </w:p>
        </w:tc>
        <w:tc>
          <w:tcPr>
            <w:tcW w:w="1859"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Replication</w:t>
            </w:r>
            <w:r w:rsidRPr="00F3461A">
              <w:rPr>
                <w:rFonts w:ascii="Arial" w:hAnsi="Arial" w:cs="Arial"/>
                <w:color w:val="000000"/>
                <w:sz w:val="18"/>
                <w:szCs w:val="18"/>
                <w:lang w:val="en-IN" w:eastAsia="en-IN"/>
              </w:rPr>
              <w:t xml:space="preserve"> (1)</w:t>
            </w:r>
          </w:p>
        </w:tc>
        <w:tc>
          <w:tcPr>
            <w:tcW w:w="1859"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Treatment</w:t>
            </w:r>
            <w:r w:rsidRPr="00F3461A">
              <w:rPr>
                <w:rFonts w:ascii="Arial" w:hAnsi="Arial" w:cs="Arial"/>
                <w:color w:val="000000"/>
                <w:sz w:val="18"/>
                <w:szCs w:val="18"/>
                <w:lang w:val="en-IN" w:eastAsia="en-IN"/>
              </w:rPr>
              <w:t xml:space="preserve"> (39)</w:t>
            </w:r>
          </w:p>
        </w:tc>
        <w:tc>
          <w:tcPr>
            <w:tcW w:w="1679"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Error</w:t>
            </w:r>
          </w:p>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(39)</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50 per cent flowering</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0.313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72.818**</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5.569</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2</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maturity</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3.613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83.748**</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6.946</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3</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Plant height (cm)</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45.451</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712.423**</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41.477</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4</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Head diameter (cm)</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4.311</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18.508**</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1.143</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5</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filling (%)</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2.738</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43.326**</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3.819</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6</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100 seed weight (g)</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0.339</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2.244**</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0.231</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7</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Volume weight (g/100ml)</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5.995</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52.790**</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1.708</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8</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Hull content (%)</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0.013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70.750**</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1.057</w:t>
            </w:r>
          </w:p>
        </w:tc>
      </w:tr>
      <w:tr w:rsidR="00F3461A" w:rsidRPr="00F3461A"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9</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yield per plant (g)</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0.176</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84.021**</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0.718</w:t>
            </w:r>
          </w:p>
        </w:tc>
      </w:tr>
      <w:tr w:rsidR="00F3461A" w:rsidRPr="00F3461A" w:rsidTr="00F3461A">
        <w:trPr>
          <w:trHeight w:val="4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10</w:t>
            </w:r>
          </w:p>
        </w:tc>
        <w:tc>
          <w:tcPr>
            <w:tcW w:w="3052" w:type="dxa"/>
            <w:tcBorders>
              <w:top w:val="nil"/>
              <w:left w:val="nil"/>
              <w:bottom w:val="single" w:sz="4" w:space="0" w:color="auto"/>
              <w:right w:val="single" w:sz="4" w:space="0" w:color="auto"/>
            </w:tcBorders>
            <w:shd w:val="clear" w:color="auto" w:fill="auto"/>
            <w:vAlign w:val="center"/>
            <w:hideMark/>
          </w:tcPr>
          <w:p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Oil content (%)</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0.273</w:t>
            </w:r>
          </w:p>
        </w:tc>
        <w:tc>
          <w:tcPr>
            <w:tcW w:w="185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27.752**</w:t>
            </w:r>
          </w:p>
        </w:tc>
        <w:tc>
          <w:tcPr>
            <w:tcW w:w="1679" w:type="dxa"/>
            <w:tcBorders>
              <w:top w:val="nil"/>
              <w:left w:val="nil"/>
              <w:bottom w:val="single" w:sz="4" w:space="0" w:color="auto"/>
              <w:right w:val="single" w:sz="4" w:space="0" w:color="auto"/>
            </w:tcBorders>
            <w:shd w:val="clear" w:color="auto" w:fill="auto"/>
            <w:noWrap/>
            <w:vAlign w:val="center"/>
            <w:hideMark/>
          </w:tcPr>
          <w:p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0.545</w:t>
            </w:r>
          </w:p>
        </w:tc>
      </w:tr>
    </w:tbl>
    <w:p w:rsidR="00F67D87" w:rsidRPr="00F67D87" w:rsidRDefault="00F67D87" w:rsidP="00F67D87">
      <w:pPr>
        <w:spacing w:after="160" w:line="360" w:lineRule="auto"/>
        <w:rPr>
          <w:rFonts w:ascii="Arial" w:eastAsia="Calibri" w:hAnsi="Arial" w:cs="Arial"/>
          <w:b/>
          <w:bCs/>
          <w:lang w:val="en-IN"/>
        </w:rPr>
      </w:pPr>
    </w:p>
    <w:p w:rsidR="00F67D87" w:rsidRDefault="00F67D87" w:rsidP="00F67D87">
      <w:pPr>
        <w:spacing w:after="200" w:line="276" w:lineRule="auto"/>
        <w:rPr>
          <w:rFonts w:ascii="Times New Roman" w:eastAsia="Calibri" w:hAnsi="Times New Roman"/>
          <w:sz w:val="24"/>
          <w:szCs w:val="24"/>
          <w:lang w:val="en-IN"/>
        </w:rPr>
      </w:pPr>
    </w:p>
    <w:p w:rsidR="00F67D87" w:rsidRDefault="00F67D87" w:rsidP="00F67D87">
      <w:pPr>
        <w:spacing w:after="200" w:line="276" w:lineRule="auto"/>
        <w:rPr>
          <w:rFonts w:ascii="Times New Roman" w:eastAsia="Calibri" w:hAnsi="Times New Roman"/>
          <w:sz w:val="24"/>
          <w:szCs w:val="24"/>
          <w:lang w:val="en-IN"/>
        </w:rPr>
      </w:pPr>
    </w:p>
    <w:p w:rsidR="00F67D87" w:rsidRDefault="00F67D87" w:rsidP="00F67D87">
      <w:pPr>
        <w:spacing w:after="200" w:line="276" w:lineRule="auto"/>
        <w:rPr>
          <w:rFonts w:ascii="Times New Roman" w:eastAsia="Calibri" w:hAnsi="Times New Roman"/>
          <w:sz w:val="24"/>
          <w:szCs w:val="24"/>
          <w:lang w:val="en-IN"/>
        </w:rPr>
      </w:pPr>
    </w:p>
    <w:p w:rsidR="000B747B" w:rsidRDefault="000B747B" w:rsidP="00F67D87">
      <w:pPr>
        <w:spacing w:after="200" w:line="276" w:lineRule="auto"/>
        <w:rPr>
          <w:rFonts w:ascii="Times New Roman" w:eastAsia="Calibri" w:hAnsi="Times New Roman"/>
          <w:sz w:val="24"/>
          <w:szCs w:val="24"/>
          <w:lang w:val="en-IN"/>
        </w:rPr>
      </w:pPr>
    </w:p>
    <w:p w:rsidR="00F3461A" w:rsidRDefault="00F3461A" w:rsidP="00F3461A">
      <w:pPr>
        <w:spacing w:before="120" w:after="120"/>
        <w:rPr>
          <w:rFonts w:ascii="Arial" w:eastAsia="Calibri" w:hAnsi="Arial" w:cs="Arial"/>
          <w:lang w:val="en-IN"/>
        </w:rPr>
      </w:pPr>
    </w:p>
    <w:p w:rsidR="00F67D87" w:rsidRDefault="00F67D87" w:rsidP="00F61620">
      <w:pPr>
        <w:spacing w:before="120" w:after="120"/>
        <w:ind w:left="720" w:firstLine="720"/>
        <w:jc w:val="center"/>
        <w:rPr>
          <w:rFonts w:ascii="Arial" w:eastAsia="Calibri" w:hAnsi="Arial" w:cs="Arial"/>
          <w:lang w:val="en-IN"/>
        </w:rPr>
      </w:pPr>
      <w:r w:rsidRPr="00581925">
        <w:rPr>
          <w:rFonts w:ascii="Arial" w:eastAsia="Calibri" w:hAnsi="Arial" w:cs="Arial"/>
          <w:lang w:val="en-IN"/>
        </w:rPr>
        <w:t xml:space="preserve">*     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p>
    <w:p w:rsidR="00581925" w:rsidRPr="00581925" w:rsidRDefault="00581925" w:rsidP="00581925">
      <w:pPr>
        <w:spacing w:before="120" w:after="120"/>
        <w:ind w:left="720" w:firstLine="720"/>
        <w:rPr>
          <w:rFonts w:ascii="Arial" w:eastAsia="Calibri" w:hAnsi="Arial" w:cs="Arial"/>
          <w:lang w:val="en-IN"/>
        </w:rPr>
      </w:pPr>
    </w:p>
    <w:p w:rsidR="005918CF"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w:t>
      </w:r>
      <w:r w:rsidR="00F3461A" w:rsidRPr="00F3461A">
        <w:rPr>
          <w:rFonts w:ascii="Arial" w:hAnsi="Arial" w:cs="Arial"/>
          <w:b/>
          <w:bCs/>
        </w:rPr>
        <w:t>Mean performance of 40 genotypes for 10 quantitative characters.</w:t>
      </w:r>
    </w:p>
    <w:tbl>
      <w:tblPr>
        <w:tblW w:w="13858" w:type="dxa"/>
        <w:tblInd w:w="392" w:type="dxa"/>
        <w:tblLook w:val="04A0" w:firstRow="1" w:lastRow="0" w:firstColumn="1" w:lastColumn="0" w:noHBand="0" w:noVBand="1"/>
      </w:tblPr>
      <w:tblGrid>
        <w:gridCol w:w="872"/>
        <w:gridCol w:w="1873"/>
        <w:gridCol w:w="1087"/>
        <w:gridCol w:w="1073"/>
        <w:gridCol w:w="1073"/>
        <w:gridCol w:w="1073"/>
        <w:gridCol w:w="1073"/>
        <w:gridCol w:w="1073"/>
        <w:gridCol w:w="1087"/>
        <w:gridCol w:w="1073"/>
        <w:gridCol w:w="1073"/>
        <w:gridCol w:w="1428"/>
      </w:tblGrid>
      <w:tr w:rsidR="005918CF" w:rsidRPr="005918CF" w:rsidTr="005918CF">
        <w:trPr>
          <w:trHeight w:val="487"/>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rsidTr="005918CF">
        <w:trPr>
          <w:trHeight w:val="34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PB-1228</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49.05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27.61</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96.50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69.60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25.70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32.16</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PB-1232</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5.06</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35.75</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13.48</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21.13</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32.19</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5</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133.15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31.71</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6</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PB-1349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64.50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150.15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15.79</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12.85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30.10</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7</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PB-1355(S)</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11.25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32.62</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8</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PB-1355(B)</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30.99</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9</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PB-1389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5.15</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16.15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32.58</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PB-1403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29.32</w:t>
            </w:r>
          </w:p>
        </w:tc>
      </w:tr>
      <w:tr w:rsidR="005918CF" w:rsidRPr="005918CF"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11</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PB-1424</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117.35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70.70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15.55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28.73</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12</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PB-1462</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11.58</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36.65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31.93</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13</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11.17</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71.30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4.62</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15.15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31.62</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14</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8.22</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69.20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38.75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21.45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12.50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29.97</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15</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PB-1456</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10.06</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48.10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31.90</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lastRenderedPageBreak/>
              <w:t>16</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PB-1443</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4.56</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35.66</w:t>
            </w:r>
          </w:p>
        </w:tc>
      </w:tr>
      <w:tr w:rsidR="005918CF" w:rsidRPr="005918CF" w:rsidTr="00420ECC">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17</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PB-1429</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111.85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71.40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3.71</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37.05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17.95</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27.77</w:t>
            </w:r>
          </w:p>
        </w:tc>
      </w:tr>
      <w:tr w:rsidR="005918CF" w:rsidRPr="005918CF"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18</w:t>
            </w:r>
          </w:p>
        </w:tc>
        <w:tc>
          <w:tcPr>
            <w:tcW w:w="1873" w:type="dxa"/>
            <w:tcBorders>
              <w:top w:val="nil"/>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PB-1530</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10.60</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75.55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4.67</w:t>
            </w:r>
          </w:p>
        </w:tc>
        <w:tc>
          <w:tcPr>
            <w:tcW w:w="1087"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26.35</w:t>
            </w:r>
          </w:p>
        </w:tc>
        <w:tc>
          <w:tcPr>
            <w:tcW w:w="1073"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19.10</w:t>
            </w:r>
          </w:p>
        </w:tc>
        <w:tc>
          <w:tcPr>
            <w:tcW w:w="1428" w:type="dxa"/>
            <w:tcBorders>
              <w:top w:val="nil"/>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32.76</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33.31</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33.72</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PB-1599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33.26</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PB-1556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121.20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36.31</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73.85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20.20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PB-1617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4.42</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PB-1627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29.94</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36.35</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77.85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30.09</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34.20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39.62</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83.65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39.65</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PB-500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43.37</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PB-253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23.05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40.33</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PB-304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38.53</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36.59</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PB-171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31.21</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131.75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34.00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39.13</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35.00</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LSF-08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30.02</w:t>
            </w:r>
          </w:p>
        </w:tc>
      </w:tr>
      <w:tr w:rsidR="005918CF" w:rsidRPr="005918CF"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SS-2038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24.15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28.64</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Grand mean</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61.79</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75.12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22.66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33.38</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0.60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0.52</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CD 5 %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1.49</w:t>
            </w:r>
          </w:p>
        </w:tc>
      </w:tr>
      <w:tr w:rsidR="005918CF" w:rsidRPr="005918CF"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CV</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w:t>
            </w:r>
          </w:p>
        </w:tc>
      </w:tr>
    </w:tbl>
    <w:p w:rsidR="00581925" w:rsidRDefault="00581925" w:rsidP="00581925">
      <w:pPr>
        <w:tabs>
          <w:tab w:val="right" w:pos="8306"/>
        </w:tabs>
        <w:spacing w:after="160" w:line="360" w:lineRule="auto"/>
        <w:jc w:val="center"/>
        <w:rPr>
          <w:rFonts w:ascii="Arial" w:hAnsi="Arial" w:cs="Arial"/>
          <w:b/>
          <w:bCs/>
        </w:rPr>
      </w:pPr>
    </w:p>
    <w:p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w:t>
      </w:r>
    </w:p>
    <w:p w:rsidR="005918CF" w:rsidRDefault="005918CF" w:rsidP="00581925">
      <w:pPr>
        <w:tabs>
          <w:tab w:val="right" w:pos="8306"/>
        </w:tabs>
        <w:spacing w:after="160" w:line="360" w:lineRule="auto"/>
        <w:jc w:val="center"/>
        <w:rPr>
          <w:rFonts w:ascii="Arial" w:hAnsi="Arial" w:cs="Arial"/>
          <w:spacing w:val="-2"/>
        </w:rPr>
      </w:pPr>
    </w:p>
    <w:p w:rsidR="005918CF" w:rsidRDefault="005918CF" w:rsidP="00581925">
      <w:pPr>
        <w:tabs>
          <w:tab w:val="right" w:pos="8306"/>
        </w:tabs>
        <w:spacing w:after="160" w:line="360" w:lineRule="auto"/>
        <w:jc w:val="center"/>
        <w:rPr>
          <w:rFonts w:ascii="Arial" w:hAnsi="Arial" w:cs="Arial"/>
          <w:spacing w:val="-2"/>
        </w:rPr>
      </w:pPr>
    </w:p>
    <w:p w:rsidR="00420ECC" w:rsidRDefault="005918CF" w:rsidP="005918CF">
      <w:pPr>
        <w:tabs>
          <w:tab w:val="right" w:pos="8306"/>
        </w:tabs>
        <w:spacing w:after="160" w:line="360" w:lineRule="auto"/>
        <w:jc w:val="center"/>
        <w:rPr>
          <w:rFonts w:ascii="Arial" w:hAnsi="Arial" w:cs="Arial"/>
          <w:b/>
          <w:bCs/>
        </w:rPr>
      </w:pPr>
      <w:r w:rsidRPr="005918CF">
        <w:rPr>
          <w:rFonts w:ascii="Arial" w:hAnsi="Arial" w:cs="Arial"/>
          <w:b/>
          <w:bCs/>
        </w:rPr>
        <w:t>Table 3: Parameters of genetic variability for yield and yield contributing characters.</w:t>
      </w:r>
    </w:p>
    <w:tbl>
      <w:tblPr>
        <w:tblW w:w="14155" w:type="dxa"/>
        <w:tblInd w:w="250" w:type="dxa"/>
        <w:tblLook w:val="04A0" w:firstRow="1" w:lastRow="0" w:firstColumn="1" w:lastColumn="0" w:noHBand="0" w:noVBand="1"/>
      </w:tblPr>
      <w:tblGrid>
        <w:gridCol w:w="558"/>
        <w:gridCol w:w="1334"/>
        <w:gridCol w:w="858"/>
        <w:gridCol w:w="1268"/>
        <w:gridCol w:w="1244"/>
        <w:gridCol w:w="1400"/>
        <w:gridCol w:w="1560"/>
        <w:gridCol w:w="845"/>
        <w:gridCol w:w="773"/>
        <w:gridCol w:w="754"/>
        <w:gridCol w:w="1387"/>
        <w:gridCol w:w="1087"/>
        <w:gridCol w:w="1087"/>
      </w:tblGrid>
      <w:tr w:rsidR="00420ECC" w:rsidRPr="00420ECC" w:rsidTr="001C310F">
        <w:trPr>
          <w:trHeight w:val="297"/>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Sr. No.</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Characters</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Mean</w:t>
            </w:r>
          </w:p>
        </w:tc>
        <w:tc>
          <w:tcPr>
            <w:tcW w:w="1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Range</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Genotypic variance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phenotypic variance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Environmental variance</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GCV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PCV (%)</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ECV (%)</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Heritability in broad sense (H</w:t>
            </w:r>
            <w:r w:rsidRPr="00420ECC">
              <w:rPr>
                <w:rFonts w:ascii="Arial" w:hAnsi="Arial" w:cs="Arial"/>
                <w:b/>
                <w:bCs/>
                <w:color w:val="000000"/>
                <w:sz w:val="18"/>
                <w:szCs w:val="18"/>
                <w:vertAlign w:val="superscript"/>
                <w:lang w:val="en-IN" w:eastAsia="en-IN"/>
              </w:rPr>
              <w:t>2</w:t>
            </w:r>
            <w:r w:rsidRPr="00420ECC">
              <w:rPr>
                <w:rFonts w:ascii="Arial" w:hAnsi="Arial" w:cs="Arial"/>
                <w:b/>
                <w:bCs/>
                <w:color w:val="000000"/>
                <w:sz w:val="18"/>
                <w:szCs w:val="18"/>
                <w:lang w:val="en-IN" w:eastAsia="en-IN"/>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 as % of mean</w:t>
            </w:r>
          </w:p>
        </w:tc>
      </w:tr>
      <w:tr w:rsidR="00420ECC" w:rsidRPr="00420ECC" w:rsidTr="001C310F">
        <w:trPr>
          <w:trHeight w:val="297"/>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268" w:type="dxa"/>
            <w:vMerge/>
            <w:tcBorders>
              <w:top w:val="single" w:sz="4" w:space="0" w:color="auto"/>
              <w:left w:val="single" w:sz="4" w:space="0" w:color="auto"/>
              <w:bottom w:val="single" w:sz="4" w:space="0" w:color="000000"/>
              <w:right w:val="single" w:sz="4" w:space="0" w:color="000000"/>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420ECC" w:rsidRPr="00420ECC" w:rsidRDefault="00420ECC" w:rsidP="00420ECC">
            <w:pPr>
              <w:rPr>
                <w:rFonts w:ascii="Arial" w:hAnsi="Arial" w:cs="Arial"/>
                <w:b/>
                <w:bCs/>
                <w:color w:val="000000"/>
                <w:sz w:val="18"/>
                <w:szCs w:val="18"/>
                <w:lang w:val="en-IN" w:eastAsia="en-IN"/>
              </w:rPr>
            </w:pP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50 per cent flowering</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61.79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47.00 - 72.00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33.62</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39.19</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5.57</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9.38</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10.13</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85.79</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11.06</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17.91</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2</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maturity</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78.50 - 104.50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38.40</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45.35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6.95</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6.60</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7.17</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2.81</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84.68</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11.75</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12.51</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3</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Plant height (cm)</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86.55 - 169.85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335.47</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376.95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41.48</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15.14</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16.05</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5.33</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89.00</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35.59</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29.43</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4</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Head diameter (cm)</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7.05 - 20.90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8.68</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1.14</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24.59</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26.16</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8.92</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88.37</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5.71</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47.62</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5</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filling (%)</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75.12</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69.20 - 87.25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19.75</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23.57</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5.92</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6.46</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83.80</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11.16</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6</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100 seed weight (g)</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3.71 - 6.85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0.87</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0.89</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0.01</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17.35</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17.50</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2.25</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98.34</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1.91</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35.44</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7</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Volume weight (g/100ml)</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36.81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25.40 - 49.05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25.54</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27.25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1.71</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13.73</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14.18</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93.73</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10.08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27.38</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8</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Hull content (%)</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22.66</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14.10 - 35.95</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34.85</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35.90</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1.06</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26.06</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26.45</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4.54</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97.07</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52.88</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9</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yield per plant (g)</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19.85</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41.65</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42.37</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0.72</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32.51</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32.79</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4.27</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98.31</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13.18</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66.40</w:t>
            </w:r>
          </w:p>
        </w:tc>
      </w:tr>
      <w:tr w:rsidR="00420ECC" w:rsidRPr="00420ECC"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w:t>
            </w:r>
          </w:p>
        </w:tc>
        <w:tc>
          <w:tcPr>
            <w:tcW w:w="1334"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Oil content (%)</w:t>
            </w:r>
          </w:p>
        </w:tc>
        <w:tc>
          <w:tcPr>
            <w:tcW w:w="858"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33.38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13.60</w:t>
            </w:r>
          </w:p>
        </w:tc>
        <w:tc>
          <w:tcPr>
            <w:tcW w:w="140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14.15</w:t>
            </w:r>
          </w:p>
        </w:tc>
        <w:tc>
          <w:tcPr>
            <w:tcW w:w="1560"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0.55</w:t>
            </w:r>
          </w:p>
        </w:tc>
        <w:tc>
          <w:tcPr>
            <w:tcW w:w="845"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11.05</w:t>
            </w:r>
          </w:p>
        </w:tc>
        <w:tc>
          <w:tcPr>
            <w:tcW w:w="773"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11.27</w:t>
            </w:r>
          </w:p>
        </w:tc>
        <w:tc>
          <w:tcPr>
            <w:tcW w:w="754"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2.21</w:t>
            </w:r>
          </w:p>
        </w:tc>
        <w:tc>
          <w:tcPr>
            <w:tcW w:w="13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96.15</w:t>
            </w:r>
          </w:p>
        </w:tc>
        <w:tc>
          <w:tcPr>
            <w:tcW w:w="1087" w:type="dxa"/>
            <w:tcBorders>
              <w:top w:val="nil"/>
              <w:left w:val="nil"/>
              <w:bottom w:val="single" w:sz="4" w:space="0" w:color="auto"/>
              <w:right w:val="single" w:sz="4" w:space="0" w:color="auto"/>
            </w:tcBorders>
            <w:shd w:val="clear" w:color="auto" w:fill="auto"/>
            <w:noWrap/>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7.45</w:t>
            </w:r>
          </w:p>
        </w:tc>
        <w:tc>
          <w:tcPr>
            <w:tcW w:w="1087" w:type="dxa"/>
            <w:tcBorders>
              <w:top w:val="nil"/>
              <w:left w:val="nil"/>
              <w:bottom w:val="single" w:sz="4" w:space="0" w:color="auto"/>
              <w:right w:val="single" w:sz="4" w:space="0" w:color="auto"/>
            </w:tcBorders>
            <w:shd w:val="clear" w:color="auto" w:fill="auto"/>
            <w:vAlign w:val="center"/>
            <w:hideMark/>
          </w:tcPr>
          <w:p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22.32</w:t>
            </w:r>
          </w:p>
        </w:tc>
      </w:tr>
    </w:tbl>
    <w:p w:rsidR="00F61620" w:rsidRDefault="00F61620" w:rsidP="00420ECC">
      <w:pPr>
        <w:tabs>
          <w:tab w:val="right" w:pos="8306"/>
        </w:tabs>
        <w:spacing w:after="160" w:line="360" w:lineRule="auto"/>
        <w:jc w:val="center"/>
        <w:rPr>
          <w:rFonts w:ascii="Arial" w:hAnsi="Arial" w:cs="Arial"/>
        </w:rPr>
      </w:pPr>
    </w:p>
    <w:p w:rsidR="00420ECC" w:rsidRDefault="00420ECC" w:rsidP="00420ECC">
      <w:pPr>
        <w:tabs>
          <w:tab w:val="right" w:pos="8306"/>
        </w:tabs>
        <w:spacing w:after="160" w:line="360" w:lineRule="auto"/>
        <w:jc w:val="center"/>
        <w:rPr>
          <w:rFonts w:ascii="Arial" w:hAnsi="Arial" w:cs="Arial"/>
          <w:spacing w:val="-2"/>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r>
        <w:rPr>
          <w:rFonts w:ascii="Arial" w:hAnsi="Arial" w:cs="Arial"/>
          <w:spacing w:val="-2"/>
        </w:rPr>
        <w:t xml:space="preserve">, ECV= Environmental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rsidR="00B01FCD" w:rsidRDefault="00B01FCD"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420ECC" w:rsidP="005918CF">
      <w:pPr>
        <w:tabs>
          <w:tab w:val="right" w:pos="8306"/>
        </w:tabs>
        <w:spacing w:after="160" w:line="360" w:lineRule="auto"/>
        <w:jc w:val="center"/>
        <w:rPr>
          <w:rFonts w:ascii="Arial" w:hAnsi="Arial" w:cs="Arial"/>
          <w:b/>
          <w:bCs/>
        </w:rPr>
      </w:pPr>
      <w:r w:rsidRPr="00420ECC">
        <w:rPr>
          <w:rFonts w:ascii="Times New Roman" w:eastAsia="Calibri" w:hAnsi="Times New Roman"/>
          <w:b/>
          <w:noProof/>
          <w:sz w:val="28"/>
          <w:szCs w:val="28"/>
          <w:lang w:val="en-IN" w:eastAsia="en-IN"/>
        </w:rPr>
        <w:drawing>
          <wp:inline distT="0" distB="0" distL="0" distR="0" wp14:anchorId="7629EC1F" wp14:editId="4154636A">
            <wp:extent cx="8261350" cy="3898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1350" cy="3898900"/>
                    </a:xfrm>
                    <a:prstGeom prst="rect">
                      <a:avLst/>
                    </a:prstGeom>
                    <a:noFill/>
                  </pic:spPr>
                </pic:pic>
              </a:graphicData>
            </a:graphic>
          </wp:inline>
        </w:drawing>
      </w:r>
    </w:p>
    <w:p w:rsidR="00F61620" w:rsidRDefault="00420ECC" w:rsidP="00420ECC">
      <w:pPr>
        <w:pStyle w:val="Appendix"/>
        <w:spacing w:after="0"/>
        <w:jc w:val="both"/>
        <w:rPr>
          <w:rFonts w:ascii="Arial" w:hAnsi="Arial" w:cs="Arial"/>
          <w:bCs/>
          <w:caps w:val="0"/>
          <w:sz w:val="20"/>
          <w:lang w:val="en-IN"/>
        </w:rPr>
      </w:pPr>
      <w:r>
        <w:rPr>
          <w:rFonts w:ascii="Arial" w:hAnsi="Arial" w:cs="Arial"/>
          <w:bCs/>
          <w:caps w:val="0"/>
          <w:sz w:val="20"/>
          <w:lang w:val="en-IN"/>
        </w:rPr>
        <w:t xml:space="preserve">                   </w:t>
      </w:r>
      <w:r w:rsidR="00F61620">
        <w:rPr>
          <w:rFonts w:ascii="Arial" w:hAnsi="Arial" w:cs="Arial"/>
          <w:bCs/>
          <w:caps w:val="0"/>
          <w:sz w:val="20"/>
          <w:lang w:val="en-IN"/>
        </w:rPr>
        <w:t xml:space="preserve">  </w:t>
      </w:r>
    </w:p>
    <w:p w:rsidR="00420ECC" w:rsidRPr="00197BC1" w:rsidRDefault="00420ECC" w:rsidP="00F61620">
      <w:pPr>
        <w:pStyle w:val="Appendix"/>
        <w:tabs>
          <w:tab w:val="left" w:pos="3119"/>
        </w:tabs>
        <w:spacing w:after="0"/>
        <w:jc w:val="center"/>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rsidR="00420ECC" w:rsidRDefault="00420ECC" w:rsidP="00F61620">
      <w:pPr>
        <w:pStyle w:val="Appendix"/>
        <w:spacing w:after="0"/>
        <w:jc w:val="center"/>
        <w:rPr>
          <w:rFonts w:ascii="Arial" w:hAnsi="Arial" w:cs="Arial"/>
          <w:b w:val="0"/>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5918CF" w:rsidRDefault="005918CF" w:rsidP="005918CF">
      <w:pPr>
        <w:tabs>
          <w:tab w:val="right" w:pos="8306"/>
        </w:tabs>
        <w:spacing w:after="160" w:line="360" w:lineRule="auto"/>
        <w:jc w:val="center"/>
        <w:rPr>
          <w:rFonts w:ascii="Arial" w:hAnsi="Arial" w:cs="Arial"/>
          <w:b/>
          <w:bCs/>
        </w:rPr>
      </w:pPr>
    </w:p>
    <w:p w:rsidR="00C71097" w:rsidRDefault="00C71097" w:rsidP="00441B6F">
      <w:pPr>
        <w:pStyle w:val="Appendix"/>
        <w:spacing w:after="0"/>
        <w:jc w:val="both"/>
        <w:rPr>
          <w:rFonts w:ascii="Arial" w:hAnsi="Arial" w:cs="Arial"/>
          <w:b w:val="0"/>
        </w:rPr>
      </w:pPr>
    </w:p>
    <w:p w:rsidR="00C71097" w:rsidRDefault="00F61620" w:rsidP="00441B6F">
      <w:pPr>
        <w:pStyle w:val="Appendix"/>
        <w:spacing w:after="0"/>
        <w:jc w:val="both"/>
        <w:rPr>
          <w:rFonts w:ascii="Arial" w:hAnsi="Arial" w:cs="Arial"/>
          <w:b w:val="0"/>
        </w:rPr>
      </w:pPr>
      <w:r>
        <w:rPr>
          <w:noProof/>
          <w:lang w:val="en-IN" w:eastAsia="en-IN"/>
        </w:rPr>
        <w:drawing>
          <wp:inline distT="0" distB="0" distL="0" distR="0" wp14:anchorId="2313A615" wp14:editId="43D733FE">
            <wp:extent cx="8915400" cy="42926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620" w:rsidRDefault="00F61620" w:rsidP="00197BC1">
      <w:pPr>
        <w:spacing w:after="200" w:line="276" w:lineRule="auto"/>
        <w:rPr>
          <w:rFonts w:ascii="Arial" w:eastAsia="Calibri" w:hAnsi="Arial" w:cs="Arial"/>
          <w:b/>
          <w:bCs/>
          <w:lang w:val="en-IN"/>
        </w:rPr>
      </w:pPr>
      <w:r>
        <w:rPr>
          <w:rFonts w:ascii="Arial" w:eastAsia="Calibri" w:hAnsi="Arial" w:cs="Arial"/>
          <w:b/>
          <w:bCs/>
          <w:lang w:val="en-IN"/>
        </w:rPr>
        <w:t xml:space="preserve">               </w:t>
      </w:r>
    </w:p>
    <w:p w:rsidR="00197BC1" w:rsidRDefault="00197BC1" w:rsidP="00F61620">
      <w:pPr>
        <w:spacing w:after="200" w:line="276" w:lineRule="auto"/>
        <w:jc w:val="center"/>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rsidR="00E106DC" w:rsidRPr="00197BC1" w:rsidRDefault="00E106DC" w:rsidP="00197BC1">
      <w:pPr>
        <w:spacing w:after="200" w:line="276" w:lineRule="auto"/>
        <w:rPr>
          <w:rFonts w:ascii="Arial" w:eastAsia="Calibri" w:hAnsi="Arial" w:cs="Arial"/>
          <w:b/>
          <w:bCs/>
          <w:lang w:val="en-IN"/>
        </w:rPr>
      </w:pPr>
    </w:p>
    <w:sectPr w:rsidR="00E106DC" w:rsidRPr="00197BC1" w:rsidSect="0007317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8D" w:rsidRDefault="00E8228D" w:rsidP="00C37E61">
      <w:r>
        <w:separator/>
      </w:r>
    </w:p>
  </w:endnote>
  <w:endnote w:type="continuationSeparator" w:id="0">
    <w:p w:rsidR="00E8228D" w:rsidRDefault="00E822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15" w:rsidRPr="00073170" w:rsidRDefault="000A0915" w:rsidP="0007317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15" w:rsidRPr="00C37E61" w:rsidRDefault="000A091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8D" w:rsidRDefault="00E8228D" w:rsidP="00C37E61">
      <w:r>
        <w:separator/>
      </w:r>
    </w:p>
  </w:footnote>
  <w:footnote w:type="continuationSeparator" w:id="0">
    <w:p w:rsidR="00E8228D" w:rsidRDefault="00E822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15" w:rsidRPr="00296529" w:rsidRDefault="0007317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0A0915" w:rsidRPr="00296529" w:rsidRDefault="000A09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0A0915" w:rsidRPr="00296529" w:rsidRDefault="000A0915" w:rsidP="00296529">
    <w:pPr>
      <w:jc w:val="center"/>
      <w:rPr>
        <w:rFonts w:ascii="Times New Roman" w:eastAsia="Calibri" w:hAnsi="Times New Roman"/>
        <w:i/>
        <w:sz w:val="18"/>
        <w:szCs w:val="22"/>
      </w:rPr>
    </w:pPr>
    <w:r>
      <w:rPr>
        <w:rFonts w:ascii="Times New Roman" w:eastAsia="Calibri" w:hAnsi="Times New Roman"/>
        <w:i/>
        <w:sz w:val="18"/>
        <w:szCs w:val="22"/>
      </w:rPr>
      <w:t>.</w:t>
    </w:r>
  </w:p>
  <w:p w:rsidR="000A0915" w:rsidRPr="00296529" w:rsidRDefault="000A09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0A0915" w:rsidRDefault="000A09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0A0915" w:rsidRDefault="000A09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A0915" w:rsidRDefault="000A091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70" w:rsidRDefault="00073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39D9"/>
    <w:rsid w:val="00030174"/>
    <w:rsid w:val="0004579C"/>
    <w:rsid w:val="000461B6"/>
    <w:rsid w:val="00050042"/>
    <w:rsid w:val="00073170"/>
    <w:rsid w:val="000A0915"/>
    <w:rsid w:val="000A47FA"/>
    <w:rsid w:val="000A65D3"/>
    <w:rsid w:val="000B1E33"/>
    <w:rsid w:val="000B4FA0"/>
    <w:rsid w:val="000B747B"/>
    <w:rsid w:val="000C621F"/>
    <w:rsid w:val="000D689F"/>
    <w:rsid w:val="000E672B"/>
    <w:rsid w:val="000E7B7B"/>
    <w:rsid w:val="000E7D62"/>
    <w:rsid w:val="000F28BC"/>
    <w:rsid w:val="00103357"/>
    <w:rsid w:val="00123C9F"/>
    <w:rsid w:val="00126190"/>
    <w:rsid w:val="00130F17"/>
    <w:rsid w:val="001320BF"/>
    <w:rsid w:val="00163BC4"/>
    <w:rsid w:val="00191062"/>
    <w:rsid w:val="00192B72"/>
    <w:rsid w:val="00197BC1"/>
    <w:rsid w:val="001A29D8"/>
    <w:rsid w:val="001A5CAA"/>
    <w:rsid w:val="001B0427"/>
    <w:rsid w:val="001C2AD0"/>
    <w:rsid w:val="001C310F"/>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6529"/>
    <w:rsid w:val="002A3D63"/>
    <w:rsid w:val="002A42F7"/>
    <w:rsid w:val="002B1603"/>
    <w:rsid w:val="002B27FB"/>
    <w:rsid w:val="002B685A"/>
    <w:rsid w:val="002C57D2"/>
    <w:rsid w:val="002E0D56"/>
    <w:rsid w:val="00315186"/>
    <w:rsid w:val="0033343E"/>
    <w:rsid w:val="003347AC"/>
    <w:rsid w:val="003512C2"/>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0ECC"/>
    <w:rsid w:val="00423789"/>
    <w:rsid w:val="00440F43"/>
    <w:rsid w:val="00441B6F"/>
    <w:rsid w:val="00446221"/>
    <w:rsid w:val="00450E62"/>
    <w:rsid w:val="004539DB"/>
    <w:rsid w:val="004629B5"/>
    <w:rsid w:val="00471A80"/>
    <w:rsid w:val="004D305E"/>
    <w:rsid w:val="004D4277"/>
    <w:rsid w:val="00502516"/>
    <w:rsid w:val="00505F06"/>
    <w:rsid w:val="00506828"/>
    <w:rsid w:val="0053056E"/>
    <w:rsid w:val="00554FDA"/>
    <w:rsid w:val="00555942"/>
    <w:rsid w:val="00564F88"/>
    <w:rsid w:val="00581925"/>
    <w:rsid w:val="005918CF"/>
    <w:rsid w:val="005C784C"/>
    <w:rsid w:val="005D17F6"/>
    <w:rsid w:val="005D7370"/>
    <w:rsid w:val="005E5539"/>
    <w:rsid w:val="00602BF5"/>
    <w:rsid w:val="00617FDD"/>
    <w:rsid w:val="00621077"/>
    <w:rsid w:val="00633614"/>
    <w:rsid w:val="00633F68"/>
    <w:rsid w:val="00636EB2"/>
    <w:rsid w:val="006375B8"/>
    <w:rsid w:val="0066510A"/>
    <w:rsid w:val="00673F9F"/>
    <w:rsid w:val="00676E64"/>
    <w:rsid w:val="00686953"/>
    <w:rsid w:val="00687DEA"/>
    <w:rsid w:val="00687E67"/>
    <w:rsid w:val="00694A87"/>
    <w:rsid w:val="006967F7"/>
    <w:rsid w:val="006A250C"/>
    <w:rsid w:val="006B21D3"/>
    <w:rsid w:val="006B57D0"/>
    <w:rsid w:val="006D30FF"/>
    <w:rsid w:val="006D3554"/>
    <w:rsid w:val="006D6940"/>
    <w:rsid w:val="006F11EC"/>
    <w:rsid w:val="0070082C"/>
    <w:rsid w:val="007131E6"/>
    <w:rsid w:val="00715A25"/>
    <w:rsid w:val="007369E6"/>
    <w:rsid w:val="00746E59"/>
    <w:rsid w:val="00754C9A"/>
    <w:rsid w:val="0075599A"/>
    <w:rsid w:val="00761D52"/>
    <w:rsid w:val="0077749E"/>
    <w:rsid w:val="0078109E"/>
    <w:rsid w:val="00790ADA"/>
    <w:rsid w:val="007A7E24"/>
    <w:rsid w:val="007D2288"/>
    <w:rsid w:val="007E088F"/>
    <w:rsid w:val="007F5E65"/>
    <w:rsid w:val="007F7B32"/>
    <w:rsid w:val="00804BC2"/>
    <w:rsid w:val="0081431A"/>
    <w:rsid w:val="008235A0"/>
    <w:rsid w:val="008238A3"/>
    <w:rsid w:val="0083216F"/>
    <w:rsid w:val="00860000"/>
    <w:rsid w:val="00863BD3"/>
    <w:rsid w:val="008641ED"/>
    <w:rsid w:val="00866D66"/>
    <w:rsid w:val="008671C6"/>
    <w:rsid w:val="00875803"/>
    <w:rsid w:val="008848B7"/>
    <w:rsid w:val="00891743"/>
    <w:rsid w:val="008B459E"/>
    <w:rsid w:val="008C2643"/>
    <w:rsid w:val="008E13AE"/>
    <w:rsid w:val="008E1506"/>
    <w:rsid w:val="008E1A4F"/>
    <w:rsid w:val="008E710C"/>
    <w:rsid w:val="008F69D6"/>
    <w:rsid w:val="00902823"/>
    <w:rsid w:val="00915CA6"/>
    <w:rsid w:val="00921BA4"/>
    <w:rsid w:val="00927834"/>
    <w:rsid w:val="009500A6"/>
    <w:rsid w:val="00957C18"/>
    <w:rsid w:val="009659BA"/>
    <w:rsid w:val="00971F7D"/>
    <w:rsid w:val="00983040"/>
    <w:rsid w:val="009B3FB9"/>
    <w:rsid w:val="009B5F1E"/>
    <w:rsid w:val="009C2465"/>
    <w:rsid w:val="009D229A"/>
    <w:rsid w:val="009D35A0"/>
    <w:rsid w:val="009D7EB7"/>
    <w:rsid w:val="009E048A"/>
    <w:rsid w:val="009E08E9"/>
    <w:rsid w:val="009E3DB9"/>
    <w:rsid w:val="009E6E35"/>
    <w:rsid w:val="009F0EDA"/>
    <w:rsid w:val="009F2956"/>
    <w:rsid w:val="00A036E2"/>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47391"/>
    <w:rsid w:val="00B5067C"/>
    <w:rsid w:val="00B52583"/>
    <w:rsid w:val="00B52896"/>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B0BDE"/>
    <w:rsid w:val="00CC1B06"/>
    <w:rsid w:val="00CD6755"/>
    <w:rsid w:val="00CD6856"/>
    <w:rsid w:val="00CE0089"/>
    <w:rsid w:val="00CE793C"/>
    <w:rsid w:val="00CF193C"/>
    <w:rsid w:val="00D173F1"/>
    <w:rsid w:val="00D560E1"/>
    <w:rsid w:val="00D65FC8"/>
    <w:rsid w:val="00D74CB0"/>
    <w:rsid w:val="00D8295D"/>
    <w:rsid w:val="00DC2A65"/>
    <w:rsid w:val="00DE15F0"/>
    <w:rsid w:val="00DE5663"/>
    <w:rsid w:val="00DE78AA"/>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228D"/>
    <w:rsid w:val="00E8407C"/>
    <w:rsid w:val="00E84F3C"/>
    <w:rsid w:val="00EA012C"/>
    <w:rsid w:val="00EC0C63"/>
    <w:rsid w:val="00EC6A55"/>
    <w:rsid w:val="00ED0288"/>
    <w:rsid w:val="00EE52CB"/>
    <w:rsid w:val="00EF581D"/>
    <w:rsid w:val="00EF7FD8"/>
    <w:rsid w:val="00F06F59"/>
    <w:rsid w:val="00F17988"/>
    <w:rsid w:val="00F20B6C"/>
    <w:rsid w:val="00F30CF6"/>
    <w:rsid w:val="00F3461A"/>
    <w:rsid w:val="00F469F0"/>
    <w:rsid w:val="00F47AE0"/>
    <w:rsid w:val="00F53273"/>
    <w:rsid w:val="00F61620"/>
    <w:rsid w:val="00F67D87"/>
    <w:rsid w:val="00F755E4"/>
    <w:rsid w:val="00F77D02"/>
    <w:rsid w:val="00FB3A86"/>
    <w:rsid w:val="00FC061E"/>
    <w:rsid w:val="00FD2DE0"/>
    <w:rsid w:val="00FD36C8"/>
    <w:rsid w:val="00FF2C8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64779EF-3ED8-44F7-991B-1ADC19CE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styleId="UnresolvedMention">
    <w:name w:val="Unresolved Mention"/>
    <w:basedOn w:val="DefaultParagraphFont"/>
    <w:uiPriority w:val="99"/>
    <w:semiHidden/>
    <w:unhideWhenUsed/>
    <w:rsid w:val="00621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4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2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Genetic</a:t>
            </a:r>
            <a:r>
              <a:rPr lang="en-IN" baseline="0">
                <a:latin typeface="Times New Roman" pitchFamily="18" charset="0"/>
                <a:cs typeface="Times New Roman" pitchFamily="18" charset="0"/>
              </a:rPr>
              <a:t> Parameters</a:t>
            </a:r>
            <a:endParaRPr lang="en-IN">
              <a:latin typeface="Times New Roman" pitchFamily="18" charset="0"/>
              <a:cs typeface="Times New Roman" pitchFamily="18" charset="0"/>
            </a:endParaRPr>
          </a:p>
        </c:rich>
      </c:tx>
      <c:overlay val="0"/>
    </c:title>
    <c:autoTitleDeleted val="0"/>
    <c:plotArea>
      <c:layout>
        <c:manualLayout>
          <c:layoutTarget val="inner"/>
          <c:xMode val="edge"/>
          <c:yMode val="edge"/>
          <c:x val="9.4944787692729279E-2"/>
          <c:y val="0.15319302521073211"/>
          <c:w val="0.55669162888081081"/>
          <c:h val="0.74866141732283464"/>
        </c:manualLayout>
      </c:layout>
      <c:barChart>
        <c:barDir val="col"/>
        <c:grouping val="clustered"/>
        <c:varyColors val="0"/>
        <c:ser>
          <c:idx val="0"/>
          <c:order val="0"/>
          <c:tx>
            <c:strRef>
              <c:f>Sheet9!$B$1</c:f>
              <c:strCache>
                <c:ptCount val="1"/>
                <c:pt idx="0">
                  <c:v>Heritability in broad sense (H2) (%)</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Sheet9!$B$2:$B$11</c:f>
              <c:numCache>
                <c:formatCode>0.00</c:formatCode>
                <c:ptCount val="10"/>
                <c:pt idx="0">
                  <c:v>85.79</c:v>
                </c:pt>
                <c:pt idx="1">
                  <c:v>84.68</c:v>
                </c:pt>
                <c:pt idx="2">
                  <c:v>89</c:v>
                </c:pt>
                <c:pt idx="3">
                  <c:v>88.37</c:v>
                </c:pt>
                <c:pt idx="4">
                  <c:v>83.8</c:v>
                </c:pt>
                <c:pt idx="5">
                  <c:v>98.34</c:v>
                </c:pt>
                <c:pt idx="6">
                  <c:v>93.73</c:v>
                </c:pt>
                <c:pt idx="7">
                  <c:v>97.07</c:v>
                </c:pt>
                <c:pt idx="8">
                  <c:v>98.31</c:v>
                </c:pt>
                <c:pt idx="9">
                  <c:v>96.15</c:v>
                </c:pt>
              </c:numCache>
            </c:numRef>
          </c:val>
          <c:extLst>
            <c:ext xmlns:c16="http://schemas.microsoft.com/office/drawing/2014/chart" uri="{C3380CC4-5D6E-409C-BE32-E72D297353CC}">
              <c16:uniqueId val="{00000000-4F2F-48EE-9B80-3207C65D8854}"/>
            </c:ext>
          </c:extLst>
        </c:ser>
        <c:ser>
          <c:idx val="1"/>
          <c:order val="1"/>
          <c:tx>
            <c:strRef>
              <c:f>Sheet9!$C$1</c:f>
              <c:strCache>
                <c:ptCount val="1"/>
                <c:pt idx="0">
                  <c:v>Genetic Advance</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Sheet9!$C$2:$C$11</c:f>
              <c:numCache>
                <c:formatCode>0.00</c:formatCode>
                <c:ptCount val="10"/>
                <c:pt idx="0">
                  <c:v>11.0641</c:v>
                </c:pt>
                <c:pt idx="1">
                  <c:v>11.747299999999999</c:v>
                </c:pt>
                <c:pt idx="2">
                  <c:v>35.594499999999996</c:v>
                </c:pt>
                <c:pt idx="3">
                  <c:v>5.7062999999999997</c:v>
                </c:pt>
                <c:pt idx="4">
                  <c:v>8.3813999999999993</c:v>
                </c:pt>
                <c:pt idx="5">
                  <c:v>1.9105000000000001</c:v>
                </c:pt>
                <c:pt idx="6">
                  <c:v>10.0791</c:v>
                </c:pt>
                <c:pt idx="7">
                  <c:v>11.98</c:v>
                </c:pt>
                <c:pt idx="8">
                  <c:v>13.181800000000001</c:v>
                </c:pt>
                <c:pt idx="9">
                  <c:v>7.45</c:v>
                </c:pt>
              </c:numCache>
            </c:numRef>
          </c:val>
          <c:extLst>
            <c:ext xmlns:c16="http://schemas.microsoft.com/office/drawing/2014/chart" uri="{C3380CC4-5D6E-409C-BE32-E72D297353CC}">
              <c16:uniqueId val="{00000001-4F2F-48EE-9B80-3207C65D8854}"/>
            </c:ext>
          </c:extLst>
        </c:ser>
        <c:ser>
          <c:idx val="2"/>
          <c:order val="2"/>
          <c:tx>
            <c:strRef>
              <c:f>Sheet9!$D$1</c:f>
              <c:strCache>
                <c:ptCount val="1"/>
                <c:pt idx="0">
                  <c:v>Genetic Advance as % of mean</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Sheet9!$D$2:$D$11</c:f>
              <c:numCache>
                <c:formatCode>0.00</c:formatCode>
                <c:ptCount val="10"/>
                <c:pt idx="0">
                  <c:v>17.906700000000001</c:v>
                </c:pt>
                <c:pt idx="1">
                  <c:v>12.5054</c:v>
                </c:pt>
                <c:pt idx="2">
                  <c:v>29.430599999999998</c:v>
                </c:pt>
                <c:pt idx="3">
                  <c:v>47.622399999999999</c:v>
                </c:pt>
                <c:pt idx="4">
                  <c:v>11.157</c:v>
                </c:pt>
                <c:pt idx="5">
                  <c:v>35.441200000000002</c:v>
                </c:pt>
                <c:pt idx="6">
                  <c:v>27.380500000000001</c:v>
                </c:pt>
                <c:pt idx="7">
                  <c:v>52.880200000000002</c:v>
                </c:pt>
                <c:pt idx="8">
                  <c:v>66.396600000000007</c:v>
                </c:pt>
                <c:pt idx="9">
                  <c:v>22.318200000000001</c:v>
                </c:pt>
              </c:numCache>
            </c:numRef>
          </c:val>
          <c:extLst>
            <c:ext xmlns:c16="http://schemas.microsoft.com/office/drawing/2014/chart" uri="{C3380CC4-5D6E-409C-BE32-E72D297353CC}">
              <c16:uniqueId val="{00000002-4F2F-48EE-9B80-3207C65D8854}"/>
            </c:ext>
          </c:extLst>
        </c:ser>
        <c:dLbls>
          <c:showLegendKey val="0"/>
          <c:showVal val="0"/>
          <c:showCatName val="0"/>
          <c:showSerName val="0"/>
          <c:showPercent val="0"/>
          <c:showBubbleSize val="0"/>
        </c:dLbls>
        <c:gapWidth val="150"/>
        <c:axId val="134170880"/>
        <c:axId val="134184960"/>
      </c:barChart>
      <c:catAx>
        <c:axId val="134170880"/>
        <c:scaling>
          <c:orientation val="minMax"/>
        </c:scaling>
        <c:delete val="0"/>
        <c:axPos val="b"/>
        <c:numFmt formatCode="General" sourceLinked="0"/>
        <c:majorTickMark val="out"/>
        <c:minorTickMark val="none"/>
        <c:tickLblPos val="nextTo"/>
        <c:txPr>
          <a:bodyPr/>
          <a:lstStyle/>
          <a:p>
            <a:pPr>
              <a:defRPr sz="1000" b="1">
                <a:latin typeface="Times New Roman" pitchFamily="18" charset="0"/>
                <a:cs typeface="Times New Roman" pitchFamily="18" charset="0"/>
              </a:defRPr>
            </a:pPr>
            <a:endParaRPr lang="en-US"/>
          </a:p>
        </c:txPr>
        <c:crossAx val="134184960"/>
        <c:crosses val="autoZero"/>
        <c:auto val="1"/>
        <c:lblAlgn val="ctr"/>
        <c:lblOffset val="100"/>
        <c:noMultiLvlLbl val="0"/>
      </c:catAx>
      <c:valAx>
        <c:axId val="134184960"/>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341708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292E-88D7-45BF-8852-5231C40B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9</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13</cp:revision>
  <cp:lastPrinted>1999-07-06T11:00:00Z</cp:lastPrinted>
  <dcterms:created xsi:type="dcterms:W3CDTF">2025-07-13T13:59:00Z</dcterms:created>
  <dcterms:modified xsi:type="dcterms:W3CDTF">2025-07-16T06:35:00Z</dcterms:modified>
</cp:coreProperties>
</file>