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58739" w14:textId="77777777" w:rsidR="006C3E5D" w:rsidRDefault="00991C0F" w:rsidP="007969FB">
      <w:pPr>
        <w:pStyle w:val="Title"/>
      </w:pPr>
      <w:r>
        <w:t>Unmasking the Hidden Pandemic: A Comprehensive Review of AMR</w:t>
      </w:r>
    </w:p>
    <w:p w14:paraId="74B779CF" w14:textId="77777777" w:rsidR="004A4FC8" w:rsidRDefault="004A4FC8" w:rsidP="00843085">
      <w:pPr>
        <w:spacing w:line="360" w:lineRule="auto"/>
        <w:jc w:val="both"/>
        <w:rPr>
          <w:rFonts w:ascii="Times New Roman" w:hAnsi="Times New Roman" w:cs="Times New Roman"/>
          <w:b/>
          <w:sz w:val="32"/>
          <w:szCs w:val="32"/>
        </w:rPr>
      </w:pPr>
    </w:p>
    <w:p w14:paraId="5EDCB9F6" w14:textId="77777777" w:rsidR="004A4FC8" w:rsidRDefault="004A4FC8" w:rsidP="00843085">
      <w:pPr>
        <w:spacing w:line="360" w:lineRule="auto"/>
        <w:jc w:val="both"/>
        <w:rPr>
          <w:rFonts w:ascii="Times New Roman" w:hAnsi="Times New Roman" w:cs="Times New Roman"/>
          <w:b/>
          <w:sz w:val="32"/>
          <w:szCs w:val="32"/>
        </w:rPr>
      </w:pPr>
    </w:p>
    <w:p w14:paraId="3362EB37" w14:textId="3DC8E3EC" w:rsidR="008D5865" w:rsidRPr="00843085" w:rsidRDefault="008D5865" w:rsidP="00843085">
      <w:pPr>
        <w:spacing w:line="360" w:lineRule="auto"/>
        <w:jc w:val="both"/>
        <w:rPr>
          <w:rFonts w:ascii="Times New Roman" w:hAnsi="Times New Roman" w:cs="Times New Roman"/>
          <w:b/>
          <w:sz w:val="32"/>
          <w:szCs w:val="32"/>
        </w:rPr>
      </w:pPr>
      <w:bookmarkStart w:id="0" w:name="_GoBack"/>
      <w:bookmarkEnd w:id="0"/>
      <w:r w:rsidRPr="00843085">
        <w:rPr>
          <w:rFonts w:ascii="Times New Roman" w:hAnsi="Times New Roman" w:cs="Times New Roman"/>
          <w:b/>
          <w:sz w:val="32"/>
          <w:szCs w:val="32"/>
        </w:rPr>
        <w:t>Abstract:</w:t>
      </w:r>
    </w:p>
    <w:p w14:paraId="74E66C7A" w14:textId="77777777" w:rsidR="008D5865" w:rsidRPr="008D5865" w:rsidRDefault="008D5865" w:rsidP="00843085">
      <w:pPr>
        <w:spacing w:after="0" w:line="360" w:lineRule="auto"/>
        <w:jc w:val="both"/>
        <w:rPr>
          <w:rFonts w:ascii="Times New Roman" w:eastAsia="Times New Roman" w:hAnsi="Times New Roman" w:cs="Times New Roman"/>
          <w:sz w:val="24"/>
          <w:szCs w:val="24"/>
        </w:rPr>
      </w:pPr>
      <w:r w:rsidRPr="008D5865">
        <w:rPr>
          <w:rFonts w:ascii="Times New Roman" w:eastAsia="Times New Roman" w:hAnsi="Times New Roman" w:cs="Times New Roman"/>
          <w:sz w:val="24"/>
          <w:szCs w:val="24"/>
        </w:rPr>
        <w:t>Antimicrobial resistance (AMR) has become a global health concern, sometimes called the "silent pandemic" since it slowly but surely harms public health, clinical outcomes, and economic stability. The careless use of antibiotics in medicine, farming, and animal husbandry, along with a lack of good regulatory monitoring and pollution of the environment, has sped up the evolution and spread of microbes that are resistant to them. This review looks at the many factors that contribute to AMR, including its molecular processes, environmental causes, clinical burden, and global spread. Increased resistance to normal treatments has made bacteria including Escherichia coli, Klebsiella pneumoniae, MRSA, and multidrug-resistant Mycobacterium tuberculosis more common, which has led to higher rates of illness, d</w:t>
      </w:r>
      <w:r w:rsidR="00843085">
        <w:rPr>
          <w:rFonts w:ascii="Times New Roman" w:eastAsia="Times New Roman" w:hAnsi="Times New Roman" w:cs="Times New Roman"/>
          <w:sz w:val="24"/>
          <w:szCs w:val="24"/>
        </w:rPr>
        <w:t xml:space="preserve">eath, and healthcare expenses. </w:t>
      </w:r>
      <w:r w:rsidRPr="008D5865">
        <w:rPr>
          <w:rFonts w:ascii="Times New Roman" w:eastAsia="Times New Roman" w:hAnsi="Times New Roman" w:cs="Times New Roman"/>
          <w:sz w:val="24"/>
          <w:szCs w:val="24"/>
        </w:rPr>
        <w:t xml:space="preserve">We did a thorough analysis of the literature using peer-reviewed sources to look at recent data on trends in resistance, important resistance genes, and how well current tactics to reduce resistance work. The results show that there are big holes in AMR surveillance, diagnostic tools, and the antibiotic research pipeline. Resistance genes are also common in natural environments, which makes containment even harder. Antimicrobial stewardship initiatives and global action plans have made some headway, but to really deal with the way AMR affects people, animals, and the environment, we need </w:t>
      </w:r>
      <w:r w:rsidR="00843085">
        <w:rPr>
          <w:rFonts w:ascii="Times New Roman" w:eastAsia="Times New Roman" w:hAnsi="Times New Roman" w:cs="Times New Roman"/>
          <w:sz w:val="24"/>
          <w:szCs w:val="24"/>
        </w:rPr>
        <w:t>a united, One Health strategy.</w:t>
      </w:r>
      <w:r w:rsidR="00843085">
        <w:rPr>
          <w:rFonts w:ascii="Times New Roman" w:eastAsia="Times New Roman" w:hAnsi="Times New Roman" w:cs="Times New Roman"/>
          <w:sz w:val="24"/>
          <w:szCs w:val="24"/>
        </w:rPr>
        <w:br/>
      </w:r>
      <w:r w:rsidRPr="008D5865">
        <w:rPr>
          <w:rFonts w:ascii="Times New Roman" w:eastAsia="Times New Roman" w:hAnsi="Times New Roman" w:cs="Times New Roman"/>
          <w:sz w:val="24"/>
          <w:szCs w:val="24"/>
        </w:rPr>
        <w:t>The assessment ends by stressing the importance of coordinated action around the world, new treatments, quick tests, and strong policy frameworks. AMR might undo decades of medical progress and bring about a post-antibiotic future in which even small illnesses could become deadly if nothing is done right away.</w:t>
      </w:r>
    </w:p>
    <w:p w14:paraId="46DC854F" w14:textId="77777777" w:rsidR="008D5865" w:rsidRPr="008D5865" w:rsidRDefault="008D5865" w:rsidP="008D5865"/>
    <w:p w14:paraId="14F30909" w14:textId="77777777" w:rsidR="007969FB" w:rsidRPr="007969FB" w:rsidRDefault="007969FB" w:rsidP="007969FB">
      <w:pPr>
        <w:pStyle w:val="ListParagraph"/>
        <w:numPr>
          <w:ilvl w:val="0"/>
          <w:numId w:val="2"/>
        </w:numPr>
        <w:spacing w:line="360" w:lineRule="auto"/>
        <w:jc w:val="both"/>
        <w:rPr>
          <w:rFonts w:ascii="Times New Roman" w:hAnsi="Times New Roman" w:cs="Times New Roman"/>
          <w:b/>
          <w:sz w:val="32"/>
          <w:szCs w:val="32"/>
        </w:rPr>
      </w:pPr>
      <w:r w:rsidRPr="007969FB">
        <w:rPr>
          <w:rFonts w:ascii="Times New Roman" w:hAnsi="Times New Roman" w:cs="Times New Roman"/>
          <w:b/>
          <w:sz w:val="32"/>
          <w:szCs w:val="32"/>
        </w:rPr>
        <w:lastRenderedPageBreak/>
        <w:t>Introduction:</w:t>
      </w:r>
    </w:p>
    <w:p w14:paraId="4AAE4FDF" w14:textId="77777777" w:rsidR="007969FB" w:rsidRPr="007969FB" w:rsidRDefault="007969FB" w:rsidP="007969FB">
      <w:pPr>
        <w:spacing w:line="360" w:lineRule="auto"/>
        <w:jc w:val="both"/>
        <w:rPr>
          <w:rFonts w:ascii="Times New Roman" w:hAnsi="Times New Roman" w:cs="Times New Roman"/>
          <w:sz w:val="24"/>
          <w:szCs w:val="24"/>
        </w:rPr>
      </w:pPr>
      <w:r w:rsidRPr="007969FB">
        <w:rPr>
          <w:rFonts w:ascii="Times New Roman" w:hAnsi="Times New Roman" w:cs="Times New Roman"/>
          <w:sz w:val="24"/>
          <w:szCs w:val="24"/>
        </w:rPr>
        <w:t>More and more people are realizing that antimicrobial resistance (AMR) is one of the biggest risks to health, food security, and development in the world today. The discovery and development of antibiotics in the early 20th century changed the course of medical history. They changed the way bacterial infections were treated and made diseases that used to be deadly treatable. But the benefits of these "miracle drugs" are fading fast because of the quick rise and spread of microbes that are resistant to antimicrobials. Infections caused by multidrug-resistant (MDR), extensively drug-resistant (XDR), and pan-drug-resistant (PDR) microorganisms are becoming increasingly widespread. This makes current treatments less effective and raises the cost of healthc</w:t>
      </w:r>
      <w:r w:rsidR="008D5865">
        <w:rPr>
          <w:rFonts w:ascii="Times New Roman" w:hAnsi="Times New Roman" w:cs="Times New Roman"/>
          <w:sz w:val="24"/>
          <w:szCs w:val="24"/>
        </w:rPr>
        <w:t xml:space="preserve">are, morbidity, and mortality. </w:t>
      </w:r>
      <w:r w:rsidRPr="007969FB">
        <w:rPr>
          <w:rFonts w:ascii="Times New Roman" w:hAnsi="Times New Roman" w:cs="Times New Roman"/>
          <w:sz w:val="24"/>
          <w:szCs w:val="24"/>
        </w:rPr>
        <w:t>AMR happens when microorganisms including bacteria, fungi, viruses, and parasites change so that they can survive the medications that are meant to kill them. Resistance is a normal aspect of evolution, but humans have sped it up a lot, especially by using too many antimicrobials in medicine, farming, and veterinary care. The extensive and sometimes random use of antibiotics has put selective pressure on resistant bacteria, which subsequently grow and spread throughout communities, hospitals, and borders. AMR is no longer just a few isolated outbreaks; it has reached pandemic levels, yet it is happening quietly and without the immediate publicity that pandemics like COVID-19 have.</w:t>
      </w:r>
      <w:r w:rsidRPr="007969FB">
        <w:rPr>
          <w:rFonts w:ascii="Times New Roman" w:hAnsi="Times New Roman" w:cs="Times New Roman"/>
          <w:sz w:val="24"/>
          <w:szCs w:val="24"/>
        </w:rPr>
        <w:br/>
      </w:r>
      <w:r w:rsidRPr="007969FB">
        <w:rPr>
          <w:rFonts w:ascii="Times New Roman" w:hAnsi="Times New Roman" w:cs="Times New Roman"/>
          <w:sz w:val="24"/>
          <w:szCs w:val="24"/>
        </w:rPr>
        <w:br/>
        <w:t>The phrase "silent pandemic" perfectly describes how AMR spreads. AMR doesn't spread quickly like viral pandemics do, and it doesn't get a lot of public attention since it spreads slowly and quietly. But the long-term effects are much worse. The 2019 Global Burden of Disease research on AMR found that it caused about 1.27 million deaths around the world, and resistant diseases caused millions more deaths. If no action is done, AMR could kill up to 10 million people every year by 2050. This would be more deaths than cancer and would cost the world economy almost $100 trillion.</w:t>
      </w:r>
      <w:r w:rsidRPr="007969FB">
        <w:rPr>
          <w:rFonts w:ascii="Times New Roman" w:hAnsi="Times New Roman" w:cs="Times New Roman"/>
          <w:sz w:val="24"/>
          <w:szCs w:val="24"/>
        </w:rPr>
        <w:br/>
      </w:r>
      <w:r w:rsidRPr="007969FB">
        <w:rPr>
          <w:rFonts w:ascii="Times New Roman" w:hAnsi="Times New Roman" w:cs="Times New Roman"/>
          <w:sz w:val="24"/>
          <w:szCs w:val="24"/>
        </w:rPr>
        <w:br/>
        <w:t xml:space="preserve">AMR's rise has big effects for the future of contemporary medicine. Antimicrobial prophylaxis and treatment are important for many medical operations, like surgeries, cancer chemotherapy, organ transplants, and taking care of babies who are born too early. If antibiotics aren't dependable, these treatments become riskier and may not work because of infections that can't be </w:t>
      </w:r>
      <w:r w:rsidRPr="007969FB">
        <w:rPr>
          <w:rFonts w:ascii="Times New Roman" w:hAnsi="Times New Roman" w:cs="Times New Roman"/>
          <w:sz w:val="24"/>
          <w:szCs w:val="24"/>
        </w:rPr>
        <w:lastRenderedPageBreak/>
        <w:t>treated. Also, there aren't many new antibiotics coming out, which is really worrying. In the last few decades, pharmaceutical companies have mostly stopped making antibiotics because they aren't very profitable and there are a lot of rules to follow. This has created a gap in new antimicrobial medication research.</w:t>
      </w:r>
      <w:r w:rsidRPr="007969FB">
        <w:rPr>
          <w:rFonts w:ascii="Times New Roman" w:hAnsi="Times New Roman" w:cs="Times New Roman"/>
          <w:sz w:val="24"/>
          <w:szCs w:val="24"/>
        </w:rPr>
        <w:br/>
      </w:r>
      <w:r w:rsidRPr="007969FB">
        <w:rPr>
          <w:rFonts w:ascii="Times New Roman" w:hAnsi="Times New Roman" w:cs="Times New Roman"/>
          <w:sz w:val="24"/>
          <w:szCs w:val="24"/>
        </w:rPr>
        <w:br/>
        <w:t>Differences in healthcare systems and antibiotic rules make the global issue of AMR even worse. Antibiotics are available without a prescription in many low- and middle-income countries (LMICs), and there aren't many diagnostic tools that can help doctors make smart decisions about how to prescribe them. It is also easier for resistant infections to spread when there is not enough basic sanitation, infection control, or public knowledge. On the other hand, even in wealthy countries, doctors often prescribe too many drugs because patients ask for them or because they aren't sure what the disease is. This is a big part of the problem.</w:t>
      </w:r>
      <w:r w:rsidRPr="007969FB">
        <w:rPr>
          <w:rFonts w:ascii="Times New Roman" w:hAnsi="Times New Roman" w:cs="Times New Roman"/>
          <w:sz w:val="24"/>
          <w:szCs w:val="24"/>
        </w:rPr>
        <w:br/>
      </w:r>
      <w:r w:rsidRPr="007969FB">
        <w:rPr>
          <w:rFonts w:ascii="Times New Roman" w:hAnsi="Times New Roman" w:cs="Times New Roman"/>
          <w:sz w:val="24"/>
          <w:szCs w:val="24"/>
        </w:rPr>
        <w:br/>
        <w:t>AMR is not just a medical problem; it's also an ecological one from a "One Health" point of view. You can find resistant organisms and their genes in water bodies, soil, and the food chain. They often come from agricultural runoff, pharmaceutical waste, or sewage that hasn't been cleaned. One big way that resistance genes get into the human ecology is through the use of antibiotics to help livestock and poultry develop. Because of this, we need to take an interdisciplinary strategy to fighting AMR that includes human health, animal health, agriculture, and the environment.</w:t>
      </w:r>
      <w:r w:rsidRPr="007969FB">
        <w:rPr>
          <w:rFonts w:ascii="Times New Roman" w:hAnsi="Times New Roman" w:cs="Times New Roman"/>
          <w:sz w:val="24"/>
          <w:szCs w:val="24"/>
        </w:rPr>
        <w:br/>
      </w:r>
      <w:r w:rsidRPr="007969FB">
        <w:rPr>
          <w:rFonts w:ascii="Times New Roman" w:hAnsi="Times New Roman" w:cs="Times New Roman"/>
          <w:sz w:val="24"/>
          <w:szCs w:val="24"/>
        </w:rPr>
        <w:br/>
        <w:t xml:space="preserve">In the last few years, there has been more work to stop AMR. In 2015, the World Health Organization (WHO), the Food and Agriculture Organization (FAO), and the World </w:t>
      </w:r>
      <w:proofErr w:type="spellStart"/>
      <w:r w:rsidRPr="007969FB">
        <w:rPr>
          <w:rFonts w:ascii="Times New Roman" w:hAnsi="Times New Roman" w:cs="Times New Roman"/>
          <w:sz w:val="24"/>
          <w:szCs w:val="24"/>
        </w:rPr>
        <w:t>Organisation</w:t>
      </w:r>
      <w:proofErr w:type="spellEnd"/>
      <w:r w:rsidRPr="007969FB">
        <w:rPr>
          <w:rFonts w:ascii="Times New Roman" w:hAnsi="Times New Roman" w:cs="Times New Roman"/>
          <w:sz w:val="24"/>
          <w:szCs w:val="24"/>
        </w:rPr>
        <w:t xml:space="preserve"> for Animal Health (WOAH) worked together to create the Global Action Plan on AMR. This framework demands for better infection prevention, better surveillance, more knowledge, better use of antimicrobials, and long-term funding for research and development. But these techniques are not being used evenly in all parts of the world, and the reaction is often not well-coordinated and not well-funded.</w:t>
      </w:r>
      <w:r w:rsidRPr="007969FB">
        <w:rPr>
          <w:rFonts w:ascii="Times New Roman" w:hAnsi="Times New Roman" w:cs="Times New Roman"/>
          <w:sz w:val="24"/>
          <w:szCs w:val="24"/>
        </w:rPr>
        <w:br/>
      </w:r>
      <w:r w:rsidRPr="007969FB">
        <w:rPr>
          <w:rFonts w:ascii="Times New Roman" w:hAnsi="Times New Roman" w:cs="Times New Roman"/>
          <w:sz w:val="24"/>
          <w:szCs w:val="24"/>
        </w:rPr>
        <w:br/>
        <w:t xml:space="preserve">The AMR situation has gotten much more difficult because of COVID-19. The pandemic made people more aware of infectious diseases, but it also led to a lot more people using antibiotics to </w:t>
      </w:r>
      <w:r w:rsidRPr="007969FB">
        <w:rPr>
          <w:rFonts w:ascii="Times New Roman" w:hAnsi="Times New Roman" w:cs="Times New Roman"/>
          <w:sz w:val="24"/>
          <w:szCs w:val="24"/>
        </w:rPr>
        <w:lastRenderedPageBreak/>
        <w:t>treat or prevent subsequent bacterial infections in COVID-19 patients, which was frequently not the right thing to do. COVID-19 has rendered hospitals so busy that they may have stopped doing their best to control the use of antibiotics. Also, supply chain problems have made it harder to get important drugs. The pandemic has shown how important it is to have strong healthcare systems, quick tests, and worldwide surveillance that works together. These are all just as important in the fight against AMR.</w:t>
      </w:r>
      <w:r w:rsidRPr="007969FB">
        <w:rPr>
          <w:rFonts w:ascii="Times New Roman" w:hAnsi="Times New Roman" w:cs="Times New Roman"/>
          <w:sz w:val="24"/>
          <w:szCs w:val="24"/>
        </w:rPr>
        <w:br/>
      </w:r>
      <w:r w:rsidRPr="007969FB">
        <w:rPr>
          <w:rFonts w:ascii="Times New Roman" w:hAnsi="Times New Roman" w:cs="Times New Roman"/>
          <w:sz w:val="24"/>
          <w:szCs w:val="24"/>
        </w:rPr>
        <w:br/>
        <w:t>In this light, the purpose of this review is to give a full picture of the global AMR dilemma. We look at the molecular mechanisms that cause resistance, how it affects different diseases and locations, and how well current surveillance and stewardship initiatives are working. The review also looks at what has to be done in the future with diagnostics, treatments, and policy changes to stop the terrible effects of resistance that isn't controlled. We hope that by putting together the most recent information, we can inform stakeholders and get them to take action toward long-term, successful solutions for fighting AMR, the silent pandemic that threatens the entire foundation of modern medicine.</w:t>
      </w:r>
    </w:p>
    <w:p w14:paraId="1C3B014B" w14:textId="77777777" w:rsidR="007969FB" w:rsidRDefault="007969FB" w:rsidP="007969FB">
      <w:pPr>
        <w:pStyle w:val="ListParagraph"/>
        <w:numPr>
          <w:ilvl w:val="0"/>
          <w:numId w:val="2"/>
        </w:numPr>
        <w:spacing w:line="360" w:lineRule="auto"/>
        <w:jc w:val="both"/>
        <w:rPr>
          <w:rFonts w:ascii="Times New Roman" w:hAnsi="Times New Roman" w:cs="Times New Roman"/>
          <w:b/>
          <w:sz w:val="32"/>
          <w:szCs w:val="32"/>
        </w:rPr>
      </w:pPr>
      <w:r w:rsidRPr="007969FB">
        <w:rPr>
          <w:rFonts w:ascii="Times New Roman" w:hAnsi="Times New Roman" w:cs="Times New Roman"/>
          <w:b/>
          <w:sz w:val="32"/>
          <w:szCs w:val="32"/>
        </w:rPr>
        <w:t>Methodology:</w:t>
      </w:r>
    </w:p>
    <w:p w14:paraId="1EAD6793" w14:textId="77777777" w:rsidR="007969FB" w:rsidRPr="007969FB" w:rsidRDefault="007969FB" w:rsidP="007969FB">
      <w:pPr>
        <w:pStyle w:val="ListParagraph"/>
        <w:numPr>
          <w:ilvl w:val="1"/>
          <w:numId w:val="2"/>
        </w:numPr>
        <w:spacing w:line="360" w:lineRule="auto"/>
        <w:jc w:val="both"/>
        <w:rPr>
          <w:rFonts w:ascii="Times New Roman" w:hAnsi="Times New Roman" w:cs="Times New Roman"/>
          <w:b/>
          <w:sz w:val="32"/>
          <w:szCs w:val="32"/>
        </w:rPr>
      </w:pPr>
      <w:r w:rsidRPr="007969FB">
        <w:rPr>
          <w:rFonts w:ascii="Times New Roman" w:hAnsi="Times New Roman" w:cs="Times New Roman"/>
          <w:b/>
          <w:sz w:val="28"/>
          <w:szCs w:val="28"/>
        </w:rPr>
        <w:t>Literature Survey:</w:t>
      </w:r>
    </w:p>
    <w:p w14:paraId="7D6B3742" w14:textId="77777777" w:rsidR="007969FB" w:rsidRPr="007969FB" w:rsidRDefault="007969FB" w:rsidP="007969FB">
      <w:pPr>
        <w:spacing w:line="360" w:lineRule="auto"/>
        <w:jc w:val="both"/>
        <w:rPr>
          <w:rFonts w:ascii="Times New Roman" w:hAnsi="Times New Roman" w:cs="Times New Roman"/>
          <w:sz w:val="24"/>
          <w:szCs w:val="24"/>
        </w:rPr>
      </w:pPr>
      <w:r>
        <w:rPr>
          <w:rFonts w:ascii="Times New Roman" w:hAnsi="Times New Roman" w:cs="Times New Roman"/>
          <w:sz w:val="24"/>
          <w:szCs w:val="24"/>
        </w:rPr>
        <w:t>A s</w:t>
      </w:r>
      <w:r w:rsidRPr="007969FB">
        <w:rPr>
          <w:rFonts w:ascii="Times New Roman" w:hAnsi="Times New Roman" w:cs="Times New Roman"/>
          <w:sz w:val="24"/>
          <w:szCs w:val="24"/>
        </w:rPr>
        <w:t>ystematic literature search across several databases</w:t>
      </w:r>
      <w:r>
        <w:rPr>
          <w:rFonts w:ascii="Times New Roman" w:hAnsi="Times New Roman" w:cs="Times New Roman"/>
          <w:sz w:val="24"/>
          <w:szCs w:val="24"/>
        </w:rPr>
        <w:t xml:space="preserve"> was conducted</w:t>
      </w:r>
      <w:r w:rsidRPr="007969FB">
        <w:rPr>
          <w:rFonts w:ascii="Times New Roman" w:hAnsi="Times New Roman" w:cs="Times New Roman"/>
          <w:sz w:val="24"/>
          <w:szCs w:val="24"/>
        </w:rPr>
        <w:t xml:space="preserve"> to make sure </w:t>
      </w:r>
      <w:r>
        <w:rPr>
          <w:rFonts w:ascii="Times New Roman" w:hAnsi="Times New Roman" w:cs="Times New Roman"/>
          <w:sz w:val="24"/>
          <w:szCs w:val="24"/>
        </w:rPr>
        <w:t xml:space="preserve">to </w:t>
      </w:r>
      <w:proofErr w:type="spellStart"/>
      <w:r>
        <w:rPr>
          <w:rFonts w:ascii="Times New Roman" w:hAnsi="Times New Roman" w:cs="Times New Roman"/>
          <w:sz w:val="24"/>
          <w:szCs w:val="24"/>
        </w:rPr>
        <w:t>get</w:t>
      </w:r>
      <w:r w:rsidRPr="007969FB">
        <w:rPr>
          <w:rFonts w:ascii="Times New Roman" w:hAnsi="Times New Roman" w:cs="Times New Roman"/>
          <w:sz w:val="24"/>
          <w:szCs w:val="24"/>
        </w:rPr>
        <w:t>full</w:t>
      </w:r>
      <w:proofErr w:type="spellEnd"/>
      <w:r w:rsidRPr="007969FB">
        <w:rPr>
          <w:rFonts w:ascii="Times New Roman" w:hAnsi="Times New Roman" w:cs="Times New Roman"/>
          <w:sz w:val="24"/>
          <w:szCs w:val="24"/>
        </w:rPr>
        <w:t xml:space="preserve"> and up-to-date grasp of the current state of antimicrobial resistance (AMR) around the world and the scientific debate around it.  The main databases that were used for this review were PubMed, Scopus, Web of Science, and Google Scholar.  The search period was confined to January 2010 to April 2025 in order to include current changes, new patterns of resistance, and sophisticated diagnostic and treatment methods.</w:t>
      </w:r>
    </w:p>
    <w:p w14:paraId="1533DC69" w14:textId="77777777" w:rsidR="007969FB" w:rsidRPr="007969FB" w:rsidRDefault="007969FB" w:rsidP="007969FB">
      <w:pPr>
        <w:spacing w:line="360" w:lineRule="auto"/>
        <w:jc w:val="both"/>
        <w:rPr>
          <w:rFonts w:ascii="Times New Roman" w:hAnsi="Times New Roman" w:cs="Times New Roman"/>
          <w:sz w:val="24"/>
          <w:szCs w:val="24"/>
        </w:rPr>
      </w:pPr>
    </w:p>
    <w:p w14:paraId="019B5E52" w14:textId="77777777" w:rsidR="007969FB" w:rsidRPr="007969FB" w:rsidRDefault="007969FB" w:rsidP="007969FB">
      <w:pPr>
        <w:pStyle w:val="ListParagraph"/>
        <w:numPr>
          <w:ilvl w:val="1"/>
          <w:numId w:val="2"/>
        </w:numPr>
        <w:spacing w:line="360" w:lineRule="auto"/>
        <w:jc w:val="both"/>
        <w:rPr>
          <w:rFonts w:ascii="Times New Roman" w:hAnsi="Times New Roman" w:cs="Times New Roman"/>
          <w:b/>
          <w:sz w:val="28"/>
          <w:szCs w:val="28"/>
        </w:rPr>
      </w:pPr>
      <w:r w:rsidRPr="007969FB">
        <w:rPr>
          <w:rFonts w:ascii="Times New Roman" w:hAnsi="Times New Roman" w:cs="Times New Roman"/>
          <w:b/>
          <w:sz w:val="28"/>
          <w:szCs w:val="28"/>
        </w:rPr>
        <w:t xml:space="preserve"> Search Strategy:</w:t>
      </w:r>
    </w:p>
    <w:p w14:paraId="407E2FC7" w14:textId="77777777" w:rsidR="007969FB" w:rsidRDefault="007969FB" w:rsidP="007969FB">
      <w:pPr>
        <w:spacing w:after="0" w:line="360" w:lineRule="auto"/>
        <w:jc w:val="both"/>
        <w:rPr>
          <w:rFonts w:ascii="Times New Roman" w:eastAsia="Times New Roman" w:hAnsi="Times New Roman" w:cs="Times New Roman"/>
          <w:sz w:val="24"/>
          <w:szCs w:val="24"/>
        </w:rPr>
      </w:pPr>
      <w:r w:rsidRPr="007969FB">
        <w:rPr>
          <w:rFonts w:ascii="Times New Roman" w:eastAsia="Times New Roman" w:hAnsi="Times New Roman" w:cs="Times New Roman"/>
          <w:sz w:val="24"/>
          <w:szCs w:val="24"/>
        </w:rPr>
        <w:t>A combination of Medical Subject Headings (</w:t>
      </w:r>
      <w:proofErr w:type="spellStart"/>
      <w:r w:rsidRPr="007969FB">
        <w:rPr>
          <w:rFonts w:ascii="Times New Roman" w:eastAsia="Times New Roman" w:hAnsi="Times New Roman" w:cs="Times New Roman"/>
          <w:sz w:val="24"/>
          <w:szCs w:val="24"/>
        </w:rPr>
        <w:t>MeSH</w:t>
      </w:r>
      <w:proofErr w:type="spellEnd"/>
      <w:r w:rsidRPr="007969FB">
        <w:rPr>
          <w:rFonts w:ascii="Times New Roman" w:eastAsia="Times New Roman" w:hAnsi="Times New Roman" w:cs="Times New Roman"/>
          <w:sz w:val="24"/>
          <w:szCs w:val="24"/>
        </w:rPr>
        <w:t xml:space="preserve">) and free-text keywords was utilized to guarantee comprehensive retrieval of pertinent literature. Boolean operators (AND, OR) and truncation symbols were employed to enhance the search precision. The subsequent search string </w:t>
      </w:r>
      <w:r w:rsidRPr="007969FB">
        <w:rPr>
          <w:rFonts w:ascii="Times New Roman" w:eastAsia="Times New Roman" w:hAnsi="Times New Roman" w:cs="Times New Roman"/>
          <w:sz w:val="24"/>
          <w:szCs w:val="24"/>
        </w:rPr>
        <w:lastRenderedPageBreak/>
        <w:t>wa</w:t>
      </w:r>
      <w:r>
        <w:rPr>
          <w:rFonts w:ascii="Times New Roman" w:eastAsia="Times New Roman" w:hAnsi="Times New Roman" w:cs="Times New Roman"/>
          <w:sz w:val="24"/>
          <w:szCs w:val="24"/>
        </w:rPr>
        <w:t xml:space="preserve">s modified for each database: </w:t>
      </w:r>
      <w:r w:rsidRPr="007969FB">
        <w:rPr>
          <w:rFonts w:ascii="Times New Roman" w:eastAsia="Times New Roman" w:hAnsi="Times New Roman" w:cs="Times New Roman"/>
          <w:sz w:val="24"/>
          <w:szCs w:val="24"/>
        </w:rPr>
        <w:t>“antimicrobial resistance” OR “antibiotic resistance” OR “drug resistance”) AND (“AMR surveillance” OR “resistance genes” OR “multi-drug resistance” OR “MDR pathogens”) AND (“stewardship” OR “antibiotic misuse” OR “infection control” OR “novel antibiotics”) AND (“hospital-acquired infections” OR “comm</w:t>
      </w:r>
      <w:r>
        <w:rPr>
          <w:rFonts w:ascii="Times New Roman" w:eastAsia="Times New Roman" w:hAnsi="Times New Roman" w:cs="Times New Roman"/>
          <w:sz w:val="24"/>
          <w:szCs w:val="24"/>
        </w:rPr>
        <w:t xml:space="preserve">unity-acquired infections </w:t>
      </w:r>
      <w:r w:rsidRPr="007969FB">
        <w:rPr>
          <w:rFonts w:ascii="Times New Roman" w:eastAsia="Times New Roman" w:hAnsi="Times New Roman" w:cs="Times New Roman"/>
          <w:sz w:val="24"/>
          <w:szCs w:val="24"/>
        </w:rPr>
        <w:t>AND (“global burden” OR “epidemio</w:t>
      </w:r>
      <w:r>
        <w:rPr>
          <w:rFonts w:ascii="Times New Roman" w:eastAsia="Times New Roman" w:hAnsi="Times New Roman" w:cs="Times New Roman"/>
          <w:sz w:val="24"/>
          <w:szCs w:val="24"/>
        </w:rPr>
        <w:t xml:space="preserve">logy” OR “public health impact. </w:t>
      </w:r>
    </w:p>
    <w:p w14:paraId="3BA415D9" w14:textId="77777777" w:rsidR="00440FB4" w:rsidRDefault="00440FB4" w:rsidP="007969FB">
      <w:pPr>
        <w:spacing w:after="0" w:line="360" w:lineRule="auto"/>
        <w:jc w:val="both"/>
        <w:rPr>
          <w:rFonts w:ascii="Times New Roman" w:eastAsia="Times New Roman" w:hAnsi="Times New Roman" w:cs="Times New Roman"/>
          <w:sz w:val="24"/>
          <w:szCs w:val="24"/>
        </w:rPr>
      </w:pPr>
    </w:p>
    <w:p w14:paraId="4F91A87D" w14:textId="77777777" w:rsidR="00440FB4" w:rsidRPr="00440FB4" w:rsidRDefault="00440FB4" w:rsidP="00440FB4">
      <w:pPr>
        <w:spacing w:after="0" w:line="360" w:lineRule="auto"/>
        <w:jc w:val="both"/>
        <w:rPr>
          <w:rFonts w:ascii="Times New Roman" w:eastAsia="Times New Roman" w:hAnsi="Times New Roman" w:cs="Times New Roman"/>
          <w:sz w:val="24"/>
          <w:szCs w:val="24"/>
        </w:rPr>
      </w:pPr>
      <w:r w:rsidRPr="00440FB4">
        <w:rPr>
          <w:rFonts w:ascii="Times New Roman" w:eastAsia="Times New Roman" w:hAnsi="Times New Roman" w:cs="Times New Roman"/>
          <w:sz w:val="24"/>
          <w:szCs w:val="24"/>
        </w:rPr>
        <w:t>Types of studies: original publications that have been peer-reviewed, reviews, meta-analyses, clinical guidelines, and global surveillance reports</w:t>
      </w:r>
    </w:p>
    <w:p w14:paraId="21F9B5AE" w14:textId="68839ABA" w:rsidR="00440FB4" w:rsidRPr="00440FB4" w:rsidRDefault="00440FB4" w:rsidP="00440FB4">
      <w:pPr>
        <w:spacing w:after="0" w:line="360" w:lineRule="auto"/>
        <w:jc w:val="both"/>
        <w:rPr>
          <w:rFonts w:ascii="Times New Roman" w:eastAsia="Times New Roman" w:hAnsi="Times New Roman" w:cs="Times New Roman"/>
          <w:sz w:val="24"/>
          <w:szCs w:val="24"/>
        </w:rPr>
      </w:pPr>
      <w:r w:rsidRPr="00440FB4">
        <w:rPr>
          <w:rFonts w:ascii="Times New Roman" w:eastAsia="Times New Roman" w:hAnsi="Times New Roman" w:cs="Times New Roman"/>
          <w:sz w:val="24"/>
          <w:szCs w:val="24"/>
        </w:rPr>
        <w:t>Species: mainly humans, however there are also research from veterinary and environmental sources.</w:t>
      </w:r>
    </w:p>
    <w:p w14:paraId="6A2914AA" w14:textId="03BB87C4" w:rsidR="00440FB4" w:rsidRDefault="00440FB4" w:rsidP="00440FB4">
      <w:pPr>
        <w:spacing w:after="0" w:line="360" w:lineRule="auto"/>
        <w:jc w:val="both"/>
        <w:rPr>
          <w:rFonts w:ascii="Times New Roman" w:eastAsia="Times New Roman" w:hAnsi="Times New Roman" w:cs="Times New Roman"/>
          <w:sz w:val="24"/>
          <w:szCs w:val="24"/>
        </w:rPr>
      </w:pPr>
      <w:r w:rsidRPr="00440FB4">
        <w:rPr>
          <w:rFonts w:ascii="Times New Roman" w:eastAsia="Times New Roman" w:hAnsi="Times New Roman" w:cs="Times New Roman"/>
          <w:sz w:val="24"/>
          <w:szCs w:val="24"/>
        </w:rPr>
        <w:t xml:space="preserve"> Access Type: Open-access papers were preferred to make sure that everyone could see them and understand them.</w:t>
      </w:r>
    </w:p>
    <w:p w14:paraId="5A442BA3" w14:textId="77777777" w:rsidR="00440FB4" w:rsidRPr="007969FB" w:rsidRDefault="00440FB4" w:rsidP="00440FB4">
      <w:pPr>
        <w:spacing w:after="0" w:line="360" w:lineRule="auto"/>
        <w:jc w:val="both"/>
        <w:rPr>
          <w:rFonts w:ascii="Times New Roman" w:eastAsia="Times New Roman" w:hAnsi="Times New Roman" w:cs="Times New Roman"/>
          <w:sz w:val="24"/>
          <w:szCs w:val="24"/>
        </w:rPr>
      </w:pPr>
    </w:p>
    <w:p w14:paraId="5382D8D4" w14:textId="77777777" w:rsidR="007969FB" w:rsidRDefault="007969FB" w:rsidP="007969FB">
      <w:pPr>
        <w:spacing w:line="360" w:lineRule="auto"/>
        <w:jc w:val="both"/>
        <w:rPr>
          <w:rFonts w:ascii="Times New Roman" w:hAnsi="Times New Roman" w:cs="Times New Roman"/>
          <w:sz w:val="24"/>
          <w:szCs w:val="24"/>
        </w:rPr>
      </w:pPr>
      <w:r w:rsidRPr="007969FB">
        <w:rPr>
          <w:rFonts w:ascii="Times New Roman" w:hAnsi="Times New Roman" w:cs="Times New Roman"/>
          <w:sz w:val="24"/>
          <w:szCs w:val="24"/>
        </w:rPr>
        <w:t>The search results were imported into the reference management software EndNote and Zotero. We eliminated redundant records. We examined the titles and abstracts for relevance, subsequently obtaining the complete texts of potentially eligible papers. The PRISMA criteria were employed to ensure that the screening process was transparent and replicable.</w:t>
      </w:r>
    </w:p>
    <w:p w14:paraId="5DC5120F" w14:textId="77777777" w:rsidR="00FD256B" w:rsidRDefault="00FD256B" w:rsidP="00FD256B">
      <w:pPr>
        <w:keepNext/>
        <w:spacing w:line="360" w:lineRule="auto"/>
        <w:jc w:val="both"/>
      </w:pPr>
      <w:r>
        <w:rPr>
          <w:rFonts w:ascii="Times New Roman" w:hAnsi="Times New Roman" w:cs="Times New Roman"/>
          <w:noProof/>
          <w:sz w:val="24"/>
          <w:szCs w:val="24"/>
        </w:rPr>
        <w:lastRenderedPageBreak/>
        <w:drawing>
          <wp:inline distT="0" distB="0" distL="0" distR="0" wp14:anchorId="3518F7D4" wp14:editId="19E85091">
            <wp:extent cx="5943600" cy="5943600"/>
            <wp:effectExtent l="19050" t="0" r="0" b="0"/>
            <wp:docPr id="1" name="Picture 0" descr="prisma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a flowchart.png"/>
                    <pic:cNvPicPr/>
                  </pic:nvPicPr>
                  <pic:blipFill>
                    <a:blip r:embed="rId7" cstate="print"/>
                    <a:stretch>
                      <a:fillRect/>
                    </a:stretch>
                  </pic:blipFill>
                  <pic:spPr>
                    <a:xfrm>
                      <a:off x="0" y="0"/>
                      <a:ext cx="5943600" cy="5943600"/>
                    </a:xfrm>
                    <a:prstGeom prst="rect">
                      <a:avLst/>
                    </a:prstGeom>
                  </pic:spPr>
                </pic:pic>
              </a:graphicData>
            </a:graphic>
          </wp:inline>
        </w:drawing>
      </w:r>
    </w:p>
    <w:p w14:paraId="6C52A981" w14:textId="77777777" w:rsidR="00FD256B" w:rsidRPr="007969FB" w:rsidRDefault="00FD256B" w:rsidP="00FD256B">
      <w:pPr>
        <w:pStyle w:val="Caption"/>
        <w:jc w:val="both"/>
        <w:rPr>
          <w:rFonts w:ascii="Times New Roman" w:hAnsi="Times New Roman" w:cs="Times New Roman"/>
          <w:sz w:val="24"/>
          <w:szCs w:val="24"/>
        </w:rPr>
      </w:pPr>
      <w:r>
        <w:t xml:space="preserve">Figure </w:t>
      </w:r>
      <w:r w:rsidR="008E44F1">
        <w:fldChar w:fldCharType="begin"/>
      </w:r>
      <w:r w:rsidR="008E44F1">
        <w:instrText xml:space="preserve"> SEQ Figure \* ARABIC </w:instrText>
      </w:r>
      <w:r w:rsidR="008E44F1">
        <w:fldChar w:fldCharType="separate"/>
      </w:r>
      <w:r w:rsidR="008D2017">
        <w:rPr>
          <w:noProof/>
        </w:rPr>
        <w:t>1</w:t>
      </w:r>
      <w:r w:rsidR="008E44F1">
        <w:rPr>
          <w:noProof/>
        </w:rPr>
        <w:fldChar w:fldCharType="end"/>
      </w:r>
      <w:r>
        <w:t xml:space="preserve"> PRISMA Flowchart</w:t>
      </w:r>
    </w:p>
    <w:p w14:paraId="3A3DB4D2" w14:textId="77777777" w:rsidR="007969FB" w:rsidRPr="00FD256B" w:rsidRDefault="007969FB" w:rsidP="007969FB">
      <w:pPr>
        <w:pStyle w:val="ListParagraph"/>
        <w:numPr>
          <w:ilvl w:val="1"/>
          <w:numId w:val="2"/>
        </w:numPr>
        <w:spacing w:line="360" w:lineRule="auto"/>
        <w:jc w:val="both"/>
        <w:rPr>
          <w:rFonts w:ascii="Times New Roman" w:hAnsi="Times New Roman" w:cs="Times New Roman"/>
          <w:b/>
          <w:sz w:val="28"/>
          <w:szCs w:val="28"/>
        </w:rPr>
      </w:pPr>
      <w:r w:rsidRPr="00FD256B">
        <w:rPr>
          <w:rFonts w:ascii="Times New Roman" w:hAnsi="Times New Roman" w:cs="Times New Roman"/>
          <w:b/>
          <w:sz w:val="28"/>
          <w:szCs w:val="28"/>
        </w:rPr>
        <w:t>Inclusion and Exclusion Criteria:</w:t>
      </w:r>
    </w:p>
    <w:p w14:paraId="6C4EB8F9" w14:textId="77777777" w:rsidR="00FD256B" w:rsidRPr="00FD256B" w:rsidRDefault="00FD256B" w:rsidP="00FD256B">
      <w:pPr>
        <w:spacing w:after="0" w:line="360" w:lineRule="auto"/>
        <w:jc w:val="both"/>
        <w:rPr>
          <w:rFonts w:ascii="Times New Roman" w:eastAsia="Times New Roman" w:hAnsi="Times New Roman" w:cs="Times New Roman"/>
          <w:sz w:val="24"/>
          <w:szCs w:val="24"/>
        </w:rPr>
      </w:pPr>
      <w:r w:rsidRPr="00FD256B">
        <w:rPr>
          <w:rFonts w:ascii="Times New Roman" w:eastAsia="Times New Roman" w:hAnsi="Times New Roman" w:cs="Times New Roman"/>
          <w:sz w:val="24"/>
          <w:szCs w:val="24"/>
        </w:rPr>
        <w:t xml:space="preserve">Prior to examining the literature, explicit criteria were established to determine the inclusions and exclusions for this review, ensuring its scientific integrity and relevance. Included were studies mostly focused on antibiotic resistance and its impact on human health. This encompasses research examining resistance patterns, genetic processes, surveillance methods, clinical effects, or policy modifications. Potentially included research encompassed many </w:t>
      </w:r>
      <w:r w:rsidRPr="00FD256B">
        <w:rPr>
          <w:rFonts w:ascii="Times New Roman" w:eastAsia="Times New Roman" w:hAnsi="Times New Roman" w:cs="Times New Roman"/>
          <w:sz w:val="24"/>
          <w:szCs w:val="24"/>
        </w:rPr>
        <w:lastRenderedPageBreak/>
        <w:t>designs, including observational studies, meta-analyses, systematic reviews, surveillance reports, policy assessments, and experimental studies examining antimicrobial drugs or resistance determinants. We examined data from both hospitals and communities. We also examined publications focusing on resistance genes, infections exhibiting multi-treatment resistance, or interdisciplinary One Health perspectives that integrate human, animal, and environmental health to obtain a compre</w:t>
      </w:r>
      <w:r>
        <w:rPr>
          <w:rFonts w:ascii="Times New Roman" w:eastAsia="Times New Roman" w:hAnsi="Times New Roman" w:cs="Times New Roman"/>
          <w:sz w:val="24"/>
          <w:szCs w:val="24"/>
        </w:rPr>
        <w:t xml:space="preserve">hensive understanding of AMR.  </w:t>
      </w:r>
      <w:r w:rsidRPr="00FD256B">
        <w:rPr>
          <w:rFonts w:ascii="Times New Roman" w:eastAsia="Times New Roman" w:hAnsi="Times New Roman" w:cs="Times New Roman"/>
          <w:sz w:val="24"/>
          <w:szCs w:val="24"/>
        </w:rPr>
        <w:t>We exclusively examined research published in English to ensure accurate comprehension and analysis. To maintain statistical accuracy, only publications assessed by professionals and official reports from esteemed international organizations such as the WHO, CDC, FAO, and ECDC were utilized. The publication period was restricted to January 2010 to April 2025 to illustrate recent changes in diagnostics, genomics, stewardship activities, and worldwide policy frameworks for an</w:t>
      </w:r>
      <w:r>
        <w:rPr>
          <w:rFonts w:ascii="Times New Roman" w:eastAsia="Times New Roman" w:hAnsi="Times New Roman" w:cs="Times New Roman"/>
          <w:sz w:val="24"/>
          <w:szCs w:val="24"/>
        </w:rPr>
        <w:t xml:space="preserve">timicrobial resistance (AMR).  </w:t>
      </w:r>
      <w:r w:rsidRPr="00FD256B">
        <w:rPr>
          <w:rFonts w:ascii="Times New Roman" w:eastAsia="Times New Roman" w:hAnsi="Times New Roman" w:cs="Times New Roman"/>
          <w:sz w:val="24"/>
          <w:szCs w:val="24"/>
        </w:rPr>
        <w:t>Conversely, studies focusing just on antiviral, antifungal, or antiparasitic resistance, without addressing antibacterial resistance, were excluded unless they contributed to broader themes such as antimicrobial misuse or resistance management. To mitigate bias, non-peer-reviewed materials, such as newsletters, blogs, non-scientific opinion pieces, and anecdotal evidence, were excluded. We excluded studies that lacked sufficient data, failed to articulate their methodologies effectively, or addressed topics unrelated to AMR, such as pharmaceutical economics. Research on animals or the environment that lacked significance for human health was excluded unless it was incorporated w</w:t>
      </w:r>
      <w:r>
        <w:rPr>
          <w:rFonts w:ascii="Times New Roman" w:eastAsia="Times New Roman" w:hAnsi="Times New Roman" w:cs="Times New Roman"/>
          <w:sz w:val="24"/>
          <w:szCs w:val="24"/>
        </w:rPr>
        <w:t xml:space="preserve">ithin a One Health framework.  </w:t>
      </w:r>
      <w:r w:rsidRPr="00FD256B">
        <w:rPr>
          <w:rFonts w:ascii="Times New Roman" w:eastAsia="Times New Roman" w:hAnsi="Times New Roman" w:cs="Times New Roman"/>
          <w:sz w:val="24"/>
          <w:szCs w:val="24"/>
        </w:rPr>
        <w:t>These criteria ensured the selection of only high-quality, pertinent publications that collectively provide a comprehensive overview of the global antimicrobial resistance landscape and its various causes.</w:t>
      </w:r>
    </w:p>
    <w:p w14:paraId="231B1CBF" w14:textId="77777777" w:rsidR="007969FB" w:rsidRDefault="00FD256B" w:rsidP="00FD256B">
      <w:pPr>
        <w:pStyle w:val="ListParagraph"/>
        <w:numPr>
          <w:ilvl w:val="1"/>
          <w:numId w:val="2"/>
        </w:numPr>
        <w:spacing w:line="360" w:lineRule="auto"/>
        <w:jc w:val="both"/>
        <w:rPr>
          <w:rFonts w:ascii="Times New Roman" w:hAnsi="Times New Roman" w:cs="Times New Roman"/>
          <w:b/>
          <w:sz w:val="28"/>
          <w:szCs w:val="28"/>
        </w:rPr>
      </w:pPr>
      <w:r w:rsidRPr="00FD256B">
        <w:rPr>
          <w:rFonts w:ascii="Times New Roman" w:hAnsi="Times New Roman" w:cs="Times New Roman"/>
          <w:b/>
          <w:sz w:val="28"/>
          <w:szCs w:val="28"/>
        </w:rPr>
        <w:t>Data Extraction and Synthesis</w:t>
      </w:r>
      <w:r>
        <w:rPr>
          <w:rFonts w:ascii="Times New Roman" w:hAnsi="Times New Roman" w:cs="Times New Roman"/>
          <w:b/>
          <w:sz w:val="28"/>
          <w:szCs w:val="28"/>
        </w:rPr>
        <w:t>:</w:t>
      </w:r>
    </w:p>
    <w:p w14:paraId="622AA1A1" w14:textId="77777777" w:rsidR="00FD256B" w:rsidRPr="00FD256B" w:rsidRDefault="00FD256B" w:rsidP="00FD256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Those</w:t>
      </w:r>
      <w:r w:rsidRPr="00FD256B">
        <w:rPr>
          <w:rFonts w:ascii="Times New Roman" w:eastAsia="Times New Roman" w:hAnsi="Times New Roman" w:cs="Times New Roman"/>
          <w:sz w:val="24"/>
          <w:szCs w:val="24"/>
        </w:rPr>
        <w:t xml:space="preserve"> articles</w:t>
      </w:r>
      <w:r>
        <w:rPr>
          <w:rFonts w:ascii="Times New Roman" w:eastAsia="Times New Roman" w:hAnsi="Times New Roman" w:cs="Times New Roman"/>
          <w:sz w:val="24"/>
          <w:szCs w:val="24"/>
        </w:rPr>
        <w:t xml:space="preserve"> were selected</w:t>
      </w:r>
      <w:r w:rsidRPr="00FD256B">
        <w:rPr>
          <w:rFonts w:ascii="Times New Roman" w:eastAsia="Times New Roman" w:hAnsi="Times New Roman" w:cs="Times New Roman"/>
          <w:sz w:val="24"/>
          <w:szCs w:val="24"/>
        </w:rPr>
        <w:t xml:space="preserve"> that satisfied the inclusion criteria and subsequently extracted the data, organizing it into thematic categories. The primary characteristics identified included the study's geographical location, publication year, design, sample size, microbiological species examined, specific antimicrobial agents evaluated, and documented resistance mechanisms. There was an increased emphasis on whether the studies utilized clinical, environmental, or veterinary data to substantiate a One Health perspective. We examined literature that presented surveillance data to identify patterns in antimicrobial resistance throughout time and geography. We examined molecular research to identify the predominant resistance genes and genetic </w:t>
      </w:r>
      <w:r w:rsidRPr="00FD256B">
        <w:rPr>
          <w:rFonts w:ascii="Times New Roman" w:eastAsia="Times New Roman" w:hAnsi="Times New Roman" w:cs="Times New Roman"/>
          <w:sz w:val="24"/>
          <w:szCs w:val="24"/>
        </w:rPr>
        <w:lastRenderedPageBreak/>
        <w:t>elements that facilitate horizontal gene transfer. We analyzed resistance rates across several countries and healthcare environments, including hospitals, outpatient clinics, and community settings, whenever feasible. The extracted data were organized coherently, both qualitatively and quantitatively, and categorized into groups based on significant themes, including high-priority diseases, novel resistance mechanisms, and impacts on healthcare systems. Patterns and gaps were identified to reveal under-researched locations or overlooked bacterial species. This comprehensive synthesis enabled a complete understanding of the magnitude, severity, and complexity of antimicrobial resistance across several sectors globally.</w:t>
      </w:r>
    </w:p>
    <w:p w14:paraId="188779F4" w14:textId="77777777" w:rsidR="00FD256B" w:rsidRPr="00FD256B" w:rsidRDefault="00FD256B" w:rsidP="00FD256B">
      <w:pPr>
        <w:pStyle w:val="ListParagraph"/>
        <w:numPr>
          <w:ilvl w:val="0"/>
          <w:numId w:val="2"/>
        </w:numPr>
        <w:spacing w:line="360" w:lineRule="auto"/>
        <w:jc w:val="both"/>
        <w:rPr>
          <w:rFonts w:ascii="Times New Roman" w:hAnsi="Times New Roman" w:cs="Times New Roman"/>
          <w:b/>
          <w:sz w:val="32"/>
          <w:szCs w:val="32"/>
        </w:rPr>
      </w:pPr>
      <w:r w:rsidRPr="00FD256B">
        <w:rPr>
          <w:rFonts w:ascii="Times New Roman" w:hAnsi="Times New Roman" w:cs="Times New Roman"/>
          <w:b/>
          <w:sz w:val="32"/>
          <w:szCs w:val="32"/>
        </w:rPr>
        <w:t>Results:</w:t>
      </w:r>
    </w:p>
    <w:p w14:paraId="205E3EAA" w14:textId="77777777" w:rsidR="00FD256B" w:rsidRDefault="00FD256B" w:rsidP="00FD256B">
      <w:pPr>
        <w:pStyle w:val="ListParagraph"/>
        <w:numPr>
          <w:ilvl w:val="1"/>
          <w:numId w:val="2"/>
        </w:numPr>
        <w:spacing w:line="360" w:lineRule="auto"/>
        <w:jc w:val="both"/>
        <w:rPr>
          <w:rFonts w:ascii="Times New Roman" w:hAnsi="Times New Roman" w:cs="Times New Roman"/>
          <w:b/>
          <w:sz w:val="28"/>
          <w:szCs w:val="28"/>
        </w:rPr>
      </w:pPr>
      <w:r w:rsidRPr="00FD256B">
        <w:rPr>
          <w:rFonts w:ascii="Times New Roman" w:hAnsi="Times New Roman" w:cs="Times New Roman"/>
          <w:b/>
          <w:sz w:val="28"/>
          <w:szCs w:val="28"/>
        </w:rPr>
        <w:t>Prevalence of Resistance:</w:t>
      </w:r>
    </w:p>
    <w:p w14:paraId="5A96BC00" w14:textId="77777777" w:rsidR="00FD256B" w:rsidRPr="00FD256B" w:rsidRDefault="00FD256B" w:rsidP="00FD256B">
      <w:pPr>
        <w:spacing w:after="0" w:line="360" w:lineRule="auto"/>
        <w:jc w:val="both"/>
        <w:rPr>
          <w:rFonts w:ascii="Times New Roman" w:eastAsia="Times New Roman" w:hAnsi="Times New Roman" w:cs="Times New Roman"/>
          <w:sz w:val="24"/>
          <w:szCs w:val="24"/>
        </w:rPr>
      </w:pPr>
      <w:r w:rsidRPr="00FD256B">
        <w:rPr>
          <w:rFonts w:ascii="Times New Roman" w:eastAsia="Times New Roman" w:hAnsi="Times New Roman" w:cs="Times New Roman"/>
          <w:sz w:val="24"/>
          <w:szCs w:val="24"/>
        </w:rPr>
        <w:t>Antimicrobial resistance has reached alarming levels in certain infections critical to healthcare. Escherichia coli and Klebsiella pneumoniae are two Gram-negative bacteria notably resistant to fluoroquinolones and third-generation cephalosporins. For instance, more than 75% of E. coli and 68% of K. pneumoniae isolates exhibit resistance, complicating the treatment of urinary trac</w:t>
      </w:r>
      <w:r>
        <w:rPr>
          <w:rFonts w:ascii="Times New Roman" w:eastAsia="Times New Roman" w:hAnsi="Times New Roman" w:cs="Times New Roman"/>
          <w:sz w:val="24"/>
          <w:szCs w:val="24"/>
        </w:rPr>
        <w:t xml:space="preserve">t and bloodstream infections. </w:t>
      </w:r>
      <w:r w:rsidRPr="00FD256B">
        <w:rPr>
          <w:rFonts w:ascii="Times New Roman" w:eastAsia="Times New Roman" w:hAnsi="Times New Roman" w:cs="Times New Roman"/>
          <w:sz w:val="24"/>
          <w:szCs w:val="24"/>
        </w:rPr>
        <w:t>Acinetobacter baumannii is among the most resistant pathogens globally. Eight-two percent of isolates exhibited resistance to carbapenems, antibiotics utilized solely as a last resort. Pseudomonas aeruginosa exhibits significant resistance (60%) to various classes of medications, including a</w:t>
      </w:r>
      <w:r w:rsidR="00204379">
        <w:rPr>
          <w:rFonts w:ascii="Times New Roman" w:eastAsia="Times New Roman" w:hAnsi="Times New Roman" w:cs="Times New Roman"/>
          <w:sz w:val="24"/>
          <w:szCs w:val="24"/>
        </w:rPr>
        <w:t xml:space="preserve">minoglycosides and β-lactams.  </w:t>
      </w:r>
      <w:r w:rsidRPr="00FD256B">
        <w:rPr>
          <w:rFonts w:ascii="Times New Roman" w:eastAsia="Times New Roman" w:hAnsi="Times New Roman" w:cs="Times New Roman"/>
          <w:sz w:val="24"/>
          <w:szCs w:val="24"/>
        </w:rPr>
        <w:t>Methicillin-resistant Staphylococcus aureus (MRSA) remains a significant issue in healthcare settings, with approximately 56% of clinical is</w:t>
      </w:r>
      <w:r w:rsidR="00204379">
        <w:rPr>
          <w:rFonts w:ascii="Times New Roman" w:eastAsia="Times New Roman" w:hAnsi="Times New Roman" w:cs="Times New Roman"/>
          <w:sz w:val="24"/>
          <w:szCs w:val="24"/>
        </w:rPr>
        <w:t xml:space="preserve">olates exhibiting resistance.  </w:t>
      </w:r>
      <w:r w:rsidRPr="00FD256B">
        <w:rPr>
          <w:rFonts w:ascii="Times New Roman" w:eastAsia="Times New Roman" w:hAnsi="Times New Roman" w:cs="Times New Roman"/>
          <w:sz w:val="24"/>
          <w:szCs w:val="24"/>
        </w:rPr>
        <w:t>Tuberculosis, particularly its multidrug-resistant variant (MDR-TB), is a significant global health issue, notably in South Asia and Sub-Saharan Africa. Research indicates that 49% of MDR-TB cases exhibit resistance to first-line anti-TB medications, such as isoniazid and rifampicin, complicating t</w:t>
      </w:r>
      <w:r w:rsidR="00204379">
        <w:rPr>
          <w:rFonts w:ascii="Times New Roman" w:eastAsia="Times New Roman" w:hAnsi="Times New Roman" w:cs="Times New Roman"/>
          <w:sz w:val="24"/>
          <w:szCs w:val="24"/>
        </w:rPr>
        <w:t>heir treatment significantly. The</w:t>
      </w:r>
      <w:r w:rsidRPr="00FD256B">
        <w:rPr>
          <w:rFonts w:ascii="Times New Roman" w:eastAsia="Times New Roman" w:hAnsi="Times New Roman" w:cs="Times New Roman"/>
          <w:sz w:val="24"/>
          <w:szCs w:val="24"/>
        </w:rPr>
        <w:t xml:space="preserve"> chart below illustrates the prevalence of resistance among these significant diseases.</w:t>
      </w:r>
    </w:p>
    <w:p w14:paraId="63B72756" w14:textId="77777777" w:rsidR="00204379" w:rsidRDefault="00204379" w:rsidP="00204379">
      <w:pPr>
        <w:keepNext/>
        <w:spacing w:line="360" w:lineRule="auto"/>
        <w:jc w:val="both"/>
      </w:pPr>
      <w:r>
        <w:rPr>
          <w:rFonts w:ascii="Times New Roman" w:hAnsi="Times New Roman" w:cs="Times New Roman"/>
          <w:b/>
          <w:noProof/>
          <w:sz w:val="28"/>
          <w:szCs w:val="28"/>
        </w:rPr>
        <w:lastRenderedPageBreak/>
        <w:drawing>
          <wp:inline distT="0" distB="0" distL="0" distR="0" wp14:anchorId="00678845" wp14:editId="1EE37E62">
            <wp:extent cx="5486400" cy="32004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6CF832" w14:textId="77777777" w:rsidR="00FD256B" w:rsidRPr="00FD256B" w:rsidRDefault="00204379" w:rsidP="00204379">
      <w:pPr>
        <w:pStyle w:val="Caption"/>
        <w:jc w:val="both"/>
        <w:rPr>
          <w:rFonts w:ascii="Times New Roman" w:hAnsi="Times New Roman" w:cs="Times New Roman"/>
          <w:sz w:val="28"/>
          <w:szCs w:val="28"/>
        </w:rPr>
      </w:pPr>
      <w:r>
        <w:t xml:space="preserve">Figure </w:t>
      </w:r>
      <w:r w:rsidR="008E44F1">
        <w:fldChar w:fldCharType="begin"/>
      </w:r>
      <w:r w:rsidR="008E44F1">
        <w:instrText xml:space="preserve"> SEQ Figure \* ARABIC </w:instrText>
      </w:r>
      <w:r w:rsidR="008E44F1">
        <w:fldChar w:fldCharType="separate"/>
      </w:r>
      <w:r w:rsidR="008D2017">
        <w:rPr>
          <w:noProof/>
        </w:rPr>
        <w:t>2</w:t>
      </w:r>
      <w:r w:rsidR="008E44F1">
        <w:rPr>
          <w:noProof/>
        </w:rPr>
        <w:fldChar w:fldCharType="end"/>
      </w:r>
      <w:r>
        <w:t xml:space="preserve"> </w:t>
      </w:r>
      <w:r w:rsidRPr="007D544E">
        <w:t>the prevalence of resistance among these significant diseases</w:t>
      </w:r>
    </w:p>
    <w:p w14:paraId="637A437E" w14:textId="77777777" w:rsidR="00FD256B" w:rsidRDefault="00204379" w:rsidP="00204379">
      <w:pPr>
        <w:pStyle w:val="ListParagraph"/>
        <w:numPr>
          <w:ilvl w:val="1"/>
          <w:numId w:val="2"/>
        </w:numPr>
        <w:spacing w:line="360" w:lineRule="auto"/>
        <w:jc w:val="both"/>
        <w:rPr>
          <w:rFonts w:ascii="Times New Roman" w:hAnsi="Times New Roman" w:cs="Times New Roman"/>
          <w:b/>
          <w:sz w:val="28"/>
          <w:szCs w:val="28"/>
        </w:rPr>
      </w:pPr>
      <w:r w:rsidRPr="00204379">
        <w:rPr>
          <w:rFonts w:ascii="Times New Roman" w:hAnsi="Times New Roman" w:cs="Times New Roman"/>
          <w:b/>
          <w:sz w:val="28"/>
          <w:szCs w:val="28"/>
        </w:rPr>
        <w:t>Key Resistance Mechanisms</w:t>
      </w:r>
      <w:r>
        <w:rPr>
          <w:rFonts w:ascii="Times New Roman" w:hAnsi="Times New Roman" w:cs="Times New Roman"/>
          <w:b/>
          <w:sz w:val="28"/>
          <w:szCs w:val="28"/>
        </w:rPr>
        <w:t>:</w:t>
      </w:r>
    </w:p>
    <w:p w14:paraId="647C34DA" w14:textId="77777777" w:rsidR="00204379" w:rsidRDefault="00204379" w:rsidP="00204379">
      <w:pPr>
        <w:spacing w:after="0" w:line="360" w:lineRule="auto"/>
        <w:jc w:val="both"/>
        <w:rPr>
          <w:rFonts w:ascii="Times New Roman" w:eastAsia="Times New Roman" w:hAnsi="Times New Roman" w:cs="Times New Roman"/>
          <w:sz w:val="24"/>
          <w:szCs w:val="24"/>
        </w:rPr>
      </w:pPr>
      <w:r w:rsidRPr="00204379">
        <w:rPr>
          <w:rFonts w:ascii="Times New Roman" w:eastAsia="Times New Roman" w:hAnsi="Times New Roman" w:cs="Times New Roman"/>
          <w:sz w:val="24"/>
          <w:szCs w:val="24"/>
        </w:rPr>
        <w:t>Microorganisms employ several molecular methods to survive exposure to antimicrobials, rendering previously effective therapies ineffective. Certain methods of resistance are innate, whereas others arise from mutations and horizontal gene transfer</w:t>
      </w:r>
      <w:r>
        <w:rPr>
          <w:rFonts w:ascii="Times New Roman" w:eastAsia="Times New Roman" w:hAnsi="Times New Roman" w:cs="Times New Roman"/>
          <w:sz w:val="24"/>
          <w:szCs w:val="24"/>
        </w:rPr>
        <w:t>. The primary methods are:</w:t>
      </w:r>
    </w:p>
    <w:p w14:paraId="0C04879C" w14:textId="77777777" w:rsidR="00204379" w:rsidRPr="00204379" w:rsidRDefault="00204379" w:rsidP="00204379">
      <w:pPr>
        <w:pStyle w:val="ListParagraph"/>
        <w:numPr>
          <w:ilvl w:val="2"/>
          <w:numId w:val="2"/>
        </w:numPr>
        <w:spacing w:after="0" w:line="360" w:lineRule="auto"/>
        <w:jc w:val="both"/>
        <w:rPr>
          <w:rFonts w:ascii="Times New Roman" w:eastAsia="Times New Roman" w:hAnsi="Times New Roman" w:cs="Times New Roman"/>
          <w:b/>
          <w:sz w:val="24"/>
          <w:szCs w:val="24"/>
        </w:rPr>
      </w:pPr>
      <w:r w:rsidRPr="00204379">
        <w:rPr>
          <w:rFonts w:ascii="Times New Roman" w:eastAsia="Times New Roman" w:hAnsi="Times New Roman" w:cs="Times New Roman"/>
          <w:b/>
          <w:sz w:val="24"/>
          <w:szCs w:val="24"/>
        </w:rPr>
        <w:t>Enzymatic inactivation:</w:t>
      </w:r>
    </w:p>
    <w:p w14:paraId="24D31B2E" w14:textId="77777777" w:rsidR="00204379" w:rsidRDefault="00204379" w:rsidP="00204379">
      <w:pPr>
        <w:spacing w:after="0" w:line="360" w:lineRule="auto"/>
        <w:jc w:val="both"/>
        <w:rPr>
          <w:rFonts w:ascii="Times New Roman" w:eastAsia="Times New Roman" w:hAnsi="Times New Roman" w:cs="Times New Roman"/>
          <w:sz w:val="24"/>
          <w:szCs w:val="24"/>
        </w:rPr>
      </w:pPr>
      <w:r w:rsidRPr="00204379">
        <w:rPr>
          <w:rFonts w:ascii="Times New Roman" w:eastAsia="Times New Roman" w:hAnsi="Times New Roman" w:cs="Times New Roman"/>
          <w:sz w:val="24"/>
          <w:szCs w:val="24"/>
        </w:rPr>
        <w:t xml:space="preserve">This is the predominant mechanism by which bacteria, particularly Gram-negative bacteria, resist antibiotics. Microorganisms produce enzymes that modify or degrade antibiotics prior to their efficacy. For example, β-lactamases such as extended-spectrum β-lactamases (ESBLs) and </w:t>
      </w:r>
      <w:proofErr w:type="spellStart"/>
      <w:r w:rsidRPr="00204379">
        <w:rPr>
          <w:rFonts w:ascii="Times New Roman" w:eastAsia="Times New Roman" w:hAnsi="Times New Roman" w:cs="Times New Roman"/>
          <w:sz w:val="24"/>
          <w:szCs w:val="24"/>
        </w:rPr>
        <w:t>carbapenemases</w:t>
      </w:r>
      <w:proofErr w:type="spellEnd"/>
      <w:r w:rsidRPr="00204379">
        <w:rPr>
          <w:rFonts w:ascii="Times New Roman" w:eastAsia="Times New Roman" w:hAnsi="Times New Roman" w:cs="Times New Roman"/>
          <w:sz w:val="24"/>
          <w:szCs w:val="24"/>
        </w:rPr>
        <w:t xml:space="preserve"> like NDM-1 degrade β-lactam antibiotics, rendering them ineffective. </w:t>
      </w:r>
    </w:p>
    <w:p w14:paraId="51C66D54" w14:textId="77777777" w:rsidR="00204379" w:rsidRPr="00204379" w:rsidRDefault="00204379" w:rsidP="00204379">
      <w:pPr>
        <w:pStyle w:val="ListParagraph"/>
        <w:numPr>
          <w:ilvl w:val="2"/>
          <w:numId w:val="2"/>
        </w:numPr>
        <w:spacing w:after="0" w:line="360" w:lineRule="auto"/>
        <w:jc w:val="both"/>
        <w:rPr>
          <w:rFonts w:ascii="Times New Roman" w:hAnsi="Times New Roman" w:cs="Times New Roman"/>
          <w:b/>
          <w:sz w:val="24"/>
          <w:szCs w:val="24"/>
        </w:rPr>
      </w:pPr>
      <w:r w:rsidRPr="00204379">
        <w:rPr>
          <w:rFonts w:ascii="Times New Roman" w:hAnsi="Times New Roman" w:cs="Times New Roman"/>
          <w:b/>
          <w:sz w:val="24"/>
          <w:szCs w:val="24"/>
        </w:rPr>
        <w:t>Efflux Pumps:</w:t>
      </w:r>
    </w:p>
    <w:p w14:paraId="445D2381" w14:textId="77777777" w:rsidR="00204379" w:rsidRDefault="00204379" w:rsidP="00204379">
      <w:pPr>
        <w:spacing w:after="0" w:line="360" w:lineRule="auto"/>
        <w:jc w:val="both"/>
        <w:rPr>
          <w:rFonts w:ascii="Times New Roman" w:eastAsia="Times New Roman" w:hAnsi="Times New Roman" w:cs="Times New Roman"/>
          <w:sz w:val="24"/>
          <w:szCs w:val="24"/>
        </w:rPr>
      </w:pPr>
      <w:r w:rsidRPr="00204379">
        <w:rPr>
          <w:rFonts w:ascii="Times New Roman" w:eastAsia="Times New Roman" w:hAnsi="Times New Roman" w:cs="Times New Roman"/>
          <w:sz w:val="24"/>
          <w:szCs w:val="24"/>
        </w:rPr>
        <w:t xml:space="preserve">Efflux pumps are membrane-integrated proteins in bacteria that expel antimicrobial agents from the cell. These pumps reduce the intracellular concentration of antibiotics, so enabling bacterial survival. Efflux systems such as </w:t>
      </w:r>
      <w:proofErr w:type="spellStart"/>
      <w:r w:rsidRPr="00204379">
        <w:rPr>
          <w:rFonts w:ascii="Times New Roman" w:eastAsia="Times New Roman" w:hAnsi="Times New Roman" w:cs="Times New Roman"/>
          <w:sz w:val="24"/>
          <w:szCs w:val="24"/>
        </w:rPr>
        <w:t>AcrAB-TolC</w:t>
      </w:r>
      <w:proofErr w:type="spellEnd"/>
      <w:r w:rsidRPr="00204379">
        <w:rPr>
          <w:rFonts w:ascii="Times New Roman" w:eastAsia="Times New Roman" w:hAnsi="Times New Roman" w:cs="Times New Roman"/>
          <w:sz w:val="24"/>
          <w:szCs w:val="24"/>
        </w:rPr>
        <w:t xml:space="preserve"> in Escherichia coli and </w:t>
      </w:r>
      <w:proofErr w:type="spellStart"/>
      <w:r w:rsidRPr="00204379">
        <w:rPr>
          <w:rFonts w:ascii="Times New Roman" w:eastAsia="Times New Roman" w:hAnsi="Times New Roman" w:cs="Times New Roman"/>
          <w:sz w:val="24"/>
          <w:szCs w:val="24"/>
        </w:rPr>
        <w:t>MexAB-OprM</w:t>
      </w:r>
      <w:proofErr w:type="spellEnd"/>
      <w:r w:rsidRPr="00204379">
        <w:rPr>
          <w:rFonts w:ascii="Times New Roman" w:eastAsia="Times New Roman" w:hAnsi="Times New Roman" w:cs="Times New Roman"/>
          <w:sz w:val="24"/>
          <w:szCs w:val="24"/>
        </w:rPr>
        <w:t xml:space="preserve"> in Pseudomonas aeruginosa confer multidr</w:t>
      </w:r>
      <w:r>
        <w:rPr>
          <w:rFonts w:ascii="Times New Roman" w:eastAsia="Times New Roman" w:hAnsi="Times New Roman" w:cs="Times New Roman"/>
          <w:sz w:val="24"/>
          <w:szCs w:val="24"/>
        </w:rPr>
        <w:t xml:space="preserve">ug resistance to bacteria. </w:t>
      </w:r>
    </w:p>
    <w:p w14:paraId="4427EC99" w14:textId="77777777" w:rsidR="008D2017" w:rsidRDefault="008D2017" w:rsidP="008D2017">
      <w:pPr>
        <w:keepNext/>
        <w:spacing w:after="0" w:line="360" w:lineRule="auto"/>
        <w:jc w:val="both"/>
      </w:pPr>
      <w:r>
        <w:rPr>
          <w:rFonts w:ascii="Times New Roman" w:eastAsia="Times New Roman" w:hAnsi="Times New Roman" w:cs="Times New Roman"/>
          <w:noProof/>
          <w:sz w:val="24"/>
          <w:szCs w:val="24"/>
        </w:rPr>
        <w:lastRenderedPageBreak/>
        <w:drawing>
          <wp:inline distT="0" distB="0" distL="0" distR="0" wp14:anchorId="18743BBD" wp14:editId="3E24841F">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AC702A" w14:textId="77777777" w:rsidR="008D2017" w:rsidRDefault="008D2017" w:rsidP="008D2017">
      <w:pPr>
        <w:pStyle w:val="Caption"/>
        <w:jc w:val="both"/>
        <w:rPr>
          <w:rFonts w:ascii="Times New Roman" w:eastAsia="Times New Roman" w:hAnsi="Times New Roman" w:cs="Times New Roman"/>
          <w:sz w:val="24"/>
          <w:szCs w:val="24"/>
        </w:rPr>
      </w:pPr>
      <w:r>
        <w:t xml:space="preserve">Figure </w:t>
      </w:r>
      <w:r w:rsidR="00BD53E3">
        <w:fldChar w:fldCharType="begin"/>
      </w:r>
      <w:r>
        <w:instrText xml:space="preserve"> SEQ Figure \* ARABIC </w:instrText>
      </w:r>
      <w:r w:rsidR="00BD53E3">
        <w:fldChar w:fldCharType="separate"/>
      </w:r>
      <w:r>
        <w:rPr>
          <w:noProof/>
        </w:rPr>
        <w:t>3</w:t>
      </w:r>
      <w:r w:rsidR="00BD53E3">
        <w:fldChar w:fldCharType="end"/>
      </w:r>
      <w:r>
        <w:t xml:space="preserve"> </w:t>
      </w:r>
      <w:r w:rsidRPr="00741629">
        <w:t xml:space="preserve">Distribution </w:t>
      </w:r>
      <w:proofErr w:type="gramStart"/>
      <w:r w:rsidRPr="00741629">
        <w:t>Of</w:t>
      </w:r>
      <w:proofErr w:type="gramEnd"/>
      <w:r w:rsidRPr="00741629">
        <w:t xml:space="preserve"> Major Antimicrobial Resistance Mechanisms</w:t>
      </w:r>
    </w:p>
    <w:p w14:paraId="5457D924" w14:textId="77777777" w:rsidR="00204379" w:rsidRPr="00204379" w:rsidRDefault="00204379" w:rsidP="00204379">
      <w:pPr>
        <w:pStyle w:val="ListParagraph"/>
        <w:numPr>
          <w:ilvl w:val="2"/>
          <w:numId w:val="2"/>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 the Object:</w:t>
      </w:r>
      <w:r w:rsidRPr="00204379">
        <w:rPr>
          <w:rFonts w:ascii="Times New Roman" w:eastAsia="Times New Roman" w:hAnsi="Times New Roman" w:cs="Times New Roman"/>
          <w:b/>
          <w:sz w:val="24"/>
          <w:szCs w:val="24"/>
        </w:rPr>
        <w:t xml:space="preserve"> </w:t>
      </w:r>
    </w:p>
    <w:p w14:paraId="49322AC5" w14:textId="77777777" w:rsidR="00204379" w:rsidRDefault="00204379" w:rsidP="00204379">
      <w:pPr>
        <w:spacing w:after="0" w:line="360" w:lineRule="auto"/>
        <w:jc w:val="both"/>
        <w:rPr>
          <w:rFonts w:ascii="Times New Roman" w:eastAsia="Times New Roman" w:hAnsi="Times New Roman" w:cs="Times New Roman"/>
          <w:sz w:val="24"/>
          <w:szCs w:val="24"/>
        </w:rPr>
      </w:pPr>
      <w:r w:rsidRPr="00204379">
        <w:rPr>
          <w:rFonts w:ascii="Times New Roman" w:eastAsia="Times New Roman" w:hAnsi="Times New Roman" w:cs="Times New Roman"/>
          <w:sz w:val="24"/>
          <w:szCs w:val="24"/>
        </w:rPr>
        <w:t>This approach alters the structure of the bacteria targeted by antibiotics. Alterations in DNA gyrase can provide fluoroquinolone resistance in bacteria, while modifications in ribosomal RNA can lead to macrolide resistance. Methicillin-resistant Staphylococcus aureus (MRSA) possesses a modified penicillin-binding protein (PBP2a) that exhibits po</w:t>
      </w:r>
      <w:r>
        <w:rPr>
          <w:rFonts w:ascii="Times New Roman" w:eastAsia="Times New Roman" w:hAnsi="Times New Roman" w:cs="Times New Roman"/>
          <w:sz w:val="24"/>
          <w:szCs w:val="24"/>
        </w:rPr>
        <w:t xml:space="preserve">or affinity for β-lactams. </w:t>
      </w:r>
    </w:p>
    <w:p w14:paraId="249FA89A" w14:textId="77777777" w:rsidR="00204379" w:rsidRDefault="00204379" w:rsidP="00204379">
      <w:pPr>
        <w:pStyle w:val="ListParagraph"/>
        <w:numPr>
          <w:ilvl w:val="2"/>
          <w:numId w:val="2"/>
        </w:numPr>
        <w:spacing w:after="0" w:line="360" w:lineRule="auto"/>
        <w:jc w:val="both"/>
        <w:rPr>
          <w:rFonts w:ascii="Times New Roman" w:eastAsia="Times New Roman" w:hAnsi="Times New Roman" w:cs="Times New Roman"/>
          <w:sz w:val="24"/>
          <w:szCs w:val="24"/>
        </w:rPr>
      </w:pPr>
      <w:r w:rsidRPr="00204379">
        <w:rPr>
          <w:rFonts w:ascii="Times New Roman" w:eastAsia="Times New Roman" w:hAnsi="Times New Roman" w:cs="Times New Roman"/>
          <w:b/>
          <w:sz w:val="24"/>
          <w:szCs w:val="24"/>
        </w:rPr>
        <w:t>Horizontal Gene Transfer (HGT)</w:t>
      </w:r>
      <w:r>
        <w:rPr>
          <w:rFonts w:ascii="Times New Roman" w:eastAsia="Times New Roman" w:hAnsi="Times New Roman" w:cs="Times New Roman"/>
          <w:sz w:val="24"/>
          <w:szCs w:val="24"/>
        </w:rPr>
        <w:t xml:space="preserve">; </w:t>
      </w:r>
    </w:p>
    <w:p w14:paraId="1C13D80A" w14:textId="77777777" w:rsidR="00204379" w:rsidRPr="00204379" w:rsidRDefault="00204379" w:rsidP="00204379">
      <w:pPr>
        <w:spacing w:after="0" w:line="360" w:lineRule="auto"/>
        <w:jc w:val="both"/>
        <w:rPr>
          <w:rFonts w:ascii="Times New Roman" w:eastAsia="Times New Roman" w:hAnsi="Times New Roman" w:cs="Times New Roman"/>
          <w:sz w:val="24"/>
          <w:szCs w:val="24"/>
        </w:rPr>
      </w:pPr>
      <w:r w:rsidRPr="00204379">
        <w:rPr>
          <w:rFonts w:ascii="Times New Roman" w:eastAsia="Times New Roman" w:hAnsi="Times New Roman" w:cs="Times New Roman"/>
          <w:sz w:val="24"/>
          <w:szCs w:val="24"/>
        </w:rPr>
        <w:t xml:space="preserve">Plasmids, transposons, and </w:t>
      </w:r>
      <w:proofErr w:type="spellStart"/>
      <w:r w:rsidRPr="00204379">
        <w:rPr>
          <w:rFonts w:ascii="Times New Roman" w:eastAsia="Times New Roman" w:hAnsi="Times New Roman" w:cs="Times New Roman"/>
          <w:sz w:val="24"/>
          <w:szCs w:val="24"/>
        </w:rPr>
        <w:t>integrons</w:t>
      </w:r>
      <w:proofErr w:type="spellEnd"/>
      <w:r w:rsidRPr="00204379">
        <w:rPr>
          <w:rFonts w:ascii="Times New Roman" w:eastAsia="Times New Roman" w:hAnsi="Times New Roman" w:cs="Times New Roman"/>
          <w:sz w:val="24"/>
          <w:szCs w:val="24"/>
        </w:rPr>
        <w:t xml:space="preserve"> can rapidly transfer resistance genes among diverse bacterial species. Horizontal gene transfer accelerates the emergence of "superbugs" that exhibit resistance to many pharmaceuticals. The mcr-1 gene, conferring colistin resistance in bacteria (an antibiotic utilized just as a last resort), exemplifies how horizontal gene transfer (HGT) can disseminate resistance threats globally.</w:t>
      </w:r>
    </w:p>
    <w:p w14:paraId="4053C509" w14:textId="77777777" w:rsidR="008D2017" w:rsidRDefault="008D2017" w:rsidP="008D2017">
      <w:pPr>
        <w:keepNext/>
        <w:spacing w:line="360" w:lineRule="auto"/>
        <w:jc w:val="both"/>
      </w:pPr>
      <w:r>
        <w:rPr>
          <w:rFonts w:ascii="Times New Roman" w:hAnsi="Times New Roman" w:cs="Times New Roman"/>
          <w:b/>
          <w:noProof/>
          <w:sz w:val="28"/>
          <w:szCs w:val="28"/>
        </w:rPr>
        <w:lastRenderedPageBreak/>
        <w:drawing>
          <wp:inline distT="0" distB="0" distL="0" distR="0" wp14:anchorId="19ED7786" wp14:editId="460F167D">
            <wp:extent cx="5943600" cy="3962400"/>
            <wp:effectExtent l="19050" t="0" r="0" b="0"/>
            <wp:docPr id="3" name="Picture 2" descr="mechnis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nisms.png"/>
                    <pic:cNvPicPr/>
                  </pic:nvPicPr>
                  <pic:blipFill>
                    <a:blip r:embed="rId10" cstate="print"/>
                    <a:stretch>
                      <a:fillRect/>
                    </a:stretch>
                  </pic:blipFill>
                  <pic:spPr>
                    <a:xfrm>
                      <a:off x="0" y="0"/>
                      <a:ext cx="5943600" cy="3962400"/>
                    </a:xfrm>
                    <a:prstGeom prst="rect">
                      <a:avLst/>
                    </a:prstGeom>
                  </pic:spPr>
                </pic:pic>
              </a:graphicData>
            </a:graphic>
          </wp:inline>
        </w:drawing>
      </w:r>
    </w:p>
    <w:p w14:paraId="68BAB618" w14:textId="77777777" w:rsidR="00204379" w:rsidRPr="00204379" w:rsidRDefault="008D2017" w:rsidP="008D2017">
      <w:pPr>
        <w:pStyle w:val="Caption"/>
        <w:jc w:val="both"/>
        <w:rPr>
          <w:rFonts w:ascii="Times New Roman" w:hAnsi="Times New Roman" w:cs="Times New Roman"/>
          <w:sz w:val="28"/>
          <w:szCs w:val="28"/>
        </w:rPr>
      </w:pPr>
      <w:r>
        <w:t xml:space="preserve">Figure </w:t>
      </w:r>
      <w:r w:rsidR="008E44F1">
        <w:fldChar w:fldCharType="begin"/>
      </w:r>
      <w:r w:rsidR="008E44F1">
        <w:instrText xml:space="preserve"> SEQ Figure \* ARABIC </w:instrText>
      </w:r>
      <w:r w:rsidR="008E44F1">
        <w:fldChar w:fldCharType="separate"/>
      </w:r>
      <w:r>
        <w:rPr>
          <w:noProof/>
        </w:rPr>
        <w:t>4</w:t>
      </w:r>
      <w:r w:rsidR="008E44F1">
        <w:rPr>
          <w:noProof/>
        </w:rPr>
        <w:fldChar w:fldCharType="end"/>
      </w:r>
      <w:r>
        <w:t xml:space="preserve"> Different Resistance mechanisms </w:t>
      </w:r>
    </w:p>
    <w:p w14:paraId="5DE8B007" w14:textId="77777777" w:rsidR="00FD256B" w:rsidRPr="008D2017" w:rsidRDefault="008D2017" w:rsidP="008D2017">
      <w:pPr>
        <w:pStyle w:val="ListParagraph"/>
        <w:numPr>
          <w:ilvl w:val="1"/>
          <w:numId w:val="2"/>
        </w:numPr>
        <w:spacing w:line="360" w:lineRule="auto"/>
        <w:jc w:val="both"/>
        <w:rPr>
          <w:rFonts w:ascii="Times New Roman" w:hAnsi="Times New Roman" w:cs="Times New Roman"/>
          <w:b/>
          <w:sz w:val="28"/>
          <w:szCs w:val="28"/>
        </w:rPr>
      </w:pPr>
      <w:r w:rsidRPr="008D2017">
        <w:rPr>
          <w:rFonts w:ascii="Times New Roman" w:hAnsi="Times New Roman" w:cs="Times New Roman"/>
          <w:b/>
          <w:sz w:val="28"/>
          <w:szCs w:val="28"/>
        </w:rPr>
        <w:t>Environmental Reservoirs and Public Health Implications:</w:t>
      </w:r>
    </w:p>
    <w:p w14:paraId="42B5D94E" w14:textId="77777777" w:rsidR="008D2017" w:rsidRDefault="008D2017" w:rsidP="008D2017">
      <w:pPr>
        <w:spacing w:after="0" w:line="360" w:lineRule="auto"/>
        <w:jc w:val="both"/>
        <w:rPr>
          <w:rFonts w:ascii="Times New Roman" w:eastAsia="Times New Roman" w:hAnsi="Times New Roman" w:cs="Times New Roman"/>
          <w:sz w:val="24"/>
          <w:szCs w:val="24"/>
        </w:rPr>
      </w:pPr>
      <w:r w:rsidRPr="008D2017">
        <w:rPr>
          <w:rFonts w:ascii="Times New Roman" w:eastAsia="Times New Roman" w:hAnsi="Times New Roman" w:cs="Times New Roman"/>
          <w:sz w:val="24"/>
          <w:szCs w:val="24"/>
        </w:rPr>
        <w:t>Antimicrobial resistance (AMR) isn't just a problem in hospitals and clinics; it also thrives in natural ecosystems, where it can be found in large numbers of resistance genes. Often, hospitals, pharmaceutical companies, and animal farms dump their wastewater into surface water bodies without treating it properly. Researchers have observed that these polluted waterways include drug residues and bacteria that are resistant to antibiotics. These bacteria interact with local microbial populations, which leads to horizontal gene transfer. Soil, too, becomes a host for resistance genes, particularly in agricultural fields exposed to antibiotic-laden manure or pesticides. Studies of surveillance demonstrate that resistance genes are found at very high rates in surface water and agricultural runoff, especially in areas with a lot of people, including Asia and Africa.</w:t>
      </w:r>
    </w:p>
    <w:p w14:paraId="252FCF7A" w14:textId="77777777" w:rsidR="006B4973" w:rsidRDefault="006B4973" w:rsidP="008D2017">
      <w:pPr>
        <w:spacing w:after="0" w:line="360" w:lineRule="auto"/>
        <w:jc w:val="both"/>
        <w:rPr>
          <w:rFonts w:ascii="Times New Roman" w:eastAsia="Times New Roman" w:hAnsi="Times New Roman" w:cs="Times New Roman"/>
          <w:sz w:val="24"/>
          <w:szCs w:val="24"/>
        </w:rPr>
      </w:pPr>
    </w:p>
    <w:p w14:paraId="7F0DCE23" w14:textId="77777777" w:rsidR="006B4973" w:rsidRDefault="006B4973" w:rsidP="008D2017">
      <w:pPr>
        <w:spacing w:after="0" w:line="360" w:lineRule="auto"/>
        <w:jc w:val="both"/>
        <w:rPr>
          <w:rFonts w:ascii="Times New Roman" w:eastAsia="Times New Roman" w:hAnsi="Times New Roman" w:cs="Times New Roman"/>
          <w:sz w:val="24"/>
          <w:szCs w:val="24"/>
        </w:rPr>
      </w:pPr>
    </w:p>
    <w:p w14:paraId="4CC8B7E8" w14:textId="77777777" w:rsidR="006B4973" w:rsidRDefault="006B4973" w:rsidP="008D2017">
      <w:pPr>
        <w:spacing w:after="0" w:line="360" w:lineRule="auto"/>
        <w:jc w:val="both"/>
        <w:rPr>
          <w:rFonts w:ascii="Times New Roman" w:eastAsia="Times New Roman" w:hAnsi="Times New Roman" w:cs="Times New Roman"/>
          <w:sz w:val="24"/>
          <w:szCs w:val="24"/>
        </w:rPr>
      </w:pPr>
    </w:p>
    <w:p w14:paraId="11B20756" w14:textId="3C00C416" w:rsidR="006B4973" w:rsidRDefault="006B4973" w:rsidP="006B497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5.</w:t>
      </w:r>
    </w:p>
    <w:p w14:paraId="555E5A3B" w14:textId="77777777" w:rsidR="008D2017" w:rsidRPr="008D2017" w:rsidRDefault="007042B7" w:rsidP="008D201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DE85D6" wp14:editId="32C14713">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8D2017" w:rsidRPr="008D2017">
        <w:rPr>
          <w:rFonts w:ascii="Times New Roman" w:eastAsia="Times New Roman" w:hAnsi="Times New Roman" w:cs="Times New Roman"/>
          <w:sz w:val="24"/>
          <w:szCs w:val="24"/>
        </w:rPr>
        <w:br/>
      </w:r>
      <w:r w:rsidR="008D2017" w:rsidRPr="008D2017">
        <w:rPr>
          <w:rFonts w:ascii="Times New Roman" w:eastAsia="Times New Roman" w:hAnsi="Times New Roman" w:cs="Times New Roman"/>
          <w:sz w:val="24"/>
          <w:szCs w:val="24"/>
        </w:rPr>
        <w:br/>
        <w:t>This pervasive pollution of the environment has direct effects on people's health. People who use untreated surface or groundwater are at a significant risk of getting diseases that are resistant to treatment. Also, resistance genes from the environment can get back into hospitals and clinics through the food chain, swimming in contaminated water, or touching contaminated soil directly. This loop of transmission from the environment to people is a major cause of the rising worldwide burden of AMR-related illness and death. The effect is especially bad in places with few resources, where healthcare systems aren't good at dealing with d</w:t>
      </w:r>
      <w:r w:rsidR="008D5865">
        <w:rPr>
          <w:rFonts w:ascii="Times New Roman" w:eastAsia="Times New Roman" w:hAnsi="Times New Roman" w:cs="Times New Roman"/>
          <w:sz w:val="24"/>
          <w:szCs w:val="24"/>
        </w:rPr>
        <w:t>rug-resistant illnesses. Chart above</w:t>
      </w:r>
      <w:r w:rsidR="008D2017" w:rsidRPr="008D2017">
        <w:rPr>
          <w:rFonts w:ascii="Times New Roman" w:eastAsia="Times New Roman" w:hAnsi="Times New Roman" w:cs="Times New Roman"/>
          <w:sz w:val="24"/>
          <w:szCs w:val="24"/>
        </w:rPr>
        <w:t xml:space="preserve"> shows that AMR has a bigger effect on public health in areas with more pollution. This shows how important it is to have integrated One Health surveillance strategies that connect human, animal, and environmental health sectors.</w:t>
      </w:r>
    </w:p>
    <w:p w14:paraId="1FB85B8F" w14:textId="77777777" w:rsidR="008D2017" w:rsidRPr="008D5865" w:rsidRDefault="008D5865" w:rsidP="008D5865">
      <w:pPr>
        <w:pStyle w:val="ListParagraph"/>
        <w:numPr>
          <w:ilvl w:val="0"/>
          <w:numId w:val="2"/>
        </w:numPr>
        <w:spacing w:line="360" w:lineRule="auto"/>
        <w:jc w:val="both"/>
        <w:rPr>
          <w:rFonts w:ascii="Times New Roman" w:hAnsi="Times New Roman" w:cs="Times New Roman"/>
          <w:b/>
          <w:sz w:val="32"/>
          <w:szCs w:val="32"/>
        </w:rPr>
      </w:pPr>
      <w:r w:rsidRPr="008D5865">
        <w:rPr>
          <w:rFonts w:ascii="Times New Roman" w:hAnsi="Times New Roman" w:cs="Times New Roman"/>
          <w:b/>
          <w:sz w:val="32"/>
          <w:szCs w:val="32"/>
        </w:rPr>
        <w:t>Discussions:</w:t>
      </w:r>
    </w:p>
    <w:p w14:paraId="7E9D336B" w14:textId="77777777" w:rsidR="008D5865" w:rsidRPr="008D5865" w:rsidRDefault="008D5865" w:rsidP="008D5865">
      <w:pPr>
        <w:spacing w:after="0" w:line="360" w:lineRule="auto"/>
        <w:jc w:val="both"/>
        <w:rPr>
          <w:rFonts w:ascii="Times New Roman" w:eastAsia="Times New Roman" w:hAnsi="Times New Roman" w:cs="Times New Roman"/>
          <w:sz w:val="24"/>
          <w:szCs w:val="24"/>
        </w:rPr>
      </w:pPr>
      <w:r w:rsidRPr="008D5865">
        <w:rPr>
          <w:rFonts w:ascii="Times New Roman" w:eastAsia="Times New Roman" w:hAnsi="Times New Roman" w:cs="Times New Roman"/>
          <w:sz w:val="24"/>
          <w:szCs w:val="24"/>
        </w:rPr>
        <w:t>A lot of different biological, societal, and economic variables that go outside the clinic are making antimicrobial resistance (AMR) worse all across the world. Misusing and overusing antibiotics in human medicine is one of the main causes. Antibiotics are routinely given for viral infections when they aren't needed, or in the wrong amounts and for the wrong amount of time. This puts selective pressure on microbial populations and helps resistant strains survive. Patient-</w:t>
      </w:r>
      <w:r w:rsidRPr="008D5865">
        <w:rPr>
          <w:rFonts w:ascii="Times New Roman" w:eastAsia="Times New Roman" w:hAnsi="Times New Roman" w:cs="Times New Roman"/>
          <w:sz w:val="24"/>
          <w:szCs w:val="24"/>
        </w:rPr>
        <w:lastRenderedPageBreak/>
        <w:t>driven demand, a lack of diagnostic tools, and doctors not getting enough training in how to properly prescribe antibiotics all make the problem worse. Using over-the-counter antibiotics without a prescription, especially in low- and middle-income countries (LMICs) where there isn't much regulation, makes resistance worse and encourages people to us</w:t>
      </w:r>
      <w:r>
        <w:rPr>
          <w:rFonts w:ascii="Times New Roman" w:eastAsia="Times New Roman" w:hAnsi="Times New Roman" w:cs="Times New Roman"/>
          <w:sz w:val="24"/>
          <w:szCs w:val="24"/>
        </w:rPr>
        <w:t xml:space="preserve">e them without a prescription. </w:t>
      </w:r>
      <w:r w:rsidRPr="008D5865">
        <w:rPr>
          <w:rFonts w:ascii="Times New Roman" w:eastAsia="Times New Roman" w:hAnsi="Times New Roman" w:cs="Times New Roman"/>
          <w:sz w:val="24"/>
          <w:szCs w:val="24"/>
        </w:rPr>
        <w:t>The widespread use of antibiotics in farming and animal husbandry, together with people misusing them, is a major factor in the development and spread of resistance. Farm animals are regularly given antibiotics not only to treat diseases but also to help them grow. This is typically done in doses that are too low to be therapeutic, which makes it easy for resistance to develop. These germs that are resistant can then be passed on to people through the food chain, direct contact, or runoff from the environment, which is a major public health risk. The environmental side of AMR is just as scary. Pharmaceutical waste that hasn't been cleaned, hospital waste, and runoff from farms all pollute water bodies and soil, adding resistance genes to natural microbial communities. Environmental reservoirs are places where horizontal gene transfer can happen, which helps resistance elements spread across species and ecosystems. This is a big pa</w:t>
      </w:r>
      <w:r>
        <w:rPr>
          <w:rFonts w:ascii="Times New Roman" w:eastAsia="Times New Roman" w:hAnsi="Times New Roman" w:cs="Times New Roman"/>
          <w:sz w:val="24"/>
          <w:szCs w:val="24"/>
        </w:rPr>
        <w:t xml:space="preserve">rt of the One Health strategy. </w:t>
      </w:r>
      <w:r w:rsidRPr="008D5865">
        <w:rPr>
          <w:rFonts w:ascii="Times New Roman" w:eastAsia="Times New Roman" w:hAnsi="Times New Roman" w:cs="Times New Roman"/>
          <w:sz w:val="24"/>
          <w:szCs w:val="24"/>
        </w:rPr>
        <w:t>The lack of standardized and thorough surveillance methods is another big problem with the global approach to AMR. There isn't much data on resistance trends in many places, especially in LMICs. When there is data, it's often incomplete or out of date. Because there isn't enough accurate surveillance, it's harder to find problems early, identify risks, and come up with good ways to deal with them. Also, because diagnostic tools are not very good and laboratory infrastructure is limited, healthcare professionals routinely prescribe broad-spectrum antibiotics without testing them beforehand, making the problem of resistance even worse. To keep an eye on trends and plan actions, we need to strengthen global AMR surveillance by sharing data in real time and using standard reporting standards.</w:t>
      </w:r>
      <w:r w:rsidRPr="008D5865">
        <w:rPr>
          <w:rFonts w:ascii="Times New Roman" w:eastAsia="Times New Roman" w:hAnsi="Times New Roman" w:cs="Times New Roman"/>
          <w:sz w:val="24"/>
          <w:szCs w:val="24"/>
        </w:rPr>
        <w:br/>
      </w:r>
      <w:r w:rsidRPr="008D5865">
        <w:rPr>
          <w:rFonts w:ascii="Times New Roman" w:eastAsia="Times New Roman" w:hAnsi="Times New Roman" w:cs="Times New Roman"/>
          <w:sz w:val="24"/>
          <w:szCs w:val="24"/>
        </w:rPr>
        <w:br/>
        <w:t>The situation is even worse because new antimicrobial agents aren't being developed. Most drug companies have stopped working on antibiotic research since it doesn't pay off, there are a lot of rules to follow, and it's hard to find new classes of antibiotics. Because of this, the existing supply of antibiotics is not enough to replace the ones that are losing their effectiveness. There are new economic models being looked at to speed up medication research, include public-private partnerships, antibiotic subscription models, and push-pull incentives. H</w:t>
      </w:r>
      <w:r>
        <w:rPr>
          <w:rFonts w:ascii="Times New Roman" w:eastAsia="Times New Roman" w:hAnsi="Times New Roman" w:cs="Times New Roman"/>
          <w:sz w:val="24"/>
          <w:szCs w:val="24"/>
        </w:rPr>
        <w:t xml:space="preserve">owever, progress is still slow. </w:t>
      </w:r>
      <w:r w:rsidRPr="008D5865">
        <w:rPr>
          <w:rFonts w:ascii="Times New Roman" w:eastAsia="Times New Roman" w:hAnsi="Times New Roman" w:cs="Times New Roman"/>
          <w:sz w:val="24"/>
          <w:szCs w:val="24"/>
        </w:rPr>
        <w:t xml:space="preserve">Even with these problems, certain strategies have showed potential in stopping </w:t>
      </w:r>
      <w:r w:rsidRPr="008D5865">
        <w:rPr>
          <w:rFonts w:ascii="Times New Roman" w:eastAsia="Times New Roman" w:hAnsi="Times New Roman" w:cs="Times New Roman"/>
          <w:sz w:val="24"/>
          <w:szCs w:val="24"/>
        </w:rPr>
        <w:lastRenderedPageBreak/>
        <w:t>AMR. Antimicrobial Stewardship Programs (ASPs) in hospitals have been shown to be beneficial in making the best use of antibiotics, cutting down on unnecessary prescriptions, and improving patient outcomes. Using fast diagnostic tests at the point of treatment can also help with tailored therapy and cut down on the usage of broad-spectrum drugs without any evidence. The World Health Organization's Global Action Plan on AMR is a complete plan for the whole world, but it will only succeed if member states are willing to work together, give resources, and make political decisions. To really fight AMR, we need to take a broad, cross-sectoral approach that includes education, policy, innovation, and working together around the world.</w:t>
      </w:r>
    </w:p>
    <w:p w14:paraId="6FCA9218" w14:textId="77777777" w:rsidR="008D5865" w:rsidRDefault="008D5865" w:rsidP="008D5865">
      <w:pPr>
        <w:spacing w:line="360" w:lineRule="auto"/>
        <w:jc w:val="both"/>
        <w:rPr>
          <w:rFonts w:ascii="Times New Roman" w:hAnsi="Times New Roman" w:cs="Times New Roman"/>
          <w:b/>
          <w:sz w:val="28"/>
          <w:szCs w:val="28"/>
        </w:rPr>
      </w:pPr>
      <w:r>
        <w:rPr>
          <w:rFonts w:ascii="Times New Roman" w:hAnsi="Times New Roman" w:cs="Times New Roman"/>
          <w:b/>
          <w:sz w:val="28"/>
          <w:szCs w:val="28"/>
        </w:rPr>
        <w:t>Conclusions:</w:t>
      </w:r>
    </w:p>
    <w:p w14:paraId="14B2D113" w14:textId="77777777" w:rsidR="00D565F0" w:rsidRDefault="008D5865" w:rsidP="008D5865">
      <w:pPr>
        <w:spacing w:line="360" w:lineRule="auto"/>
        <w:jc w:val="both"/>
        <w:rPr>
          <w:rFonts w:ascii="Times New Roman" w:hAnsi="Times New Roman" w:cs="Times New Roman"/>
          <w:sz w:val="24"/>
          <w:szCs w:val="24"/>
        </w:rPr>
      </w:pPr>
      <w:r w:rsidRPr="008D5865">
        <w:rPr>
          <w:rFonts w:ascii="Times New Roman" w:hAnsi="Times New Roman" w:cs="Times New Roman"/>
          <w:sz w:val="24"/>
          <w:szCs w:val="24"/>
        </w:rPr>
        <w:t>AMR, or antimicrobial resistance, is one of the most serious and complicated health problems we face today. It often happens without anybody noticing, but its effects are becoming more and more clear as death rates rise, illnesses last longer, and the basic treatments of modern medicine become less effective. The widespread abuse and overuse of antibiotics in both human and veterinary medicine, together with pollution and poor regulations, have contributed to the fast spread of resistan</w:t>
      </w:r>
      <w:r>
        <w:rPr>
          <w:rFonts w:ascii="Times New Roman" w:hAnsi="Times New Roman" w:cs="Times New Roman"/>
          <w:sz w:val="24"/>
          <w:szCs w:val="24"/>
        </w:rPr>
        <w:t xml:space="preserve">t infections around the world. </w:t>
      </w:r>
      <w:r w:rsidRPr="008D5865">
        <w:rPr>
          <w:rFonts w:ascii="Times New Roman" w:hAnsi="Times New Roman" w:cs="Times New Roman"/>
          <w:sz w:val="24"/>
          <w:szCs w:val="24"/>
        </w:rPr>
        <w:t>Even while more and more scientific evidence is coming in and international organizations are getting involved, real progress is still limited because surveillance systems are not working together, diagnostic infrastructure is not good enough, and there are not enough incentives for new antibiotic development. AMR is too complicated for a simple fix. We need a long-term, all-encompassing approach that includes the ideas of One Health, which connects human, animal, and environmental health. Strengthening antimicrobial stewardship, tightening regulatory control, improving global AMR surveillance, and putting money into new drugs and tests are all im</w:t>
      </w:r>
      <w:r w:rsidR="00264EDC">
        <w:rPr>
          <w:rFonts w:ascii="Times New Roman" w:hAnsi="Times New Roman" w:cs="Times New Roman"/>
          <w:sz w:val="24"/>
          <w:szCs w:val="24"/>
        </w:rPr>
        <w:t>portant parts of this effort.</w:t>
      </w:r>
    </w:p>
    <w:p w14:paraId="74CBB26C" w14:textId="77777777" w:rsidR="00D565F0" w:rsidRDefault="00D565F0" w:rsidP="008D5865">
      <w:pPr>
        <w:spacing w:line="360" w:lineRule="auto"/>
        <w:jc w:val="both"/>
        <w:rPr>
          <w:rFonts w:ascii="Times New Roman" w:hAnsi="Times New Roman" w:cs="Times New Roman"/>
          <w:sz w:val="24"/>
          <w:szCs w:val="24"/>
        </w:rPr>
      </w:pPr>
    </w:p>
    <w:p w14:paraId="09A7B92C" w14:textId="77777777" w:rsidR="00D565F0" w:rsidRPr="00D565F0" w:rsidRDefault="00D565F0" w:rsidP="00D565F0">
      <w:pPr>
        <w:jc w:val="both"/>
        <w:outlineLvl w:val="0"/>
        <w:rPr>
          <w:rFonts w:ascii="Arial" w:eastAsiaTheme="minorEastAsia" w:hAnsi="Arial" w:cs="Arial"/>
          <w:lang w:val="en-GB" w:eastAsia="en-GB"/>
        </w:rPr>
      </w:pPr>
      <w:r w:rsidRPr="00D565F0">
        <w:rPr>
          <w:rFonts w:ascii="Arial" w:eastAsiaTheme="minorEastAsia" w:hAnsi="Arial" w:cs="Arial"/>
          <w:b/>
          <w:bCs/>
          <w:lang w:val="en-GB" w:eastAsia="en-GB"/>
        </w:rPr>
        <w:t>COMPETING INTERESTS DISCLAIMER:</w:t>
      </w:r>
    </w:p>
    <w:p w14:paraId="02777E4B" w14:textId="77777777" w:rsidR="00D565F0" w:rsidRPr="00D565F0" w:rsidRDefault="00D565F0" w:rsidP="00D565F0">
      <w:pPr>
        <w:rPr>
          <w:rFonts w:eastAsiaTheme="minorEastAsia"/>
          <w:lang w:val="en-GB" w:eastAsia="en-GB"/>
        </w:rPr>
      </w:pPr>
      <w:r w:rsidRPr="00D565F0">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4953973B" w14:textId="2B0B8A77" w:rsidR="008D5865" w:rsidRDefault="00264EDC" w:rsidP="008D5865">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Pr="00264EDC">
        <w:rPr>
          <w:rFonts w:ascii="Times New Roman" w:hAnsi="Times New Roman" w:cs="Times New Roman"/>
          <w:b/>
          <w:sz w:val="32"/>
          <w:szCs w:val="32"/>
        </w:rPr>
        <w:t>References:</w:t>
      </w:r>
    </w:p>
    <w:p w14:paraId="26DD9DA8"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lastRenderedPageBreak/>
        <w:t xml:space="preserve">World Health Organization. (2020). </w:t>
      </w:r>
      <w:r w:rsidRPr="00264EDC">
        <w:rPr>
          <w:rFonts w:ascii="Times New Roman" w:eastAsia="Times New Roman" w:hAnsi="Times New Roman" w:cs="Times New Roman"/>
          <w:i/>
          <w:iCs/>
          <w:sz w:val="24"/>
          <w:szCs w:val="24"/>
        </w:rPr>
        <w:t>Antimicrobial resistance</w:t>
      </w:r>
      <w:r w:rsidRPr="00264EDC">
        <w:rPr>
          <w:rFonts w:ascii="Times New Roman" w:eastAsia="Times New Roman" w:hAnsi="Times New Roman" w:cs="Times New Roman"/>
          <w:sz w:val="24"/>
          <w:szCs w:val="24"/>
        </w:rPr>
        <w:t xml:space="preserve">. </w:t>
      </w:r>
      <w:hyperlink r:id="rId12" w:tgtFrame="_new" w:history="1">
        <w:r w:rsidRPr="00264EDC">
          <w:rPr>
            <w:rFonts w:ascii="Times New Roman" w:eastAsia="Times New Roman" w:hAnsi="Times New Roman" w:cs="Times New Roman"/>
            <w:color w:val="0000FF"/>
            <w:sz w:val="24"/>
            <w:szCs w:val="24"/>
            <w:u w:val="single"/>
          </w:rPr>
          <w:t>https://www.who.int/news-room/fact-sheets/detail/antimicrobial-resistance</w:t>
        </w:r>
      </w:hyperlink>
    </w:p>
    <w:p w14:paraId="1EF60D1A"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Centers for Disease Control and Prevention. (2019). </w:t>
      </w:r>
      <w:r w:rsidRPr="00264EDC">
        <w:rPr>
          <w:rFonts w:ascii="Times New Roman" w:eastAsia="Times New Roman" w:hAnsi="Times New Roman" w:cs="Times New Roman"/>
          <w:i/>
          <w:iCs/>
          <w:sz w:val="24"/>
          <w:szCs w:val="24"/>
        </w:rPr>
        <w:t>Antibiotic Resistance Threats in the United States, 2019</w:t>
      </w:r>
      <w:r w:rsidRPr="00264EDC">
        <w:rPr>
          <w:rFonts w:ascii="Times New Roman" w:eastAsia="Times New Roman" w:hAnsi="Times New Roman" w:cs="Times New Roman"/>
          <w:sz w:val="24"/>
          <w:szCs w:val="24"/>
        </w:rPr>
        <w:t xml:space="preserve">. </w:t>
      </w:r>
      <w:hyperlink r:id="rId13" w:tgtFrame="_new" w:history="1">
        <w:r w:rsidRPr="00264EDC">
          <w:rPr>
            <w:rFonts w:ascii="Times New Roman" w:eastAsia="Times New Roman" w:hAnsi="Times New Roman" w:cs="Times New Roman"/>
            <w:color w:val="0000FF"/>
            <w:sz w:val="24"/>
            <w:szCs w:val="24"/>
            <w:u w:val="single"/>
          </w:rPr>
          <w:t>https://www.cdc.gov/drugresistance/pdf/threats-report/2019-ar-threats-report-508.pdf</w:t>
        </w:r>
      </w:hyperlink>
    </w:p>
    <w:p w14:paraId="60615478"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O’Neill, J. (2016). </w:t>
      </w:r>
      <w:r w:rsidRPr="00264EDC">
        <w:rPr>
          <w:rFonts w:ascii="Times New Roman" w:eastAsia="Times New Roman" w:hAnsi="Times New Roman" w:cs="Times New Roman"/>
          <w:i/>
          <w:iCs/>
          <w:sz w:val="24"/>
          <w:szCs w:val="24"/>
        </w:rPr>
        <w:t>Tackling drug-resistant infections globally: Final report and recommendations</w:t>
      </w:r>
      <w:r w:rsidRPr="00264EDC">
        <w:rPr>
          <w:rFonts w:ascii="Times New Roman" w:eastAsia="Times New Roman" w:hAnsi="Times New Roman" w:cs="Times New Roman"/>
          <w:sz w:val="24"/>
          <w:szCs w:val="24"/>
        </w:rPr>
        <w:t>. Review on Antimicrobial Resistance.</w:t>
      </w:r>
    </w:p>
    <w:p w14:paraId="10F25803"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Laxminarayan, R., Duse, A., Wattal, C., et al. (2013). Antibiotic resistance—the need for global solutions. </w:t>
      </w:r>
      <w:r w:rsidRPr="00264EDC">
        <w:rPr>
          <w:rFonts w:ascii="Times New Roman" w:eastAsia="Times New Roman" w:hAnsi="Times New Roman" w:cs="Times New Roman"/>
          <w:i/>
          <w:iCs/>
          <w:sz w:val="24"/>
          <w:szCs w:val="24"/>
        </w:rPr>
        <w:t>The Lancet Infectious Diseases, 13</w:t>
      </w:r>
      <w:r w:rsidRPr="00264EDC">
        <w:rPr>
          <w:rFonts w:ascii="Times New Roman" w:eastAsia="Times New Roman" w:hAnsi="Times New Roman" w:cs="Times New Roman"/>
          <w:sz w:val="24"/>
          <w:szCs w:val="24"/>
        </w:rPr>
        <w:t>(12), 1057–1098.</w:t>
      </w:r>
    </w:p>
    <w:p w14:paraId="3C272B74"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Ventola, C. L. (2015). The antibiotic resistance crisis. </w:t>
      </w:r>
      <w:r w:rsidRPr="00264EDC">
        <w:rPr>
          <w:rFonts w:ascii="Times New Roman" w:eastAsia="Times New Roman" w:hAnsi="Times New Roman" w:cs="Times New Roman"/>
          <w:i/>
          <w:iCs/>
          <w:sz w:val="24"/>
          <w:szCs w:val="24"/>
        </w:rPr>
        <w:t>Pharmacy and Therapeutics, 40</w:t>
      </w:r>
      <w:r w:rsidRPr="00264EDC">
        <w:rPr>
          <w:rFonts w:ascii="Times New Roman" w:eastAsia="Times New Roman" w:hAnsi="Times New Roman" w:cs="Times New Roman"/>
          <w:sz w:val="24"/>
          <w:szCs w:val="24"/>
        </w:rPr>
        <w:t>(4), 277–283.</w:t>
      </w:r>
    </w:p>
    <w:p w14:paraId="45BADC1B"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264EDC">
        <w:rPr>
          <w:rFonts w:ascii="Times New Roman" w:eastAsia="Times New Roman" w:hAnsi="Times New Roman" w:cs="Times New Roman"/>
          <w:sz w:val="24"/>
          <w:szCs w:val="24"/>
        </w:rPr>
        <w:t>Prestinaci</w:t>
      </w:r>
      <w:proofErr w:type="spellEnd"/>
      <w:r w:rsidRPr="00264EDC">
        <w:rPr>
          <w:rFonts w:ascii="Times New Roman" w:eastAsia="Times New Roman" w:hAnsi="Times New Roman" w:cs="Times New Roman"/>
          <w:sz w:val="24"/>
          <w:szCs w:val="24"/>
        </w:rPr>
        <w:t xml:space="preserve">, F., Pezzotti, P., &amp; </w:t>
      </w:r>
      <w:proofErr w:type="spellStart"/>
      <w:r w:rsidRPr="00264EDC">
        <w:rPr>
          <w:rFonts w:ascii="Times New Roman" w:eastAsia="Times New Roman" w:hAnsi="Times New Roman" w:cs="Times New Roman"/>
          <w:sz w:val="24"/>
          <w:szCs w:val="24"/>
        </w:rPr>
        <w:t>Pantosti</w:t>
      </w:r>
      <w:proofErr w:type="spellEnd"/>
      <w:r w:rsidRPr="00264EDC">
        <w:rPr>
          <w:rFonts w:ascii="Times New Roman" w:eastAsia="Times New Roman" w:hAnsi="Times New Roman" w:cs="Times New Roman"/>
          <w:sz w:val="24"/>
          <w:szCs w:val="24"/>
        </w:rPr>
        <w:t xml:space="preserve">, A. (2015). Antimicrobial resistance: A global multifaceted phenomenon. </w:t>
      </w:r>
      <w:r w:rsidRPr="00264EDC">
        <w:rPr>
          <w:rFonts w:ascii="Times New Roman" w:eastAsia="Times New Roman" w:hAnsi="Times New Roman" w:cs="Times New Roman"/>
          <w:i/>
          <w:iCs/>
          <w:sz w:val="24"/>
          <w:szCs w:val="24"/>
        </w:rPr>
        <w:t>Pathogens and Global Health, 109</w:t>
      </w:r>
      <w:r w:rsidRPr="00264EDC">
        <w:rPr>
          <w:rFonts w:ascii="Times New Roman" w:eastAsia="Times New Roman" w:hAnsi="Times New Roman" w:cs="Times New Roman"/>
          <w:sz w:val="24"/>
          <w:szCs w:val="24"/>
        </w:rPr>
        <w:t>(7), 309–318.</w:t>
      </w:r>
    </w:p>
    <w:p w14:paraId="2C9ABEEB"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Cassini, A., et al. (2019). Attributable deaths and disability-adjusted life-years caused by infections with antibiotic-resistant bacteria in the EU and EEA. </w:t>
      </w:r>
      <w:r w:rsidRPr="00264EDC">
        <w:rPr>
          <w:rFonts w:ascii="Times New Roman" w:eastAsia="Times New Roman" w:hAnsi="Times New Roman" w:cs="Times New Roman"/>
          <w:i/>
          <w:iCs/>
          <w:sz w:val="24"/>
          <w:szCs w:val="24"/>
        </w:rPr>
        <w:t>The Lancet Infectious Diseases, 19</w:t>
      </w:r>
      <w:r w:rsidRPr="00264EDC">
        <w:rPr>
          <w:rFonts w:ascii="Times New Roman" w:eastAsia="Times New Roman" w:hAnsi="Times New Roman" w:cs="Times New Roman"/>
          <w:sz w:val="24"/>
          <w:szCs w:val="24"/>
        </w:rPr>
        <w:t>(1), 56–66.</w:t>
      </w:r>
    </w:p>
    <w:p w14:paraId="479AFF4F"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Holmes, A. H., et al. (2016). Understanding the mechanisms and drivers of antimicrobial resistance. </w:t>
      </w:r>
      <w:r w:rsidRPr="00264EDC">
        <w:rPr>
          <w:rFonts w:ascii="Times New Roman" w:eastAsia="Times New Roman" w:hAnsi="Times New Roman" w:cs="Times New Roman"/>
          <w:i/>
          <w:iCs/>
          <w:sz w:val="24"/>
          <w:szCs w:val="24"/>
        </w:rPr>
        <w:t>The Lancet, 387</w:t>
      </w:r>
      <w:r w:rsidRPr="00264EDC">
        <w:rPr>
          <w:rFonts w:ascii="Times New Roman" w:eastAsia="Times New Roman" w:hAnsi="Times New Roman" w:cs="Times New Roman"/>
          <w:sz w:val="24"/>
          <w:szCs w:val="24"/>
        </w:rPr>
        <w:t>(10014), 176–187.</w:t>
      </w:r>
    </w:p>
    <w:p w14:paraId="20414D8C"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Murray, C. J., et al. (2022). Global burden of bacterial antimicrobial resistance in 2019: A systematic analysis. </w:t>
      </w:r>
      <w:r w:rsidRPr="00264EDC">
        <w:rPr>
          <w:rFonts w:ascii="Times New Roman" w:eastAsia="Times New Roman" w:hAnsi="Times New Roman" w:cs="Times New Roman"/>
          <w:i/>
          <w:iCs/>
          <w:sz w:val="24"/>
          <w:szCs w:val="24"/>
        </w:rPr>
        <w:t>The Lancet, 399</w:t>
      </w:r>
      <w:r w:rsidRPr="00264EDC">
        <w:rPr>
          <w:rFonts w:ascii="Times New Roman" w:eastAsia="Times New Roman" w:hAnsi="Times New Roman" w:cs="Times New Roman"/>
          <w:sz w:val="24"/>
          <w:szCs w:val="24"/>
        </w:rPr>
        <w:t>(10325), 629–655.</w:t>
      </w:r>
    </w:p>
    <w:p w14:paraId="0448B128"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Zaman, S. B., et al. (2017). A review on antibiotic resistance: Alarm bells are ringing. </w:t>
      </w:r>
      <w:r w:rsidRPr="00264EDC">
        <w:rPr>
          <w:rFonts w:ascii="Times New Roman" w:eastAsia="Times New Roman" w:hAnsi="Times New Roman" w:cs="Times New Roman"/>
          <w:i/>
          <w:iCs/>
          <w:sz w:val="24"/>
          <w:szCs w:val="24"/>
        </w:rPr>
        <w:t>Cureus, 9</w:t>
      </w:r>
      <w:r w:rsidRPr="00264EDC">
        <w:rPr>
          <w:rFonts w:ascii="Times New Roman" w:eastAsia="Times New Roman" w:hAnsi="Times New Roman" w:cs="Times New Roman"/>
          <w:sz w:val="24"/>
          <w:szCs w:val="24"/>
        </w:rPr>
        <w:t>(6), e1403.</w:t>
      </w:r>
    </w:p>
    <w:p w14:paraId="73C0EEF8"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Doi, Y. (2019). Treatment options for carbapenem-resistant Gram-negative bacterial infections. </w:t>
      </w:r>
      <w:r w:rsidRPr="00264EDC">
        <w:rPr>
          <w:rFonts w:ascii="Times New Roman" w:eastAsia="Times New Roman" w:hAnsi="Times New Roman" w:cs="Times New Roman"/>
          <w:i/>
          <w:iCs/>
          <w:sz w:val="24"/>
          <w:szCs w:val="24"/>
        </w:rPr>
        <w:t>Clinical Infectious Diseases, 69</w:t>
      </w:r>
      <w:r w:rsidRPr="00264EDC">
        <w:rPr>
          <w:rFonts w:ascii="Times New Roman" w:eastAsia="Times New Roman" w:hAnsi="Times New Roman" w:cs="Times New Roman"/>
          <w:sz w:val="24"/>
          <w:szCs w:val="24"/>
        </w:rPr>
        <w:t>(S7), S565–S575.</w:t>
      </w:r>
    </w:p>
    <w:p w14:paraId="4B9C9D13"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WHO. (2017). </w:t>
      </w:r>
      <w:r w:rsidRPr="00264EDC">
        <w:rPr>
          <w:rFonts w:ascii="Times New Roman" w:eastAsia="Times New Roman" w:hAnsi="Times New Roman" w:cs="Times New Roman"/>
          <w:i/>
          <w:iCs/>
          <w:sz w:val="24"/>
          <w:szCs w:val="24"/>
        </w:rPr>
        <w:t>Global action plan on antimicrobial resistance</w:t>
      </w:r>
      <w:r w:rsidRPr="00264EDC">
        <w:rPr>
          <w:rFonts w:ascii="Times New Roman" w:eastAsia="Times New Roman" w:hAnsi="Times New Roman" w:cs="Times New Roman"/>
          <w:sz w:val="24"/>
          <w:szCs w:val="24"/>
        </w:rPr>
        <w:t>.</w:t>
      </w:r>
    </w:p>
    <w:p w14:paraId="5242BAD7"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Aslam, B., et al. (2018). Antibiotic resistance: A rundown of a global crisis. </w:t>
      </w:r>
      <w:r w:rsidRPr="00264EDC">
        <w:rPr>
          <w:rFonts w:ascii="Times New Roman" w:eastAsia="Times New Roman" w:hAnsi="Times New Roman" w:cs="Times New Roman"/>
          <w:i/>
          <w:iCs/>
          <w:sz w:val="24"/>
          <w:szCs w:val="24"/>
        </w:rPr>
        <w:t>Infection and Drug Resistance, 11</w:t>
      </w:r>
      <w:r w:rsidRPr="00264EDC">
        <w:rPr>
          <w:rFonts w:ascii="Times New Roman" w:eastAsia="Times New Roman" w:hAnsi="Times New Roman" w:cs="Times New Roman"/>
          <w:sz w:val="24"/>
          <w:szCs w:val="24"/>
        </w:rPr>
        <w:t>, 1645–1658.</w:t>
      </w:r>
    </w:p>
    <w:p w14:paraId="6506BB3F"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Antimicrobial Resistance Collaborators. (2022). Global burden of bacterial antimicrobial resistance. </w:t>
      </w:r>
      <w:r w:rsidRPr="00264EDC">
        <w:rPr>
          <w:rFonts w:ascii="Times New Roman" w:eastAsia="Times New Roman" w:hAnsi="Times New Roman" w:cs="Times New Roman"/>
          <w:i/>
          <w:iCs/>
          <w:sz w:val="24"/>
          <w:szCs w:val="24"/>
        </w:rPr>
        <w:t>The Lancet, 399</w:t>
      </w:r>
      <w:r w:rsidRPr="00264EDC">
        <w:rPr>
          <w:rFonts w:ascii="Times New Roman" w:eastAsia="Times New Roman" w:hAnsi="Times New Roman" w:cs="Times New Roman"/>
          <w:sz w:val="24"/>
          <w:szCs w:val="24"/>
        </w:rPr>
        <w:t>, 629–655.</w:t>
      </w:r>
    </w:p>
    <w:p w14:paraId="4E4A445D"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Fair, R. J., &amp; Tor, Y. (2014). Antibiotics and bacterial resistance in the 21st century. </w:t>
      </w:r>
      <w:r w:rsidRPr="00264EDC">
        <w:rPr>
          <w:rFonts w:ascii="Times New Roman" w:eastAsia="Times New Roman" w:hAnsi="Times New Roman" w:cs="Times New Roman"/>
          <w:i/>
          <w:iCs/>
          <w:sz w:val="24"/>
          <w:szCs w:val="24"/>
        </w:rPr>
        <w:t>Perspectives in Medicinal Chemistry, 6</w:t>
      </w:r>
      <w:r w:rsidRPr="00264EDC">
        <w:rPr>
          <w:rFonts w:ascii="Times New Roman" w:eastAsia="Times New Roman" w:hAnsi="Times New Roman" w:cs="Times New Roman"/>
          <w:sz w:val="24"/>
          <w:szCs w:val="24"/>
        </w:rPr>
        <w:t>, 25–64.</w:t>
      </w:r>
    </w:p>
    <w:p w14:paraId="122D93E2"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264EDC">
        <w:rPr>
          <w:rFonts w:ascii="Times New Roman" w:eastAsia="Times New Roman" w:hAnsi="Times New Roman" w:cs="Times New Roman"/>
          <w:sz w:val="24"/>
          <w:szCs w:val="24"/>
        </w:rPr>
        <w:t>Llor</w:t>
      </w:r>
      <w:proofErr w:type="spellEnd"/>
      <w:r w:rsidRPr="00264EDC">
        <w:rPr>
          <w:rFonts w:ascii="Times New Roman" w:eastAsia="Times New Roman" w:hAnsi="Times New Roman" w:cs="Times New Roman"/>
          <w:sz w:val="24"/>
          <w:szCs w:val="24"/>
        </w:rPr>
        <w:t xml:space="preserve">, C., &amp; Bjerrum, L. (2014). Antimicrobial resistance: Risk associated with antibiotic overuse. </w:t>
      </w:r>
      <w:r w:rsidRPr="00264EDC">
        <w:rPr>
          <w:rFonts w:ascii="Times New Roman" w:eastAsia="Times New Roman" w:hAnsi="Times New Roman" w:cs="Times New Roman"/>
          <w:i/>
          <w:iCs/>
          <w:sz w:val="24"/>
          <w:szCs w:val="24"/>
        </w:rPr>
        <w:t>Therapeutic Advances in Drug Safety, 5</w:t>
      </w:r>
      <w:r w:rsidRPr="00264EDC">
        <w:rPr>
          <w:rFonts w:ascii="Times New Roman" w:eastAsia="Times New Roman" w:hAnsi="Times New Roman" w:cs="Times New Roman"/>
          <w:sz w:val="24"/>
          <w:szCs w:val="24"/>
        </w:rPr>
        <w:t>(6), 229–241.</w:t>
      </w:r>
    </w:p>
    <w:p w14:paraId="798EEE62"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Goossens, H., et al. (2005). Outpatient antibiotic use in Europe and association with resistance. </w:t>
      </w:r>
      <w:r w:rsidRPr="00264EDC">
        <w:rPr>
          <w:rFonts w:ascii="Times New Roman" w:eastAsia="Times New Roman" w:hAnsi="Times New Roman" w:cs="Times New Roman"/>
          <w:i/>
          <w:iCs/>
          <w:sz w:val="24"/>
          <w:szCs w:val="24"/>
        </w:rPr>
        <w:t>The Lancet, 365</w:t>
      </w:r>
      <w:r w:rsidRPr="00264EDC">
        <w:rPr>
          <w:rFonts w:ascii="Times New Roman" w:eastAsia="Times New Roman" w:hAnsi="Times New Roman" w:cs="Times New Roman"/>
          <w:sz w:val="24"/>
          <w:szCs w:val="24"/>
        </w:rPr>
        <w:t>(9459), 579–587.</w:t>
      </w:r>
    </w:p>
    <w:p w14:paraId="7B5C2906"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Kumarasamy, K. K., et al. (2010). Emergence of a new antibiotic resistance mechanism in India, Pakistan, and the UK: A molecular, biological, and epidemiological study. </w:t>
      </w:r>
      <w:r w:rsidRPr="00264EDC">
        <w:rPr>
          <w:rFonts w:ascii="Times New Roman" w:eastAsia="Times New Roman" w:hAnsi="Times New Roman" w:cs="Times New Roman"/>
          <w:i/>
          <w:iCs/>
          <w:sz w:val="24"/>
          <w:szCs w:val="24"/>
        </w:rPr>
        <w:t>The Lancet Infectious Diseases, 10</w:t>
      </w:r>
      <w:r w:rsidRPr="00264EDC">
        <w:rPr>
          <w:rFonts w:ascii="Times New Roman" w:eastAsia="Times New Roman" w:hAnsi="Times New Roman" w:cs="Times New Roman"/>
          <w:sz w:val="24"/>
          <w:szCs w:val="24"/>
        </w:rPr>
        <w:t>(9), 597–602.</w:t>
      </w:r>
    </w:p>
    <w:p w14:paraId="199EBC19"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Tacconelli, E., et al. (2018). Discovery, research, and development of new antibiotics: The WHO priority list. </w:t>
      </w:r>
      <w:r w:rsidRPr="00264EDC">
        <w:rPr>
          <w:rFonts w:ascii="Times New Roman" w:eastAsia="Times New Roman" w:hAnsi="Times New Roman" w:cs="Times New Roman"/>
          <w:i/>
          <w:iCs/>
          <w:sz w:val="24"/>
          <w:szCs w:val="24"/>
        </w:rPr>
        <w:t>The Lancet Infectious Diseases, 18</w:t>
      </w:r>
      <w:r w:rsidRPr="00264EDC">
        <w:rPr>
          <w:rFonts w:ascii="Times New Roman" w:eastAsia="Times New Roman" w:hAnsi="Times New Roman" w:cs="Times New Roman"/>
          <w:sz w:val="24"/>
          <w:szCs w:val="24"/>
        </w:rPr>
        <w:t>(3), 318–327.</w:t>
      </w:r>
    </w:p>
    <w:p w14:paraId="79A2DABA"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O’Neill, J. (2015). Antimicrobials in agriculture and the environment: Reducing unnecessary use.</w:t>
      </w:r>
    </w:p>
    <w:p w14:paraId="77AE14FE"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Collignon, P., et al. (2018). Anthropological and socio-economic drivers of antimicrobial resistance. </w:t>
      </w:r>
      <w:r w:rsidRPr="00264EDC">
        <w:rPr>
          <w:rFonts w:ascii="Times New Roman" w:eastAsia="Times New Roman" w:hAnsi="Times New Roman" w:cs="Times New Roman"/>
          <w:i/>
          <w:iCs/>
          <w:sz w:val="24"/>
          <w:szCs w:val="24"/>
        </w:rPr>
        <w:t>BMJ, 360</w:t>
      </w:r>
      <w:r w:rsidRPr="00264EDC">
        <w:rPr>
          <w:rFonts w:ascii="Times New Roman" w:eastAsia="Times New Roman" w:hAnsi="Times New Roman" w:cs="Times New Roman"/>
          <w:sz w:val="24"/>
          <w:szCs w:val="24"/>
        </w:rPr>
        <w:t>, k1436.</w:t>
      </w:r>
    </w:p>
    <w:p w14:paraId="6C684530"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Van Boeckel, T. P., et al. (2015). Global trends in antimicrobial use in food animals. </w:t>
      </w:r>
      <w:r w:rsidRPr="00264EDC">
        <w:rPr>
          <w:rFonts w:ascii="Times New Roman" w:eastAsia="Times New Roman" w:hAnsi="Times New Roman" w:cs="Times New Roman"/>
          <w:i/>
          <w:iCs/>
          <w:sz w:val="24"/>
          <w:szCs w:val="24"/>
        </w:rPr>
        <w:t>Proceedings of the National Academy of Sciences, 112</w:t>
      </w:r>
      <w:r w:rsidRPr="00264EDC">
        <w:rPr>
          <w:rFonts w:ascii="Times New Roman" w:eastAsia="Times New Roman" w:hAnsi="Times New Roman" w:cs="Times New Roman"/>
          <w:sz w:val="24"/>
          <w:szCs w:val="24"/>
        </w:rPr>
        <w:t>(18), 5649–5654.</w:t>
      </w:r>
    </w:p>
    <w:p w14:paraId="77333872"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lastRenderedPageBreak/>
        <w:t xml:space="preserve">Klein, E. Y., et al. (2018). Global increase and geographic convergence in antibiotic consumption between 2000 and 2015. </w:t>
      </w:r>
      <w:r w:rsidRPr="00264EDC">
        <w:rPr>
          <w:rFonts w:ascii="Times New Roman" w:eastAsia="Times New Roman" w:hAnsi="Times New Roman" w:cs="Times New Roman"/>
          <w:i/>
          <w:iCs/>
          <w:sz w:val="24"/>
          <w:szCs w:val="24"/>
        </w:rPr>
        <w:t>PNAS, 115</w:t>
      </w:r>
      <w:r w:rsidRPr="00264EDC">
        <w:rPr>
          <w:rFonts w:ascii="Times New Roman" w:eastAsia="Times New Roman" w:hAnsi="Times New Roman" w:cs="Times New Roman"/>
          <w:sz w:val="24"/>
          <w:szCs w:val="24"/>
        </w:rPr>
        <w:t>(15), E3463–E3470.</w:t>
      </w:r>
    </w:p>
    <w:p w14:paraId="030970EB"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Huttner, B., et al. (2013). Characteristics and outcomes of public campaigns aimed at improving the use of antibiotics. </w:t>
      </w:r>
      <w:r w:rsidRPr="00264EDC">
        <w:rPr>
          <w:rFonts w:ascii="Times New Roman" w:eastAsia="Times New Roman" w:hAnsi="Times New Roman" w:cs="Times New Roman"/>
          <w:i/>
          <w:iCs/>
          <w:sz w:val="24"/>
          <w:szCs w:val="24"/>
        </w:rPr>
        <w:t>The Lancet Infectious Diseases, 10</w:t>
      </w:r>
      <w:r w:rsidRPr="00264EDC">
        <w:rPr>
          <w:rFonts w:ascii="Times New Roman" w:eastAsia="Times New Roman" w:hAnsi="Times New Roman" w:cs="Times New Roman"/>
          <w:sz w:val="24"/>
          <w:szCs w:val="24"/>
        </w:rPr>
        <w:t>(1), 17–31.</w:t>
      </w:r>
    </w:p>
    <w:p w14:paraId="1C3D9275"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Hay, S. I., et al. (2022). Mapping antimicrobial resistance in the global burden of disease. </w:t>
      </w:r>
      <w:r w:rsidRPr="00264EDC">
        <w:rPr>
          <w:rFonts w:ascii="Times New Roman" w:eastAsia="Times New Roman" w:hAnsi="Times New Roman" w:cs="Times New Roman"/>
          <w:i/>
          <w:iCs/>
          <w:sz w:val="24"/>
          <w:szCs w:val="24"/>
        </w:rPr>
        <w:t>The Lancet, 399</w:t>
      </w:r>
      <w:r w:rsidRPr="00264EDC">
        <w:rPr>
          <w:rFonts w:ascii="Times New Roman" w:eastAsia="Times New Roman" w:hAnsi="Times New Roman" w:cs="Times New Roman"/>
          <w:sz w:val="24"/>
          <w:szCs w:val="24"/>
        </w:rPr>
        <w:t>(10325), 629–655.</w:t>
      </w:r>
    </w:p>
    <w:p w14:paraId="012856FF"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264EDC">
        <w:rPr>
          <w:rFonts w:ascii="Times New Roman" w:eastAsia="Times New Roman" w:hAnsi="Times New Roman" w:cs="Times New Roman"/>
          <w:sz w:val="24"/>
          <w:szCs w:val="24"/>
        </w:rPr>
        <w:t>Berendonk</w:t>
      </w:r>
      <w:proofErr w:type="spellEnd"/>
      <w:r w:rsidRPr="00264EDC">
        <w:rPr>
          <w:rFonts w:ascii="Times New Roman" w:eastAsia="Times New Roman" w:hAnsi="Times New Roman" w:cs="Times New Roman"/>
          <w:sz w:val="24"/>
          <w:szCs w:val="24"/>
        </w:rPr>
        <w:t xml:space="preserve">, T. U., et al. (2015). Tackling antibiotic resistance: The environmental framework. </w:t>
      </w:r>
      <w:r w:rsidRPr="00264EDC">
        <w:rPr>
          <w:rFonts w:ascii="Times New Roman" w:eastAsia="Times New Roman" w:hAnsi="Times New Roman" w:cs="Times New Roman"/>
          <w:i/>
          <w:iCs/>
          <w:sz w:val="24"/>
          <w:szCs w:val="24"/>
        </w:rPr>
        <w:t>Nature Reviews Microbiology, 13</w:t>
      </w:r>
      <w:r w:rsidRPr="00264EDC">
        <w:rPr>
          <w:rFonts w:ascii="Times New Roman" w:eastAsia="Times New Roman" w:hAnsi="Times New Roman" w:cs="Times New Roman"/>
          <w:sz w:val="24"/>
          <w:szCs w:val="24"/>
        </w:rPr>
        <w:t>(5), 310–317.</w:t>
      </w:r>
    </w:p>
    <w:p w14:paraId="039E1981"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Piddock, L. J. (2016). Reflecting on the final report of the O’Neill review on AMR. </w:t>
      </w:r>
      <w:r w:rsidRPr="00264EDC">
        <w:rPr>
          <w:rFonts w:ascii="Times New Roman" w:eastAsia="Times New Roman" w:hAnsi="Times New Roman" w:cs="Times New Roman"/>
          <w:i/>
          <w:iCs/>
          <w:sz w:val="24"/>
          <w:szCs w:val="24"/>
        </w:rPr>
        <w:t>The Lancet Infectious Diseases, 16</w:t>
      </w:r>
      <w:r w:rsidRPr="00264EDC">
        <w:rPr>
          <w:rFonts w:ascii="Times New Roman" w:eastAsia="Times New Roman" w:hAnsi="Times New Roman" w:cs="Times New Roman"/>
          <w:sz w:val="24"/>
          <w:szCs w:val="24"/>
        </w:rPr>
        <w:t>(7), 767–768.</w:t>
      </w:r>
    </w:p>
    <w:p w14:paraId="63452B6D"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Rawson, T. M., et al. (2016). Antimicrobial use, drug-resistant infections, and COVID-19. </w:t>
      </w:r>
      <w:r w:rsidRPr="00264EDC">
        <w:rPr>
          <w:rFonts w:ascii="Times New Roman" w:eastAsia="Times New Roman" w:hAnsi="Times New Roman" w:cs="Times New Roman"/>
          <w:i/>
          <w:iCs/>
          <w:sz w:val="24"/>
          <w:szCs w:val="24"/>
        </w:rPr>
        <w:t>Nature Reviews Microbiology, 18</w:t>
      </w:r>
      <w:r w:rsidRPr="00264EDC">
        <w:rPr>
          <w:rFonts w:ascii="Times New Roman" w:eastAsia="Times New Roman" w:hAnsi="Times New Roman" w:cs="Times New Roman"/>
          <w:sz w:val="24"/>
          <w:szCs w:val="24"/>
        </w:rPr>
        <w:t>(8), 409–410.</w:t>
      </w:r>
    </w:p>
    <w:p w14:paraId="6F9FD775"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CDC. (2021). </w:t>
      </w:r>
      <w:r w:rsidRPr="00264EDC">
        <w:rPr>
          <w:rFonts w:ascii="Times New Roman" w:eastAsia="Times New Roman" w:hAnsi="Times New Roman" w:cs="Times New Roman"/>
          <w:i/>
          <w:iCs/>
          <w:sz w:val="24"/>
          <w:szCs w:val="24"/>
        </w:rPr>
        <w:t>COVID-19: U.S. impact on antimicrobial resistance, special report 2022</w:t>
      </w:r>
      <w:r w:rsidRPr="00264EDC">
        <w:rPr>
          <w:rFonts w:ascii="Times New Roman" w:eastAsia="Times New Roman" w:hAnsi="Times New Roman" w:cs="Times New Roman"/>
          <w:sz w:val="24"/>
          <w:szCs w:val="24"/>
        </w:rPr>
        <w:t>.</w:t>
      </w:r>
    </w:p>
    <w:p w14:paraId="6219A2CE"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Shallcross, L. J., &amp; Davies, D. S. (2014). Antibiotic overuse: A key driver of antimicrobial resistance. </w:t>
      </w:r>
      <w:r w:rsidRPr="00264EDC">
        <w:rPr>
          <w:rFonts w:ascii="Times New Roman" w:eastAsia="Times New Roman" w:hAnsi="Times New Roman" w:cs="Times New Roman"/>
          <w:i/>
          <w:iCs/>
          <w:sz w:val="24"/>
          <w:szCs w:val="24"/>
        </w:rPr>
        <w:t>British Journal of General Practice, 64</w:t>
      </w:r>
      <w:r w:rsidRPr="00264EDC">
        <w:rPr>
          <w:rFonts w:ascii="Times New Roman" w:eastAsia="Times New Roman" w:hAnsi="Times New Roman" w:cs="Times New Roman"/>
          <w:sz w:val="24"/>
          <w:szCs w:val="24"/>
        </w:rPr>
        <w:t>(629), 604–605.</w:t>
      </w:r>
    </w:p>
    <w:p w14:paraId="0C87AA0E"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Brown, E. D., &amp; Wright, G. D. (2016). Antibacterial drug discovery in the resistance era. </w:t>
      </w:r>
      <w:r w:rsidRPr="00264EDC">
        <w:rPr>
          <w:rFonts w:ascii="Times New Roman" w:eastAsia="Times New Roman" w:hAnsi="Times New Roman" w:cs="Times New Roman"/>
          <w:i/>
          <w:iCs/>
          <w:sz w:val="24"/>
          <w:szCs w:val="24"/>
        </w:rPr>
        <w:t>Nature, 529</w:t>
      </w:r>
      <w:r w:rsidRPr="00264EDC">
        <w:rPr>
          <w:rFonts w:ascii="Times New Roman" w:eastAsia="Times New Roman" w:hAnsi="Times New Roman" w:cs="Times New Roman"/>
          <w:sz w:val="24"/>
          <w:szCs w:val="24"/>
        </w:rPr>
        <w:t>(7586), 336–343.</w:t>
      </w:r>
    </w:p>
    <w:p w14:paraId="4B93A02B"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Li, B., &amp; Webster, T. J. (2018). Bacteria antibiotic resistance: New challenges and opportunities for implant-associated infections. </w:t>
      </w:r>
      <w:r w:rsidRPr="00264EDC">
        <w:rPr>
          <w:rFonts w:ascii="Times New Roman" w:eastAsia="Times New Roman" w:hAnsi="Times New Roman" w:cs="Times New Roman"/>
          <w:i/>
          <w:iCs/>
          <w:sz w:val="24"/>
          <w:szCs w:val="24"/>
        </w:rPr>
        <w:t xml:space="preserve">Journal of </w:t>
      </w:r>
      <w:proofErr w:type="spellStart"/>
      <w:r w:rsidRPr="00264EDC">
        <w:rPr>
          <w:rFonts w:ascii="Times New Roman" w:eastAsia="Times New Roman" w:hAnsi="Times New Roman" w:cs="Times New Roman"/>
          <w:i/>
          <w:iCs/>
          <w:sz w:val="24"/>
          <w:szCs w:val="24"/>
        </w:rPr>
        <w:t>Orthopaedic</w:t>
      </w:r>
      <w:proofErr w:type="spellEnd"/>
      <w:r w:rsidRPr="00264EDC">
        <w:rPr>
          <w:rFonts w:ascii="Times New Roman" w:eastAsia="Times New Roman" w:hAnsi="Times New Roman" w:cs="Times New Roman"/>
          <w:i/>
          <w:iCs/>
          <w:sz w:val="24"/>
          <w:szCs w:val="24"/>
        </w:rPr>
        <w:t xml:space="preserve"> Research, 36</w:t>
      </w:r>
      <w:r w:rsidRPr="00264EDC">
        <w:rPr>
          <w:rFonts w:ascii="Times New Roman" w:eastAsia="Times New Roman" w:hAnsi="Times New Roman" w:cs="Times New Roman"/>
          <w:sz w:val="24"/>
          <w:szCs w:val="24"/>
        </w:rPr>
        <w:t>(1), 22–32.</w:t>
      </w:r>
    </w:p>
    <w:p w14:paraId="79747D97"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Martinez, J. L. (2008). Antibiotics and antibiotic resistance genes in natural environments. </w:t>
      </w:r>
      <w:r w:rsidRPr="00264EDC">
        <w:rPr>
          <w:rFonts w:ascii="Times New Roman" w:eastAsia="Times New Roman" w:hAnsi="Times New Roman" w:cs="Times New Roman"/>
          <w:i/>
          <w:iCs/>
          <w:sz w:val="24"/>
          <w:szCs w:val="24"/>
        </w:rPr>
        <w:t>Science, 321</w:t>
      </w:r>
      <w:r w:rsidRPr="00264EDC">
        <w:rPr>
          <w:rFonts w:ascii="Times New Roman" w:eastAsia="Times New Roman" w:hAnsi="Times New Roman" w:cs="Times New Roman"/>
          <w:sz w:val="24"/>
          <w:szCs w:val="24"/>
        </w:rPr>
        <w:t>(5887), 365–367.</w:t>
      </w:r>
    </w:p>
    <w:p w14:paraId="0503003F"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Livermore, D. M. (2004). The need for new antibiotics. </w:t>
      </w:r>
      <w:r w:rsidRPr="00264EDC">
        <w:rPr>
          <w:rFonts w:ascii="Times New Roman" w:eastAsia="Times New Roman" w:hAnsi="Times New Roman" w:cs="Times New Roman"/>
          <w:i/>
          <w:iCs/>
          <w:sz w:val="24"/>
          <w:szCs w:val="24"/>
        </w:rPr>
        <w:t>Clinical Microbiology and Infection, 10</w:t>
      </w:r>
      <w:r w:rsidRPr="00264EDC">
        <w:rPr>
          <w:rFonts w:ascii="Times New Roman" w:eastAsia="Times New Roman" w:hAnsi="Times New Roman" w:cs="Times New Roman"/>
          <w:sz w:val="24"/>
          <w:szCs w:val="24"/>
        </w:rPr>
        <w:t>, 1–9.</w:t>
      </w:r>
    </w:p>
    <w:p w14:paraId="5F2D2410"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Naylor, N. R., et al. (2018). Estimating the burden of AMR. </w:t>
      </w:r>
      <w:proofErr w:type="spellStart"/>
      <w:r w:rsidRPr="00264EDC">
        <w:rPr>
          <w:rFonts w:ascii="Times New Roman" w:eastAsia="Times New Roman" w:hAnsi="Times New Roman" w:cs="Times New Roman"/>
          <w:i/>
          <w:iCs/>
          <w:sz w:val="24"/>
          <w:szCs w:val="24"/>
        </w:rPr>
        <w:t>Wellcome</w:t>
      </w:r>
      <w:proofErr w:type="spellEnd"/>
      <w:r w:rsidRPr="00264EDC">
        <w:rPr>
          <w:rFonts w:ascii="Times New Roman" w:eastAsia="Times New Roman" w:hAnsi="Times New Roman" w:cs="Times New Roman"/>
          <w:i/>
          <w:iCs/>
          <w:sz w:val="24"/>
          <w:szCs w:val="24"/>
        </w:rPr>
        <w:t xml:space="preserve"> Open Research, 3</w:t>
      </w:r>
      <w:r w:rsidRPr="00264EDC">
        <w:rPr>
          <w:rFonts w:ascii="Times New Roman" w:eastAsia="Times New Roman" w:hAnsi="Times New Roman" w:cs="Times New Roman"/>
          <w:sz w:val="24"/>
          <w:szCs w:val="24"/>
        </w:rPr>
        <w:t>, 154.</w:t>
      </w:r>
    </w:p>
    <w:p w14:paraId="61CD55F9"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Laxminarayan, R. (2014). Antibiotic effectiveness: Balancing access and excess. </w:t>
      </w:r>
      <w:r w:rsidRPr="00264EDC">
        <w:rPr>
          <w:rFonts w:ascii="Times New Roman" w:eastAsia="Times New Roman" w:hAnsi="Times New Roman" w:cs="Times New Roman"/>
          <w:i/>
          <w:iCs/>
          <w:sz w:val="24"/>
          <w:szCs w:val="24"/>
        </w:rPr>
        <w:t>Science, 345</w:t>
      </w:r>
      <w:r w:rsidRPr="00264EDC">
        <w:rPr>
          <w:rFonts w:ascii="Times New Roman" w:eastAsia="Times New Roman" w:hAnsi="Times New Roman" w:cs="Times New Roman"/>
          <w:sz w:val="24"/>
          <w:szCs w:val="24"/>
        </w:rPr>
        <w:t>(6202), 1299–1301.</w:t>
      </w:r>
    </w:p>
    <w:p w14:paraId="1D681B55"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Worthington, R. J., &amp; Melander, C. (2013). Overcoming resistance: A key for antibiotic adjuvants. </w:t>
      </w:r>
      <w:r w:rsidRPr="00264EDC">
        <w:rPr>
          <w:rFonts w:ascii="Times New Roman" w:eastAsia="Times New Roman" w:hAnsi="Times New Roman" w:cs="Times New Roman"/>
          <w:i/>
          <w:iCs/>
          <w:sz w:val="24"/>
          <w:szCs w:val="24"/>
        </w:rPr>
        <w:t>Future Medicinal Chemistry, 5</w:t>
      </w:r>
      <w:r w:rsidRPr="00264EDC">
        <w:rPr>
          <w:rFonts w:ascii="Times New Roman" w:eastAsia="Times New Roman" w:hAnsi="Times New Roman" w:cs="Times New Roman"/>
          <w:sz w:val="24"/>
          <w:szCs w:val="24"/>
        </w:rPr>
        <w:t>(11), 1231–1242.</w:t>
      </w:r>
    </w:p>
    <w:p w14:paraId="3DED589B"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Bush, K., &amp; Bradford, P. A. (2016). β-lactams and β-lactamase inhibitors: An overview. </w:t>
      </w:r>
      <w:r w:rsidRPr="00264EDC">
        <w:rPr>
          <w:rFonts w:ascii="Times New Roman" w:eastAsia="Times New Roman" w:hAnsi="Times New Roman" w:cs="Times New Roman"/>
          <w:i/>
          <w:iCs/>
          <w:sz w:val="24"/>
          <w:szCs w:val="24"/>
        </w:rPr>
        <w:t>Cold Spring Harbor Perspectives in Medicine, 6</w:t>
      </w:r>
      <w:r w:rsidRPr="00264EDC">
        <w:rPr>
          <w:rFonts w:ascii="Times New Roman" w:eastAsia="Times New Roman" w:hAnsi="Times New Roman" w:cs="Times New Roman"/>
          <w:sz w:val="24"/>
          <w:szCs w:val="24"/>
        </w:rPr>
        <w:t>(8), a025247.</w:t>
      </w:r>
    </w:p>
    <w:p w14:paraId="556D0C26"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264EDC">
        <w:rPr>
          <w:rFonts w:ascii="Times New Roman" w:eastAsia="Times New Roman" w:hAnsi="Times New Roman" w:cs="Times New Roman"/>
          <w:sz w:val="24"/>
          <w:szCs w:val="24"/>
        </w:rPr>
        <w:t>Rossolini</w:t>
      </w:r>
      <w:proofErr w:type="spellEnd"/>
      <w:r w:rsidRPr="00264EDC">
        <w:rPr>
          <w:rFonts w:ascii="Times New Roman" w:eastAsia="Times New Roman" w:hAnsi="Times New Roman" w:cs="Times New Roman"/>
          <w:sz w:val="24"/>
          <w:szCs w:val="24"/>
        </w:rPr>
        <w:t xml:space="preserve">, G. M., et al. (2014). Update on the antibiotic resistance crisis. </w:t>
      </w:r>
      <w:r w:rsidRPr="00264EDC">
        <w:rPr>
          <w:rFonts w:ascii="Times New Roman" w:eastAsia="Times New Roman" w:hAnsi="Times New Roman" w:cs="Times New Roman"/>
          <w:i/>
          <w:iCs/>
          <w:sz w:val="24"/>
          <w:szCs w:val="24"/>
        </w:rPr>
        <w:t>Current Opinion in Pharmacology, 18</w:t>
      </w:r>
      <w:r w:rsidRPr="00264EDC">
        <w:rPr>
          <w:rFonts w:ascii="Times New Roman" w:eastAsia="Times New Roman" w:hAnsi="Times New Roman" w:cs="Times New Roman"/>
          <w:sz w:val="24"/>
          <w:szCs w:val="24"/>
        </w:rPr>
        <w:t>, 56–60.</w:t>
      </w:r>
    </w:p>
    <w:p w14:paraId="5377DF7A" w14:textId="77777777" w:rsidR="00264EDC" w:rsidRPr="00264EDC" w:rsidRDefault="00264EDC" w:rsidP="00264ED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64EDC">
        <w:rPr>
          <w:rFonts w:ascii="Times New Roman" w:eastAsia="Times New Roman" w:hAnsi="Times New Roman" w:cs="Times New Roman"/>
          <w:sz w:val="24"/>
          <w:szCs w:val="24"/>
        </w:rPr>
        <w:t xml:space="preserve">Gandra, S., et al. (2017). Scoping report on AMR research and development. </w:t>
      </w:r>
      <w:r w:rsidRPr="00264EDC">
        <w:rPr>
          <w:rFonts w:ascii="Times New Roman" w:eastAsia="Times New Roman" w:hAnsi="Times New Roman" w:cs="Times New Roman"/>
          <w:i/>
          <w:iCs/>
          <w:sz w:val="24"/>
          <w:szCs w:val="24"/>
        </w:rPr>
        <w:t>Center for Disease Dynamics, Economics &amp; Policy (CDDEP)</w:t>
      </w:r>
      <w:r w:rsidRPr="00264EDC">
        <w:rPr>
          <w:rFonts w:ascii="Times New Roman" w:eastAsia="Times New Roman" w:hAnsi="Times New Roman" w:cs="Times New Roman"/>
          <w:sz w:val="24"/>
          <w:szCs w:val="24"/>
        </w:rPr>
        <w:t>.</w:t>
      </w:r>
    </w:p>
    <w:p w14:paraId="38C524B6" w14:textId="77777777" w:rsidR="00264EDC" w:rsidRPr="008D5865" w:rsidRDefault="00264EDC" w:rsidP="008D5865">
      <w:pPr>
        <w:spacing w:line="360" w:lineRule="auto"/>
        <w:jc w:val="both"/>
        <w:rPr>
          <w:rFonts w:ascii="Times New Roman" w:hAnsi="Times New Roman" w:cs="Times New Roman"/>
          <w:sz w:val="24"/>
          <w:szCs w:val="24"/>
        </w:rPr>
      </w:pPr>
    </w:p>
    <w:p w14:paraId="7E1E2857" w14:textId="77777777" w:rsidR="008D5865" w:rsidRPr="008D5865" w:rsidRDefault="008D5865" w:rsidP="008D5865">
      <w:pPr>
        <w:spacing w:line="360" w:lineRule="auto"/>
        <w:jc w:val="both"/>
        <w:rPr>
          <w:rFonts w:ascii="Times New Roman" w:hAnsi="Times New Roman" w:cs="Times New Roman"/>
          <w:b/>
          <w:sz w:val="28"/>
          <w:szCs w:val="28"/>
        </w:rPr>
      </w:pPr>
    </w:p>
    <w:p w14:paraId="65FE83B8" w14:textId="77777777" w:rsidR="007969FB" w:rsidRPr="007969FB" w:rsidRDefault="007969FB" w:rsidP="007969FB">
      <w:pPr>
        <w:spacing w:line="360" w:lineRule="auto"/>
        <w:jc w:val="both"/>
      </w:pPr>
      <w:r w:rsidRPr="007969FB">
        <w:rPr>
          <w:rFonts w:ascii="Times New Roman" w:hAnsi="Times New Roman" w:cs="Times New Roman"/>
          <w:sz w:val="24"/>
          <w:szCs w:val="24"/>
        </w:rPr>
        <w:t xml:space="preserve"> </w:t>
      </w:r>
    </w:p>
    <w:p w14:paraId="70101C42" w14:textId="77777777" w:rsidR="007969FB" w:rsidRPr="007969FB" w:rsidRDefault="007969FB" w:rsidP="007969FB">
      <w:pPr>
        <w:spacing w:line="360" w:lineRule="auto"/>
        <w:jc w:val="both"/>
      </w:pPr>
    </w:p>
    <w:sectPr w:rsidR="007969FB" w:rsidRPr="007969FB" w:rsidSect="006C3E5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DE4F8" w14:textId="77777777" w:rsidR="008E44F1" w:rsidRDefault="008E44F1" w:rsidP="004A4FC8">
      <w:pPr>
        <w:spacing w:after="0" w:line="240" w:lineRule="auto"/>
      </w:pPr>
      <w:r>
        <w:separator/>
      </w:r>
    </w:p>
  </w:endnote>
  <w:endnote w:type="continuationSeparator" w:id="0">
    <w:p w14:paraId="128605FA" w14:textId="77777777" w:rsidR="008E44F1" w:rsidRDefault="008E44F1" w:rsidP="004A4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2BB95" w14:textId="77777777" w:rsidR="004A4FC8" w:rsidRDefault="004A4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58922" w14:textId="77777777" w:rsidR="004A4FC8" w:rsidRDefault="004A4F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478BC" w14:textId="77777777" w:rsidR="004A4FC8" w:rsidRDefault="004A4F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24626" w14:textId="77777777" w:rsidR="008E44F1" w:rsidRDefault="008E44F1" w:rsidP="004A4FC8">
      <w:pPr>
        <w:spacing w:after="0" w:line="240" w:lineRule="auto"/>
      </w:pPr>
      <w:r>
        <w:separator/>
      </w:r>
    </w:p>
  </w:footnote>
  <w:footnote w:type="continuationSeparator" w:id="0">
    <w:p w14:paraId="00CFE8B5" w14:textId="77777777" w:rsidR="008E44F1" w:rsidRDefault="008E44F1" w:rsidP="004A4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7602E" w14:textId="1C34D9BF" w:rsidR="004A4FC8" w:rsidRDefault="004A4FC8">
    <w:pPr>
      <w:pStyle w:val="Header"/>
    </w:pPr>
    <w:r>
      <w:rPr>
        <w:noProof/>
      </w:rPr>
      <w:pict w14:anchorId="40DDE8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761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704FA" w14:textId="69C5213A" w:rsidR="004A4FC8" w:rsidRDefault="004A4FC8">
    <w:pPr>
      <w:pStyle w:val="Header"/>
    </w:pPr>
    <w:r>
      <w:rPr>
        <w:noProof/>
      </w:rPr>
      <w:pict w14:anchorId="5AAE3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761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DB822" w14:textId="5DA70719" w:rsidR="004A4FC8" w:rsidRDefault="004A4FC8">
    <w:pPr>
      <w:pStyle w:val="Header"/>
    </w:pPr>
    <w:r>
      <w:rPr>
        <w:noProof/>
      </w:rPr>
      <w:pict w14:anchorId="3FA5F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761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77840"/>
    <w:multiLevelType w:val="multilevel"/>
    <w:tmpl w:val="EDBE2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C4C6255"/>
    <w:multiLevelType w:val="hybridMultilevel"/>
    <w:tmpl w:val="870AF7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2E656F"/>
    <w:multiLevelType w:val="multilevel"/>
    <w:tmpl w:val="BBE4B2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800" w:hanging="144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2160" w:hanging="1800"/>
      </w:pPr>
      <w:rPr>
        <w:rFonts w:hint="default"/>
        <w:sz w:val="28"/>
      </w:rPr>
    </w:lvl>
    <w:lvl w:ilvl="7">
      <w:start w:val="1"/>
      <w:numFmt w:val="decimal"/>
      <w:isLgl/>
      <w:lvlText w:val="%1.%2.%3.%4.%5.%6.%7.%8."/>
      <w:lvlJc w:val="left"/>
      <w:pPr>
        <w:ind w:left="2520" w:hanging="2160"/>
      </w:pPr>
      <w:rPr>
        <w:rFonts w:hint="default"/>
        <w:sz w:val="28"/>
      </w:rPr>
    </w:lvl>
    <w:lvl w:ilvl="8">
      <w:start w:val="1"/>
      <w:numFmt w:val="decimal"/>
      <w:isLgl/>
      <w:lvlText w:val="%1.%2.%3.%4.%5.%6.%7.%8.%9."/>
      <w:lvlJc w:val="left"/>
      <w:pPr>
        <w:ind w:left="2520" w:hanging="2160"/>
      </w:pPr>
      <w:rPr>
        <w:rFonts w:hint="default"/>
        <w:sz w:val="28"/>
      </w:rPr>
    </w:lvl>
  </w:abstractNum>
  <w:abstractNum w:abstractNumId="3" w15:restartNumberingAfterBreak="0">
    <w:nsid w:val="78581247"/>
    <w:multiLevelType w:val="hybridMultilevel"/>
    <w:tmpl w:val="51B2A072"/>
    <w:lvl w:ilvl="0" w:tplc="220468E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69FB"/>
    <w:rsid w:val="00204379"/>
    <w:rsid w:val="00264EDC"/>
    <w:rsid w:val="00335A78"/>
    <w:rsid w:val="00440FB4"/>
    <w:rsid w:val="004A4FC8"/>
    <w:rsid w:val="005D1ACD"/>
    <w:rsid w:val="005D7404"/>
    <w:rsid w:val="00664D1D"/>
    <w:rsid w:val="006B4973"/>
    <w:rsid w:val="006C3E5D"/>
    <w:rsid w:val="007042B7"/>
    <w:rsid w:val="007969FB"/>
    <w:rsid w:val="00843085"/>
    <w:rsid w:val="0089600B"/>
    <w:rsid w:val="008D2017"/>
    <w:rsid w:val="008D5865"/>
    <w:rsid w:val="008E44F1"/>
    <w:rsid w:val="00991C0F"/>
    <w:rsid w:val="00A91EC4"/>
    <w:rsid w:val="00B05576"/>
    <w:rsid w:val="00BD53E3"/>
    <w:rsid w:val="00D03FFF"/>
    <w:rsid w:val="00D067C3"/>
    <w:rsid w:val="00D26A2A"/>
    <w:rsid w:val="00D565F0"/>
    <w:rsid w:val="00D93193"/>
    <w:rsid w:val="00E37751"/>
    <w:rsid w:val="00EF67DD"/>
    <w:rsid w:val="00FD2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4A41D4"/>
  <w15:docId w15:val="{A4C47F0A-D9B0-4C38-8796-676470440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3E5D"/>
  </w:style>
  <w:style w:type="paragraph" w:styleId="Heading3">
    <w:name w:val="heading 3"/>
    <w:basedOn w:val="Normal"/>
    <w:link w:val="Heading3Char"/>
    <w:uiPriority w:val="9"/>
    <w:qFormat/>
    <w:rsid w:val="00264E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969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69FB"/>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969FB"/>
    <w:pPr>
      <w:ind w:left="720"/>
      <w:contextualSpacing/>
    </w:pPr>
  </w:style>
  <w:style w:type="table" w:styleId="TableGrid">
    <w:name w:val="Table Grid"/>
    <w:basedOn w:val="TableNormal"/>
    <w:uiPriority w:val="59"/>
    <w:rsid w:val="00796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25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56B"/>
    <w:rPr>
      <w:rFonts w:ascii="Tahoma" w:hAnsi="Tahoma" w:cs="Tahoma"/>
      <w:sz w:val="16"/>
      <w:szCs w:val="16"/>
    </w:rPr>
  </w:style>
  <w:style w:type="paragraph" w:styleId="Caption">
    <w:name w:val="caption"/>
    <w:basedOn w:val="Normal"/>
    <w:next w:val="Normal"/>
    <w:uiPriority w:val="35"/>
    <w:unhideWhenUsed/>
    <w:qFormat/>
    <w:rsid w:val="00FD256B"/>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64EDC"/>
    <w:rPr>
      <w:rFonts w:ascii="Times New Roman" w:eastAsia="Times New Roman" w:hAnsi="Times New Roman" w:cs="Times New Roman"/>
      <w:b/>
      <w:bCs/>
      <w:sz w:val="27"/>
      <w:szCs w:val="27"/>
    </w:rPr>
  </w:style>
  <w:style w:type="character" w:styleId="Strong">
    <w:name w:val="Strong"/>
    <w:basedOn w:val="DefaultParagraphFont"/>
    <w:uiPriority w:val="22"/>
    <w:qFormat/>
    <w:rsid w:val="00264EDC"/>
    <w:rPr>
      <w:b/>
      <w:bCs/>
    </w:rPr>
  </w:style>
  <w:style w:type="paragraph" w:styleId="NormalWeb">
    <w:name w:val="Normal (Web)"/>
    <w:basedOn w:val="Normal"/>
    <w:uiPriority w:val="99"/>
    <w:semiHidden/>
    <w:unhideWhenUsed/>
    <w:rsid w:val="00264ED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64EDC"/>
    <w:rPr>
      <w:i/>
      <w:iCs/>
    </w:rPr>
  </w:style>
  <w:style w:type="character" w:styleId="Hyperlink">
    <w:name w:val="Hyperlink"/>
    <w:basedOn w:val="DefaultParagraphFont"/>
    <w:uiPriority w:val="99"/>
    <w:unhideWhenUsed/>
    <w:rsid w:val="00264EDC"/>
    <w:rPr>
      <w:color w:val="0000FF"/>
      <w:u w:val="single"/>
    </w:rPr>
  </w:style>
  <w:style w:type="character" w:styleId="UnresolvedMention">
    <w:name w:val="Unresolved Mention"/>
    <w:basedOn w:val="DefaultParagraphFont"/>
    <w:uiPriority w:val="99"/>
    <w:semiHidden/>
    <w:unhideWhenUsed/>
    <w:rsid w:val="00EF67DD"/>
    <w:rPr>
      <w:color w:val="605E5C"/>
      <w:shd w:val="clear" w:color="auto" w:fill="E1DFDD"/>
    </w:rPr>
  </w:style>
  <w:style w:type="paragraph" w:styleId="Header">
    <w:name w:val="header"/>
    <w:basedOn w:val="Normal"/>
    <w:link w:val="HeaderChar"/>
    <w:uiPriority w:val="99"/>
    <w:unhideWhenUsed/>
    <w:rsid w:val="004A4F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FC8"/>
  </w:style>
  <w:style w:type="paragraph" w:styleId="Footer">
    <w:name w:val="footer"/>
    <w:basedOn w:val="Normal"/>
    <w:link w:val="FooterChar"/>
    <w:uiPriority w:val="99"/>
    <w:unhideWhenUsed/>
    <w:rsid w:val="004A4F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40187">
      <w:bodyDiv w:val="1"/>
      <w:marLeft w:val="0"/>
      <w:marRight w:val="0"/>
      <w:marTop w:val="0"/>
      <w:marBottom w:val="0"/>
      <w:divBdr>
        <w:top w:val="none" w:sz="0" w:space="0" w:color="auto"/>
        <w:left w:val="none" w:sz="0" w:space="0" w:color="auto"/>
        <w:bottom w:val="none" w:sz="0" w:space="0" w:color="auto"/>
        <w:right w:val="none" w:sz="0" w:space="0" w:color="auto"/>
      </w:divBdr>
    </w:div>
    <w:div w:id="293948687">
      <w:bodyDiv w:val="1"/>
      <w:marLeft w:val="0"/>
      <w:marRight w:val="0"/>
      <w:marTop w:val="0"/>
      <w:marBottom w:val="0"/>
      <w:divBdr>
        <w:top w:val="none" w:sz="0" w:space="0" w:color="auto"/>
        <w:left w:val="none" w:sz="0" w:space="0" w:color="auto"/>
        <w:bottom w:val="none" w:sz="0" w:space="0" w:color="auto"/>
        <w:right w:val="none" w:sz="0" w:space="0" w:color="auto"/>
      </w:divBdr>
    </w:div>
    <w:div w:id="428744670">
      <w:bodyDiv w:val="1"/>
      <w:marLeft w:val="0"/>
      <w:marRight w:val="0"/>
      <w:marTop w:val="0"/>
      <w:marBottom w:val="0"/>
      <w:divBdr>
        <w:top w:val="none" w:sz="0" w:space="0" w:color="auto"/>
        <w:left w:val="none" w:sz="0" w:space="0" w:color="auto"/>
        <w:bottom w:val="none" w:sz="0" w:space="0" w:color="auto"/>
        <w:right w:val="none" w:sz="0" w:space="0" w:color="auto"/>
      </w:divBdr>
    </w:div>
    <w:div w:id="444078378">
      <w:bodyDiv w:val="1"/>
      <w:marLeft w:val="0"/>
      <w:marRight w:val="0"/>
      <w:marTop w:val="0"/>
      <w:marBottom w:val="0"/>
      <w:divBdr>
        <w:top w:val="none" w:sz="0" w:space="0" w:color="auto"/>
        <w:left w:val="none" w:sz="0" w:space="0" w:color="auto"/>
        <w:bottom w:val="none" w:sz="0" w:space="0" w:color="auto"/>
        <w:right w:val="none" w:sz="0" w:space="0" w:color="auto"/>
      </w:divBdr>
    </w:div>
    <w:div w:id="515921574">
      <w:bodyDiv w:val="1"/>
      <w:marLeft w:val="0"/>
      <w:marRight w:val="0"/>
      <w:marTop w:val="0"/>
      <w:marBottom w:val="0"/>
      <w:divBdr>
        <w:top w:val="none" w:sz="0" w:space="0" w:color="auto"/>
        <w:left w:val="none" w:sz="0" w:space="0" w:color="auto"/>
        <w:bottom w:val="none" w:sz="0" w:space="0" w:color="auto"/>
        <w:right w:val="none" w:sz="0" w:space="0" w:color="auto"/>
      </w:divBdr>
    </w:div>
    <w:div w:id="570234603">
      <w:bodyDiv w:val="1"/>
      <w:marLeft w:val="0"/>
      <w:marRight w:val="0"/>
      <w:marTop w:val="0"/>
      <w:marBottom w:val="0"/>
      <w:divBdr>
        <w:top w:val="none" w:sz="0" w:space="0" w:color="auto"/>
        <w:left w:val="none" w:sz="0" w:space="0" w:color="auto"/>
        <w:bottom w:val="none" w:sz="0" w:space="0" w:color="auto"/>
        <w:right w:val="none" w:sz="0" w:space="0" w:color="auto"/>
      </w:divBdr>
    </w:div>
    <w:div w:id="578102957">
      <w:bodyDiv w:val="1"/>
      <w:marLeft w:val="0"/>
      <w:marRight w:val="0"/>
      <w:marTop w:val="0"/>
      <w:marBottom w:val="0"/>
      <w:divBdr>
        <w:top w:val="none" w:sz="0" w:space="0" w:color="auto"/>
        <w:left w:val="none" w:sz="0" w:space="0" w:color="auto"/>
        <w:bottom w:val="none" w:sz="0" w:space="0" w:color="auto"/>
        <w:right w:val="none" w:sz="0" w:space="0" w:color="auto"/>
      </w:divBdr>
    </w:div>
    <w:div w:id="872811876">
      <w:bodyDiv w:val="1"/>
      <w:marLeft w:val="0"/>
      <w:marRight w:val="0"/>
      <w:marTop w:val="0"/>
      <w:marBottom w:val="0"/>
      <w:divBdr>
        <w:top w:val="none" w:sz="0" w:space="0" w:color="auto"/>
        <w:left w:val="none" w:sz="0" w:space="0" w:color="auto"/>
        <w:bottom w:val="none" w:sz="0" w:space="0" w:color="auto"/>
        <w:right w:val="none" w:sz="0" w:space="0" w:color="auto"/>
      </w:divBdr>
    </w:div>
    <w:div w:id="898787001">
      <w:bodyDiv w:val="1"/>
      <w:marLeft w:val="0"/>
      <w:marRight w:val="0"/>
      <w:marTop w:val="0"/>
      <w:marBottom w:val="0"/>
      <w:divBdr>
        <w:top w:val="none" w:sz="0" w:space="0" w:color="auto"/>
        <w:left w:val="none" w:sz="0" w:space="0" w:color="auto"/>
        <w:bottom w:val="none" w:sz="0" w:space="0" w:color="auto"/>
        <w:right w:val="none" w:sz="0" w:space="0" w:color="auto"/>
      </w:divBdr>
    </w:div>
    <w:div w:id="1017537507">
      <w:bodyDiv w:val="1"/>
      <w:marLeft w:val="0"/>
      <w:marRight w:val="0"/>
      <w:marTop w:val="0"/>
      <w:marBottom w:val="0"/>
      <w:divBdr>
        <w:top w:val="none" w:sz="0" w:space="0" w:color="auto"/>
        <w:left w:val="none" w:sz="0" w:space="0" w:color="auto"/>
        <w:bottom w:val="none" w:sz="0" w:space="0" w:color="auto"/>
        <w:right w:val="none" w:sz="0" w:space="0" w:color="auto"/>
      </w:divBdr>
    </w:div>
    <w:div w:id="1037775771">
      <w:bodyDiv w:val="1"/>
      <w:marLeft w:val="0"/>
      <w:marRight w:val="0"/>
      <w:marTop w:val="0"/>
      <w:marBottom w:val="0"/>
      <w:divBdr>
        <w:top w:val="none" w:sz="0" w:space="0" w:color="auto"/>
        <w:left w:val="none" w:sz="0" w:space="0" w:color="auto"/>
        <w:bottom w:val="none" w:sz="0" w:space="0" w:color="auto"/>
        <w:right w:val="none" w:sz="0" w:space="0" w:color="auto"/>
      </w:divBdr>
    </w:div>
    <w:div w:id="1049763852">
      <w:bodyDiv w:val="1"/>
      <w:marLeft w:val="0"/>
      <w:marRight w:val="0"/>
      <w:marTop w:val="0"/>
      <w:marBottom w:val="0"/>
      <w:divBdr>
        <w:top w:val="none" w:sz="0" w:space="0" w:color="auto"/>
        <w:left w:val="none" w:sz="0" w:space="0" w:color="auto"/>
        <w:bottom w:val="none" w:sz="0" w:space="0" w:color="auto"/>
        <w:right w:val="none" w:sz="0" w:space="0" w:color="auto"/>
      </w:divBdr>
    </w:div>
    <w:div w:id="1154488244">
      <w:bodyDiv w:val="1"/>
      <w:marLeft w:val="0"/>
      <w:marRight w:val="0"/>
      <w:marTop w:val="0"/>
      <w:marBottom w:val="0"/>
      <w:divBdr>
        <w:top w:val="none" w:sz="0" w:space="0" w:color="auto"/>
        <w:left w:val="none" w:sz="0" w:space="0" w:color="auto"/>
        <w:bottom w:val="none" w:sz="0" w:space="0" w:color="auto"/>
        <w:right w:val="none" w:sz="0" w:space="0" w:color="auto"/>
      </w:divBdr>
    </w:div>
    <w:div w:id="1299265307">
      <w:bodyDiv w:val="1"/>
      <w:marLeft w:val="0"/>
      <w:marRight w:val="0"/>
      <w:marTop w:val="0"/>
      <w:marBottom w:val="0"/>
      <w:divBdr>
        <w:top w:val="none" w:sz="0" w:space="0" w:color="auto"/>
        <w:left w:val="none" w:sz="0" w:space="0" w:color="auto"/>
        <w:bottom w:val="none" w:sz="0" w:space="0" w:color="auto"/>
        <w:right w:val="none" w:sz="0" w:space="0" w:color="auto"/>
      </w:divBdr>
    </w:div>
    <w:div w:id="1325469292">
      <w:bodyDiv w:val="1"/>
      <w:marLeft w:val="0"/>
      <w:marRight w:val="0"/>
      <w:marTop w:val="0"/>
      <w:marBottom w:val="0"/>
      <w:divBdr>
        <w:top w:val="none" w:sz="0" w:space="0" w:color="auto"/>
        <w:left w:val="none" w:sz="0" w:space="0" w:color="auto"/>
        <w:bottom w:val="none" w:sz="0" w:space="0" w:color="auto"/>
        <w:right w:val="none" w:sz="0" w:space="0" w:color="auto"/>
      </w:divBdr>
    </w:div>
    <w:div w:id="1333952384">
      <w:bodyDiv w:val="1"/>
      <w:marLeft w:val="0"/>
      <w:marRight w:val="0"/>
      <w:marTop w:val="0"/>
      <w:marBottom w:val="0"/>
      <w:divBdr>
        <w:top w:val="none" w:sz="0" w:space="0" w:color="auto"/>
        <w:left w:val="none" w:sz="0" w:space="0" w:color="auto"/>
        <w:bottom w:val="none" w:sz="0" w:space="0" w:color="auto"/>
        <w:right w:val="none" w:sz="0" w:space="0" w:color="auto"/>
      </w:divBdr>
    </w:div>
    <w:div w:id="1511289330">
      <w:bodyDiv w:val="1"/>
      <w:marLeft w:val="0"/>
      <w:marRight w:val="0"/>
      <w:marTop w:val="0"/>
      <w:marBottom w:val="0"/>
      <w:divBdr>
        <w:top w:val="none" w:sz="0" w:space="0" w:color="auto"/>
        <w:left w:val="none" w:sz="0" w:space="0" w:color="auto"/>
        <w:bottom w:val="none" w:sz="0" w:space="0" w:color="auto"/>
        <w:right w:val="none" w:sz="0" w:space="0" w:color="auto"/>
      </w:divBdr>
    </w:div>
    <w:div w:id="1630283349">
      <w:bodyDiv w:val="1"/>
      <w:marLeft w:val="0"/>
      <w:marRight w:val="0"/>
      <w:marTop w:val="0"/>
      <w:marBottom w:val="0"/>
      <w:divBdr>
        <w:top w:val="none" w:sz="0" w:space="0" w:color="auto"/>
        <w:left w:val="none" w:sz="0" w:space="0" w:color="auto"/>
        <w:bottom w:val="none" w:sz="0" w:space="0" w:color="auto"/>
        <w:right w:val="none" w:sz="0" w:space="0" w:color="auto"/>
      </w:divBdr>
    </w:div>
    <w:div w:id="1793749113">
      <w:bodyDiv w:val="1"/>
      <w:marLeft w:val="0"/>
      <w:marRight w:val="0"/>
      <w:marTop w:val="0"/>
      <w:marBottom w:val="0"/>
      <w:divBdr>
        <w:top w:val="none" w:sz="0" w:space="0" w:color="auto"/>
        <w:left w:val="none" w:sz="0" w:space="0" w:color="auto"/>
        <w:bottom w:val="none" w:sz="0" w:space="0" w:color="auto"/>
        <w:right w:val="none" w:sz="0" w:space="0" w:color="auto"/>
      </w:divBdr>
    </w:div>
    <w:div w:id="1914243108">
      <w:bodyDiv w:val="1"/>
      <w:marLeft w:val="0"/>
      <w:marRight w:val="0"/>
      <w:marTop w:val="0"/>
      <w:marBottom w:val="0"/>
      <w:divBdr>
        <w:top w:val="none" w:sz="0" w:space="0" w:color="auto"/>
        <w:left w:val="none" w:sz="0" w:space="0" w:color="auto"/>
        <w:bottom w:val="none" w:sz="0" w:space="0" w:color="auto"/>
        <w:right w:val="none" w:sz="0" w:space="0" w:color="auto"/>
      </w:divBdr>
    </w:div>
    <w:div w:id="1985618599">
      <w:bodyDiv w:val="1"/>
      <w:marLeft w:val="0"/>
      <w:marRight w:val="0"/>
      <w:marTop w:val="0"/>
      <w:marBottom w:val="0"/>
      <w:divBdr>
        <w:top w:val="none" w:sz="0" w:space="0" w:color="auto"/>
        <w:left w:val="none" w:sz="0" w:space="0" w:color="auto"/>
        <w:bottom w:val="none" w:sz="0" w:space="0" w:color="auto"/>
        <w:right w:val="none" w:sz="0" w:space="0" w:color="auto"/>
      </w:divBdr>
    </w:div>
    <w:div w:id="1989823017">
      <w:bodyDiv w:val="1"/>
      <w:marLeft w:val="0"/>
      <w:marRight w:val="0"/>
      <w:marTop w:val="0"/>
      <w:marBottom w:val="0"/>
      <w:divBdr>
        <w:top w:val="none" w:sz="0" w:space="0" w:color="auto"/>
        <w:left w:val="none" w:sz="0" w:space="0" w:color="auto"/>
        <w:bottom w:val="none" w:sz="0" w:space="0" w:color="auto"/>
        <w:right w:val="none" w:sz="0" w:space="0" w:color="auto"/>
      </w:divBdr>
    </w:div>
    <w:div w:id="2049792519">
      <w:bodyDiv w:val="1"/>
      <w:marLeft w:val="0"/>
      <w:marRight w:val="0"/>
      <w:marTop w:val="0"/>
      <w:marBottom w:val="0"/>
      <w:divBdr>
        <w:top w:val="none" w:sz="0" w:space="0" w:color="auto"/>
        <w:left w:val="none" w:sz="0" w:space="0" w:color="auto"/>
        <w:bottom w:val="none" w:sz="0" w:space="0" w:color="auto"/>
        <w:right w:val="none" w:sz="0" w:space="0" w:color="auto"/>
      </w:divBdr>
    </w:div>
    <w:div w:id="210051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cdc.gov/drugresistance/pdf/threats-report/2019-ar-threats-report-508.pdf"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who.int/news-room/fact-sheets/detail/antimicrobial-resistanc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Resistance Prevalence (%)</c:v>
                </c:pt>
              </c:strCache>
            </c:strRef>
          </c:tx>
          <c:invertIfNegative val="0"/>
          <c:cat>
            <c:strRef>
              <c:f>Sheet1!$A$2:$A$8</c:f>
              <c:strCache>
                <c:ptCount val="6"/>
                <c:pt idx="0">
                  <c:v>E.coli</c:v>
                </c:pt>
                <c:pt idx="1">
                  <c:v>K.pneumoniae</c:v>
                </c:pt>
                <c:pt idx="2">
                  <c:v>A.Baumannii</c:v>
                </c:pt>
                <c:pt idx="3">
                  <c:v>P. aeruginosa</c:v>
                </c:pt>
                <c:pt idx="4">
                  <c:v>MRSA</c:v>
                </c:pt>
                <c:pt idx="5">
                  <c:v>MDR-TB</c:v>
                </c:pt>
              </c:strCache>
            </c:strRef>
          </c:cat>
          <c:val>
            <c:numRef>
              <c:f>Sheet1!$B$2:$B$8</c:f>
              <c:numCache>
                <c:formatCode>0%</c:formatCode>
                <c:ptCount val="7"/>
                <c:pt idx="0">
                  <c:v>0.75000000000000089</c:v>
                </c:pt>
                <c:pt idx="1">
                  <c:v>0.68000000000000071</c:v>
                </c:pt>
                <c:pt idx="2">
                  <c:v>0.82000000000000062</c:v>
                </c:pt>
                <c:pt idx="3">
                  <c:v>0.60000000000000064</c:v>
                </c:pt>
                <c:pt idx="4">
                  <c:v>0.56000000000000005</c:v>
                </c:pt>
                <c:pt idx="5">
                  <c:v>0.49000000000000032</c:v>
                </c:pt>
                <c:pt idx="6" formatCode="General">
                  <c:v>0</c:v>
                </c:pt>
              </c:numCache>
            </c:numRef>
          </c:val>
          <c:extLst>
            <c:ext xmlns:c16="http://schemas.microsoft.com/office/drawing/2014/chart" uri="{C3380CC4-5D6E-409C-BE32-E72D297353CC}">
              <c16:uniqueId val="{00000000-921F-4129-BA03-27176EB9EF74}"/>
            </c:ext>
          </c:extLst>
        </c:ser>
        <c:dLbls>
          <c:showLegendKey val="0"/>
          <c:showVal val="0"/>
          <c:showCatName val="0"/>
          <c:showSerName val="0"/>
          <c:showPercent val="0"/>
          <c:showBubbleSize val="0"/>
        </c:dLbls>
        <c:gapWidth val="150"/>
        <c:axId val="48646016"/>
        <c:axId val="48647552"/>
      </c:barChart>
      <c:catAx>
        <c:axId val="48646016"/>
        <c:scaling>
          <c:orientation val="minMax"/>
        </c:scaling>
        <c:delete val="0"/>
        <c:axPos val="b"/>
        <c:numFmt formatCode="General" sourceLinked="0"/>
        <c:majorTickMark val="out"/>
        <c:minorTickMark val="none"/>
        <c:tickLblPos val="nextTo"/>
        <c:crossAx val="48647552"/>
        <c:crosses val="autoZero"/>
        <c:auto val="1"/>
        <c:lblAlgn val="ctr"/>
        <c:lblOffset val="100"/>
        <c:noMultiLvlLbl val="0"/>
      </c:catAx>
      <c:valAx>
        <c:axId val="48647552"/>
        <c:scaling>
          <c:orientation val="minMax"/>
        </c:scaling>
        <c:delete val="0"/>
        <c:axPos val="l"/>
        <c:majorGridlines/>
        <c:numFmt formatCode="0%" sourceLinked="1"/>
        <c:majorTickMark val="out"/>
        <c:minorTickMark val="none"/>
        <c:tickLblPos val="nextTo"/>
        <c:crossAx val="486460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Distribution of Major Antimicrobial Resistance Mechanisms</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Sheet1!$A$2:$A$5</c:f>
              <c:strCache>
                <c:ptCount val="4"/>
                <c:pt idx="0">
                  <c:v>Enzymatic Inactivation</c:v>
                </c:pt>
                <c:pt idx="1">
                  <c:v>Efflux Pumps</c:v>
                </c:pt>
                <c:pt idx="2">
                  <c:v>Target Modification</c:v>
                </c:pt>
                <c:pt idx="3">
                  <c:v>Horizontal Gene Transfer</c:v>
                </c:pt>
              </c:strCache>
            </c:strRef>
          </c:cat>
          <c:val>
            <c:numRef>
              <c:f>Sheet1!$B$2:$B$5</c:f>
              <c:numCache>
                <c:formatCode>0%</c:formatCode>
                <c:ptCount val="4"/>
                <c:pt idx="0">
                  <c:v>0.35000000000000031</c:v>
                </c:pt>
                <c:pt idx="1">
                  <c:v>0.25</c:v>
                </c:pt>
                <c:pt idx="2">
                  <c:v>0.2</c:v>
                </c:pt>
                <c:pt idx="3">
                  <c:v>0.2</c:v>
                </c:pt>
              </c:numCache>
            </c:numRef>
          </c:val>
          <c:extLst>
            <c:ext xmlns:c16="http://schemas.microsoft.com/office/drawing/2014/chart" uri="{C3380CC4-5D6E-409C-BE32-E72D297353CC}">
              <c16:uniqueId val="{00000000-7D75-455E-ACBF-58D0F19A6230}"/>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t>Environmental AMR Presence and Public Health Impact by Region</a:t>
            </a:r>
            <a:endParaRPr lang="en-US"/>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Public Health Impact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4"/>
                <c:pt idx="0">
                  <c:v>Asia</c:v>
                </c:pt>
                <c:pt idx="1">
                  <c:v>Africa</c:v>
                </c:pt>
                <c:pt idx="2">
                  <c:v>Europe</c:v>
                </c:pt>
                <c:pt idx="3">
                  <c:v>America</c:v>
                </c:pt>
              </c:strCache>
            </c:strRef>
          </c:cat>
          <c:val>
            <c:numRef>
              <c:f>Sheet1!$B$2:$B$7</c:f>
              <c:numCache>
                <c:formatCode>0%</c:formatCode>
                <c:ptCount val="6"/>
                <c:pt idx="0">
                  <c:v>0.9</c:v>
                </c:pt>
                <c:pt idx="1">
                  <c:v>0.8</c:v>
                </c:pt>
                <c:pt idx="2">
                  <c:v>0.70000000000000062</c:v>
                </c:pt>
                <c:pt idx="3">
                  <c:v>0.75000000000000089</c:v>
                </c:pt>
              </c:numCache>
            </c:numRef>
          </c:val>
          <c:extLst>
            <c:ext xmlns:c16="http://schemas.microsoft.com/office/drawing/2014/chart" uri="{C3380CC4-5D6E-409C-BE32-E72D297353CC}">
              <c16:uniqueId val="{00000000-E8F6-4B72-9565-814BD2C89B08}"/>
            </c:ext>
          </c:extLst>
        </c:ser>
        <c:ser>
          <c:idx val="1"/>
          <c:order val="1"/>
          <c:tx>
            <c:strRef>
              <c:f>Sheet1!$C$1</c:f>
              <c:strCache>
                <c:ptCount val="1"/>
                <c:pt idx="0">
                  <c:v>Environmental AMR Detection (%)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4"/>
                <c:pt idx="0">
                  <c:v>Asia</c:v>
                </c:pt>
                <c:pt idx="1">
                  <c:v>Africa</c:v>
                </c:pt>
                <c:pt idx="2">
                  <c:v>Europe</c:v>
                </c:pt>
                <c:pt idx="3">
                  <c:v>America</c:v>
                </c:pt>
              </c:strCache>
            </c:strRef>
          </c:cat>
          <c:val>
            <c:numRef>
              <c:f>Sheet1!$C$2:$C$7</c:f>
              <c:numCache>
                <c:formatCode>0%</c:formatCode>
                <c:ptCount val="6"/>
                <c:pt idx="0">
                  <c:v>0.85000000000000064</c:v>
                </c:pt>
                <c:pt idx="1">
                  <c:v>0.78</c:v>
                </c:pt>
                <c:pt idx="2">
                  <c:v>0.60000000000000064</c:v>
                </c:pt>
                <c:pt idx="3">
                  <c:v>0.65000000000000102</c:v>
                </c:pt>
              </c:numCache>
            </c:numRef>
          </c:val>
          <c:extLst>
            <c:ext xmlns:c16="http://schemas.microsoft.com/office/drawing/2014/chart" uri="{C3380CC4-5D6E-409C-BE32-E72D297353CC}">
              <c16:uniqueId val="{00000001-E8F6-4B72-9565-814BD2C89B08}"/>
            </c:ext>
          </c:extLst>
        </c:ser>
        <c:dLbls>
          <c:showLegendKey val="0"/>
          <c:showVal val="1"/>
          <c:showCatName val="0"/>
          <c:showSerName val="0"/>
          <c:showPercent val="0"/>
          <c:showBubbleSize val="0"/>
        </c:dLbls>
        <c:gapWidth val="150"/>
        <c:shape val="cone"/>
        <c:axId val="90352640"/>
        <c:axId val="90354432"/>
        <c:axId val="100563584"/>
      </c:bar3DChart>
      <c:catAx>
        <c:axId val="90352640"/>
        <c:scaling>
          <c:orientation val="minMax"/>
        </c:scaling>
        <c:delete val="0"/>
        <c:axPos val="b"/>
        <c:numFmt formatCode="General" sourceLinked="0"/>
        <c:majorTickMark val="none"/>
        <c:minorTickMark val="none"/>
        <c:tickLblPos val="nextTo"/>
        <c:crossAx val="90354432"/>
        <c:crosses val="autoZero"/>
        <c:auto val="1"/>
        <c:lblAlgn val="ctr"/>
        <c:lblOffset val="100"/>
        <c:noMultiLvlLbl val="0"/>
      </c:catAx>
      <c:valAx>
        <c:axId val="90354432"/>
        <c:scaling>
          <c:orientation val="minMax"/>
        </c:scaling>
        <c:delete val="1"/>
        <c:axPos val="l"/>
        <c:numFmt formatCode="0%" sourceLinked="1"/>
        <c:majorTickMark val="none"/>
        <c:minorTickMark val="none"/>
        <c:tickLblPos val="none"/>
        <c:crossAx val="90352640"/>
        <c:crosses val="autoZero"/>
        <c:crossBetween val="between"/>
      </c:valAx>
      <c:serAx>
        <c:axId val="100563584"/>
        <c:scaling>
          <c:orientation val="minMax"/>
        </c:scaling>
        <c:delete val="1"/>
        <c:axPos val="b"/>
        <c:majorTickMark val="none"/>
        <c:minorTickMark val="none"/>
        <c:tickLblPos val="none"/>
        <c:crossAx val="90354432"/>
        <c:crosses val="autoZero"/>
      </c:ser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16</Pages>
  <Words>4534</Words>
  <Characters>25848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22</cp:revision>
  <dcterms:created xsi:type="dcterms:W3CDTF">2025-07-02T08:59:00Z</dcterms:created>
  <dcterms:modified xsi:type="dcterms:W3CDTF">2025-07-03T10:26:00Z</dcterms:modified>
</cp:coreProperties>
</file>