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B32C7" w14:textId="77777777" w:rsidR="00275912" w:rsidRPr="00275912" w:rsidRDefault="00275912" w:rsidP="00275912">
      <w:pPr>
        <w:spacing w:line="240" w:lineRule="auto"/>
        <w:jc w:val="both"/>
        <w:rPr>
          <w:rFonts w:ascii="Arial" w:hAnsi="Arial" w:cs="Arial"/>
          <w:b/>
          <w:bCs/>
          <w:i/>
          <w:iCs/>
          <w:sz w:val="28"/>
          <w:szCs w:val="28"/>
          <w:u w:val="single"/>
        </w:rPr>
      </w:pPr>
      <w:r w:rsidRPr="00275912">
        <w:rPr>
          <w:rFonts w:ascii="Arial" w:hAnsi="Arial" w:cs="Arial"/>
          <w:b/>
          <w:bCs/>
          <w:i/>
          <w:iCs/>
          <w:sz w:val="28"/>
          <w:szCs w:val="28"/>
          <w:u w:val="single"/>
        </w:rPr>
        <w:t xml:space="preserve">Case report </w:t>
      </w:r>
    </w:p>
    <w:p w14:paraId="4E50F1AE" w14:textId="4BE2EF3D" w:rsidR="000D5306" w:rsidRPr="007800E6" w:rsidRDefault="003D38CF" w:rsidP="0077186B">
      <w:pPr>
        <w:spacing w:line="240" w:lineRule="auto"/>
        <w:jc w:val="both"/>
        <w:rPr>
          <w:rFonts w:ascii="Arial" w:hAnsi="Arial" w:cs="Arial"/>
          <w:b/>
          <w:sz w:val="28"/>
          <w:szCs w:val="28"/>
        </w:rPr>
      </w:pPr>
      <w:r w:rsidRPr="007800E6">
        <w:rPr>
          <w:rFonts w:ascii="Arial" w:hAnsi="Arial" w:cs="Arial"/>
          <w:b/>
          <w:sz w:val="28"/>
          <w:szCs w:val="28"/>
        </w:rPr>
        <w:t xml:space="preserve">MULTIDRUG ASSOCIATED STEVENS-JOHNSON SYNDROME-TOXIC EPIDERMAL NECROLYSIS OVERLAP ALONG </w:t>
      </w:r>
      <w:r w:rsidR="00EE429A" w:rsidRPr="007800E6">
        <w:rPr>
          <w:rFonts w:ascii="Arial" w:hAnsi="Arial" w:cs="Arial"/>
          <w:b/>
          <w:sz w:val="28"/>
          <w:szCs w:val="28"/>
        </w:rPr>
        <w:t xml:space="preserve">WITH </w:t>
      </w:r>
      <w:r w:rsidRPr="007800E6">
        <w:rPr>
          <w:rFonts w:ascii="Arial" w:hAnsi="Arial" w:cs="Arial"/>
          <w:b/>
          <w:sz w:val="28"/>
          <w:szCs w:val="28"/>
        </w:rPr>
        <w:t>CHOLESTATIC LIVER INJURY: A CASE INVOLVING SULFASALAZINE</w:t>
      </w:r>
    </w:p>
    <w:p w14:paraId="1791EA4B" w14:textId="77777777" w:rsidR="0019294A" w:rsidRPr="007800E6" w:rsidRDefault="0019294A" w:rsidP="0077186B">
      <w:pPr>
        <w:spacing w:line="240" w:lineRule="auto"/>
        <w:jc w:val="both"/>
        <w:rPr>
          <w:rFonts w:ascii="Arial" w:hAnsi="Arial" w:cs="Arial"/>
          <w:b/>
          <w:sz w:val="28"/>
          <w:szCs w:val="28"/>
        </w:rPr>
      </w:pPr>
    </w:p>
    <w:p w14:paraId="6E9A59D8" w14:textId="77777777" w:rsidR="008A59E9" w:rsidRPr="007800E6" w:rsidRDefault="008A59E9" w:rsidP="0077186B">
      <w:pPr>
        <w:spacing w:line="240" w:lineRule="auto"/>
        <w:jc w:val="both"/>
        <w:rPr>
          <w:rFonts w:ascii="Arial" w:hAnsi="Arial" w:cs="Arial"/>
          <w:b/>
          <w:bCs/>
        </w:rPr>
      </w:pPr>
      <w:r w:rsidRPr="007800E6">
        <w:rPr>
          <w:rFonts w:ascii="Arial" w:hAnsi="Arial" w:cs="Arial"/>
          <w:b/>
          <w:bCs/>
        </w:rPr>
        <w:t>Abstract</w:t>
      </w:r>
    </w:p>
    <w:p w14:paraId="327599D2" w14:textId="02D40447" w:rsidR="008A59E9" w:rsidRPr="007800E6" w:rsidRDefault="008A59E9" w:rsidP="0077186B">
      <w:pPr>
        <w:spacing w:line="240" w:lineRule="auto"/>
        <w:jc w:val="both"/>
        <w:rPr>
          <w:rFonts w:ascii="Arial" w:hAnsi="Arial" w:cs="Arial"/>
          <w:sz w:val="20"/>
          <w:szCs w:val="20"/>
        </w:rPr>
      </w:pPr>
      <w:r w:rsidRPr="007800E6">
        <w:rPr>
          <w:rFonts w:ascii="Arial" w:hAnsi="Arial" w:cs="Arial"/>
          <w:b/>
          <w:bCs/>
        </w:rPr>
        <w:t>Background:</w:t>
      </w:r>
      <w:r w:rsidRPr="007800E6">
        <w:rPr>
          <w:rFonts w:ascii="Arial" w:hAnsi="Arial" w:cs="Arial"/>
          <w:sz w:val="24"/>
          <w:szCs w:val="24"/>
        </w:rPr>
        <w:br/>
      </w:r>
      <w:r w:rsidRPr="007800E6">
        <w:rPr>
          <w:rFonts w:ascii="Arial" w:hAnsi="Arial" w:cs="Arial"/>
          <w:sz w:val="20"/>
          <w:szCs w:val="20"/>
        </w:rPr>
        <w:t xml:space="preserve">Stevens-Johnson </w:t>
      </w:r>
      <w:r w:rsidR="003A60F3" w:rsidRPr="007800E6">
        <w:rPr>
          <w:rFonts w:ascii="Arial" w:hAnsi="Arial" w:cs="Arial"/>
          <w:sz w:val="20"/>
          <w:szCs w:val="20"/>
        </w:rPr>
        <w:t>s</w:t>
      </w:r>
      <w:r w:rsidRPr="007800E6">
        <w:rPr>
          <w:rFonts w:ascii="Arial" w:hAnsi="Arial" w:cs="Arial"/>
          <w:sz w:val="20"/>
          <w:szCs w:val="20"/>
        </w:rPr>
        <w:t>yndrome (SJS) and drug-induced liver injury (DILI) are rare but potentially life-threatening adverse drug reactions. Sulfasalazine is known to cause either condition individually, but their simultaneous occurrence is exceedingly rare.</w:t>
      </w:r>
    </w:p>
    <w:p w14:paraId="6D94169D" w14:textId="77777777" w:rsidR="00D52017" w:rsidRPr="007800E6" w:rsidRDefault="008A59E9" w:rsidP="0077186B">
      <w:pPr>
        <w:spacing w:line="240" w:lineRule="auto"/>
        <w:jc w:val="both"/>
        <w:rPr>
          <w:rFonts w:ascii="Arial" w:hAnsi="Arial" w:cs="Arial"/>
          <w:b/>
          <w:bCs/>
        </w:rPr>
      </w:pPr>
      <w:r w:rsidRPr="007800E6">
        <w:rPr>
          <w:rFonts w:ascii="Arial" w:hAnsi="Arial" w:cs="Arial"/>
          <w:b/>
          <w:bCs/>
        </w:rPr>
        <w:t>Case Presentation:</w:t>
      </w:r>
    </w:p>
    <w:p w14:paraId="649AEBEC" w14:textId="7B6D206F" w:rsidR="008A59E9" w:rsidRPr="007800E6" w:rsidRDefault="008A59E9" w:rsidP="0077186B">
      <w:pPr>
        <w:spacing w:line="240" w:lineRule="auto"/>
        <w:jc w:val="both"/>
        <w:rPr>
          <w:rFonts w:ascii="Arial" w:hAnsi="Arial" w:cs="Arial"/>
          <w:sz w:val="20"/>
          <w:szCs w:val="20"/>
        </w:rPr>
      </w:pPr>
      <w:r w:rsidRPr="007800E6">
        <w:rPr>
          <w:rFonts w:ascii="Arial" w:hAnsi="Arial" w:cs="Arial"/>
          <w:sz w:val="20"/>
          <w:szCs w:val="20"/>
        </w:rPr>
        <w:t>We report the case of a 56-year-old female with psoriatic arthritis who developed a severe hypersensitivity reaction shortly after initiating sulfasalazine. Clinical features included facial erythema, mucosal ulceration, conjunctivitis, and hepatocellular liver injury. Skin biopsy confirmed Stevens-</w:t>
      </w:r>
      <w:bookmarkStart w:id="0" w:name="_GoBack"/>
      <w:bookmarkEnd w:id="0"/>
      <w:r w:rsidRPr="007800E6">
        <w:rPr>
          <w:rFonts w:ascii="Arial" w:hAnsi="Arial" w:cs="Arial"/>
          <w:sz w:val="20"/>
          <w:szCs w:val="20"/>
        </w:rPr>
        <w:t>Johnson Syndrome. Laboratory investigations excluded infectious, autoimmune, and metabolic liver causes. Sulfasalazine was withdrawn, and treatment with intravenous corticosteroids and immunoglobulin led to clinical improvement.</w:t>
      </w:r>
    </w:p>
    <w:p w14:paraId="6B26670D" w14:textId="2DE87CC7" w:rsidR="007404AB" w:rsidRPr="007800E6" w:rsidRDefault="007404AB" w:rsidP="0077186B">
      <w:pPr>
        <w:spacing w:line="240" w:lineRule="auto"/>
        <w:jc w:val="both"/>
        <w:rPr>
          <w:rFonts w:ascii="Arial" w:hAnsi="Arial" w:cs="Arial"/>
          <w:b/>
          <w:bCs/>
          <w:szCs w:val="20"/>
        </w:rPr>
      </w:pPr>
      <w:r w:rsidRPr="007800E6">
        <w:rPr>
          <w:rFonts w:ascii="Arial" w:hAnsi="Arial" w:cs="Arial"/>
          <w:b/>
          <w:bCs/>
          <w:szCs w:val="20"/>
        </w:rPr>
        <w:t>Management and Outcome:</w:t>
      </w:r>
    </w:p>
    <w:p w14:paraId="2659A663" w14:textId="3B9158CD" w:rsidR="008A59E9" w:rsidRPr="007800E6" w:rsidRDefault="008A59E9" w:rsidP="0077186B">
      <w:pPr>
        <w:spacing w:line="240" w:lineRule="auto"/>
        <w:jc w:val="both"/>
        <w:rPr>
          <w:rFonts w:ascii="Arial" w:hAnsi="Arial" w:cs="Arial"/>
          <w:b/>
          <w:bCs/>
          <w:sz w:val="20"/>
          <w:szCs w:val="20"/>
        </w:rPr>
      </w:pPr>
      <w:r w:rsidRPr="007800E6">
        <w:rPr>
          <w:rFonts w:ascii="Arial" w:hAnsi="Arial" w:cs="Arial"/>
          <w:sz w:val="20"/>
          <w:szCs w:val="20"/>
        </w:rPr>
        <w:t xml:space="preserve">The patient received dexamethasone, IVIG, and supportive care with a multidisciplinary team. Liver enzymes normalized, mucocutaneous lesions resolved, and </w:t>
      </w:r>
      <w:r w:rsidR="00966203" w:rsidRPr="007800E6">
        <w:rPr>
          <w:rFonts w:ascii="Arial" w:hAnsi="Arial" w:cs="Arial"/>
          <w:sz w:val="20"/>
          <w:szCs w:val="20"/>
        </w:rPr>
        <w:t>patient</w:t>
      </w:r>
      <w:r w:rsidRPr="007800E6">
        <w:rPr>
          <w:rFonts w:ascii="Arial" w:hAnsi="Arial" w:cs="Arial"/>
          <w:sz w:val="20"/>
          <w:szCs w:val="20"/>
        </w:rPr>
        <w:t xml:space="preserve"> was discharged in stable condition.</w:t>
      </w:r>
    </w:p>
    <w:p w14:paraId="54DA6FF0" w14:textId="4C3AAFDB" w:rsidR="008A59E9" w:rsidRPr="007800E6" w:rsidRDefault="008A59E9" w:rsidP="0077186B">
      <w:pPr>
        <w:spacing w:line="240" w:lineRule="auto"/>
        <w:jc w:val="both"/>
        <w:rPr>
          <w:rFonts w:ascii="Arial" w:hAnsi="Arial" w:cs="Arial"/>
          <w:sz w:val="20"/>
          <w:szCs w:val="20"/>
        </w:rPr>
      </w:pPr>
      <w:r w:rsidRPr="007800E6">
        <w:rPr>
          <w:rFonts w:ascii="Arial" w:hAnsi="Arial" w:cs="Arial"/>
          <w:b/>
          <w:bCs/>
          <w:szCs w:val="20"/>
        </w:rPr>
        <w:t>Conclusion:</w:t>
      </w:r>
      <w:r w:rsidRPr="007800E6">
        <w:rPr>
          <w:rFonts w:ascii="Arial" w:hAnsi="Arial" w:cs="Arial"/>
          <w:sz w:val="20"/>
          <w:szCs w:val="20"/>
        </w:rPr>
        <w:br/>
      </w:r>
      <w:r w:rsidR="00966203" w:rsidRPr="007800E6">
        <w:rPr>
          <w:rFonts w:ascii="Arial" w:hAnsi="Arial" w:cs="Arial"/>
          <w:sz w:val="20"/>
          <w:szCs w:val="20"/>
        </w:rPr>
        <w:t>Stevens</w:t>
      </w:r>
      <w:r w:rsidR="003A60F3" w:rsidRPr="007800E6">
        <w:rPr>
          <w:rFonts w:ascii="Arial" w:hAnsi="Arial" w:cs="Arial"/>
          <w:sz w:val="20"/>
          <w:szCs w:val="20"/>
        </w:rPr>
        <w:t>-Johnson</w:t>
      </w:r>
      <w:r w:rsidR="00966203" w:rsidRPr="007800E6">
        <w:rPr>
          <w:rFonts w:ascii="Arial" w:hAnsi="Arial" w:cs="Arial"/>
          <w:sz w:val="20"/>
          <w:szCs w:val="20"/>
        </w:rPr>
        <w:t xml:space="preserve"> syndrome and idiosyncratic liver injury rare but established adverse effects of sulfasalazine</w:t>
      </w:r>
      <w:r w:rsidRPr="007800E6">
        <w:rPr>
          <w:rFonts w:ascii="Arial" w:hAnsi="Arial" w:cs="Arial"/>
          <w:sz w:val="20"/>
          <w:szCs w:val="20"/>
        </w:rPr>
        <w:t>.</w:t>
      </w:r>
      <w:r w:rsidR="00966203" w:rsidRPr="007800E6">
        <w:rPr>
          <w:rFonts w:ascii="Arial" w:hAnsi="Arial" w:cs="Arial"/>
          <w:sz w:val="20"/>
          <w:szCs w:val="20"/>
        </w:rPr>
        <w:t xml:space="preserve"> Our case highlights the importance of early identification of offending agent in </w:t>
      </w:r>
      <w:r w:rsidR="003A60F3" w:rsidRPr="007800E6">
        <w:rPr>
          <w:rFonts w:ascii="Arial" w:hAnsi="Arial" w:cs="Arial"/>
          <w:sz w:val="20"/>
          <w:szCs w:val="20"/>
        </w:rPr>
        <w:t>S</w:t>
      </w:r>
      <w:r w:rsidR="00966203" w:rsidRPr="007800E6">
        <w:rPr>
          <w:rFonts w:ascii="Arial" w:hAnsi="Arial" w:cs="Arial"/>
          <w:sz w:val="20"/>
          <w:szCs w:val="20"/>
        </w:rPr>
        <w:t>tevens</w:t>
      </w:r>
      <w:r w:rsidR="003A60F3" w:rsidRPr="007800E6">
        <w:rPr>
          <w:rFonts w:ascii="Arial" w:hAnsi="Arial" w:cs="Arial"/>
          <w:sz w:val="20"/>
          <w:szCs w:val="20"/>
        </w:rPr>
        <w:t>-J</w:t>
      </w:r>
      <w:r w:rsidR="00966203" w:rsidRPr="007800E6">
        <w:rPr>
          <w:rFonts w:ascii="Arial" w:hAnsi="Arial" w:cs="Arial"/>
          <w:sz w:val="20"/>
          <w:szCs w:val="20"/>
        </w:rPr>
        <w:t xml:space="preserve">ohnson syndrome and drug induced liver injury and the prompt management of patient condition using steroids and other supportive measures like fluid management. </w:t>
      </w:r>
      <w:r w:rsidRPr="007800E6">
        <w:rPr>
          <w:rFonts w:ascii="Arial" w:hAnsi="Arial" w:cs="Arial"/>
          <w:sz w:val="20"/>
          <w:szCs w:val="20"/>
        </w:rPr>
        <w:t>Early recognition, drug discontinuation, and multidisciplinary care are critical to ensuring a favorable outcome.</w:t>
      </w:r>
    </w:p>
    <w:p w14:paraId="5F74C82E" w14:textId="77777777" w:rsidR="008B7E35" w:rsidRPr="007800E6" w:rsidRDefault="008B7E35" w:rsidP="0077186B">
      <w:pPr>
        <w:spacing w:line="240" w:lineRule="auto"/>
        <w:jc w:val="both"/>
        <w:rPr>
          <w:rFonts w:ascii="Arial" w:hAnsi="Arial" w:cs="Arial"/>
          <w:b/>
          <w:bCs/>
          <w:sz w:val="20"/>
          <w:szCs w:val="20"/>
        </w:rPr>
      </w:pPr>
      <w:r w:rsidRPr="007800E6">
        <w:rPr>
          <w:rFonts w:ascii="Arial" w:hAnsi="Arial" w:cs="Arial"/>
          <w:b/>
          <w:bCs/>
          <w:szCs w:val="20"/>
        </w:rPr>
        <w:t>Keywords</w:t>
      </w:r>
    </w:p>
    <w:p w14:paraId="40678C0E" w14:textId="2E1360B3" w:rsidR="008B7E35" w:rsidRPr="007800E6" w:rsidRDefault="008B7E35" w:rsidP="0077186B">
      <w:pPr>
        <w:spacing w:line="240" w:lineRule="auto"/>
        <w:jc w:val="both"/>
        <w:rPr>
          <w:rFonts w:ascii="Arial" w:hAnsi="Arial" w:cs="Arial"/>
          <w:sz w:val="20"/>
          <w:szCs w:val="20"/>
        </w:rPr>
      </w:pPr>
      <w:r w:rsidRPr="007800E6">
        <w:rPr>
          <w:rFonts w:ascii="Arial" w:hAnsi="Arial" w:cs="Arial"/>
          <w:sz w:val="20"/>
          <w:szCs w:val="20"/>
        </w:rPr>
        <w:t>Stevens-Johnson</w:t>
      </w:r>
      <w:r w:rsidR="003A60F3" w:rsidRPr="007800E6">
        <w:rPr>
          <w:rFonts w:ascii="Arial" w:hAnsi="Arial" w:cs="Arial"/>
          <w:sz w:val="20"/>
          <w:szCs w:val="20"/>
        </w:rPr>
        <w:t xml:space="preserve"> s</w:t>
      </w:r>
      <w:r w:rsidRPr="007800E6">
        <w:rPr>
          <w:rFonts w:ascii="Arial" w:hAnsi="Arial" w:cs="Arial"/>
          <w:sz w:val="20"/>
          <w:szCs w:val="20"/>
        </w:rPr>
        <w:t>yndrome, Drug-Induced Liver Injury, Sulfasalazine, Psoriatic Arthritis, Hypersensitivity Reaction</w:t>
      </w:r>
      <w:r w:rsidR="007404AB" w:rsidRPr="007800E6">
        <w:rPr>
          <w:rFonts w:ascii="Arial" w:hAnsi="Arial" w:cs="Arial"/>
          <w:sz w:val="20"/>
          <w:szCs w:val="20"/>
        </w:rPr>
        <w:t>.</w:t>
      </w:r>
    </w:p>
    <w:p w14:paraId="12547961" w14:textId="77777777" w:rsidR="000D5306" w:rsidRPr="007800E6" w:rsidRDefault="000D5306" w:rsidP="0077186B">
      <w:pPr>
        <w:spacing w:line="240" w:lineRule="auto"/>
        <w:jc w:val="both"/>
        <w:rPr>
          <w:rFonts w:ascii="Arial" w:hAnsi="Arial" w:cs="Arial"/>
          <w:b/>
          <w:szCs w:val="20"/>
        </w:rPr>
      </w:pPr>
      <w:r w:rsidRPr="007800E6">
        <w:rPr>
          <w:rFonts w:ascii="Arial" w:hAnsi="Arial" w:cs="Arial"/>
          <w:b/>
          <w:szCs w:val="20"/>
        </w:rPr>
        <w:t xml:space="preserve">Introduction </w:t>
      </w:r>
    </w:p>
    <w:p w14:paraId="4DC1378F" w14:textId="7C1883FC" w:rsidR="00C4029A" w:rsidRPr="007800E6" w:rsidRDefault="00C4029A" w:rsidP="0077186B">
      <w:pPr>
        <w:spacing w:line="240" w:lineRule="auto"/>
        <w:jc w:val="both"/>
        <w:rPr>
          <w:rFonts w:ascii="Arial" w:hAnsi="Arial" w:cs="Arial"/>
          <w:sz w:val="20"/>
          <w:szCs w:val="20"/>
          <w:vertAlign w:val="superscript"/>
        </w:rPr>
      </w:pPr>
      <w:r w:rsidRPr="007800E6">
        <w:rPr>
          <w:rFonts w:ascii="Arial" w:hAnsi="Arial" w:cs="Arial"/>
          <w:sz w:val="20"/>
          <w:szCs w:val="20"/>
        </w:rPr>
        <w:t xml:space="preserve">Sulfasalazine is combination of </w:t>
      </w:r>
      <w:r w:rsidR="00900107" w:rsidRPr="007800E6">
        <w:rPr>
          <w:rFonts w:ascii="Arial" w:hAnsi="Arial" w:cs="Arial"/>
          <w:sz w:val="20"/>
          <w:szCs w:val="20"/>
        </w:rPr>
        <w:t>salicylic</w:t>
      </w:r>
      <w:r w:rsidRPr="007800E6">
        <w:rPr>
          <w:rFonts w:ascii="Arial" w:hAnsi="Arial" w:cs="Arial"/>
          <w:sz w:val="20"/>
          <w:szCs w:val="20"/>
        </w:rPr>
        <w:t xml:space="preserve"> acid and </w:t>
      </w:r>
      <w:proofErr w:type="spellStart"/>
      <w:r w:rsidR="00900107" w:rsidRPr="007800E6">
        <w:rPr>
          <w:rFonts w:ascii="Arial" w:hAnsi="Arial" w:cs="Arial"/>
          <w:sz w:val="20"/>
          <w:szCs w:val="20"/>
        </w:rPr>
        <w:t>sulphapyridine</w:t>
      </w:r>
      <w:proofErr w:type="spellEnd"/>
      <w:r w:rsidRPr="007800E6">
        <w:rPr>
          <w:rFonts w:ascii="Arial" w:hAnsi="Arial" w:cs="Arial"/>
          <w:sz w:val="20"/>
          <w:szCs w:val="20"/>
        </w:rPr>
        <w:t xml:space="preserve">, used in the treatment of rheumatoid arthritis, psoriatic arthritis and ulcerative colitis. Despite its efficacy in treating these various </w:t>
      </w:r>
      <w:r w:rsidR="00900107" w:rsidRPr="007800E6">
        <w:rPr>
          <w:rFonts w:ascii="Arial" w:hAnsi="Arial" w:cs="Arial"/>
          <w:sz w:val="20"/>
          <w:szCs w:val="20"/>
        </w:rPr>
        <w:t>disease</w:t>
      </w:r>
      <w:r w:rsidRPr="007800E6">
        <w:rPr>
          <w:rFonts w:ascii="Arial" w:hAnsi="Arial" w:cs="Arial"/>
          <w:sz w:val="20"/>
          <w:szCs w:val="20"/>
        </w:rPr>
        <w:t xml:space="preserve"> conditions, sulfasalazine is often associated with a range of adverse effects. Stevens-</w:t>
      </w:r>
      <w:r w:rsidR="003A60F3" w:rsidRPr="007800E6">
        <w:rPr>
          <w:rFonts w:ascii="Arial" w:hAnsi="Arial" w:cs="Arial"/>
          <w:sz w:val="20"/>
          <w:szCs w:val="20"/>
        </w:rPr>
        <w:t>J</w:t>
      </w:r>
      <w:r w:rsidRPr="007800E6">
        <w:rPr>
          <w:rFonts w:ascii="Arial" w:hAnsi="Arial" w:cs="Arial"/>
          <w:sz w:val="20"/>
          <w:szCs w:val="20"/>
        </w:rPr>
        <w:t>ohnson syndrome/ toxic epidermal necrolysis</w:t>
      </w:r>
      <w:r w:rsidR="00D2599F" w:rsidRPr="007800E6">
        <w:rPr>
          <w:rFonts w:ascii="Arial" w:hAnsi="Arial" w:cs="Arial"/>
          <w:sz w:val="20"/>
          <w:szCs w:val="20"/>
        </w:rPr>
        <w:t xml:space="preserve"> </w:t>
      </w:r>
      <w:r w:rsidRPr="007800E6">
        <w:rPr>
          <w:rFonts w:ascii="Arial" w:hAnsi="Arial" w:cs="Arial"/>
          <w:sz w:val="20"/>
          <w:szCs w:val="20"/>
        </w:rPr>
        <w:t>(TENS) and sulfasalazine induced liver injury are some of the more severe and rare adverse effects of this drug. Stevens</w:t>
      </w:r>
      <w:r w:rsidR="003A60F3" w:rsidRPr="007800E6">
        <w:rPr>
          <w:rFonts w:ascii="Arial" w:hAnsi="Arial" w:cs="Arial"/>
          <w:sz w:val="20"/>
          <w:szCs w:val="20"/>
        </w:rPr>
        <w:t>-J</w:t>
      </w:r>
      <w:r w:rsidRPr="007800E6">
        <w:rPr>
          <w:rFonts w:ascii="Arial" w:hAnsi="Arial" w:cs="Arial"/>
          <w:sz w:val="20"/>
          <w:szCs w:val="20"/>
        </w:rPr>
        <w:t xml:space="preserve">ohnson </w:t>
      </w:r>
      <w:r w:rsidR="003A60F3" w:rsidRPr="007800E6">
        <w:rPr>
          <w:rFonts w:ascii="Arial" w:hAnsi="Arial" w:cs="Arial"/>
          <w:sz w:val="20"/>
          <w:szCs w:val="20"/>
        </w:rPr>
        <w:t>syndrome</w:t>
      </w:r>
      <w:r w:rsidRPr="007800E6">
        <w:rPr>
          <w:rFonts w:ascii="Arial" w:hAnsi="Arial" w:cs="Arial"/>
          <w:sz w:val="20"/>
          <w:szCs w:val="20"/>
        </w:rPr>
        <w:t xml:space="preserve"> and TENS are adverse effects of sulfasalazine with incidence of 0.4 to 1.2 in a general population. In both clinical conditions, it involves the loss of sheet-like skin and mucosal membranes along with other systemic symptoms.</w:t>
      </w:r>
      <w:r w:rsidR="00D2599F" w:rsidRPr="007800E6">
        <w:rPr>
          <w:rFonts w:ascii="Arial" w:hAnsi="Arial" w:cs="Arial"/>
          <w:sz w:val="20"/>
          <w:szCs w:val="20"/>
        </w:rPr>
        <w:t xml:space="preserve"> </w:t>
      </w:r>
      <w:r w:rsidRPr="007800E6">
        <w:rPr>
          <w:rFonts w:ascii="Arial" w:hAnsi="Arial" w:cs="Arial"/>
          <w:sz w:val="20"/>
          <w:szCs w:val="20"/>
        </w:rPr>
        <w:t xml:space="preserve">These cutaneous reactions are classified based on the </w:t>
      </w:r>
      <w:r w:rsidR="007404AB" w:rsidRPr="007800E6">
        <w:rPr>
          <w:rFonts w:ascii="Arial" w:hAnsi="Arial" w:cs="Arial"/>
          <w:sz w:val="20"/>
          <w:szCs w:val="20"/>
        </w:rPr>
        <w:t>percentage</w:t>
      </w:r>
      <w:r w:rsidRPr="007800E6">
        <w:rPr>
          <w:rFonts w:ascii="Arial" w:hAnsi="Arial" w:cs="Arial"/>
          <w:sz w:val="20"/>
          <w:szCs w:val="20"/>
        </w:rPr>
        <w:t xml:space="preserve"> body surface area affected. Stevens</w:t>
      </w:r>
      <w:r w:rsidR="003A60F3" w:rsidRPr="007800E6">
        <w:rPr>
          <w:rFonts w:ascii="Arial" w:hAnsi="Arial" w:cs="Arial"/>
          <w:sz w:val="20"/>
          <w:szCs w:val="20"/>
        </w:rPr>
        <w:t>-J</w:t>
      </w:r>
      <w:r w:rsidRPr="007800E6">
        <w:rPr>
          <w:rFonts w:ascii="Arial" w:hAnsi="Arial" w:cs="Arial"/>
          <w:sz w:val="20"/>
          <w:szCs w:val="20"/>
        </w:rPr>
        <w:t xml:space="preserve">ohnson syndrome is referred to as a minor form of TENS with &lt; 10% of BSA being affected. A proposed mechanism of action for this reaction is the possible interaction of drug-associated antigen/active metabolite with the major </w:t>
      </w:r>
      <w:r w:rsidR="00D2599F" w:rsidRPr="007800E6">
        <w:rPr>
          <w:rFonts w:ascii="Arial" w:hAnsi="Arial" w:cs="Arial"/>
          <w:sz w:val="20"/>
          <w:szCs w:val="20"/>
        </w:rPr>
        <w:t>histocompatibility</w:t>
      </w:r>
      <w:r w:rsidRPr="007800E6">
        <w:rPr>
          <w:rFonts w:ascii="Arial" w:hAnsi="Arial" w:cs="Arial"/>
          <w:sz w:val="20"/>
          <w:szCs w:val="20"/>
        </w:rPr>
        <w:t xml:space="preserve"> complex</w:t>
      </w:r>
      <w:r w:rsidR="00D2599F" w:rsidRPr="007800E6">
        <w:rPr>
          <w:rFonts w:ascii="Arial" w:hAnsi="Arial" w:cs="Arial"/>
          <w:sz w:val="20"/>
          <w:szCs w:val="20"/>
        </w:rPr>
        <w:t xml:space="preserve"> </w:t>
      </w:r>
      <w:r w:rsidRPr="007800E6">
        <w:rPr>
          <w:rFonts w:ascii="Arial" w:hAnsi="Arial" w:cs="Arial"/>
          <w:sz w:val="20"/>
          <w:szCs w:val="20"/>
        </w:rPr>
        <w:t>(MHC) type 1. The reaction is a T-cell mediated immune reaction with keratinocyte apoptosis induced by CD8+ cells</w:t>
      </w:r>
      <w:r w:rsidR="00DD73F9" w:rsidRPr="007800E6">
        <w:rPr>
          <w:rFonts w:ascii="Arial" w:hAnsi="Arial" w:cs="Arial"/>
          <w:sz w:val="20"/>
          <w:szCs w:val="20"/>
        </w:rPr>
        <w:t>.</w:t>
      </w:r>
      <w:r w:rsidR="00DD73F9" w:rsidRPr="007800E6">
        <w:rPr>
          <w:rFonts w:ascii="Arial" w:hAnsi="Arial" w:cs="Arial"/>
          <w:sz w:val="20"/>
          <w:szCs w:val="20"/>
          <w:vertAlign w:val="superscript"/>
        </w:rPr>
        <w:t>1</w:t>
      </w:r>
    </w:p>
    <w:p w14:paraId="087D4112" w14:textId="4B0C434A" w:rsidR="000D5306" w:rsidRPr="007800E6" w:rsidRDefault="00C4029A" w:rsidP="0077186B">
      <w:pPr>
        <w:pStyle w:val="p1"/>
        <w:jc w:val="both"/>
        <w:divId w:val="898443889"/>
        <w:rPr>
          <w:rStyle w:val="s1"/>
          <w:rFonts w:ascii="Arial" w:hAnsi="Arial" w:cs="Arial"/>
          <w:sz w:val="20"/>
          <w:szCs w:val="20"/>
          <w:vertAlign w:val="superscript"/>
        </w:rPr>
      </w:pPr>
      <w:r w:rsidRPr="007800E6">
        <w:rPr>
          <w:rFonts w:ascii="Arial" w:hAnsi="Arial" w:cs="Arial"/>
          <w:sz w:val="20"/>
          <w:szCs w:val="20"/>
        </w:rPr>
        <w:t xml:space="preserve">Sulfasalazine induced liver injury have features similar to that of drug-allergy, typically </w:t>
      </w:r>
      <w:r w:rsidR="009E3CDE" w:rsidRPr="007800E6">
        <w:rPr>
          <w:rFonts w:ascii="Arial" w:hAnsi="Arial" w:cs="Arial"/>
          <w:sz w:val="20"/>
          <w:szCs w:val="20"/>
        </w:rPr>
        <w:t>manifested</w:t>
      </w:r>
      <w:r w:rsidRPr="007800E6">
        <w:rPr>
          <w:rFonts w:ascii="Arial" w:hAnsi="Arial" w:cs="Arial"/>
          <w:sz w:val="20"/>
          <w:szCs w:val="20"/>
        </w:rPr>
        <w:t xml:space="preserve"> as sudden onset of rashes along with elevated liver enzymes. Mechanism involved behind this idiosyncratic </w:t>
      </w:r>
      <w:r w:rsidRPr="007800E6">
        <w:rPr>
          <w:rFonts w:ascii="Arial" w:hAnsi="Arial" w:cs="Arial"/>
          <w:sz w:val="20"/>
          <w:szCs w:val="20"/>
        </w:rPr>
        <w:lastRenderedPageBreak/>
        <w:t xml:space="preserve">liver injury is a hypersensitive reaction toward the </w:t>
      </w:r>
      <w:r w:rsidR="003A60F3" w:rsidRPr="007800E6">
        <w:rPr>
          <w:rFonts w:ascii="Arial" w:hAnsi="Arial" w:cs="Arial"/>
          <w:sz w:val="20"/>
          <w:szCs w:val="20"/>
        </w:rPr>
        <w:t>metabolites</w:t>
      </w:r>
      <w:r w:rsidRPr="007800E6">
        <w:rPr>
          <w:rFonts w:ascii="Arial" w:hAnsi="Arial" w:cs="Arial"/>
          <w:sz w:val="20"/>
          <w:szCs w:val="20"/>
        </w:rPr>
        <w:t xml:space="preserve"> of sulfasalazine.</w:t>
      </w:r>
      <w:r w:rsidR="003C10A4" w:rsidRPr="007800E6">
        <w:rPr>
          <w:rFonts w:ascii="Arial" w:hAnsi="Arial" w:cs="Arial"/>
          <w:sz w:val="20"/>
          <w:szCs w:val="20"/>
          <w:vertAlign w:val="superscript"/>
        </w:rPr>
        <w:t>2</w:t>
      </w:r>
      <w:r w:rsidR="007404AB" w:rsidRPr="007800E6">
        <w:rPr>
          <w:rFonts w:ascii="Arial" w:hAnsi="Arial" w:cs="Arial"/>
          <w:sz w:val="20"/>
          <w:szCs w:val="20"/>
          <w:vertAlign w:val="superscript"/>
        </w:rPr>
        <w:t xml:space="preserve"> </w:t>
      </w:r>
      <w:r w:rsidRPr="007800E6">
        <w:rPr>
          <w:rFonts w:ascii="Arial" w:hAnsi="Arial" w:cs="Arial"/>
          <w:sz w:val="20"/>
          <w:szCs w:val="20"/>
        </w:rPr>
        <w:t xml:space="preserve">The co-occurrence of both these adverse </w:t>
      </w:r>
      <w:r w:rsidR="003A60F3" w:rsidRPr="007800E6">
        <w:rPr>
          <w:rFonts w:ascii="Arial" w:hAnsi="Arial" w:cs="Arial"/>
          <w:sz w:val="20"/>
          <w:szCs w:val="20"/>
        </w:rPr>
        <w:t>reaction</w:t>
      </w:r>
      <w:r w:rsidR="006E3E35" w:rsidRPr="007800E6">
        <w:rPr>
          <w:rFonts w:ascii="Arial" w:hAnsi="Arial" w:cs="Arial"/>
          <w:sz w:val="20"/>
          <w:szCs w:val="20"/>
        </w:rPr>
        <w:t>s</w:t>
      </w:r>
      <w:r w:rsidRPr="007800E6">
        <w:rPr>
          <w:rFonts w:ascii="Arial" w:hAnsi="Arial" w:cs="Arial"/>
          <w:sz w:val="20"/>
          <w:szCs w:val="20"/>
        </w:rPr>
        <w:t xml:space="preserve"> is extremely rare and early cessation of drug is crucial in minimizing morbidity and mortality</w:t>
      </w:r>
      <w:r w:rsidR="000D5306" w:rsidRPr="007800E6">
        <w:rPr>
          <w:rFonts w:ascii="Arial" w:hAnsi="Arial" w:cs="Arial"/>
          <w:sz w:val="20"/>
          <w:szCs w:val="20"/>
        </w:rPr>
        <w:t xml:space="preserve">. </w:t>
      </w:r>
      <w:r w:rsidR="00795CC7" w:rsidRPr="007800E6">
        <w:rPr>
          <w:rStyle w:val="s1"/>
          <w:rFonts w:ascii="Arial" w:hAnsi="Arial" w:cs="Arial"/>
          <w:sz w:val="20"/>
          <w:szCs w:val="20"/>
        </w:rPr>
        <w:t>Here, we present a clinically significant case of a patient who developed both SJS/TEN and sulfasalazine-induced liver injury concurrently. The case highlights on</w:t>
      </w:r>
      <w:r w:rsidR="00795CC7" w:rsidRPr="007800E6">
        <w:rPr>
          <w:rStyle w:val="apple-converted-space"/>
          <w:rFonts w:ascii="Arial" w:hAnsi="Arial" w:cs="Arial"/>
          <w:sz w:val="20"/>
          <w:szCs w:val="20"/>
        </w:rPr>
        <w:t> </w:t>
      </w:r>
      <w:r w:rsidR="00795CC7" w:rsidRPr="007800E6">
        <w:rPr>
          <w:rStyle w:val="s1"/>
          <w:rFonts w:ascii="Arial" w:hAnsi="Arial" w:cs="Arial"/>
          <w:sz w:val="20"/>
          <w:szCs w:val="20"/>
        </w:rPr>
        <w:t>the importance of early recognition and immediate withdrawal of the offending drug to minimize further complications and ensure</w:t>
      </w:r>
      <w:r w:rsidR="00795CC7" w:rsidRPr="007800E6">
        <w:rPr>
          <w:rStyle w:val="apple-converted-space"/>
          <w:rFonts w:ascii="Arial" w:hAnsi="Arial" w:cs="Arial"/>
          <w:sz w:val="20"/>
          <w:szCs w:val="20"/>
        </w:rPr>
        <w:t> </w:t>
      </w:r>
      <w:r w:rsidR="00795CC7" w:rsidRPr="007800E6">
        <w:rPr>
          <w:rStyle w:val="s1"/>
          <w:rFonts w:ascii="Arial" w:hAnsi="Arial" w:cs="Arial"/>
          <w:sz w:val="20"/>
          <w:szCs w:val="20"/>
        </w:rPr>
        <w:t>patient safety.</w:t>
      </w:r>
      <w:r w:rsidR="007F4F7C" w:rsidRPr="007800E6">
        <w:rPr>
          <w:rStyle w:val="s1"/>
          <w:rFonts w:ascii="Arial" w:hAnsi="Arial" w:cs="Arial"/>
          <w:sz w:val="20"/>
          <w:szCs w:val="20"/>
          <w:vertAlign w:val="superscript"/>
        </w:rPr>
        <w:t>3</w:t>
      </w:r>
    </w:p>
    <w:p w14:paraId="0B35AFB0" w14:textId="77777777" w:rsidR="0077186B" w:rsidRPr="007800E6" w:rsidRDefault="0077186B" w:rsidP="0077186B">
      <w:pPr>
        <w:pStyle w:val="p1"/>
        <w:jc w:val="both"/>
        <w:divId w:val="898443889"/>
        <w:rPr>
          <w:rFonts w:ascii="Arial" w:hAnsi="Arial" w:cs="Arial"/>
          <w:sz w:val="20"/>
          <w:szCs w:val="20"/>
        </w:rPr>
      </w:pPr>
    </w:p>
    <w:p w14:paraId="4835F407" w14:textId="0C0472BA" w:rsidR="000D5306" w:rsidRPr="007800E6" w:rsidRDefault="009630A2" w:rsidP="0077186B">
      <w:pPr>
        <w:spacing w:line="240" w:lineRule="auto"/>
        <w:jc w:val="both"/>
        <w:rPr>
          <w:rFonts w:ascii="Arial" w:hAnsi="Arial" w:cs="Arial"/>
          <w:b/>
          <w:szCs w:val="20"/>
        </w:rPr>
      </w:pPr>
      <w:r w:rsidRPr="007800E6">
        <w:rPr>
          <w:rFonts w:ascii="Arial" w:hAnsi="Arial" w:cs="Arial"/>
          <w:b/>
          <w:szCs w:val="20"/>
        </w:rPr>
        <w:t>CASE DESCRIPTION</w:t>
      </w:r>
    </w:p>
    <w:p w14:paraId="58DF9BFD" w14:textId="5505CE79" w:rsidR="000D5306" w:rsidRPr="007800E6" w:rsidRDefault="000D5306" w:rsidP="0077186B">
      <w:pPr>
        <w:spacing w:line="240" w:lineRule="auto"/>
        <w:jc w:val="both"/>
        <w:rPr>
          <w:rFonts w:ascii="Arial" w:hAnsi="Arial" w:cs="Arial"/>
          <w:sz w:val="20"/>
          <w:szCs w:val="20"/>
        </w:rPr>
      </w:pPr>
      <w:r w:rsidRPr="007800E6">
        <w:rPr>
          <w:rFonts w:ascii="Arial" w:hAnsi="Arial" w:cs="Arial"/>
          <w:sz w:val="20"/>
          <w:szCs w:val="20"/>
        </w:rPr>
        <w:t xml:space="preserve">A </w:t>
      </w:r>
      <w:r w:rsidR="007404AB" w:rsidRPr="007800E6">
        <w:rPr>
          <w:rFonts w:ascii="Arial" w:hAnsi="Arial" w:cs="Arial"/>
          <w:sz w:val="20"/>
          <w:szCs w:val="20"/>
        </w:rPr>
        <w:t>56-year-old</w:t>
      </w:r>
      <w:r w:rsidRPr="007800E6">
        <w:rPr>
          <w:rFonts w:ascii="Arial" w:hAnsi="Arial" w:cs="Arial"/>
          <w:sz w:val="20"/>
          <w:szCs w:val="20"/>
        </w:rPr>
        <w:t xml:space="preserve"> female patient, known history of </w:t>
      </w:r>
      <w:r w:rsidR="00D2599F" w:rsidRPr="007800E6">
        <w:rPr>
          <w:rFonts w:ascii="Arial" w:hAnsi="Arial" w:cs="Arial"/>
          <w:sz w:val="20"/>
          <w:szCs w:val="20"/>
        </w:rPr>
        <w:t>hypertension, type</w:t>
      </w:r>
      <w:r w:rsidRPr="007800E6">
        <w:rPr>
          <w:rFonts w:ascii="Arial" w:hAnsi="Arial" w:cs="Arial"/>
          <w:sz w:val="20"/>
          <w:szCs w:val="20"/>
        </w:rPr>
        <w:t xml:space="preserve"> 2 </w:t>
      </w:r>
      <w:r w:rsidR="009E3CDE" w:rsidRPr="007800E6">
        <w:rPr>
          <w:rFonts w:ascii="Arial" w:hAnsi="Arial" w:cs="Arial"/>
          <w:sz w:val="20"/>
          <w:szCs w:val="20"/>
        </w:rPr>
        <w:t>diabetes</w:t>
      </w:r>
      <w:r w:rsidRPr="007800E6">
        <w:rPr>
          <w:rFonts w:ascii="Arial" w:hAnsi="Arial" w:cs="Arial"/>
          <w:sz w:val="20"/>
          <w:szCs w:val="20"/>
        </w:rPr>
        <w:t xml:space="preserve"> mellitus and psoriatic arthritis was admitted in the department of general medicine with complaints of swelling and redness of face </w:t>
      </w:r>
      <w:proofErr w:type="gramStart"/>
      <w:r w:rsidRPr="007800E6">
        <w:rPr>
          <w:rFonts w:ascii="Arial" w:hAnsi="Arial" w:cs="Arial"/>
          <w:sz w:val="20"/>
          <w:szCs w:val="20"/>
        </w:rPr>
        <w:t>since</w:t>
      </w:r>
      <w:proofErr w:type="gramEnd"/>
      <w:r w:rsidRPr="007800E6">
        <w:rPr>
          <w:rFonts w:ascii="Arial" w:hAnsi="Arial" w:cs="Arial"/>
          <w:sz w:val="20"/>
          <w:szCs w:val="20"/>
        </w:rPr>
        <w:t xml:space="preserve"> 3 days and redness over the neck and chest since 2 days. A detailed medical history was taken </w:t>
      </w:r>
      <w:r w:rsidRPr="00853D81">
        <w:rPr>
          <w:rFonts w:ascii="Arial" w:hAnsi="Arial" w:cs="Arial"/>
          <w:sz w:val="20"/>
          <w:szCs w:val="20"/>
        </w:rPr>
        <w:t>and it was recorded</w:t>
      </w:r>
      <w:r w:rsidR="00853D81">
        <w:rPr>
          <w:rFonts w:ascii="Arial" w:hAnsi="Arial" w:cs="Arial"/>
          <w:sz w:val="20"/>
          <w:szCs w:val="20"/>
        </w:rPr>
        <w:t xml:space="preserve"> a</w:t>
      </w:r>
      <w:r w:rsidRPr="007800E6">
        <w:rPr>
          <w:rFonts w:ascii="Arial" w:hAnsi="Arial" w:cs="Arial"/>
          <w:sz w:val="20"/>
          <w:szCs w:val="20"/>
        </w:rPr>
        <w:t>bout 3 years back, patient experienced high blood pressure and started on ayurvedic dru</w:t>
      </w:r>
      <w:r w:rsidR="00053F0D" w:rsidRPr="007800E6">
        <w:rPr>
          <w:rFonts w:ascii="Arial" w:hAnsi="Arial" w:cs="Arial"/>
          <w:sz w:val="20"/>
          <w:szCs w:val="20"/>
        </w:rPr>
        <w:t>g</w:t>
      </w:r>
      <w:r w:rsidRPr="007800E6">
        <w:rPr>
          <w:rFonts w:ascii="Arial" w:hAnsi="Arial" w:cs="Arial"/>
          <w:sz w:val="20"/>
          <w:szCs w:val="20"/>
        </w:rPr>
        <w:t xml:space="preserve"> with last dose taken till </w:t>
      </w:r>
      <w:r w:rsidR="00820C87" w:rsidRPr="007800E6">
        <w:rPr>
          <w:rFonts w:ascii="Arial" w:hAnsi="Arial" w:cs="Arial"/>
          <w:sz w:val="20"/>
          <w:szCs w:val="20"/>
        </w:rPr>
        <w:t>M</w:t>
      </w:r>
      <w:r w:rsidRPr="007800E6">
        <w:rPr>
          <w:rFonts w:ascii="Arial" w:hAnsi="Arial" w:cs="Arial"/>
          <w:sz w:val="20"/>
          <w:szCs w:val="20"/>
        </w:rPr>
        <w:t xml:space="preserve">arch 2025. She was diagnosed with psoriasis 2 years back and was started on coal tar and </w:t>
      </w:r>
      <w:proofErr w:type="spellStart"/>
      <w:r w:rsidRPr="007800E6">
        <w:rPr>
          <w:rFonts w:ascii="Arial" w:hAnsi="Arial" w:cs="Arial"/>
          <w:sz w:val="20"/>
          <w:szCs w:val="20"/>
        </w:rPr>
        <w:t>halobestasol</w:t>
      </w:r>
      <w:proofErr w:type="spellEnd"/>
      <w:r w:rsidRPr="007800E6">
        <w:rPr>
          <w:rFonts w:ascii="Arial" w:hAnsi="Arial" w:cs="Arial"/>
          <w:sz w:val="20"/>
          <w:szCs w:val="20"/>
        </w:rPr>
        <w:t xml:space="preserve"> </w:t>
      </w:r>
      <w:proofErr w:type="spellStart"/>
      <w:r w:rsidRPr="007800E6">
        <w:rPr>
          <w:rFonts w:ascii="Arial" w:hAnsi="Arial" w:cs="Arial"/>
          <w:sz w:val="20"/>
          <w:szCs w:val="20"/>
        </w:rPr>
        <w:t>proprionate</w:t>
      </w:r>
      <w:proofErr w:type="spellEnd"/>
      <w:r w:rsidR="007F4F7C" w:rsidRPr="007800E6">
        <w:rPr>
          <w:rFonts w:ascii="Arial" w:hAnsi="Arial" w:cs="Arial"/>
          <w:sz w:val="20"/>
          <w:szCs w:val="20"/>
        </w:rPr>
        <w:t xml:space="preserve"> cream</w:t>
      </w:r>
      <w:r w:rsidRPr="007800E6">
        <w:rPr>
          <w:rFonts w:ascii="Arial" w:hAnsi="Arial" w:cs="Arial"/>
          <w:sz w:val="20"/>
          <w:szCs w:val="20"/>
        </w:rPr>
        <w:t xml:space="preserve"> weekly and </w:t>
      </w:r>
      <w:r w:rsidR="007F4F7C" w:rsidRPr="007800E6">
        <w:rPr>
          <w:rFonts w:ascii="Arial" w:hAnsi="Arial" w:cs="Arial"/>
          <w:sz w:val="20"/>
          <w:szCs w:val="20"/>
        </w:rPr>
        <w:t>treatment</w:t>
      </w:r>
      <w:r w:rsidRPr="007800E6">
        <w:rPr>
          <w:rFonts w:ascii="Arial" w:hAnsi="Arial" w:cs="Arial"/>
          <w:sz w:val="20"/>
          <w:szCs w:val="20"/>
        </w:rPr>
        <w:t xml:space="preserve"> continued till first week of March 2025. In </w:t>
      </w:r>
      <w:r w:rsidR="009E3CDE" w:rsidRPr="007800E6">
        <w:rPr>
          <w:rFonts w:ascii="Arial" w:hAnsi="Arial" w:cs="Arial"/>
          <w:sz w:val="20"/>
          <w:szCs w:val="20"/>
        </w:rPr>
        <w:t>February</w:t>
      </w:r>
      <w:r w:rsidRPr="007800E6">
        <w:rPr>
          <w:rFonts w:ascii="Arial" w:hAnsi="Arial" w:cs="Arial"/>
          <w:sz w:val="20"/>
          <w:szCs w:val="20"/>
        </w:rPr>
        <w:t xml:space="preserve"> 3</w:t>
      </w:r>
      <w:r w:rsidRPr="007800E6">
        <w:rPr>
          <w:rFonts w:ascii="Arial" w:hAnsi="Arial" w:cs="Arial"/>
          <w:sz w:val="20"/>
          <w:szCs w:val="20"/>
          <w:vertAlign w:val="superscript"/>
        </w:rPr>
        <w:t>rd</w:t>
      </w:r>
      <w:r w:rsidRPr="007800E6">
        <w:rPr>
          <w:rFonts w:ascii="Arial" w:hAnsi="Arial" w:cs="Arial"/>
          <w:sz w:val="20"/>
          <w:szCs w:val="20"/>
        </w:rPr>
        <w:t xml:space="preserve"> week, patient noted swelling over her right hand and after medical </w:t>
      </w:r>
      <w:r w:rsidR="009E3CDE" w:rsidRPr="007800E6">
        <w:rPr>
          <w:rFonts w:ascii="Arial" w:hAnsi="Arial" w:cs="Arial"/>
          <w:sz w:val="20"/>
          <w:szCs w:val="20"/>
        </w:rPr>
        <w:t>consultation</w:t>
      </w:r>
      <w:r w:rsidRPr="007800E6">
        <w:rPr>
          <w:rFonts w:ascii="Arial" w:hAnsi="Arial" w:cs="Arial"/>
          <w:sz w:val="20"/>
          <w:szCs w:val="20"/>
        </w:rPr>
        <w:t xml:space="preserve"> was diagnosed with psoriatic arthritis. She was informed to stop coal tar and </w:t>
      </w:r>
      <w:proofErr w:type="spellStart"/>
      <w:r w:rsidR="007F4F7C" w:rsidRPr="007800E6">
        <w:rPr>
          <w:rFonts w:ascii="Arial" w:hAnsi="Arial" w:cs="Arial"/>
          <w:sz w:val="20"/>
          <w:szCs w:val="20"/>
        </w:rPr>
        <w:t>halobestasol</w:t>
      </w:r>
      <w:proofErr w:type="spellEnd"/>
      <w:r w:rsidR="007F4F7C" w:rsidRPr="007800E6">
        <w:rPr>
          <w:rFonts w:ascii="Arial" w:hAnsi="Arial" w:cs="Arial"/>
          <w:sz w:val="20"/>
          <w:szCs w:val="20"/>
        </w:rPr>
        <w:t xml:space="preserve"> </w:t>
      </w:r>
      <w:proofErr w:type="spellStart"/>
      <w:r w:rsidR="007F4F7C" w:rsidRPr="007800E6">
        <w:rPr>
          <w:rFonts w:ascii="Arial" w:hAnsi="Arial" w:cs="Arial"/>
          <w:sz w:val="20"/>
          <w:szCs w:val="20"/>
        </w:rPr>
        <w:t>proprionate</w:t>
      </w:r>
      <w:proofErr w:type="spellEnd"/>
      <w:r w:rsidR="007F4F7C" w:rsidRPr="007800E6">
        <w:rPr>
          <w:rFonts w:ascii="Arial" w:hAnsi="Arial" w:cs="Arial"/>
          <w:sz w:val="20"/>
          <w:szCs w:val="20"/>
        </w:rPr>
        <w:t xml:space="preserve"> cream</w:t>
      </w:r>
      <w:r w:rsidRPr="007800E6">
        <w:rPr>
          <w:rFonts w:ascii="Arial" w:hAnsi="Arial" w:cs="Arial"/>
          <w:sz w:val="20"/>
          <w:szCs w:val="20"/>
        </w:rPr>
        <w:t xml:space="preserve"> and started on </w:t>
      </w:r>
      <w:proofErr w:type="spellStart"/>
      <w:r w:rsidRPr="007800E6">
        <w:rPr>
          <w:rFonts w:ascii="Arial" w:hAnsi="Arial" w:cs="Arial"/>
          <w:sz w:val="20"/>
          <w:szCs w:val="20"/>
        </w:rPr>
        <w:t>Tab.Apremilas</w:t>
      </w:r>
      <w:r w:rsidR="00DC22A8" w:rsidRPr="007800E6">
        <w:rPr>
          <w:rFonts w:ascii="Arial" w:hAnsi="Arial" w:cs="Arial"/>
          <w:sz w:val="20"/>
          <w:szCs w:val="20"/>
        </w:rPr>
        <w:t>t</w:t>
      </w:r>
      <w:proofErr w:type="spellEnd"/>
      <w:r w:rsidR="00DC22A8" w:rsidRPr="007800E6">
        <w:rPr>
          <w:rFonts w:ascii="Arial" w:hAnsi="Arial" w:cs="Arial"/>
          <w:sz w:val="20"/>
          <w:szCs w:val="20"/>
        </w:rPr>
        <w:t xml:space="preserve"> </w:t>
      </w:r>
      <w:r w:rsidRPr="007800E6">
        <w:rPr>
          <w:rFonts w:ascii="Arial" w:hAnsi="Arial" w:cs="Arial"/>
          <w:sz w:val="20"/>
          <w:szCs w:val="20"/>
        </w:rPr>
        <w:t>10mg which was increased to 30 mg on 1</w:t>
      </w:r>
      <w:r w:rsidRPr="007800E6">
        <w:rPr>
          <w:rFonts w:ascii="Arial" w:hAnsi="Arial" w:cs="Arial"/>
          <w:sz w:val="20"/>
          <w:szCs w:val="20"/>
          <w:vertAlign w:val="superscript"/>
        </w:rPr>
        <w:t>st</w:t>
      </w:r>
      <w:r w:rsidRPr="007800E6">
        <w:rPr>
          <w:rFonts w:ascii="Arial" w:hAnsi="Arial" w:cs="Arial"/>
          <w:sz w:val="20"/>
          <w:szCs w:val="20"/>
        </w:rPr>
        <w:t xml:space="preserve"> </w:t>
      </w:r>
      <w:r w:rsidR="00820C87" w:rsidRPr="007800E6">
        <w:rPr>
          <w:rFonts w:ascii="Arial" w:hAnsi="Arial" w:cs="Arial"/>
          <w:sz w:val="20"/>
          <w:szCs w:val="20"/>
        </w:rPr>
        <w:t>M</w:t>
      </w:r>
      <w:r w:rsidRPr="007800E6">
        <w:rPr>
          <w:rFonts w:ascii="Arial" w:hAnsi="Arial" w:cs="Arial"/>
          <w:sz w:val="20"/>
          <w:szCs w:val="20"/>
        </w:rPr>
        <w:t>arch and Tab. sulfasalazine</w:t>
      </w:r>
      <w:r w:rsidR="007F4F7C" w:rsidRPr="007800E6">
        <w:rPr>
          <w:rFonts w:ascii="Arial" w:hAnsi="Arial" w:cs="Arial"/>
          <w:sz w:val="20"/>
          <w:szCs w:val="20"/>
        </w:rPr>
        <w:t xml:space="preserve"> 500mg</w:t>
      </w:r>
      <w:r w:rsidRPr="007800E6">
        <w:rPr>
          <w:rFonts w:ascii="Arial" w:hAnsi="Arial" w:cs="Arial"/>
          <w:sz w:val="20"/>
          <w:szCs w:val="20"/>
        </w:rPr>
        <w:t xml:space="preserve"> was added. About 2 months back, she was diagnosed with type 2 diabetes mellitus and prescribed </w:t>
      </w:r>
      <w:proofErr w:type="spellStart"/>
      <w:r w:rsidRPr="007800E6">
        <w:rPr>
          <w:rFonts w:ascii="Arial" w:hAnsi="Arial" w:cs="Arial"/>
          <w:sz w:val="20"/>
          <w:szCs w:val="20"/>
        </w:rPr>
        <w:t>Tab.vildagliptin+metformin</w:t>
      </w:r>
      <w:proofErr w:type="spellEnd"/>
      <w:r w:rsidRPr="007800E6">
        <w:rPr>
          <w:rFonts w:ascii="Arial" w:hAnsi="Arial" w:cs="Arial"/>
          <w:sz w:val="20"/>
          <w:szCs w:val="20"/>
        </w:rPr>
        <w:t>. On march 18</w:t>
      </w:r>
      <w:r w:rsidRPr="007800E6">
        <w:rPr>
          <w:rFonts w:ascii="Arial" w:hAnsi="Arial" w:cs="Arial"/>
          <w:sz w:val="20"/>
          <w:szCs w:val="20"/>
          <w:vertAlign w:val="superscript"/>
        </w:rPr>
        <w:t>th</w:t>
      </w:r>
      <w:r w:rsidRPr="007800E6">
        <w:rPr>
          <w:rFonts w:ascii="Arial" w:hAnsi="Arial" w:cs="Arial"/>
          <w:sz w:val="20"/>
          <w:szCs w:val="20"/>
        </w:rPr>
        <w:t xml:space="preserve">, patient experienced fever onsets and bitter taste and took </w:t>
      </w:r>
      <w:proofErr w:type="spellStart"/>
      <w:r w:rsidRPr="007800E6">
        <w:rPr>
          <w:rFonts w:ascii="Arial" w:hAnsi="Arial" w:cs="Arial"/>
          <w:sz w:val="20"/>
          <w:szCs w:val="20"/>
        </w:rPr>
        <w:t>Tab.Rabeprazole</w:t>
      </w:r>
      <w:proofErr w:type="spellEnd"/>
      <w:r w:rsidRPr="007800E6">
        <w:rPr>
          <w:rFonts w:ascii="Arial" w:hAnsi="Arial" w:cs="Arial"/>
          <w:sz w:val="20"/>
          <w:szCs w:val="20"/>
        </w:rPr>
        <w:t xml:space="preserve"> and Tab</w:t>
      </w:r>
      <w:r w:rsidR="002C7D3D" w:rsidRPr="007800E6">
        <w:rPr>
          <w:rFonts w:ascii="Arial" w:hAnsi="Arial" w:cs="Arial"/>
          <w:sz w:val="20"/>
          <w:szCs w:val="20"/>
        </w:rPr>
        <w:t xml:space="preserve">let containing </w:t>
      </w:r>
      <w:r w:rsidRPr="007800E6">
        <w:rPr>
          <w:rFonts w:ascii="Arial" w:hAnsi="Arial" w:cs="Arial"/>
          <w:sz w:val="20"/>
          <w:szCs w:val="20"/>
        </w:rPr>
        <w:t xml:space="preserve">pancreatic enzymes. The next day, she noticed rashes and </w:t>
      </w:r>
      <w:r w:rsidR="009E3CDE" w:rsidRPr="007800E6">
        <w:rPr>
          <w:rFonts w:ascii="Arial" w:hAnsi="Arial" w:cs="Arial"/>
          <w:sz w:val="20"/>
          <w:szCs w:val="20"/>
        </w:rPr>
        <w:t>redness</w:t>
      </w:r>
      <w:r w:rsidRPr="007800E6">
        <w:rPr>
          <w:rFonts w:ascii="Arial" w:hAnsi="Arial" w:cs="Arial"/>
          <w:sz w:val="20"/>
          <w:szCs w:val="20"/>
        </w:rPr>
        <w:t xml:space="preserve"> on her face and was taken over to her nearby hospital. There s</w:t>
      </w:r>
      <w:r w:rsidR="007800E6">
        <w:rPr>
          <w:rFonts w:ascii="Arial" w:hAnsi="Arial" w:cs="Arial"/>
          <w:sz w:val="20"/>
          <w:szCs w:val="20"/>
        </w:rPr>
        <w:t xml:space="preserve">he was treated with </w:t>
      </w:r>
      <w:proofErr w:type="gramStart"/>
      <w:r w:rsidR="007800E6">
        <w:rPr>
          <w:rFonts w:ascii="Arial" w:hAnsi="Arial" w:cs="Arial"/>
          <w:sz w:val="20"/>
          <w:szCs w:val="20"/>
        </w:rPr>
        <w:t xml:space="preserve">steroids </w:t>
      </w:r>
      <w:r w:rsidRPr="007800E6">
        <w:rPr>
          <w:rFonts w:ascii="Arial" w:hAnsi="Arial" w:cs="Arial"/>
          <w:sz w:val="20"/>
          <w:szCs w:val="20"/>
        </w:rPr>
        <w:t xml:space="preserve"> along</w:t>
      </w:r>
      <w:proofErr w:type="gramEnd"/>
      <w:r w:rsidRPr="007800E6">
        <w:rPr>
          <w:rFonts w:ascii="Arial" w:hAnsi="Arial" w:cs="Arial"/>
          <w:sz w:val="20"/>
          <w:szCs w:val="20"/>
        </w:rPr>
        <w:t xml:space="preserve"> with antihistamines. Even after initial treatment, rashes progressed with ongoing fever, erythema on chest and mucosal involvement of both eyes and oral cavities. Due to severity of her condition and lack of symptom relief, she was referred to our hospital.</w:t>
      </w:r>
    </w:p>
    <w:p w14:paraId="157024E2" w14:textId="4149DBE0" w:rsidR="000D5306" w:rsidRPr="007800E6" w:rsidRDefault="009630A2" w:rsidP="0077186B">
      <w:pPr>
        <w:spacing w:line="240" w:lineRule="auto"/>
        <w:jc w:val="both"/>
        <w:rPr>
          <w:rFonts w:ascii="Arial" w:hAnsi="Arial" w:cs="Arial"/>
          <w:b/>
          <w:i/>
          <w:szCs w:val="20"/>
        </w:rPr>
      </w:pPr>
      <w:r w:rsidRPr="007800E6">
        <w:rPr>
          <w:rFonts w:ascii="Arial" w:hAnsi="Arial" w:cs="Arial"/>
          <w:b/>
          <w:iCs/>
          <w:szCs w:val="20"/>
        </w:rPr>
        <w:t>CLINICAL</w:t>
      </w:r>
      <w:r w:rsidRPr="007800E6">
        <w:rPr>
          <w:rFonts w:ascii="Arial" w:hAnsi="Arial" w:cs="Arial"/>
          <w:b/>
          <w:i/>
          <w:szCs w:val="20"/>
        </w:rPr>
        <w:t xml:space="preserve"> </w:t>
      </w:r>
      <w:r w:rsidRPr="007800E6">
        <w:rPr>
          <w:rFonts w:ascii="Arial" w:hAnsi="Arial" w:cs="Arial"/>
          <w:b/>
          <w:iCs/>
          <w:szCs w:val="20"/>
        </w:rPr>
        <w:t>FINDINGS</w:t>
      </w:r>
      <w:r w:rsidRPr="007800E6">
        <w:rPr>
          <w:rFonts w:ascii="Arial" w:hAnsi="Arial" w:cs="Arial"/>
          <w:b/>
          <w:i/>
          <w:szCs w:val="20"/>
        </w:rPr>
        <w:t xml:space="preserve"> </w:t>
      </w:r>
    </w:p>
    <w:p w14:paraId="0B7A8443" w14:textId="0CEA0355" w:rsidR="007E66AC" w:rsidRPr="007800E6" w:rsidRDefault="000D5306" w:rsidP="0077186B">
      <w:pPr>
        <w:spacing w:line="240" w:lineRule="auto"/>
        <w:jc w:val="both"/>
        <w:rPr>
          <w:rFonts w:ascii="Arial" w:hAnsi="Arial" w:cs="Arial"/>
          <w:sz w:val="20"/>
          <w:szCs w:val="20"/>
        </w:rPr>
      </w:pPr>
      <w:r w:rsidRPr="007800E6">
        <w:rPr>
          <w:rFonts w:ascii="Arial" w:hAnsi="Arial" w:cs="Arial"/>
          <w:sz w:val="20"/>
          <w:szCs w:val="20"/>
        </w:rPr>
        <w:t xml:space="preserve">Initial laboratory investigations along with skin </w:t>
      </w:r>
      <w:r w:rsidR="009E3CDE" w:rsidRPr="007800E6">
        <w:rPr>
          <w:rFonts w:ascii="Arial" w:hAnsi="Arial" w:cs="Arial"/>
          <w:sz w:val="20"/>
          <w:szCs w:val="20"/>
        </w:rPr>
        <w:t>biopsy</w:t>
      </w:r>
      <w:r w:rsidRPr="007800E6">
        <w:rPr>
          <w:rFonts w:ascii="Arial" w:hAnsi="Arial" w:cs="Arial"/>
          <w:sz w:val="20"/>
          <w:szCs w:val="20"/>
        </w:rPr>
        <w:t xml:space="preserve"> was </w:t>
      </w:r>
      <w:r w:rsidR="001B719B" w:rsidRPr="007800E6">
        <w:rPr>
          <w:rFonts w:ascii="Arial" w:hAnsi="Arial" w:cs="Arial"/>
          <w:sz w:val="20"/>
          <w:szCs w:val="20"/>
        </w:rPr>
        <w:t xml:space="preserve">conducted which was suggestive of </w:t>
      </w:r>
      <w:r w:rsidR="00D2599F" w:rsidRPr="007800E6">
        <w:rPr>
          <w:rFonts w:ascii="Arial" w:hAnsi="Arial" w:cs="Arial"/>
          <w:sz w:val="20"/>
          <w:szCs w:val="20"/>
        </w:rPr>
        <w:t>S</w:t>
      </w:r>
      <w:r w:rsidR="001B719B" w:rsidRPr="007800E6">
        <w:rPr>
          <w:rFonts w:ascii="Arial" w:hAnsi="Arial" w:cs="Arial"/>
          <w:sz w:val="20"/>
          <w:szCs w:val="20"/>
        </w:rPr>
        <w:t>tevens</w:t>
      </w:r>
      <w:r w:rsidR="006E3E35" w:rsidRPr="007800E6">
        <w:rPr>
          <w:rFonts w:ascii="Arial" w:hAnsi="Arial" w:cs="Arial"/>
          <w:sz w:val="20"/>
          <w:szCs w:val="20"/>
        </w:rPr>
        <w:t>-</w:t>
      </w:r>
      <w:r w:rsidR="00D2599F" w:rsidRPr="007800E6">
        <w:rPr>
          <w:rFonts w:ascii="Arial" w:hAnsi="Arial" w:cs="Arial"/>
          <w:sz w:val="20"/>
          <w:szCs w:val="20"/>
        </w:rPr>
        <w:t>Johnson</w:t>
      </w:r>
      <w:r w:rsidR="001B719B" w:rsidRPr="007800E6">
        <w:rPr>
          <w:rFonts w:ascii="Arial" w:hAnsi="Arial" w:cs="Arial"/>
          <w:sz w:val="20"/>
          <w:szCs w:val="20"/>
        </w:rPr>
        <w:t xml:space="preserve"> </w:t>
      </w:r>
      <w:r w:rsidR="00D2599F" w:rsidRPr="007800E6">
        <w:rPr>
          <w:rFonts w:ascii="Arial" w:hAnsi="Arial" w:cs="Arial"/>
          <w:sz w:val="20"/>
          <w:szCs w:val="20"/>
        </w:rPr>
        <w:t>S</w:t>
      </w:r>
      <w:r w:rsidR="001B719B" w:rsidRPr="007800E6">
        <w:rPr>
          <w:rFonts w:ascii="Arial" w:hAnsi="Arial" w:cs="Arial"/>
          <w:sz w:val="20"/>
          <w:szCs w:val="20"/>
        </w:rPr>
        <w:t xml:space="preserve">yndrome/toxic epidermal necrolysis? erythema multiform. Her </w:t>
      </w:r>
      <w:r w:rsidR="009E3CDE" w:rsidRPr="007800E6">
        <w:rPr>
          <w:rFonts w:ascii="Arial" w:hAnsi="Arial" w:cs="Arial"/>
          <w:sz w:val="20"/>
          <w:szCs w:val="20"/>
        </w:rPr>
        <w:t>inflammatory</w:t>
      </w:r>
      <w:r w:rsidR="001B719B" w:rsidRPr="007800E6">
        <w:rPr>
          <w:rFonts w:ascii="Arial" w:hAnsi="Arial" w:cs="Arial"/>
          <w:sz w:val="20"/>
          <w:szCs w:val="20"/>
        </w:rPr>
        <w:t xml:space="preserve"> markers were also found to be elevated. Urine routine analysis showed numerous pus cells and bacteria present. Urine culture was sent and showed growth of Candida with doubtful significance. In view of increased inflammatory markers and risk of infection, blood culture was also sent which showed no growth. Cardiac panel and lipid profile was found to be within normal range. Liver function test was found to elevated (table </w:t>
      </w:r>
      <w:r w:rsidR="00CB2CE8" w:rsidRPr="007800E6">
        <w:rPr>
          <w:rFonts w:ascii="Arial" w:hAnsi="Arial" w:cs="Arial"/>
          <w:sz w:val="20"/>
          <w:szCs w:val="20"/>
        </w:rPr>
        <w:t>1</w:t>
      </w:r>
      <w:r w:rsidR="001B719B" w:rsidRPr="007800E6">
        <w:rPr>
          <w:rFonts w:ascii="Arial" w:hAnsi="Arial" w:cs="Arial"/>
          <w:sz w:val="20"/>
          <w:szCs w:val="20"/>
        </w:rPr>
        <w:t>). Gastroenterology consultation sought suggested viral panel testing and liver biopsy in view of significantly elevating liver enzymes. Rheumatology consultation was also sought to rule out any autoimmune causes for elevated liver enzymes.</w:t>
      </w:r>
      <w:r w:rsidR="00D2599F" w:rsidRPr="007800E6">
        <w:rPr>
          <w:rFonts w:ascii="Arial" w:hAnsi="Arial" w:cs="Arial"/>
          <w:sz w:val="20"/>
          <w:szCs w:val="20"/>
        </w:rPr>
        <w:t xml:space="preserve"> </w:t>
      </w:r>
      <w:r w:rsidR="001B719B" w:rsidRPr="007800E6">
        <w:rPr>
          <w:rFonts w:ascii="Arial" w:hAnsi="Arial" w:cs="Arial"/>
          <w:sz w:val="20"/>
          <w:szCs w:val="20"/>
        </w:rPr>
        <w:t xml:space="preserve">Blood samples were also sent for autoimmune profiling and </w:t>
      </w:r>
      <w:r w:rsidR="009E3CDE" w:rsidRPr="007800E6">
        <w:rPr>
          <w:rFonts w:ascii="Arial" w:hAnsi="Arial" w:cs="Arial"/>
          <w:sz w:val="20"/>
          <w:szCs w:val="20"/>
        </w:rPr>
        <w:t>autoimmune</w:t>
      </w:r>
      <w:r w:rsidR="001B719B" w:rsidRPr="007800E6">
        <w:rPr>
          <w:rFonts w:ascii="Arial" w:hAnsi="Arial" w:cs="Arial"/>
          <w:sz w:val="20"/>
          <w:szCs w:val="20"/>
        </w:rPr>
        <w:t xml:space="preserve"> hepatitis antibodies test which was later found to be negative. Ophthalmology </w:t>
      </w:r>
      <w:r w:rsidR="009E3CDE" w:rsidRPr="007800E6">
        <w:rPr>
          <w:rFonts w:ascii="Arial" w:hAnsi="Arial" w:cs="Arial"/>
          <w:sz w:val="20"/>
          <w:szCs w:val="20"/>
        </w:rPr>
        <w:t>consultation</w:t>
      </w:r>
      <w:r w:rsidR="001B719B" w:rsidRPr="007800E6">
        <w:rPr>
          <w:rFonts w:ascii="Arial" w:hAnsi="Arial" w:cs="Arial"/>
          <w:sz w:val="20"/>
          <w:szCs w:val="20"/>
        </w:rPr>
        <w:t xml:space="preserve"> was sought for complaints of eye discharge</w:t>
      </w:r>
      <w:r w:rsidR="00D2599F" w:rsidRPr="007800E6">
        <w:rPr>
          <w:rFonts w:ascii="Arial" w:hAnsi="Arial" w:cs="Arial"/>
          <w:sz w:val="20"/>
          <w:szCs w:val="20"/>
        </w:rPr>
        <w:t xml:space="preserve"> </w:t>
      </w:r>
      <w:r w:rsidR="001B719B" w:rsidRPr="007800E6">
        <w:rPr>
          <w:rFonts w:ascii="Arial" w:hAnsi="Arial" w:cs="Arial"/>
          <w:sz w:val="20"/>
          <w:szCs w:val="20"/>
        </w:rPr>
        <w:t xml:space="preserve">(yellow and purulent) and </w:t>
      </w:r>
      <w:r w:rsidR="00D2599F" w:rsidRPr="007800E6">
        <w:rPr>
          <w:rFonts w:ascii="Arial" w:hAnsi="Arial" w:cs="Arial"/>
          <w:sz w:val="20"/>
          <w:szCs w:val="20"/>
        </w:rPr>
        <w:t>conjunctival</w:t>
      </w:r>
      <w:r w:rsidR="001B719B" w:rsidRPr="007800E6">
        <w:rPr>
          <w:rFonts w:ascii="Arial" w:hAnsi="Arial" w:cs="Arial"/>
          <w:sz w:val="20"/>
          <w:szCs w:val="20"/>
        </w:rPr>
        <w:t xml:space="preserve"> congestion.</w:t>
      </w:r>
    </w:p>
    <w:p w14:paraId="40701ACA" w14:textId="77777777" w:rsidR="004A0CEC" w:rsidRPr="007800E6" w:rsidRDefault="004A0CEC" w:rsidP="0077186B">
      <w:pPr>
        <w:spacing w:line="240" w:lineRule="auto"/>
        <w:jc w:val="both"/>
        <w:rPr>
          <w:rFonts w:ascii="Arial" w:hAnsi="Arial" w:cs="Arial"/>
          <w:b/>
          <w:sz w:val="20"/>
          <w:szCs w:val="20"/>
        </w:rPr>
      </w:pPr>
    </w:p>
    <w:p w14:paraId="647B1F2A" w14:textId="6BDE0B9B" w:rsidR="001B719B" w:rsidRPr="007800E6" w:rsidRDefault="001B719B" w:rsidP="0077186B">
      <w:pPr>
        <w:spacing w:line="240" w:lineRule="auto"/>
        <w:jc w:val="both"/>
        <w:rPr>
          <w:rFonts w:ascii="Arial" w:hAnsi="Arial" w:cs="Arial"/>
          <w:b/>
          <w:szCs w:val="20"/>
        </w:rPr>
      </w:pPr>
      <w:r w:rsidRPr="007800E6">
        <w:rPr>
          <w:rFonts w:ascii="Arial" w:hAnsi="Arial" w:cs="Arial"/>
          <w:b/>
          <w:szCs w:val="20"/>
        </w:rPr>
        <w:t xml:space="preserve">MANAGEMENT </w:t>
      </w:r>
    </w:p>
    <w:p w14:paraId="62676A6B" w14:textId="6414314C" w:rsidR="000C509C" w:rsidRPr="007800E6" w:rsidRDefault="00A31B34" w:rsidP="0077186B">
      <w:pPr>
        <w:spacing w:line="240" w:lineRule="auto"/>
        <w:jc w:val="both"/>
        <w:rPr>
          <w:rFonts w:ascii="Arial" w:hAnsi="Arial" w:cs="Arial"/>
          <w:sz w:val="20"/>
          <w:szCs w:val="20"/>
        </w:rPr>
      </w:pPr>
      <w:r w:rsidRPr="007800E6">
        <w:rPr>
          <w:rFonts w:ascii="Arial" w:hAnsi="Arial" w:cs="Arial"/>
          <w:sz w:val="20"/>
          <w:szCs w:val="20"/>
        </w:rPr>
        <w:t>Patient was initially managed with injection dexamethasone 4mg twice daily and injection</w:t>
      </w:r>
      <w:r w:rsidR="00CB2CE8" w:rsidRPr="007800E6">
        <w:rPr>
          <w:rFonts w:ascii="Arial" w:hAnsi="Arial" w:cs="Arial"/>
          <w:sz w:val="20"/>
          <w:szCs w:val="20"/>
        </w:rPr>
        <w:t xml:space="preserve"> </w:t>
      </w:r>
      <w:r w:rsidRPr="007800E6">
        <w:rPr>
          <w:rFonts w:ascii="Arial" w:hAnsi="Arial" w:cs="Arial"/>
          <w:sz w:val="20"/>
          <w:szCs w:val="20"/>
        </w:rPr>
        <w:t xml:space="preserve">pheniramine 25 mg twice daily for rashes and swelling along with other supportive fluids. </w:t>
      </w:r>
      <w:proofErr w:type="spellStart"/>
      <w:r w:rsidRPr="007800E6">
        <w:rPr>
          <w:rFonts w:ascii="Arial" w:hAnsi="Arial" w:cs="Arial"/>
          <w:sz w:val="20"/>
          <w:szCs w:val="20"/>
        </w:rPr>
        <w:t>Inj.Meropenem</w:t>
      </w:r>
      <w:proofErr w:type="spellEnd"/>
      <w:r w:rsidRPr="007800E6">
        <w:rPr>
          <w:rFonts w:ascii="Arial" w:hAnsi="Arial" w:cs="Arial"/>
          <w:sz w:val="20"/>
          <w:szCs w:val="20"/>
        </w:rPr>
        <w:t xml:space="preserve"> 1g thrice daily was added as secondary prophylaxis for infections. In view of elevated liver enzymes, </w:t>
      </w:r>
      <w:r w:rsidR="00900107" w:rsidRPr="007800E6">
        <w:rPr>
          <w:rFonts w:ascii="Arial" w:hAnsi="Arial" w:cs="Arial"/>
          <w:sz w:val="20"/>
          <w:szCs w:val="20"/>
        </w:rPr>
        <w:t xml:space="preserve">tab. </w:t>
      </w:r>
      <w:proofErr w:type="spellStart"/>
      <w:r w:rsidR="00820C87" w:rsidRPr="007800E6">
        <w:rPr>
          <w:rFonts w:ascii="Arial" w:hAnsi="Arial" w:cs="Arial"/>
          <w:sz w:val="20"/>
          <w:szCs w:val="20"/>
        </w:rPr>
        <w:t>U</w:t>
      </w:r>
      <w:r w:rsidR="00900107" w:rsidRPr="007800E6">
        <w:rPr>
          <w:rFonts w:ascii="Arial" w:hAnsi="Arial" w:cs="Arial"/>
          <w:sz w:val="20"/>
          <w:szCs w:val="20"/>
        </w:rPr>
        <w:t>rsodeoxycholic</w:t>
      </w:r>
      <w:proofErr w:type="spellEnd"/>
      <w:r w:rsidR="00771C50" w:rsidRPr="007800E6">
        <w:rPr>
          <w:rFonts w:ascii="Arial" w:hAnsi="Arial" w:cs="Arial"/>
          <w:sz w:val="20"/>
          <w:szCs w:val="20"/>
        </w:rPr>
        <w:t xml:space="preserve"> acid</w:t>
      </w:r>
      <w:r w:rsidRPr="007800E6">
        <w:rPr>
          <w:rFonts w:ascii="Arial" w:hAnsi="Arial" w:cs="Arial"/>
          <w:sz w:val="20"/>
          <w:szCs w:val="20"/>
        </w:rPr>
        <w:t xml:space="preserve"> 300mg twice daily </w:t>
      </w:r>
      <w:r w:rsidRPr="007800E6">
        <w:rPr>
          <w:rFonts w:ascii="Arial" w:hAnsi="Arial" w:cs="Arial"/>
          <w:color w:val="000000" w:themeColor="text1"/>
          <w:sz w:val="20"/>
          <w:szCs w:val="20"/>
        </w:rPr>
        <w:t xml:space="preserve">and </w:t>
      </w:r>
      <w:r w:rsidR="006115B5" w:rsidRPr="007800E6">
        <w:rPr>
          <w:rFonts w:ascii="Arial" w:hAnsi="Arial" w:cs="Arial"/>
          <w:color w:val="000000" w:themeColor="text1"/>
          <w:sz w:val="20"/>
          <w:szCs w:val="20"/>
        </w:rPr>
        <w:t>cap</w:t>
      </w:r>
      <w:r w:rsidR="008276C9" w:rsidRPr="007800E6">
        <w:rPr>
          <w:rFonts w:ascii="Arial" w:hAnsi="Arial" w:cs="Arial"/>
          <w:color w:val="000000" w:themeColor="text1"/>
          <w:sz w:val="20"/>
          <w:szCs w:val="20"/>
        </w:rPr>
        <w:t>sule</w:t>
      </w:r>
      <w:r w:rsidR="006115B5" w:rsidRPr="007800E6">
        <w:rPr>
          <w:rFonts w:ascii="Arial" w:hAnsi="Arial" w:cs="Arial"/>
          <w:color w:val="000000" w:themeColor="text1"/>
          <w:sz w:val="20"/>
          <w:szCs w:val="20"/>
        </w:rPr>
        <w:t xml:space="preserve"> Vitamin E</w:t>
      </w:r>
      <w:r w:rsidRPr="007800E6">
        <w:rPr>
          <w:rFonts w:ascii="Arial" w:hAnsi="Arial" w:cs="Arial"/>
          <w:color w:val="000000" w:themeColor="text1"/>
          <w:sz w:val="20"/>
          <w:szCs w:val="20"/>
        </w:rPr>
        <w:t xml:space="preserve"> </w:t>
      </w:r>
      <w:r w:rsidRPr="007800E6">
        <w:rPr>
          <w:rFonts w:ascii="Arial" w:hAnsi="Arial" w:cs="Arial"/>
          <w:sz w:val="20"/>
          <w:szCs w:val="20"/>
        </w:rPr>
        <w:t xml:space="preserve">400mg once daily was started. Patient started experiencing frequent episodes of loose stools and was given </w:t>
      </w:r>
      <w:r w:rsidR="006115B5" w:rsidRPr="007800E6">
        <w:rPr>
          <w:rFonts w:ascii="Arial" w:hAnsi="Arial" w:cs="Arial"/>
          <w:sz w:val="20"/>
          <w:szCs w:val="20"/>
        </w:rPr>
        <w:t>tab. Rifaximin</w:t>
      </w:r>
      <w:r w:rsidRPr="007800E6">
        <w:rPr>
          <w:rFonts w:ascii="Arial" w:hAnsi="Arial" w:cs="Arial"/>
          <w:sz w:val="20"/>
          <w:szCs w:val="20"/>
        </w:rPr>
        <w:t xml:space="preserve"> 400 </w:t>
      </w:r>
      <w:r w:rsidR="00771C50" w:rsidRPr="007800E6">
        <w:rPr>
          <w:rFonts w:ascii="Arial" w:hAnsi="Arial" w:cs="Arial"/>
          <w:sz w:val="20"/>
          <w:szCs w:val="20"/>
        </w:rPr>
        <w:t xml:space="preserve">mg </w:t>
      </w:r>
      <w:r w:rsidRPr="007800E6">
        <w:rPr>
          <w:rFonts w:ascii="Arial" w:hAnsi="Arial" w:cs="Arial"/>
          <w:sz w:val="20"/>
          <w:szCs w:val="20"/>
        </w:rPr>
        <w:t>twice daily and</w:t>
      </w:r>
      <w:r w:rsidR="006115B5" w:rsidRPr="007800E6">
        <w:rPr>
          <w:rFonts w:ascii="Arial" w:hAnsi="Arial" w:cs="Arial"/>
          <w:sz w:val="20"/>
          <w:szCs w:val="20"/>
        </w:rPr>
        <w:t xml:space="preserve"> probiotic-prebiotic capsules </w:t>
      </w:r>
      <w:r w:rsidRPr="007800E6">
        <w:rPr>
          <w:rFonts w:ascii="Arial" w:hAnsi="Arial" w:cs="Arial"/>
          <w:sz w:val="20"/>
          <w:szCs w:val="20"/>
        </w:rPr>
        <w:t xml:space="preserve">once daily. </w:t>
      </w:r>
      <w:r w:rsidR="00900107" w:rsidRPr="007800E6">
        <w:rPr>
          <w:rFonts w:ascii="Arial" w:hAnsi="Arial" w:cs="Arial"/>
          <w:sz w:val="20"/>
          <w:szCs w:val="20"/>
        </w:rPr>
        <w:t>Multivitamin</w:t>
      </w:r>
      <w:r w:rsidRPr="007800E6">
        <w:rPr>
          <w:rFonts w:ascii="Arial" w:hAnsi="Arial" w:cs="Arial"/>
          <w:sz w:val="20"/>
          <w:szCs w:val="20"/>
        </w:rPr>
        <w:t xml:space="preserve"> and nutritional supplements along with other supportive measure were also given.</w:t>
      </w:r>
      <w:r w:rsidR="000333ED" w:rsidRPr="007800E6">
        <w:rPr>
          <w:rFonts w:ascii="Arial" w:hAnsi="Arial" w:cs="Arial"/>
          <w:sz w:val="20"/>
          <w:szCs w:val="20"/>
        </w:rPr>
        <w:t xml:space="preserve"> </w:t>
      </w:r>
      <w:proofErr w:type="spellStart"/>
      <w:r w:rsidR="000333ED" w:rsidRPr="007800E6">
        <w:rPr>
          <w:rFonts w:ascii="Arial" w:hAnsi="Arial" w:cs="Arial"/>
          <w:sz w:val="20"/>
          <w:szCs w:val="20"/>
        </w:rPr>
        <w:t>Tab.fluconazole</w:t>
      </w:r>
      <w:proofErr w:type="spellEnd"/>
      <w:r w:rsidR="000333ED" w:rsidRPr="007800E6">
        <w:rPr>
          <w:rFonts w:ascii="Arial" w:hAnsi="Arial" w:cs="Arial"/>
          <w:sz w:val="20"/>
          <w:szCs w:val="20"/>
        </w:rPr>
        <w:t xml:space="preserve"> 50mg once daily was added against fungal infection (Candida).</w:t>
      </w:r>
      <w:r w:rsidR="000C509C" w:rsidRPr="007800E6">
        <w:rPr>
          <w:rFonts w:ascii="Arial" w:hAnsi="Arial" w:cs="Arial"/>
          <w:sz w:val="20"/>
          <w:szCs w:val="20"/>
        </w:rPr>
        <w:t xml:space="preserve"> As patient had history of type 2 diabetes mellitus and her elevated HbA1c, she was started on </w:t>
      </w:r>
      <w:proofErr w:type="spellStart"/>
      <w:r w:rsidR="000C509C" w:rsidRPr="007800E6">
        <w:rPr>
          <w:rFonts w:ascii="Arial" w:hAnsi="Arial" w:cs="Arial"/>
          <w:sz w:val="20"/>
          <w:szCs w:val="20"/>
        </w:rPr>
        <w:t>Inj.</w:t>
      </w:r>
      <w:r w:rsidR="00771C50" w:rsidRPr="007800E6">
        <w:rPr>
          <w:rFonts w:ascii="Arial" w:hAnsi="Arial" w:cs="Arial"/>
          <w:sz w:val="20"/>
          <w:szCs w:val="20"/>
        </w:rPr>
        <w:t>glargine</w:t>
      </w:r>
      <w:proofErr w:type="spellEnd"/>
      <w:r w:rsidR="000C509C" w:rsidRPr="007800E6">
        <w:rPr>
          <w:rFonts w:ascii="Arial" w:hAnsi="Arial" w:cs="Arial"/>
          <w:sz w:val="20"/>
          <w:szCs w:val="20"/>
        </w:rPr>
        <w:t xml:space="preserve"> 6 units given at night.</w:t>
      </w:r>
    </w:p>
    <w:p w14:paraId="346A74BF" w14:textId="110E8E65" w:rsidR="00A31B34" w:rsidRPr="007800E6" w:rsidRDefault="00A31B34" w:rsidP="0077186B">
      <w:pPr>
        <w:spacing w:line="240" w:lineRule="auto"/>
        <w:jc w:val="both"/>
        <w:rPr>
          <w:rFonts w:ascii="Arial" w:hAnsi="Arial" w:cs="Arial"/>
          <w:sz w:val="20"/>
          <w:szCs w:val="20"/>
        </w:rPr>
      </w:pPr>
      <w:r w:rsidRPr="007800E6">
        <w:rPr>
          <w:rFonts w:ascii="Arial" w:hAnsi="Arial" w:cs="Arial"/>
          <w:sz w:val="20"/>
          <w:szCs w:val="20"/>
        </w:rPr>
        <w:t>From ophthalmology side,</w:t>
      </w:r>
      <w:r w:rsidR="00900107" w:rsidRPr="007800E6">
        <w:rPr>
          <w:rFonts w:ascii="Arial" w:hAnsi="Arial" w:cs="Arial"/>
          <w:sz w:val="20"/>
          <w:szCs w:val="20"/>
        </w:rPr>
        <w:t xml:space="preserve"> </w:t>
      </w:r>
      <w:r w:rsidR="006115B5" w:rsidRPr="007800E6">
        <w:rPr>
          <w:rFonts w:ascii="Arial" w:hAnsi="Arial" w:cs="Arial"/>
          <w:sz w:val="20"/>
          <w:szCs w:val="20"/>
        </w:rPr>
        <w:t>in</w:t>
      </w:r>
      <w:r w:rsidRPr="007800E6">
        <w:rPr>
          <w:rFonts w:ascii="Arial" w:hAnsi="Arial" w:cs="Arial"/>
          <w:sz w:val="20"/>
          <w:szCs w:val="20"/>
        </w:rPr>
        <w:t xml:space="preserve"> view of </w:t>
      </w:r>
      <w:r w:rsidR="00900107" w:rsidRPr="007800E6">
        <w:rPr>
          <w:rFonts w:ascii="Arial" w:hAnsi="Arial" w:cs="Arial"/>
          <w:sz w:val="20"/>
          <w:szCs w:val="20"/>
        </w:rPr>
        <w:t>conjunctival</w:t>
      </w:r>
      <w:r w:rsidRPr="007800E6">
        <w:rPr>
          <w:rFonts w:ascii="Arial" w:hAnsi="Arial" w:cs="Arial"/>
          <w:sz w:val="20"/>
          <w:szCs w:val="20"/>
        </w:rPr>
        <w:t xml:space="preserve"> congestion, she was treated using the following: hom</w:t>
      </w:r>
      <w:r w:rsidR="00771C50" w:rsidRPr="007800E6">
        <w:rPr>
          <w:rFonts w:ascii="Arial" w:hAnsi="Arial" w:cs="Arial"/>
          <w:sz w:val="20"/>
          <w:szCs w:val="20"/>
        </w:rPr>
        <w:t>atropine hydrobromide</w:t>
      </w:r>
      <w:r w:rsidRPr="007800E6">
        <w:rPr>
          <w:rFonts w:ascii="Arial" w:hAnsi="Arial" w:cs="Arial"/>
          <w:sz w:val="20"/>
          <w:szCs w:val="20"/>
        </w:rPr>
        <w:t xml:space="preserve"> eye drops twice daily, </w:t>
      </w:r>
      <w:r w:rsidR="00771C50" w:rsidRPr="007800E6">
        <w:rPr>
          <w:rFonts w:ascii="Arial" w:hAnsi="Arial" w:cs="Arial"/>
          <w:sz w:val="20"/>
          <w:szCs w:val="20"/>
        </w:rPr>
        <w:t>moxifloxacin</w:t>
      </w:r>
      <w:r w:rsidRPr="007800E6">
        <w:rPr>
          <w:rFonts w:ascii="Arial" w:hAnsi="Arial" w:cs="Arial"/>
          <w:sz w:val="20"/>
          <w:szCs w:val="20"/>
        </w:rPr>
        <w:t xml:space="preserve"> eye drops and ointment hourly till 10pm and </w:t>
      </w:r>
      <w:r w:rsidR="006115B5" w:rsidRPr="007800E6">
        <w:rPr>
          <w:rFonts w:ascii="Arial" w:hAnsi="Arial" w:cs="Arial"/>
          <w:sz w:val="20"/>
          <w:szCs w:val="20"/>
        </w:rPr>
        <w:t>soft paraffin cream</w:t>
      </w:r>
      <w:r w:rsidRPr="007800E6">
        <w:rPr>
          <w:rFonts w:ascii="Arial" w:hAnsi="Arial" w:cs="Arial"/>
          <w:sz w:val="20"/>
          <w:szCs w:val="20"/>
        </w:rPr>
        <w:t xml:space="preserve"> hourly till 10pm. Eyelids were cleaned using sterile water.</w:t>
      </w:r>
    </w:p>
    <w:p w14:paraId="730D901C" w14:textId="3D9C38D7" w:rsidR="00A31B34" w:rsidRPr="007800E6" w:rsidRDefault="00A31B34" w:rsidP="0077186B">
      <w:pPr>
        <w:spacing w:line="240" w:lineRule="auto"/>
        <w:jc w:val="both"/>
        <w:rPr>
          <w:rFonts w:ascii="Arial" w:hAnsi="Arial" w:cs="Arial"/>
          <w:color w:val="000000" w:themeColor="text1"/>
          <w:sz w:val="20"/>
          <w:szCs w:val="20"/>
        </w:rPr>
      </w:pPr>
      <w:r w:rsidRPr="007800E6">
        <w:rPr>
          <w:rFonts w:ascii="Arial" w:hAnsi="Arial" w:cs="Arial"/>
          <w:sz w:val="20"/>
          <w:szCs w:val="20"/>
        </w:rPr>
        <w:lastRenderedPageBreak/>
        <w:t xml:space="preserve">Skin </w:t>
      </w:r>
      <w:r w:rsidR="00900107" w:rsidRPr="007800E6">
        <w:rPr>
          <w:rFonts w:ascii="Arial" w:hAnsi="Arial" w:cs="Arial"/>
          <w:sz w:val="20"/>
          <w:szCs w:val="20"/>
        </w:rPr>
        <w:t>erythematous</w:t>
      </w:r>
      <w:r w:rsidRPr="007800E6">
        <w:rPr>
          <w:rFonts w:ascii="Arial" w:hAnsi="Arial" w:cs="Arial"/>
          <w:sz w:val="20"/>
          <w:szCs w:val="20"/>
        </w:rPr>
        <w:t xml:space="preserve"> erosion was treated by applying</w:t>
      </w:r>
      <w:r w:rsidR="006115B5" w:rsidRPr="007800E6">
        <w:rPr>
          <w:rFonts w:ascii="Arial" w:hAnsi="Arial" w:cs="Arial"/>
          <w:sz w:val="20"/>
          <w:szCs w:val="20"/>
        </w:rPr>
        <w:t xml:space="preserve"> mupirocin </w:t>
      </w:r>
      <w:r w:rsidRPr="007800E6">
        <w:rPr>
          <w:rFonts w:ascii="Arial" w:hAnsi="Arial" w:cs="Arial"/>
          <w:sz w:val="20"/>
          <w:szCs w:val="20"/>
        </w:rPr>
        <w:t>cream for facial erosions. C</w:t>
      </w:r>
      <w:r w:rsidR="00771C50" w:rsidRPr="007800E6">
        <w:rPr>
          <w:rFonts w:ascii="Arial" w:hAnsi="Arial" w:cs="Arial"/>
          <w:sz w:val="20"/>
          <w:szCs w:val="20"/>
        </w:rPr>
        <w:t xml:space="preserve">lotrimazole </w:t>
      </w:r>
      <w:r w:rsidRPr="007800E6">
        <w:rPr>
          <w:rFonts w:ascii="Arial" w:hAnsi="Arial" w:cs="Arial"/>
          <w:sz w:val="20"/>
          <w:szCs w:val="20"/>
        </w:rPr>
        <w:t xml:space="preserve">mouth paint for white precipitates on tongue. </w:t>
      </w:r>
      <w:r w:rsidR="00771C50" w:rsidRPr="007800E6">
        <w:rPr>
          <w:rFonts w:ascii="Arial" w:hAnsi="Arial" w:cs="Arial"/>
          <w:sz w:val="20"/>
          <w:szCs w:val="20"/>
        </w:rPr>
        <w:t>Triamcinolone acetonide</w:t>
      </w:r>
      <w:r w:rsidRPr="007800E6">
        <w:rPr>
          <w:rFonts w:ascii="Arial" w:hAnsi="Arial" w:cs="Arial"/>
          <w:sz w:val="20"/>
          <w:szCs w:val="20"/>
        </w:rPr>
        <w:t xml:space="preserve"> cream thrice daily was used for red buccal erosions. For rashes on face </w:t>
      </w:r>
      <w:proofErr w:type="spellStart"/>
      <w:r w:rsidR="00B115B2" w:rsidRPr="007800E6">
        <w:rPr>
          <w:rFonts w:ascii="Arial" w:hAnsi="Arial" w:cs="Arial"/>
          <w:sz w:val="20"/>
          <w:szCs w:val="20"/>
        </w:rPr>
        <w:t>desonide</w:t>
      </w:r>
      <w:proofErr w:type="spellEnd"/>
      <w:r w:rsidR="00B115B2" w:rsidRPr="007800E6">
        <w:rPr>
          <w:rFonts w:ascii="Arial" w:hAnsi="Arial" w:cs="Arial"/>
          <w:sz w:val="20"/>
          <w:szCs w:val="20"/>
        </w:rPr>
        <w:t xml:space="preserve"> </w:t>
      </w:r>
      <w:r w:rsidRPr="007800E6">
        <w:rPr>
          <w:rFonts w:ascii="Arial" w:hAnsi="Arial" w:cs="Arial"/>
          <w:sz w:val="20"/>
          <w:szCs w:val="20"/>
        </w:rPr>
        <w:t>cream twice daily and for those on body</w:t>
      </w:r>
      <w:r w:rsidR="004A7838" w:rsidRPr="007800E6">
        <w:rPr>
          <w:rFonts w:ascii="Arial" w:hAnsi="Arial" w:cs="Arial"/>
          <w:sz w:val="20"/>
          <w:szCs w:val="20"/>
        </w:rPr>
        <w:t>, lotion containing betamethasone dipropionate and zinc sulphate, along with</w:t>
      </w:r>
      <w:r w:rsidRPr="007800E6">
        <w:rPr>
          <w:rFonts w:ascii="Arial" w:hAnsi="Arial" w:cs="Arial"/>
          <w:color w:val="EE0000"/>
          <w:sz w:val="20"/>
          <w:szCs w:val="20"/>
        </w:rPr>
        <w:t xml:space="preserve"> </w:t>
      </w:r>
      <w:r w:rsidR="004A7838" w:rsidRPr="007800E6">
        <w:rPr>
          <w:rFonts w:ascii="Arial" w:hAnsi="Arial" w:cs="Arial"/>
          <w:color w:val="000000" w:themeColor="text1"/>
          <w:sz w:val="20"/>
          <w:szCs w:val="20"/>
        </w:rPr>
        <w:t xml:space="preserve">another lotion containing </w:t>
      </w:r>
      <w:proofErr w:type="spellStart"/>
      <w:r w:rsidR="004A7838" w:rsidRPr="007800E6">
        <w:rPr>
          <w:rFonts w:ascii="Arial" w:hAnsi="Arial" w:cs="Arial"/>
          <w:color w:val="000000" w:themeColor="text1"/>
          <w:sz w:val="20"/>
          <w:szCs w:val="20"/>
        </w:rPr>
        <w:t>clobetasone</w:t>
      </w:r>
      <w:proofErr w:type="spellEnd"/>
      <w:r w:rsidR="004A7838" w:rsidRPr="007800E6">
        <w:rPr>
          <w:rFonts w:ascii="Arial" w:hAnsi="Arial" w:cs="Arial"/>
          <w:color w:val="000000" w:themeColor="text1"/>
          <w:sz w:val="20"/>
          <w:szCs w:val="20"/>
        </w:rPr>
        <w:t xml:space="preserve">, miconazole, and </w:t>
      </w:r>
      <w:proofErr w:type="spellStart"/>
      <w:r w:rsidR="004A7838" w:rsidRPr="007800E6">
        <w:rPr>
          <w:rFonts w:ascii="Arial" w:hAnsi="Arial" w:cs="Arial"/>
          <w:color w:val="000000" w:themeColor="text1"/>
          <w:sz w:val="20"/>
          <w:szCs w:val="20"/>
        </w:rPr>
        <w:t>fusidic</w:t>
      </w:r>
      <w:proofErr w:type="spellEnd"/>
      <w:r w:rsidR="004A7838" w:rsidRPr="007800E6">
        <w:rPr>
          <w:rFonts w:ascii="Arial" w:hAnsi="Arial" w:cs="Arial"/>
          <w:color w:val="000000" w:themeColor="text1"/>
          <w:sz w:val="20"/>
          <w:szCs w:val="20"/>
        </w:rPr>
        <w:t xml:space="preserve"> acid, was used.</w:t>
      </w:r>
    </w:p>
    <w:p w14:paraId="6A5E825F" w14:textId="2A787310" w:rsidR="00A31B34" w:rsidRPr="007800E6" w:rsidRDefault="00A31B34" w:rsidP="0077186B">
      <w:pPr>
        <w:spacing w:line="240" w:lineRule="auto"/>
        <w:jc w:val="both"/>
        <w:rPr>
          <w:rFonts w:ascii="Arial" w:hAnsi="Arial" w:cs="Arial"/>
          <w:sz w:val="20"/>
          <w:szCs w:val="20"/>
        </w:rPr>
      </w:pPr>
      <w:r w:rsidRPr="007800E6">
        <w:rPr>
          <w:rFonts w:ascii="Arial" w:hAnsi="Arial" w:cs="Arial"/>
          <w:sz w:val="20"/>
          <w:szCs w:val="20"/>
        </w:rPr>
        <w:t xml:space="preserve">In view of </w:t>
      </w:r>
      <w:proofErr w:type="spellStart"/>
      <w:r w:rsidRPr="007800E6">
        <w:rPr>
          <w:rFonts w:ascii="Arial" w:hAnsi="Arial" w:cs="Arial"/>
          <w:sz w:val="20"/>
          <w:szCs w:val="20"/>
        </w:rPr>
        <w:t>stevens</w:t>
      </w:r>
      <w:proofErr w:type="spellEnd"/>
      <w:r w:rsidRPr="007800E6">
        <w:rPr>
          <w:rFonts w:ascii="Arial" w:hAnsi="Arial" w:cs="Arial"/>
          <w:sz w:val="20"/>
          <w:szCs w:val="20"/>
        </w:rPr>
        <w:t>-</w:t>
      </w:r>
      <w:r w:rsidR="006E3E35" w:rsidRPr="007800E6">
        <w:rPr>
          <w:rFonts w:ascii="Arial" w:hAnsi="Arial" w:cs="Arial"/>
          <w:sz w:val="20"/>
          <w:szCs w:val="20"/>
        </w:rPr>
        <w:t>J</w:t>
      </w:r>
      <w:r w:rsidRPr="007800E6">
        <w:rPr>
          <w:rFonts w:ascii="Arial" w:hAnsi="Arial" w:cs="Arial"/>
          <w:sz w:val="20"/>
          <w:szCs w:val="20"/>
        </w:rPr>
        <w:t xml:space="preserve">ohnson syndrome, patient was administered IVIG infusion (20g/200ml) on day 4 of hospital stay. IVIG infusion was given for three days and patient showed improvement in her condition and her skin </w:t>
      </w:r>
      <w:r w:rsidR="000333ED" w:rsidRPr="007800E6">
        <w:rPr>
          <w:rFonts w:ascii="Arial" w:hAnsi="Arial" w:cs="Arial"/>
          <w:sz w:val="20"/>
          <w:szCs w:val="20"/>
        </w:rPr>
        <w:t>lesions also starte</w:t>
      </w:r>
      <w:r w:rsidRPr="007800E6">
        <w:rPr>
          <w:rFonts w:ascii="Arial" w:hAnsi="Arial" w:cs="Arial"/>
          <w:sz w:val="20"/>
          <w:szCs w:val="20"/>
        </w:rPr>
        <w:t>d to improve.</w:t>
      </w:r>
    </w:p>
    <w:p w14:paraId="46BC6E9F" w14:textId="0BEA0220" w:rsidR="000333ED" w:rsidRPr="007800E6" w:rsidRDefault="00A31B34" w:rsidP="0077186B">
      <w:pPr>
        <w:spacing w:line="240" w:lineRule="auto"/>
        <w:jc w:val="both"/>
        <w:rPr>
          <w:rFonts w:ascii="Arial" w:hAnsi="Arial" w:cs="Arial"/>
          <w:sz w:val="20"/>
          <w:szCs w:val="20"/>
        </w:rPr>
      </w:pPr>
      <w:r w:rsidRPr="007800E6">
        <w:rPr>
          <w:rFonts w:ascii="Arial" w:hAnsi="Arial" w:cs="Arial"/>
          <w:sz w:val="20"/>
          <w:szCs w:val="20"/>
        </w:rPr>
        <w:t xml:space="preserve">Her </w:t>
      </w:r>
      <w:r w:rsidR="00900107" w:rsidRPr="007800E6">
        <w:rPr>
          <w:rFonts w:ascii="Arial" w:hAnsi="Arial" w:cs="Arial"/>
          <w:sz w:val="20"/>
          <w:szCs w:val="20"/>
        </w:rPr>
        <w:t>conjunctival</w:t>
      </w:r>
      <w:r w:rsidRPr="007800E6">
        <w:rPr>
          <w:rFonts w:ascii="Arial" w:hAnsi="Arial" w:cs="Arial"/>
          <w:sz w:val="20"/>
          <w:szCs w:val="20"/>
        </w:rPr>
        <w:t xml:space="preserve"> congestion started showing improvement by day 2 with left eye showing few epithelial erosions and no evidence of uveitis in both eyes. Frequency of drug </w:t>
      </w:r>
      <w:r w:rsidR="00900107" w:rsidRPr="007800E6">
        <w:rPr>
          <w:rFonts w:ascii="Arial" w:hAnsi="Arial" w:cs="Arial"/>
          <w:sz w:val="20"/>
          <w:szCs w:val="20"/>
        </w:rPr>
        <w:t>administration</w:t>
      </w:r>
      <w:r w:rsidRPr="007800E6">
        <w:rPr>
          <w:rFonts w:ascii="Arial" w:hAnsi="Arial" w:cs="Arial"/>
          <w:sz w:val="20"/>
          <w:szCs w:val="20"/>
        </w:rPr>
        <w:t xml:space="preserve"> was reduced to every 2 hours in view of this improvement. Within the next four days, her vision started improving along with both corneas becoming clear.</w:t>
      </w:r>
      <w:r w:rsidR="00D2599F" w:rsidRPr="007800E6">
        <w:rPr>
          <w:rFonts w:ascii="Arial" w:hAnsi="Arial" w:cs="Arial"/>
          <w:sz w:val="20"/>
          <w:szCs w:val="20"/>
        </w:rPr>
        <w:t xml:space="preserve"> </w:t>
      </w:r>
      <w:r w:rsidR="000333ED" w:rsidRPr="007800E6">
        <w:rPr>
          <w:rFonts w:ascii="Arial" w:hAnsi="Arial" w:cs="Arial"/>
          <w:sz w:val="20"/>
          <w:szCs w:val="20"/>
        </w:rPr>
        <w:t>Skin erosions also started showing reduction as supportive care continued. No further red rashes and new lesions</w:t>
      </w:r>
      <w:r w:rsidR="000C509C" w:rsidRPr="007800E6">
        <w:rPr>
          <w:rFonts w:ascii="Arial" w:hAnsi="Arial" w:cs="Arial"/>
          <w:sz w:val="20"/>
          <w:szCs w:val="20"/>
        </w:rPr>
        <w:t xml:space="preserve"> were </w:t>
      </w:r>
      <w:r w:rsidR="00D2599F" w:rsidRPr="007800E6">
        <w:rPr>
          <w:rFonts w:ascii="Arial" w:hAnsi="Arial" w:cs="Arial"/>
          <w:sz w:val="20"/>
          <w:szCs w:val="20"/>
        </w:rPr>
        <w:t>seen.</w:t>
      </w:r>
      <w:r w:rsidR="000333ED" w:rsidRPr="007800E6">
        <w:rPr>
          <w:rFonts w:ascii="Arial" w:hAnsi="Arial" w:cs="Arial"/>
          <w:sz w:val="20"/>
          <w:szCs w:val="20"/>
        </w:rPr>
        <w:t xml:space="preserve"> </w:t>
      </w:r>
      <w:r w:rsidR="000C509C" w:rsidRPr="007800E6">
        <w:rPr>
          <w:rFonts w:ascii="Arial" w:hAnsi="Arial" w:cs="Arial"/>
          <w:sz w:val="20"/>
          <w:szCs w:val="20"/>
        </w:rPr>
        <w:t xml:space="preserve">Steroid was tapered in view of improving condition and later converted to oral tablets for ease of </w:t>
      </w:r>
      <w:r w:rsidR="00900107" w:rsidRPr="007800E6">
        <w:rPr>
          <w:rFonts w:ascii="Arial" w:hAnsi="Arial" w:cs="Arial"/>
          <w:sz w:val="20"/>
          <w:szCs w:val="20"/>
        </w:rPr>
        <w:t>administration</w:t>
      </w:r>
      <w:r w:rsidR="000C509C" w:rsidRPr="007800E6">
        <w:rPr>
          <w:rFonts w:ascii="Arial" w:hAnsi="Arial" w:cs="Arial"/>
          <w:sz w:val="20"/>
          <w:szCs w:val="20"/>
        </w:rPr>
        <w:t>.</w:t>
      </w:r>
    </w:p>
    <w:p w14:paraId="45ECAA1F" w14:textId="63C3CBA3" w:rsidR="000333ED" w:rsidRPr="007800E6" w:rsidRDefault="000333ED" w:rsidP="0077186B">
      <w:pPr>
        <w:spacing w:line="240" w:lineRule="auto"/>
        <w:jc w:val="both"/>
        <w:rPr>
          <w:rFonts w:ascii="Arial" w:hAnsi="Arial" w:cs="Arial"/>
          <w:sz w:val="20"/>
          <w:szCs w:val="20"/>
        </w:rPr>
      </w:pPr>
      <w:r w:rsidRPr="007800E6">
        <w:rPr>
          <w:rFonts w:ascii="Arial" w:hAnsi="Arial" w:cs="Arial"/>
          <w:sz w:val="20"/>
          <w:szCs w:val="20"/>
        </w:rPr>
        <w:t>Patient became symptomatically stable, her blood inflammatory markers reduced,</w:t>
      </w:r>
      <w:r w:rsidR="00D2599F" w:rsidRPr="007800E6">
        <w:rPr>
          <w:rFonts w:ascii="Arial" w:hAnsi="Arial" w:cs="Arial"/>
          <w:sz w:val="20"/>
          <w:szCs w:val="20"/>
        </w:rPr>
        <w:t xml:space="preserve"> </w:t>
      </w:r>
      <w:r w:rsidRPr="007800E6">
        <w:rPr>
          <w:rFonts w:ascii="Arial" w:hAnsi="Arial" w:cs="Arial"/>
          <w:sz w:val="20"/>
          <w:szCs w:val="20"/>
        </w:rPr>
        <w:t>skin lesions improved and liver function tests showed an improving trend and was discharge</w:t>
      </w:r>
      <w:r w:rsidR="000C509C" w:rsidRPr="007800E6">
        <w:rPr>
          <w:rFonts w:ascii="Arial" w:hAnsi="Arial" w:cs="Arial"/>
          <w:sz w:val="20"/>
          <w:szCs w:val="20"/>
        </w:rPr>
        <w:t>d with antibiotics,</w:t>
      </w:r>
      <w:r w:rsidR="00D2599F" w:rsidRPr="007800E6">
        <w:rPr>
          <w:rFonts w:ascii="Arial" w:hAnsi="Arial" w:cs="Arial"/>
          <w:sz w:val="20"/>
          <w:szCs w:val="20"/>
        </w:rPr>
        <w:t xml:space="preserve"> </w:t>
      </w:r>
      <w:r w:rsidR="000C509C" w:rsidRPr="007800E6">
        <w:rPr>
          <w:rFonts w:ascii="Arial" w:hAnsi="Arial" w:cs="Arial"/>
          <w:sz w:val="20"/>
          <w:szCs w:val="20"/>
        </w:rPr>
        <w:t xml:space="preserve">insulin and liver protectants along with skin and eye ointments. Steroid tablets </w:t>
      </w:r>
      <w:bookmarkStart w:id="1" w:name="_Hlk198062071"/>
      <w:r w:rsidR="000C509C" w:rsidRPr="007800E6">
        <w:rPr>
          <w:rFonts w:ascii="Arial" w:hAnsi="Arial" w:cs="Arial"/>
          <w:sz w:val="20"/>
          <w:szCs w:val="20"/>
        </w:rPr>
        <w:t>(</w:t>
      </w:r>
      <w:r w:rsidR="00D2599F" w:rsidRPr="007800E6">
        <w:rPr>
          <w:rFonts w:ascii="Arial" w:hAnsi="Arial" w:cs="Arial"/>
          <w:sz w:val="20"/>
          <w:szCs w:val="20"/>
        </w:rPr>
        <w:t>tab. Prednisolone</w:t>
      </w:r>
      <w:r w:rsidR="000C509C" w:rsidRPr="007800E6">
        <w:rPr>
          <w:rFonts w:ascii="Arial" w:hAnsi="Arial" w:cs="Arial"/>
          <w:sz w:val="20"/>
          <w:szCs w:val="20"/>
        </w:rPr>
        <w:t xml:space="preserve"> 8mg in tapering doses)</w:t>
      </w:r>
      <w:bookmarkEnd w:id="1"/>
      <w:r w:rsidR="000C509C" w:rsidRPr="007800E6">
        <w:rPr>
          <w:rFonts w:ascii="Arial" w:hAnsi="Arial" w:cs="Arial"/>
          <w:sz w:val="20"/>
          <w:szCs w:val="20"/>
        </w:rPr>
        <w:t xml:space="preserve"> were also given. On follow up after discharge</w:t>
      </w:r>
      <w:r w:rsidR="00DF5EFA" w:rsidRPr="007800E6">
        <w:rPr>
          <w:rFonts w:ascii="Arial" w:hAnsi="Arial" w:cs="Arial"/>
          <w:sz w:val="20"/>
          <w:szCs w:val="20"/>
        </w:rPr>
        <w:t xml:space="preserve"> patient continued with discharge medications along steroid (tab. Prednisolone 4mg in tapering doses).</w:t>
      </w:r>
    </w:p>
    <w:p w14:paraId="4454CF5F" w14:textId="77777777" w:rsidR="0077186B" w:rsidRPr="007800E6" w:rsidRDefault="0077186B" w:rsidP="0077186B">
      <w:pPr>
        <w:spacing w:line="240" w:lineRule="auto"/>
        <w:jc w:val="both"/>
        <w:rPr>
          <w:rFonts w:ascii="Arial" w:hAnsi="Arial" w:cs="Arial"/>
          <w:sz w:val="20"/>
          <w:szCs w:val="20"/>
        </w:rPr>
      </w:pPr>
    </w:p>
    <w:p w14:paraId="2347315E" w14:textId="77777777" w:rsidR="00C4029A" w:rsidRPr="007800E6" w:rsidRDefault="000C509C" w:rsidP="0077186B">
      <w:pPr>
        <w:spacing w:line="240" w:lineRule="auto"/>
        <w:jc w:val="both"/>
        <w:rPr>
          <w:rFonts w:ascii="Arial" w:hAnsi="Arial" w:cs="Arial"/>
          <w:b/>
          <w:szCs w:val="20"/>
        </w:rPr>
      </w:pPr>
      <w:r w:rsidRPr="007800E6">
        <w:rPr>
          <w:rFonts w:ascii="Arial" w:hAnsi="Arial" w:cs="Arial"/>
          <w:b/>
          <w:szCs w:val="20"/>
        </w:rPr>
        <w:t xml:space="preserve">DISCUSSION </w:t>
      </w:r>
    </w:p>
    <w:p w14:paraId="453CBBE9" w14:textId="13304AC6" w:rsidR="009630A2" w:rsidRPr="007800E6" w:rsidRDefault="00C4029A" w:rsidP="0077186B">
      <w:pPr>
        <w:pStyle w:val="p1"/>
        <w:jc w:val="both"/>
        <w:divId w:val="1250458955"/>
        <w:rPr>
          <w:rFonts w:ascii="Arial" w:hAnsi="Arial" w:cs="Arial"/>
          <w:sz w:val="20"/>
          <w:szCs w:val="20"/>
        </w:rPr>
      </w:pPr>
      <w:r w:rsidRPr="007800E6">
        <w:rPr>
          <w:rFonts w:ascii="Arial" w:hAnsi="Arial" w:cs="Arial"/>
          <w:sz w:val="20"/>
          <w:szCs w:val="20"/>
        </w:rPr>
        <w:t>Stevens</w:t>
      </w:r>
      <w:r w:rsidR="006E3E35" w:rsidRPr="007800E6">
        <w:rPr>
          <w:rFonts w:ascii="Arial" w:hAnsi="Arial" w:cs="Arial"/>
          <w:sz w:val="20"/>
          <w:szCs w:val="20"/>
        </w:rPr>
        <w:t>-Johnson</w:t>
      </w:r>
      <w:r w:rsidRPr="007800E6">
        <w:rPr>
          <w:rFonts w:ascii="Arial" w:hAnsi="Arial" w:cs="Arial"/>
          <w:sz w:val="20"/>
          <w:szCs w:val="20"/>
        </w:rPr>
        <w:t xml:space="preserve"> syndrome and idi</w:t>
      </w:r>
      <w:r w:rsidR="00E73FE5" w:rsidRPr="007800E6">
        <w:rPr>
          <w:rFonts w:ascii="Arial" w:hAnsi="Arial" w:cs="Arial"/>
          <w:sz w:val="20"/>
          <w:szCs w:val="20"/>
        </w:rPr>
        <w:t xml:space="preserve">osyncratic liver injury are both complications of sulfasalazine often </w:t>
      </w:r>
      <w:r w:rsidR="00900107" w:rsidRPr="007800E6">
        <w:rPr>
          <w:rFonts w:ascii="Arial" w:hAnsi="Arial" w:cs="Arial"/>
          <w:sz w:val="20"/>
          <w:szCs w:val="20"/>
        </w:rPr>
        <w:t>occurring</w:t>
      </w:r>
      <w:r w:rsidR="00CE7D90" w:rsidRPr="007800E6">
        <w:rPr>
          <w:rFonts w:ascii="Arial" w:hAnsi="Arial" w:cs="Arial"/>
          <w:sz w:val="20"/>
          <w:szCs w:val="20"/>
        </w:rPr>
        <w:t xml:space="preserve"> </w:t>
      </w:r>
      <w:r w:rsidR="00B9502E" w:rsidRPr="007800E6">
        <w:rPr>
          <w:rFonts w:ascii="Arial" w:hAnsi="Arial" w:cs="Arial"/>
          <w:sz w:val="20"/>
          <w:szCs w:val="20"/>
        </w:rPr>
        <w:t xml:space="preserve">at early onset of drug or in in our case as a delayed </w:t>
      </w:r>
      <w:r w:rsidR="00B115B2" w:rsidRPr="007800E6">
        <w:rPr>
          <w:rFonts w:ascii="Arial" w:hAnsi="Arial" w:cs="Arial"/>
          <w:sz w:val="20"/>
          <w:szCs w:val="20"/>
        </w:rPr>
        <w:t>reaction.</w:t>
      </w:r>
      <w:r w:rsidR="00B115B2" w:rsidRPr="007800E6">
        <w:rPr>
          <w:rStyle w:val="s1"/>
          <w:rFonts w:ascii="Arial" w:hAnsi="Arial" w:cs="Arial"/>
          <w:sz w:val="20"/>
          <w:szCs w:val="20"/>
        </w:rPr>
        <w:t xml:space="preserve"> While</w:t>
      </w:r>
      <w:r w:rsidR="00CE7D90" w:rsidRPr="007800E6">
        <w:rPr>
          <w:rStyle w:val="s1"/>
          <w:rFonts w:ascii="Arial" w:hAnsi="Arial" w:cs="Arial"/>
          <w:sz w:val="20"/>
          <w:szCs w:val="20"/>
        </w:rPr>
        <w:t xml:space="preserve"> both complications are individually recognized adverse reactions to sulfasalazine, their simultaneous manifestation, as observed in our patient, is uncommon and poses a complex therapeutic challenge. Our patient developed mucocutaneous erosions, conjunctival congestion, and elevated liver enzymes approximately two months after initiating sulfasalazine, suggesting a delayed hypersensitivity reaction. This delayed onset and pattern of involvement differ from the case reported by Nada </w:t>
      </w:r>
      <w:proofErr w:type="spellStart"/>
      <w:r w:rsidR="00CE7D90" w:rsidRPr="007800E6">
        <w:rPr>
          <w:rStyle w:val="s1"/>
          <w:rFonts w:ascii="Arial" w:hAnsi="Arial" w:cs="Arial"/>
          <w:sz w:val="20"/>
          <w:szCs w:val="20"/>
        </w:rPr>
        <w:t>Zizi</w:t>
      </w:r>
      <w:proofErr w:type="spellEnd"/>
      <w:r w:rsidR="00CE7D90" w:rsidRPr="007800E6">
        <w:rPr>
          <w:rStyle w:val="s1"/>
          <w:rFonts w:ascii="Arial" w:hAnsi="Arial" w:cs="Arial"/>
          <w:sz w:val="20"/>
          <w:szCs w:val="20"/>
        </w:rPr>
        <w:t xml:space="preserve"> et al., where a 33-year-old female developed epidermal detachment and mucocutaneous lesions within two weeks of sulfasalazine initiation; however, liver dysfunction was not reported in their case, distinguishing our case due to its added hepatic component.</w:t>
      </w:r>
      <w:r w:rsidR="00CB2CE8" w:rsidRPr="007800E6">
        <w:rPr>
          <w:rStyle w:val="s1"/>
          <w:rFonts w:ascii="Arial" w:hAnsi="Arial" w:cs="Arial"/>
          <w:sz w:val="20"/>
          <w:szCs w:val="20"/>
          <w:vertAlign w:val="superscript"/>
        </w:rPr>
        <w:t>4</w:t>
      </w:r>
      <w:r w:rsidR="00CE7D90" w:rsidRPr="007800E6">
        <w:rPr>
          <w:rStyle w:val="s1"/>
          <w:rFonts w:ascii="Arial" w:hAnsi="Arial" w:cs="Arial"/>
          <w:sz w:val="20"/>
          <w:szCs w:val="20"/>
        </w:rPr>
        <w:t xml:space="preserve"> Similarly, Binayak Chandra et al. documented a 48-year-old female with sulfasalazine-induced SJS who presented with skin and mucosal involvement but without hepatic injury.</w:t>
      </w:r>
      <w:r w:rsidR="00CB2CE8" w:rsidRPr="007800E6">
        <w:rPr>
          <w:rStyle w:val="s1"/>
          <w:rFonts w:ascii="Arial" w:hAnsi="Arial" w:cs="Arial"/>
          <w:sz w:val="20"/>
          <w:szCs w:val="20"/>
          <w:vertAlign w:val="superscript"/>
        </w:rPr>
        <w:t>5</w:t>
      </w:r>
      <w:r w:rsidR="00CE7D90" w:rsidRPr="007800E6">
        <w:rPr>
          <w:rStyle w:val="s1"/>
          <w:rFonts w:ascii="Arial" w:hAnsi="Arial" w:cs="Arial"/>
          <w:sz w:val="20"/>
          <w:szCs w:val="20"/>
        </w:rPr>
        <w:t xml:space="preserve"> Both the cases utilized systemic corticosteroids for treatment, with tapering schedules and ophthalmologic interventions for conjunctival involvement, reflecting consistent management strategies. In contrast to our case on hepatoxicity, Rodolfo et al. reported sulfasalazine-induced hepatotoxicity in a 19-year-old female who presented with elevated liver enzymes and biopsy-confirmed hepatic necrosis but without dermatological manifestations, indicating that while sulfasalazine can cause either condition independently, concurrent presentation as seen in our case remains atypical.</w:t>
      </w:r>
      <w:r w:rsidR="00CB2CE8" w:rsidRPr="007800E6">
        <w:rPr>
          <w:rStyle w:val="s1"/>
          <w:rFonts w:ascii="Arial" w:hAnsi="Arial" w:cs="Arial"/>
          <w:sz w:val="20"/>
          <w:szCs w:val="20"/>
          <w:vertAlign w:val="superscript"/>
        </w:rPr>
        <w:t>6</w:t>
      </w:r>
      <w:r w:rsidR="00CE7D90" w:rsidRPr="007800E6">
        <w:rPr>
          <w:rStyle w:val="s1"/>
          <w:rFonts w:ascii="Arial" w:hAnsi="Arial" w:cs="Arial"/>
          <w:sz w:val="20"/>
          <w:szCs w:val="20"/>
        </w:rPr>
        <w:t xml:space="preserve"> Furthermore, our patient demonstrated </w:t>
      </w:r>
      <w:r w:rsidR="00D2599F" w:rsidRPr="007800E6">
        <w:rPr>
          <w:rStyle w:val="s1"/>
          <w:rFonts w:ascii="Arial" w:hAnsi="Arial" w:cs="Arial"/>
          <w:sz w:val="20"/>
          <w:szCs w:val="20"/>
        </w:rPr>
        <w:t>favourable</w:t>
      </w:r>
      <w:r w:rsidR="00CE7D90" w:rsidRPr="007800E6">
        <w:rPr>
          <w:rStyle w:val="s1"/>
          <w:rFonts w:ascii="Arial" w:hAnsi="Arial" w:cs="Arial"/>
          <w:sz w:val="20"/>
          <w:szCs w:val="20"/>
        </w:rPr>
        <w:t xml:space="preserve"> outcomes with a combination of high-dose intravenous corticosteroids and IVIG, a treatment approach supported by </w:t>
      </w:r>
      <w:r w:rsidR="00CB2CE8" w:rsidRPr="007800E6">
        <w:rPr>
          <w:rFonts w:ascii="Arial" w:hAnsi="Arial" w:cs="Arial"/>
          <w:sz w:val="20"/>
          <w:szCs w:val="20"/>
          <w:lang w:val="en-US"/>
        </w:rPr>
        <w:t>Michaels et al</w:t>
      </w:r>
      <w:r w:rsidR="00CE7D90" w:rsidRPr="007800E6">
        <w:rPr>
          <w:rStyle w:val="s1"/>
          <w:rFonts w:ascii="Arial" w:hAnsi="Arial" w:cs="Arial"/>
          <w:sz w:val="20"/>
          <w:szCs w:val="20"/>
        </w:rPr>
        <w:t>. This dual therapy likely contributed to rapid clinical stabilization and resolution of symptoms.</w:t>
      </w:r>
      <w:r w:rsidR="00D2599F" w:rsidRPr="007800E6">
        <w:rPr>
          <w:rStyle w:val="s1"/>
          <w:rFonts w:ascii="Arial" w:hAnsi="Arial" w:cs="Arial"/>
          <w:sz w:val="20"/>
          <w:szCs w:val="20"/>
          <w:vertAlign w:val="superscript"/>
        </w:rPr>
        <w:t>7</w:t>
      </w:r>
      <w:r w:rsidR="00CE7D90" w:rsidRPr="007800E6">
        <w:rPr>
          <w:rStyle w:val="s1"/>
          <w:rFonts w:ascii="Arial" w:hAnsi="Arial" w:cs="Arial"/>
          <w:sz w:val="20"/>
          <w:szCs w:val="20"/>
        </w:rPr>
        <w:t xml:space="preserve"> Unlike cases that relied solely on corticosteroids, our inclusion of IVIG may have accelerated recovery, especially </w:t>
      </w:r>
      <w:r w:rsidR="00D2599F" w:rsidRPr="007800E6">
        <w:rPr>
          <w:rStyle w:val="s1"/>
          <w:rFonts w:ascii="Arial" w:hAnsi="Arial" w:cs="Arial"/>
          <w:sz w:val="20"/>
          <w:szCs w:val="20"/>
        </w:rPr>
        <w:t>give</w:t>
      </w:r>
      <w:r w:rsidR="00CE7D90" w:rsidRPr="007800E6">
        <w:rPr>
          <w:rStyle w:val="s1"/>
          <w:rFonts w:ascii="Arial" w:hAnsi="Arial" w:cs="Arial"/>
          <w:sz w:val="20"/>
          <w:szCs w:val="20"/>
        </w:rPr>
        <w:t xml:space="preserve"> the severity and overlap of systemic involvement. The hepatotoxicity observed in our patient aligns with the observations of </w:t>
      </w:r>
      <w:proofErr w:type="spellStart"/>
      <w:r w:rsidR="00CE7D90" w:rsidRPr="007800E6">
        <w:rPr>
          <w:rStyle w:val="s1"/>
          <w:rFonts w:ascii="Arial" w:hAnsi="Arial" w:cs="Arial"/>
          <w:sz w:val="20"/>
          <w:szCs w:val="20"/>
        </w:rPr>
        <w:t>Jobanputra</w:t>
      </w:r>
      <w:proofErr w:type="spellEnd"/>
      <w:r w:rsidR="00CE7D90" w:rsidRPr="007800E6">
        <w:rPr>
          <w:rStyle w:val="s1"/>
          <w:rFonts w:ascii="Arial" w:hAnsi="Arial" w:cs="Arial"/>
          <w:sz w:val="20"/>
          <w:szCs w:val="20"/>
        </w:rPr>
        <w:t xml:space="preserve"> et al. and Masood et al., who emphasized sulfasalazine’s potential to induce liver injury and the importance of timely drug withdrawal and supportive therapy.</w:t>
      </w:r>
      <w:r w:rsidR="00D2599F" w:rsidRPr="007800E6">
        <w:rPr>
          <w:rStyle w:val="s1"/>
          <w:rFonts w:ascii="Arial" w:hAnsi="Arial" w:cs="Arial"/>
          <w:sz w:val="20"/>
          <w:szCs w:val="20"/>
          <w:vertAlign w:val="superscript"/>
        </w:rPr>
        <w:t>8</w:t>
      </w:r>
      <w:r w:rsidR="00CB2CE8" w:rsidRPr="007800E6">
        <w:rPr>
          <w:rStyle w:val="s1"/>
          <w:rFonts w:ascii="Arial" w:hAnsi="Arial" w:cs="Arial"/>
          <w:sz w:val="20"/>
          <w:szCs w:val="20"/>
          <w:vertAlign w:val="superscript"/>
        </w:rPr>
        <w:t>-</w:t>
      </w:r>
      <w:r w:rsidR="00D2599F" w:rsidRPr="007800E6">
        <w:rPr>
          <w:rStyle w:val="s1"/>
          <w:rFonts w:ascii="Arial" w:hAnsi="Arial" w:cs="Arial"/>
          <w:sz w:val="20"/>
          <w:szCs w:val="20"/>
          <w:vertAlign w:val="superscript"/>
        </w:rPr>
        <w:t>9</w:t>
      </w:r>
      <w:r w:rsidR="00CE7D90" w:rsidRPr="007800E6">
        <w:rPr>
          <w:rStyle w:val="s1"/>
          <w:rFonts w:ascii="Arial" w:hAnsi="Arial" w:cs="Arial"/>
          <w:sz w:val="20"/>
          <w:szCs w:val="20"/>
        </w:rPr>
        <w:t xml:space="preserve"> Taken together, while aspects of our case mirrors with</w:t>
      </w:r>
      <w:r w:rsidR="00CE7D90" w:rsidRPr="007800E6">
        <w:rPr>
          <w:rStyle w:val="apple-converted-space"/>
          <w:rFonts w:ascii="Arial" w:hAnsi="Arial" w:cs="Arial"/>
          <w:sz w:val="20"/>
          <w:szCs w:val="20"/>
        </w:rPr>
        <w:t xml:space="preserve"> </w:t>
      </w:r>
      <w:r w:rsidR="00CE7D90" w:rsidRPr="007800E6">
        <w:rPr>
          <w:rStyle w:val="s1"/>
          <w:rFonts w:ascii="Arial" w:hAnsi="Arial" w:cs="Arial"/>
          <w:sz w:val="20"/>
          <w:szCs w:val="20"/>
        </w:rPr>
        <w:t xml:space="preserve">those described in the other literature, the delayed onset of both SJS and hepatic injury, along with their simultaneous presentation and multi-organ involvement, makes it distinct. This case highlights the importance of recognition even beyond the typical early treatment window, immediate cessation of the offending drug, and a multidisciplinary treatment strategy including corticosteroids, IVIG, liver support and ophthalmologic care to achieve </w:t>
      </w:r>
      <w:r w:rsidR="00900107" w:rsidRPr="007800E6">
        <w:rPr>
          <w:rStyle w:val="s1"/>
          <w:rFonts w:ascii="Arial" w:hAnsi="Arial" w:cs="Arial"/>
          <w:sz w:val="20"/>
          <w:szCs w:val="20"/>
        </w:rPr>
        <w:t>favourable</w:t>
      </w:r>
      <w:r w:rsidR="00CE7D90" w:rsidRPr="007800E6">
        <w:rPr>
          <w:rStyle w:val="s1"/>
          <w:rFonts w:ascii="Arial" w:hAnsi="Arial" w:cs="Arial"/>
          <w:sz w:val="20"/>
          <w:szCs w:val="20"/>
        </w:rPr>
        <w:t xml:space="preserve"> outcomes.</w:t>
      </w:r>
    </w:p>
    <w:p w14:paraId="719B33D7" w14:textId="77777777" w:rsidR="00543A38" w:rsidRPr="007800E6" w:rsidRDefault="00543A38" w:rsidP="0077186B">
      <w:pPr>
        <w:spacing w:line="240" w:lineRule="auto"/>
        <w:jc w:val="both"/>
        <w:rPr>
          <w:rFonts w:ascii="Arial" w:hAnsi="Arial" w:cs="Arial"/>
          <w:b/>
          <w:bCs/>
          <w:sz w:val="20"/>
          <w:szCs w:val="20"/>
        </w:rPr>
      </w:pPr>
    </w:p>
    <w:p w14:paraId="5D42069A" w14:textId="08D02813" w:rsidR="00686DBA" w:rsidRPr="007800E6" w:rsidRDefault="00686DBA" w:rsidP="0077186B">
      <w:pPr>
        <w:spacing w:line="240" w:lineRule="auto"/>
        <w:jc w:val="both"/>
        <w:rPr>
          <w:rFonts w:ascii="Arial" w:hAnsi="Arial" w:cs="Arial"/>
          <w:b/>
          <w:bCs/>
          <w:sz w:val="20"/>
          <w:szCs w:val="20"/>
        </w:rPr>
      </w:pPr>
      <w:r w:rsidRPr="007800E6">
        <w:rPr>
          <w:rFonts w:ascii="Arial" w:hAnsi="Arial" w:cs="Arial"/>
          <w:b/>
          <w:bCs/>
          <w:szCs w:val="20"/>
        </w:rPr>
        <w:lastRenderedPageBreak/>
        <w:t>CONCLUSION</w:t>
      </w:r>
    </w:p>
    <w:p w14:paraId="49041F4E" w14:textId="10B71C5C" w:rsidR="00A80266" w:rsidRPr="007800E6" w:rsidRDefault="00686DBA" w:rsidP="0077186B">
      <w:pPr>
        <w:spacing w:line="240" w:lineRule="auto"/>
        <w:jc w:val="both"/>
        <w:rPr>
          <w:rFonts w:ascii="Arial" w:hAnsi="Arial" w:cs="Arial"/>
          <w:sz w:val="20"/>
          <w:szCs w:val="20"/>
        </w:rPr>
      </w:pPr>
      <w:r w:rsidRPr="007800E6">
        <w:rPr>
          <w:rFonts w:ascii="Arial" w:hAnsi="Arial" w:cs="Arial"/>
          <w:sz w:val="20"/>
          <w:szCs w:val="20"/>
        </w:rPr>
        <w:t xml:space="preserve">Although </w:t>
      </w:r>
      <w:r w:rsidR="006E3E35" w:rsidRPr="007800E6">
        <w:rPr>
          <w:rFonts w:ascii="Arial" w:hAnsi="Arial" w:cs="Arial"/>
          <w:sz w:val="20"/>
          <w:szCs w:val="20"/>
        </w:rPr>
        <w:t>S</w:t>
      </w:r>
      <w:r w:rsidRPr="007800E6">
        <w:rPr>
          <w:rFonts w:ascii="Arial" w:hAnsi="Arial" w:cs="Arial"/>
          <w:sz w:val="20"/>
          <w:szCs w:val="20"/>
        </w:rPr>
        <w:t>tevens-</w:t>
      </w:r>
      <w:r w:rsidR="006E3E35" w:rsidRPr="007800E6">
        <w:rPr>
          <w:rFonts w:ascii="Arial" w:hAnsi="Arial" w:cs="Arial"/>
          <w:sz w:val="20"/>
          <w:szCs w:val="20"/>
        </w:rPr>
        <w:t>Johnson</w:t>
      </w:r>
      <w:r w:rsidRPr="007800E6">
        <w:rPr>
          <w:rFonts w:ascii="Arial" w:hAnsi="Arial" w:cs="Arial"/>
          <w:sz w:val="20"/>
          <w:szCs w:val="20"/>
        </w:rPr>
        <w:t xml:space="preserve"> syndrome and hepatoxicity are the established adverse effects of sulfasalazine, their simultaneous occurrence is rare and often under reported. Our case highlights the importance of early identification of offending agent in </w:t>
      </w:r>
      <w:r w:rsidR="006E3E35" w:rsidRPr="007800E6">
        <w:rPr>
          <w:rFonts w:ascii="Arial" w:hAnsi="Arial" w:cs="Arial"/>
          <w:sz w:val="20"/>
          <w:szCs w:val="20"/>
        </w:rPr>
        <w:t>S</w:t>
      </w:r>
      <w:r w:rsidR="00A80266" w:rsidRPr="007800E6">
        <w:rPr>
          <w:rFonts w:ascii="Arial" w:hAnsi="Arial" w:cs="Arial"/>
          <w:sz w:val="20"/>
          <w:szCs w:val="20"/>
        </w:rPr>
        <w:t>tevens</w:t>
      </w:r>
      <w:r w:rsidR="006E3E35" w:rsidRPr="007800E6">
        <w:rPr>
          <w:rFonts w:ascii="Arial" w:hAnsi="Arial" w:cs="Arial"/>
          <w:sz w:val="20"/>
          <w:szCs w:val="20"/>
        </w:rPr>
        <w:t>-J</w:t>
      </w:r>
      <w:r w:rsidR="00A80266" w:rsidRPr="007800E6">
        <w:rPr>
          <w:rFonts w:ascii="Arial" w:hAnsi="Arial" w:cs="Arial"/>
          <w:sz w:val="20"/>
          <w:szCs w:val="20"/>
        </w:rPr>
        <w:t xml:space="preserve">ohnson syndrome and drug induced liver injury and the prompt management of patient condition using steroids and other supportive measures like fluid management. Although the role of steroids and IVIG in these adverse reactions is controversial, our patient showed rapid improvement with administration of systemic cortical steroid which only further accelerated using IVIG. This case also emphasizes on the need for individualized </w:t>
      </w:r>
      <w:r w:rsidR="00900107" w:rsidRPr="007800E6">
        <w:rPr>
          <w:rFonts w:ascii="Arial" w:hAnsi="Arial" w:cs="Arial"/>
          <w:sz w:val="20"/>
          <w:szCs w:val="20"/>
        </w:rPr>
        <w:t>assessment</w:t>
      </w:r>
      <w:r w:rsidR="00A80266" w:rsidRPr="007800E6">
        <w:rPr>
          <w:rFonts w:ascii="Arial" w:hAnsi="Arial" w:cs="Arial"/>
          <w:sz w:val="20"/>
          <w:szCs w:val="20"/>
        </w:rPr>
        <w:t xml:space="preserve"> and vigilance when initiating sulfasalazine </w:t>
      </w:r>
      <w:r w:rsidR="00900107" w:rsidRPr="007800E6">
        <w:rPr>
          <w:rFonts w:ascii="Arial" w:hAnsi="Arial" w:cs="Arial"/>
          <w:sz w:val="20"/>
          <w:szCs w:val="20"/>
        </w:rPr>
        <w:t>therapy</w:t>
      </w:r>
      <w:r w:rsidR="00A80266" w:rsidRPr="007800E6">
        <w:rPr>
          <w:rFonts w:ascii="Arial" w:hAnsi="Arial" w:cs="Arial"/>
          <w:sz w:val="20"/>
          <w:szCs w:val="20"/>
        </w:rPr>
        <w:t xml:space="preserve"> especially in individuals with history of </w:t>
      </w:r>
      <w:r w:rsidR="00900107" w:rsidRPr="007800E6">
        <w:rPr>
          <w:rFonts w:ascii="Arial" w:hAnsi="Arial" w:cs="Arial"/>
          <w:sz w:val="20"/>
          <w:szCs w:val="20"/>
        </w:rPr>
        <w:t>polypharmacy</w:t>
      </w:r>
      <w:r w:rsidR="00A80266" w:rsidRPr="007800E6">
        <w:rPr>
          <w:rFonts w:ascii="Arial" w:hAnsi="Arial" w:cs="Arial"/>
          <w:sz w:val="20"/>
          <w:szCs w:val="20"/>
        </w:rPr>
        <w:t>.</w:t>
      </w:r>
    </w:p>
    <w:p w14:paraId="761E2FD5" w14:textId="799A8FF5" w:rsidR="00141753" w:rsidRPr="007800E6" w:rsidRDefault="007800E6" w:rsidP="007800E6">
      <w:pPr>
        <w:tabs>
          <w:tab w:val="left" w:pos="3020"/>
        </w:tabs>
        <w:spacing w:line="240" w:lineRule="auto"/>
        <w:jc w:val="both"/>
        <w:divId w:val="1440569028"/>
        <w:rPr>
          <w:rFonts w:ascii="Arial" w:hAnsi="Arial" w:cs="Arial"/>
          <w:sz w:val="20"/>
          <w:szCs w:val="20"/>
        </w:rPr>
      </w:pPr>
      <w:r w:rsidRPr="007800E6">
        <w:rPr>
          <w:rFonts w:ascii="Arial" w:hAnsi="Arial" w:cs="Arial"/>
          <w:sz w:val="20"/>
          <w:szCs w:val="20"/>
        </w:rPr>
        <w:tab/>
      </w:r>
    </w:p>
    <w:p w14:paraId="394153F8" w14:textId="77777777" w:rsidR="00141753" w:rsidRPr="007800E6" w:rsidRDefault="00141753" w:rsidP="00141753">
      <w:pPr>
        <w:spacing w:line="240" w:lineRule="auto"/>
        <w:jc w:val="both"/>
        <w:divId w:val="1440569028"/>
        <w:rPr>
          <w:rFonts w:ascii="Arial" w:hAnsi="Arial" w:cs="Arial"/>
          <w:b/>
          <w:bCs/>
          <w:szCs w:val="20"/>
        </w:rPr>
      </w:pPr>
      <w:r w:rsidRPr="007800E6">
        <w:rPr>
          <w:rFonts w:ascii="Arial" w:hAnsi="Arial" w:cs="Arial"/>
          <w:b/>
          <w:bCs/>
          <w:szCs w:val="20"/>
        </w:rPr>
        <w:t>DISCLAIMER (ARTIFICIAL INTELLIGENCE):</w:t>
      </w:r>
    </w:p>
    <w:p w14:paraId="1A3F16B4" w14:textId="32A94101" w:rsidR="00141753" w:rsidRPr="007800E6" w:rsidRDefault="00141753" w:rsidP="00141753">
      <w:pPr>
        <w:spacing w:line="240" w:lineRule="auto"/>
        <w:jc w:val="both"/>
        <w:divId w:val="1440569028"/>
        <w:rPr>
          <w:rFonts w:ascii="Arial" w:hAnsi="Arial" w:cs="Arial"/>
          <w:sz w:val="20"/>
          <w:szCs w:val="20"/>
        </w:rPr>
      </w:pPr>
      <w:r w:rsidRPr="007800E6">
        <w:rPr>
          <w:rFonts w:ascii="Arial" w:hAnsi="Arial" w:cs="Arial"/>
          <w:sz w:val="20"/>
          <w:szCs w:val="20"/>
        </w:rPr>
        <w:t>Author(s) hereby declares that NO generative AI technologies such as Large Language Models (</w:t>
      </w:r>
      <w:proofErr w:type="spellStart"/>
      <w:r w:rsidRPr="007800E6">
        <w:rPr>
          <w:rFonts w:ascii="Arial" w:hAnsi="Arial" w:cs="Arial"/>
          <w:sz w:val="20"/>
          <w:szCs w:val="20"/>
        </w:rPr>
        <w:t>ChatGPT</w:t>
      </w:r>
      <w:proofErr w:type="spellEnd"/>
      <w:r w:rsidRPr="007800E6">
        <w:rPr>
          <w:rFonts w:ascii="Arial" w:hAnsi="Arial" w:cs="Arial"/>
          <w:sz w:val="20"/>
          <w:szCs w:val="20"/>
        </w:rPr>
        <w:t>, COPILOT, etc.) and text-to-image generators have been used during the writing or editing of this manuscript.</w:t>
      </w:r>
    </w:p>
    <w:p w14:paraId="17F7B58A" w14:textId="77777777" w:rsidR="007D5479" w:rsidRPr="007800E6" w:rsidRDefault="007D5479" w:rsidP="0077186B">
      <w:pPr>
        <w:spacing w:after="0" w:line="240" w:lineRule="auto"/>
        <w:jc w:val="both"/>
        <w:divId w:val="1707834468"/>
        <w:rPr>
          <w:rFonts w:ascii="Arial" w:eastAsia="Times New Roman" w:hAnsi="Arial" w:cs="Arial"/>
          <w:sz w:val="20"/>
          <w:szCs w:val="20"/>
          <w:lang w:val="en-IN" w:eastAsia="en-GB"/>
        </w:rPr>
      </w:pPr>
    </w:p>
    <w:p w14:paraId="51046723" w14:textId="77777777" w:rsidR="00A80266" w:rsidRPr="007800E6" w:rsidRDefault="00A80266" w:rsidP="0077186B">
      <w:pPr>
        <w:spacing w:line="240" w:lineRule="auto"/>
        <w:jc w:val="both"/>
        <w:rPr>
          <w:rFonts w:ascii="Arial" w:hAnsi="Arial" w:cs="Arial"/>
          <w:b/>
          <w:bCs/>
          <w:sz w:val="20"/>
          <w:szCs w:val="20"/>
        </w:rPr>
      </w:pPr>
      <w:r w:rsidRPr="007800E6">
        <w:rPr>
          <w:rFonts w:ascii="Arial" w:hAnsi="Arial" w:cs="Arial"/>
          <w:b/>
          <w:bCs/>
          <w:szCs w:val="20"/>
        </w:rPr>
        <w:t>REFERENCES</w:t>
      </w:r>
    </w:p>
    <w:p w14:paraId="0649BF93" w14:textId="0D16FB08" w:rsidR="0065222E" w:rsidRPr="007800E6" w:rsidRDefault="007F4F7C" w:rsidP="0077186B">
      <w:pPr>
        <w:numPr>
          <w:ilvl w:val="0"/>
          <w:numId w:val="3"/>
        </w:numPr>
        <w:spacing w:line="240" w:lineRule="auto"/>
        <w:jc w:val="both"/>
        <w:rPr>
          <w:rFonts w:ascii="Arial" w:hAnsi="Arial" w:cs="Arial"/>
          <w:sz w:val="20"/>
          <w:szCs w:val="20"/>
          <w:lang w:val="en-IN"/>
        </w:rPr>
      </w:pPr>
      <w:proofErr w:type="spellStart"/>
      <w:r w:rsidRPr="007800E6">
        <w:rPr>
          <w:rFonts w:ascii="Arial" w:hAnsi="Arial" w:cs="Arial"/>
          <w:sz w:val="20"/>
          <w:szCs w:val="20"/>
        </w:rPr>
        <w:t>Klimas</w:t>
      </w:r>
      <w:proofErr w:type="spellEnd"/>
      <w:r w:rsidRPr="007800E6">
        <w:rPr>
          <w:rFonts w:ascii="Arial" w:hAnsi="Arial" w:cs="Arial"/>
          <w:sz w:val="20"/>
          <w:szCs w:val="20"/>
        </w:rPr>
        <w:t xml:space="preserve"> N, Quintanilla-</w:t>
      </w:r>
      <w:proofErr w:type="spellStart"/>
      <w:r w:rsidRPr="007800E6">
        <w:rPr>
          <w:rFonts w:ascii="Arial" w:hAnsi="Arial" w:cs="Arial"/>
          <w:sz w:val="20"/>
          <w:szCs w:val="20"/>
        </w:rPr>
        <w:t>Dieck</w:t>
      </w:r>
      <w:proofErr w:type="spellEnd"/>
      <w:r w:rsidRPr="007800E6">
        <w:rPr>
          <w:rFonts w:ascii="Arial" w:hAnsi="Arial" w:cs="Arial"/>
          <w:sz w:val="20"/>
          <w:szCs w:val="20"/>
        </w:rPr>
        <w:t xml:space="preserve"> J, Vandergriff T. Stevens–Johnson syndrome and toxic epidermal necrolysis. </w:t>
      </w:r>
      <w:proofErr w:type="spellStart"/>
      <w:r w:rsidRPr="007800E6">
        <w:rPr>
          <w:rFonts w:ascii="Arial" w:hAnsi="Arial" w:cs="Arial"/>
          <w:sz w:val="20"/>
          <w:szCs w:val="20"/>
        </w:rPr>
        <w:t>InCutaneous</w:t>
      </w:r>
      <w:proofErr w:type="spellEnd"/>
      <w:r w:rsidRPr="007800E6">
        <w:rPr>
          <w:rFonts w:ascii="Arial" w:hAnsi="Arial" w:cs="Arial"/>
          <w:sz w:val="20"/>
          <w:szCs w:val="20"/>
        </w:rPr>
        <w:t xml:space="preserve"> Drug Eruptions: Diagnosis, Histopathology and Therapy 2015 May 15 (pp. 259-269). London: Springer London.</w:t>
      </w:r>
    </w:p>
    <w:p w14:paraId="564715EF" w14:textId="77777777" w:rsidR="0065222E" w:rsidRPr="007800E6" w:rsidRDefault="0065222E"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lang w:val="en-IN"/>
        </w:rPr>
        <w:t xml:space="preserve">Patel TK, </w:t>
      </w:r>
      <w:proofErr w:type="spellStart"/>
      <w:r w:rsidRPr="007800E6">
        <w:rPr>
          <w:rFonts w:ascii="Arial" w:hAnsi="Arial" w:cs="Arial"/>
          <w:sz w:val="20"/>
          <w:szCs w:val="20"/>
          <w:lang w:val="en-IN"/>
        </w:rPr>
        <w:t>Barvaliya</w:t>
      </w:r>
      <w:proofErr w:type="spellEnd"/>
      <w:r w:rsidRPr="007800E6">
        <w:rPr>
          <w:rFonts w:ascii="Arial" w:hAnsi="Arial" w:cs="Arial"/>
          <w:sz w:val="20"/>
          <w:szCs w:val="20"/>
          <w:lang w:val="en-IN"/>
        </w:rPr>
        <w:t xml:space="preserve"> MJ, Sharma D, Tripathi C. A systemic review of the drug-induced Stevens-Johnson syndrome and toxic epidermal necrolysis in Indian population. [Internet]. Bethesda (MD): National </w:t>
      </w:r>
      <w:proofErr w:type="spellStart"/>
      <w:r w:rsidRPr="007800E6">
        <w:rPr>
          <w:rFonts w:ascii="Arial" w:hAnsi="Arial" w:cs="Arial"/>
          <w:sz w:val="20"/>
          <w:szCs w:val="20"/>
          <w:lang w:val="en-IN"/>
        </w:rPr>
        <w:t>Center</w:t>
      </w:r>
      <w:proofErr w:type="spellEnd"/>
      <w:r w:rsidRPr="007800E6">
        <w:rPr>
          <w:rFonts w:ascii="Arial" w:hAnsi="Arial" w:cs="Arial"/>
          <w:sz w:val="20"/>
          <w:szCs w:val="20"/>
          <w:lang w:val="en-IN"/>
        </w:rPr>
        <w:t xml:space="preserve"> for Biotechnology Information; 2019 [cited 2025 May 16]. Available from: </w:t>
      </w:r>
      <w:hyperlink r:id="rId7" w:tgtFrame="_new" w:history="1">
        <w:r w:rsidRPr="007800E6">
          <w:rPr>
            <w:rStyle w:val="Hyperlink"/>
            <w:rFonts w:ascii="Arial" w:hAnsi="Arial" w:cs="Arial"/>
            <w:sz w:val="20"/>
            <w:szCs w:val="20"/>
            <w:lang w:val="en-IN"/>
          </w:rPr>
          <w:t>https://www.ncbi.nlm.nih.gov/books/NBK548792/</w:t>
        </w:r>
      </w:hyperlink>
    </w:p>
    <w:p w14:paraId="0021601F" w14:textId="77777777" w:rsidR="0065222E" w:rsidRPr="007800E6" w:rsidRDefault="0065222E"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lang w:val="en-IN"/>
        </w:rPr>
        <w:t xml:space="preserve">Perez EE, Orange JS, Bonilla F, </w:t>
      </w:r>
      <w:proofErr w:type="spellStart"/>
      <w:r w:rsidRPr="007800E6">
        <w:rPr>
          <w:rFonts w:ascii="Arial" w:hAnsi="Arial" w:cs="Arial"/>
          <w:sz w:val="20"/>
          <w:szCs w:val="20"/>
          <w:lang w:val="en-IN"/>
        </w:rPr>
        <w:t>Chinen</w:t>
      </w:r>
      <w:proofErr w:type="spellEnd"/>
      <w:r w:rsidRPr="007800E6">
        <w:rPr>
          <w:rFonts w:ascii="Arial" w:hAnsi="Arial" w:cs="Arial"/>
          <w:sz w:val="20"/>
          <w:szCs w:val="20"/>
          <w:lang w:val="en-IN"/>
        </w:rPr>
        <w:t xml:space="preserve"> J, Chinn IK, Dorsey M, et al. Update on the use of immunoglobulin in human disease: a review of evidence. </w:t>
      </w:r>
      <w:r w:rsidRPr="007800E6">
        <w:rPr>
          <w:rFonts w:ascii="Arial" w:hAnsi="Arial" w:cs="Arial"/>
          <w:i/>
          <w:iCs/>
          <w:sz w:val="20"/>
          <w:szCs w:val="20"/>
          <w:lang w:val="en-IN"/>
        </w:rPr>
        <w:t>J Allergy Clin Immunol.</w:t>
      </w:r>
      <w:r w:rsidRPr="007800E6">
        <w:rPr>
          <w:rFonts w:ascii="Arial" w:hAnsi="Arial" w:cs="Arial"/>
          <w:sz w:val="20"/>
          <w:szCs w:val="20"/>
          <w:lang w:val="en-IN"/>
        </w:rPr>
        <w:t xml:space="preserve"> 2017 Mar 1;139(3 </w:t>
      </w:r>
      <w:proofErr w:type="spellStart"/>
      <w:r w:rsidRPr="007800E6">
        <w:rPr>
          <w:rFonts w:ascii="Arial" w:hAnsi="Arial" w:cs="Arial"/>
          <w:sz w:val="20"/>
          <w:szCs w:val="20"/>
          <w:lang w:val="en-IN"/>
        </w:rPr>
        <w:t>Suppl</w:t>
      </w:r>
      <w:proofErr w:type="spellEnd"/>
      <w:proofErr w:type="gramStart"/>
      <w:r w:rsidRPr="007800E6">
        <w:rPr>
          <w:rFonts w:ascii="Arial" w:hAnsi="Arial" w:cs="Arial"/>
          <w:sz w:val="20"/>
          <w:szCs w:val="20"/>
          <w:lang w:val="en-IN"/>
        </w:rPr>
        <w:t>):S</w:t>
      </w:r>
      <w:proofErr w:type="gramEnd"/>
      <w:r w:rsidRPr="007800E6">
        <w:rPr>
          <w:rFonts w:ascii="Arial" w:hAnsi="Arial" w:cs="Arial"/>
          <w:sz w:val="20"/>
          <w:szCs w:val="20"/>
          <w:lang w:val="en-IN"/>
        </w:rPr>
        <w:t>1–46.</w:t>
      </w:r>
    </w:p>
    <w:p w14:paraId="2510415B" w14:textId="77777777" w:rsidR="00CB2CE8" w:rsidRPr="007800E6" w:rsidRDefault="00CB2CE8" w:rsidP="0077186B">
      <w:pPr>
        <w:numPr>
          <w:ilvl w:val="0"/>
          <w:numId w:val="3"/>
        </w:numPr>
        <w:spacing w:line="240" w:lineRule="auto"/>
        <w:jc w:val="both"/>
        <w:rPr>
          <w:rFonts w:ascii="Arial" w:hAnsi="Arial" w:cs="Arial"/>
          <w:sz w:val="20"/>
          <w:szCs w:val="20"/>
          <w:lang w:val="en-IN"/>
        </w:rPr>
      </w:pPr>
      <w:proofErr w:type="spellStart"/>
      <w:r w:rsidRPr="007800E6">
        <w:rPr>
          <w:rFonts w:ascii="Arial" w:hAnsi="Arial" w:cs="Arial"/>
          <w:sz w:val="20"/>
          <w:szCs w:val="20"/>
          <w:lang w:val="en-IN"/>
        </w:rPr>
        <w:t>Zizi</w:t>
      </w:r>
      <w:proofErr w:type="spellEnd"/>
      <w:r w:rsidRPr="007800E6">
        <w:rPr>
          <w:rFonts w:ascii="Arial" w:hAnsi="Arial" w:cs="Arial"/>
          <w:sz w:val="20"/>
          <w:szCs w:val="20"/>
          <w:lang w:val="en-IN"/>
        </w:rPr>
        <w:t xml:space="preserve"> N, </w:t>
      </w:r>
      <w:proofErr w:type="spellStart"/>
      <w:r w:rsidRPr="007800E6">
        <w:rPr>
          <w:rFonts w:ascii="Arial" w:hAnsi="Arial" w:cs="Arial"/>
          <w:sz w:val="20"/>
          <w:szCs w:val="20"/>
          <w:lang w:val="en-IN"/>
        </w:rPr>
        <w:t>Crickx</w:t>
      </w:r>
      <w:proofErr w:type="spellEnd"/>
      <w:r w:rsidRPr="007800E6">
        <w:rPr>
          <w:rFonts w:ascii="Arial" w:hAnsi="Arial" w:cs="Arial"/>
          <w:sz w:val="20"/>
          <w:szCs w:val="20"/>
          <w:lang w:val="en-IN"/>
        </w:rPr>
        <w:t xml:space="preserve"> B, et al. Toxic epidermal necrolysis induced by sulfasalazine. </w:t>
      </w:r>
      <w:r w:rsidRPr="007800E6">
        <w:rPr>
          <w:rFonts w:ascii="Arial" w:hAnsi="Arial" w:cs="Arial"/>
          <w:i/>
          <w:iCs/>
          <w:sz w:val="20"/>
          <w:szCs w:val="20"/>
          <w:lang w:val="en-IN"/>
        </w:rPr>
        <w:t xml:space="preserve">Ann Dermatol </w:t>
      </w:r>
      <w:proofErr w:type="spellStart"/>
      <w:r w:rsidRPr="007800E6">
        <w:rPr>
          <w:rFonts w:ascii="Arial" w:hAnsi="Arial" w:cs="Arial"/>
          <w:i/>
          <w:iCs/>
          <w:sz w:val="20"/>
          <w:szCs w:val="20"/>
          <w:lang w:val="en-IN"/>
        </w:rPr>
        <w:t>Venereol</w:t>
      </w:r>
      <w:proofErr w:type="spellEnd"/>
      <w:r w:rsidRPr="007800E6">
        <w:rPr>
          <w:rFonts w:ascii="Arial" w:hAnsi="Arial" w:cs="Arial"/>
          <w:i/>
          <w:iCs/>
          <w:sz w:val="20"/>
          <w:szCs w:val="20"/>
          <w:lang w:val="en-IN"/>
        </w:rPr>
        <w:t>.</w:t>
      </w:r>
      <w:r w:rsidRPr="007800E6">
        <w:rPr>
          <w:rFonts w:ascii="Arial" w:hAnsi="Arial" w:cs="Arial"/>
          <w:sz w:val="20"/>
          <w:szCs w:val="20"/>
          <w:lang w:val="en-IN"/>
        </w:rPr>
        <w:t xml:space="preserve"> 2003;130(1 Pt 1):87–90.</w:t>
      </w:r>
    </w:p>
    <w:p w14:paraId="1B714720" w14:textId="77777777" w:rsidR="0065222E" w:rsidRPr="007800E6" w:rsidRDefault="0065222E" w:rsidP="0077186B">
      <w:pPr>
        <w:numPr>
          <w:ilvl w:val="0"/>
          <w:numId w:val="3"/>
        </w:numPr>
        <w:spacing w:line="240" w:lineRule="auto"/>
        <w:jc w:val="both"/>
        <w:rPr>
          <w:rFonts w:ascii="Arial" w:hAnsi="Arial" w:cs="Arial"/>
          <w:sz w:val="20"/>
          <w:szCs w:val="20"/>
          <w:lang w:val="en-IN"/>
        </w:rPr>
      </w:pPr>
      <w:proofErr w:type="spellStart"/>
      <w:r w:rsidRPr="007800E6">
        <w:rPr>
          <w:rFonts w:ascii="Arial" w:hAnsi="Arial" w:cs="Arial"/>
          <w:sz w:val="20"/>
          <w:szCs w:val="20"/>
          <w:lang w:val="en-IN"/>
        </w:rPr>
        <w:t>Dwari</w:t>
      </w:r>
      <w:proofErr w:type="spellEnd"/>
      <w:r w:rsidRPr="007800E6">
        <w:rPr>
          <w:rFonts w:ascii="Arial" w:hAnsi="Arial" w:cs="Arial"/>
          <w:sz w:val="20"/>
          <w:szCs w:val="20"/>
          <w:lang w:val="en-IN"/>
        </w:rPr>
        <w:t xml:space="preserve"> BC, </w:t>
      </w:r>
      <w:proofErr w:type="spellStart"/>
      <w:r w:rsidRPr="007800E6">
        <w:rPr>
          <w:rFonts w:ascii="Arial" w:hAnsi="Arial" w:cs="Arial"/>
          <w:sz w:val="20"/>
          <w:szCs w:val="20"/>
          <w:lang w:val="en-IN"/>
        </w:rPr>
        <w:t>Palaian</w:t>
      </w:r>
      <w:proofErr w:type="spellEnd"/>
      <w:r w:rsidRPr="007800E6">
        <w:rPr>
          <w:rFonts w:ascii="Arial" w:hAnsi="Arial" w:cs="Arial"/>
          <w:sz w:val="20"/>
          <w:szCs w:val="20"/>
          <w:lang w:val="en-IN"/>
        </w:rPr>
        <w:t xml:space="preserve"> S, </w:t>
      </w:r>
      <w:proofErr w:type="spellStart"/>
      <w:r w:rsidRPr="007800E6">
        <w:rPr>
          <w:rFonts w:ascii="Arial" w:hAnsi="Arial" w:cs="Arial"/>
          <w:sz w:val="20"/>
          <w:szCs w:val="20"/>
          <w:lang w:val="en-IN"/>
        </w:rPr>
        <w:t>Arulamudhan</w:t>
      </w:r>
      <w:proofErr w:type="spellEnd"/>
      <w:r w:rsidRPr="007800E6">
        <w:rPr>
          <w:rFonts w:ascii="Arial" w:hAnsi="Arial" w:cs="Arial"/>
          <w:sz w:val="20"/>
          <w:szCs w:val="20"/>
          <w:lang w:val="en-IN"/>
        </w:rPr>
        <w:t xml:space="preserve"> R, Gupta S, </w:t>
      </w:r>
      <w:proofErr w:type="spellStart"/>
      <w:r w:rsidRPr="007800E6">
        <w:rPr>
          <w:rFonts w:ascii="Arial" w:hAnsi="Arial" w:cs="Arial"/>
          <w:sz w:val="20"/>
          <w:szCs w:val="20"/>
          <w:lang w:val="en-IN"/>
        </w:rPr>
        <w:t>Bajracharya</w:t>
      </w:r>
      <w:proofErr w:type="spellEnd"/>
      <w:r w:rsidRPr="007800E6">
        <w:rPr>
          <w:rFonts w:ascii="Arial" w:hAnsi="Arial" w:cs="Arial"/>
          <w:sz w:val="20"/>
          <w:szCs w:val="20"/>
          <w:lang w:val="en-IN"/>
        </w:rPr>
        <w:t xml:space="preserve"> B, Mishra P. Stevens-Johnson syndrome due to sulfasalazine. </w:t>
      </w:r>
      <w:proofErr w:type="spellStart"/>
      <w:r w:rsidRPr="007800E6">
        <w:rPr>
          <w:rFonts w:ascii="Arial" w:hAnsi="Arial" w:cs="Arial"/>
          <w:i/>
          <w:iCs/>
          <w:sz w:val="20"/>
          <w:szCs w:val="20"/>
          <w:lang w:val="en-IN"/>
        </w:rPr>
        <w:t>Pharmacol</w:t>
      </w:r>
      <w:proofErr w:type="spellEnd"/>
      <w:r w:rsidRPr="007800E6">
        <w:rPr>
          <w:rFonts w:ascii="Arial" w:hAnsi="Arial" w:cs="Arial"/>
          <w:i/>
          <w:iCs/>
          <w:sz w:val="20"/>
          <w:szCs w:val="20"/>
          <w:lang w:val="en-IN"/>
        </w:rPr>
        <w:t xml:space="preserve"> Online.</w:t>
      </w:r>
      <w:r w:rsidRPr="007800E6">
        <w:rPr>
          <w:rFonts w:ascii="Arial" w:hAnsi="Arial" w:cs="Arial"/>
          <w:sz w:val="20"/>
          <w:szCs w:val="20"/>
          <w:lang w:val="en-IN"/>
        </w:rPr>
        <w:t xml:space="preserve"> </w:t>
      </w:r>
      <w:proofErr w:type="gramStart"/>
      <w:r w:rsidRPr="007800E6">
        <w:rPr>
          <w:rFonts w:ascii="Arial" w:hAnsi="Arial" w:cs="Arial"/>
          <w:sz w:val="20"/>
          <w:szCs w:val="20"/>
          <w:lang w:val="en-IN"/>
        </w:rPr>
        <w:t>2007;1:17</w:t>
      </w:r>
      <w:proofErr w:type="gramEnd"/>
      <w:r w:rsidRPr="007800E6">
        <w:rPr>
          <w:rFonts w:ascii="Arial" w:hAnsi="Arial" w:cs="Arial"/>
          <w:sz w:val="20"/>
          <w:szCs w:val="20"/>
          <w:lang w:val="en-IN"/>
        </w:rPr>
        <w:t>–22.</w:t>
      </w:r>
    </w:p>
    <w:p w14:paraId="33701BAA" w14:textId="77777777" w:rsidR="0065222E" w:rsidRPr="007800E6" w:rsidRDefault="0065222E"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lang w:val="en-IN"/>
        </w:rPr>
        <w:t xml:space="preserve">Rodolfo J, et al. Sulfasalazine-induced acute hepatic failure: a case report. </w:t>
      </w:r>
      <w:r w:rsidRPr="007800E6">
        <w:rPr>
          <w:rFonts w:ascii="Arial" w:hAnsi="Arial" w:cs="Arial"/>
          <w:i/>
          <w:iCs/>
          <w:sz w:val="20"/>
          <w:szCs w:val="20"/>
          <w:lang w:val="en-IN"/>
        </w:rPr>
        <w:t>Liver Int.</w:t>
      </w:r>
      <w:r w:rsidRPr="007800E6">
        <w:rPr>
          <w:rFonts w:ascii="Arial" w:hAnsi="Arial" w:cs="Arial"/>
          <w:sz w:val="20"/>
          <w:szCs w:val="20"/>
          <w:lang w:val="en-IN"/>
        </w:rPr>
        <w:t xml:space="preserve"> 2005;25(1):190–2.</w:t>
      </w:r>
    </w:p>
    <w:p w14:paraId="1F768815" w14:textId="77777777" w:rsidR="00D2599F" w:rsidRPr="007800E6" w:rsidRDefault="00D2599F"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lang w:val="en-IN"/>
        </w:rPr>
        <w:t xml:space="preserve">Michaels B. The role of systemic corticosteroid therapy in erythema multiforme major and Stevens-Johnson syndrome: a review of past and current opinions. </w:t>
      </w:r>
      <w:r w:rsidRPr="007800E6">
        <w:rPr>
          <w:rFonts w:ascii="Arial" w:hAnsi="Arial" w:cs="Arial"/>
          <w:i/>
          <w:iCs/>
          <w:sz w:val="20"/>
          <w:szCs w:val="20"/>
          <w:lang w:val="en-IN"/>
        </w:rPr>
        <w:t xml:space="preserve">J Clin </w:t>
      </w:r>
      <w:proofErr w:type="spellStart"/>
      <w:r w:rsidRPr="007800E6">
        <w:rPr>
          <w:rFonts w:ascii="Arial" w:hAnsi="Arial" w:cs="Arial"/>
          <w:i/>
          <w:iCs/>
          <w:sz w:val="20"/>
          <w:szCs w:val="20"/>
          <w:lang w:val="en-IN"/>
        </w:rPr>
        <w:t>Aesthet</w:t>
      </w:r>
      <w:proofErr w:type="spellEnd"/>
      <w:r w:rsidRPr="007800E6">
        <w:rPr>
          <w:rFonts w:ascii="Arial" w:hAnsi="Arial" w:cs="Arial"/>
          <w:i/>
          <w:iCs/>
          <w:sz w:val="20"/>
          <w:szCs w:val="20"/>
          <w:lang w:val="en-IN"/>
        </w:rPr>
        <w:t xml:space="preserve"> Dermatol.</w:t>
      </w:r>
      <w:r w:rsidRPr="007800E6">
        <w:rPr>
          <w:rFonts w:ascii="Arial" w:hAnsi="Arial" w:cs="Arial"/>
          <w:sz w:val="20"/>
          <w:szCs w:val="20"/>
          <w:lang w:val="en-IN"/>
        </w:rPr>
        <w:t xml:space="preserve"> 2009 Mar;2(3):51.</w:t>
      </w:r>
    </w:p>
    <w:p w14:paraId="6EE20D64" w14:textId="77777777" w:rsidR="0065222E" w:rsidRPr="007800E6" w:rsidRDefault="0065222E" w:rsidP="0077186B">
      <w:pPr>
        <w:numPr>
          <w:ilvl w:val="0"/>
          <w:numId w:val="3"/>
        </w:numPr>
        <w:spacing w:line="240" w:lineRule="auto"/>
        <w:jc w:val="both"/>
        <w:rPr>
          <w:rFonts w:ascii="Arial" w:hAnsi="Arial" w:cs="Arial"/>
          <w:sz w:val="20"/>
          <w:szCs w:val="20"/>
          <w:lang w:val="en-IN"/>
        </w:rPr>
      </w:pPr>
      <w:proofErr w:type="spellStart"/>
      <w:r w:rsidRPr="007800E6">
        <w:rPr>
          <w:rFonts w:ascii="Arial" w:hAnsi="Arial" w:cs="Arial"/>
          <w:sz w:val="20"/>
          <w:szCs w:val="20"/>
          <w:lang w:val="en-IN"/>
        </w:rPr>
        <w:t>Jobanputra</w:t>
      </w:r>
      <w:proofErr w:type="spellEnd"/>
      <w:r w:rsidRPr="007800E6">
        <w:rPr>
          <w:rFonts w:ascii="Arial" w:hAnsi="Arial" w:cs="Arial"/>
          <w:sz w:val="20"/>
          <w:szCs w:val="20"/>
          <w:lang w:val="en-IN"/>
        </w:rPr>
        <w:t xml:space="preserve"> P, </w:t>
      </w:r>
      <w:proofErr w:type="spellStart"/>
      <w:r w:rsidRPr="007800E6">
        <w:rPr>
          <w:rFonts w:ascii="Arial" w:hAnsi="Arial" w:cs="Arial"/>
          <w:sz w:val="20"/>
          <w:szCs w:val="20"/>
          <w:lang w:val="en-IN"/>
        </w:rPr>
        <w:t>Amarasena</w:t>
      </w:r>
      <w:proofErr w:type="spellEnd"/>
      <w:r w:rsidRPr="007800E6">
        <w:rPr>
          <w:rFonts w:ascii="Arial" w:hAnsi="Arial" w:cs="Arial"/>
          <w:sz w:val="20"/>
          <w:szCs w:val="20"/>
          <w:lang w:val="en-IN"/>
        </w:rPr>
        <w:t xml:space="preserve"> R, </w:t>
      </w:r>
      <w:proofErr w:type="spellStart"/>
      <w:r w:rsidRPr="007800E6">
        <w:rPr>
          <w:rFonts w:ascii="Arial" w:hAnsi="Arial" w:cs="Arial"/>
          <w:sz w:val="20"/>
          <w:szCs w:val="20"/>
          <w:lang w:val="en-IN"/>
        </w:rPr>
        <w:t>Maggs</w:t>
      </w:r>
      <w:proofErr w:type="spellEnd"/>
      <w:r w:rsidRPr="007800E6">
        <w:rPr>
          <w:rFonts w:ascii="Arial" w:hAnsi="Arial" w:cs="Arial"/>
          <w:sz w:val="20"/>
          <w:szCs w:val="20"/>
          <w:lang w:val="en-IN"/>
        </w:rPr>
        <w:t xml:space="preserve"> F, Homer D, Bowman S, Rankin E, et al. Hepatotoxicity associated with sulfasalazine in inflammatory arthritis: a case series from a local surveillance of serious adverse events. </w:t>
      </w:r>
      <w:r w:rsidRPr="007800E6">
        <w:rPr>
          <w:rFonts w:ascii="Arial" w:hAnsi="Arial" w:cs="Arial"/>
          <w:i/>
          <w:iCs/>
          <w:sz w:val="20"/>
          <w:szCs w:val="20"/>
          <w:lang w:val="en-IN"/>
        </w:rPr>
        <w:t xml:space="preserve">BMC </w:t>
      </w:r>
      <w:proofErr w:type="spellStart"/>
      <w:r w:rsidRPr="007800E6">
        <w:rPr>
          <w:rFonts w:ascii="Arial" w:hAnsi="Arial" w:cs="Arial"/>
          <w:i/>
          <w:iCs/>
          <w:sz w:val="20"/>
          <w:szCs w:val="20"/>
          <w:lang w:val="en-IN"/>
        </w:rPr>
        <w:t>Musculoskelet</w:t>
      </w:r>
      <w:proofErr w:type="spellEnd"/>
      <w:r w:rsidRPr="007800E6">
        <w:rPr>
          <w:rFonts w:ascii="Arial" w:hAnsi="Arial" w:cs="Arial"/>
          <w:i/>
          <w:iCs/>
          <w:sz w:val="20"/>
          <w:szCs w:val="20"/>
          <w:lang w:val="en-IN"/>
        </w:rPr>
        <w:t xml:space="preserve"> </w:t>
      </w:r>
      <w:proofErr w:type="spellStart"/>
      <w:r w:rsidRPr="007800E6">
        <w:rPr>
          <w:rFonts w:ascii="Arial" w:hAnsi="Arial" w:cs="Arial"/>
          <w:i/>
          <w:iCs/>
          <w:sz w:val="20"/>
          <w:szCs w:val="20"/>
          <w:lang w:val="en-IN"/>
        </w:rPr>
        <w:t>Disord</w:t>
      </w:r>
      <w:proofErr w:type="spellEnd"/>
      <w:r w:rsidRPr="007800E6">
        <w:rPr>
          <w:rFonts w:ascii="Arial" w:hAnsi="Arial" w:cs="Arial"/>
          <w:i/>
          <w:iCs/>
          <w:sz w:val="20"/>
          <w:szCs w:val="20"/>
          <w:lang w:val="en-IN"/>
        </w:rPr>
        <w:t>.</w:t>
      </w:r>
      <w:r w:rsidRPr="007800E6">
        <w:rPr>
          <w:rFonts w:ascii="Arial" w:hAnsi="Arial" w:cs="Arial"/>
          <w:sz w:val="20"/>
          <w:szCs w:val="20"/>
          <w:lang w:val="en-IN"/>
        </w:rPr>
        <w:t xml:space="preserve"> 2008 </w:t>
      </w:r>
      <w:proofErr w:type="gramStart"/>
      <w:r w:rsidRPr="007800E6">
        <w:rPr>
          <w:rFonts w:ascii="Arial" w:hAnsi="Arial" w:cs="Arial"/>
          <w:sz w:val="20"/>
          <w:szCs w:val="20"/>
          <w:lang w:val="en-IN"/>
        </w:rPr>
        <w:t>Dec;9:1</w:t>
      </w:r>
      <w:proofErr w:type="gramEnd"/>
      <w:r w:rsidRPr="007800E6">
        <w:rPr>
          <w:rFonts w:ascii="Arial" w:hAnsi="Arial" w:cs="Arial"/>
          <w:sz w:val="20"/>
          <w:szCs w:val="20"/>
          <w:lang w:val="en-IN"/>
        </w:rPr>
        <w:t>–7.</w:t>
      </w:r>
    </w:p>
    <w:p w14:paraId="71289DDA" w14:textId="77777777" w:rsidR="0065222E" w:rsidRPr="007800E6" w:rsidRDefault="0065222E"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lang w:val="en-IN"/>
        </w:rPr>
        <w:t xml:space="preserve">Masood A, Sharma A, et al. Sulfasalazine-induced hepatotoxicity in a patient with rheumatoid arthritis. </w:t>
      </w:r>
      <w:r w:rsidRPr="007800E6">
        <w:rPr>
          <w:rFonts w:ascii="Arial" w:hAnsi="Arial" w:cs="Arial"/>
          <w:i/>
          <w:iCs/>
          <w:sz w:val="20"/>
          <w:szCs w:val="20"/>
          <w:lang w:val="en-IN"/>
        </w:rPr>
        <w:t xml:space="preserve">Gastroenterol </w:t>
      </w:r>
      <w:proofErr w:type="spellStart"/>
      <w:r w:rsidRPr="007800E6">
        <w:rPr>
          <w:rFonts w:ascii="Arial" w:hAnsi="Arial" w:cs="Arial"/>
          <w:i/>
          <w:iCs/>
          <w:sz w:val="20"/>
          <w:szCs w:val="20"/>
          <w:lang w:val="en-IN"/>
        </w:rPr>
        <w:t>Hepatol</w:t>
      </w:r>
      <w:proofErr w:type="spellEnd"/>
      <w:r w:rsidRPr="007800E6">
        <w:rPr>
          <w:rFonts w:ascii="Arial" w:hAnsi="Arial" w:cs="Arial"/>
          <w:i/>
          <w:iCs/>
          <w:sz w:val="20"/>
          <w:szCs w:val="20"/>
          <w:lang w:val="en-IN"/>
        </w:rPr>
        <w:t xml:space="preserve"> (N Y).</w:t>
      </w:r>
      <w:r w:rsidRPr="007800E6">
        <w:rPr>
          <w:rFonts w:ascii="Arial" w:hAnsi="Arial" w:cs="Arial"/>
          <w:sz w:val="20"/>
          <w:szCs w:val="20"/>
          <w:lang w:val="en-IN"/>
        </w:rPr>
        <w:t xml:space="preserve"> 2006;2(12):914–6.</w:t>
      </w:r>
    </w:p>
    <w:p w14:paraId="601B3181" w14:textId="77777777" w:rsidR="003A4D0C" w:rsidRPr="007800E6" w:rsidRDefault="003A4D0C" w:rsidP="0077186B">
      <w:pPr>
        <w:spacing w:line="240" w:lineRule="auto"/>
        <w:ind w:left="360"/>
        <w:jc w:val="both"/>
        <w:rPr>
          <w:rFonts w:ascii="Arial" w:hAnsi="Arial" w:cs="Arial"/>
          <w:sz w:val="20"/>
          <w:szCs w:val="20"/>
        </w:rPr>
      </w:pPr>
    </w:p>
    <w:p w14:paraId="4852315A" w14:textId="77777777" w:rsidR="00050B5E" w:rsidRPr="007800E6" w:rsidRDefault="00050B5E" w:rsidP="0077186B">
      <w:pPr>
        <w:spacing w:line="240" w:lineRule="auto"/>
        <w:jc w:val="both"/>
        <w:rPr>
          <w:rFonts w:ascii="Arial" w:hAnsi="Arial" w:cs="Arial"/>
          <w:sz w:val="20"/>
          <w:szCs w:val="20"/>
        </w:rPr>
      </w:pPr>
    </w:p>
    <w:p w14:paraId="7436D852" w14:textId="6CD238AA" w:rsidR="00473A56" w:rsidRPr="007800E6" w:rsidRDefault="00473A56" w:rsidP="0077186B">
      <w:pPr>
        <w:spacing w:line="240" w:lineRule="auto"/>
        <w:jc w:val="both"/>
        <w:rPr>
          <w:rFonts w:ascii="Arial" w:hAnsi="Arial" w:cs="Arial"/>
          <w:sz w:val="20"/>
          <w:szCs w:val="20"/>
        </w:rPr>
      </w:pPr>
      <w:r w:rsidRPr="007800E6">
        <w:rPr>
          <w:rFonts w:ascii="Arial" w:hAnsi="Arial" w:cs="Arial"/>
          <w:sz w:val="20"/>
          <w:szCs w:val="20"/>
        </w:rPr>
        <w:t>Table 1: Summarizes the laboratory findings recorded at the time of hospital presentatio</w:t>
      </w:r>
      <w:r w:rsidR="00050B5E" w:rsidRPr="007800E6">
        <w:rPr>
          <w:rFonts w:ascii="Arial" w:hAnsi="Arial" w:cs="Arial"/>
          <w:sz w:val="20"/>
          <w:szCs w:val="20"/>
        </w:rPr>
        <w:t>n</w:t>
      </w:r>
    </w:p>
    <w:p w14:paraId="15814479" w14:textId="77777777" w:rsidR="00473A56" w:rsidRPr="007800E6" w:rsidRDefault="00473A56" w:rsidP="0077186B">
      <w:pPr>
        <w:spacing w:line="240" w:lineRule="auto"/>
        <w:ind w:left="360"/>
        <w:jc w:val="both"/>
        <w:rPr>
          <w:rFonts w:ascii="Arial" w:hAnsi="Arial" w:cs="Arial"/>
          <w:sz w:val="20"/>
          <w:szCs w:val="20"/>
        </w:rPr>
      </w:pPr>
    </w:p>
    <w:tbl>
      <w:tblPr>
        <w:tblStyle w:val="TableGrid"/>
        <w:tblW w:w="0" w:type="auto"/>
        <w:tblLook w:val="04A0" w:firstRow="1" w:lastRow="0" w:firstColumn="1" w:lastColumn="0" w:noHBand="0" w:noVBand="1"/>
      </w:tblPr>
      <w:tblGrid>
        <w:gridCol w:w="1696"/>
        <w:gridCol w:w="1230"/>
        <w:gridCol w:w="1218"/>
        <w:gridCol w:w="1218"/>
        <w:gridCol w:w="1218"/>
        <w:gridCol w:w="1218"/>
        <w:gridCol w:w="1218"/>
      </w:tblGrid>
      <w:tr w:rsidR="00050B5E" w:rsidRPr="007800E6" w14:paraId="62DBD95E" w14:textId="77777777" w:rsidTr="00293200">
        <w:tc>
          <w:tcPr>
            <w:tcW w:w="1696" w:type="dxa"/>
          </w:tcPr>
          <w:p w14:paraId="06F901F9" w14:textId="77777777" w:rsidR="00050B5E" w:rsidRPr="007800E6" w:rsidRDefault="00050B5E" w:rsidP="0077186B">
            <w:pPr>
              <w:spacing w:after="160"/>
              <w:jc w:val="both"/>
              <w:rPr>
                <w:rFonts w:ascii="Arial" w:hAnsi="Arial" w:cs="Arial"/>
                <w:b/>
                <w:bCs/>
                <w:sz w:val="20"/>
                <w:szCs w:val="20"/>
                <w:lang w:val="en-IN"/>
              </w:rPr>
            </w:pPr>
          </w:p>
          <w:p w14:paraId="19CD595E"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Parameter</w:t>
            </w:r>
          </w:p>
        </w:tc>
        <w:tc>
          <w:tcPr>
            <w:tcW w:w="1230" w:type="dxa"/>
          </w:tcPr>
          <w:p w14:paraId="75EA2F8E" w14:textId="77777777" w:rsidR="00050B5E" w:rsidRPr="007800E6" w:rsidRDefault="00050B5E" w:rsidP="0077186B">
            <w:pPr>
              <w:spacing w:after="160"/>
              <w:jc w:val="both"/>
              <w:rPr>
                <w:rFonts w:ascii="Arial" w:hAnsi="Arial" w:cs="Arial"/>
                <w:b/>
                <w:bCs/>
                <w:sz w:val="20"/>
                <w:szCs w:val="20"/>
                <w:lang w:val="en-IN"/>
              </w:rPr>
            </w:pPr>
          </w:p>
          <w:p w14:paraId="342F5492"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Normal Range</w:t>
            </w:r>
          </w:p>
        </w:tc>
        <w:tc>
          <w:tcPr>
            <w:tcW w:w="1218" w:type="dxa"/>
          </w:tcPr>
          <w:p w14:paraId="16CC33CB" w14:textId="77777777" w:rsidR="00050B5E" w:rsidRPr="007800E6" w:rsidRDefault="00050B5E" w:rsidP="0077186B">
            <w:pPr>
              <w:spacing w:after="160"/>
              <w:jc w:val="both"/>
              <w:rPr>
                <w:rFonts w:ascii="Arial" w:hAnsi="Arial" w:cs="Arial"/>
                <w:b/>
                <w:bCs/>
                <w:sz w:val="20"/>
                <w:szCs w:val="20"/>
                <w:lang w:val="en-IN"/>
              </w:rPr>
            </w:pPr>
          </w:p>
          <w:p w14:paraId="32EBA28D"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b/>
                <w:bCs/>
                <w:sz w:val="20"/>
                <w:szCs w:val="20"/>
                <w:lang w:val="en-IN"/>
              </w:rPr>
              <w:t>DAY1</w:t>
            </w:r>
          </w:p>
          <w:p w14:paraId="14C7D0B8"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21/4/25</w:t>
            </w:r>
          </w:p>
        </w:tc>
        <w:tc>
          <w:tcPr>
            <w:tcW w:w="1218" w:type="dxa"/>
          </w:tcPr>
          <w:p w14:paraId="509EDFFC" w14:textId="77777777" w:rsidR="00050B5E" w:rsidRPr="007800E6" w:rsidRDefault="00050B5E" w:rsidP="0077186B">
            <w:pPr>
              <w:spacing w:after="160"/>
              <w:jc w:val="both"/>
              <w:rPr>
                <w:rFonts w:ascii="Arial" w:hAnsi="Arial" w:cs="Arial"/>
                <w:b/>
                <w:bCs/>
                <w:sz w:val="20"/>
                <w:szCs w:val="20"/>
                <w:lang w:val="en-IN"/>
              </w:rPr>
            </w:pPr>
          </w:p>
          <w:p w14:paraId="7A03A8C6"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b/>
                <w:bCs/>
                <w:sz w:val="20"/>
                <w:szCs w:val="20"/>
                <w:lang w:val="en-IN"/>
              </w:rPr>
              <w:t>DAY6</w:t>
            </w:r>
          </w:p>
          <w:p w14:paraId="796EB926"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26/3/25</w:t>
            </w:r>
          </w:p>
        </w:tc>
        <w:tc>
          <w:tcPr>
            <w:tcW w:w="1218" w:type="dxa"/>
          </w:tcPr>
          <w:p w14:paraId="27C1E583" w14:textId="77777777" w:rsidR="00050B5E" w:rsidRPr="007800E6" w:rsidRDefault="00050B5E" w:rsidP="0077186B">
            <w:pPr>
              <w:spacing w:after="160"/>
              <w:jc w:val="both"/>
              <w:rPr>
                <w:rFonts w:ascii="Arial" w:hAnsi="Arial" w:cs="Arial"/>
                <w:b/>
                <w:bCs/>
                <w:sz w:val="20"/>
                <w:szCs w:val="20"/>
                <w:lang w:val="en-IN"/>
              </w:rPr>
            </w:pPr>
          </w:p>
          <w:p w14:paraId="548E8C0F"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b/>
                <w:bCs/>
                <w:sz w:val="20"/>
                <w:szCs w:val="20"/>
                <w:lang w:val="en-IN"/>
              </w:rPr>
              <w:t>DAY10</w:t>
            </w:r>
          </w:p>
          <w:p w14:paraId="7BA00180"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30/3/25</w:t>
            </w:r>
          </w:p>
        </w:tc>
        <w:tc>
          <w:tcPr>
            <w:tcW w:w="1218" w:type="dxa"/>
          </w:tcPr>
          <w:p w14:paraId="44667479" w14:textId="77777777" w:rsidR="00050B5E" w:rsidRPr="007800E6" w:rsidRDefault="00050B5E" w:rsidP="0077186B">
            <w:pPr>
              <w:spacing w:after="160"/>
              <w:jc w:val="both"/>
              <w:rPr>
                <w:rFonts w:ascii="Arial" w:hAnsi="Arial" w:cs="Arial"/>
                <w:b/>
                <w:bCs/>
                <w:sz w:val="20"/>
                <w:szCs w:val="20"/>
                <w:lang w:val="en-IN"/>
              </w:rPr>
            </w:pPr>
          </w:p>
          <w:p w14:paraId="298F323B"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b/>
                <w:bCs/>
                <w:sz w:val="20"/>
                <w:szCs w:val="20"/>
                <w:lang w:val="en-IN"/>
              </w:rPr>
              <w:t>DAY14</w:t>
            </w:r>
          </w:p>
          <w:p w14:paraId="7586C6F7"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b/>
                <w:bCs/>
                <w:sz w:val="20"/>
                <w:szCs w:val="20"/>
                <w:lang w:val="en-IN"/>
              </w:rPr>
              <w:t>3/4/25</w:t>
            </w:r>
          </w:p>
          <w:p w14:paraId="4E8BE126" w14:textId="77777777" w:rsidR="00050B5E" w:rsidRPr="007800E6" w:rsidRDefault="00050B5E" w:rsidP="0077186B">
            <w:pPr>
              <w:rPr>
                <w:rFonts w:ascii="Arial" w:hAnsi="Arial" w:cs="Arial"/>
                <w:sz w:val="20"/>
                <w:szCs w:val="20"/>
              </w:rPr>
            </w:pPr>
          </w:p>
        </w:tc>
        <w:tc>
          <w:tcPr>
            <w:tcW w:w="1218" w:type="dxa"/>
          </w:tcPr>
          <w:p w14:paraId="67494C8A" w14:textId="77777777" w:rsidR="00050B5E" w:rsidRPr="007800E6" w:rsidRDefault="00050B5E" w:rsidP="0077186B">
            <w:pPr>
              <w:spacing w:after="160"/>
              <w:jc w:val="both"/>
              <w:rPr>
                <w:rFonts w:ascii="Arial" w:hAnsi="Arial" w:cs="Arial"/>
                <w:b/>
                <w:bCs/>
                <w:sz w:val="20"/>
                <w:szCs w:val="20"/>
                <w:lang w:val="en-IN"/>
              </w:rPr>
            </w:pPr>
          </w:p>
          <w:p w14:paraId="020A2CE4"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b/>
                <w:bCs/>
                <w:sz w:val="20"/>
                <w:szCs w:val="20"/>
                <w:lang w:val="en-IN"/>
              </w:rPr>
              <w:t>DAY19</w:t>
            </w:r>
          </w:p>
          <w:p w14:paraId="5B68E9BD"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8/4/25</w:t>
            </w:r>
          </w:p>
        </w:tc>
      </w:tr>
      <w:tr w:rsidR="00050B5E" w:rsidRPr="007800E6" w14:paraId="456234D3" w14:textId="77777777" w:rsidTr="00293200">
        <w:tc>
          <w:tcPr>
            <w:tcW w:w="1696" w:type="dxa"/>
          </w:tcPr>
          <w:p w14:paraId="272ED699" w14:textId="77777777" w:rsidR="00050B5E" w:rsidRPr="007800E6" w:rsidRDefault="00050B5E" w:rsidP="0077186B">
            <w:pPr>
              <w:rPr>
                <w:rFonts w:ascii="Arial" w:hAnsi="Arial" w:cs="Arial"/>
                <w:sz w:val="20"/>
                <w:szCs w:val="20"/>
              </w:rPr>
            </w:pPr>
            <w:proofErr w:type="spellStart"/>
            <w:r w:rsidRPr="007800E6">
              <w:rPr>
                <w:rFonts w:ascii="Arial" w:hAnsi="Arial" w:cs="Arial"/>
                <w:b/>
                <w:bCs/>
                <w:sz w:val="20"/>
                <w:szCs w:val="20"/>
                <w:lang w:val="en-IN"/>
              </w:rPr>
              <w:t>Hematological</w:t>
            </w:r>
            <w:proofErr w:type="spellEnd"/>
            <w:r w:rsidRPr="007800E6">
              <w:rPr>
                <w:rFonts w:ascii="Arial" w:hAnsi="Arial" w:cs="Arial"/>
                <w:b/>
                <w:bCs/>
                <w:sz w:val="20"/>
                <w:szCs w:val="20"/>
                <w:lang w:val="en-IN"/>
              </w:rPr>
              <w:t xml:space="preserve"> Parameters</w:t>
            </w:r>
          </w:p>
        </w:tc>
        <w:tc>
          <w:tcPr>
            <w:tcW w:w="7320" w:type="dxa"/>
            <w:gridSpan w:val="6"/>
          </w:tcPr>
          <w:p w14:paraId="4AEB7131" w14:textId="77777777" w:rsidR="00050B5E" w:rsidRPr="007800E6" w:rsidRDefault="00050B5E" w:rsidP="0077186B">
            <w:pPr>
              <w:rPr>
                <w:rFonts w:ascii="Arial" w:hAnsi="Arial" w:cs="Arial"/>
                <w:sz w:val="20"/>
                <w:szCs w:val="20"/>
              </w:rPr>
            </w:pPr>
          </w:p>
        </w:tc>
      </w:tr>
      <w:tr w:rsidR="00050B5E" w:rsidRPr="007800E6" w14:paraId="0F6F5BF1" w14:textId="77777777" w:rsidTr="00293200">
        <w:tc>
          <w:tcPr>
            <w:tcW w:w="1696" w:type="dxa"/>
          </w:tcPr>
          <w:p w14:paraId="63915C31" w14:textId="77777777" w:rsidR="00050B5E" w:rsidRPr="007800E6" w:rsidRDefault="00050B5E" w:rsidP="0077186B">
            <w:pPr>
              <w:rPr>
                <w:rFonts w:ascii="Arial" w:hAnsi="Arial" w:cs="Arial"/>
                <w:sz w:val="20"/>
                <w:szCs w:val="20"/>
              </w:rPr>
            </w:pPr>
            <w:proofErr w:type="spellStart"/>
            <w:r w:rsidRPr="007800E6">
              <w:rPr>
                <w:rFonts w:ascii="Arial" w:hAnsi="Arial" w:cs="Arial"/>
                <w:sz w:val="20"/>
                <w:szCs w:val="20"/>
                <w:lang w:val="en-IN"/>
              </w:rPr>
              <w:t>Hemoglobin</w:t>
            </w:r>
            <w:proofErr w:type="spellEnd"/>
          </w:p>
        </w:tc>
        <w:tc>
          <w:tcPr>
            <w:tcW w:w="1230" w:type="dxa"/>
          </w:tcPr>
          <w:p w14:paraId="5A8A9FF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12–16 g/dL (F)</w:t>
            </w:r>
          </w:p>
        </w:tc>
        <w:tc>
          <w:tcPr>
            <w:tcW w:w="1218" w:type="dxa"/>
          </w:tcPr>
          <w:p w14:paraId="13278A3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12.8 g/dL</w:t>
            </w:r>
          </w:p>
        </w:tc>
        <w:tc>
          <w:tcPr>
            <w:tcW w:w="1218" w:type="dxa"/>
          </w:tcPr>
          <w:p w14:paraId="6EEF393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 12.0g/dL </w:t>
            </w:r>
          </w:p>
        </w:tc>
        <w:tc>
          <w:tcPr>
            <w:tcW w:w="1218" w:type="dxa"/>
          </w:tcPr>
          <w:p w14:paraId="6A74261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11.0g/dL</w:t>
            </w:r>
          </w:p>
        </w:tc>
        <w:tc>
          <w:tcPr>
            <w:tcW w:w="1218" w:type="dxa"/>
          </w:tcPr>
          <w:p w14:paraId="04E6121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9.9g/dL</w:t>
            </w:r>
          </w:p>
        </w:tc>
        <w:tc>
          <w:tcPr>
            <w:tcW w:w="1218" w:type="dxa"/>
          </w:tcPr>
          <w:p w14:paraId="09514FC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10.2g/dL</w:t>
            </w:r>
          </w:p>
        </w:tc>
      </w:tr>
      <w:tr w:rsidR="00050B5E" w:rsidRPr="007800E6" w14:paraId="1929A16C" w14:textId="77777777" w:rsidTr="00293200">
        <w:tc>
          <w:tcPr>
            <w:tcW w:w="1696" w:type="dxa"/>
          </w:tcPr>
          <w:p w14:paraId="3E26F8A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White Blood Cell Count (WBC)</w:t>
            </w:r>
          </w:p>
        </w:tc>
        <w:tc>
          <w:tcPr>
            <w:tcW w:w="1230" w:type="dxa"/>
          </w:tcPr>
          <w:p w14:paraId="781EF3A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4,000–10,000 /µL</w:t>
            </w:r>
          </w:p>
        </w:tc>
        <w:tc>
          <w:tcPr>
            <w:tcW w:w="1218" w:type="dxa"/>
          </w:tcPr>
          <w:p w14:paraId="5676B36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 5490/µL</w:t>
            </w:r>
          </w:p>
        </w:tc>
        <w:tc>
          <w:tcPr>
            <w:tcW w:w="1218" w:type="dxa"/>
          </w:tcPr>
          <w:p w14:paraId="22CD269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 5660/µL</w:t>
            </w:r>
          </w:p>
        </w:tc>
        <w:tc>
          <w:tcPr>
            <w:tcW w:w="1218" w:type="dxa"/>
          </w:tcPr>
          <w:p w14:paraId="334E8D8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7480/µL</w:t>
            </w:r>
          </w:p>
        </w:tc>
        <w:tc>
          <w:tcPr>
            <w:tcW w:w="1218" w:type="dxa"/>
          </w:tcPr>
          <w:p w14:paraId="67994F7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8860/µL</w:t>
            </w:r>
          </w:p>
        </w:tc>
        <w:tc>
          <w:tcPr>
            <w:tcW w:w="1218" w:type="dxa"/>
          </w:tcPr>
          <w:p w14:paraId="7F8B2C2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9460/µL</w:t>
            </w:r>
          </w:p>
        </w:tc>
      </w:tr>
      <w:tr w:rsidR="00050B5E" w:rsidRPr="007800E6" w14:paraId="07AA4863" w14:textId="77777777" w:rsidTr="00293200">
        <w:tc>
          <w:tcPr>
            <w:tcW w:w="1696" w:type="dxa"/>
          </w:tcPr>
          <w:p w14:paraId="6D226A33"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Platelet Count</w:t>
            </w:r>
          </w:p>
        </w:tc>
        <w:tc>
          <w:tcPr>
            <w:tcW w:w="1230" w:type="dxa"/>
          </w:tcPr>
          <w:p w14:paraId="5C5108A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150,000–450,000 /µL</w:t>
            </w:r>
          </w:p>
        </w:tc>
        <w:tc>
          <w:tcPr>
            <w:tcW w:w="1218" w:type="dxa"/>
          </w:tcPr>
          <w:p w14:paraId="2BC6F99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1.92/µL</w:t>
            </w:r>
          </w:p>
        </w:tc>
        <w:tc>
          <w:tcPr>
            <w:tcW w:w="1218" w:type="dxa"/>
          </w:tcPr>
          <w:p w14:paraId="0B62E64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3.27/µL</w:t>
            </w:r>
          </w:p>
        </w:tc>
        <w:tc>
          <w:tcPr>
            <w:tcW w:w="1218" w:type="dxa"/>
          </w:tcPr>
          <w:p w14:paraId="6C2947B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4.15/µL</w:t>
            </w:r>
          </w:p>
        </w:tc>
        <w:tc>
          <w:tcPr>
            <w:tcW w:w="1218" w:type="dxa"/>
          </w:tcPr>
          <w:p w14:paraId="06B16FC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2.71/µL</w:t>
            </w:r>
          </w:p>
        </w:tc>
        <w:tc>
          <w:tcPr>
            <w:tcW w:w="1218" w:type="dxa"/>
          </w:tcPr>
          <w:p w14:paraId="601B056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2.75/µL</w:t>
            </w:r>
          </w:p>
        </w:tc>
      </w:tr>
      <w:tr w:rsidR="00050B5E" w:rsidRPr="007800E6" w14:paraId="4F74C6F1" w14:textId="77777777" w:rsidTr="00293200">
        <w:tc>
          <w:tcPr>
            <w:tcW w:w="1696" w:type="dxa"/>
          </w:tcPr>
          <w:p w14:paraId="2AA7B1E4"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Inflammatory Markers</w:t>
            </w:r>
          </w:p>
        </w:tc>
        <w:tc>
          <w:tcPr>
            <w:tcW w:w="7320" w:type="dxa"/>
            <w:gridSpan w:val="6"/>
          </w:tcPr>
          <w:p w14:paraId="7E604CF1" w14:textId="77777777" w:rsidR="00050B5E" w:rsidRPr="007800E6" w:rsidRDefault="00050B5E" w:rsidP="0077186B">
            <w:pPr>
              <w:rPr>
                <w:rFonts w:ascii="Arial" w:hAnsi="Arial" w:cs="Arial"/>
                <w:sz w:val="20"/>
                <w:szCs w:val="20"/>
              </w:rPr>
            </w:pPr>
          </w:p>
        </w:tc>
      </w:tr>
      <w:tr w:rsidR="00050B5E" w:rsidRPr="007800E6" w14:paraId="61351838" w14:textId="77777777" w:rsidTr="00293200">
        <w:tc>
          <w:tcPr>
            <w:tcW w:w="1696" w:type="dxa"/>
          </w:tcPr>
          <w:p w14:paraId="4E00DC1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C-Reactive Protein (CRP)</w:t>
            </w:r>
          </w:p>
        </w:tc>
        <w:tc>
          <w:tcPr>
            <w:tcW w:w="1230" w:type="dxa"/>
          </w:tcPr>
          <w:p w14:paraId="12088F0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&lt;8 mg/L</w:t>
            </w:r>
          </w:p>
        </w:tc>
        <w:tc>
          <w:tcPr>
            <w:tcW w:w="1218" w:type="dxa"/>
          </w:tcPr>
          <w:p w14:paraId="6D6431F2"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64.5mg/L</w:t>
            </w:r>
          </w:p>
        </w:tc>
        <w:tc>
          <w:tcPr>
            <w:tcW w:w="1218" w:type="dxa"/>
          </w:tcPr>
          <w:p w14:paraId="37DCFD6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12.5mg/L</w:t>
            </w:r>
          </w:p>
        </w:tc>
        <w:tc>
          <w:tcPr>
            <w:tcW w:w="1218" w:type="dxa"/>
          </w:tcPr>
          <w:p w14:paraId="33F27F9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7.16mg/L</w:t>
            </w:r>
          </w:p>
        </w:tc>
        <w:tc>
          <w:tcPr>
            <w:tcW w:w="1218" w:type="dxa"/>
          </w:tcPr>
          <w:p w14:paraId="79155A2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97.3mg/L</w:t>
            </w:r>
          </w:p>
        </w:tc>
        <w:tc>
          <w:tcPr>
            <w:tcW w:w="1218" w:type="dxa"/>
          </w:tcPr>
          <w:p w14:paraId="43319BD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17.1mg/L</w:t>
            </w:r>
          </w:p>
        </w:tc>
      </w:tr>
      <w:tr w:rsidR="00050B5E" w:rsidRPr="007800E6" w14:paraId="0B859243" w14:textId="77777777" w:rsidTr="00293200">
        <w:tc>
          <w:tcPr>
            <w:tcW w:w="1696" w:type="dxa"/>
          </w:tcPr>
          <w:p w14:paraId="4CEEF94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Erythrocyte Sedimentation Rate</w:t>
            </w:r>
          </w:p>
        </w:tc>
        <w:tc>
          <w:tcPr>
            <w:tcW w:w="1230" w:type="dxa"/>
          </w:tcPr>
          <w:p w14:paraId="06DD1573"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&lt;20 mm/hr (F)</w:t>
            </w:r>
          </w:p>
        </w:tc>
        <w:tc>
          <w:tcPr>
            <w:tcW w:w="1218" w:type="dxa"/>
          </w:tcPr>
          <w:p w14:paraId="6A8C804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59mm/hr</w:t>
            </w:r>
          </w:p>
        </w:tc>
        <w:tc>
          <w:tcPr>
            <w:tcW w:w="1218" w:type="dxa"/>
          </w:tcPr>
          <w:p w14:paraId="2B229AD5"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 42mm/hr</w:t>
            </w:r>
          </w:p>
        </w:tc>
        <w:tc>
          <w:tcPr>
            <w:tcW w:w="1218" w:type="dxa"/>
          </w:tcPr>
          <w:p w14:paraId="699AB232"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35mm/hr</w:t>
            </w:r>
          </w:p>
        </w:tc>
        <w:tc>
          <w:tcPr>
            <w:tcW w:w="1218" w:type="dxa"/>
          </w:tcPr>
          <w:p w14:paraId="6EB319A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73mm/hr</w:t>
            </w:r>
          </w:p>
        </w:tc>
        <w:tc>
          <w:tcPr>
            <w:tcW w:w="1218" w:type="dxa"/>
          </w:tcPr>
          <w:p w14:paraId="67ED092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76mm/hr</w:t>
            </w:r>
          </w:p>
        </w:tc>
      </w:tr>
      <w:tr w:rsidR="00050B5E" w:rsidRPr="007800E6" w14:paraId="510EC2C5" w14:textId="77777777" w:rsidTr="00293200">
        <w:tc>
          <w:tcPr>
            <w:tcW w:w="1696" w:type="dxa"/>
          </w:tcPr>
          <w:p w14:paraId="1E48CD70" w14:textId="77777777" w:rsidR="00050B5E" w:rsidRPr="007800E6" w:rsidRDefault="00050B5E" w:rsidP="0077186B">
            <w:pPr>
              <w:rPr>
                <w:rFonts w:ascii="Arial" w:hAnsi="Arial" w:cs="Arial"/>
                <w:sz w:val="20"/>
                <w:szCs w:val="20"/>
              </w:rPr>
            </w:pPr>
            <w:proofErr w:type="spellStart"/>
            <w:r w:rsidRPr="007800E6">
              <w:rPr>
                <w:rFonts w:ascii="Arial" w:hAnsi="Arial" w:cs="Arial"/>
                <w:b/>
                <w:bCs/>
                <w:sz w:val="20"/>
                <w:szCs w:val="20"/>
                <w:lang w:val="en-IN"/>
              </w:rPr>
              <w:t>Glycemic</w:t>
            </w:r>
            <w:proofErr w:type="spellEnd"/>
            <w:r w:rsidRPr="007800E6">
              <w:rPr>
                <w:rFonts w:ascii="Arial" w:hAnsi="Arial" w:cs="Arial"/>
                <w:b/>
                <w:bCs/>
                <w:sz w:val="20"/>
                <w:szCs w:val="20"/>
                <w:lang w:val="en-IN"/>
              </w:rPr>
              <w:t xml:space="preserve"> Control Parameters</w:t>
            </w:r>
          </w:p>
        </w:tc>
        <w:tc>
          <w:tcPr>
            <w:tcW w:w="7320" w:type="dxa"/>
            <w:gridSpan w:val="6"/>
          </w:tcPr>
          <w:p w14:paraId="69FE04E5" w14:textId="77777777" w:rsidR="00050B5E" w:rsidRPr="007800E6" w:rsidRDefault="00050B5E" w:rsidP="0077186B">
            <w:pPr>
              <w:rPr>
                <w:rFonts w:ascii="Arial" w:hAnsi="Arial" w:cs="Arial"/>
                <w:sz w:val="20"/>
                <w:szCs w:val="20"/>
              </w:rPr>
            </w:pPr>
          </w:p>
        </w:tc>
      </w:tr>
      <w:tr w:rsidR="00050B5E" w:rsidRPr="007800E6" w14:paraId="2DF1A73E" w14:textId="77777777" w:rsidTr="00293200">
        <w:tc>
          <w:tcPr>
            <w:tcW w:w="1696" w:type="dxa"/>
          </w:tcPr>
          <w:p w14:paraId="3E52E9E4"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HbA1c</w:t>
            </w:r>
          </w:p>
        </w:tc>
        <w:tc>
          <w:tcPr>
            <w:tcW w:w="1230" w:type="dxa"/>
          </w:tcPr>
          <w:p w14:paraId="0DE3A00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&lt;5.7% (non-diabetic)</w:t>
            </w:r>
          </w:p>
        </w:tc>
        <w:tc>
          <w:tcPr>
            <w:tcW w:w="6090" w:type="dxa"/>
            <w:gridSpan w:val="5"/>
          </w:tcPr>
          <w:p w14:paraId="707E077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6.5</w:t>
            </w:r>
          </w:p>
        </w:tc>
      </w:tr>
      <w:tr w:rsidR="00050B5E" w:rsidRPr="007800E6" w14:paraId="2B6BE562" w14:textId="77777777" w:rsidTr="00293200">
        <w:tc>
          <w:tcPr>
            <w:tcW w:w="1696" w:type="dxa"/>
          </w:tcPr>
          <w:p w14:paraId="2AA9B9C9"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Liver Function Tests</w:t>
            </w:r>
          </w:p>
        </w:tc>
        <w:tc>
          <w:tcPr>
            <w:tcW w:w="7320" w:type="dxa"/>
            <w:gridSpan w:val="6"/>
          </w:tcPr>
          <w:p w14:paraId="4C4919B4" w14:textId="77777777" w:rsidR="00050B5E" w:rsidRPr="007800E6" w:rsidRDefault="00050B5E" w:rsidP="0077186B">
            <w:pPr>
              <w:rPr>
                <w:rFonts w:ascii="Arial" w:hAnsi="Arial" w:cs="Arial"/>
                <w:sz w:val="20"/>
                <w:szCs w:val="20"/>
              </w:rPr>
            </w:pPr>
          </w:p>
        </w:tc>
      </w:tr>
      <w:tr w:rsidR="00050B5E" w:rsidRPr="007800E6" w14:paraId="0C927D5E" w14:textId="77777777" w:rsidTr="00293200">
        <w:tc>
          <w:tcPr>
            <w:tcW w:w="1696" w:type="dxa"/>
          </w:tcPr>
          <w:p w14:paraId="654BB605"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Total Bilirubin</w:t>
            </w:r>
          </w:p>
        </w:tc>
        <w:tc>
          <w:tcPr>
            <w:tcW w:w="1230" w:type="dxa"/>
          </w:tcPr>
          <w:p w14:paraId="2492BA5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0.1–1.2 mg/dL</w:t>
            </w:r>
          </w:p>
        </w:tc>
        <w:tc>
          <w:tcPr>
            <w:tcW w:w="1218" w:type="dxa"/>
          </w:tcPr>
          <w:p w14:paraId="2C03F50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 0.7 mg/dL</w:t>
            </w:r>
          </w:p>
        </w:tc>
        <w:tc>
          <w:tcPr>
            <w:tcW w:w="1218" w:type="dxa"/>
          </w:tcPr>
          <w:p w14:paraId="2EDCABD8"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5.8mg/dL</w:t>
            </w:r>
          </w:p>
        </w:tc>
        <w:tc>
          <w:tcPr>
            <w:tcW w:w="1218" w:type="dxa"/>
          </w:tcPr>
          <w:p w14:paraId="62B9592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7.1mg/dL</w:t>
            </w:r>
          </w:p>
        </w:tc>
        <w:tc>
          <w:tcPr>
            <w:tcW w:w="1218" w:type="dxa"/>
          </w:tcPr>
          <w:p w14:paraId="7B9F2022"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7.1mg/dL</w:t>
            </w:r>
          </w:p>
        </w:tc>
        <w:tc>
          <w:tcPr>
            <w:tcW w:w="1218" w:type="dxa"/>
          </w:tcPr>
          <w:p w14:paraId="22A0C42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2.6mg/dL</w:t>
            </w:r>
          </w:p>
        </w:tc>
      </w:tr>
      <w:tr w:rsidR="00050B5E" w:rsidRPr="007800E6" w14:paraId="29FB9E34" w14:textId="77777777" w:rsidTr="00293200">
        <w:tc>
          <w:tcPr>
            <w:tcW w:w="1696" w:type="dxa"/>
          </w:tcPr>
          <w:p w14:paraId="6AE02728"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Direct Bilirubin</w:t>
            </w:r>
          </w:p>
        </w:tc>
        <w:tc>
          <w:tcPr>
            <w:tcW w:w="1230" w:type="dxa"/>
          </w:tcPr>
          <w:p w14:paraId="344B299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0-0.2 mg/dL</w:t>
            </w:r>
          </w:p>
        </w:tc>
        <w:tc>
          <w:tcPr>
            <w:tcW w:w="1218" w:type="dxa"/>
          </w:tcPr>
          <w:p w14:paraId="4287234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0.4 mg/dL</w:t>
            </w:r>
          </w:p>
        </w:tc>
        <w:tc>
          <w:tcPr>
            <w:tcW w:w="1218" w:type="dxa"/>
          </w:tcPr>
          <w:p w14:paraId="55622992"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4.6mg/dL </w:t>
            </w:r>
          </w:p>
        </w:tc>
        <w:tc>
          <w:tcPr>
            <w:tcW w:w="1218" w:type="dxa"/>
          </w:tcPr>
          <w:p w14:paraId="31E1B5C2"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5.4mg/dL</w:t>
            </w:r>
          </w:p>
        </w:tc>
        <w:tc>
          <w:tcPr>
            <w:tcW w:w="1218" w:type="dxa"/>
          </w:tcPr>
          <w:p w14:paraId="3B06A6A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3.4mg/dL</w:t>
            </w:r>
          </w:p>
        </w:tc>
        <w:tc>
          <w:tcPr>
            <w:tcW w:w="1218" w:type="dxa"/>
          </w:tcPr>
          <w:p w14:paraId="0933F99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2.1mg/dL</w:t>
            </w:r>
          </w:p>
        </w:tc>
      </w:tr>
      <w:tr w:rsidR="00050B5E" w:rsidRPr="007800E6" w14:paraId="17225284" w14:textId="77777777" w:rsidTr="00293200">
        <w:tc>
          <w:tcPr>
            <w:tcW w:w="1696" w:type="dxa"/>
          </w:tcPr>
          <w:p w14:paraId="34F10423"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Total protein</w:t>
            </w:r>
          </w:p>
        </w:tc>
        <w:tc>
          <w:tcPr>
            <w:tcW w:w="1230" w:type="dxa"/>
          </w:tcPr>
          <w:p w14:paraId="1D3884F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6-8g/dL</w:t>
            </w:r>
          </w:p>
        </w:tc>
        <w:tc>
          <w:tcPr>
            <w:tcW w:w="1218" w:type="dxa"/>
          </w:tcPr>
          <w:p w14:paraId="1C52A252"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6.8g/dL</w:t>
            </w:r>
          </w:p>
        </w:tc>
        <w:tc>
          <w:tcPr>
            <w:tcW w:w="1218" w:type="dxa"/>
          </w:tcPr>
          <w:p w14:paraId="2929F76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5.3g/dL</w:t>
            </w:r>
          </w:p>
        </w:tc>
        <w:tc>
          <w:tcPr>
            <w:tcW w:w="1218" w:type="dxa"/>
          </w:tcPr>
          <w:p w14:paraId="4A0545E5"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5.8g/dL</w:t>
            </w:r>
          </w:p>
        </w:tc>
        <w:tc>
          <w:tcPr>
            <w:tcW w:w="1218" w:type="dxa"/>
          </w:tcPr>
          <w:p w14:paraId="4757385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5.2g/dL</w:t>
            </w:r>
          </w:p>
        </w:tc>
        <w:tc>
          <w:tcPr>
            <w:tcW w:w="1218" w:type="dxa"/>
          </w:tcPr>
          <w:p w14:paraId="7819F6E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5.7g/dL</w:t>
            </w:r>
          </w:p>
        </w:tc>
      </w:tr>
      <w:tr w:rsidR="00050B5E" w:rsidRPr="007800E6" w14:paraId="533FA064" w14:textId="77777777" w:rsidTr="00293200">
        <w:tc>
          <w:tcPr>
            <w:tcW w:w="1696" w:type="dxa"/>
          </w:tcPr>
          <w:p w14:paraId="1AC44DD3"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S Albumin</w:t>
            </w:r>
          </w:p>
        </w:tc>
        <w:tc>
          <w:tcPr>
            <w:tcW w:w="1230" w:type="dxa"/>
          </w:tcPr>
          <w:p w14:paraId="77EA5025"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3.5-5g/dL</w:t>
            </w:r>
          </w:p>
        </w:tc>
        <w:tc>
          <w:tcPr>
            <w:tcW w:w="1218" w:type="dxa"/>
          </w:tcPr>
          <w:p w14:paraId="731199F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3.6g/dL</w:t>
            </w:r>
          </w:p>
        </w:tc>
        <w:tc>
          <w:tcPr>
            <w:tcW w:w="1218" w:type="dxa"/>
          </w:tcPr>
          <w:p w14:paraId="054D9D8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2.9g/dL</w:t>
            </w:r>
          </w:p>
        </w:tc>
        <w:tc>
          <w:tcPr>
            <w:tcW w:w="1218" w:type="dxa"/>
          </w:tcPr>
          <w:p w14:paraId="0DA158C7"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2.5g/dL</w:t>
            </w:r>
          </w:p>
        </w:tc>
        <w:tc>
          <w:tcPr>
            <w:tcW w:w="1218" w:type="dxa"/>
          </w:tcPr>
          <w:p w14:paraId="01D7932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2.7g/dL</w:t>
            </w:r>
          </w:p>
        </w:tc>
        <w:tc>
          <w:tcPr>
            <w:tcW w:w="1218" w:type="dxa"/>
          </w:tcPr>
          <w:p w14:paraId="4633FB6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2.9g/dL</w:t>
            </w:r>
          </w:p>
        </w:tc>
      </w:tr>
      <w:tr w:rsidR="00050B5E" w:rsidRPr="007800E6" w14:paraId="525935BA" w14:textId="77777777" w:rsidTr="00293200">
        <w:tc>
          <w:tcPr>
            <w:tcW w:w="1696" w:type="dxa"/>
          </w:tcPr>
          <w:p w14:paraId="4AF8F93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S Globulin </w:t>
            </w:r>
          </w:p>
        </w:tc>
        <w:tc>
          <w:tcPr>
            <w:tcW w:w="1230" w:type="dxa"/>
          </w:tcPr>
          <w:p w14:paraId="4C7E7BF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2.5-3.5g/dL</w:t>
            </w:r>
          </w:p>
        </w:tc>
        <w:tc>
          <w:tcPr>
            <w:tcW w:w="1218" w:type="dxa"/>
          </w:tcPr>
          <w:p w14:paraId="2B678928"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3.2g/dL</w:t>
            </w:r>
          </w:p>
        </w:tc>
        <w:tc>
          <w:tcPr>
            <w:tcW w:w="1218" w:type="dxa"/>
          </w:tcPr>
          <w:p w14:paraId="3E057AC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2.4g/dL</w:t>
            </w:r>
          </w:p>
        </w:tc>
        <w:tc>
          <w:tcPr>
            <w:tcW w:w="1218" w:type="dxa"/>
          </w:tcPr>
          <w:p w14:paraId="734312E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3.3g/dL</w:t>
            </w:r>
          </w:p>
        </w:tc>
        <w:tc>
          <w:tcPr>
            <w:tcW w:w="1218" w:type="dxa"/>
          </w:tcPr>
          <w:p w14:paraId="6F3A25F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2.5g/dL</w:t>
            </w:r>
          </w:p>
        </w:tc>
        <w:tc>
          <w:tcPr>
            <w:tcW w:w="1218" w:type="dxa"/>
          </w:tcPr>
          <w:p w14:paraId="24CFC8D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2.8g/dL</w:t>
            </w:r>
          </w:p>
        </w:tc>
      </w:tr>
      <w:tr w:rsidR="00050B5E" w:rsidRPr="007800E6" w14:paraId="3F58CFA3" w14:textId="77777777" w:rsidTr="00293200">
        <w:tc>
          <w:tcPr>
            <w:tcW w:w="1696" w:type="dxa"/>
          </w:tcPr>
          <w:p w14:paraId="436EF4F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Alanine transaminase (ALT)</w:t>
            </w:r>
          </w:p>
        </w:tc>
        <w:tc>
          <w:tcPr>
            <w:tcW w:w="1230" w:type="dxa"/>
          </w:tcPr>
          <w:p w14:paraId="12B78943"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0–33 U/L</w:t>
            </w:r>
          </w:p>
        </w:tc>
        <w:tc>
          <w:tcPr>
            <w:tcW w:w="1218" w:type="dxa"/>
          </w:tcPr>
          <w:p w14:paraId="26197C4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325 U/L</w:t>
            </w:r>
          </w:p>
        </w:tc>
        <w:tc>
          <w:tcPr>
            <w:tcW w:w="1218" w:type="dxa"/>
          </w:tcPr>
          <w:p w14:paraId="3AC248D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326U/L</w:t>
            </w:r>
          </w:p>
        </w:tc>
        <w:tc>
          <w:tcPr>
            <w:tcW w:w="1218" w:type="dxa"/>
          </w:tcPr>
          <w:p w14:paraId="4A71937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271 U/L</w:t>
            </w:r>
          </w:p>
        </w:tc>
        <w:tc>
          <w:tcPr>
            <w:tcW w:w="1218" w:type="dxa"/>
          </w:tcPr>
          <w:p w14:paraId="0233D00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235U/L</w:t>
            </w:r>
          </w:p>
        </w:tc>
        <w:tc>
          <w:tcPr>
            <w:tcW w:w="1218" w:type="dxa"/>
          </w:tcPr>
          <w:p w14:paraId="18C1013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135U/L</w:t>
            </w:r>
          </w:p>
        </w:tc>
      </w:tr>
      <w:tr w:rsidR="00050B5E" w:rsidRPr="007800E6" w14:paraId="3C2228BF" w14:textId="77777777" w:rsidTr="00293200">
        <w:tc>
          <w:tcPr>
            <w:tcW w:w="1696" w:type="dxa"/>
          </w:tcPr>
          <w:p w14:paraId="4D226838"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Aspartate transaminase (AST)</w:t>
            </w:r>
          </w:p>
        </w:tc>
        <w:tc>
          <w:tcPr>
            <w:tcW w:w="1230" w:type="dxa"/>
          </w:tcPr>
          <w:p w14:paraId="3C051B8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5–40 U/L</w:t>
            </w:r>
          </w:p>
        </w:tc>
        <w:tc>
          <w:tcPr>
            <w:tcW w:w="1218" w:type="dxa"/>
          </w:tcPr>
          <w:p w14:paraId="2AFE45E4"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493 U/L</w:t>
            </w:r>
          </w:p>
        </w:tc>
        <w:tc>
          <w:tcPr>
            <w:tcW w:w="1218" w:type="dxa"/>
          </w:tcPr>
          <w:p w14:paraId="77CBFD9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236 U/L</w:t>
            </w:r>
          </w:p>
        </w:tc>
        <w:tc>
          <w:tcPr>
            <w:tcW w:w="1218" w:type="dxa"/>
          </w:tcPr>
          <w:p w14:paraId="67CD5C4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167 U/L</w:t>
            </w:r>
          </w:p>
        </w:tc>
        <w:tc>
          <w:tcPr>
            <w:tcW w:w="1218" w:type="dxa"/>
          </w:tcPr>
          <w:p w14:paraId="4C5B084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141U/L</w:t>
            </w:r>
          </w:p>
        </w:tc>
        <w:tc>
          <w:tcPr>
            <w:tcW w:w="1218" w:type="dxa"/>
          </w:tcPr>
          <w:p w14:paraId="5B5A8EB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83U/L</w:t>
            </w:r>
          </w:p>
        </w:tc>
      </w:tr>
      <w:tr w:rsidR="00050B5E" w:rsidRPr="007800E6" w14:paraId="69E3FDA6" w14:textId="77777777" w:rsidTr="00293200">
        <w:tc>
          <w:tcPr>
            <w:tcW w:w="1696" w:type="dxa"/>
          </w:tcPr>
          <w:p w14:paraId="0582038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Alkaline phosphatase (ALP)</w:t>
            </w:r>
          </w:p>
        </w:tc>
        <w:tc>
          <w:tcPr>
            <w:tcW w:w="1230" w:type="dxa"/>
          </w:tcPr>
          <w:p w14:paraId="67CEFBB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35–140 U/L</w:t>
            </w:r>
          </w:p>
        </w:tc>
        <w:tc>
          <w:tcPr>
            <w:tcW w:w="1218" w:type="dxa"/>
          </w:tcPr>
          <w:p w14:paraId="0A9C2807"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144U/L</w:t>
            </w:r>
          </w:p>
        </w:tc>
        <w:tc>
          <w:tcPr>
            <w:tcW w:w="1218" w:type="dxa"/>
          </w:tcPr>
          <w:p w14:paraId="23B84805"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240U/L</w:t>
            </w:r>
          </w:p>
        </w:tc>
        <w:tc>
          <w:tcPr>
            <w:tcW w:w="1218" w:type="dxa"/>
          </w:tcPr>
          <w:p w14:paraId="6FAFB97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319U/L</w:t>
            </w:r>
          </w:p>
        </w:tc>
        <w:tc>
          <w:tcPr>
            <w:tcW w:w="1218" w:type="dxa"/>
          </w:tcPr>
          <w:p w14:paraId="436BC9C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254U/L</w:t>
            </w:r>
          </w:p>
        </w:tc>
        <w:tc>
          <w:tcPr>
            <w:tcW w:w="1218" w:type="dxa"/>
          </w:tcPr>
          <w:p w14:paraId="19298BC7"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220U/L</w:t>
            </w:r>
          </w:p>
        </w:tc>
      </w:tr>
      <w:tr w:rsidR="00050B5E" w:rsidRPr="007800E6" w14:paraId="637BB586" w14:textId="77777777" w:rsidTr="00293200">
        <w:tc>
          <w:tcPr>
            <w:tcW w:w="1696" w:type="dxa"/>
          </w:tcPr>
          <w:p w14:paraId="6A86B78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Gamma-glutamyl transferase (GGT)</w:t>
            </w:r>
          </w:p>
        </w:tc>
        <w:tc>
          <w:tcPr>
            <w:tcW w:w="1230" w:type="dxa"/>
          </w:tcPr>
          <w:p w14:paraId="4D3B70F0"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0–42 U/L</w:t>
            </w:r>
          </w:p>
        </w:tc>
        <w:tc>
          <w:tcPr>
            <w:tcW w:w="1218" w:type="dxa"/>
          </w:tcPr>
          <w:p w14:paraId="7C68782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368U/L</w:t>
            </w:r>
          </w:p>
        </w:tc>
        <w:tc>
          <w:tcPr>
            <w:tcW w:w="1218" w:type="dxa"/>
          </w:tcPr>
          <w:p w14:paraId="4ED78A7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392 U/L</w:t>
            </w:r>
          </w:p>
        </w:tc>
        <w:tc>
          <w:tcPr>
            <w:tcW w:w="1218" w:type="dxa"/>
          </w:tcPr>
          <w:p w14:paraId="3DE8374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596 U/L</w:t>
            </w:r>
          </w:p>
        </w:tc>
        <w:tc>
          <w:tcPr>
            <w:tcW w:w="1218" w:type="dxa"/>
          </w:tcPr>
          <w:p w14:paraId="109D40D0"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719</w:t>
            </w:r>
            <w:r w:rsidRPr="007800E6">
              <w:rPr>
                <w:rFonts w:ascii="Arial" w:hAnsi="Arial" w:cs="Arial"/>
                <w:sz w:val="20"/>
                <w:szCs w:val="20"/>
              </w:rPr>
              <w:t xml:space="preserve"> U/L</w:t>
            </w:r>
          </w:p>
        </w:tc>
        <w:tc>
          <w:tcPr>
            <w:tcW w:w="1218" w:type="dxa"/>
          </w:tcPr>
          <w:p w14:paraId="7BCC30D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439</w:t>
            </w:r>
            <w:r w:rsidRPr="007800E6">
              <w:rPr>
                <w:rFonts w:ascii="Arial" w:hAnsi="Arial" w:cs="Arial"/>
                <w:sz w:val="20"/>
                <w:szCs w:val="20"/>
              </w:rPr>
              <w:t xml:space="preserve"> U/L</w:t>
            </w:r>
          </w:p>
        </w:tc>
      </w:tr>
      <w:tr w:rsidR="00050B5E" w:rsidRPr="007800E6" w14:paraId="523EE5AF" w14:textId="77777777" w:rsidTr="00293200">
        <w:tc>
          <w:tcPr>
            <w:tcW w:w="1696" w:type="dxa"/>
          </w:tcPr>
          <w:p w14:paraId="1BEFBFB5"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Other Relevant Tests</w:t>
            </w:r>
          </w:p>
        </w:tc>
        <w:tc>
          <w:tcPr>
            <w:tcW w:w="7320" w:type="dxa"/>
            <w:gridSpan w:val="6"/>
          </w:tcPr>
          <w:p w14:paraId="579A370E" w14:textId="77777777" w:rsidR="00050B5E" w:rsidRPr="007800E6" w:rsidRDefault="00050B5E" w:rsidP="0077186B">
            <w:pPr>
              <w:rPr>
                <w:rFonts w:ascii="Arial" w:hAnsi="Arial" w:cs="Arial"/>
                <w:sz w:val="20"/>
                <w:szCs w:val="20"/>
              </w:rPr>
            </w:pPr>
          </w:p>
        </w:tc>
      </w:tr>
      <w:tr w:rsidR="00050B5E" w:rsidRPr="007800E6" w14:paraId="007D85B6" w14:textId="77777777" w:rsidTr="00293200">
        <w:tc>
          <w:tcPr>
            <w:tcW w:w="1696" w:type="dxa"/>
          </w:tcPr>
          <w:p w14:paraId="51FE3CF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lastRenderedPageBreak/>
              <w:t>ANA, SMA, LKM Antibodies</w:t>
            </w:r>
          </w:p>
        </w:tc>
        <w:tc>
          <w:tcPr>
            <w:tcW w:w="1230" w:type="dxa"/>
          </w:tcPr>
          <w:p w14:paraId="2176D4F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Negative</w:t>
            </w:r>
          </w:p>
        </w:tc>
        <w:tc>
          <w:tcPr>
            <w:tcW w:w="6090" w:type="dxa"/>
            <w:gridSpan w:val="5"/>
          </w:tcPr>
          <w:p w14:paraId="66D592EC" w14:textId="77777777" w:rsidR="00050B5E" w:rsidRPr="007800E6" w:rsidRDefault="00050B5E" w:rsidP="0077186B">
            <w:pPr>
              <w:spacing w:after="160"/>
              <w:jc w:val="both"/>
              <w:rPr>
                <w:rFonts w:ascii="Arial" w:hAnsi="Arial" w:cs="Arial"/>
                <w:sz w:val="20"/>
                <w:szCs w:val="20"/>
                <w:lang w:val="en-IN"/>
              </w:rPr>
            </w:pPr>
            <w:r w:rsidRPr="007800E6">
              <w:rPr>
                <w:rFonts w:ascii="Arial" w:hAnsi="Arial" w:cs="Arial"/>
                <w:sz w:val="20"/>
                <w:szCs w:val="20"/>
                <w:lang w:val="en-IN"/>
              </w:rPr>
              <w:t xml:space="preserve">Negative </w:t>
            </w:r>
          </w:p>
          <w:p w14:paraId="2A725D99" w14:textId="77777777" w:rsidR="00050B5E" w:rsidRPr="007800E6" w:rsidRDefault="00050B5E" w:rsidP="0077186B">
            <w:pPr>
              <w:rPr>
                <w:rFonts w:ascii="Arial" w:hAnsi="Arial" w:cs="Arial"/>
                <w:sz w:val="20"/>
                <w:szCs w:val="20"/>
              </w:rPr>
            </w:pPr>
          </w:p>
        </w:tc>
      </w:tr>
      <w:tr w:rsidR="00050B5E" w:rsidRPr="007800E6" w14:paraId="3D522951" w14:textId="77777777" w:rsidTr="00293200">
        <w:tc>
          <w:tcPr>
            <w:tcW w:w="1696" w:type="dxa"/>
          </w:tcPr>
          <w:p w14:paraId="6A7F436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Hepatitis B/C Panel</w:t>
            </w:r>
          </w:p>
        </w:tc>
        <w:tc>
          <w:tcPr>
            <w:tcW w:w="1230" w:type="dxa"/>
          </w:tcPr>
          <w:p w14:paraId="2F49874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Negative</w:t>
            </w:r>
          </w:p>
        </w:tc>
        <w:tc>
          <w:tcPr>
            <w:tcW w:w="6090" w:type="dxa"/>
            <w:gridSpan w:val="5"/>
          </w:tcPr>
          <w:p w14:paraId="32D8AC2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Negative</w:t>
            </w:r>
          </w:p>
        </w:tc>
      </w:tr>
      <w:tr w:rsidR="00050B5E" w:rsidRPr="007800E6" w14:paraId="21A357F2" w14:textId="77777777" w:rsidTr="00293200">
        <w:tc>
          <w:tcPr>
            <w:tcW w:w="1696" w:type="dxa"/>
          </w:tcPr>
          <w:p w14:paraId="1407E2A4"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Skin Biopsy</w:t>
            </w:r>
          </w:p>
        </w:tc>
        <w:tc>
          <w:tcPr>
            <w:tcW w:w="1230" w:type="dxa"/>
          </w:tcPr>
          <w:p w14:paraId="0D8E7BB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w:t>
            </w:r>
          </w:p>
        </w:tc>
        <w:tc>
          <w:tcPr>
            <w:tcW w:w="6090" w:type="dxa"/>
            <w:gridSpan w:val="5"/>
          </w:tcPr>
          <w:p w14:paraId="2E2D79B8"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Features favour Stevens Johnson Syndrome/toxic epidermal necrolysis.</w:t>
            </w:r>
          </w:p>
        </w:tc>
      </w:tr>
      <w:tr w:rsidR="00050B5E" w:rsidRPr="007800E6" w14:paraId="0D5DEE2F" w14:textId="77777777" w:rsidTr="00293200">
        <w:tc>
          <w:tcPr>
            <w:tcW w:w="1696" w:type="dxa"/>
          </w:tcPr>
          <w:p w14:paraId="12719910"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Liver Biopsy</w:t>
            </w:r>
          </w:p>
        </w:tc>
        <w:tc>
          <w:tcPr>
            <w:tcW w:w="1230" w:type="dxa"/>
          </w:tcPr>
          <w:p w14:paraId="2B09AC7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w:t>
            </w:r>
          </w:p>
        </w:tc>
        <w:tc>
          <w:tcPr>
            <w:tcW w:w="6090" w:type="dxa"/>
            <w:gridSpan w:val="5"/>
          </w:tcPr>
          <w:p w14:paraId="2D2B21A9"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sz w:val="20"/>
                <w:szCs w:val="20"/>
                <w:lang w:val="en-IN"/>
              </w:rPr>
              <w:t xml:space="preserve">Drug-induced liver injury: </w:t>
            </w:r>
            <w:r w:rsidRPr="007800E6">
              <w:rPr>
                <w:rFonts w:ascii="Arial" w:hAnsi="Arial" w:cs="Arial"/>
                <w:b/>
                <w:bCs/>
                <w:sz w:val="20"/>
                <w:szCs w:val="20"/>
                <w:lang w:val="en-IN"/>
              </w:rPr>
              <w:t xml:space="preserve">cholestasis, steatosis, </w:t>
            </w:r>
          </w:p>
          <w:p w14:paraId="6AB71999"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ballooning, feathery degeneration, canalicular and hepatocellular cholestasis with no fibrosis.</w:t>
            </w:r>
          </w:p>
        </w:tc>
      </w:tr>
    </w:tbl>
    <w:p w14:paraId="67872E41" w14:textId="77777777" w:rsidR="00050B5E" w:rsidRPr="007800E6" w:rsidRDefault="00050B5E" w:rsidP="0077186B">
      <w:pPr>
        <w:spacing w:line="240" w:lineRule="auto"/>
        <w:rPr>
          <w:rFonts w:ascii="Arial" w:hAnsi="Arial" w:cs="Arial"/>
          <w:sz w:val="20"/>
          <w:szCs w:val="20"/>
        </w:rPr>
      </w:pPr>
    </w:p>
    <w:p w14:paraId="74C471BC" w14:textId="77777777" w:rsidR="003A4D0C" w:rsidRPr="007800E6" w:rsidRDefault="003A4D0C" w:rsidP="0077186B">
      <w:pPr>
        <w:spacing w:line="240" w:lineRule="auto"/>
        <w:jc w:val="both"/>
        <w:rPr>
          <w:rFonts w:ascii="Arial" w:hAnsi="Arial" w:cs="Arial"/>
          <w:sz w:val="20"/>
          <w:szCs w:val="20"/>
        </w:rPr>
      </w:pPr>
    </w:p>
    <w:sectPr w:rsidR="003A4D0C" w:rsidRPr="007800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959C6" w14:textId="77777777" w:rsidR="007C19E1" w:rsidRDefault="007C19E1" w:rsidP="00900107">
      <w:pPr>
        <w:spacing w:after="0" w:line="240" w:lineRule="auto"/>
      </w:pPr>
      <w:r>
        <w:separator/>
      </w:r>
    </w:p>
  </w:endnote>
  <w:endnote w:type="continuationSeparator" w:id="0">
    <w:p w14:paraId="168C386E" w14:textId="77777777" w:rsidR="007C19E1" w:rsidRDefault="007C19E1" w:rsidP="0090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5301" w14:textId="77777777" w:rsidR="00B61B38" w:rsidRDefault="00B61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796040"/>
      <w:docPartObj>
        <w:docPartGallery w:val="Page Numbers (Bottom of Page)"/>
        <w:docPartUnique/>
      </w:docPartObj>
    </w:sdtPr>
    <w:sdtEndPr>
      <w:rPr>
        <w:noProof/>
      </w:rPr>
    </w:sdtEndPr>
    <w:sdtContent>
      <w:p w14:paraId="76073FE9" w14:textId="057DEBD3" w:rsidR="00900107" w:rsidRDefault="00900107">
        <w:pPr>
          <w:pStyle w:val="Footer"/>
          <w:jc w:val="center"/>
        </w:pPr>
        <w:r>
          <w:fldChar w:fldCharType="begin"/>
        </w:r>
        <w:r>
          <w:instrText xml:space="preserve"> PAGE   \* MERGEFORMAT </w:instrText>
        </w:r>
        <w:r>
          <w:fldChar w:fldCharType="separate"/>
        </w:r>
        <w:r w:rsidR="009B581D">
          <w:rPr>
            <w:noProof/>
          </w:rPr>
          <w:t>1</w:t>
        </w:r>
        <w:r>
          <w:rPr>
            <w:noProof/>
          </w:rPr>
          <w:fldChar w:fldCharType="end"/>
        </w:r>
      </w:p>
    </w:sdtContent>
  </w:sdt>
  <w:p w14:paraId="4697A665" w14:textId="77777777" w:rsidR="00900107" w:rsidRDefault="00900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9A14" w14:textId="77777777" w:rsidR="00B61B38" w:rsidRDefault="00B61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0AC17" w14:textId="77777777" w:rsidR="007C19E1" w:rsidRDefault="007C19E1" w:rsidP="00900107">
      <w:pPr>
        <w:spacing w:after="0" w:line="240" w:lineRule="auto"/>
      </w:pPr>
      <w:r>
        <w:separator/>
      </w:r>
    </w:p>
  </w:footnote>
  <w:footnote w:type="continuationSeparator" w:id="0">
    <w:p w14:paraId="47B95D57" w14:textId="77777777" w:rsidR="007C19E1" w:rsidRDefault="007C19E1" w:rsidP="00900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BBC5" w14:textId="143ECE6A" w:rsidR="00B61B38" w:rsidRDefault="00B61B38">
    <w:pPr>
      <w:pStyle w:val="Header"/>
    </w:pPr>
    <w:r>
      <w:rPr>
        <w:noProof/>
      </w:rPr>
      <w:pict w14:anchorId="32BCE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632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080E" w14:textId="01CF2485" w:rsidR="00B61B38" w:rsidRDefault="00B61B38">
    <w:pPr>
      <w:pStyle w:val="Header"/>
    </w:pPr>
    <w:r>
      <w:rPr>
        <w:noProof/>
      </w:rPr>
      <w:pict w14:anchorId="361FE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632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7D08" w14:textId="18935E16" w:rsidR="00B61B38" w:rsidRDefault="00B61B38">
    <w:pPr>
      <w:pStyle w:val="Header"/>
    </w:pPr>
    <w:r>
      <w:rPr>
        <w:noProof/>
      </w:rPr>
      <w:pict w14:anchorId="488E5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632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17528"/>
    <w:multiLevelType w:val="hybridMultilevel"/>
    <w:tmpl w:val="87B6EC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4D05B0B"/>
    <w:multiLevelType w:val="multilevel"/>
    <w:tmpl w:val="DBA0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65493"/>
    <w:multiLevelType w:val="multilevel"/>
    <w:tmpl w:val="C172D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AB"/>
    <w:rsid w:val="000333ED"/>
    <w:rsid w:val="00047D3F"/>
    <w:rsid w:val="00050B5E"/>
    <w:rsid w:val="00053F0D"/>
    <w:rsid w:val="000B7A65"/>
    <w:rsid w:val="000C509C"/>
    <w:rsid w:val="000D5306"/>
    <w:rsid w:val="00110159"/>
    <w:rsid w:val="00141753"/>
    <w:rsid w:val="001725F9"/>
    <w:rsid w:val="001761E8"/>
    <w:rsid w:val="0019294A"/>
    <w:rsid w:val="001B719B"/>
    <w:rsid w:val="001E08B9"/>
    <w:rsid w:val="0021437B"/>
    <w:rsid w:val="00266DBC"/>
    <w:rsid w:val="00275912"/>
    <w:rsid w:val="00293B4E"/>
    <w:rsid w:val="002C7D3D"/>
    <w:rsid w:val="002E2EE9"/>
    <w:rsid w:val="002F5795"/>
    <w:rsid w:val="00312A14"/>
    <w:rsid w:val="00346F33"/>
    <w:rsid w:val="00360495"/>
    <w:rsid w:val="003669C7"/>
    <w:rsid w:val="003A4D0C"/>
    <w:rsid w:val="003A60F3"/>
    <w:rsid w:val="003C10A4"/>
    <w:rsid w:val="003D38CF"/>
    <w:rsid w:val="003E00AB"/>
    <w:rsid w:val="004371EF"/>
    <w:rsid w:val="00457AEC"/>
    <w:rsid w:val="00473A56"/>
    <w:rsid w:val="004A0CEC"/>
    <w:rsid w:val="004A7838"/>
    <w:rsid w:val="004B60EC"/>
    <w:rsid w:val="005007CF"/>
    <w:rsid w:val="00510460"/>
    <w:rsid w:val="00543A38"/>
    <w:rsid w:val="00550673"/>
    <w:rsid w:val="005D0BCF"/>
    <w:rsid w:val="005F390A"/>
    <w:rsid w:val="005F5841"/>
    <w:rsid w:val="005F7C49"/>
    <w:rsid w:val="00606D93"/>
    <w:rsid w:val="006115B5"/>
    <w:rsid w:val="00627128"/>
    <w:rsid w:val="0064612D"/>
    <w:rsid w:val="00651DFC"/>
    <w:rsid w:val="0065222E"/>
    <w:rsid w:val="00686DBA"/>
    <w:rsid w:val="006E3E35"/>
    <w:rsid w:val="00731906"/>
    <w:rsid w:val="007404AB"/>
    <w:rsid w:val="00761731"/>
    <w:rsid w:val="0077186B"/>
    <w:rsid w:val="00771C50"/>
    <w:rsid w:val="00773AED"/>
    <w:rsid w:val="007800E6"/>
    <w:rsid w:val="00795CC7"/>
    <w:rsid w:val="007A4A1B"/>
    <w:rsid w:val="007C19E1"/>
    <w:rsid w:val="007D5479"/>
    <w:rsid w:val="007E66AC"/>
    <w:rsid w:val="007F15E2"/>
    <w:rsid w:val="007F4F7C"/>
    <w:rsid w:val="00820C87"/>
    <w:rsid w:val="008276C9"/>
    <w:rsid w:val="00837432"/>
    <w:rsid w:val="00853D81"/>
    <w:rsid w:val="00857F4E"/>
    <w:rsid w:val="008A59E9"/>
    <w:rsid w:val="008B4211"/>
    <w:rsid w:val="008B7E35"/>
    <w:rsid w:val="008E538E"/>
    <w:rsid w:val="00900107"/>
    <w:rsid w:val="009630A2"/>
    <w:rsid w:val="00966203"/>
    <w:rsid w:val="00970770"/>
    <w:rsid w:val="009B4D5D"/>
    <w:rsid w:val="009B581D"/>
    <w:rsid w:val="009E3CDE"/>
    <w:rsid w:val="009E58D4"/>
    <w:rsid w:val="00A31B34"/>
    <w:rsid w:val="00A42874"/>
    <w:rsid w:val="00A42C03"/>
    <w:rsid w:val="00A80266"/>
    <w:rsid w:val="00A90574"/>
    <w:rsid w:val="00AA628B"/>
    <w:rsid w:val="00AB0B04"/>
    <w:rsid w:val="00AE4614"/>
    <w:rsid w:val="00B115B2"/>
    <w:rsid w:val="00B20E58"/>
    <w:rsid w:val="00B567C7"/>
    <w:rsid w:val="00B61B38"/>
    <w:rsid w:val="00B81203"/>
    <w:rsid w:val="00B9502E"/>
    <w:rsid w:val="00BD13BF"/>
    <w:rsid w:val="00BD7253"/>
    <w:rsid w:val="00C4029A"/>
    <w:rsid w:val="00C6413E"/>
    <w:rsid w:val="00CB2CE8"/>
    <w:rsid w:val="00CB59BC"/>
    <w:rsid w:val="00CC38A0"/>
    <w:rsid w:val="00CC72A0"/>
    <w:rsid w:val="00CE7D90"/>
    <w:rsid w:val="00CF36E0"/>
    <w:rsid w:val="00D00E7E"/>
    <w:rsid w:val="00D2599F"/>
    <w:rsid w:val="00D33808"/>
    <w:rsid w:val="00D47EE0"/>
    <w:rsid w:val="00D52017"/>
    <w:rsid w:val="00D67577"/>
    <w:rsid w:val="00D95C9C"/>
    <w:rsid w:val="00DC22A8"/>
    <w:rsid w:val="00DD73F9"/>
    <w:rsid w:val="00DE18DF"/>
    <w:rsid w:val="00DF5EFA"/>
    <w:rsid w:val="00E310A8"/>
    <w:rsid w:val="00E73FE5"/>
    <w:rsid w:val="00EE429A"/>
    <w:rsid w:val="00F57658"/>
    <w:rsid w:val="00F672E1"/>
    <w:rsid w:val="00F83AE5"/>
    <w:rsid w:val="00FC3674"/>
    <w:rsid w:val="00FD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010655"/>
  <w15:chartTrackingRefBased/>
  <w15:docId w15:val="{2EA4E55B-5BC8-45BF-81F1-0CE7EE85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D0C"/>
    <w:pPr>
      <w:ind w:left="720"/>
      <w:contextualSpacing/>
    </w:pPr>
  </w:style>
  <w:style w:type="character" w:styleId="Hyperlink">
    <w:name w:val="Hyperlink"/>
    <w:basedOn w:val="DefaultParagraphFont"/>
    <w:uiPriority w:val="99"/>
    <w:unhideWhenUsed/>
    <w:rsid w:val="003A4D0C"/>
    <w:rPr>
      <w:color w:val="0563C1" w:themeColor="hyperlink"/>
      <w:u w:val="single"/>
    </w:rPr>
  </w:style>
  <w:style w:type="character" w:customStyle="1" w:styleId="UnresolvedMention1">
    <w:name w:val="Unresolved Mention1"/>
    <w:basedOn w:val="DefaultParagraphFont"/>
    <w:uiPriority w:val="99"/>
    <w:semiHidden/>
    <w:unhideWhenUsed/>
    <w:rsid w:val="003A4D0C"/>
    <w:rPr>
      <w:color w:val="605E5C"/>
      <w:shd w:val="clear" w:color="auto" w:fill="E1DFDD"/>
    </w:rPr>
  </w:style>
  <w:style w:type="paragraph" w:customStyle="1" w:styleId="s13">
    <w:name w:val="s13"/>
    <w:basedOn w:val="Normal"/>
    <w:rsid w:val="007D5479"/>
    <w:pPr>
      <w:spacing w:before="100" w:beforeAutospacing="1" w:after="100" w:afterAutospacing="1" w:line="240" w:lineRule="auto"/>
    </w:pPr>
    <w:rPr>
      <w:rFonts w:ascii="Times New Roman" w:eastAsiaTheme="minorEastAsia" w:hAnsi="Times New Roman" w:cs="Times New Roman"/>
      <w:sz w:val="24"/>
      <w:szCs w:val="24"/>
      <w:lang w:val="en-IN" w:eastAsia="en-GB"/>
    </w:rPr>
  </w:style>
  <w:style w:type="character" w:customStyle="1" w:styleId="bumpedfont15">
    <w:name w:val="bumpedfont15"/>
    <w:basedOn w:val="DefaultParagraphFont"/>
    <w:rsid w:val="007D5479"/>
  </w:style>
  <w:style w:type="character" w:customStyle="1" w:styleId="apple-converted-space">
    <w:name w:val="apple-converted-space"/>
    <w:basedOn w:val="DefaultParagraphFont"/>
    <w:rsid w:val="007D5479"/>
  </w:style>
  <w:style w:type="paragraph" w:customStyle="1" w:styleId="p1">
    <w:name w:val="p1"/>
    <w:basedOn w:val="Normal"/>
    <w:rsid w:val="00795CC7"/>
    <w:pPr>
      <w:spacing w:after="0" w:line="240" w:lineRule="auto"/>
    </w:pPr>
    <w:rPr>
      <w:rFonts w:ascii=".AppleSystemUIFont" w:eastAsiaTheme="minorEastAsia" w:hAnsi=".AppleSystemUIFont" w:cs="Times New Roman"/>
      <w:sz w:val="26"/>
      <w:szCs w:val="26"/>
      <w:lang w:val="en-IN" w:eastAsia="en-GB"/>
    </w:rPr>
  </w:style>
  <w:style w:type="character" w:customStyle="1" w:styleId="s1">
    <w:name w:val="s1"/>
    <w:basedOn w:val="DefaultParagraphFont"/>
    <w:rsid w:val="00795CC7"/>
    <w:rPr>
      <w:rFonts w:ascii="UICTFontTextStyleBody" w:hAnsi="UICTFontTextStyleBody" w:hint="default"/>
      <w:b w:val="0"/>
      <w:bCs w:val="0"/>
      <w:i w:val="0"/>
      <w:iCs w:val="0"/>
      <w:sz w:val="26"/>
      <w:szCs w:val="26"/>
    </w:rPr>
  </w:style>
  <w:style w:type="paragraph" w:styleId="Header">
    <w:name w:val="header"/>
    <w:basedOn w:val="Normal"/>
    <w:link w:val="HeaderChar"/>
    <w:uiPriority w:val="99"/>
    <w:unhideWhenUsed/>
    <w:rsid w:val="00900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107"/>
  </w:style>
  <w:style w:type="paragraph" w:styleId="Footer">
    <w:name w:val="footer"/>
    <w:basedOn w:val="Normal"/>
    <w:link w:val="FooterChar"/>
    <w:uiPriority w:val="99"/>
    <w:unhideWhenUsed/>
    <w:rsid w:val="00900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107"/>
  </w:style>
  <w:style w:type="table" w:styleId="TableGrid">
    <w:name w:val="Table Grid"/>
    <w:basedOn w:val="TableNormal"/>
    <w:uiPriority w:val="39"/>
    <w:rsid w:val="007E6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7942">
      <w:bodyDiv w:val="1"/>
      <w:marLeft w:val="0"/>
      <w:marRight w:val="0"/>
      <w:marTop w:val="0"/>
      <w:marBottom w:val="0"/>
      <w:divBdr>
        <w:top w:val="none" w:sz="0" w:space="0" w:color="auto"/>
        <w:left w:val="none" w:sz="0" w:space="0" w:color="auto"/>
        <w:bottom w:val="none" w:sz="0" w:space="0" w:color="auto"/>
        <w:right w:val="none" w:sz="0" w:space="0" w:color="auto"/>
      </w:divBdr>
    </w:div>
    <w:div w:id="762990371">
      <w:bodyDiv w:val="1"/>
      <w:marLeft w:val="0"/>
      <w:marRight w:val="0"/>
      <w:marTop w:val="0"/>
      <w:marBottom w:val="0"/>
      <w:divBdr>
        <w:top w:val="none" w:sz="0" w:space="0" w:color="auto"/>
        <w:left w:val="none" w:sz="0" w:space="0" w:color="auto"/>
        <w:bottom w:val="none" w:sz="0" w:space="0" w:color="auto"/>
        <w:right w:val="none" w:sz="0" w:space="0" w:color="auto"/>
      </w:divBdr>
    </w:div>
    <w:div w:id="898443889">
      <w:bodyDiv w:val="1"/>
      <w:marLeft w:val="0"/>
      <w:marRight w:val="0"/>
      <w:marTop w:val="0"/>
      <w:marBottom w:val="0"/>
      <w:divBdr>
        <w:top w:val="none" w:sz="0" w:space="0" w:color="auto"/>
        <w:left w:val="none" w:sz="0" w:space="0" w:color="auto"/>
        <w:bottom w:val="none" w:sz="0" w:space="0" w:color="auto"/>
        <w:right w:val="none" w:sz="0" w:space="0" w:color="auto"/>
      </w:divBdr>
    </w:div>
    <w:div w:id="946087062">
      <w:bodyDiv w:val="1"/>
      <w:marLeft w:val="0"/>
      <w:marRight w:val="0"/>
      <w:marTop w:val="0"/>
      <w:marBottom w:val="0"/>
      <w:divBdr>
        <w:top w:val="none" w:sz="0" w:space="0" w:color="auto"/>
        <w:left w:val="none" w:sz="0" w:space="0" w:color="auto"/>
        <w:bottom w:val="none" w:sz="0" w:space="0" w:color="auto"/>
        <w:right w:val="none" w:sz="0" w:space="0" w:color="auto"/>
      </w:divBdr>
    </w:div>
    <w:div w:id="1250458955">
      <w:bodyDiv w:val="1"/>
      <w:marLeft w:val="0"/>
      <w:marRight w:val="0"/>
      <w:marTop w:val="0"/>
      <w:marBottom w:val="0"/>
      <w:divBdr>
        <w:top w:val="none" w:sz="0" w:space="0" w:color="auto"/>
        <w:left w:val="none" w:sz="0" w:space="0" w:color="auto"/>
        <w:bottom w:val="none" w:sz="0" w:space="0" w:color="auto"/>
        <w:right w:val="none" w:sz="0" w:space="0" w:color="auto"/>
      </w:divBdr>
    </w:div>
    <w:div w:id="1707834468">
      <w:bodyDiv w:val="1"/>
      <w:marLeft w:val="0"/>
      <w:marRight w:val="0"/>
      <w:marTop w:val="0"/>
      <w:marBottom w:val="0"/>
      <w:divBdr>
        <w:top w:val="none" w:sz="0" w:space="0" w:color="auto"/>
        <w:left w:val="none" w:sz="0" w:space="0" w:color="auto"/>
        <w:bottom w:val="none" w:sz="0" w:space="0" w:color="auto"/>
        <w:right w:val="none" w:sz="0" w:space="0" w:color="auto"/>
      </w:divBdr>
      <w:divsChild>
        <w:div w:id="1440569028">
          <w:marLeft w:val="0"/>
          <w:marRight w:val="0"/>
          <w:marTop w:val="0"/>
          <w:marBottom w:val="0"/>
          <w:divBdr>
            <w:top w:val="none" w:sz="0" w:space="0" w:color="auto"/>
            <w:left w:val="none" w:sz="0" w:space="0" w:color="auto"/>
            <w:bottom w:val="none" w:sz="0" w:space="0" w:color="auto"/>
            <w:right w:val="none" w:sz="0" w:space="0" w:color="auto"/>
          </w:divBdr>
        </w:div>
      </w:divsChild>
    </w:div>
    <w:div w:id="18354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cbi.nlm.nih.gov/books/NBK54879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7</cp:revision>
  <dcterms:created xsi:type="dcterms:W3CDTF">2025-06-22T13:14:00Z</dcterms:created>
  <dcterms:modified xsi:type="dcterms:W3CDTF">2025-06-23T10:21:00Z</dcterms:modified>
</cp:coreProperties>
</file>