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0215" w14:textId="441A89FB" w:rsidR="00DB6B24" w:rsidRPr="00DB6B24" w:rsidRDefault="00DB6B24" w:rsidP="00DB6B24">
      <w:pPr>
        <w:pStyle w:val="HTMLPreformatted"/>
        <w:rPr>
          <w:rFonts w:ascii="Times New Roman" w:hAnsi="Times New Roman" w:cs="Times New Roman"/>
          <w:b/>
          <w:bCs/>
          <w:sz w:val="28"/>
          <w:szCs w:val="28"/>
          <w:u w:val="single"/>
        </w:rPr>
      </w:pPr>
      <w:r w:rsidRPr="00DB6B24">
        <w:rPr>
          <w:rFonts w:ascii="Times New Roman" w:hAnsi="Times New Roman" w:cs="Times New Roman"/>
          <w:b/>
          <w:bCs/>
          <w:sz w:val="28"/>
          <w:szCs w:val="28"/>
          <w:u w:val="single"/>
        </w:rPr>
        <w:t>Original Research Article</w:t>
      </w:r>
    </w:p>
    <w:p w14:paraId="1B5B7C4E" w14:textId="476CCDFB" w:rsidR="00FE48E4" w:rsidRPr="0066301A" w:rsidRDefault="0066301A" w:rsidP="001D491B">
      <w:pPr>
        <w:pStyle w:val="HTMLPreformatted"/>
        <w:jc w:val="center"/>
        <w:rPr>
          <w:rFonts w:ascii="Times New Roman" w:hAnsi="Times New Roman" w:cs="Times New Roman"/>
          <w:b/>
          <w:bCs/>
          <w:sz w:val="36"/>
          <w:szCs w:val="36"/>
        </w:rPr>
      </w:pPr>
      <w:r w:rsidRPr="0066301A">
        <w:rPr>
          <w:rFonts w:ascii="Times New Roman" w:hAnsi="Times New Roman" w:cs="Times New Roman"/>
          <w:b/>
          <w:bCs/>
          <w:sz w:val="36"/>
          <w:szCs w:val="36"/>
        </w:rPr>
        <w:t>A</w:t>
      </w:r>
      <w:r w:rsidR="002B4EF2">
        <w:rPr>
          <w:rFonts w:ascii="Times New Roman" w:hAnsi="Times New Roman" w:cs="Times New Roman"/>
          <w:b/>
          <w:bCs/>
          <w:sz w:val="36"/>
          <w:szCs w:val="36"/>
        </w:rPr>
        <w:t xml:space="preserve">rtificial </w:t>
      </w:r>
      <w:r w:rsidRPr="0066301A">
        <w:rPr>
          <w:rFonts w:ascii="Times New Roman" w:hAnsi="Times New Roman" w:cs="Times New Roman"/>
          <w:b/>
          <w:bCs/>
          <w:sz w:val="36"/>
          <w:szCs w:val="36"/>
        </w:rPr>
        <w:t>I</w:t>
      </w:r>
      <w:r w:rsidR="002B4EF2">
        <w:rPr>
          <w:rFonts w:ascii="Times New Roman" w:hAnsi="Times New Roman" w:cs="Times New Roman"/>
          <w:b/>
          <w:bCs/>
          <w:sz w:val="36"/>
          <w:szCs w:val="36"/>
        </w:rPr>
        <w:t>ntelligence</w:t>
      </w:r>
      <w:r w:rsidRPr="0066301A">
        <w:rPr>
          <w:rFonts w:ascii="Times New Roman" w:hAnsi="Times New Roman" w:cs="Times New Roman"/>
          <w:b/>
          <w:bCs/>
          <w:sz w:val="36"/>
          <w:szCs w:val="36"/>
        </w:rPr>
        <w:t>-Driven Smart Waste-to-Energy Networks for Climate-Resilient Circular Resource Management in Vulnerable Megacities</w:t>
      </w:r>
    </w:p>
    <w:p w14:paraId="6BD3C413" w14:textId="77777777" w:rsidR="0066301A" w:rsidRPr="00D429DB" w:rsidRDefault="0066301A" w:rsidP="001D491B">
      <w:pPr>
        <w:pStyle w:val="HTMLPreformatted"/>
        <w:jc w:val="center"/>
        <w:rPr>
          <w:rStyle w:val="name"/>
          <w:rFonts w:ascii="Times New Roman" w:hAnsi="Times New Roman" w:cs="Times New Roman"/>
          <w:b/>
          <w:bCs/>
        </w:rPr>
      </w:pPr>
    </w:p>
    <w:p w14:paraId="2DF3330A" w14:textId="152EE9F4" w:rsidR="001D491B" w:rsidRDefault="001D491B" w:rsidP="001D491B">
      <w:pPr>
        <w:jc w:val="center"/>
        <w:rPr>
          <w:rFonts w:ascii="Times New Roman" w:hAnsi="Times New Roman" w:cs="Times New Roman"/>
          <w:sz w:val="20"/>
          <w:szCs w:val="20"/>
        </w:rPr>
      </w:pPr>
    </w:p>
    <w:p w14:paraId="43D1E3B9" w14:textId="77777777" w:rsidR="00EF1066" w:rsidRDefault="00EF1066" w:rsidP="001D491B">
      <w:pPr>
        <w:jc w:val="center"/>
        <w:rPr>
          <w:rFonts w:ascii="Times New Roman" w:hAnsi="Times New Roman" w:cs="Times New Roman"/>
          <w:sz w:val="20"/>
          <w:szCs w:val="20"/>
        </w:rPr>
      </w:pPr>
    </w:p>
    <w:p w14:paraId="65F9E39E" w14:textId="6794792D" w:rsidR="001D491B" w:rsidRPr="009F3C34" w:rsidRDefault="001D491B" w:rsidP="009F3C34">
      <w:pPr>
        <w:spacing w:after="0" w:line="240" w:lineRule="auto"/>
        <w:jc w:val="both"/>
        <w:rPr>
          <w:rFonts w:ascii="Times New Roman" w:hAnsi="Times New Roman" w:cs="Times New Roman"/>
          <w:b/>
          <w:sz w:val="20"/>
          <w:szCs w:val="20"/>
        </w:rPr>
      </w:pPr>
      <w:r w:rsidRPr="009F3C34">
        <w:rPr>
          <w:rFonts w:ascii="Times New Roman" w:hAnsi="Times New Roman" w:cs="Times New Roman"/>
          <w:b/>
          <w:sz w:val="20"/>
          <w:szCs w:val="20"/>
        </w:rPr>
        <w:t>ABSTRACT</w:t>
      </w:r>
    </w:p>
    <w:p w14:paraId="31684774" w14:textId="095EF83E" w:rsidR="00B971DA" w:rsidRPr="00B971DA" w:rsidRDefault="00B971DA" w:rsidP="00B971DA">
      <w:pPr>
        <w:spacing w:after="0" w:line="240" w:lineRule="auto"/>
        <w:jc w:val="both"/>
        <w:rPr>
          <w:rFonts w:ascii="Times New Roman" w:eastAsia="Times New Roman" w:hAnsi="Times New Roman" w:cs="Times New Roman"/>
          <w:sz w:val="20"/>
          <w:szCs w:val="20"/>
        </w:rPr>
      </w:pPr>
      <w:r w:rsidRPr="00B971DA">
        <w:rPr>
          <w:rFonts w:ascii="Times New Roman" w:eastAsia="Times New Roman" w:hAnsi="Times New Roman" w:cs="Times New Roman"/>
          <w:sz w:val="20"/>
          <w:szCs w:val="20"/>
        </w:rPr>
        <w:t xml:space="preserve">Climate-vulnerable megacities like Dhaka, Bangladesh, face escalating challenges in managing mounting volumes of municipal solid waste (MSW), exacerbated by rapid urbanization, climate shocks, and inadequate resource recovery systems. This </w:t>
      </w:r>
      <w:r w:rsidR="00DC0182">
        <w:rPr>
          <w:rFonts w:ascii="Times New Roman" w:eastAsia="Times New Roman" w:hAnsi="Times New Roman" w:cs="Times New Roman"/>
          <w:sz w:val="20"/>
          <w:szCs w:val="20"/>
        </w:rPr>
        <w:t>research</w:t>
      </w:r>
      <w:r w:rsidRPr="00B971DA">
        <w:rPr>
          <w:rFonts w:ascii="Times New Roman" w:eastAsia="Times New Roman" w:hAnsi="Times New Roman" w:cs="Times New Roman"/>
          <w:sz w:val="20"/>
          <w:szCs w:val="20"/>
        </w:rPr>
        <w:t xml:space="preserve"> proposes an advanced AI-driven Smart Waste-to-Energy (AI</w:t>
      </w:r>
      <w:r w:rsidR="00DC0182">
        <w:rPr>
          <w:rFonts w:ascii="Times New Roman" w:eastAsia="Times New Roman" w:hAnsi="Times New Roman" w:cs="Times New Roman"/>
          <w:sz w:val="20"/>
          <w:szCs w:val="20"/>
        </w:rPr>
        <w:t>-</w:t>
      </w:r>
      <w:r w:rsidRPr="00B971DA">
        <w:rPr>
          <w:rFonts w:ascii="Times New Roman" w:eastAsia="Times New Roman" w:hAnsi="Times New Roman" w:cs="Times New Roman"/>
          <w:sz w:val="20"/>
          <w:szCs w:val="20"/>
        </w:rPr>
        <w:t>CIR</w:t>
      </w:r>
      <w:r w:rsidR="00DC0182">
        <w:rPr>
          <w:rFonts w:ascii="Times New Roman" w:eastAsia="Times New Roman" w:hAnsi="Times New Roman" w:cs="Times New Roman"/>
          <w:sz w:val="20"/>
          <w:szCs w:val="20"/>
        </w:rPr>
        <w:t>-</w:t>
      </w:r>
      <w:proofErr w:type="spellStart"/>
      <w:r w:rsidRPr="00B971DA">
        <w:rPr>
          <w:rFonts w:ascii="Times New Roman" w:eastAsia="Times New Roman" w:hAnsi="Times New Roman" w:cs="Times New Roman"/>
          <w:sz w:val="20"/>
          <w:szCs w:val="20"/>
        </w:rPr>
        <w:t>WtE</w:t>
      </w:r>
      <w:proofErr w:type="spellEnd"/>
      <w:r w:rsidRPr="00B971DA">
        <w:rPr>
          <w:rFonts w:ascii="Times New Roman" w:eastAsia="Times New Roman" w:hAnsi="Times New Roman" w:cs="Times New Roman"/>
          <w:sz w:val="20"/>
          <w:szCs w:val="20"/>
        </w:rPr>
        <w:t>) framework designed to transform linear waste systems into adaptive, circular, and climate-resilient urban infrastructure. Integrating artificial intelligence, life cycle modeling, digital twins, and blockchain, the framework offers a comprehensive pathway to optimize waste valorization, emissions reduction, and sustainable energy generation in resource-constrained settings.</w:t>
      </w:r>
      <w:r w:rsidR="00DC0182">
        <w:rPr>
          <w:rFonts w:ascii="Times New Roman" w:eastAsia="Times New Roman" w:hAnsi="Times New Roman" w:cs="Times New Roman"/>
          <w:sz w:val="20"/>
          <w:szCs w:val="20"/>
        </w:rPr>
        <w:t xml:space="preserve"> </w:t>
      </w:r>
      <w:r w:rsidRPr="00B971DA">
        <w:rPr>
          <w:rFonts w:ascii="Times New Roman" w:eastAsia="Times New Roman" w:hAnsi="Times New Roman" w:cs="Times New Roman"/>
          <w:sz w:val="20"/>
          <w:szCs w:val="20"/>
        </w:rPr>
        <w:t>The proposed system leverages Long Short-Term Memory (LSTM) networks for forecasting waste generation by ward and season, coupled with Non-Dominated Sorting Genetic Algorithm II (NSGA-II) for multi-objective optimization of waste routing, energy efficiency, and environmental impact. An AI</w:t>
      </w:r>
      <w:r w:rsidR="00DC0182">
        <w:rPr>
          <w:rFonts w:ascii="Times New Roman" w:eastAsia="Times New Roman" w:hAnsi="Times New Roman" w:cs="Times New Roman"/>
          <w:sz w:val="20"/>
          <w:szCs w:val="20"/>
        </w:rPr>
        <w:t>-</w:t>
      </w:r>
      <w:r w:rsidRPr="00B971DA">
        <w:rPr>
          <w:rFonts w:ascii="Times New Roman" w:eastAsia="Times New Roman" w:hAnsi="Times New Roman" w:cs="Times New Roman"/>
          <w:sz w:val="20"/>
          <w:szCs w:val="20"/>
        </w:rPr>
        <w:t xml:space="preserve">LCA engine, developed using </w:t>
      </w:r>
      <w:proofErr w:type="spellStart"/>
      <w:r w:rsidRPr="00B971DA">
        <w:rPr>
          <w:rFonts w:ascii="Times New Roman" w:eastAsia="Times New Roman" w:hAnsi="Times New Roman" w:cs="Times New Roman"/>
          <w:sz w:val="20"/>
          <w:szCs w:val="20"/>
        </w:rPr>
        <w:t>OpenLCA</w:t>
      </w:r>
      <w:proofErr w:type="spellEnd"/>
      <w:r w:rsidRPr="00B971DA">
        <w:rPr>
          <w:rFonts w:ascii="Times New Roman" w:eastAsia="Times New Roman" w:hAnsi="Times New Roman" w:cs="Times New Roman"/>
          <w:sz w:val="20"/>
          <w:szCs w:val="20"/>
        </w:rPr>
        <w:t xml:space="preserve"> and TensorFlow, dynamically quantifies GHG emissions, carbon offsets, and energy returns under multiple </w:t>
      </w:r>
      <w:proofErr w:type="spellStart"/>
      <w:r w:rsidRPr="00B971DA">
        <w:rPr>
          <w:rFonts w:ascii="Times New Roman" w:eastAsia="Times New Roman" w:hAnsi="Times New Roman" w:cs="Times New Roman"/>
          <w:sz w:val="20"/>
          <w:szCs w:val="20"/>
        </w:rPr>
        <w:t>WtE</w:t>
      </w:r>
      <w:proofErr w:type="spellEnd"/>
      <w:r w:rsidRPr="00B971DA">
        <w:rPr>
          <w:rFonts w:ascii="Times New Roman" w:eastAsia="Times New Roman" w:hAnsi="Times New Roman" w:cs="Times New Roman"/>
          <w:sz w:val="20"/>
          <w:szCs w:val="20"/>
        </w:rPr>
        <w:t xml:space="preserve"> configurations. Simulations are embedded within a 3D digital twin of Dhaka, constructed in Unity/Unreal Engine, enabling real-time modeling of disaster impacts (e.g., monsoon flooding, urban heatwaves) on infrastructure and service delivery.</w:t>
      </w:r>
      <w:r>
        <w:rPr>
          <w:rFonts w:ascii="Times New Roman" w:eastAsia="Times New Roman" w:hAnsi="Times New Roman" w:cs="Times New Roman"/>
          <w:sz w:val="20"/>
          <w:szCs w:val="20"/>
        </w:rPr>
        <w:t xml:space="preserve"> </w:t>
      </w:r>
      <w:r w:rsidRPr="00B971DA">
        <w:rPr>
          <w:rFonts w:ascii="Times New Roman" w:eastAsia="Times New Roman" w:hAnsi="Times New Roman" w:cs="Times New Roman"/>
          <w:sz w:val="20"/>
          <w:szCs w:val="20"/>
        </w:rPr>
        <w:t>To ensure transparency and verifiability in carbon credit mechanisms, a blockchain-enabled MRV (Monitoring, Reporting, and Verification) layer tracks waste origin, conversion outputs, and emission reductions across the value chain. The framework incorporates climate equity through a gender and social inclusion lens, offering AI-based training modules and digital participation platforms for women, youth, and informal waste workers. Results show a projected 27–35% increase in circular material recovery, up to 41% reduction in lifecycle emissions, and 18% rise in decentralized energy yields under optimized conditions.</w:t>
      </w:r>
      <w:r>
        <w:rPr>
          <w:rFonts w:ascii="Times New Roman" w:eastAsia="Times New Roman" w:hAnsi="Times New Roman" w:cs="Times New Roman"/>
          <w:sz w:val="20"/>
          <w:szCs w:val="20"/>
        </w:rPr>
        <w:t xml:space="preserve"> </w:t>
      </w:r>
      <w:r w:rsidRPr="00B971DA">
        <w:rPr>
          <w:rFonts w:ascii="Times New Roman" w:eastAsia="Times New Roman" w:hAnsi="Times New Roman" w:cs="Times New Roman"/>
          <w:sz w:val="20"/>
          <w:szCs w:val="20"/>
        </w:rPr>
        <w:t>The AI</w:t>
      </w:r>
      <w:r w:rsidR="00DC0182">
        <w:rPr>
          <w:rFonts w:ascii="Times New Roman" w:eastAsia="Times New Roman" w:hAnsi="Times New Roman" w:cs="Times New Roman"/>
          <w:sz w:val="20"/>
          <w:szCs w:val="20"/>
        </w:rPr>
        <w:t>-</w:t>
      </w:r>
      <w:r w:rsidRPr="00B971DA">
        <w:rPr>
          <w:rFonts w:ascii="Times New Roman" w:eastAsia="Times New Roman" w:hAnsi="Times New Roman" w:cs="Times New Roman"/>
          <w:sz w:val="20"/>
          <w:szCs w:val="20"/>
        </w:rPr>
        <w:t>CIR</w:t>
      </w:r>
      <w:r w:rsidR="00DC0182">
        <w:rPr>
          <w:rFonts w:ascii="Times New Roman" w:eastAsia="Times New Roman" w:hAnsi="Times New Roman" w:cs="Times New Roman"/>
          <w:sz w:val="20"/>
          <w:szCs w:val="20"/>
        </w:rPr>
        <w:t>-</w:t>
      </w:r>
      <w:proofErr w:type="spellStart"/>
      <w:r w:rsidRPr="00B971DA">
        <w:rPr>
          <w:rFonts w:ascii="Times New Roman" w:eastAsia="Times New Roman" w:hAnsi="Times New Roman" w:cs="Times New Roman"/>
          <w:sz w:val="20"/>
          <w:szCs w:val="20"/>
        </w:rPr>
        <w:t>WtE</w:t>
      </w:r>
      <w:proofErr w:type="spellEnd"/>
      <w:r w:rsidRPr="00B971DA">
        <w:rPr>
          <w:rFonts w:ascii="Times New Roman" w:eastAsia="Times New Roman" w:hAnsi="Times New Roman" w:cs="Times New Roman"/>
          <w:sz w:val="20"/>
          <w:szCs w:val="20"/>
        </w:rPr>
        <w:t xml:space="preserve"> model demonstrates strong alignment with UN SDGs, Verra’s Verified Carbon Standard, and investment criteria from </w:t>
      </w:r>
      <w:r w:rsidR="00DC0182">
        <w:rPr>
          <w:rFonts w:ascii="Times New Roman" w:eastAsia="Times New Roman" w:hAnsi="Times New Roman" w:cs="Times New Roman"/>
          <w:sz w:val="20"/>
          <w:szCs w:val="20"/>
        </w:rPr>
        <w:t xml:space="preserve">the </w:t>
      </w:r>
      <w:r w:rsidRPr="00B971DA">
        <w:rPr>
          <w:rFonts w:ascii="Times New Roman" w:eastAsia="Times New Roman" w:hAnsi="Times New Roman" w:cs="Times New Roman"/>
          <w:sz w:val="20"/>
          <w:szCs w:val="20"/>
        </w:rPr>
        <w:t>Green Climate Fund (GCF) and World Bank climate finance facilities. By converging data-driven optimization, immersive simulation, and climate-just governance, this research offers a scalable blueprint for circular economy transition in megacities under climate threat. The framework is replicable in other Global South contexts and serves as a digital, equitable infrastructure roadmap toward net-zero urban futures.</w:t>
      </w:r>
      <w:r w:rsidR="00896A32">
        <w:rPr>
          <w:rFonts w:ascii="Times New Roman" w:eastAsia="Times New Roman" w:hAnsi="Times New Roman" w:cs="Times New Roman"/>
          <w:sz w:val="20"/>
          <w:szCs w:val="20"/>
        </w:rPr>
        <w:t xml:space="preserve"> </w:t>
      </w:r>
    </w:p>
    <w:p w14:paraId="65360550" w14:textId="77777777" w:rsidR="00B971DA" w:rsidRPr="00B971DA" w:rsidRDefault="00B971DA" w:rsidP="00B971DA">
      <w:pPr>
        <w:spacing w:after="0" w:line="240" w:lineRule="auto"/>
        <w:jc w:val="both"/>
        <w:rPr>
          <w:rFonts w:ascii="Times New Roman" w:eastAsia="Times New Roman" w:hAnsi="Times New Roman" w:cs="Times New Roman"/>
          <w:sz w:val="20"/>
          <w:szCs w:val="20"/>
        </w:rPr>
      </w:pPr>
    </w:p>
    <w:p w14:paraId="2FE712FF" w14:textId="0202CB8D" w:rsidR="00B1194F" w:rsidRPr="00237089" w:rsidRDefault="00B1194F" w:rsidP="00237089">
      <w:pPr>
        <w:spacing w:after="0" w:line="360" w:lineRule="auto"/>
        <w:jc w:val="both"/>
        <w:rPr>
          <w:rFonts w:ascii="Times New Roman" w:hAnsi="Times New Roman" w:cs="Times New Roman"/>
          <w:b/>
          <w:sz w:val="20"/>
          <w:szCs w:val="20"/>
        </w:rPr>
      </w:pPr>
      <w:r w:rsidRPr="00237089">
        <w:rPr>
          <w:rFonts w:ascii="Times New Roman" w:hAnsi="Times New Roman" w:cs="Times New Roman"/>
          <w:b/>
          <w:sz w:val="20"/>
          <w:szCs w:val="20"/>
        </w:rPr>
        <w:t>KEYWORDS</w:t>
      </w:r>
    </w:p>
    <w:p w14:paraId="6C515003" w14:textId="0543D00E" w:rsidR="00237089" w:rsidRPr="00237089" w:rsidRDefault="00237089" w:rsidP="00237089">
      <w:pPr>
        <w:spacing w:after="0" w:line="360" w:lineRule="auto"/>
        <w:jc w:val="both"/>
        <w:rPr>
          <w:rFonts w:ascii="Times New Roman" w:eastAsia="Times New Roman" w:hAnsi="Times New Roman" w:cs="Times New Roman"/>
          <w:sz w:val="20"/>
          <w:szCs w:val="20"/>
        </w:rPr>
      </w:pPr>
      <w:r w:rsidRPr="00237089">
        <w:rPr>
          <w:rFonts w:ascii="Times New Roman" w:eastAsia="Times New Roman" w:hAnsi="Times New Roman" w:cs="Times New Roman"/>
          <w:sz w:val="20"/>
          <w:szCs w:val="20"/>
        </w:rPr>
        <w:t>Artificial Intelligence,</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Circular Economy,</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Climate Resilience,</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Decentralized Waste Systems,</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Digital Twin,</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Municipal Solid Waste Management,</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Smart Cities,</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Sustainable Infrastructure,</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Waste-to-Energy (</w:t>
      </w:r>
      <w:proofErr w:type="spellStart"/>
      <w:r w:rsidRPr="00237089">
        <w:rPr>
          <w:rFonts w:ascii="Times New Roman" w:eastAsia="Times New Roman" w:hAnsi="Times New Roman" w:cs="Times New Roman"/>
          <w:sz w:val="20"/>
          <w:szCs w:val="20"/>
        </w:rPr>
        <w:t>WtE</w:t>
      </w:r>
      <w:proofErr w:type="spellEnd"/>
      <w:r w:rsidRPr="00237089">
        <w:rPr>
          <w:rFonts w:ascii="Times New Roman" w:eastAsia="Times New Roman" w:hAnsi="Times New Roman" w:cs="Times New Roman"/>
          <w:sz w:val="20"/>
          <w:szCs w:val="20"/>
        </w:rPr>
        <w:t>).</w:t>
      </w:r>
    </w:p>
    <w:p w14:paraId="5A6AB367" w14:textId="4A716217" w:rsidR="00B1194F" w:rsidRPr="00237089" w:rsidRDefault="00B1194F" w:rsidP="00237089">
      <w:pPr>
        <w:spacing w:after="0" w:line="360" w:lineRule="auto"/>
        <w:jc w:val="both"/>
        <w:rPr>
          <w:rFonts w:ascii="Times New Roman" w:hAnsi="Times New Roman" w:cs="Times New Roman"/>
          <w:b/>
          <w:sz w:val="20"/>
          <w:szCs w:val="20"/>
        </w:rPr>
      </w:pPr>
    </w:p>
    <w:p w14:paraId="7ACCE6DE" w14:textId="3C0943A2" w:rsidR="00B1194F" w:rsidRPr="00237089" w:rsidRDefault="00B1194F" w:rsidP="00237089">
      <w:pPr>
        <w:spacing w:after="0" w:line="360" w:lineRule="auto"/>
        <w:jc w:val="both"/>
        <w:rPr>
          <w:rFonts w:ascii="Times New Roman" w:hAnsi="Times New Roman" w:cs="Times New Roman"/>
          <w:b/>
          <w:sz w:val="20"/>
          <w:szCs w:val="20"/>
        </w:rPr>
      </w:pPr>
      <w:r w:rsidRPr="00237089">
        <w:rPr>
          <w:rFonts w:ascii="Times New Roman" w:hAnsi="Times New Roman" w:cs="Times New Roman"/>
          <w:b/>
          <w:sz w:val="20"/>
          <w:szCs w:val="20"/>
        </w:rPr>
        <w:t>INTRODUCTION</w:t>
      </w:r>
    </w:p>
    <w:p w14:paraId="7AE72757" w14:textId="7FED9CC5" w:rsidR="00817677" w:rsidRDefault="00F67357" w:rsidP="00237089">
      <w:pPr>
        <w:spacing w:after="0" w:line="360" w:lineRule="auto"/>
        <w:jc w:val="both"/>
        <w:rPr>
          <w:rFonts w:ascii="Times New Roman" w:hAnsi="Times New Roman" w:cs="Times New Roman"/>
          <w:sz w:val="20"/>
          <w:szCs w:val="20"/>
        </w:rPr>
      </w:pPr>
      <w:r w:rsidRPr="00237089">
        <w:rPr>
          <w:rFonts w:ascii="Times New Roman" w:hAnsi="Times New Roman" w:cs="Times New Roman"/>
          <w:sz w:val="20"/>
          <w:szCs w:val="20"/>
        </w:rPr>
        <w:t>The rapid urbanization of the 21st century has led to unprecedented levels of municipal solid waste (MSW) generation, particularly in climate-vulnerable megacities of the Global South. These urban regions- often characterized by high population density, resource scarcity, inadequate infrastructure, and acute exposure to climate-induced hazards- face mounting challenges in</w:t>
      </w:r>
      <w:r w:rsidRPr="00F67357">
        <w:rPr>
          <w:rFonts w:ascii="Times New Roman" w:hAnsi="Times New Roman" w:cs="Times New Roman"/>
          <w:sz w:val="20"/>
          <w:szCs w:val="20"/>
        </w:rPr>
        <w:t xml:space="preserve"> managing waste sustainably while safeguarding public health and urban resilience (UN-Habitat, 2022). In cities such as Dhaka, Lagos, and Manila, the convergence of escalating waste volumes and the intensifying frequency of extreme weather events underscores the urgent need for integrated, adaptive, and intelligent solutions.</w:t>
      </w:r>
      <w:r>
        <w:rPr>
          <w:rFonts w:ascii="Times New Roman" w:hAnsi="Times New Roman" w:cs="Times New Roman"/>
          <w:sz w:val="20"/>
          <w:szCs w:val="20"/>
        </w:rPr>
        <w:t xml:space="preserve"> </w:t>
      </w:r>
      <w:r w:rsidR="00817677" w:rsidRPr="00817677">
        <w:rPr>
          <w:rFonts w:ascii="Times New Roman" w:hAnsi="Times New Roman" w:cs="Times New Roman"/>
          <w:sz w:val="20"/>
          <w:szCs w:val="20"/>
        </w:rPr>
        <w:t>Conventional waste management systems in these settings are typically linear, inefficient, and reactive. They not only fail to recover valuable resources from waste but also contribute significantly to greenhouse gas (GHG) emissions, groundwater contamination, and urban flooding due to clogged drainage networks (World Bank, 2023). Furthermore, waste-to-energy (</w:t>
      </w:r>
      <w:proofErr w:type="spellStart"/>
      <w:r w:rsidR="00817677" w:rsidRPr="00817677">
        <w:rPr>
          <w:rFonts w:ascii="Times New Roman" w:hAnsi="Times New Roman" w:cs="Times New Roman"/>
          <w:sz w:val="20"/>
          <w:szCs w:val="20"/>
        </w:rPr>
        <w:t>WtE</w:t>
      </w:r>
      <w:proofErr w:type="spellEnd"/>
      <w:r w:rsidR="00817677" w:rsidRPr="00817677">
        <w:rPr>
          <w:rFonts w:ascii="Times New Roman" w:hAnsi="Times New Roman" w:cs="Times New Roman"/>
          <w:sz w:val="20"/>
          <w:szCs w:val="20"/>
        </w:rPr>
        <w:t>) facilities</w:t>
      </w:r>
      <w:r w:rsidR="00E47A66">
        <w:rPr>
          <w:rFonts w:ascii="Times New Roman" w:hAnsi="Times New Roman" w:cs="Times New Roman"/>
          <w:sz w:val="20"/>
          <w:szCs w:val="20"/>
        </w:rPr>
        <w:t xml:space="preserve">- </w:t>
      </w:r>
      <w:r w:rsidR="00817677" w:rsidRPr="00817677">
        <w:rPr>
          <w:rFonts w:ascii="Times New Roman" w:hAnsi="Times New Roman" w:cs="Times New Roman"/>
          <w:sz w:val="20"/>
          <w:szCs w:val="20"/>
        </w:rPr>
        <w:t>while increasingly adopted</w:t>
      </w:r>
      <w:r w:rsidR="00817677">
        <w:rPr>
          <w:rFonts w:ascii="Times New Roman" w:hAnsi="Times New Roman" w:cs="Times New Roman"/>
          <w:sz w:val="20"/>
          <w:szCs w:val="20"/>
        </w:rPr>
        <w:t xml:space="preserve">- </w:t>
      </w:r>
      <w:r w:rsidR="00817677" w:rsidRPr="00817677">
        <w:rPr>
          <w:rFonts w:ascii="Times New Roman" w:hAnsi="Times New Roman" w:cs="Times New Roman"/>
          <w:sz w:val="20"/>
          <w:szCs w:val="20"/>
        </w:rPr>
        <w:t>often operate sub-optimally due to poor waste stream characterization, volatile waste input, and the absence of predictive operational frameworks. The result is a fragmented system incapable of aligning with the principles of the circular economy or with national climate adaptation goals.</w:t>
      </w:r>
      <w:r w:rsidR="00817677">
        <w:rPr>
          <w:rFonts w:ascii="Times New Roman" w:hAnsi="Times New Roman" w:cs="Times New Roman"/>
          <w:sz w:val="20"/>
          <w:szCs w:val="20"/>
        </w:rPr>
        <w:t xml:space="preserve"> </w:t>
      </w:r>
    </w:p>
    <w:p w14:paraId="59A4251B" w14:textId="6DCD0312" w:rsidR="00AD03DA" w:rsidRDefault="00AD03DA" w:rsidP="00237089">
      <w:pPr>
        <w:spacing w:after="0" w:line="360" w:lineRule="auto"/>
        <w:jc w:val="both"/>
        <w:rPr>
          <w:rFonts w:ascii="Times New Roman" w:hAnsi="Times New Roman" w:cs="Times New Roman"/>
          <w:sz w:val="20"/>
          <w:szCs w:val="20"/>
        </w:rPr>
      </w:pPr>
      <w:r>
        <w:rPr>
          <w:noProof/>
        </w:rPr>
        <w:lastRenderedPageBreak/>
        <w:drawing>
          <wp:inline distT="0" distB="0" distL="0" distR="0" wp14:anchorId="5BC2BD83" wp14:editId="5D141128">
            <wp:extent cx="5939790" cy="498157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4981575"/>
                    </a:xfrm>
                    <a:prstGeom prst="rect">
                      <a:avLst/>
                    </a:prstGeom>
                    <a:noFill/>
                    <a:ln>
                      <a:noFill/>
                    </a:ln>
                  </pic:spPr>
                </pic:pic>
              </a:graphicData>
            </a:graphic>
          </wp:inline>
        </w:drawing>
      </w:r>
    </w:p>
    <w:p w14:paraId="6CFBB3EF" w14:textId="44965721" w:rsidR="00AD03DA" w:rsidRPr="00AD03DA" w:rsidRDefault="00AD03DA" w:rsidP="00AD03DA">
      <w:pPr>
        <w:spacing w:after="0" w:line="360" w:lineRule="auto"/>
        <w:jc w:val="center"/>
        <w:rPr>
          <w:rFonts w:ascii="Times New Roman" w:hAnsi="Times New Roman" w:cs="Times New Roman"/>
          <w:sz w:val="20"/>
          <w:szCs w:val="20"/>
        </w:rPr>
      </w:pPr>
      <w:r w:rsidRPr="00AD03DA">
        <w:rPr>
          <w:rFonts w:ascii="Times New Roman" w:hAnsi="Times New Roman" w:cs="Times New Roman"/>
          <w:sz w:val="20"/>
          <w:szCs w:val="20"/>
        </w:rPr>
        <w:t>Figure 1: Waste</w:t>
      </w:r>
      <w:r>
        <w:rPr>
          <w:rFonts w:ascii="Times New Roman" w:hAnsi="Times New Roman" w:cs="Times New Roman"/>
          <w:sz w:val="20"/>
          <w:szCs w:val="20"/>
        </w:rPr>
        <w:t>-</w:t>
      </w:r>
      <w:r w:rsidRPr="00AD03DA">
        <w:rPr>
          <w:rFonts w:ascii="Times New Roman" w:hAnsi="Times New Roman" w:cs="Times New Roman"/>
          <w:sz w:val="20"/>
          <w:szCs w:val="20"/>
        </w:rPr>
        <w:t>to</w:t>
      </w:r>
      <w:r>
        <w:rPr>
          <w:rFonts w:ascii="Times New Roman" w:hAnsi="Times New Roman" w:cs="Times New Roman"/>
          <w:sz w:val="20"/>
          <w:szCs w:val="20"/>
        </w:rPr>
        <w:t>-</w:t>
      </w:r>
      <w:r w:rsidRPr="00AD03DA">
        <w:rPr>
          <w:rFonts w:ascii="Times New Roman" w:hAnsi="Times New Roman" w:cs="Times New Roman"/>
          <w:sz w:val="20"/>
          <w:szCs w:val="20"/>
        </w:rPr>
        <w:t xml:space="preserve">energy (Source: </w:t>
      </w:r>
      <w:r w:rsidRPr="00AD03DA">
        <w:rPr>
          <w:rStyle w:val="muitypography-root"/>
          <w:rFonts w:ascii="Times New Roman" w:hAnsi="Times New Roman" w:cs="Times New Roman"/>
          <w:sz w:val="20"/>
          <w:szCs w:val="20"/>
        </w:rPr>
        <w:t xml:space="preserve">Huang &amp; </w:t>
      </w:r>
      <w:proofErr w:type="spellStart"/>
      <w:r w:rsidRPr="00AD03DA">
        <w:rPr>
          <w:rStyle w:val="muitypography-root"/>
          <w:rFonts w:ascii="Times New Roman" w:hAnsi="Times New Roman" w:cs="Times New Roman"/>
          <w:sz w:val="20"/>
          <w:szCs w:val="20"/>
        </w:rPr>
        <w:t>Koroteev</w:t>
      </w:r>
      <w:proofErr w:type="spellEnd"/>
      <w:r w:rsidRPr="00AD03DA">
        <w:rPr>
          <w:rStyle w:val="muitypography-root"/>
          <w:rFonts w:ascii="Times New Roman" w:hAnsi="Times New Roman" w:cs="Times New Roman"/>
          <w:sz w:val="20"/>
          <w:szCs w:val="20"/>
        </w:rPr>
        <w:t>, 2021).</w:t>
      </w:r>
      <w:r>
        <w:rPr>
          <w:rStyle w:val="muitypography-root"/>
          <w:rFonts w:ascii="Times New Roman" w:hAnsi="Times New Roman" w:cs="Times New Roman"/>
          <w:sz w:val="20"/>
          <w:szCs w:val="20"/>
        </w:rPr>
        <w:t xml:space="preserve"> </w:t>
      </w:r>
    </w:p>
    <w:p w14:paraId="678CB6B0" w14:textId="77777777" w:rsidR="008226A9" w:rsidRDefault="00E47A66" w:rsidP="00817677">
      <w:pPr>
        <w:spacing w:after="0" w:line="360" w:lineRule="auto"/>
        <w:jc w:val="both"/>
        <w:rPr>
          <w:rFonts w:ascii="Times New Roman" w:hAnsi="Times New Roman" w:cs="Times New Roman"/>
          <w:sz w:val="20"/>
          <w:szCs w:val="20"/>
        </w:rPr>
      </w:pPr>
      <w:r w:rsidRPr="00E47A66">
        <w:rPr>
          <w:rFonts w:ascii="Times New Roman" w:hAnsi="Times New Roman" w:cs="Times New Roman"/>
          <w:sz w:val="20"/>
          <w:szCs w:val="20"/>
        </w:rPr>
        <w:t xml:space="preserve">Artificial Intelligence (AI) offers a revolutionary </w:t>
      </w:r>
      <w:r w:rsidR="00AD03DA">
        <w:rPr>
          <w:rFonts w:ascii="Times New Roman" w:hAnsi="Times New Roman" w:cs="Times New Roman"/>
          <w:sz w:val="20"/>
          <w:szCs w:val="20"/>
        </w:rPr>
        <w:t>opportunity to enhance real-time decision-making, optimize urban waste management, and facilitate predictive maintenance of waste-to-energy infrastructure due to its ability to analyze complex, high-dimensional, and uncertain data</w:t>
      </w:r>
      <w:r w:rsidRPr="00E47A66">
        <w:rPr>
          <w:rFonts w:ascii="Times New Roman" w:hAnsi="Times New Roman" w:cs="Times New Roman"/>
          <w:sz w:val="20"/>
          <w:szCs w:val="20"/>
        </w:rPr>
        <w:t xml:space="preserve">. AI-powered frameworks can help with dynamic waste generation forecasting, collection route optimization, material recovery classification, and energy yield maximization across decentralized systems, particularly when they integrate digital twins, machine learning (ML), and edge-based Internet of Things (IoT) systems. The integration of these technologies into a smart </w:t>
      </w:r>
      <w:r w:rsidR="00EA0F80">
        <w:rPr>
          <w:rFonts w:ascii="Times New Roman" w:hAnsi="Times New Roman" w:cs="Times New Roman"/>
          <w:sz w:val="20"/>
          <w:szCs w:val="20"/>
        </w:rPr>
        <w:t>waste-to-energy</w:t>
      </w:r>
      <w:r w:rsidRPr="00E47A66">
        <w:rPr>
          <w:rFonts w:ascii="Times New Roman" w:hAnsi="Times New Roman" w:cs="Times New Roman"/>
          <w:sz w:val="20"/>
          <w:szCs w:val="20"/>
        </w:rPr>
        <w:t xml:space="preserve"> network has the potential to initiate a paradigm change from reactive waste disposal to adaptive circular resource management.</w:t>
      </w:r>
      <w:r>
        <w:rPr>
          <w:rFonts w:ascii="Times New Roman" w:hAnsi="Times New Roman" w:cs="Times New Roman"/>
          <w:sz w:val="20"/>
          <w:szCs w:val="20"/>
        </w:rPr>
        <w:t xml:space="preserve"> </w:t>
      </w:r>
      <w:r w:rsidR="0077612A" w:rsidRPr="0077612A">
        <w:rPr>
          <w:rFonts w:ascii="Times New Roman" w:hAnsi="Times New Roman" w:cs="Times New Roman"/>
          <w:sz w:val="20"/>
          <w:szCs w:val="20"/>
        </w:rPr>
        <w:t xml:space="preserve">In addition, waste infrastructure powered by AI has the potential to be a vital instrument for enhancing urban climate resilience. </w:t>
      </w:r>
    </w:p>
    <w:p w14:paraId="4768400E" w14:textId="371B7C52" w:rsidR="008226A9" w:rsidRDefault="008226A9" w:rsidP="00817677">
      <w:pPr>
        <w:spacing w:after="0" w:line="360" w:lineRule="auto"/>
        <w:jc w:val="both"/>
        <w:rPr>
          <w:rFonts w:ascii="Times New Roman" w:hAnsi="Times New Roman" w:cs="Times New Roman"/>
          <w:sz w:val="20"/>
          <w:szCs w:val="20"/>
        </w:rPr>
      </w:pPr>
      <w:r>
        <w:rPr>
          <w:noProof/>
        </w:rPr>
        <w:lastRenderedPageBreak/>
        <w:drawing>
          <wp:inline distT="0" distB="0" distL="0" distR="0" wp14:anchorId="00BCEE02" wp14:editId="4584B6DC">
            <wp:extent cx="5867400" cy="462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4629150"/>
                    </a:xfrm>
                    <a:prstGeom prst="rect">
                      <a:avLst/>
                    </a:prstGeom>
                    <a:noFill/>
                    <a:ln>
                      <a:noFill/>
                    </a:ln>
                  </pic:spPr>
                </pic:pic>
              </a:graphicData>
            </a:graphic>
          </wp:inline>
        </w:drawing>
      </w:r>
    </w:p>
    <w:p w14:paraId="71734AF2" w14:textId="569956A4" w:rsidR="008226A9" w:rsidRPr="008226A9" w:rsidRDefault="008226A9" w:rsidP="008226A9">
      <w:pPr>
        <w:spacing w:after="0" w:line="360" w:lineRule="auto"/>
        <w:jc w:val="center"/>
        <w:rPr>
          <w:rFonts w:ascii="Times New Roman" w:hAnsi="Times New Roman" w:cs="Times New Roman"/>
          <w:sz w:val="20"/>
          <w:szCs w:val="20"/>
        </w:rPr>
      </w:pPr>
      <w:r w:rsidRPr="008226A9">
        <w:rPr>
          <w:rFonts w:ascii="Times New Roman" w:hAnsi="Times New Roman" w:cs="Times New Roman"/>
          <w:sz w:val="20"/>
          <w:szCs w:val="20"/>
        </w:rPr>
        <w:t xml:space="preserve">Figure 2: The application of artificial intelligence techniques to waste management is highlighted (Source: </w:t>
      </w:r>
      <w:proofErr w:type="spellStart"/>
      <w:r w:rsidRPr="008226A9">
        <w:rPr>
          <w:rStyle w:val="muitypography-root"/>
          <w:rFonts w:ascii="Times New Roman" w:hAnsi="Times New Roman" w:cs="Times New Roman"/>
          <w:sz w:val="20"/>
          <w:szCs w:val="20"/>
        </w:rPr>
        <w:t>Olawade</w:t>
      </w:r>
      <w:proofErr w:type="spellEnd"/>
      <w:r w:rsidRPr="008226A9">
        <w:rPr>
          <w:rStyle w:val="muitypography-root"/>
          <w:rFonts w:ascii="Times New Roman" w:hAnsi="Times New Roman" w:cs="Times New Roman"/>
          <w:sz w:val="20"/>
          <w:szCs w:val="20"/>
        </w:rPr>
        <w:t xml:space="preserve"> et al., 2024).</w:t>
      </w:r>
      <w:r>
        <w:rPr>
          <w:rStyle w:val="muitypography-root"/>
          <w:rFonts w:ascii="Times New Roman" w:hAnsi="Times New Roman" w:cs="Times New Roman"/>
          <w:sz w:val="20"/>
          <w:szCs w:val="20"/>
        </w:rPr>
        <w:t xml:space="preserve"> </w:t>
      </w:r>
    </w:p>
    <w:p w14:paraId="24A17D6E" w14:textId="76B2A2E2" w:rsidR="00E47A66" w:rsidRDefault="0077612A" w:rsidP="00817677">
      <w:pPr>
        <w:spacing w:after="0" w:line="360" w:lineRule="auto"/>
        <w:jc w:val="both"/>
        <w:rPr>
          <w:rFonts w:ascii="Times New Roman" w:hAnsi="Times New Roman" w:cs="Times New Roman"/>
          <w:sz w:val="20"/>
          <w:szCs w:val="20"/>
        </w:rPr>
      </w:pPr>
      <w:r w:rsidRPr="0077612A">
        <w:rPr>
          <w:rFonts w:ascii="Times New Roman" w:hAnsi="Times New Roman" w:cs="Times New Roman"/>
          <w:sz w:val="20"/>
          <w:szCs w:val="20"/>
        </w:rPr>
        <w:t xml:space="preserve">Smart </w:t>
      </w:r>
      <w:r w:rsidR="00EA0F80">
        <w:rPr>
          <w:rFonts w:ascii="Times New Roman" w:hAnsi="Times New Roman" w:cs="Times New Roman"/>
          <w:sz w:val="20"/>
          <w:szCs w:val="20"/>
        </w:rPr>
        <w:t>waste-to-energy</w:t>
      </w:r>
      <w:r w:rsidRPr="0077612A">
        <w:rPr>
          <w:rFonts w:ascii="Times New Roman" w:hAnsi="Times New Roman" w:cs="Times New Roman"/>
          <w:sz w:val="20"/>
          <w:szCs w:val="20"/>
        </w:rPr>
        <w:t xml:space="preserve"> networks can react to shocks, such </w:t>
      </w:r>
      <w:r w:rsidR="00EA0F80">
        <w:rPr>
          <w:rFonts w:ascii="Times New Roman" w:hAnsi="Times New Roman" w:cs="Times New Roman"/>
          <w:sz w:val="20"/>
          <w:szCs w:val="20"/>
        </w:rPr>
        <w:t xml:space="preserve">as </w:t>
      </w:r>
      <w:r w:rsidRPr="0077612A">
        <w:rPr>
          <w:rFonts w:ascii="Times New Roman" w:hAnsi="Times New Roman" w:cs="Times New Roman"/>
          <w:sz w:val="20"/>
          <w:szCs w:val="20"/>
        </w:rPr>
        <w:t>heatwaves or monsoon floods, by combining climatic scenario forecasts with waste logistics. This allows for predictive rerouting, load balancing, and the activation of localized energy storage (OECD, 2023). For megacities in low- and middle-income nations, where the margin for infrastructure failure is narrow and the stakes for sustainable transformation are very high, the convergence of AI, circularity, and climate resilience is especially crucial.</w:t>
      </w:r>
      <w:r>
        <w:rPr>
          <w:rFonts w:ascii="Times New Roman" w:hAnsi="Times New Roman" w:cs="Times New Roman"/>
          <w:sz w:val="20"/>
          <w:szCs w:val="20"/>
        </w:rPr>
        <w:t xml:space="preserve"> </w:t>
      </w:r>
      <w:r w:rsidRPr="0077612A">
        <w:rPr>
          <w:rFonts w:ascii="Times New Roman" w:hAnsi="Times New Roman" w:cs="Times New Roman"/>
          <w:sz w:val="20"/>
          <w:szCs w:val="20"/>
        </w:rPr>
        <w:t xml:space="preserve">Despite this potential, there is still a significant research gap at the intersection of AI-enabled waste management, climate adaptation, and circular economy frameworks in urban </w:t>
      </w:r>
      <w:r w:rsidRPr="0013733B">
        <w:rPr>
          <w:rFonts w:ascii="Times New Roman" w:hAnsi="Times New Roman" w:cs="Times New Roman"/>
          <w:sz w:val="20"/>
          <w:szCs w:val="20"/>
        </w:rPr>
        <w:t xml:space="preserve">contexts. Previous research has addressed these areas separately, lacking a cohesive, systemic approach appropriate for the realities of megacities at risk from climate change. To fill this gap, this study proposes a novel AI-powered smart </w:t>
      </w:r>
      <w:r w:rsidR="00647646" w:rsidRPr="0013733B">
        <w:rPr>
          <w:rFonts w:ascii="Times New Roman" w:hAnsi="Times New Roman" w:cs="Times New Roman"/>
          <w:sz w:val="20"/>
          <w:szCs w:val="20"/>
        </w:rPr>
        <w:t xml:space="preserve">waste-to-energy </w:t>
      </w:r>
      <w:r w:rsidRPr="0013733B">
        <w:rPr>
          <w:rFonts w:ascii="Times New Roman" w:hAnsi="Times New Roman" w:cs="Times New Roman"/>
          <w:sz w:val="20"/>
          <w:szCs w:val="20"/>
        </w:rPr>
        <w:t>framework, called AI–CIR–</w:t>
      </w:r>
      <w:proofErr w:type="spellStart"/>
      <w:r w:rsidRPr="0013733B">
        <w:rPr>
          <w:rFonts w:ascii="Times New Roman" w:hAnsi="Times New Roman" w:cs="Times New Roman"/>
          <w:sz w:val="20"/>
          <w:szCs w:val="20"/>
        </w:rPr>
        <w:t>WtE</w:t>
      </w:r>
      <w:proofErr w:type="spellEnd"/>
      <w:r w:rsidR="0013733B" w:rsidRPr="0013733B">
        <w:rPr>
          <w:rFonts w:ascii="Times New Roman" w:hAnsi="Times New Roman" w:cs="Times New Roman"/>
          <w:sz w:val="20"/>
          <w:szCs w:val="20"/>
        </w:rPr>
        <w:t xml:space="preserve"> (Artificial Intelligence for Circularity, Infrastructure Resilience, and Waste-to-Energy)</w:t>
      </w:r>
      <w:r w:rsidRPr="0013733B">
        <w:rPr>
          <w:rFonts w:ascii="Times New Roman" w:hAnsi="Times New Roman" w:cs="Times New Roman"/>
          <w:sz w:val="20"/>
          <w:szCs w:val="20"/>
        </w:rPr>
        <w:t>, that is intended to maximize waste valorization, strengthen infrastructure resilience, and promote circular resource flows in the face of climate uncertainty. Using Dhaka as a simulated case study, this research makes use of</w:t>
      </w:r>
      <w:r w:rsidRPr="0077612A">
        <w:rPr>
          <w:rFonts w:ascii="Times New Roman" w:hAnsi="Times New Roman" w:cs="Times New Roman"/>
          <w:sz w:val="20"/>
          <w:szCs w:val="20"/>
        </w:rPr>
        <w:t xml:space="preserve"> secondary datasets, AI modeling, and international best practices to show how digital intelligence can enable next-generation </w:t>
      </w:r>
      <w:r w:rsidR="00A779FD">
        <w:rPr>
          <w:rFonts w:ascii="Times New Roman" w:hAnsi="Times New Roman" w:cs="Times New Roman"/>
          <w:sz w:val="20"/>
          <w:szCs w:val="20"/>
        </w:rPr>
        <w:t>waste-to-energy</w:t>
      </w:r>
      <w:r w:rsidRPr="0077612A">
        <w:rPr>
          <w:rFonts w:ascii="Times New Roman" w:hAnsi="Times New Roman" w:cs="Times New Roman"/>
          <w:sz w:val="20"/>
          <w:szCs w:val="20"/>
        </w:rPr>
        <w:t xml:space="preserve"> systems that are socially and environmentally resilient.</w:t>
      </w:r>
    </w:p>
    <w:p w14:paraId="13662CDC" w14:textId="4AD53E78" w:rsidR="0077612A" w:rsidRDefault="0077612A" w:rsidP="00817677">
      <w:pPr>
        <w:spacing w:after="0" w:line="360" w:lineRule="auto"/>
        <w:jc w:val="both"/>
        <w:rPr>
          <w:rFonts w:ascii="Times New Roman" w:hAnsi="Times New Roman" w:cs="Times New Roman"/>
          <w:sz w:val="20"/>
          <w:szCs w:val="20"/>
        </w:rPr>
      </w:pPr>
    </w:p>
    <w:p w14:paraId="71CA5EBA" w14:textId="3FCCD135" w:rsidR="009D1D5B" w:rsidRPr="009D1D5B" w:rsidRDefault="009D1D5B" w:rsidP="00817677">
      <w:pPr>
        <w:spacing w:after="0" w:line="360" w:lineRule="auto"/>
        <w:jc w:val="both"/>
        <w:rPr>
          <w:rFonts w:ascii="Times New Roman" w:hAnsi="Times New Roman" w:cs="Times New Roman"/>
          <w:b/>
          <w:bCs/>
          <w:sz w:val="20"/>
          <w:szCs w:val="20"/>
        </w:rPr>
      </w:pPr>
      <w:r w:rsidRPr="009D1D5B">
        <w:rPr>
          <w:rFonts w:ascii="Times New Roman" w:hAnsi="Times New Roman" w:cs="Times New Roman"/>
          <w:b/>
          <w:bCs/>
          <w:sz w:val="20"/>
          <w:szCs w:val="20"/>
        </w:rPr>
        <w:t>LITERATURE REVIEW</w:t>
      </w:r>
    </w:p>
    <w:p w14:paraId="1E6073BE" w14:textId="77777777" w:rsidR="002F4623" w:rsidRPr="00397E9F" w:rsidRDefault="00AE0AB5"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Introduction to Waste-to-Energy in Urban Contexts:</w:t>
      </w:r>
      <w:r w:rsidR="00A949FD" w:rsidRPr="00397E9F">
        <w:rPr>
          <w:rFonts w:ascii="Times New Roman" w:hAnsi="Times New Roman" w:cs="Times New Roman"/>
          <w:b/>
          <w:bCs/>
          <w:sz w:val="20"/>
          <w:szCs w:val="20"/>
        </w:rPr>
        <w:t xml:space="preserve"> </w:t>
      </w:r>
      <w:r w:rsidR="003726EF" w:rsidRPr="00397E9F">
        <w:rPr>
          <w:rFonts w:ascii="Times New Roman" w:hAnsi="Times New Roman" w:cs="Times New Roman"/>
          <w:sz w:val="20"/>
          <w:szCs w:val="20"/>
        </w:rPr>
        <w:t>Waste-to-energy (</w:t>
      </w:r>
      <w:proofErr w:type="spellStart"/>
      <w:r w:rsidR="003726EF" w:rsidRPr="00397E9F">
        <w:rPr>
          <w:rFonts w:ascii="Times New Roman" w:hAnsi="Times New Roman" w:cs="Times New Roman"/>
          <w:sz w:val="20"/>
          <w:szCs w:val="20"/>
        </w:rPr>
        <w:t>WtE</w:t>
      </w:r>
      <w:proofErr w:type="spellEnd"/>
      <w:r w:rsidR="003726EF" w:rsidRPr="00397E9F">
        <w:rPr>
          <w:rFonts w:ascii="Times New Roman" w:hAnsi="Times New Roman" w:cs="Times New Roman"/>
          <w:sz w:val="20"/>
          <w:szCs w:val="20"/>
        </w:rPr>
        <w:t xml:space="preserve">) systems have become essential parts of integrated urban waste management, converting municipal solid waste (MSW) into energy that can be used, mainly heat and electricity, while lowering the need for landfills (Kaza et al., 2023). Given geographical limits, growing waste volumes, and the need for localized energy resilience, </w:t>
      </w:r>
      <w:proofErr w:type="spellStart"/>
      <w:r w:rsidR="003726EF" w:rsidRPr="00397E9F">
        <w:rPr>
          <w:rFonts w:ascii="Times New Roman" w:hAnsi="Times New Roman" w:cs="Times New Roman"/>
          <w:sz w:val="20"/>
          <w:szCs w:val="20"/>
        </w:rPr>
        <w:t>WtE</w:t>
      </w:r>
      <w:proofErr w:type="spellEnd"/>
      <w:r w:rsidR="003726EF" w:rsidRPr="00397E9F">
        <w:rPr>
          <w:rFonts w:ascii="Times New Roman" w:hAnsi="Times New Roman" w:cs="Times New Roman"/>
          <w:sz w:val="20"/>
          <w:szCs w:val="20"/>
        </w:rPr>
        <w:t xml:space="preserve"> solutions are particularly </w:t>
      </w:r>
      <w:r w:rsidR="003726EF" w:rsidRPr="00397E9F">
        <w:rPr>
          <w:rFonts w:ascii="Times New Roman" w:hAnsi="Times New Roman" w:cs="Times New Roman"/>
          <w:sz w:val="20"/>
          <w:szCs w:val="20"/>
        </w:rPr>
        <w:lastRenderedPageBreak/>
        <w:t>pertinent in fast urbanizing megacities.</w:t>
      </w:r>
      <w:r w:rsidR="002F4623" w:rsidRPr="00397E9F">
        <w:rPr>
          <w:rFonts w:ascii="Times New Roman" w:hAnsi="Times New Roman" w:cs="Times New Roman"/>
          <w:sz w:val="20"/>
          <w:szCs w:val="20"/>
        </w:rPr>
        <w:t xml:space="preserve"> However, there are a number of drawbacks to typical </w:t>
      </w:r>
      <w:proofErr w:type="spellStart"/>
      <w:r w:rsidR="002F4623" w:rsidRPr="00397E9F">
        <w:rPr>
          <w:rFonts w:ascii="Times New Roman" w:hAnsi="Times New Roman" w:cs="Times New Roman"/>
          <w:sz w:val="20"/>
          <w:szCs w:val="20"/>
        </w:rPr>
        <w:t>WtE</w:t>
      </w:r>
      <w:proofErr w:type="spellEnd"/>
      <w:r w:rsidR="002F4623" w:rsidRPr="00397E9F">
        <w:rPr>
          <w:rFonts w:ascii="Times New Roman" w:hAnsi="Times New Roman" w:cs="Times New Roman"/>
          <w:sz w:val="20"/>
          <w:szCs w:val="20"/>
        </w:rPr>
        <w:t xml:space="preserve"> systems, including unsegregated input, variable waste calorific values, operational inefficiencies, and large environmental externalities if not controlled adequately. Combining these systems with cutting-edge technology like artificial intelligence (AI) provides a revolutionary way forward.</w:t>
      </w:r>
    </w:p>
    <w:p w14:paraId="7AE708A9" w14:textId="75450073" w:rsidR="009C7CE9" w:rsidRDefault="009C7CE9" w:rsidP="009C7CE9">
      <w:pPr>
        <w:spacing w:after="0" w:line="360" w:lineRule="auto"/>
        <w:jc w:val="both"/>
        <w:rPr>
          <w:rFonts w:ascii="Times New Roman" w:hAnsi="Times New Roman" w:cs="Times New Roman"/>
          <w:sz w:val="20"/>
          <w:szCs w:val="20"/>
        </w:rPr>
      </w:pPr>
    </w:p>
    <w:p w14:paraId="6D3726E5" w14:textId="7E739E01" w:rsidR="009C7CE9" w:rsidRDefault="009C7CE9" w:rsidP="009C7CE9">
      <w:pPr>
        <w:spacing w:after="0" w:line="360" w:lineRule="auto"/>
        <w:jc w:val="both"/>
        <w:rPr>
          <w:rFonts w:ascii="Times New Roman" w:hAnsi="Times New Roman" w:cs="Times New Roman"/>
          <w:sz w:val="20"/>
          <w:szCs w:val="20"/>
        </w:rPr>
      </w:pPr>
      <w:r>
        <w:rPr>
          <w:noProof/>
        </w:rPr>
        <w:drawing>
          <wp:inline distT="0" distB="0" distL="0" distR="0" wp14:anchorId="08F547E8" wp14:editId="4D6F6A52">
            <wp:extent cx="5939790" cy="36576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657600"/>
                    </a:xfrm>
                    <a:prstGeom prst="rect">
                      <a:avLst/>
                    </a:prstGeom>
                    <a:noFill/>
                    <a:ln>
                      <a:noFill/>
                    </a:ln>
                  </pic:spPr>
                </pic:pic>
              </a:graphicData>
            </a:graphic>
          </wp:inline>
        </w:drawing>
      </w:r>
    </w:p>
    <w:p w14:paraId="2D1A3783" w14:textId="539DC09F" w:rsidR="009C7CE9" w:rsidRPr="009C7CE9" w:rsidRDefault="009C7CE9" w:rsidP="009C7CE9">
      <w:pPr>
        <w:spacing w:after="0" w:line="360" w:lineRule="auto"/>
        <w:jc w:val="center"/>
        <w:rPr>
          <w:rFonts w:ascii="Times New Roman" w:hAnsi="Times New Roman" w:cs="Times New Roman"/>
          <w:sz w:val="20"/>
          <w:szCs w:val="20"/>
        </w:rPr>
      </w:pPr>
      <w:r w:rsidRPr="009C7CE9">
        <w:rPr>
          <w:rFonts w:ascii="Times New Roman" w:hAnsi="Times New Roman" w:cs="Times New Roman"/>
          <w:sz w:val="20"/>
          <w:szCs w:val="20"/>
        </w:rPr>
        <w:t xml:space="preserve">Figure 3: Application of artificial intelligence in waste management (Source: </w:t>
      </w:r>
      <w:r w:rsidRPr="009C7CE9">
        <w:rPr>
          <w:rStyle w:val="muitypography-root"/>
          <w:rFonts w:ascii="Times New Roman" w:hAnsi="Times New Roman" w:cs="Times New Roman"/>
          <w:sz w:val="20"/>
          <w:szCs w:val="20"/>
        </w:rPr>
        <w:t>Fang et al., 2023)</w:t>
      </w:r>
      <w:r w:rsidRPr="009C7CE9">
        <w:rPr>
          <w:rFonts w:ascii="Times New Roman" w:hAnsi="Times New Roman" w:cs="Times New Roman"/>
          <w:sz w:val="20"/>
          <w:szCs w:val="20"/>
        </w:rPr>
        <w:t>.</w:t>
      </w:r>
    </w:p>
    <w:p w14:paraId="16D96DCB" w14:textId="682F8B1A" w:rsidR="009C7CE9" w:rsidRPr="009C7CE9" w:rsidRDefault="009C7CE9" w:rsidP="009C7CE9">
      <w:pPr>
        <w:spacing w:after="0" w:line="360" w:lineRule="auto"/>
        <w:jc w:val="both"/>
        <w:rPr>
          <w:rFonts w:ascii="Times New Roman" w:hAnsi="Times New Roman" w:cs="Times New Roman"/>
          <w:sz w:val="20"/>
          <w:szCs w:val="20"/>
        </w:rPr>
      </w:pPr>
      <w:r w:rsidRPr="009C7CE9">
        <w:rPr>
          <w:rFonts w:ascii="Times New Roman" w:hAnsi="Times New Roman" w:cs="Times New Roman"/>
          <w:sz w:val="20"/>
          <w:szCs w:val="20"/>
        </w:rPr>
        <w:t xml:space="preserve">The five main elements are depicted in Figure 3: waste generation and type, artificial intelligence in waste management, AI-based waste transportation optimization, AI's role in identifying and minimizing illegal dumping, waste treatment procedures, and AI's application in waste chemical composition analysis. The key points covered in this assessment are succinctly summarized in this optimal format, which also emphasizes how artificial intelligence </w:t>
      </w:r>
      <w:r w:rsidR="00683C39">
        <w:rPr>
          <w:rFonts w:ascii="Times New Roman" w:hAnsi="Times New Roman" w:cs="Times New Roman"/>
          <w:sz w:val="20"/>
          <w:szCs w:val="20"/>
        </w:rPr>
        <w:t>can</w:t>
      </w:r>
      <w:r w:rsidRPr="009C7CE9">
        <w:rPr>
          <w:rFonts w:ascii="Times New Roman" w:hAnsi="Times New Roman" w:cs="Times New Roman"/>
          <w:sz w:val="20"/>
          <w:szCs w:val="20"/>
        </w:rPr>
        <w:t xml:space="preserve"> completely transform waste management procedures</w:t>
      </w:r>
      <w:r w:rsidR="002F4623">
        <w:rPr>
          <w:rFonts w:ascii="Times New Roman" w:hAnsi="Times New Roman" w:cs="Times New Roman"/>
          <w:sz w:val="20"/>
          <w:szCs w:val="20"/>
        </w:rPr>
        <w:t xml:space="preserve"> </w:t>
      </w:r>
      <w:r w:rsidR="002F4623" w:rsidRPr="002F4623">
        <w:rPr>
          <w:rFonts w:ascii="Times New Roman" w:hAnsi="Times New Roman" w:cs="Times New Roman"/>
          <w:sz w:val="20"/>
          <w:szCs w:val="20"/>
        </w:rPr>
        <w:t>(Fang et al., 2023).</w:t>
      </w:r>
    </w:p>
    <w:p w14:paraId="42E929B8" w14:textId="77777777" w:rsidR="002F4623" w:rsidRPr="00397E9F" w:rsidRDefault="003726EF"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Artificial Intelligence in Waste Management:</w:t>
      </w:r>
      <w:r w:rsidR="00A949FD" w:rsidRPr="00397E9F">
        <w:rPr>
          <w:rFonts w:ascii="Times New Roman" w:hAnsi="Times New Roman" w:cs="Times New Roman"/>
          <w:b/>
          <w:bCs/>
          <w:sz w:val="20"/>
          <w:szCs w:val="20"/>
        </w:rPr>
        <w:t xml:space="preserve"> </w:t>
      </w:r>
      <w:r w:rsidR="003663D9" w:rsidRPr="00397E9F">
        <w:rPr>
          <w:rFonts w:ascii="Times New Roman" w:hAnsi="Times New Roman" w:cs="Times New Roman"/>
          <w:sz w:val="20"/>
          <w:szCs w:val="20"/>
        </w:rPr>
        <w:t xml:space="preserve">The use of artificial intelligence in waste management has advanced dramatically during the last ten years. Machine learning (ML) methods, especially supervised and reinforcement learning, have been widely used for recycling behavior prediction, waste classification, generation forecasting, and collection route optimization. </w:t>
      </w:r>
      <w:r w:rsidR="002F4623" w:rsidRPr="00397E9F">
        <w:rPr>
          <w:rFonts w:ascii="Times New Roman" w:hAnsi="Times New Roman" w:cs="Times New Roman"/>
          <w:sz w:val="20"/>
          <w:szCs w:val="20"/>
        </w:rPr>
        <w:t xml:space="preserve">Automating the sorting of recyclable and organic waste through picture categorization has been made possible using deep learning models such as convolutional neural networks (CNNs). Furthermore, to estimate waste generation trends, which are essential for infrastructure planning and energy yield estimation, time-series forecasting models such as long short-term memory (LSTM) and ARIMA have been used. In addition to ML, the fusion of AI with edge computing and IoT has led to smart bin networks, where sensors monitor waste levels, temperature, and composition in real-time, allowing for dynamic collection and optimization. These innovations are most effective when embedded in a broader systems framework, such as a digital twin city model or an AI-enabled urban metabolism simulation, which enables real-time feedback and adaptive policy response. </w:t>
      </w:r>
    </w:p>
    <w:p w14:paraId="400910F5" w14:textId="05F23EA8" w:rsidR="00683C39" w:rsidRDefault="00683C39" w:rsidP="009C7CE9">
      <w:pPr>
        <w:spacing w:after="0" w:line="360" w:lineRule="auto"/>
        <w:jc w:val="both"/>
        <w:rPr>
          <w:rFonts w:ascii="Times New Roman" w:hAnsi="Times New Roman" w:cs="Times New Roman"/>
          <w:sz w:val="20"/>
          <w:szCs w:val="20"/>
        </w:rPr>
      </w:pPr>
    </w:p>
    <w:p w14:paraId="41BDD625" w14:textId="732A5706" w:rsidR="00683C39" w:rsidRDefault="00683C39" w:rsidP="009C7CE9">
      <w:pPr>
        <w:spacing w:after="0" w:line="360" w:lineRule="auto"/>
        <w:jc w:val="both"/>
        <w:rPr>
          <w:rFonts w:ascii="Times New Roman" w:hAnsi="Times New Roman" w:cs="Times New Roman"/>
          <w:sz w:val="20"/>
          <w:szCs w:val="20"/>
        </w:rPr>
      </w:pPr>
      <w:r>
        <w:rPr>
          <w:noProof/>
        </w:rPr>
        <w:lastRenderedPageBreak/>
        <w:drawing>
          <wp:inline distT="0" distB="0" distL="0" distR="0" wp14:anchorId="0CC2935D" wp14:editId="4405E841">
            <wp:extent cx="5939790" cy="44005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400550"/>
                    </a:xfrm>
                    <a:prstGeom prst="rect">
                      <a:avLst/>
                    </a:prstGeom>
                    <a:noFill/>
                    <a:ln>
                      <a:noFill/>
                    </a:ln>
                  </pic:spPr>
                </pic:pic>
              </a:graphicData>
            </a:graphic>
          </wp:inline>
        </w:drawing>
      </w:r>
    </w:p>
    <w:p w14:paraId="77E5E96B" w14:textId="65F374F1" w:rsidR="005E04A2" w:rsidRPr="009C7CE9" w:rsidRDefault="00683C39" w:rsidP="005E04A2">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Figure 4:</w:t>
      </w:r>
      <w:r w:rsidR="005E04A2">
        <w:rPr>
          <w:rFonts w:ascii="Times New Roman" w:hAnsi="Times New Roman" w:cs="Times New Roman"/>
          <w:sz w:val="20"/>
          <w:szCs w:val="20"/>
        </w:rPr>
        <w:t xml:space="preserve"> A</w:t>
      </w:r>
      <w:r w:rsidR="005E04A2" w:rsidRPr="005E04A2">
        <w:rPr>
          <w:rFonts w:ascii="Times New Roman" w:hAnsi="Times New Roman" w:cs="Times New Roman"/>
          <w:sz w:val="20"/>
          <w:szCs w:val="20"/>
        </w:rPr>
        <w:t xml:space="preserve">pplications of </w:t>
      </w:r>
      <w:r w:rsidR="00A8519F">
        <w:rPr>
          <w:rFonts w:ascii="Times New Roman" w:hAnsi="Times New Roman" w:cs="Times New Roman"/>
          <w:sz w:val="20"/>
          <w:szCs w:val="20"/>
        </w:rPr>
        <w:t>A</w:t>
      </w:r>
      <w:r w:rsidR="005E04A2" w:rsidRPr="005E04A2">
        <w:rPr>
          <w:rFonts w:ascii="Times New Roman" w:hAnsi="Times New Roman" w:cs="Times New Roman"/>
          <w:sz w:val="20"/>
          <w:szCs w:val="20"/>
        </w:rPr>
        <w:t xml:space="preserve">rtificial </w:t>
      </w:r>
      <w:r w:rsidR="00A8519F">
        <w:rPr>
          <w:rFonts w:ascii="Times New Roman" w:hAnsi="Times New Roman" w:cs="Times New Roman"/>
          <w:sz w:val="20"/>
          <w:szCs w:val="20"/>
        </w:rPr>
        <w:t>I</w:t>
      </w:r>
      <w:r w:rsidR="005E04A2" w:rsidRPr="005E04A2">
        <w:rPr>
          <w:rFonts w:ascii="Times New Roman" w:hAnsi="Times New Roman" w:cs="Times New Roman"/>
          <w:sz w:val="20"/>
          <w:szCs w:val="20"/>
        </w:rPr>
        <w:t>ntelligence in robotic waste sorting and the waste can</w:t>
      </w:r>
      <w:r w:rsidR="005E04A2">
        <w:rPr>
          <w:rFonts w:ascii="Times New Roman" w:hAnsi="Times New Roman" w:cs="Times New Roman"/>
          <w:sz w:val="20"/>
          <w:szCs w:val="20"/>
        </w:rPr>
        <w:t xml:space="preserve"> </w:t>
      </w:r>
      <w:r w:rsidR="005E04A2" w:rsidRPr="009C7CE9">
        <w:rPr>
          <w:rFonts w:ascii="Times New Roman" w:hAnsi="Times New Roman" w:cs="Times New Roman"/>
          <w:sz w:val="20"/>
          <w:szCs w:val="20"/>
        </w:rPr>
        <w:t xml:space="preserve">(Source: </w:t>
      </w:r>
      <w:r w:rsidR="005E04A2" w:rsidRPr="009C7CE9">
        <w:rPr>
          <w:rStyle w:val="muitypography-root"/>
          <w:rFonts w:ascii="Times New Roman" w:hAnsi="Times New Roman" w:cs="Times New Roman"/>
          <w:sz w:val="20"/>
          <w:szCs w:val="20"/>
        </w:rPr>
        <w:t>Fang et al., 2023)</w:t>
      </w:r>
      <w:r w:rsidR="005E04A2" w:rsidRPr="009C7CE9">
        <w:rPr>
          <w:rFonts w:ascii="Times New Roman" w:hAnsi="Times New Roman" w:cs="Times New Roman"/>
          <w:sz w:val="20"/>
          <w:szCs w:val="20"/>
        </w:rPr>
        <w:t>.</w:t>
      </w:r>
    </w:p>
    <w:p w14:paraId="1D16D894" w14:textId="47DA31F1" w:rsidR="00683C39" w:rsidRDefault="002F4623" w:rsidP="009C7CE9">
      <w:pPr>
        <w:spacing w:after="0" w:line="360" w:lineRule="auto"/>
        <w:jc w:val="both"/>
        <w:rPr>
          <w:rFonts w:ascii="Times New Roman" w:hAnsi="Times New Roman" w:cs="Times New Roman"/>
          <w:sz w:val="20"/>
          <w:szCs w:val="20"/>
        </w:rPr>
      </w:pPr>
      <w:r w:rsidRPr="002F4623">
        <w:rPr>
          <w:rFonts w:ascii="Times New Roman" w:hAnsi="Times New Roman" w:cs="Times New Roman"/>
          <w:sz w:val="20"/>
          <w:szCs w:val="20"/>
        </w:rPr>
        <w:t>Real-time garbage bin monitoring is included in figure 4 in order to maximize waste collection routes and avoid bin overflowing. Intelligent rubbish sorting can also lower contamination and increase recycling effectiveness. On the other hand, robotic garbage sorting can reduce the requirement for manual labor while enhancing speed and accuracy by using robotic arms to sort waste in recycling plants. Predictive maintenance, which reduces downtime and increases equipment lifespans, can also be done with artificial intelligence to predict when waste-sorting equipment would need maintenance. Finally, to improve the effectiveness of garbage collection and processing, artificial intelligence-based waste management optimization can take into account variables like traffic, weather, and population density (Fang et al., 2023).</w:t>
      </w:r>
    </w:p>
    <w:p w14:paraId="2B5DC9F1" w14:textId="556678B9" w:rsidR="006921D2" w:rsidRPr="00397E9F" w:rsidRDefault="00CB6F55"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 xml:space="preserve">Waste-to-Energy and the Circular Economy (Gaps and Synergies): </w:t>
      </w:r>
      <w:r w:rsidR="006921D2" w:rsidRPr="00397E9F">
        <w:rPr>
          <w:rFonts w:ascii="Times New Roman" w:hAnsi="Times New Roman" w:cs="Times New Roman"/>
          <w:sz w:val="20"/>
          <w:szCs w:val="20"/>
        </w:rPr>
        <w:t xml:space="preserve">The transition to a circular economy requires a shift from linear waste disposal models to systems that emphasize resource recovery, reuse, and regeneration (European Commission, 2020). </w:t>
      </w:r>
      <w:proofErr w:type="spellStart"/>
      <w:r w:rsidR="006921D2" w:rsidRPr="00397E9F">
        <w:rPr>
          <w:rFonts w:ascii="Times New Roman" w:hAnsi="Times New Roman" w:cs="Times New Roman"/>
          <w:sz w:val="20"/>
          <w:szCs w:val="20"/>
        </w:rPr>
        <w:t>WtE</w:t>
      </w:r>
      <w:proofErr w:type="spellEnd"/>
      <w:r w:rsidR="006921D2" w:rsidRPr="00397E9F">
        <w:rPr>
          <w:rFonts w:ascii="Times New Roman" w:hAnsi="Times New Roman" w:cs="Times New Roman"/>
          <w:sz w:val="20"/>
          <w:szCs w:val="20"/>
        </w:rPr>
        <w:t xml:space="preserve"> technologies- especially anaerobic digestion, gasification, and advanced pyrolysis- play a pivotal role in this transition by valorizing organic and combustible waste into bioenergy, syngas, and biochar. However, circularity is often compromised when </w:t>
      </w:r>
      <w:proofErr w:type="spellStart"/>
      <w:r w:rsidR="006921D2" w:rsidRPr="00397E9F">
        <w:rPr>
          <w:rFonts w:ascii="Times New Roman" w:hAnsi="Times New Roman" w:cs="Times New Roman"/>
          <w:sz w:val="20"/>
          <w:szCs w:val="20"/>
        </w:rPr>
        <w:t>WtE</w:t>
      </w:r>
      <w:proofErr w:type="spellEnd"/>
      <w:r w:rsidR="006921D2" w:rsidRPr="00397E9F">
        <w:rPr>
          <w:rFonts w:ascii="Times New Roman" w:hAnsi="Times New Roman" w:cs="Times New Roman"/>
          <w:sz w:val="20"/>
          <w:szCs w:val="20"/>
        </w:rPr>
        <w:t xml:space="preserve"> is deployed without intelligent sorting, emissions control, and integration into wider resource management systems. AI offers a unique opportunity to improve the circular performance of </w:t>
      </w:r>
      <w:proofErr w:type="spellStart"/>
      <w:r w:rsidR="006921D2" w:rsidRPr="00397E9F">
        <w:rPr>
          <w:rFonts w:ascii="Times New Roman" w:hAnsi="Times New Roman" w:cs="Times New Roman"/>
          <w:sz w:val="20"/>
          <w:szCs w:val="20"/>
        </w:rPr>
        <w:t>WtE</w:t>
      </w:r>
      <w:proofErr w:type="spellEnd"/>
      <w:r w:rsidR="006921D2" w:rsidRPr="00397E9F">
        <w:rPr>
          <w:rFonts w:ascii="Times New Roman" w:hAnsi="Times New Roman" w:cs="Times New Roman"/>
          <w:sz w:val="20"/>
          <w:szCs w:val="20"/>
        </w:rPr>
        <w:t xml:space="preserve"> by enabling real-time monitoring of waste stream composition, dynamic process optimization, and predictive maintenance of energy recovery units. Furthermore, AI can help compute circularity indices and life-cycle assessment (LCA) metrics dynamically, supporting data-driven decision-making at both municipal and national levels. Despite these possibilities, few studies have presented a unified AI</w:t>
      </w:r>
      <w:r w:rsidR="00077F4F" w:rsidRPr="00397E9F">
        <w:rPr>
          <w:rFonts w:ascii="Times New Roman" w:hAnsi="Times New Roman" w:cs="Times New Roman"/>
          <w:sz w:val="20"/>
          <w:szCs w:val="20"/>
        </w:rPr>
        <w:t>-</w:t>
      </w:r>
      <w:proofErr w:type="spellStart"/>
      <w:r w:rsidR="006921D2" w:rsidRPr="00397E9F">
        <w:rPr>
          <w:rFonts w:ascii="Times New Roman" w:hAnsi="Times New Roman" w:cs="Times New Roman"/>
          <w:sz w:val="20"/>
          <w:szCs w:val="20"/>
        </w:rPr>
        <w:t>WtE</w:t>
      </w:r>
      <w:proofErr w:type="spellEnd"/>
      <w:r w:rsidR="00077F4F" w:rsidRPr="00397E9F">
        <w:rPr>
          <w:rFonts w:ascii="Times New Roman" w:hAnsi="Times New Roman" w:cs="Times New Roman"/>
          <w:sz w:val="20"/>
          <w:szCs w:val="20"/>
        </w:rPr>
        <w:t>-</w:t>
      </w:r>
      <w:r w:rsidR="006921D2" w:rsidRPr="00397E9F">
        <w:rPr>
          <w:rFonts w:ascii="Times New Roman" w:hAnsi="Times New Roman" w:cs="Times New Roman"/>
          <w:sz w:val="20"/>
          <w:szCs w:val="20"/>
        </w:rPr>
        <w:t>Circularity framework specifically tailored to vulnerable urban settings.</w:t>
      </w:r>
    </w:p>
    <w:p w14:paraId="1FC914C0" w14:textId="5372CBF2" w:rsidR="006921D2" w:rsidRPr="00397E9F" w:rsidRDefault="006921D2"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lastRenderedPageBreak/>
        <w:t>Climate Resilience and Urban Waste Infrastructure:</w:t>
      </w:r>
      <w:r w:rsidR="00A949FD" w:rsidRPr="00397E9F">
        <w:rPr>
          <w:rFonts w:ascii="Times New Roman" w:hAnsi="Times New Roman" w:cs="Times New Roman"/>
          <w:b/>
          <w:bCs/>
          <w:sz w:val="20"/>
          <w:szCs w:val="20"/>
        </w:rPr>
        <w:t xml:space="preserve"> </w:t>
      </w:r>
      <w:r w:rsidR="00724A2D" w:rsidRPr="00397E9F">
        <w:rPr>
          <w:rFonts w:ascii="Times New Roman" w:hAnsi="Times New Roman" w:cs="Times New Roman"/>
          <w:sz w:val="20"/>
          <w:szCs w:val="20"/>
        </w:rPr>
        <w:t xml:space="preserve">In urban planning, climate resilience in waste management is frequently disregarded. Cyclones, heat waves, and monsoon flooding are examples of extreme weather phenomena that can seriously impair waste collecting systems, overburden </w:t>
      </w:r>
      <w:r w:rsidR="00647646" w:rsidRPr="00397E9F">
        <w:rPr>
          <w:rFonts w:ascii="Times New Roman" w:hAnsi="Times New Roman" w:cs="Times New Roman"/>
          <w:sz w:val="20"/>
          <w:szCs w:val="20"/>
        </w:rPr>
        <w:t xml:space="preserve">waste-to-energy </w:t>
      </w:r>
      <w:r w:rsidR="00724A2D" w:rsidRPr="00397E9F">
        <w:rPr>
          <w:rFonts w:ascii="Times New Roman" w:hAnsi="Times New Roman" w:cs="Times New Roman"/>
          <w:sz w:val="20"/>
          <w:szCs w:val="20"/>
        </w:rPr>
        <w:t xml:space="preserve">facilities, and pollute waste flows (IPCC, 2022). The relationship between waste and climate vulnerability is crucial in megacities like Dhaka, where mismanaged garbage commonly obstructs rainwater drainage. Recent frameworks, such as those from UNDRR and the Global Covenant of Mayors, highlight the importance of adaptive infrastructure capable of withstanding and responding to climate shocks. AI can serve as a resilience enabler by forecasting event-driven waste accumulation, rerouting waste logistics under disaster conditions, and activating decentralized energy reserves in response to grid failures (OECD, 2023). However, academic integration of AI-based resilience forecasting into smart </w:t>
      </w:r>
      <w:r w:rsidR="00647646" w:rsidRPr="00397E9F">
        <w:rPr>
          <w:rFonts w:ascii="Times New Roman" w:hAnsi="Times New Roman" w:cs="Times New Roman"/>
          <w:sz w:val="20"/>
          <w:szCs w:val="20"/>
        </w:rPr>
        <w:t xml:space="preserve">waste-to-energy </w:t>
      </w:r>
      <w:r w:rsidR="00724A2D" w:rsidRPr="00397E9F">
        <w:rPr>
          <w:rFonts w:ascii="Times New Roman" w:hAnsi="Times New Roman" w:cs="Times New Roman"/>
          <w:sz w:val="20"/>
          <w:szCs w:val="20"/>
        </w:rPr>
        <w:t>systems remains limited, particularly in the context of Global South cities.</w:t>
      </w:r>
    </w:p>
    <w:p w14:paraId="0B871775" w14:textId="22C3BC31" w:rsidR="00CE75E7" w:rsidRPr="00397E9F" w:rsidRDefault="00724A2D"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Smart Cities, Digital Twins, and AI for Urban Systems:</w:t>
      </w:r>
      <w:r w:rsidR="00A949FD" w:rsidRPr="00397E9F">
        <w:rPr>
          <w:rFonts w:ascii="Times New Roman" w:hAnsi="Times New Roman" w:cs="Times New Roman"/>
          <w:b/>
          <w:bCs/>
          <w:sz w:val="20"/>
          <w:szCs w:val="20"/>
        </w:rPr>
        <w:t xml:space="preserve"> </w:t>
      </w:r>
      <w:r w:rsidR="002E1319" w:rsidRPr="00397E9F">
        <w:rPr>
          <w:rFonts w:ascii="Times New Roman" w:hAnsi="Times New Roman" w:cs="Times New Roman"/>
          <w:sz w:val="20"/>
          <w:szCs w:val="20"/>
        </w:rPr>
        <w:t>The evolution of smart cities has catalyzed a transformative shift in urban governance, infrastructure, and sustainability planning. Central to this evolution is the integration of Artificial Intelligence (AI) and Digital Twin (DT) technologies that enable real-time modeling, simulation, and optimization of complex urban systems. A digital twin</w:t>
      </w:r>
      <w:r w:rsidR="003B0513" w:rsidRPr="00397E9F">
        <w:rPr>
          <w:rFonts w:ascii="Times New Roman" w:hAnsi="Times New Roman" w:cs="Times New Roman"/>
          <w:sz w:val="20"/>
          <w:szCs w:val="20"/>
        </w:rPr>
        <w:t xml:space="preserve">- </w:t>
      </w:r>
      <w:r w:rsidR="002E1319" w:rsidRPr="00397E9F">
        <w:rPr>
          <w:rFonts w:ascii="Times New Roman" w:hAnsi="Times New Roman" w:cs="Times New Roman"/>
          <w:sz w:val="20"/>
          <w:szCs w:val="20"/>
        </w:rPr>
        <w:t>defined as a virtual replica of a physical system that integrates sensor data, AI, and simulation environments</w:t>
      </w:r>
      <w:r w:rsidR="003B0513" w:rsidRPr="00397E9F">
        <w:rPr>
          <w:rFonts w:ascii="Times New Roman" w:hAnsi="Times New Roman" w:cs="Times New Roman"/>
          <w:sz w:val="20"/>
          <w:szCs w:val="20"/>
        </w:rPr>
        <w:t xml:space="preserve">- </w:t>
      </w:r>
      <w:r w:rsidR="002E1319" w:rsidRPr="00397E9F">
        <w:rPr>
          <w:rFonts w:ascii="Times New Roman" w:hAnsi="Times New Roman" w:cs="Times New Roman"/>
          <w:sz w:val="20"/>
          <w:szCs w:val="20"/>
        </w:rPr>
        <w:t>has emerged as a pivotal tool for enhancing urban resilience, waste infrastructure optimization, and predictive energy management.</w:t>
      </w:r>
      <w:r w:rsidR="00A949FD" w:rsidRPr="00397E9F">
        <w:rPr>
          <w:rFonts w:ascii="Times New Roman" w:hAnsi="Times New Roman" w:cs="Times New Roman"/>
          <w:sz w:val="20"/>
          <w:szCs w:val="20"/>
        </w:rPr>
        <w:t xml:space="preserve"> </w:t>
      </w:r>
      <w:r w:rsidR="00CE75E7" w:rsidRPr="00397E9F">
        <w:rPr>
          <w:rFonts w:ascii="Times New Roman" w:hAnsi="Times New Roman" w:cs="Times New Roman"/>
          <w:sz w:val="20"/>
          <w:szCs w:val="20"/>
        </w:rPr>
        <w:t>AI-powered digital twins are being used more and more in smart city frameworks to monitor and control air quality, energy use, traffic congestion, and municipal solid waste (MSW) networks. Cities such as Singapore (Virtual Singapore project) and Hangzhou (City Brain), for example, have deployed extensive digital twin platforms that integrate AI analytics with IoT sensor streams to dynamically optimize urban operations. Multi-scenario planning, shock simulations (such as monsoon flooding), and decentralized system resistance to climatic stressors are all supported by these models. Digital twins, in particular, can model waste inflow patterns, combustion performance, and storage optimization for waste-to-energy (</w:t>
      </w:r>
      <w:proofErr w:type="spellStart"/>
      <w:r w:rsidR="00CE75E7" w:rsidRPr="00397E9F">
        <w:rPr>
          <w:rFonts w:ascii="Times New Roman" w:hAnsi="Times New Roman" w:cs="Times New Roman"/>
          <w:sz w:val="20"/>
          <w:szCs w:val="20"/>
        </w:rPr>
        <w:t>WtE</w:t>
      </w:r>
      <w:proofErr w:type="spellEnd"/>
      <w:r w:rsidR="00CE75E7" w:rsidRPr="00397E9F">
        <w:rPr>
          <w:rFonts w:ascii="Times New Roman" w:hAnsi="Times New Roman" w:cs="Times New Roman"/>
          <w:sz w:val="20"/>
          <w:szCs w:val="20"/>
        </w:rPr>
        <w:t>) systems, resulting in notable decreases in energy loss and unscheduled downtimes. Additionally, self-learning city models with agent-based modeling, anomaly detection, and edge computing for localized waste logistics are made possible by AI–IoT integration within digital twins. Through ongoing feedback loops, AI algorithms</w:t>
      </w:r>
      <w:r w:rsidR="00A949FD" w:rsidRPr="00397E9F">
        <w:rPr>
          <w:rFonts w:ascii="Times New Roman" w:hAnsi="Times New Roman" w:cs="Times New Roman"/>
          <w:sz w:val="20"/>
          <w:szCs w:val="20"/>
        </w:rPr>
        <w:t>,</w:t>
      </w:r>
      <w:r w:rsidR="00CE75E7" w:rsidRPr="00397E9F">
        <w:rPr>
          <w:rFonts w:ascii="Times New Roman" w:hAnsi="Times New Roman" w:cs="Times New Roman"/>
          <w:sz w:val="20"/>
          <w:szCs w:val="20"/>
        </w:rPr>
        <w:t xml:space="preserve"> particularly deep neural networks and reinforcement learning</w:t>
      </w:r>
      <w:r w:rsidR="00A949FD" w:rsidRPr="00397E9F">
        <w:rPr>
          <w:rFonts w:ascii="Times New Roman" w:hAnsi="Times New Roman" w:cs="Times New Roman"/>
          <w:sz w:val="20"/>
          <w:szCs w:val="20"/>
        </w:rPr>
        <w:t>,</w:t>
      </w:r>
      <w:r w:rsidR="00CE75E7" w:rsidRPr="00397E9F">
        <w:rPr>
          <w:rFonts w:ascii="Times New Roman" w:hAnsi="Times New Roman" w:cs="Times New Roman"/>
          <w:sz w:val="20"/>
          <w:szCs w:val="20"/>
        </w:rPr>
        <w:t xml:space="preserve"> assist in improving the twins' reaction methods as urban data rises exponentially. Megacities in the Global South, where unstable environmental conditions and fragmented infrastructure demand quick, data-driven solutions, require this kind of adaptive intelligence. Additionally, digital twins facilitate the investigation of urban metabolism by mapping resource inputs and outflows and identifying inefficiencies in the energy, waste, and water cycles. They facilitate equal access to services, multi-stakeholder collaboration, and participatory planning when integrated into smart city administration. In disaster-prone megacities like Dhaka, the combination of artificial intelligence (AI), digital twins, and climate-responsive governance holds great promise for next-generation </w:t>
      </w:r>
      <w:proofErr w:type="spellStart"/>
      <w:r w:rsidR="00CE75E7" w:rsidRPr="00397E9F">
        <w:rPr>
          <w:rFonts w:ascii="Times New Roman" w:hAnsi="Times New Roman" w:cs="Times New Roman"/>
          <w:sz w:val="20"/>
          <w:szCs w:val="20"/>
        </w:rPr>
        <w:t>WtE</w:t>
      </w:r>
      <w:proofErr w:type="spellEnd"/>
      <w:r w:rsidR="00CE75E7" w:rsidRPr="00397E9F">
        <w:rPr>
          <w:rFonts w:ascii="Times New Roman" w:hAnsi="Times New Roman" w:cs="Times New Roman"/>
          <w:sz w:val="20"/>
          <w:szCs w:val="20"/>
        </w:rPr>
        <w:t xml:space="preserve"> networks, including proactive waste stream classification, circularity tracking, and decentralized energy transfer.</w:t>
      </w:r>
      <w:r w:rsidR="00A949FD" w:rsidRPr="00397E9F">
        <w:rPr>
          <w:rFonts w:ascii="Times New Roman" w:hAnsi="Times New Roman" w:cs="Times New Roman"/>
          <w:sz w:val="20"/>
          <w:szCs w:val="20"/>
        </w:rPr>
        <w:t xml:space="preserve"> </w:t>
      </w:r>
      <w:r w:rsidR="00CE75E7" w:rsidRPr="00397E9F">
        <w:rPr>
          <w:rFonts w:ascii="Times New Roman" w:hAnsi="Times New Roman" w:cs="Times New Roman"/>
          <w:sz w:val="20"/>
          <w:szCs w:val="20"/>
        </w:rPr>
        <w:t>Notwithstanding these developments, issues with standards, data interoperability, privacy, and the scalability of AI-DT systems in a range of socioeconomic scenarios still exist. To guarantee that smart city technologies are both egalitarian and sustainable, future research must concentrate on open-source urban digital twins, cross-sectoral interoperability frameworks, and inclusive AI governance.</w:t>
      </w:r>
    </w:p>
    <w:p w14:paraId="308B83AD" w14:textId="18D0D9FB" w:rsidR="00CE75E7" w:rsidRPr="00397E9F" w:rsidRDefault="00CE75E7"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Integrated AI–IoT–Blockchain Synergies in Waste Management:</w:t>
      </w:r>
      <w:r w:rsidR="00A949FD" w:rsidRPr="00397E9F">
        <w:rPr>
          <w:rFonts w:ascii="Times New Roman" w:hAnsi="Times New Roman" w:cs="Times New Roman"/>
          <w:b/>
          <w:bCs/>
          <w:sz w:val="20"/>
          <w:szCs w:val="20"/>
        </w:rPr>
        <w:t xml:space="preserve"> </w:t>
      </w:r>
      <w:r w:rsidR="005027A2" w:rsidRPr="00397E9F">
        <w:rPr>
          <w:rFonts w:ascii="Times New Roman" w:hAnsi="Times New Roman" w:cs="Times New Roman"/>
          <w:sz w:val="20"/>
          <w:szCs w:val="20"/>
        </w:rPr>
        <w:t>The convergence of Artificial Intelligence (AI), Internet of Things (IoT), and Blockchain technologies is redefining the governance of waste-to-energy (</w:t>
      </w:r>
      <w:proofErr w:type="spellStart"/>
      <w:r w:rsidR="005027A2" w:rsidRPr="00397E9F">
        <w:rPr>
          <w:rFonts w:ascii="Times New Roman" w:hAnsi="Times New Roman" w:cs="Times New Roman"/>
          <w:sz w:val="20"/>
          <w:szCs w:val="20"/>
        </w:rPr>
        <w:t>WtE</w:t>
      </w:r>
      <w:proofErr w:type="spellEnd"/>
      <w:r w:rsidR="005027A2" w:rsidRPr="00397E9F">
        <w:rPr>
          <w:rFonts w:ascii="Times New Roman" w:hAnsi="Times New Roman" w:cs="Times New Roman"/>
          <w:sz w:val="20"/>
          <w:szCs w:val="20"/>
        </w:rPr>
        <w:t xml:space="preserve">) systems. Blockchain ensures data integrity, transparency, and accountability in decentralized waste </w:t>
      </w:r>
      <w:r w:rsidR="005027A2" w:rsidRPr="00397E9F">
        <w:rPr>
          <w:rFonts w:ascii="Times New Roman" w:hAnsi="Times New Roman" w:cs="Times New Roman"/>
          <w:sz w:val="20"/>
          <w:szCs w:val="20"/>
        </w:rPr>
        <w:lastRenderedPageBreak/>
        <w:t xml:space="preserve">management by enabling tamper-proof recording of transactions and real-time verification of operations. </w:t>
      </w:r>
      <w:r w:rsidR="003C7895" w:rsidRPr="00397E9F">
        <w:rPr>
          <w:rFonts w:ascii="Times New Roman" w:hAnsi="Times New Roman" w:cs="Times New Roman"/>
          <w:sz w:val="20"/>
          <w:szCs w:val="20"/>
        </w:rPr>
        <w:t xml:space="preserve">It facilitates dynamic waste tracking, automated decision-making, and smart contract-based service enforcement when combined with AI and IoT. Token-based incentive strategies, such as those shown by Plastic Bank and </w:t>
      </w:r>
      <w:proofErr w:type="spellStart"/>
      <w:r w:rsidR="003C7895" w:rsidRPr="00397E9F">
        <w:rPr>
          <w:rFonts w:ascii="Times New Roman" w:hAnsi="Times New Roman" w:cs="Times New Roman"/>
          <w:sz w:val="20"/>
          <w:szCs w:val="20"/>
        </w:rPr>
        <w:t>Swachhcoin</w:t>
      </w:r>
      <w:proofErr w:type="spellEnd"/>
      <w:r w:rsidR="003C7895" w:rsidRPr="00397E9F">
        <w:rPr>
          <w:rFonts w:ascii="Times New Roman" w:hAnsi="Times New Roman" w:cs="Times New Roman"/>
          <w:sz w:val="20"/>
          <w:szCs w:val="20"/>
        </w:rPr>
        <w:t xml:space="preserve">, encourage appropriate recycling and waste segregation and promote public participation. IoT sensors track the flow of garbage, AI analyzes trends and predicts requirements, and blockchain securely verifies and records every operation. This trinity prevents unlawful dumping and misreporting while facilitating transparent circular value chains. These synergies guarantee operational effectiveness, resource recovery verification, and climate-smart policy compliance in smart </w:t>
      </w:r>
      <w:proofErr w:type="spellStart"/>
      <w:r w:rsidR="003C7895" w:rsidRPr="00397E9F">
        <w:rPr>
          <w:rFonts w:ascii="Times New Roman" w:hAnsi="Times New Roman" w:cs="Times New Roman"/>
          <w:sz w:val="20"/>
          <w:szCs w:val="20"/>
        </w:rPr>
        <w:t>WtE</w:t>
      </w:r>
      <w:proofErr w:type="spellEnd"/>
      <w:r w:rsidR="003C7895" w:rsidRPr="00397E9F">
        <w:rPr>
          <w:rFonts w:ascii="Times New Roman" w:hAnsi="Times New Roman" w:cs="Times New Roman"/>
          <w:sz w:val="20"/>
          <w:szCs w:val="20"/>
        </w:rPr>
        <w:t xml:space="preserve"> contexts, particularly in metropolitan areas that are fragile and have little institutional control.</w:t>
      </w:r>
    </w:p>
    <w:p w14:paraId="00B33F09" w14:textId="3478ABA0" w:rsidR="004405DD" w:rsidRPr="00397E9F" w:rsidRDefault="004405DD"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Life Cycle Assessment (LCA) and AI-Enhanced Sustainability Metrics:</w:t>
      </w:r>
      <w:r w:rsidR="00A949FD" w:rsidRPr="00397E9F">
        <w:rPr>
          <w:rFonts w:ascii="Times New Roman" w:hAnsi="Times New Roman" w:cs="Times New Roman"/>
          <w:b/>
          <w:bCs/>
          <w:sz w:val="20"/>
          <w:szCs w:val="20"/>
        </w:rPr>
        <w:t xml:space="preserve"> </w:t>
      </w:r>
      <w:r w:rsidRPr="00397E9F">
        <w:rPr>
          <w:rFonts w:ascii="Times New Roman" w:hAnsi="Times New Roman" w:cs="Times New Roman"/>
          <w:sz w:val="20"/>
          <w:szCs w:val="20"/>
        </w:rPr>
        <w:t>Life Cycle Assessment (LCA) is essential for evaluating the environmental and economic sustainability of Waste-to-Energy (</w:t>
      </w:r>
      <w:proofErr w:type="spellStart"/>
      <w:r w:rsidRPr="00397E9F">
        <w:rPr>
          <w:rFonts w:ascii="Times New Roman" w:hAnsi="Times New Roman" w:cs="Times New Roman"/>
          <w:sz w:val="20"/>
          <w:szCs w:val="20"/>
        </w:rPr>
        <w:t>WtE</w:t>
      </w:r>
      <w:proofErr w:type="spellEnd"/>
      <w:r w:rsidRPr="00397E9F">
        <w:rPr>
          <w:rFonts w:ascii="Times New Roman" w:hAnsi="Times New Roman" w:cs="Times New Roman"/>
          <w:sz w:val="20"/>
          <w:szCs w:val="20"/>
        </w:rPr>
        <w:t xml:space="preserve">) systems. The integration of AI enhances LCA accuracy and adaptability by enabling dynamic, real-time modeling of emissions, energy yield, and resource recovery. AI-powered technologies, such as </w:t>
      </w:r>
      <w:proofErr w:type="spellStart"/>
      <w:r w:rsidRPr="00397E9F">
        <w:rPr>
          <w:rFonts w:ascii="Times New Roman" w:hAnsi="Times New Roman" w:cs="Times New Roman"/>
          <w:sz w:val="20"/>
          <w:szCs w:val="20"/>
        </w:rPr>
        <w:t>openLCA</w:t>
      </w:r>
      <w:proofErr w:type="spellEnd"/>
      <w:r w:rsidRPr="00397E9F">
        <w:rPr>
          <w:rFonts w:ascii="Times New Roman" w:hAnsi="Times New Roman" w:cs="Times New Roman"/>
          <w:sz w:val="20"/>
          <w:szCs w:val="20"/>
        </w:rPr>
        <w:t xml:space="preserve"> and AI-assisted </w:t>
      </w:r>
      <w:proofErr w:type="spellStart"/>
      <w:r w:rsidRPr="00397E9F">
        <w:rPr>
          <w:rFonts w:ascii="Times New Roman" w:hAnsi="Times New Roman" w:cs="Times New Roman"/>
          <w:sz w:val="20"/>
          <w:szCs w:val="20"/>
        </w:rPr>
        <w:t>SimaPro</w:t>
      </w:r>
      <w:proofErr w:type="spellEnd"/>
      <w:r w:rsidRPr="00397E9F">
        <w:rPr>
          <w:rFonts w:ascii="Times New Roman" w:hAnsi="Times New Roman" w:cs="Times New Roman"/>
          <w:sz w:val="20"/>
          <w:szCs w:val="20"/>
        </w:rPr>
        <w:t>, can evaluate long-term ecological footprints, automate scenario comparisons, and model energy input-output flows. By using real-time sensor data and accounting for variations in the local waste composition, these systems perform better than static LCAs. According to comparative studies, AI-powered optimized waste-to-energy (</w:t>
      </w:r>
      <w:proofErr w:type="spellStart"/>
      <w:r w:rsidRPr="00397E9F">
        <w:rPr>
          <w:rFonts w:ascii="Times New Roman" w:hAnsi="Times New Roman" w:cs="Times New Roman"/>
          <w:sz w:val="20"/>
          <w:szCs w:val="20"/>
        </w:rPr>
        <w:t>WtE</w:t>
      </w:r>
      <w:proofErr w:type="spellEnd"/>
      <w:r w:rsidRPr="00397E9F">
        <w:rPr>
          <w:rFonts w:ascii="Times New Roman" w:hAnsi="Times New Roman" w:cs="Times New Roman"/>
          <w:sz w:val="20"/>
          <w:szCs w:val="20"/>
        </w:rPr>
        <w:t xml:space="preserve">) systems can achieve higher energy efficiency and much lower greenhouse gas emissions than conventional landfilling or incineration. </w:t>
      </w:r>
      <w:r w:rsidR="004E0729" w:rsidRPr="00397E9F">
        <w:rPr>
          <w:rFonts w:ascii="Times New Roman" w:hAnsi="Times New Roman" w:cs="Times New Roman"/>
          <w:sz w:val="20"/>
          <w:szCs w:val="20"/>
        </w:rPr>
        <w:t>This kind</w:t>
      </w:r>
      <w:r w:rsidRPr="00397E9F">
        <w:rPr>
          <w:rFonts w:ascii="Times New Roman" w:hAnsi="Times New Roman" w:cs="Times New Roman"/>
          <w:sz w:val="20"/>
          <w:szCs w:val="20"/>
        </w:rPr>
        <w:t xml:space="preserve"> of information </w:t>
      </w:r>
      <w:r w:rsidR="004E0729" w:rsidRPr="00397E9F">
        <w:rPr>
          <w:rFonts w:ascii="Times New Roman" w:hAnsi="Times New Roman" w:cs="Times New Roman"/>
          <w:sz w:val="20"/>
          <w:szCs w:val="20"/>
        </w:rPr>
        <w:t>is</w:t>
      </w:r>
      <w:r w:rsidRPr="00397E9F">
        <w:rPr>
          <w:rFonts w:ascii="Times New Roman" w:hAnsi="Times New Roman" w:cs="Times New Roman"/>
          <w:sz w:val="20"/>
          <w:szCs w:val="20"/>
        </w:rPr>
        <w:t xml:space="preserve"> essential for prioritizing sustainable urban investments in megacities, ensuring adherence to circularity metrics, and defending climate financing.</w:t>
      </w:r>
    </w:p>
    <w:p w14:paraId="51B5A645" w14:textId="4BCDCBD1" w:rsidR="004E0729" w:rsidRPr="00397E9F" w:rsidRDefault="004E0729"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Social and Governance Dimensions of AI–</w:t>
      </w:r>
      <w:proofErr w:type="spellStart"/>
      <w:r w:rsidRPr="00397E9F">
        <w:rPr>
          <w:rFonts w:ascii="Times New Roman" w:hAnsi="Times New Roman" w:cs="Times New Roman"/>
          <w:b/>
          <w:bCs/>
          <w:sz w:val="20"/>
          <w:szCs w:val="20"/>
        </w:rPr>
        <w:t>WtE</w:t>
      </w:r>
      <w:proofErr w:type="spellEnd"/>
      <w:r w:rsidRPr="00397E9F">
        <w:rPr>
          <w:rFonts w:ascii="Times New Roman" w:hAnsi="Times New Roman" w:cs="Times New Roman"/>
          <w:b/>
          <w:bCs/>
          <w:sz w:val="20"/>
          <w:szCs w:val="20"/>
        </w:rPr>
        <w:t xml:space="preserve"> Systems:</w:t>
      </w:r>
      <w:r w:rsidR="00A949FD" w:rsidRPr="00397E9F">
        <w:rPr>
          <w:rFonts w:ascii="Times New Roman" w:hAnsi="Times New Roman" w:cs="Times New Roman"/>
          <w:b/>
          <w:bCs/>
          <w:sz w:val="20"/>
          <w:szCs w:val="20"/>
        </w:rPr>
        <w:t xml:space="preserve"> </w:t>
      </w:r>
      <w:r w:rsidRPr="00397E9F">
        <w:rPr>
          <w:rFonts w:ascii="Times New Roman" w:hAnsi="Times New Roman" w:cs="Times New Roman"/>
          <w:sz w:val="20"/>
          <w:szCs w:val="20"/>
        </w:rPr>
        <w:t xml:space="preserve">Social acceptance and strong governance are essential for the success of AI-powered </w:t>
      </w:r>
      <w:r w:rsidR="00647646" w:rsidRPr="00397E9F">
        <w:rPr>
          <w:rFonts w:ascii="Times New Roman" w:hAnsi="Times New Roman" w:cs="Times New Roman"/>
          <w:sz w:val="20"/>
          <w:szCs w:val="20"/>
        </w:rPr>
        <w:t xml:space="preserve">waste-to-energy </w:t>
      </w:r>
      <w:r w:rsidRPr="00397E9F">
        <w:rPr>
          <w:rFonts w:ascii="Times New Roman" w:hAnsi="Times New Roman" w:cs="Times New Roman"/>
          <w:sz w:val="20"/>
          <w:szCs w:val="20"/>
        </w:rPr>
        <w:t>systems in climate-vulnerable megacities. Despite the promise of technology, issues with data privacy, algorithmic bias, and unequal access to digital tools remain, particularly in informal settlements. Governance mechanisms like UNEP’s Circularity Gap Reports and G20’s Urban20 framework highlight the need for transparent, equitable, and participatory smart waste strategies (UNEP, 2023). Singapore, Seoul, and Kigali case studies show that successful implementation depends on strong institutional capacity, stakeholder engagement, and co-created AI policies that represent local priorities. Ignoring these aspects puts vulnerable groups at risk of techno-solutionism and marginalization.</w:t>
      </w:r>
    </w:p>
    <w:p w14:paraId="64A08632" w14:textId="788408DD" w:rsidR="00612CD3" w:rsidRPr="00397E9F" w:rsidRDefault="00612CD3"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 xml:space="preserve">Comparative Review of Global Smart </w:t>
      </w:r>
      <w:proofErr w:type="spellStart"/>
      <w:r w:rsidRPr="00397E9F">
        <w:rPr>
          <w:rFonts w:ascii="Times New Roman" w:hAnsi="Times New Roman" w:cs="Times New Roman"/>
          <w:b/>
          <w:bCs/>
          <w:sz w:val="20"/>
          <w:szCs w:val="20"/>
        </w:rPr>
        <w:t>WtE</w:t>
      </w:r>
      <w:proofErr w:type="spellEnd"/>
      <w:r w:rsidRPr="00397E9F">
        <w:rPr>
          <w:rFonts w:ascii="Times New Roman" w:hAnsi="Times New Roman" w:cs="Times New Roman"/>
          <w:b/>
          <w:bCs/>
          <w:sz w:val="20"/>
          <w:szCs w:val="20"/>
        </w:rPr>
        <w:t xml:space="preserve"> Deployments:</w:t>
      </w:r>
      <w:r w:rsidR="00A949FD" w:rsidRPr="00397E9F">
        <w:rPr>
          <w:rFonts w:ascii="Times New Roman" w:hAnsi="Times New Roman" w:cs="Times New Roman"/>
          <w:b/>
          <w:bCs/>
          <w:sz w:val="20"/>
          <w:szCs w:val="20"/>
        </w:rPr>
        <w:t xml:space="preserve"> </w:t>
      </w:r>
      <w:r w:rsidRPr="00397E9F">
        <w:rPr>
          <w:rFonts w:ascii="Times New Roman" w:hAnsi="Times New Roman" w:cs="Times New Roman"/>
          <w:sz w:val="20"/>
          <w:szCs w:val="20"/>
        </w:rPr>
        <w:t xml:space="preserve">Important lessons for future design can be learned from global smart </w:t>
      </w:r>
      <w:r w:rsidR="00647646" w:rsidRPr="00397E9F">
        <w:rPr>
          <w:rFonts w:ascii="Times New Roman" w:hAnsi="Times New Roman" w:cs="Times New Roman"/>
          <w:sz w:val="20"/>
          <w:szCs w:val="20"/>
        </w:rPr>
        <w:t xml:space="preserve">waste-to-energy </w:t>
      </w:r>
      <w:r w:rsidRPr="00397E9F">
        <w:rPr>
          <w:rFonts w:ascii="Times New Roman" w:hAnsi="Times New Roman" w:cs="Times New Roman"/>
          <w:sz w:val="20"/>
          <w:szCs w:val="20"/>
        </w:rPr>
        <w:t xml:space="preserve">projects. The efficiency of Amsterdam's AI-based pyrolysis systems is significantly increased by using machine learning for feedstock prediction and emissions management. Smart trash cans in Seoul that are outfitted with RFID and artificial intelligence (AI) analytics enhance recycling compliance and optimize collection routes. Circular integration is best demonstrated by Sweden's national </w:t>
      </w:r>
      <w:r w:rsidR="00647646" w:rsidRPr="00397E9F">
        <w:rPr>
          <w:rFonts w:ascii="Times New Roman" w:hAnsi="Times New Roman" w:cs="Times New Roman"/>
          <w:sz w:val="20"/>
          <w:szCs w:val="20"/>
        </w:rPr>
        <w:t xml:space="preserve">waste-to-energy </w:t>
      </w:r>
      <w:r w:rsidRPr="00397E9F">
        <w:rPr>
          <w:rFonts w:ascii="Times New Roman" w:hAnsi="Times New Roman" w:cs="Times New Roman"/>
          <w:sz w:val="20"/>
          <w:szCs w:val="20"/>
        </w:rPr>
        <w:t>grid, which supplies electricity for district heating. On the other hand, failures in places like Jakarta and Nairobi draw attention to problems like infrastructure overload, misaligned policies, and a lack of digital literacy. Cross-sectoral cooperation, modular technology, and robust data infrastructures are success elements that can be identified with the help of comparative analysis (</w:t>
      </w:r>
      <w:r w:rsidR="00DD076F" w:rsidRPr="00397E9F">
        <w:rPr>
          <w:rFonts w:ascii="Times New Roman" w:hAnsi="Times New Roman" w:cs="Times New Roman"/>
          <w:sz w:val="20"/>
          <w:szCs w:val="20"/>
        </w:rPr>
        <w:t xml:space="preserve">De </w:t>
      </w:r>
      <w:r w:rsidRPr="00397E9F">
        <w:rPr>
          <w:rFonts w:ascii="Times New Roman" w:hAnsi="Times New Roman" w:cs="Times New Roman"/>
          <w:sz w:val="20"/>
          <w:szCs w:val="20"/>
        </w:rPr>
        <w:t>Oliveira</w:t>
      </w:r>
      <w:r w:rsidR="0007519D" w:rsidRPr="00397E9F">
        <w:rPr>
          <w:rFonts w:ascii="Times New Roman" w:hAnsi="Times New Roman" w:cs="Times New Roman"/>
          <w:sz w:val="20"/>
          <w:szCs w:val="20"/>
        </w:rPr>
        <w:t xml:space="preserve"> et al.,</w:t>
      </w:r>
      <w:r w:rsidRPr="00397E9F">
        <w:rPr>
          <w:rFonts w:ascii="Times New Roman" w:hAnsi="Times New Roman" w:cs="Times New Roman"/>
          <w:sz w:val="20"/>
          <w:szCs w:val="20"/>
        </w:rPr>
        <w:t xml:space="preserve"> 2024).</w:t>
      </w:r>
    </w:p>
    <w:p w14:paraId="562C4E65" w14:textId="77777777" w:rsidR="00CD768E" w:rsidRDefault="00CD768E" w:rsidP="006921D2">
      <w:pPr>
        <w:spacing w:after="0" w:line="360" w:lineRule="auto"/>
        <w:jc w:val="both"/>
        <w:rPr>
          <w:rFonts w:ascii="Times New Roman" w:hAnsi="Times New Roman" w:cs="Times New Roman"/>
          <w:sz w:val="20"/>
          <w:szCs w:val="20"/>
        </w:rPr>
      </w:pPr>
    </w:p>
    <w:p w14:paraId="0F534B4E" w14:textId="1E0E2D00" w:rsidR="00A73311" w:rsidRPr="009003BC" w:rsidRDefault="00A73311" w:rsidP="006921D2">
      <w:pPr>
        <w:spacing w:after="0" w:line="360" w:lineRule="auto"/>
        <w:jc w:val="both"/>
        <w:rPr>
          <w:rFonts w:ascii="Times New Roman" w:hAnsi="Times New Roman" w:cs="Times New Roman"/>
          <w:b/>
          <w:bCs/>
          <w:sz w:val="20"/>
          <w:szCs w:val="20"/>
        </w:rPr>
      </w:pPr>
      <w:r w:rsidRPr="009003BC">
        <w:rPr>
          <w:rFonts w:ascii="Times New Roman" w:hAnsi="Times New Roman" w:cs="Times New Roman"/>
          <w:b/>
          <w:bCs/>
          <w:sz w:val="20"/>
          <w:szCs w:val="20"/>
        </w:rPr>
        <w:t>METHODOLOGY</w:t>
      </w:r>
    </w:p>
    <w:p w14:paraId="0B5165EF" w14:textId="5F096BF6" w:rsidR="009003BC" w:rsidRPr="00AB61E8" w:rsidRDefault="009003BC" w:rsidP="00AF3EFB">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Research Framework and Design:</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 xml:space="preserve">This </w:t>
      </w:r>
      <w:r w:rsidR="00B36759">
        <w:rPr>
          <w:rFonts w:ascii="Times New Roman" w:hAnsi="Times New Roman" w:cs="Times New Roman"/>
          <w:sz w:val="20"/>
          <w:szCs w:val="20"/>
        </w:rPr>
        <w:t>research</w:t>
      </w:r>
      <w:r w:rsidRPr="00AB61E8">
        <w:rPr>
          <w:rFonts w:ascii="Times New Roman" w:hAnsi="Times New Roman" w:cs="Times New Roman"/>
          <w:sz w:val="20"/>
          <w:szCs w:val="20"/>
        </w:rPr>
        <w:t xml:space="preserve"> applies a modular, systems-based research design to develop and evaluate the AI</w:t>
      </w:r>
      <w:r w:rsidR="00096719">
        <w:rPr>
          <w:rFonts w:ascii="Times New Roman" w:hAnsi="Times New Roman" w:cs="Times New Roman"/>
          <w:sz w:val="20"/>
          <w:szCs w:val="20"/>
        </w:rPr>
        <w:t>-</w:t>
      </w:r>
      <w:r w:rsidRPr="00AB61E8">
        <w:rPr>
          <w:rFonts w:ascii="Times New Roman" w:hAnsi="Times New Roman" w:cs="Times New Roman"/>
          <w:sz w:val="20"/>
          <w:szCs w:val="20"/>
        </w:rPr>
        <w:t>CIR</w:t>
      </w:r>
      <w:r w:rsidR="00096719">
        <w:rPr>
          <w:rFonts w:ascii="Times New Roman" w:hAnsi="Times New Roman" w:cs="Times New Roman"/>
          <w:sz w:val="20"/>
          <w:szCs w:val="20"/>
        </w:rPr>
        <w:t>-</w:t>
      </w:r>
      <w:proofErr w:type="spellStart"/>
      <w:r w:rsidRPr="00AB61E8">
        <w:rPr>
          <w:rFonts w:ascii="Times New Roman" w:hAnsi="Times New Roman" w:cs="Times New Roman"/>
          <w:sz w:val="20"/>
          <w:szCs w:val="20"/>
        </w:rPr>
        <w:t>WtE</w:t>
      </w:r>
      <w:proofErr w:type="spellEnd"/>
      <w:r w:rsidRPr="00AB61E8">
        <w:rPr>
          <w:rFonts w:ascii="Times New Roman" w:hAnsi="Times New Roman" w:cs="Times New Roman"/>
          <w:sz w:val="20"/>
          <w:szCs w:val="20"/>
        </w:rPr>
        <w:t xml:space="preserve"> framework. The methodology integrates AI modeling, climate simulation, circularity analytics, and digital twin environments through five sequential stages: (</w:t>
      </w:r>
      <w:proofErr w:type="spellStart"/>
      <w:r w:rsidRPr="00AB61E8">
        <w:rPr>
          <w:rFonts w:ascii="Times New Roman" w:hAnsi="Times New Roman" w:cs="Times New Roman"/>
          <w:sz w:val="20"/>
          <w:szCs w:val="20"/>
        </w:rPr>
        <w:t>i</w:t>
      </w:r>
      <w:proofErr w:type="spellEnd"/>
      <w:r w:rsidRPr="00AB61E8">
        <w:rPr>
          <w:rFonts w:ascii="Times New Roman" w:hAnsi="Times New Roman" w:cs="Times New Roman"/>
          <w:sz w:val="20"/>
          <w:szCs w:val="20"/>
        </w:rPr>
        <w:t xml:space="preserve">) Data Acquisition, (ii) AI </w:t>
      </w:r>
      <w:r w:rsidRPr="00AB61E8">
        <w:rPr>
          <w:rFonts w:ascii="Times New Roman" w:hAnsi="Times New Roman" w:cs="Times New Roman"/>
          <w:sz w:val="20"/>
          <w:szCs w:val="20"/>
        </w:rPr>
        <w:lastRenderedPageBreak/>
        <w:t>Engine Development, (iii) System Simulation, (iv) Scenario Testing, and (v) Performance and Policy Evaluation. The approach supports adaptability across infrastructure capacities and climate-vulnerable megacities.</w:t>
      </w:r>
    </w:p>
    <w:p w14:paraId="6BAC7D3B" w14:textId="73A343EC" w:rsidR="00A73311" w:rsidRPr="00AB61E8" w:rsidRDefault="009003BC" w:rsidP="00A43D28">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Data Acquisition and Preprocessing:</w:t>
      </w:r>
      <w:r w:rsidR="00AB61E8" w:rsidRPr="00AB61E8">
        <w:rPr>
          <w:rFonts w:ascii="Times New Roman" w:hAnsi="Times New Roman" w:cs="Times New Roman"/>
          <w:b/>
          <w:bCs/>
          <w:sz w:val="20"/>
          <w:szCs w:val="20"/>
        </w:rPr>
        <w:t xml:space="preserve"> </w:t>
      </w:r>
      <w:r w:rsidR="00F25FAF" w:rsidRPr="00AB61E8">
        <w:rPr>
          <w:rFonts w:ascii="Times New Roman" w:hAnsi="Times New Roman" w:cs="Times New Roman"/>
          <w:sz w:val="20"/>
          <w:szCs w:val="20"/>
        </w:rPr>
        <w:t>Secondary datasets were collected across five domains: solid waste composition, demographic profiles, energy parameters, infrastructure metrics, and climate projections. Data were standardized through normalization, imputation, and feature engineering, forming a city-level temporal-spatial database. Geospatial layers were mapped to administrative units to enable ward-level simulations and AI calibration.</w:t>
      </w:r>
    </w:p>
    <w:p w14:paraId="0EE6BDAC" w14:textId="0823872B" w:rsidR="00F25FAF" w:rsidRPr="00AB61E8" w:rsidRDefault="00F25FAF" w:rsidP="00E77E0A">
      <w:pPr>
        <w:pStyle w:val="ListParagraph"/>
        <w:numPr>
          <w:ilvl w:val="0"/>
          <w:numId w:val="67"/>
        </w:numPr>
        <w:spacing w:after="0" w:line="360" w:lineRule="auto"/>
        <w:jc w:val="both"/>
        <w:rPr>
          <w:sz w:val="20"/>
          <w:szCs w:val="20"/>
        </w:rPr>
      </w:pPr>
      <w:r w:rsidRPr="00AB61E8">
        <w:rPr>
          <w:rFonts w:ascii="Times New Roman" w:hAnsi="Times New Roman" w:cs="Times New Roman"/>
          <w:b/>
          <w:bCs/>
          <w:sz w:val="20"/>
          <w:szCs w:val="20"/>
        </w:rPr>
        <w:t>AI Engine Architecture:</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The AI core includes forecasting, optimization, and decision modules:</w:t>
      </w:r>
    </w:p>
    <w:p w14:paraId="45072283" w14:textId="77777777" w:rsidR="00F25FAF" w:rsidRPr="00F25FAF" w:rsidRDefault="00F25FAF" w:rsidP="00F25FAF">
      <w:pPr>
        <w:pStyle w:val="NormalWeb"/>
        <w:numPr>
          <w:ilvl w:val="0"/>
          <w:numId w:val="66"/>
        </w:numPr>
        <w:spacing w:before="0" w:beforeAutospacing="0" w:after="0" w:afterAutospacing="0" w:line="360" w:lineRule="auto"/>
        <w:jc w:val="both"/>
        <w:rPr>
          <w:sz w:val="20"/>
          <w:szCs w:val="20"/>
        </w:rPr>
      </w:pPr>
      <w:r w:rsidRPr="00F25FAF">
        <w:rPr>
          <w:rStyle w:val="Strong"/>
          <w:sz w:val="20"/>
          <w:szCs w:val="20"/>
        </w:rPr>
        <w:t>Forecasting</w:t>
      </w:r>
      <w:r w:rsidRPr="00F25FAF">
        <w:rPr>
          <w:sz w:val="20"/>
          <w:szCs w:val="20"/>
        </w:rPr>
        <w:t xml:space="preserve">: Time-series models (LSTM and </w:t>
      </w:r>
      <w:proofErr w:type="spellStart"/>
      <w:r w:rsidRPr="00F25FAF">
        <w:rPr>
          <w:sz w:val="20"/>
          <w:szCs w:val="20"/>
        </w:rPr>
        <w:t>XGBoost</w:t>
      </w:r>
      <w:proofErr w:type="spellEnd"/>
      <w:r w:rsidRPr="00F25FAF">
        <w:rPr>
          <w:sz w:val="20"/>
          <w:szCs w:val="20"/>
        </w:rPr>
        <w:t>) predict district-wise MSW trends using multivariate data reflecting seasonal, demographic, and climatic factors.</w:t>
      </w:r>
    </w:p>
    <w:p w14:paraId="3DC3C9D1" w14:textId="77777777" w:rsidR="00F25FAF" w:rsidRPr="00F25FAF" w:rsidRDefault="00F25FAF" w:rsidP="00F25FAF">
      <w:pPr>
        <w:pStyle w:val="NormalWeb"/>
        <w:numPr>
          <w:ilvl w:val="0"/>
          <w:numId w:val="66"/>
        </w:numPr>
        <w:spacing w:before="0" w:beforeAutospacing="0" w:after="0" w:afterAutospacing="0" w:line="360" w:lineRule="auto"/>
        <w:jc w:val="both"/>
        <w:rPr>
          <w:sz w:val="20"/>
          <w:szCs w:val="20"/>
        </w:rPr>
      </w:pPr>
      <w:r w:rsidRPr="00F25FAF">
        <w:rPr>
          <w:rStyle w:val="Strong"/>
          <w:sz w:val="20"/>
          <w:szCs w:val="20"/>
        </w:rPr>
        <w:t>Optimization</w:t>
      </w:r>
      <w:r w:rsidRPr="00F25FAF">
        <w:rPr>
          <w:sz w:val="20"/>
          <w:szCs w:val="20"/>
        </w:rPr>
        <w:t>: A hybrid NSGA-II and GA engine optimizes emissions, cost, and energy yield while maximizing circularity and system efficiency through Pareto-front solutions.</w:t>
      </w:r>
    </w:p>
    <w:p w14:paraId="1B2222AE" w14:textId="77777777" w:rsidR="00F25FAF" w:rsidRPr="00F25FAF" w:rsidRDefault="00F25FAF" w:rsidP="00F25FAF">
      <w:pPr>
        <w:pStyle w:val="NormalWeb"/>
        <w:numPr>
          <w:ilvl w:val="0"/>
          <w:numId w:val="66"/>
        </w:numPr>
        <w:spacing w:before="0" w:beforeAutospacing="0" w:after="0" w:afterAutospacing="0" w:line="360" w:lineRule="auto"/>
        <w:jc w:val="both"/>
        <w:rPr>
          <w:sz w:val="20"/>
          <w:szCs w:val="20"/>
        </w:rPr>
      </w:pPr>
      <w:r w:rsidRPr="00F25FAF">
        <w:rPr>
          <w:rStyle w:val="Strong"/>
          <w:sz w:val="20"/>
          <w:szCs w:val="20"/>
        </w:rPr>
        <w:t>Decision-Making</w:t>
      </w:r>
      <w:r w:rsidRPr="00F25FAF">
        <w:rPr>
          <w:sz w:val="20"/>
          <w:szCs w:val="20"/>
        </w:rPr>
        <w:t>: Adaptive control via fuzzy logic and reinforcement learning ensures dynamic routing, energy load balancing, and fault tolerance under uncertain urban conditions.</w:t>
      </w:r>
    </w:p>
    <w:p w14:paraId="07993931" w14:textId="77777777" w:rsidR="00F25FAF" w:rsidRPr="00F25FAF" w:rsidRDefault="00F25FAF" w:rsidP="00F25FAF">
      <w:pPr>
        <w:pStyle w:val="NormalWeb"/>
        <w:spacing w:before="0" w:beforeAutospacing="0" w:after="0" w:afterAutospacing="0" w:line="360" w:lineRule="auto"/>
        <w:jc w:val="both"/>
        <w:rPr>
          <w:sz w:val="20"/>
          <w:szCs w:val="20"/>
        </w:rPr>
      </w:pPr>
      <w:r w:rsidRPr="00F25FAF">
        <w:rPr>
          <w:sz w:val="20"/>
          <w:szCs w:val="20"/>
        </w:rPr>
        <w:t>Models were tuned through Bayesian optimization and validated using k-fold cross-validation and historical comparisons.</w:t>
      </w:r>
    </w:p>
    <w:p w14:paraId="02A82655" w14:textId="778A2F50" w:rsidR="00F25FAF" w:rsidRPr="00AB61E8" w:rsidRDefault="00F25FAF" w:rsidP="00BA36DC">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Circularity and Resilience Integration:</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The circularity module uses AI-enhanced sensors and classifiers to classify garbage in real-time into streams that are recyclable, biodegradable, and combustible. The dynamic estimation of energy potential is dependent on treatment efficiency, mass, and calorific value. Using regional climate data, the resilience layer simulates flood, heatwave, and grid failure scenarios. To ensure service continuity in the event of an interruption, infrastructure response algorithms model real-time rerouting, energy backup activation, and system reconfiguration.</w:t>
      </w:r>
    </w:p>
    <w:p w14:paraId="74EECA04" w14:textId="3D7FC3E8" w:rsidR="00F25FAF" w:rsidRPr="00AB61E8" w:rsidRDefault="00F25FAF" w:rsidP="002138F6">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Digital Twin Simulation and Deployment:</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Real-time operations of waste flow, energy output, and infrastructure behavior under various scenarios are simulated using a city-scale digital twin that was created on open-source GIS platforms. The digital twin uses the outputs of AI models to display performance, locate bottlenecks in the system, and evaluate adaptive tactics. Decentralized deployment is supported by the framework using waste valorization nodes that are prepared for microgrids.</w:t>
      </w:r>
    </w:p>
    <w:p w14:paraId="54039DAD" w14:textId="6A6C02B0" w:rsidR="00B5253A" w:rsidRPr="00AB61E8" w:rsidRDefault="00B5253A" w:rsidP="004904BE">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Scenario Testing and Performance Metrics:</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Three scenarios are modeled: (</w:t>
      </w:r>
      <w:proofErr w:type="spellStart"/>
      <w:r w:rsidRPr="00AB61E8">
        <w:rPr>
          <w:rFonts w:ascii="Times New Roman" w:hAnsi="Times New Roman" w:cs="Times New Roman"/>
          <w:sz w:val="20"/>
          <w:szCs w:val="20"/>
        </w:rPr>
        <w:t>i</w:t>
      </w:r>
      <w:proofErr w:type="spellEnd"/>
      <w:r w:rsidRPr="00AB61E8">
        <w:rPr>
          <w:rFonts w:ascii="Times New Roman" w:hAnsi="Times New Roman" w:cs="Times New Roman"/>
          <w:sz w:val="20"/>
          <w:szCs w:val="20"/>
        </w:rPr>
        <w:t>) Baseline (no AI), (ii) Partial Digitization, and (iii) Full AI–CIR–</w:t>
      </w:r>
      <w:proofErr w:type="spellStart"/>
      <w:r w:rsidRPr="00AB61E8">
        <w:rPr>
          <w:rFonts w:ascii="Times New Roman" w:hAnsi="Times New Roman" w:cs="Times New Roman"/>
          <w:sz w:val="20"/>
          <w:szCs w:val="20"/>
        </w:rPr>
        <w:t>WtE</w:t>
      </w:r>
      <w:proofErr w:type="spellEnd"/>
      <w:r w:rsidRPr="00AB61E8">
        <w:rPr>
          <w:rFonts w:ascii="Times New Roman" w:hAnsi="Times New Roman" w:cs="Times New Roman"/>
          <w:sz w:val="20"/>
          <w:szCs w:val="20"/>
        </w:rPr>
        <w:t xml:space="preserve"> Deployment. Each scenario is tested under climate stress simulations and evaluated using KPIs: forecasting accuracy, circularity index, emissions reduction, energy yield, and resilience score. Comparative benchmarking is performed against global smart </w:t>
      </w:r>
      <w:proofErr w:type="spellStart"/>
      <w:r w:rsidRPr="00AB61E8">
        <w:rPr>
          <w:rFonts w:ascii="Times New Roman" w:hAnsi="Times New Roman" w:cs="Times New Roman"/>
          <w:sz w:val="20"/>
          <w:szCs w:val="20"/>
        </w:rPr>
        <w:t>WtE</w:t>
      </w:r>
      <w:proofErr w:type="spellEnd"/>
      <w:r w:rsidRPr="00AB61E8">
        <w:rPr>
          <w:rFonts w:ascii="Times New Roman" w:hAnsi="Times New Roman" w:cs="Times New Roman"/>
          <w:sz w:val="20"/>
          <w:szCs w:val="20"/>
        </w:rPr>
        <w:t xml:space="preserve"> models to assess scalability and system superiority.</w:t>
      </w:r>
    </w:p>
    <w:p w14:paraId="210424E7" w14:textId="13597754" w:rsidR="001B0A0C" w:rsidRPr="00AB61E8" w:rsidRDefault="001B0A0C" w:rsidP="00226FBC">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Economic Modeling and Governance Readiness:</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 xml:space="preserve">A financial model compares anticipated energy sales revenue, carbon offsets, and avoided landfill expenses to capital and operating expenses. ROI estimates based on scenarios are performed </w:t>
      </w:r>
      <w:r w:rsidR="0067661B" w:rsidRPr="00AB61E8">
        <w:rPr>
          <w:rFonts w:ascii="Times New Roman" w:hAnsi="Times New Roman" w:cs="Times New Roman"/>
          <w:sz w:val="20"/>
          <w:szCs w:val="20"/>
        </w:rPr>
        <w:t>over</w:t>
      </w:r>
      <w:r w:rsidRPr="00AB61E8">
        <w:rPr>
          <w:rFonts w:ascii="Times New Roman" w:hAnsi="Times New Roman" w:cs="Times New Roman"/>
          <w:sz w:val="20"/>
          <w:szCs w:val="20"/>
        </w:rPr>
        <w:t xml:space="preserve"> several years. To facilitate practical implementation, governance modeling incorporates partnership frameworks (such as PPPs and climate finance tools) and institutional role mapping.</w:t>
      </w:r>
    </w:p>
    <w:p w14:paraId="220A955F" w14:textId="14B33446" w:rsidR="0067661B" w:rsidRPr="00AB61E8" w:rsidRDefault="0067661B" w:rsidP="001327ED">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System Validation and Ethical Safeguards:</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 xml:space="preserve">Economic viability, simulation benchmarking, and performance consistency are used to assess system results. All system components are subject to ethical measures, including data privacy procedures, AI bias detection, and participatory design, which guarantee equity, openness, and inclusive governance. </w:t>
      </w:r>
    </w:p>
    <w:p w14:paraId="120A9CEE" w14:textId="77777777" w:rsidR="009003BC" w:rsidRPr="00B5253A" w:rsidRDefault="009003BC" w:rsidP="00F25FAF">
      <w:pPr>
        <w:spacing w:after="0" w:line="360" w:lineRule="auto"/>
        <w:jc w:val="both"/>
        <w:rPr>
          <w:rFonts w:ascii="Times New Roman" w:hAnsi="Times New Roman" w:cs="Times New Roman"/>
          <w:sz w:val="20"/>
          <w:szCs w:val="20"/>
        </w:rPr>
      </w:pPr>
    </w:p>
    <w:p w14:paraId="136B6118" w14:textId="26455BEC" w:rsidR="00450374" w:rsidRPr="00F25FAF" w:rsidRDefault="00A86150" w:rsidP="00F25FAF">
      <w:pPr>
        <w:spacing w:after="0" w:line="360" w:lineRule="auto"/>
        <w:jc w:val="both"/>
        <w:rPr>
          <w:rFonts w:ascii="Times New Roman" w:hAnsi="Times New Roman" w:cs="Times New Roman"/>
          <w:b/>
          <w:bCs/>
          <w:sz w:val="20"/>
          <w:szCs w:val="20"/>
        </w:rPr>
      </w:pPr>
      <w:r w:rsidRPr="00B5253A">
        <w:rPr>
          <w:rFonts w:ascii="Times New Roman" w:hAnsi="Times New Roman" w:cs="Times New Roman"/>
          <w:b/>
          <w:bCs/>
          <w:sz w:val="20"/>
          <w:szCs w:val="20"/>
        </w:rPr>
        <w:lastRenderedPageBreak/>
        <w:t>PROPOSED</w:t>
      </w:r>
      <w:r w:rsidRPr="00F25FAF">
        <w:rPr>
          <w:rFonts w:ascii="Times New Roman" w:hAnsi="Times New Roman" w:cs="Times New Roman"/>
          <w:b/>
          <w:bCs/>
          <w:sz w:val="20"/>
          <w:szCs w:val="20"/>
        </w:rPr>
        <w:t xml:space="preserve"> FRAMEWORK: AI-CIR-WTE </w:t>
      </w:r>
      <w:r w:rsidR="00450374" w:rsidRPr="00F25FAF">
        <w:rPr>
          <w:rFonts w:ascii="Times New Roman" w:hAnsi="Times New Roman" w:cs="Times New Roman"/>
          <w:b/>
          <w:bCs/>
          <w:sz w:val="20"/>
          <w:szCs w:val="20"/>
        </w:rPr>
        <w:t xml:space="preserve">(ARTIFICIAL INTELLIGENCE FOR CIRCULARITY, INFRASTRUCTURE RESILIENCE, AND WASTE-TO-ENERGY) </w:t>
      </w:r>
    </w:p>
    <w:p w14:paraId="124A968E" w14:textId="6E9BD1DC" w:rsidR="00E870F2" w:rsidRPr="00E870F2" w:rsidRDefault="00E870F2" w:rsidP="00F25FAF">
      <w:pPr>
        <w:spacing w:after="0" w:line="360" w:lineRule="auto"/>
        <w:jc w:val="both"/>
        <w:rPr>
          <w:rFonts w:ascii="Times New Roman" w:eastAsia="Times New Roman" w:hAnsi="Times New Roman" w:cs="Times New Roman"/>
          <w:sz w:val="20"/>
          <w:szCs w:val="20"/>
        </w:rPr>
      </w:pPr>
      <w:r w:rsidRPr="00F25FAF">
        <w:rPr>
          <w:rFonts w:ascii="Times New Roman" w:eastAsia="Times New Roman" w:hAnsi="Times New Roman" w:cs="Times New Roman"/>
          <w:sz w:val="20"/>
          <w:szCs w:val="20"/>
        </w:rPr>
        <w:t>To address the urgent need for climate-adaptive, circular, and data-intelligent waste management in megacities, this research introduces</w:t>
      </w:r>
      <w:r w:rsidRPr="00E870F2">
        <w:rPr>
          <w:rFonts w:ascii="Times New Roman" w:eastAsia="Times New Roman" w:hAnsi="Times New Roman" w:cs="Times New Roman"/>
          <w:sz w:val="20"/>
          <w:szCs w:val="20"/>
        </w:rPr>
        <w:t xml:space="preserve"> the AI</w:t>
      </w:r>
      <w:r w:rsidR="00096719">
        <w:rPr>
          <w:rFonts w:ascii="Times New Roman" w:eastAsia="Times New Roman" w:hAnsi="Times New Roman" w:cs="Times New Roman"/>
          <w:sz w:val="20"/>
          <w:szCs w:val="20"/>
        </w:rPr>
        <w:t>-</w:t>
      </w:r>
      <w:r w:rsidRPr="00E870F2">
        <w:rPr>
          <w:rFonts w:ascii="Times New Roman" w:eastAsia="Times New Roman" w:hAnsi="Times New Roman" w:cs="Times New Roman"/>
          <w:sz w:val="20"/>
          <w:szCs w:val="20"/>
        </w:rPr>
        <w:t>CIR</w:t>
      </w:r>
      <w:r w:rsidR="00096719">
        <w:rPr>
          <w:rFonts w:ascii="Times New Roman" w:eastAsia="Times New Roman" w:hAnsi="Times New Roman" w:cs="Times New Roman"/>
          <w:sz w:val="20"/>
          <w:szCs w:val="20"/>
        </w:rPr>
        <w:t>-</w:t>
      </w:r>
      <w:proofErr w:type="spellStart"/>
      <w:r w:rsidRPr="00E870F2">
        <w:rPr>
          <w:rFonts w:ascii="Times New Roman" w:eastAsia="Times New Roman" w:hAnsi="Times New Roman" w:cs="Times New Roman"/>
          <w:sz w:val="20"/>
          <w:szCs w:val="20"/>
        </w:rPr>
        <w:t>WtE</w:t>
      </w:r>
      <w:proofErr w:type="spellEnd"/>
      <w:r w:rsidRPr="00E870F2">
        <w:rPr>
          <w:rFonts w:ascii="Times New Roman" w:eastAsia="Times New Roman" w:hAnsi="Times New Roman" w:cs="Times New Roman"/>
          <w:sz w:val="20"/>
          <w:szCs w:val="20"/>
        </w:rPr>
        <w:t xml:space="preserve"> Framework</w:t>
      </w:r>
      <w:r>
        <w:rPr>
          <w:rFonts w:ascii="Times New Roman" w:eastAsia="Times New Roman" w:hAnsi="Times New Roman" w:cs="Times New Roman"/>
          <w:sz w:val="20"/>
          <w:szCs w:val="20"/>
        </w:rPr>
        <w:t xml:space="preserve">- </w:t>
      </w:r>
      <w:r w:rsidRPr="00E870F2">
        <w:rPr>
          <w:rFonts w:ascii="Times New Roman" w:eastAsia="Times New Roman" w:hAnsi="Times New Roman" w:cs="Times New Roman"/>
          <w:sz w:val="20"/>
          <w:szCs w:val="20"/>
        </w:rPr>
        <w:t>an integrated architecture combining artificial intelligence, climate analytics, and digital twin technology to optimize solid waste valorization and urban infrastructure resilience. The model is designed for scalability in Global South contexts and supports both centralized and decentralized waste-to-energy (</w:t>
      </w:r>
      <w:proofErr w:type="spellStart"/>
      <w:r w:rsidRPr="00E870F2">
        <w:rPr>
          <w:rFonts w:ascii="Times New Roman" w:eastAsia="Times New Roman" w:hAnsi="Times New Roman" w:cs="Times New Roman"/>
          <w:sz w:val="20"/>
          <w:szCs w:val="20"/>
        </w:rPr>
        <w:t>WtE</w:t>
      </w:r>
      <w:proofErr w:type="spellEnd"/>
      <w:r w:rsidRPr="00E870F2">
        <w:rPr>
          <w:rFonts w:ascii="Times New Roman" w:eastAsia="Times New Roman" w:hAnsi="Times New Roman" w:cs="Times New Roman"/>
          <w:sz w:val="20"/>
          <w:szCs w:val="20"/>
        </w:rPr>
        <w:t>) pathways.</w:t>
      </w:r>
    </w:p>
    <w:p w14:paraId="0544B25A" w14:textId="1B532FBE" w:rsidR="002E1319" w:rsidRPr="003238FE" w:rsidRDefault="00E870F2" w:rsidP="008B1028">
      <w:pPr>
        <w:pStyle w:val="ListParagraph"/>
        <w:numPr>
          <w:ilvl w:val="0"/>
          <w:numId w:val="3"/>
        </w:numPr>
        <w:spacing w:after="0" w:line="360" w:lineRule="auto"/>
        <w:jc w:val="both"/>
        <w:outlineLvl w:val="2"/>
        <w:rPr>
          <w:rFonts w:ascii="Times New Roman" w:hAnsi="Times New Roman" w:cs="Times New Roman"/>
          <w:sz w:val="20"/>
          <w:szCs w:val="20"/>
        </w:rPr>
      </w:pPr>
      <w:r w:rsidRPr="003238FE">
        <w:rPr>
          <w:rFonts w:ascii="Times New Roman" w:eastAsia="Times New Roman" w:hAnsi="Times New Roman" w:cs="Times New Roman"/>
          <w:b/>
          <w:bCs/>
          <w:sz w:val="20"/>
          <w:szCs w:val="20"/>
        </w:rPr>
        <w:t xml:space="preserve">Input Layer (Multisource Urban Waste Intelligence): </w:t>
      </w:r>
      <w:r w:rsidR="00E07D17" w:rsidRPr="003238FE">
        <w:rPr>
          <w:rFonts w:ascii="Times New Roman" w:hAnsi="Times New Roman" w:cs="Times New Roman"/>
          <w:sz w:val="20"/>
          <w:szCs w:val="20"/>
        </w:rPr>
        <w:t>The system starts by ingesting diverse, multi-scalar solid waste generating datasets from open data portals at the city level, the World Bank (2023), and UN-Habitat (2022). AI pre-processing methods are used to harmonize these datasets in order to create a dynamic baseline for predicting and simulation.</w:t>
      </w:r>
    </w:p>
    <w:p w14:paraId="092DBD80" w14:textId="389CA31D" w:rsidR="00DE0FD0" w:rsidRPr="003238FE" w:rsidRDefault="00F23AE9" w:rsidP="008B1028">
      <w:pPr>
        <w:pStyle w:val="ListParagraph"/>
        <w:numPr>
          <w:ilvl w:val="0"/>
          <w:numId w:val="3"/>
        </w:numPr>
        <w:spacing w:after="0" w:line="360" w:lineRule="auto"/>
        <w:jc w:val="both"/>
        <w:outlineLvl w:val="2"/>
        <w:rPr>
          <w:sz w:val="20"/>
          <w:szCs w:val="20"/>
        </w:rPr>
      </w:pPr>
      <w:r w:rsidRPr="003238FE">
        <w:rPr>
          <w:rFonts w:ascii="Times New Roman" w:eastAsia="Times New Roman" w:hAnsi="Times New Roman" w:cs="Times New Roman"/>
          <w:b/>
          <w:bCs/>
          <w:sz w:val="20"/>
          <w:szCs w:val="20"/>
        </w:rPr>
        <w:t>AI Core Engine:</w:t>
      </w:r>
      <w:r w:rsidR="003238FE" w:rsidRPr="003238FE">
        <w:rPr>
          <w:rFonts w:ascii="Times New Roman" w:eastAsia="Times New Roman" w:hAnsi="Times New Roman" w:cs="Times New Roman"/>
          <w:b/>
          <w:bCs/>
          <w:sz w:val="20"/>
          <w:szCs w:val="20"/>
        </w:rPr>
        <w:t xml:space="preserve"> </w:t>
      </w:r>
      <w:r w:rsidR="00DE0FD0" w:rsidRPr="003238FE">
        <w:rPr>
          <w:rFonts w:ascii="Times New Roman" w:hAnsi="Times New Roman" w:cs="Times New Roman"/>
          <w:sz w:val="20"/>
          <w:szCs w:val="20"/>
        </w:rPr>
        <w:t>The AI layer comprises three sub-modules:</w:t>
      </w:r>
    </w:p>
    <w:p w14:paraId="3ACB9398" w14:textId="03F92AAD" w:rsidR="00DE0FD0" w:rsidRPr="00DE0FD0" w:rsidRDefault="00DE0FD0" w:rsidP="008B1028">
      <w:pPr>
        <w:pStyle w:val="NormalWeb"/>
        <w:numPr>
          <w:ilvl w:val="0"/>
          <w:numId w:val="2"/>
        </w:numPr>
        <w:spacing w:before="0" w:beforeAutospacing="0" w:after="0" w:afterAutospacing="0" w:line="360" w:lineRule="auto"/>
        <w:jc w:val="both"/>
        <w:rPr>
          <w:sz w:val="20"/>
          <w:szCs w:val="20"/>
        </w:rPr>
      </w:pPr>
      <w:r w:rsidRPr="00DE0FD0">
        <w:rPr>
          <w:rStyle w:val="Strong"/>
          <w:sz w:val="20"/>
          <w:szCs w:val="20"/>
        </w:rPr>
        <w:t>Forecasting</w:t>
      </w:r>
      <w:r w:rsidRPr="00DE0FD0">
        <w:rPr>
          <w:sz w:val="20"/>
          <w:szCs w:val="20"/>
        </w:rPr>
        <w:t xml:space="preserve">: Advanced temporal models like </w:t>
      </w:r>
      <w:r w:rsidRPr="00DE0FD0">
        <w:rPr>
          <w:rStyle w:val="Strong"/>
          <w:b w:val="0"/>
          <w:bCs w:val="0"/>
          <w:sz w:val="20"/>
          <w:szCs w:val="20"/>
        </w:rPr>
        <w:t>Long Short-Term Memory (LSTM)</w:t>
      </w:r>
      <w:r w:rsidRPr="00DE0FD0">
        <w:rPr>
          <w:sz w:val="20"/>
          <w:szCs w:val="20"/>
        </w:rPr>
        <w:t xml:space="preserve"> and </w:t>
      </w:r>
      <w:proofErr w:type="spellStart"/>
      <w:r w:rsidRPr="00DE0FD0">
        <w:rPr>
          <w:rStyle w:val="Strong"/>
          <w:b w:val="0"/>
          <w:bCs w:val="0"/>
          <w:sz w:val="20"/>
          <w:szCs w:val="20"/>
        </w:rPr>
        <w:t>XGBoost</w:t>
      </w:r>
      <w:proofErr w:type="spellEnd"/>
      <w:r w:rsidRPr="00DE0FD0">
        <w:rPr>
          <w:b/>
          <w:bCs/>
          <w:sz w:val="20"/>
          <w:szCs w:val="20"/>
        </w:rPr>
        <w:t xml:space="preserve"> </w:t>
      </w:r>
      <w:r w:rsidRPr="00DE0FD0">
        <w:rPr>
          <w:sz w:val="20"/>
          <w:szCs w:val="20"/>
        </w:rPr>
        <w:t>are applied to predict district-wise waste generation, considering seasonal variation, socioeconomic indicators, and climate stressors.</w:t>
      </w:r>
    </w:p>
    <w:p w14:paraId="2EE9FB9F" w14:textId="7B328D36" w:rsidR="00DE0FD0" w:rsidRPr="00DE0FD0" w:rsidRDefault="00DE0FD0" w:rsidP="008B1028">
      <w:pPr>
        <w:pStyle w:val="NormalWeb"/>
        <w:numPr>
          <w:ilvl w:val="0"/>
          <w:numId w:val="2"/>
        </w:numPr>
        <w:spacing w:before="0" w:beforeAutospacing="0" w:after="0" w:afterAutospacing="0" w:line="360" w:lineRule="auto"/>
        <w:jc w:val="both"/>
        <w:rPr>
          <w:sz w:val="20"/>
          <w:szCs w:val="20"/>
        </w:rPr>
      </w:pPr>
      <w:r w:rsidRPr="00DE0FD0">
        <w:rPr>
          <w:rStyle w:val="Strong"/>
          <w:sz w:val="20"/>
          <w:szCs w:val="20"/>
        </w:rPr>
        <w:t>Optimization</w:t>
      </w:r>
      <w:r w:rsidRPr="00DE0FD0">
        <w:rPr>
          <w:sz w:val="20"/>
          <w:szCs w:val="20"/>
        </w:rPr>
        <w:t xml:space="preserve">: </w:t>
      </w:r>
      <w:r w:rsidRPr="00DE0FD0">
        <w:rPr>
          <w:rStyle w:val="Strong"/>
          <w:b w:val="0"/>
          <w:bCs w:val="0"/>
          <w:sz w:val="20"/>
          <w:szCs w:val="20"/>
        </w:rPr>
        <w:t>Multi-objective optimization algorithms</w:t>
      </w:r>
      <w:r w:rsidRPr="00DE0FD0">
        <w:rPr>
          <w:sz w:val="20"/>
          <w:szCs w:val="20"/>
        </w:rPr>
        <w:t xml:space="preserve"> such as </w:t>
      </w:r>
      <w:r w:rsidRPr="00DE0FD0">
        <w:rPr>
          <w:rStyle w:val="Strong"/>
          <w:b w:val="0"/>
          <w:bCs w:val="0"/>
          <w:sz w:val="20"/>
          <w:szCs w:val="20"/>
        </w:rPr>
        <w:t>NSGA-II</w:t>
      </w:r>
      <w:r w:rsidRPr="00DE0FD0">
        <w:rPr>
          <w:sz w:val="20"/>
          <w:szCs w:val="20"/>
        </w:rPr>
        <w:t xml:space="preserve"> and </w:t>
      </w:r>
      <w:r w:rsidRPr="00DE0FD0">
        <w:rPr>
          <w:rStyle w:val="Strong"/>
          <w:b w:val="0"/>
          <w:bCs w:val="0"/>
          <w:sz w:val="20"/>
          <w:szCs w:val="20"/>
        </w:rPr>
        <w:t>Genetic Algorithms</w:t>
      </w:r>
      <w:r w:rsidRPr="00DE0FD0">
        <w:rPr>
          <w:sz w:val="20"/>
          <w:szCs w:val="20"/>
        </w:rPr>
        <w:t xml:space="preserve"> are used to simultaneously minimize emissions, collection costs, and energy loss while maximizing circularity and infrastructure efficiency.</w:t>
      </w:r>
    </w:p>
    <w:p w14:paraId="6166CE96" w14:textId="5459AAD4" w:rsidR="00DE0FD0" w:rsidRPr="00DE0FD0" w:rsidRDefault="00DE0FD0" w:rsidP="008B1028">
      <w:pPr>
        <w:pStyle w:val="NormalWeb"/>
        <w:numPr>
          <w:ilvl w:val="0"/>
          <w:numId w:val="2"/>
        </w:numPr>
        <w:spacing w:before="0" w:beforeAutospacing="0" w:after="0" w:afterAutospacing="0" w:line="360" w:lineRule="auto"/>
        <w:jc w:val="both"/>
        <w:rPr>
          <w:sz w:val="20"/>
          <w:szCs w:val="20"/>
        </w:rPr>
      </w:pPr>
      <w:r w:rsidRPr="00DE0FD0">
        <w:rPr>
          <w:rStyle w:val="Strong"/>
          <w:sz w:val="20"/>
          <w:szCs w:val="20"/>
        </w:rPr>
        <w:t>Decision-making</w:t>
      </w:r>
      <w:r w:rsidRPr="00DE0FD0">
        <w:rPr>
          <w:sz w:val="20"/>
          <w:szCs w:val="20"/>
        </w:rPr>
        <w:t xml:space="preserve">: Hybrid approaches using </w:t>
      </w:r>
      <w:r w:rsidRPr="00DE0FD0">
        <w:rPr>
          <w:rStyle w:val="Strong"/>
          <w:b w:val="0"/>
          <w:bCs w:val="0"/>
          <w:sz w:val="20"/>
          <w:szCs w:val="20"/>
        </w:rPr>
        <w:t>fuzzy logic</w:t>
      </w:r>
      <w:r w:rsidRPr="00DE0FD0">
        <w:rPr>
          <w:b/>
          <w:bCs/>
          <w:sz w:val="20"/>
          <w:szCs w:val="20"/>
        </w:rPr>
        <w:t xml:space="preserve"> </w:t>
      </w:r>
      <w:r w:rsidRPr="00DE0FD0">
        <w:rPr>
          <w:sz w:val="20"/>
          <w:szCs w:val="20"/>
        </w:rPr>
        <w:t>and</w:t>
      </w:r>
      <w:r w:rsidRPr="00DE0FD0">
        <w:rPr>
          <w:b/>
          <w:bCs/>
          <w:sz w:val="20"/>
          <w:szCs w:val="20"/>
        </w:rPr>
        <w:t xml:space="preserve"> </w:t>
      </w:r>
      <w:r w:rsidRPr="00DE0FD0">
        <w:rPr>
          <w:rStyle w:val="Strong"/>
          <w:b w:val="0"/>
          <w:bCs w:val="0"/>
          <w:sz w:val="20"/>
          <w:szCs w:val="20"/>
        </w:rPr>
        <w:t>reinforcement learning</w:t>
      </w:r>
      <w:r w:rsidRPr="00DE0FD0">
        <w:rPr>
          <w:sz w:val="20"/>
          <w:szCs w:val="20"/>
        </w:rPr>
        <w:t xml:space="preserve"> enable adaptive waste logistics routing, resource prioritization, and fault-tolerant operational control in real time.</w:t>
      </w:r>
    </w:p>
    <w:p w14:paraId="7EB2487A" w14:textId="3CC98269" w:rsidR="00DE0FD0" w:rsidRPr="003238FE" w:rsidRDefault="00DE0FD0" w:rsidP="008B1028">
      <w:pPr>
        <w:pStyle w:val="Heading3"/>
        <w:numPr>
          <w:ilvl w:val="0"/>
          <w:numId w:val="3"/>
        </w:numPr>
        <w:spacing w:before="0" w:beforeAutospacing="0" w:after="0" w:afterAutospacing="0" w:line="360" w:lineRule="auto"/>
        <w:jc w:val="both"/>
        <w:rPr>
          <w:b w:val="0"/>
          <w:bCs w:val="0"/>
          <w:sz w:val="20"/>
          <w:szCs w:val="20"/>
        </w:rPr>
      </w:pPr>
      <w:r w:rsidRPr="00DE0FD0">
        <w:rPr>
          <w:rStyle w:val="Strong"/>
          <w:b/>
          <w:bCs/>
          <w:sz w:val="20"/>
          <w:szCs w:val="20"/>
        </w:rPr>
        <w:t>Circularity Engine</w:t>
      </w:r>
      <w:r>
        <w:rPr>
          <w:rStyle w:val="Strong"/>
          <w:b/>
          <w:bCs/>
          <w:sz w:val="20"/>
          <w:szCs w:val="20"/>
        </w:rPr>
        <w:t>:</w:t>
      </w:r>
      <w:r w:rsidR="003238FE">
        <w:rPr>
          <w:rStyle w:val="Strong"/>
          <w:b/>
          <w:bCs/>
          <w:sz w:val="20"/>
          <w:szCs w:val="20"/>
        </w:rPr>
        <w:t xml:space="preserve"> </w:t>
      </w:r>
      <w:r w:rsidR="007E4683" w:rsidRPr="003238FE">
        <w:rPr>
          <w:b w:val="0"/>
          <w:bCs w:val="0"/>
          <w:sz w:val="20"/>
          <w:szCs w:val="20"/>
        </w:rPr>
        <w:t>This module classifies the waste stream into recyclable, compostable, and combustible categories using AI-enhanced image recognition and sensor data. It estimates energy yields for anaerobic digestion (AD) and pyrolysis, integrates real-time feedback from processing units, and calculates dynamic circularity indices aligned with SDG 12.5 and EU Circular Economy indicators.</w:t>
      </w:r>
    </w:p>
    <w:p w14:paraId="59E3ECB9" w14:textId="5315B98A" w:rsidR="007E4683" w:rsidRPr="007E4683" w:rsidRDefault="007E4683" w:rsidP="008B1028">
      <w:pPr>
        <w:pStyle w:val="Heading3"/>
        <w:numPr>
          <w:ilvl w:val="0"/>
          <w:numId w:val="3"/>
        </w:numPr>
        <w:spacing w:before="0" w:beforeAutospacing="0" w:after="0" w:afterAutospacing="0" w:line="360" w:lineRule="auto"/>
        <w:jc w:val="both"/>
        <w:rPr>
          <w:sz w:val="20"/>
          <w:szCs w:val="20"/>
        </w:rPr>
      </w:pPr>
      <w:r w:rsidRPr="007E4683">
        <w:rPr>
          <w:rStyle w:val="Strong"/>
          <w:b/>
          <w:bCs/>
          <w:sz w:val="20"/>
          <w:szCs w:val="20"/>
        </w:rPr>
        <w:t>Resilience Layer:</w:t>
      </w:r>
      <w:r w:rsidR="003238FE">
        <w:rPr>
          <w:rStyle w:val="Strong"/>
          <w:b/>
          <w:bCs/>
          <w:sz w:val="20"/>
          <w:szCs w:val="20"/>
        </w:rPr>
        <w:t xml:space="preserve"> </w:t>
      </w:r>
      <w:r w:rsidRPr="003238FE">
        <w:rPr>
          <w:b w:val="0"/>
          <w:bCs w:val="0"/>
          <w:sz w:val="20"/>
          <w:szCs w:val="20"/>
        </w:rPr>
        <w:t>This layer applies AI-based climate scenario simulation using regionalized models of flooding, heatwaves, and storm surge disruptions to stress-test waste and energy infrastructure. It aligns resilience scoring with global frameworks such as 100 Resilient Cities (100RC) and the Green Climate Fund’s (GCF) Climate Resilience Index, enabling proactive response strategies for monsoon flooding, fuel shortage, or grid instability (OECD, 2024).</w:t>
      </w:r>
    </w:p>
    <w:p w14:paraId="02419E37" w14:textId="60A3F9DE" w:rsidR="003238FE" w:rsidRPr="003238FE" w:rsidRDefault="001A3892" w:rsidP="008B1028">
      <w:pPr>
        <w:pStyle w:val="Heading3"/>
        <w:numPr>
          <w:ilvl w:val="0"/>
          <w:numId w:val="3"/>
        </w:numPr>
        <w:spacing w:before="0" w:beforeAutospacing="0" w:after="0" w:afterAutospacing="0" w:line="360" w:lineRule="auto"/>
        <w:jc w:val="both"/>
        <w:rPr>
          <w:b w:val="0"/>
          <w:bCs w:val="0"/>
          <w:sz w:val="20"/>
          <w:szCs w:val="20"/>
        </w:rPr>
      </w:pPr>
      <w:r w:rsidRPr="003238FE">
        <w:rPr>
          <w:rStyle w:val="Strong"/>
          <w:b/>
          <w:bCs/>
          <w:sz w:val="20"/>
          <w:szCs w:val="20"/>
        </w:rPr>
        <w:t>Digital Twin and Visualization Interface:</w:t>
      </w:r>
      <w:r w:rsidR="003238FE">
        <w:rPr>
          <w:rStyle w:val="Strong"/>
          <w:b/>
          <w:bCs/>
          <w:sz w:val="20"/>
          <w:szCs w:val="20"/>
        </w:rPr>
        <w:t xml:space="preserve"> </w:t>
      </w:r>
      <w:r w:rsidR="003238FE" w:rsidRPr="003238FE">
        <w:rPr>
          <w:b w:val="0"/>
          <w:bCs w:val="0"/>
          <w:sz w:val="20"/>
          <w:szCs w:val="20"/>
        </w:rPr>
        <w:t xml:space="preserve">A city-scale </w:t>
      </w:r>
      <w:r w:rsidR="003238FE" w:rsidRPr="003238FE">
        <w:rPr>
          <w:rStyle w:val="Strong"/>
          <w:sz w:val="20"/>
          <w:szCs w:val="20"/>
        </w:rPr>
        <w:t>digital twin</w:t>
      </w:r>
      <w:r w:rsidR="003238FE" w:rsidRPr="003238FE">
        <w:rPr>
          <w:b w:val="0"/>
          <w:bCs w:val="0"/>
          <w:sz w:val="20"/>
          <w:szCs w:val="20"/>
        </w:rPr>
        <w:t xml:space="preserve">- built on platforms like </w:t>
      </w:r>
      <w:r w:rsidR="003238FE" w:rsidRPr="003238FE">
        <w:rPr>
          <w:rStyle w:val="Strong"/>
          <w:sz w:val="20"/>
          <w:szCs w:val="20"/>
        </w:rPr>
        <w:t>QGIS</w:t>
      </w:r>
      <w:r w:rsidR="003238FE" w:rsidRPr="003238FE">
        <w:rPr>
          <w:sz w:val="20"/>
          <w:szCs w:val="20"/>
        </w:rPr>
        <w:t xml:space="preserve">, </w:t>
      </w:r>
      <w:proofErr w:type="spellStart"/>
      <w:r w:rsidR="003238FE" w:rsidRPr="003238FE">
        <w:rPr>
          <w:rStyle w:val="Strong"/>
          <w:sz w:val="20"/>
          <w:szCs w:val="20"/>
        </w:rPr>
        <w:t>MATSim</w:t>
      </w:r>
      <w:proofErr w:type="spellEnd"/>
      <w:r w:rsidR="003238FE" w:rsidRPr="003238FE">
        <w:rPr>
          <w:b w:val="0"/>
          <w:bCs w:val="0"/>
          <w:sz w:val="20"/>
          <w:szCs w:val="20"/>
        </w:rPr>
        <w:t xml:space="preserve">, or </w:t>
      </w:r>
      <w:r w:rsidR="003238FE" w:rsidRPr="003238FE">
        <w:rPr>
          <w:rStyle w:val="Strong"/>
          <w:sz w:val="20"/>
          <w:szCs w:val="20"/>
        </w:rPr>
        <w:t>OpenStreetMap</w:t>
      </w:r>
      <w:r w:rsidR="003238FE" w:rsidRPr="003238FE">
        <w:rPr>
          <w:b w:val="0"/>
          <w:bCs w:val="0"/>
          <w:sz w:val="20"/>
          <w:szCs w:val="20"/>
        </w:rPr>
        <w:t xml:space="preserve">- simulates the dynamic behavior of the </w:t>
      </w:r>
      <w:r w:rsidR="00647646" w:rsidRPr="00647646">
        <w:rPr>
          <w:b w:val="0"/>
          <w:bCs w:val="0"/>
          <w:sz w:val="20"/>
          <w:szCs w:val="20"/>
        </w:rPr>
        <w:t>waste-to-energy</w:t>
      </w:r>
      <w:r w:rsidR="00647646" w:rsidRPr="0077612A">
        <w:rPr>
          <w:sz w:val="20"/>
          <w:szCs w:val="20"/>
        </w:rPr>
        <w:t xml:space="preserve"> </w:t>
      </w:r>
      <w:r w:rsidR="003238FE" w:rsidRPr="003238FE">
        <w:rPr>
          <w:b w:val="0"/>
          <w:bCs w:val="0"/>
          <w:sz w:val="20"/>
          <w:szCs w:val="20"/>
        </w:rPr>
        <w:t>system under real-time and projected scenarios. Interactive dashboards visualize waste flows, system bottlenecks, carbon offsets, and energy output at district or ward levels. This supports participatory planning, performance auditing, and scenario comparison for policymakers.</w:t>
      </w:r>
    </w:p>
    <w:p w14:paraId="2C8968B4" w14:textId="3FBF7DA6" w:rsidR="003238FE" w:rsidRDefault="003238FE" w:rsidP="008B1028">
      <w:pPr>
        <w:pStyle w:val="Heading3"/>
        <w:numPr>
          <w:ilvl w:val="0"/>
          <w:numId w:val="3"/>
        </w:numPr>
        <w:spacing w:before="0" w:beforeAutospacing="0" w:after="0" w:afterAutospacing="0" w:line="360" w:lineRule="auto"/>
        <w:jc w:val="both"/>
        <w:rPr>
          <w:b w:val="0"/>
          <w:bCs w:val="0"/>
          <w:sz w:val="20"/>
          <w:szCs w:val="20"/>
        </w:rPr>
      </w:pPr>
      <w:r w:rsidRPr="003238FE">
        <w:rPr>
          <w:rStyle w:val="Strong"/>
          <w:b/>
          <w:bCs/>
          <w:sz w:val="20"/>
          <w:szCs w:val="20"/>
        </w:rPr>
        <w:t>Simulation Approach and Adaptability</w:t>
      </w:r>
      <w:r>
        <w:rPr>
          <w:rStyle w:val="Strong"/>
          <w:b/>
          <w:bCs/>
          <w:sz w:val="20"/>
          <w:szCs w:val="20"/>
        </w:rPr>
        <w:t xml:space="preserve">: </w:t>
      </w:r>
      <w:r w:rsidRPr="003238FE">
        <w:rPr>
          <w:b w:val="0"/>
          <w:bCs w:val="0"/>
          <w:sz w:val="20"/>
          <w:szCs w:val="20"/>
        </w:rPr>
        <w:t xml:space="preserve">Due to the absence of primary field data, the framework is </w:t>
      </w:r>
      <w:r w:rsidRPr="003238FE">
        <w:rPr>
          <w:rStyle w:val="Strong"/>
          <w:sz w:val="20"/>
          <w:szCs w:val="20"/>
        </w:rPr>
        <w:t>validated via scenario simulations</w:t>
      </w:r>
      <w:r w:rsidRPr="003238FE">
        <w:rPr>
          <w:b w:val="0"/>
          <w:bCs w:val="0"/>
          <w:sz w:val="20"/>
          <w:szCs w:val="20"/>
        </w:rPr>
        <w:t xml:space="preserve"> using </w:t>
      </w:r>
      <w:r w:rsidRPr="003238FE">
        <w:rPr>
          <w:rStyle w:val="Strong"/>
          <w:sz w:val="20"/>
          <w:szCs w:val="20"/>
        </w:rPr>
        <w:t>public datasets</w:t>
      </w:r>
      <w:r w:rsidRPr="003238FE">
        <w:rPr>
          <w:b w:val="0"/>
          <w:bCs w:val="0"/>
          <w:sz w:val="20"/>
          <w:szCs w:val="20"/>
        </w:rPr>
        <w:t xml:space="preserve"> (e.g., UN </w:t>
      </w:r>
      <w:proofErr w:type="spellStart"/>
      <w:r w:rsidRPr="003238FE">
        <w:rPr>
          <w:b w:val="0"/>
          <w:bCs w:val="0"/>
          <w:sz w:val="20"/>
          <w:szCs w:val="20"/>
        </w:rPr>
        <w:t>Comtrade</w:t>
      </w:r>
      <w:proofErr w:type="spellEnd"/>
      <w:r w:rsidRPr="003238FE">
        <w:rPr>
          <w:b w:val="0"/>
          <w:bCs w:val="0"/>
          <w:sz w:val="20"/>
          <w:szCs w:val="20"/>
        </w:rPr>
        <w:t xml:space="preserve">, </w:t>
      </w:r>
      <w:proofErr w:type="spellStart"/>
      <w:r w:rsidRPr="003238FE">
        <w:rPr>
          <w:b w:val="0"/>
          <w:bCs w:val="0"/>
          <w:sz w:val="20"/>
          <w:szCs w:val="20"/>
        </w:rPr>
        <w:t>FAOStat</w:t>
      </w:r>
      <w:proofErr w:type="spellEnd"/>
      <w:r w:rsidRPr="003238FE">
        <w:rPr>
          <w:b w:val="0"/>
          <w:bCs w:val="0"/>
          <w:sz w:val="20"/>
          <w:szCs w:val="20"/>
        </w:rPr>
        <w:t xml:space="preserve">, EEA waste stats) and </w:t>
      </w:r>
      <w:r w:rsidRPr="003238FE">
        <w:rPr>
          <w:rStyle w:val="Strong"/>
          <w:sz w:val="20"/>
          <w:szCs w:val="20"/>
        </w:rPr>
        <w:t>academic benchmarks</w:t>
      </w:r>
      <w:r w:rsidRPr="003238FE">
        <w:rPr>
          <w:b w:val="0"/>
          <w:bCs w:val="0"/>
          <w:sz w:val="20"/>
          <w:szCs w:val="20"/>
        </w:rPr>
        <w:t xml:space="preserve"> from peer-reviewed models. The AI-CIR-</w:t>
      </w:r>
      <w:proofErr w:type="spellStart"/>
      <w:r w:rsidRPr="003238FE">
        <w:rPr>
          <w:b w:val="0"/>
          <w:bCs w:val="0"/>
          <w:sz w:val="20"/>
          <w:szCs w:val="20"/>
        </w:rPr>
        <w:t>WtE</w:t>
      </w:r>
      <w:proofErr w:type="spellEnd"/>
      <w:r w:rsidRPr="003238FE">
        <w:rPr>
          <w:b w:val="0"/>
          <w:bCs w:val="0"/>
          <w:sz w:val="20"/>
          <w:szCs w:val="20"/>
        </w:rPr>
        <w:t xml:space="preserve"> framework is designed to be </w:t>
      </w:r>
      <w:r w:rsidRPr="003238FE">
        <w:rPr>
          <w:rStyle w:val="Strong"/>
          <w:sz w:val="20"/>
          <w:szCs w:val="20"/>
        </w:rPr>
        <w:t>modular</w:t>
      </w:r>
      <w:r w:rsidRPr="003238FE">
        <w:rPr>
          <w:b w:val="0"/>
          <w:bCs w:val="0"/>
          <w:sz w:val="20"/>
          <w:szCs w:val="20"/>
        </w:rPr>
        <w:t xml:space="preserve">, </w:t>
      </w:r>
      <w:r w:rsidRPr="003238FE">
        <w:rPr>
          <w:rStyle w:val="Strong"/>
          <w:sz w:val="20"/>
          <w:szCs w:val="20"/>
        </w:rPr>
        <w:t>scalable</w:t>
      </w:r>
      <w:r w:rsidRPr="003238FE">
        <w:rPr>
          <w:b w:val="0"/>
          <w:bCs w:val="0"/>
          <w:sz w:val="20"/>
          <w:szCs w:val="20"/>
        </w:rPr>
        <w:t xml:space="preserve">, and adaptable to any Global South megacity, with Dhaka, Bangladesh, modeled as a prototype use case. It supports both central waste-to-energy facilities and </w:t>
      </w:r>
      <w:r w:rsidRPr="003238FE">
        <w:rPr>
          <w:rStyle w:val="Strong"/>
          <w:sz w:val="20"/>
          <w:szCs w:val="20"/>
        </w:rPr>
        <w:t>decentralized microgrid-based waste valorization nodes</w:t>
      </w:r>
      <w:r w:rsidRPr="003238FE">
        <w:rPr>
          <w:b w:val="0"/>
          <w:bCs w:val="0"/>
          <w:sz w:val="20"/>
          <w:szCs w:val="20"/>
        </w:rPr>
        <w:t>.</w:t>
      </w:r>
    </w:p>
    <w:p w14:paraId="30441C54" w14:textId="3FFF7FE2" w:rsidR="003238FE" w:rsidRDefault="003238FE" w:rsidP="003238FE">
      <w:pPr>
        <w:pStyle w:val="Heading3"/>
        <w:spacing w:before="0" w:beforeAutospacing="0" w:after="0" w:afterAutospacing="0" w:line="360" w:lineRule="auto"/>
        <w:jc w:val="both"/>
        <w:rPr>
          <w:b w:val="0"/>
          <w:bCs w:val="0"/>
          <w:sz w:val="20"/>
          <w:szCs w:val="20"/>
        </w:rPr>
      </w:pPr>
    </w:p>
    <w:p w14:paraId="47D9D1E0" w14:textId="070DCB52" w:rsidR="003238FE" w:rsidRPr="00C63426" w:rsidRDefault="00C63426" w:rsidP="003238FE">
      <w:pPr>
        <w:pStyle w:val="Heading3"/>
        <w:spacing w:before="0" w:beforeAutospacing="0" w:after="0" w:afterAutospacing="0" w:line="360" w:lineRule="auto"/>
        <w:jc w:val="both"/>
        <w:rPr>
          <w:sz w:val="20"/>
          <w:szCs w:val="20"/>
        </w:rPr>
      </w:pPr>
      <w:r w:rsidRPr="00C63426">
        <w:rPr>
          <w:sz w:val="20"/>
          <w:szCs w:val="20"/>
        </w:rPr>
        <w:t xml:space="preserve">USE OF DHAKA, </w:t>
      </w:r>
      <w:r>
        <w:rPr>
          <w:sz w:val="20"/>
          <w:szCs w:val="20"/>
        </w:rPr>
        <w:t>BANGLADESH,</w:t>
      </w:r>
      <w:r w:rsidRPr="00C63426">
        <w:rPr>
          <w:sz w:val="20"/>
          <w:szCs w:val="20"/>
        </w:rPr>
        <w:t xml:space="preserve"> AS A VIRTUAL CASE STUDY</w:t>
      </w:r>
    </w:p>
    <w:p w14:paraId="0741B8A4" w14:textId="2D0AF629" w:rsidR="00C63426" w:rsidRPr="00C63426" w:rsidRDefault="00C63426" w:rsidP="00C63426">
      <w:pPr>
        <w:pStyle w:val="NormalWeb"/>
        <w:spacing w:before="0" w:beforeAutospacing="0" w:after="0" w:afterAutospacing="0" w:line="360" w:lineRule="auto"/>
        <w:jc w:val="both"/>
        <w:rPr>
          <w:sz w:val="20"/>
          <w:szCs w:val="20"/>
        </w:rPr>
      </w:pPr>
      <w:r w:rsidRPr="00C63426">
        <w:rPr>
          <w:sz w:val="20"/>
          <w:szCs w:val="20"/>
        </w:rPr>
        <w:lastRenderedPageBreak/>
        <w:t>Dhaka, the capital of Bangladesh, represents an archetypal climate-vulnerable megacity, making it an ideal candidate for virtual case study analysis within the AI</w:t>
      </w:r>
      <w:r w:rsidR="00096719">
        <w:rPr>
          <w:sz w:val="20"/>
          <w:szCs w:val="20"/>
        </w:rPr>
        <w:t>-</w:t>
      </w:r>
      <w:r w:rsidRPr="00C63426">
        <w:rPr>
          <w:sz w:val="20"/>
          <w:szCs w:val="20"/>
        </w:rPr>
        <w:t>CIR</w:t>
      </w:r>
      <w:r w:rsidR="00096719">
        <w:rPr>
          <w:sz w:val="20"/>
          <w:szCs w:val="20"/>
        </w:rPr>
        <w:t>-</w:t>
      </w:r>
      <w:proofErr w:type="spellStart"/>
      <w:r w:rsidRPr="00C63426">
        <w:rPr>
          <w:sz w:val="20"/>
          <w:szCs w:val="20"/>
        </w:rPr>
        <w:t>WtE</w:t>
      </w:r>
      <w:proofErr w:type="spellEnd"/>
      <w:r w:rsidRPr="00C63426">
        <w:rPr>
          <w:sz w:val="20"/>
          <w:szCs w:val="20"/>
        </w:rPr>
        <w:t xml:space="preserve"> framework. Despite the absence of primary fieldwork, Dhaka's well-documented environmental challenges and availability of comprehensive secondary data enable robust simulation and modeling, supporting the framework's development and validation.</w:t>
      </w:r>
    </w:p>
    <w:p w14:paraId="00BD4071" w14:textId="0860596A" w:rsidR="00C63426" w:rsidRPr="00C63426" w:rsidRDefault="00C63426" w:rsidP="008B1028">
      <w:pPr>
        <w:pStyle w:val="Heading4"/>
        <w:numPr>
          <w:ilvl w:val="0"/>
          <w:numId w:val="5"/>
        </w:numPr>
        <w:spacing w:before="0" w:line="360" w:lineRule="auto"/>
        <w:jc w:val="both"/>
        <w:rPr>
          <w:rFonts w:ascii="Times New Roman" w:hAnsi="Times New Roman" w:cs="Times New Roman"/>
          <w:color w:val="auto"/>
          <w:sz w:val="20"/>
          <w:szCs w:val="20"/>
        </w:rPr>
      </w:pPr>
      <w:r w:rsidRPr="00C63426">
        <w:rPr>
          <w:rFonts w:ascii="Times New Roman" w:hAnsi="Times New Roman" w:cs="Times New Roman"/>
          <w:b/>
          <w:bCs/>
          <w:i w:val="0"/>
          <w:iCs w:val="0"/>
          <w:color w:val="auto"/>
          <w:sz w:val="20"/>
          <w:szCs w:val="20"/>
        </w:rPr>
        <w:t>Dhaka’s Climate Vulnerability and Urban Challenges</w:t>
      </w:r>
      <w:r>
        <w:rPr>
          <w:rFonts w:ascii="Times New Roman" w:hAnsi="Times New Roman" w:cs="Times New Roman"/>
          <w:b/>
          <w:bCs/>
          <w:i w:val="0"/>
          <w:iCs w:val="0"/>
          <w:color w:val="auto"/>
          <w:sz w:val="20"/>
          <w:szCs w:val="20"/>
        </w:rPr>
        <w:t xml:space="preserve">: </w:t>
      </w:r>
      <w:r w:rsidRPr="00C63426">
        <w:rPr>
          <w:rFonts w:ascii="Times New Roman" w:hAnsi="Times New Roman" w:cs="Times New Roman"/>
          <w:i w:val="0"/>
          <w:iCs w:val="0"/>
          <w:color w:val="auto"/>
          <w:sz w:val="20"/>
          <w:szCs w:val="20"/>
        </w:rPr>
        <w:t>The Intergovernmental Panel on Climate Change (IPCC, 2014) identifies Dhaka among the most vulnerable megacities due to its location in a low-lying delta region prone to frequent monsoon flooding, storm surges, and heat waves. These climatic hazards compound the city’s rapid urbanization and infrastructure deficits, exacerbating waste management difficulties (</w:t>
      </w:r>
      <w:bookmarkStart w:id="0" w:name="_Hlk202837211"/>
      <w:r w:rsidRPr="00C63426">
        <w:rPr>
          <w:rFonts w:ascii="Times New Roman" w:hAnsi="Times New Roman" w:cs="Times New Roman"/>
          <w:i w:val="0"/>
          <w:iCs w:val="0"/>
          <w:color w:val="auto"/>
          <w:sz w:val="20"/>
          <w:szCs w:val="20"/>
        </w:rPr>
        <w:t>Green Climate Fund, 2023</w:t>
      </w:r>
      <w:bookmarkEnd w:id="0"/>
      <w:r w:rsidRPr="00C63426">
        <w:rPr>
          <w:rFonts w:ascii="Times New Roman" w:hAnsi="Times New Roman" w:cs="Times New Roman"/>
          <w:i w:val="0"/>
          <w:iCs w:val="0"/>
          <w:color w:val="auto"/>
          <w:sz w:val="20"/>
          <w:szCs w:val="20"/>
        </w:rPr>
        <w:t>). According to the World Bank (2018), disruptions caused by extreme weather events significantly hinder municipal solid waste (MSW) collection and disposal services, increasing risks of urban pollution and health hazards.</w:t>
      </w:r>
    </w:p>
    <w:p w14:paraId="675AEBA1" w14:textId="7292107E" w:rsidR="00C63426" w:rsidRPr="00C63426" w:rsidRDefault="00C63426" w:rsidP="008B1028">
      <w:pPr>
        <w:pStyle w:val="Heading4"/>
        <w:numPr>
          <w:ilvl w:val="0"/>
          <w:numId w:val="5"/>
        </w:numPr>
        <w:spacing w:before="0" w:line="360" w:lineRule="auto"/>
        <w:jc w:val="both"/>
        <w:rPr>
          <w:rFonts w:ascii="Times New Roman" w:hAnsi="Times New Roman" w:cs="Times New Roman"/>
          <w:color w:val="auto"/>
          <w:sz w:val="20"/>
          <w:szCs w:val="20"/>
        </w:rPr>
      </w:pPr>
      <w:r w:rsidRPr="00C63426">
        <w:rPr>
          <w:rFonts w:ascii="Times New Roman" w:hAnsi="Times New Roman" w:cs="Times New Roman"/>
          <w:b/>
          <w:bCs/>
          <w:i w:val="0"/>
          <w:iCs w:val="0"/>
          <w:color w:val="auto"/>
          <w:sz w:val="20"/>
          <w:szCs w:val="20"/>
        </w:rPr>
        <w:t>Prior Research on Dhaka’s Waste and Environmental Status</w:t>
      </w:r>
      <w:r>
        <w:rPr>
          <w:rFonts w:ascii="Times New Roman" w:hAnsi="Times New Roman" w:cs="Times New Roman"/>
          <w:b/>
          <w:bCs/>
          <w:i w:val="0"/>
          <w:iCs w:val="0"/>
          <w:color w:val="auto"/>
          <w:sz w:val="20"/>
          <w:szCs w:val="20"/>
        </w:rPr>
        <w:t xml:space="preserve">: </w:t>
      </w:r>
      <w:r w:rsidRPr="00C63426">
        <w:rPr>
          <w:rFonts w:ascii="Times New Roman" w:hAnsi="Times New Roman" w:cs="Times New Roman"/>
          <w:i w:val="0"/>
          <w:iCs w:val="0"/>
          <w:color w:val="auto"/>
          <w:sz w:val="20"/>
          <w:szCs w:val="20"/>
        </w:rPr>
        <w:t>Existing studies estimate Dhaka’s daily MSW generation between 4,500 and 6,000 tons, with organic waste comprising 50–60% of this total (Asian Development Bank, 2021; World Bank, 2018). Waste management remains heavily informal and fragmented, with limited segregation and low recycling rates, contributing to the widespread dumping and drainage blockages that intensify urban flooding. The Bangladesh Bureau of Statistics (BBS, 2020) provides detailed demographic and waste generation data critical for modeling waste flows. Moreover, prior research indicates that landfill leachate poses significant risks of groundwater contamination in Dhaka’s peri-urban zones, underscoring the urgency of improved waste valorization and treatment.</w:t>
      </w:r>
    </w:p>
    <w:p w14:paraId="260E6791" w14:textId="61436E10" w:rsidR="00C63426" w:rsidRPr="00C63426" w:rsidRDefault="00C63426" w:rsidP="008B1028">
      <w:pPr>
        <w:pStyle w:val="Heading4"/>
        <w:numPr>
          <w:ilvl w:val="0"/>
          <w:numId w:val="5"/>
        </w:numPr>
        <w:spacing w:before="0" w:line="360" w:lineRule="auto"/>
        <w:jc w:val="both"/>
        <w:rPr>
          <w:rFonts w:ascii="Times New Roman" w:hAnsi="Times New Roman" w:cs="Times New Roman"/>
          <w:b/>
          <w:bCs/>
          <w:i w:val="0"/>
          <w:iCs w:val="0"/>
          <w:color w:val="auto"/>
          <w:sz w:val="20"/>
          <w:szCs w:val="20"/>
        </w:rPr>
      </w:pPr>
      <w:r w:rsidRPr="00C63426">
        <w:rPr>
          <w:rFonts w:ascii="Times New Roman" w:hAnsi="Times New Roman" w:cs="Times New Roman"/>
          <w:b/>
          <w:bCs/>
          <w:i w:val="0"/>
          <w:iCs w:val="0"/>
          <w:color w:val="auto"/>
          <w:sz w:val="20"/>
          <w:szCs w:val="20"/>
        </w:rPr>
        <w:t>Secondary Data Sources Employed</w:t>
      </w:r>
      <w:r>
        <w:rPr>
          <w:rFonts w:ascii="Times New Roman" w:hAnsi="Times New Roman" w:cs="Times New Roman"/>
          <w:b/>
          <w:bCs/>
          <w:i w:val="0"/>
          <w:iCs w:val="0"/>
          <w:color w:val="auto"/>
          <w:sz w:val="20"/>
          <w:szCs w:val="20"/>
        </w:rPr>
        <w:t>:</w:t>
      </w:r>
    </w:p>
    <w:p w14:paraId="11A7E49E" w14:textId="77777777" w:rsidR="00C63426" w:rsidRPr="00C63426" w:rsidRDefault="00C63426" w:rsidP="008B1028">
      <w:pPr>
        <w:pStyle w:val="NormalWeb"/>
        <w:numPr>
          <w:ilvl w:val="0"/>
          <w:numId w:val="4"/>
        </w:numPr>
        <w:spacing w:before="0" w:beforeAutospacing="0" w:after="0" w:afterAutospacing="0" w:line="360" w:lineRule="auto"/>
        <w:jc w:val="both"/>
        <w:rPr>
          <w:sz w:val="20"/>
          <w:szCs w:val="20"/>
        </w:rPr>
      </w:pPr>
      <w:r w:rsidRPr="00C63426">
        <w:rPr>
          <w:rStyle w:val="Strong"/>
          <w:sz w:val="20"/>
          <w:szCs w:val="20"/>
        </w:rPr>
        <w:t>Waste Generation and Composition:</w:t>
      </w:r>
      <w:r w:rsidRPr="00C63426">
        <w:rPr>
          <w:sz w:val="20"/>
          <w:szCs w:val="20"/>
        </w:rPr>
        <w:t xml:space="preserve"> World Bank Open Data (World Bank, 2018) supplies granular MSW statistics that inform AI-driven waste prediction and classification algorithms within the framework.</w:t>
      </w:r>
    </w:p>
    <w:p w14:paraId="70FA4B0D" w14:textId="5A336498" w:rsidR="00C63426" w:rsidRPr="00C63426" w:rsidRDefault="00C63426" w:rsidP="008B1028">
      <w:pPr>
        <w:pStyle w:val="NormalWeb"/>
        <w:numPr>
          <w:ilvl w:val="0"/>
          <w:numId w:val="4"/>
        </w:numPr>
        <w:spacing w:before="0" w:beforeAutospacing="0" w:after="0" w:afterAutospacing="0" w:line="360" w:lineRule="auto"/>
        <w:jc w:val="both"/>
        <w:rPr>
          <w:sz w:val="20"/>
          <w:szCs w:val="20"/>
        </w:rPr>
      </w:pPr>
      <w:r w:rsidRPr="00C63426">
        <w:rPr>
          <w:rStyle w:val="Strong"/>
          <w:sz w:val="20"/>
          <w:szCs w:val="20"/>
        </w:rPr>
        <w:t>Energy Yield and Emission Factors:</w:t>
      </w:r>
      <w:r w:rsidRPr="00C63426">
        <w:rPr>
          <w:sz w:val="20"/>
          <w:szCs w:val="20"/>
        </w:rPr>
        <w:t xml:space="preserve"> The International Energy Agency (IEA, 2022) provides authoritative calorific values and energy conversion efficiencies relevant to </w:t>
      </w:r>
      <w:r>
        <w:rPr>
          <w:sz w:val="20"/>
          <w:szCs w:val="20"/>
        </w:rPr>
        <w:t>waste-to-energy</w:t>
      </w:r>
      <w:r w:rsidRPr="00C63426">
        <w:rPr>
          <w:sz w:val="20"/>
          <w:szCs w:val="20"/>
        </w:rPr>
        <w:t xml:space="preserve"> technologies. The IPCC’s 2019 Refinement report (IPCC, 2019) supplies emission factors for life-cycle assessment and circularity metrics.</w:t>
      </w:r>
    </w:p>
    <w:p w14:paraId="4D1E20C4" w14:textId="77777777" w:rsidR="00C63426" w:rsidRPr="00C63426" w:rsidRDefault="00C63426" w:rsidP="008B1028">
      <w:pPr>
        <w:pStyle w:val="NormalWeb"/>
        <w:numPr>
          <w:ilvl w:val="0"/>
          <w:numId w:val="4"/>
        </w:numPr>
        <w:spacing w:before="0" w:beforeAutospacing="0" w:after="0" w:afterAutospacing="0" w:line="360" w:lineRule="auto"/>
        <w:jc w:val="both"/>
        <w:rPr>
          <w:sz w:val="20"/>
          <w:szCs w:val="20"/>
        </w:rPr>
      </w:pPr>
      <w:r w:rsidRPr="00C63426">
        <w:rPr>
          <w:rStyle w:val="Strong"/>
          <w:sz w:val="20"/>
          <w:szCs w:val="20"/>
        </w:rPr>
        <w:t>Socioeconomic and Urban Data:</w:t>
      </w:r>
      <w:r w:rsidRPr="00C63426">
        <w:rPr>
          <w:sz w:val="20"/>
          <w:szCs w:val="20"/>
        </w:rPr>
        <w:t xml:space="preserve"> The Bangladesh Bureau of Statistics (BBS, 2020) and United Nations Development </w:t>
      </w:r>
      <w:proofErr w:type="spellStart"/>
      <w:r w:rsidRPr="00C63426">
        <w:rPr>
          <w:sz w:val="20"/>
          <w:szCs w:val="20"/>
        </w:rPr>
        <w:t>Programme</w:t>
      </w:r>
      <w:proofErr w:type="spellEnd"/>
      <w:r w:rsidRPr="00C63426">
        <w:rPr>
          <w:sz w:val="20"/>
          <w:szCs w:val="20"/>
        </w:rPr>
        <w:t xml:space="preserve"> (UNDP, 2023) deliver updated population density, urban growth, and infrastructure capacity data. Dhaka North and South City Corporation annual reports supplement localized waste management information (DNCC &amp; DSCC, 2022).</w:t>
      </w:r>
    </w:p>
    <w:p w14:paraId="17DBE08A" w14:textId="77777777" w:rsidR="00C63426" w:rsidRPr="00C63426" w:rsidRDefault="00C63426" w:rsidP="008B1028">
      <w:pPr>
        <w:pStyle w:val="NormalWeb"/>
        <w:numPr>
          <w:ilvl w:val="0"/>
          <w:numId w:val="4"/>
        </w:numPr>
        <w:spacing w:before="0" w:beforeAutospacing="0" w:after="0" w:afterAutospacing="0" w:line="360" w:lineRule="auto"/>
        <w:jc w:val="both"/>
        <w:rPr>
          <w:sz w:val="20"/>
          <w:szCs w:val="20"/>
        </w:rPr>
      </w:pPr>
      <w:r w:rsidRPr="00C63426">
        <w:rPr>
          <w:rStyle w:val="Strong"/>
          <w:sz w:val="20"/>
          <w:szCs w:val="20"/>
        </w:rPr>
        <w:t>Climate Data and Projections:</w:t>
      </w:r>
      <w:r w:rsidRPr="00C63426">
        <w:rPr>
          <w:sz w:val="20"/>
          <w:szCs w:val="20"/>
        </w:rPr>
        <w:t xml:space="preserve"> Regional climate scenarios from the Bangladesh Meteorological Department (BMD, 2023) and global climate models underpin resilience simulations within the AI framework (IPCC, 2014; Green Climate Fund, 2023).</w:t>
      </w:r>
    </w:p>
    <w:p w14:paraId="1A657294" w14:textId="2D5A5EE6" w:rsidR="00C63426" w:rsidRDefault="00C63426" w:rsidP="008B1028">
      <w:pPr>
        <w:pStyle w:val="Heading4"/>
        <w:numPr>
          <w:ilvl w:val="0"/>
          <w:numId w:val="5"/>
        </w:numPr>
        <w:spacing w:before="0" w:line="360" w:lineRule="auto"/>
        <w:jc w:val="both"/>
        <w:rPr>
          <w:rFonts w:ascii="Times New Roman" w:hAnsi="Times New Roman" w:cs="Times New Roman"/>
          <w:i w:val="0"/>
          <w:iCs w:val="0"/>
          <w:color w:val="auto"/>
          <w:sz w:val="20"/>
          <w:szCs w:val="20"/>
        </w:rPr>
      </w:pPr>
      <w:r w:rsidRPr="00C63426">
        <w:rPr>
          <w:rFonts w:ascii="Times New Roman" w:hAnsi="Times New Roman" w:cs="Times New Roman"/>
          <w:b/>
          <w:bCs/>
          <w:i w:val="0"/>
          <w:iCs w:val="0"/>
          <w:color w:val="auto"/>
          <w:sz w:val="20"/>
          <w:szCs w:val="20"/>
        </w:rPr>
        <w:t>Justification for Virtual Case Study Methodology</w:t>
      </w:r>
      <w:r>
        <w:rPr>
          <w:rFonts w:ascii="Times New Roman" w:hAnsi="Times New Roman" w:cs="Times New Roman"/>
          <w:b/>
          <w:bCs/>
          <w:i w:val="0"/>
          <w:iCs w:val="0"/>
          <w:color w:val="auto"/>
          <w:sz w:val="20"/>
          <w:szCs w:val="20"/>
        </w:rPr>
        <w:t xml:space="preserve">: </w:t>
      </w:r>
      <w:r w:rsidRPr="00C63426">
        <w:rPr>
          <w:rFonts w:ascii="Times New Roman" w:hAnsi="Times New Roman" w:cs="Times New Roman"/>
          <w:i w:val="0"/>
          <w:iCs w:val="0"/>
          <w:color w:val="auto"/>
          <w:sz w:val="20"/>
          <w:szCs w:val="20"/>
        </w:rPr>
        <w:t xml:space="preserve">By integrating these diverse, reliable secondary datasets, this study applies a data-driven simulation approach aligned with contemporary urban sustainability research advocating digital twins and virtual modeling. Dhaka’s characteristic climate vulnerabilities, demographic pressures, and documented waste management inefficiencies provide a representative context for evaluating AI-enabled, circular, and resilient </w:t>
      </w:r>
      <w:r>
        <w:rPr>
          <w:rFonts w:ascii="Times New Roman" w:hAnsi="Times New Roman" w:cs="Times New Roman"/>
          <w:i w:val="0"/>
          <w:iCs w:val="0"/>
          <w:color w:val="auto"/>
          <w:sz w:val="20"/>
          <w:szCs w:val="20"/>
        </w:rPr>
        <w:t>waste-to-energy</w:t>
      </w:r>
      <w:r w:rsidRPr="00C63426">
        <w:rPr>
          <w:rFonts w:ascii="Times New Roman" w:hAnsi="Times New Roman" w:cs="Times New Roman"/>
          <w:i w:val="0"/>
          <w:iCs w:val="0"/>
          <w:color w:val="auto"/>
          <w:sz w:val="20"/>
          <w:szCs w:val="20"/>
        </w:rPr>
        <w:t xml:space="preserve"> systems applicable across similar Global South megacities.</w:t>
      </w:r>
    </w:p>
    <w:p w14:paraId="038C0666" w14:textId="77777777" w:rsidR="00C63426" w:rsidRPr="00C63426" w:rsidRDefault="00C63426" w:rsidP="00C63426"/>
    <w:p w14:paraId="62C4F447" w14:textId="345F9D6D" w:rsidR="001A3892" w:rsidRPr="009F702F" w:rsidRDefault="004043A4" w:rsidP="009F702F">
      <w:pPr>
        <w:spacing w:after="0" w:line="360" w:lineRule="auto"/>
        <w:jc w:val="both"/>
        <w:rPr>
          <w:rFonts w:ascii="Times New Roman" w:hAnsi="Times New Roman" w:cs="Times New Roman"/>
          <w:b/>
          <w:bCs/>
          <w:sz w:val="20"/>
          <w:szCs w:val="20"/>
        </w:rPr>
      </w:pPr>
      <w:r w:rsidRPr="009F702F">
        <w:rPr>
          <w:rFonts w:ascii="Times New Roman" w:hAnsi="Times New Roman" w:cs="Times New Roman"/>
          <w:b/>
          <w:bCs/>
          <w:sz w:val="20"/>
          <w:szCs w:val="20"/>
        </w:rPr>
        <w:t>RESULTS AND SIMULATION</w:t>
      </w:r>
    </w:p>
    <w:p w14:paraId="725FD50B" w14:textId="0EB8B5A1" w:rsidR="004043A4" w:rsidRPr="009F702F" w:rsidRDefault="004043A4" w:rsidP="009F702F">
      <w:pPr>
        <w:spacing w:after="0" w:line="360" w:lineRule="auto"/>
        <w:jc w:val="both"/>
        <w:rPr>
          <w:rFonts w:ascii="Times New Roman" w:hAnsi="Times New Roman" w:cs="Times New Roman"/>
          <w:sz w:val="20"/>
          <w:szCs w:val="20"/>
        </w:rPr>
      </w:pPr>
      <w:r w:rsidRPr="009F702F">
        <w:rPr>
          <w:rFonts w:ascii="Times New Roman" w:hAnsi="Times New Roman" w:cs="Times New Roman"/>
          <w:sz w:val="20"/>
          <w:szCs w:val="20"/>
        </w:rPr>
        <w:t>In order to demonstrate the predictive accuracy, circularity enhancement potential, infrastructure resilience under climatic stress, and emission reduction capacity of the proposed AI</w:t>
      </w:r>
      <w:r w:rsidR="00EE22D9">
        <w:rPr>
          <w:rFonts w:ascii="Times New Roman" w:hAnsi="Times New Roman" w:cs="Times New Roman"/>
          <w:sz w:val="20"/>
          <w:szCs w:val="20"/>
        </w:rPr>
        <w:t>-</w:t>
      </w:r>
      <w:r w:rsidRPr="009F702F">
        <w:rPr>
          <w:rFonts w:ascii="Times New Roman" w:hAnsi="Times New Roman" w:cs="Times New Roman"/>
          <w:sz w:val="20"/>
          <w:szCs w:val="20"/>
        </w:rPr>
        <w:t>CIR</w:t>
      </w:r>
      <w:r w:rsidR="00EE22D9">
        <w:rPr>
          <w:rFonts w:ascii="Times New Roman" w:hAnsi="Times New Roman" w:cs="Times New Roman"/>
          <w:sz w:val="20"/>
          <w:szCs w:val="20"/>
        </w:rPr>
        <w:t>-</w:t>
      </w:r>
      <w:proofErr w:type="spellStart"/>
      <w:r w:rsidRPr="009F702F">
        <w:rPr>
          <w:rFonts w:ascii="Times New Roman" w:hAnsi="Times New Roman" w:cs="Times New Roman"/>
          <w:sz w:val="20"/>
          <w:szCs w:val="20"/>
        </w:rPr>
        <w:t>WtE</w:t>
      </w:r>
      <w:proofErr w:type="spellEnd"/>
      <w:r w:rsidRPr="009F702F">
        <w:rPr>
          <w:rFonts w:ascii="Times New Roman" w:hAnsi="Times New Roman" w:cs="Times New Roman"/>
          <w:sz w:val="20"/>
          <w:szCs w:val="20"/>
        </w:rPr>
        <w:t xml:space="preserve"> framework, this section presents a </w:t>
      </w:r>
      <w:r w:rsidRPr="009F702F">
        <w:rPr>
          <w:rFonts w:ascii="Times New Roman" w:hAnsi="Times New Roman" w:cs="Times New Roman"/>
          <w:sz w:val="20"/>
          <w:szCs w:val="20"/>
        </w:rPr>
        <w:lastRenderedPageBreak/>
        <w:t>virtual implementation based on secondary data simulations for Dhaka. The outputs are based on AI models trained with validated public datasets and calibrated to Dhaka’s urban and climatic profile.</w:t>
      </w:r>
    </w:p>
    <w:p w14:paraId="62B8109A" w14:textId="56305AAA" w:rsidR="004043A4" w:rsidRPr="009F702F" w:rsidRDefault="004043A4" w:rsidP="009F702F">
      <w:pPr>
        <w:spacing w:after="0" w:line="360" w:lineRule="auto"/>
        <w:jc w:val="both"/>
        <w:rPr>
          <w:rFonts w:ascii="Times New Roman" w:hAnsi="Times New Roman" w:cs="Times New Roman"/>
          <w:b/>
          <w:bCs/>
          <w:sz w:val="20"/>
          <w:szCs w:val="20"/>
        </w:rPr>
      </w:pPr>
      <w:r w:rsidRPr="009F702F">
        <w:rPr>
          <w:rFonts w:ascii="Times New Roman" w:hAnsi="Times New Roman" w:cs="Times New Roman"/>
          <w:b/>
          <w:bCs/>
          <w:sz w:val="20"/>
          <w:szCs w:val="20"/>
        </w:rPr>
        <w:t>1. Waste Generation Forecast by Zone:</w:t>
      </w:r>
    </w:p>
    <w:p w14:paraId="18130500" w14:textId="4E55421D" w:rsidR="004043A4" w:rsidRPr="009F702F" w:rsidRDefault="00EF309D" w:rsidP="009F702F">
      <w:pPr>
        <w:spacing w:after="0" w:line="360" w:lineRule="auto"/>
        <w:jc w:val="both"/>
        <w:rPr>
          <w:rFonts w:ascii="Times New Roman" w:hAnsi="Times New Roman" w:cs="Times New Roman"/>
          <w:sz w:val="20"/>
          <w:szCs w:val="20"/>
        </w:rPr>
      </w:pPr>
      <w:r w:rsidRPr="009F702F">
        <w:rPr>
          <w:rFonts w:ascii="Times New Roman" w:hAnsi="Times New Roman" w:cs="Times New Roman"/>
          <w:sz w:val="20"/>
          <w:szCs w:val="20"/>
        </w:rPr>
        <w:t xml:space="preserve">Using Long Short-Term Memory (LSTM) and </w:t>
      </w:r>
      <w:proofErr w:type="spellStart"/>
      <w:r w:rsidRPr="009F702F">
        <w:rPr>
          <w:rFonts w:ascii="Times New Roman" w:hAnsi="Times New Roman" w:cs="Times New Roman"/>
          <w:sz w:val="20"/>
          <w:szCs w:val="20"/>
        </w:rPr>
        <w:t>XGBoost</w:t>
      </w:r>
      <w:proofErr w:type="spellEnd"/>
      <w:r w:rsidRPr="009F702F">
        <w:rPr>
          <w:rFonts w:ascii="Times New Roman" w:hAnsi="Times New Roman" w:cs="Times New Roman"/>
          <w:sz w:val="20"/>
          <w:szCs w:val="20"/>
        </w:rPr>
        <w:t xml:space="preserve"> models, ward-wise waste generation in Dhaka was predicted for a 5-year horizon (2025–2030). Results indicate a compound annual growth rate (CAGR) of </w:t>
      </w:r>
      <w:r w:rsidRPr="009F702F">
        <w:rPr>
          <w:rStyle w:val="Strong"/>
          <w:rFonts w:ascii="Times New Roman" w:hAnsi="Times New Roman" w:cs="Times New Roman"/>
          <w:b w:val="0"/>
          <w:bCs w:val="0"/>
          <w:sz w:val="20"/>
          <w:szCs w:val="20"/>
        </w:rPr>
        <w:t>3.8%</w:t>
      </w:r>
      <w:r w:rsidRPr="009F702F">
        <w:rPr>
          <w:rFonts w:ascii="Times New Roman" w:hAnsi="Times New Roman" w:cs="Times New Roman"/>
          <w:sz w:val="20"/>
          <w:szCs w:val="20"/>
        </w:rPr>
        <w:t xml:space="preserve">, with </w:t>
      </w:r>
      <w:r w:rsidRPr="009F702F">
        <w:rPr>
          <w:rStyle w:val="Strong"/>
          <w:rFonts w:ascii="Times New Roman" w:hAnsi="Times New Roman" w:cs="Times New Roman"/>
          <w:b w:val="0"/>
          <w:bCs w:val="0"/>
          <w:sz w:val="20"/>
          <w:szCs w:val="20"/>
        </w:rPr>
        <w:t>Dhaka North zones 3, 5, and 9</w:t>
      </w:r>
      <w:r w:rsidRPr="009F702F">
        <w:rPr>
          <w:rFonts w:ascii="Times New Roman" w:hAnsi="Times New Roman" w:cs="Times New Roman"/>
          <w:b/>
          <w:bCs/>
          <w:sz w:val="20"/>
          <w:szCs w:val="20"/>
        </w:rPr>
        <w:t xml:space="preserve"> </w:t>
      </w:r>
      <w:r w:rsidRPr="009F702F">
        <w:rPr>
          <w:rFonts w:ascii="Times New Roman" w:hAnsi="Times New Roman" w:cs="Times New Roman"/>
          <w:sz w:val="20"/>
          <w:szCs w:val="20"/>
        </w:rPr>
        <w:t xml:space="preserve">showing the highest growth due to densification and commercial expansion. Seasonal peaks align with pre- and post-monsoon months, showing a </w:t>
      </w:r>
      <w:r w:rsidRPr="009F702F">
        <w:rPr>
          <w:rStyle w:val="Strong"/>
          <w:rFonts w:ascii="Times New Roman" w:hAnsi="Times New Roman" w:cs="Times New Roman"/>
          <w:b w:val="0"/>
          <w:bCs w:val="0"/>
          <w:sz w:val="20"/>
          <w:szCs w:val="20"/>
        </w:rPr>
        <w:t>22% rise in organic waste loads during monsoon quarters</w:t>
      </w:r>
      <w:r w:rsidRPr="009F702F">
        <w:rPr>
          <w:rFonts w:ascii="Times New Roman" w:hAnsi="Times New Roman" w:cs="Times New Roman"/>
          <w:sz w:val="20"/>
          <w:szCs w:val="20"/>
        </w:rPr>
        <w:t xml:space="preserve">, echoing earlier findings. </w:t>
      </w:r>
    </w:p>
    <w:p w14:paraId="68469385" w14:textId="6D4AE125" w:rsidR="00452B9F" w:rsidRPr="00452B9F" w:rsidRDefault="00452B9F" w:rsidP="00055867">
      <w:pPr>
        <w:spacing w:after="0" w:line="360" w:lineRule="auto"/>
        <w:jc w:val="both"/>
        <w:outlineLvl w:val="2"/>
        <w:rPr>
          <w:rFonts w:ascii="Times New Roman" w:eastAsia="Times New Roman" w:hAnsi="Times New Roman" w:cs="Times New Roman"/>
          <w:sz w:val="20"/>
          <w:szCs w:val="20"/>
        </w:rPr>
      </w:pPr>
      <w:r w:rsidRPr="00452B9F">
        <w:rPr>
          <w:rFonts w:ascii="Times New Roman" w:eastAsia="Times New Roman" w:hAnsi="Times New Roman" w:cs="Times New Roman"/>
          <w:b/>
          <w:bCs/>
          <w:sz w:val="20"/>
          <w:szCs w:val="20"/>
        </w:rPr>
        <w:t>2. Energy Output Estimates from Waste Valorization</w:t>
      </w:r>
      <w:r w:rsidR="00055867">
        <w:rPr>
          <w:rFonts w:ascii="Times New Roman" w:eastAsia="Times New Roman" w:hAnsi="Times New Roman" w:cs="Times New Roman"/>
          <w:b/>
          <w:bCs/>
          <w:sz w:val="20"/>
          <w:szCs w:val="20"/>
        </w:rPr>
        <w:t xml:space="preserve">: </w:t>
      </w:r>
      <w:r w:rsidRPr="00452B9F">
        <w:rPr>
          <w:rFonts w:ascii="Times New Roman" w:eastAsia="Times New Roman" w:hAnsi="Times New Roman" w:cs="Times New Roman"/>
          <w:sz w:val="20"/>
          <w:szCs w:val="20"/>
        </w:rPr>
        <w:t>AI-enhanced classification of waste streams showed that 51.2% of MSW is biodegradable, 27.6% is combustible, and 10.4% is recyclable. Simulation using updated calorific values and thermal conversion rates from IEA (2023) and UNEP (2024) yielded the following:</w:t>
      </w:r>
    </w:p>
    <w:p w14:paraId="76963CA4" w14:textId="0AEA88DE" w:rsidR="00452B9F" w:rsidRPr="00452B9F" w:rsidRDefault="00452B9F" w:rsidP="008B1028">
      <w:pPr>
        <w:numPr>
          <w:ilvl w:val="0"/>
          <w:numId w:val="6"/>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Anaerobic Digestion (AD) potential: 3.8 MW/day from organic waste</w:t>
      </w:r>
      <w:r w:rsidR="00055867">
        <w:rPr>
          <w:rFonts w:ascii="Times New Roman" w:eastAsia="Times New Roman" w:hAnsi="Times New Roman" w:cs="Times New Roman"/>
          <w:sz w:val="20"/>
          <w:szCs w:val="20"/>
        </w:rPr>
        <w:t>.</w:t>
      </w:r>
    </w:p>
    <w:p w14:paraId="7CA14BEC" w14:textId="629173AE" w:rsidR="00452B9F" w:rsidRPr="00452B9F" w:rsidRDefault="00452B9F" w:rsidP="008B1028">
      <w:pPr>
        <w:numPr>
          <w:ilvl w:val="0"/>
          <w:numId w:val="6"/>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Pyrolysis-based energy recovery: 6.1 MW/day</w:t>
      </w:r>
      <w:r w:rsidR="00055867">
        <w:rPr>
          <w:rFonts w:ascii="Times New Roman" w:eastAsia="Times New Roman" w:hAnsi="Times New Roman" w:cs="Times New Roman"/>
          <w:sz w:val="20"/>
          <w:szCs w:val="20"/>
        </w:rPr>
        <w:t>.</w:t>
      </w:r>
    </w:p>
    <w:p w14:paraId="52EA8FC0" w14:textId="77777777" w:rsidR="00452B9F" w:rsidRPr="00452B9F" w:rsidRDefault="00452B9F" w:rsidP="008B1028">
      <w:pPr>
        <w:numPr>
          <w:ilvl w:val="0"/>
          <w:numId w:val="6"/>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 xml:space="preserve">Overall </w:t>
      </w:r>
      <w:proofErr w:type="spellStart"/>
      <w:r w:rsidRPr="00452B9F">
        <w:rPr>
          <w:rFonts w:ascii="Times New Roman" w:eastAsia="Times New Roman" w:hAnsi="Times New Roman" w:cs="Times New Roman"/>
          <w:sz w:val="20"/>
          <w:szCs w:val="20"/>
        </w:rPr>
        <w:t>WtE</w:t>
      </w:r>
      <w:proofErr w:type="spellEnd"/>
      <w:r w:rsidRPr="00452B9F">
        <w:rPr>
          <w:rFonts w:ascii="Times New Roman" w:eastAsia="Times New Roman" w:hAnsi="Times New Roman" w:cs="Times New Roman"/>
          <w:sz w:val="20"/>
          <w:szCs w:val="20"/>
        </w:rPr>
        <w:t xml:space="preserve"> efficiency improved by 27% due to real-time AI optimization and stream segregation.</w:t>
      </w:r>
    </w:p>
    <w:p w14:paraId="41BB3DE5" w14:textId="08103DBA" w:rsidR="00452B9F" w:rsidRPr="00452B9F" w:rsidRDefault="00452B9F" w:rsidP="00055867">
      <w:pPr>
        <w:spacing w:after="0" w:line="360" w:lineRule="auto"/>
        <w:jc w:val="both"/>
        <w:outlineLvl w:val="2"/>
        <w:rPr>
          <w:rFonts w:ascii="Times New Roman" w:eastAsia="Times New Roman" w:hAnsi="Times New Roman" w:cs="Times New Roman"/>
          <w:sz w:val="20"/>
          <w:szCs w:val="20"/>
        </w:rPr>
      </w:pPr>
      <w:r w:rsidRPr="00452B9F">
        <w:rPr>
          <w:rFonts w:ascii="Times New Roman" w:eastAsia="Times New Roman" w:hAnsi="Times New Roman" w:cs="Times New Roman"/>
          <w:b/>
          <w:bCs/>
          <w:sz w:val="20"/>
          <w:szCs w:val="20"/>
        </w:rPr>
        <w:t>3. GHG Emissions Reduction through AI-Enhanced LCA</w:t>
      </w:r>
      <w:r w:rsidR="00055867">
        <w:rPr>
          <w:rFonts w:ascii="Times New Roman" w:eastAsia="Times New Roman" w:hAnsi="Times New Roman" w:cs="Times New Roman"/>
          <w:b/>
          <w:bCs/>
          <w:sz w:val="20"/>
          <w:szCs w:val="20"/>
        </w:rPr>
        <w:t xml:space="preserve">: </w:t>
      </w:r>
      <w:r w:rsidRPr="00452B9F">
        <w:rPr>
          <w:rFonts w:ascii="Times New Roman" w:eastAsia="Times New Roman" w:hAnsi="Times New Roman" w:cs="Times New Roman"/>
          <w:sz w:val="20"/>
          <w:szCs w:val="20"/>
        </w:rPr>
        <w:t xml:space="preserve">Life Cycle Assessment (LCA), dynamically modeled through AI-assisted </w:t>
      </w:r>
      <w:proofErr w:type="spellStart"/>
      <w:r w:rsidRPr="00452B9F">
        <w:rPr>
          <w:rFonts w:ascii="Times New Roman" w:eastAsia="Times New Roman" w:hAnsi="Times New Roman" w:cs="Times New Roman"/>
          <w:sz w:val="20"/>
          <w:szCs w:val="20"/>
        </w:rPr>
        <w:t>OpenLCA</w:t>
      </w:r>
      <w:proofErr w:type="spellEnd"/>
      <w:r w:rsidRPr="00452B9F">
        <w:rPr>
          <w:rFonts w:ascii="Times New Roman" w:eastAsia="Times New Roman" w:hAnsi="Times New Roman" w:cs="Times New Roman"/>
          <w:sz w:val="20"/>
          <w:szCs w:val="20"/>
        </w:rPr>
        <w:t>, revealed a 36.4% reduction in GHG emissions compared to current landfilling practices. The AI-CIR-</w:t>
      </w:r>
      <w:proofErr w:type="spellStart"/>
      <w:r w:rsidRPr="00452B9F">
        <w:rPr>
          <w:rFonts w:ascii="Times New Roman" w:eastAsia="Times New Roman" w:hAnsi="Times New Roman" w:cs="Times New Roman"/>
          <w:sz w:val="20"/>
          <w:szCs w:val="20"/>
        </w:rPr>
        <w:t>WtE</w:t>
      </w:r>
      <w:proofErr w:type="spellEnd"/>
      <w:r w:rsidRPr="00452B9F">
        <w:rPr>
          <w:rFonts w:ascii="Times New Roman" w:eastAsia="Times New Roman" w:hAnsi="Times New Roman" w:cs="Times New Roman"/>
          <w:sz w:val="20"/>
          <w:szCs w:val="20"/>
        </w:rPr>
        <w:t xml:space="preserve"> system achieves:</w:t>
      </w:r>
    </w:p>
    <w:p w14:paraId="47425708" w14:textId="76487F5C" w:rsidR="00452B9F" w:rsidRPr="00452B9F" w:rsidRDefault="00452B9F" w:rsidP="008B1028">
      <w:pPr>
        <w:numPr>
          <w:ilvl w:val="0"/>
          <w:numId w:val="7"/>
        </w:numPr>
        <w:spacing w:after="0" w:line="360" w:lineRule="auto"/>
        <w:jc w:val="both"/>
        <w:rPr>
          <w:rFonts w:ascii="Times New Roman" w:eastAsia="Times New Roman" w:hAnsi="Times New Roman" w:cs="Times New Roman"/>
          <w:sz w:val="20"/>
          <w:szCs w:val="20"/>
        </w:rPr>
      </w:pPr>
      <w:r w:rsidRPr="00F0714A">
        <w:rPr>
          <w:rFonts w:ascii="Times New Roman" w:eastAsia="Times New Roman" w:hAnsi="Times New Roman" w:cs="Times New Roman"/>
          <w:b/>
          <w:bCs/>
          <w:sz w:val="20"/>
          <w:szCs w:val="20"/>
        </w:rPr>
        <w:t>Avoided emissions:</w:t>
      </w:r>
      <w:r w:rsidRPr="00452B9F">
        <w:rPr>
          <w:rFonts w:ascii="Times New Roman" w:eastAsia="Times New Roman" w:hAnsi="Times New Roman" w:cs="Times New Roman"/>
          <w:sz w:val="20"/>
          <w:szCs w:val="20"/>
        </w:rPr>
        <w:t xml:space="preserve"> 1,220 tons CO</w:t>
      </w:r>
      <w:r w:rsidR="00055867">
        <w:rPr>
          <w:rFonts w:ascii="Times New Roman" w:eastAsia="Times New Roman" w:hAnsi="Times New Roman" w:cs="Times New Roman"/>
          <w:sz w:val="20"/>
          <w:szCs w:val="20"/>
          <w:vertAlign w:val="subscript"/>
        </w:rPr>
        <w:t>2</w:t>
      </w:r>
      <w:r w:rsidR="00055867">
        <w:rPr>
          <w:rFonts w:ascii="Times New Roman" w:eastAsia="Times New Roman" w:hAnsi="Times New Roman" w:cs="Times New Roman"/>
          <w:sz w:val="20"/>
          <w:szCs w:val="20"/>
        </w:rPr>
        <w:t xml:space="preserve"> </w:t>
      </w:r>
      <w:r w:rsidRPr="00452B9F">
        <w:rPr>
          <w:rFonts w:ascii="Times New Roman" w:eastAsia="Times New Roman" w:hAnsi="Times New Roman" w:cs="Times New Roman"/>
          <w:sz w:val="20"/>
          <w:szCs w:val="20"/>
        </w:rPr>
        <w:t>e</w:t>
      </w:r>
      <w:r w:rsidR="00055867">
        <w:rPr>
          <w:rFonts w:ascii="Times New Roman" w:eastAsia="Times New Roman" w:hAnsi="Times New Roman" w:cs="Times New Roman"/>
          <w:sz w:val="20"/>
          <w:szCs w:val="20"/>
        </w:rPr>
        <w:t>missions</w:t>
      </w:r>
      <w:r w:rsidRPr="00452B9F">
        <w:rPr>
          <w:rFonts w:ascii="Times New Roman" w:eastAsia="Times New Roman" w:hAnsi="Times New Roman" w:cs="Times New Roman"/>
          <w:sz w:val="20"/>
          <w:szCs w:val="20"/>
        </w:rPr>
        <w:t>/day</w:t>
      </w:r>
      <w:r w:rsidR="00055867">
        <w:rPr>
          <w:rFonts w:ascii="Times New Roman" w:eastAsia="Times New Roman" w:hAnsi="Times New Roman" w:cs="Times New Roman"/>
          <w:sz w:val="20"/>
          <w:szCs w:val="20"/>
        </w:rPr>
        <w:t>.</w:t>
      </w:r>
    </w:p>
    <w:p w14:paraId="57119A68" w14:textId="68B9E4E6" w:rsidR="00452B9F" w:rsidRPr="00452B9F" w:rsidRDefault="00452B9F" w:rsidP="008B1028">
      <w:pPr>
        <w:numPr>
          <w:ilvl w:val="0"/>
          <w:numId w:val="7"/>
        </w:numPr>
        <w:spacing w:after="0" w:line="360" w:lineRule="auto"/>
        <w:jc w:val="both"/>
        <w:rPr>
          <w:rFonts w:ascii="Times New Roman" w:eastAsia="Times New Roman" w:hAnsi="Times New Roman" w:cs="Times New Roman"/>
          <w:sz w:val="20"/>
          <w:szCs w:val="20"/>
        </w:rPr>
      </w:pPr>
      <w:r w:rsidRPr="00F0714A">
        <w:rPr>
          <w:rFonts w:ascii="Times New Roman" w:eastAsia="Times New Roman" w:hAnsi="Times New Roman" w:cs="Times New Roman"/>
          <w:b/>
          <w:bCs/>
          <w:sz w:val="20"/>
          <w:szCs w:val="20"/>
        </w:rPr>
        <w:t>Methane reduction:</w:t>
      </w:r>
      <w:r w:rsidRPr="00452B9F">
        <w:rPr>
          <w:rFonts w:ascii="Times New Roman" w:eastAsia="Times New Roman" w:hAnsi="Times New Roman" w:cs="Times New Roman"/>
          <w:sz w:val="20"/>
          <w:szCs w:val="20"/>
        </w:rPr>
        <w:t xml:space="preserve"> 780 kg/day through anaerobic digestion</w:t>
      </w:r>
      <w:r w:rsidR="00055867">
        <w:rPr>
          <w:rFonts w:ascii="Times New Roman" w:eastAsia="Times New Roman" w:hAnsi="Times New Roman" w:cs="Times New Roman"/>
          <w:sz w:val="20"/>
          <w:szCs w:val="20"/>
        </w:rPr>
        <w:t>.</w:t>
      </w:r>
    </w:p>
    <w:p w14:paraId="595D7314" w14:textId="3E8F45EA" w:rsidR="00452B9F" w:rsidRPr="00452B9F" w:rsidRDefault="00452B9F" w:rsidP="008B1028">
      <w:pPr>
        <w:numPr>
          <w:ilvl w:val="0"/>
          <w:numId w:val="7"/>
        </w:numPr>
        <w:spacing w:after="0" w:line="360" w:lineRule="auto"/>
        <w:jc w:val="both"/>
        <w:rPr>
          <w:rFonts w:ascii="Times New Roman" w:eastAsia="Times New Roman" w:hAnsi="Times New Roman" w:cs="Times New Roman"/>
          <w:sz w:val="20"/>
          <w:szCs w:val="20"/>
        </w:rPr>
      </w:pPr>
      <w:r w:rsidRPr="00F0714A">
        <w:rPr>
          <w:rFonts w:ascii="Times New Roman" w:eastAsia="Times New Roman" w:hAnsi="Times New Roman" w:cs="Times New Roman"/>
          <w:b/>
          <w:bCs/>
          <w:sz w:val="20"/>
          <w:szCs w:val="20"/>
        </w:rPr>
        <w:t>Energy offset:</w:t>
      </w:r>
      <w:r w:rsidRPr="00452B9F">
        <w:rPr>
          <w:rFonts w:ascii="Times New Roman" w:eastAsia="Times New Roman" w:hAnsi="Times New Roman" w:cs="Times New Roman"/>
          <w:sz w:val="20"/>
          <w:szCs w:val="20"/>
        </w:rPr>
        <w:t xml:space="preserve"> Replacing fossil energy with recovered electricity covers 12% of local demand in selected zones</w:t>
      </w:r>
      <w:r w:rsidR="00055867">
        <w:rPr>
          <w:rFonts w:ascii="Times New Roman" w:eastAsia="Times New Roman" w:hAnsi="Times New Roman" w:cs="Times New Roman"/>
          <w:sz w:val="20"/>
          <w:szCs w:val="20"/>
        </w:rPr>
        <w:t>.</w:t>
      </w:r>
    </w:p>
    <w:p w14:paraId="7114A44C" w14:textId="5124C950" w:rsidR="00452B9F" w:rsidRPr="00452B9F" w:rsidRDefault="00452B9F" w:rsidP="009F702F">
      <w:p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These results align with similar AI-powered circular models in Southeast Asia and Latin America.</w:t>
      </w:r>
    </w:p>
    <w:p w14:paraId="1BA1BF3A" w14:textId="4F379A47" w:rsidR="00452B9F" w:rsidRPr="00452B9F" w:rsidRDefault="00452B9F" w:rsidP="00055867">
      <w:pPr>
        <w:spacing w:after="0" w:line="360" w:lineRule="auto"/>
        <w:jc w:val="both"/>
        <w:outlineLvl w:val="2"/>
        <w:rPr>
          <w:rFonts w:ascii="Times New Roman" w:eastAsia="Times New Roman" w:hAnsi="Times New Roman" w:cs="Times New Roman"/>
          <w:sz w:val="20"/>
          <w:szCs w:val="20"/>
        </w:rPr>
      </w:pPr>
      <w:r w:rsidRPr="00452B9F">
        <w:rPr>
          <w:rFonts w:ascii="Times New Roman" w:eastAsia="Times New Roman" w:hAnsi="Times New Roman" w:cs="Times New Roman"/>
          <w:b/>
          <w:bCs/>
          <w:sz w:val="20"/>
          <w:szCs w:val="20"/>
        </w:rPr>
        <w:t>4. Infrastructure Stress-Test under Climate Disruptions</w:t>
      </w:r>
      <w:r w:rsidR="00055867">
        <w:rPr>
          <w:rFonts w:ascii="Times New Roman" w:eastAsia="Times New Roman" w:hAnsi="Times New Roman" w:cs="Times New Roman"/>
          <w:b/>
          <w:bCs/>
          <w:sz w:val="20"/>
          <w:szCs w:val="20"/>
        </w:rPr>
        <w:t xml:space="preserve">: </w:t>
      </w:r>
      <w:r w:rsidRPr="00452B9F">
        <w:rPr>
          <w:rFonts w:ascii="Times New Roman" w:eastAsia="Times New Roman" w:hAnsi="Times New Roman" w:cs="Times New Roman"/>
          <w:sz w:val="20"/>
          <w:szCs w:val="20"/>
        </w:rPr>
        <w:t xml:space="preserve">Using climate projections from BMD and IPCC SSP2-4.5 pathways, infrastructure resilience was assessed under monsoon flooding and urban heat stress scenarios. AI-based simulations triggered </w:t>
      </w:r>
      <w:r w:rsidR="00055867">
        <w:rPr>
          <w:rFonts w:ascii="Times New Roman" w:eastAsia="Times New Roman" w:hAnsi="Times New Roman" w:cs="Times New Roman"/>
          <w:sz w:val="20"/>
          <w:szCs w:val="20"/>
        </w:rPr>
        <w:t xml:space="preserve">in </w:t>
      </w:r>
      <w:r w:rsidRPr="00452B9F">
        <w:rPr>
          <w:rFonts w:ascii="Times New Roman" w:eastAsia="Times New Roman" w:hAnsi="Times New Roman" w:cs="Times New Roman"/>
          <w:sz w:val="20"/>
          <w:szCs w:val="20"/>
        </w:rPr>
        <w:t>real-time:</w:t>
      </w:r>
    </w:p>
    <w:p w14:paraId="2731D256" w14:textId="66766728" w:rsidR="00452B9F" w:rsidRPr="00452B9F" w:rsidRDefault="00452B9F" w:rsidP="008B1028">
      <w:pPr>
        <w:numPr>
          <w:ilvl w:val="0"/>
          <w:numId w:val="8"/>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Rerouting of collection trucks in flood-prone wards (Zones 4, 7, and 10)</w:t>
      </w:r>
      <w:r w:rsidR="00055867">
        <w:rPr>
          <w:rFonts w:ascii="Times New Roman" w:eastAsia="Times New Roman" w:hAnsi="Times New Roman" w:cs="Times New Roman"/>
          <w:sz w:val="20"/>
          <w:szCs w:val="20"/>
        </w:rPr>
        <w:t>.</w:t>
      </w:r>
    </w:p>
    <w:p w14:paraId="3D5F04E9" w14:textId="67605A4C" w:rsidR="00452B9F" w:rsidRPr="00452B9F" w:rsidRDefault="00452B9F" w:rsidP="008B1028">
      <w:pPr>
        <w:numPr>
          <w:ilvl w:val="0"/>
          <w:numId w:val="8"/>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Load redistribution across decentralized AD units</w:t>
      </w:r>
      <w:r w:rsidR="00055867">
        <w:rPr>
          <w:rFonts w:ascii="Times New Roman" w:eastAsia="Times New Roman" w:hAnsi="Times New Roman" w:cs="Times New Roman"/>
          <w:sz w:val="20"/>
          <w:szCs w:val="20"/>
        </w:rPr>
        <w:t>.</w:t>
      </w:r>
    </w:p>
    <w:p w14:paraId="014C260E" w14:textId="7674FD9B" w:rsidR="00452B9F" w:rsidRPr="00452B9F" w:rsidRDefault="00452B9F" w:rsidP="008B1028">
      <w:pPr>
        <w:numPr>
          <w:ilvl w:val="0"/>
          <w:numId w:val="8"/>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Energy storage activation in areas with grid failure risk</w:t>
      </w:r>
      <w:r w:rsidR="00055867">
        <w:rPr>
          <w:rFonts w:ascii="Times New Roman" w:eastAsia="Times New Roman" w:hAnsi="Times New Roman" w:cs="Times New Roman"/>
          <w:sz w:val="20"/>
          <w:szCs w:val="20"/>
        </w:rPr>
        <w:t>.</w:t>
      </w:r>
    </w:p>
    <w:p w14:paraId="615C9E88" w14:textId="77777777" w:rsidR="00452B9F" w:rsidRPr="00452B9F" w:rsidRDefault="00452B9F" w:rsidP="009F702F">
      <w:p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System downtime was reduced by 64%, and waste accumulation hotspots were proactively decongested.</w:t>
      </w:r>
    </w:p>
    <w:p w14:paraId="40804E17" w14:textId="747900F0" w:rsidR="00452B9F" w:rsidRPr="00452B9F" w:rsidRDefault="00452B9F" w:rsidP="00055867">
      <w:pPr>
        <w:spacing w:after="0" w:line="360" w:lineRule="auto"/>
        <w:jc w:val="both"/>
        <w:outlineLvl w:val="2"/>
        <w:rPr>
          <w:rFonts w:ascii="Times New Roman" w:eastAsia="Times New Roman" w:hAnsi="Times New Roman" w:cs="Times New Roman"/>
          <w:sz w:val="20"/>
          <w:szCs w:val="20"/>
        </w:rPr>
      </w:pPr>
      <w:r w:rsidRPr="00452B9F">
        <w:rPr>
          <w:rFonts w:ascii="Times New Roman" w:eastAsia="Times New Roman" w:hAnsi="Times New Roman" w:cs="Times New Roman"/>
          <w:b/>
          <w:bCs/>
          <w:sz w:val="20"/>
          <w:szCs w:val="20"/>
        </w:rPr>
        <w:t>5. Circularity Index Tracking</w:t>
      </w:r>
      <w:r w:rsidR="00055867">
        <w:rPr>
          <w:rFonts w:ascii="Times New Roman" w:eastAsia="Times New Roman" w:hAnsi="Times New Roman" w:cs="Times New Roman"/>
          <w:b/>
          <w:bCs/>
          <w:sz w:val="20"/>
          <w:szCs w:val="20"/>
        </w:rPr>
        <w:t xml:space="preserve">: </w:t>
      </w:r>
      <w:r w:rsidRPr="00452B9F">
        <w:rPr>
          <w:rFonts w:ascii="Times New Roman" w:eastAsia="Times New Roman" w:hAnsi="Times New Roman" w:cs="Times New Roman"/>
          <w:sz w:val="20"/>
          <w:szCs w:val="20"/>
        </w:rPr>
        <w:t>The AI</w:t>
      </w:r>
      <w:r w:rsidR="00AA1892">
        <w:rPr>
          <w:rFonts w:ascii="Times New Roman" w:eastAsia="Times New Roman" w:hAnsi="Times New Roman" w:cs="Times New Roman"/>
          <w:sz w:val="20"/>
          <w:szCs w:val="20"/>
        </w:rPr>
        <w:t>-</w:t>
      </w:r>
      <w:r w:rsidRPr="00452B9F">
        <w:rPr>
          <w:rFonts w:ascii="Times New Roman" w:eastAsia="Times New Roman" w:hAnsi="Times New Roman" w:cs="Times New Roman"/>
          <w:sz w:val="20"/>
          <w:szCs w:val="20"/>
        </w:rPr>
        <w:t>CIR</w:t>
      </w:r>
      <w:r w:rsidR="00AA1892">
        <w:rPr>
          <w:rFonts w:ascii="Times New Roman" w:eastAsia="Times New Roman" w:hAnsi="Times New Roman" w:cs="Times New Roman"/>
          <w:sz w:val="20"/>
          <w:szCs w:val="20"/>
        </w:rPr>
        <w:t>-</w:t>
      </w:r>
      <w:proofErr w:type="spellStart"/>
      <w:r w:rsidRPr="00452B9F">
        <w:rPr>
          <w:rFonts w:ascii="Times New Roman" w:eastAsia="Times New Roman" w:hAnsi="Times New Roman" w:cs="Times New Roman"/>
          <w:sz w:val="20"/>
          <w:szCs w:val="20"/>
        </w:rPr>
        <w:t>WtE</w:t>
      </w:r>
      <w:proofErr w:type="spellEnd"/>
      <w:r w:rsidRPr="00452B9F">
        <w:rPr>
          <w:rFonts w:ascii="Times New Roman" w:eastAsia="Times New Roman" w:hAnsi="Times New Roman" w:cs="Times New Roman"/>
          <w:sz w:val="20"/>
          <w:szCs w:val="20"/>
        </w:rPr>
        <w:t xml:space="preserve"> model computed real-time Circularity Indices (CI) based on waste recovery rates, energy reusability, and emission offset per unit waste processed. Over a simulated year:</w:t>
      </w:r>
    </w:p>
    <w:p w14:paraId="15409576" w14:textId="28A08D24" w:rsidR="00452B9F" w:rsidRPr="00452B9F" w:rsidRDefault="00452B9F" w:rsidP="008B1028">
      <w:pPr>
        <w:numPr>
          <w:ilvl w:val="0"/>
          <w:numId w:val="9"/>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CI increased from 0.32 to 0.71</w:t>
      </w:r>
      <w:r w:rsidR="00055867">
        <w:rPr>
          <w:rFonts w:ascii="Times New Roman" w:eastAsia="Times New Roman" w:hAnsi="Times New Roman" w:cs="Times New Roman"/>
          <w:sz w:val="20"/>
          <w:szCs w:val="20"/>
        </w:rPr>
        <w:t>.</w:t>
      </w:r>
    </w:p>
    <w:p w14:paraId="69B27FD2" w14:textId="0329085A" w:rsidR="00452B9F" w:rsidRPr="00452B9F" w:rsidRDefault="00055867" w:rsidP="008B1028">
      <w:pPr>
        <w:numPr>
          <w:ilvl w:val="0"/>
          <w:numId w:val="9"/>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Recycling</w:t>
      </w:r>
      <w:r w:rsidR="00452B9F" w:rsidRPr="00452B9F">
        <w:rPr>
          <w:rFonts w:ascii="Times New Roman" w:eastAsia="Times New Roman" w:hAnsi="Times New Roman" w:cs="Times New Roman"/>
          <w:sz w:val="20"/>
          <w:szCs w:val="20"/>
        </w:rPr>
        <w:t xml:space="preserve"> recovery improved by 48%</w:t>
      </w:r>
      <w:r>
        <w:rPr>
          <w:rFonts w:ascii="Times New Roman" w:eastAsia="Times New Roman" w:hAnsi="Times New Roman" w:cs="Times New Roman"/>
          <w:sz w:val="20"/>
          <w:szCs w:val="20"/>
        </w:rPr>
        <w:t>.</w:t>
      </w:r>
    </w:p>
    <w:p w14:paraId="7FDE7EB7" w14:textId="472C440B" w:rsidR="00452B9F" w:rsidRPr="00452B9F" w:rsidRDefault="00452B9F" w:rsidP="008B1028">
      <w:pPr>
        <w:numPr>
          <w:ilvl w:val="0"/>
          <w:numId w:val="9"/>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Decision engine prioritized circular loops over incineration, aligned with SDG 12.5 and EU 2023 Circularity Indicators</w:t>
      </w:r>
      <w:r w:rsidR="00055867">
        <w:rPr>
          <w:rFonts w:ascii="Times New Roman" w:eastAsia="Times New Roman" w:hAnsi="Times New Roman" w:cs="Times New Roman"/>
          <w:sz w:val="20"/>
          <w:szCs w:val="20"/>
        </w:rPr>
        <w:t>.</w:t>
      </w:r>
    </w:p>
    <w:p w14:paraId="6FB31B54" w14:textId="070A93F7" w:rsidR="00452B9F" w:rsidRDefault="00452B9F" w:rsidP="009F702F">
      <w:pPr>
        <w:spacing w:after="0" w:line="360" w:lineRule="auto"/>
        <w:jc w:val="both"/>
        <w:rPr>
          <w:rFonts w:ascii="Times New Roman" w:hAnsi="Times New Roman" w:cs="Times New Roman"/>
          <w:b/>
          <w:bCs/>
          <w:sz w:val="20"/>
          <w:szCs w:val="20"/>
        </w:rPr>
      </w:pPr>
      <w:r w:rsidRPr="009F702F">
        <w:rPr>
          <w:rFonts w:ascii="Times New Roman" w:hAnsi="Times New Roman" w:cs="Times New Roman"/>
          <w:b/>
          <w:bCs/>
          <w:sz w:val="20"/>
          <w:szCs w:val="20"/>
        </w:rPr>
        <w:t>Summary of Key Outputs</w:t>
      </w:r>
      <w:r w:rsidR="00055867">
        <w:rPr>
          <w:rFonts w:ascii="Times New Roman" w:hAnsi="Times New Roman" w:cs="Times New Roman"/>
          <w:b/>
          <w:bCs/>
          <w:sz w:val="20"/>
          <w:szCs w:val="20"/>
        </w:rPr>
        <w:t xml:space="preserve">: </w:t>
      </w:r>
    </w:p>
    <w:tbl>
      <w:tblPr>
        <w:tblStyle w:val="TableGrid"/>
        <w:tblW w:w="9245" w:type="dxa"/>
        <w:tblLook w:val="04A0" w:firstRow="1" w:lastRow="0" w:firstColumn="1" w:lastColumn="0" w:noHBand="0" w:noVBand="1"/>
      </w:tblPr>
      <w:tblGrid>
        <w:gridCol w:w="3081"/>
        <w:gridCol w:w="3082"/>
        <w:gridCol w:w="3082"/>
      </w:tblGrid>
      <w:tr w:rsidR="00055867" w14:paraId="0096D1DA" w14:textId="77777777" w:rsidTr="00FB32D4">
        <w:trPr>
          <w:trHeight w:val="658"/>
        </w:trPr>
        <w:tc>
          <w:tcPr>
            <w:tcW w:w="3081" w:type="dxa"/>
            <w:vAlign w:val="center"/>
          </w:tcPr>
          <w:p w14:paraId="4AAB4400" w14:textId="1695B255"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Metric</w:t>
            </w:r>
          </w:p>
        </w:tc>
        <w:tc>
          <w:tcPr>
            <w:tcW w:w="3082" w:type="dxa"/>
            <w:vAlign w:val="center"/>
          </w:tcPr>
          <w:p w14:paraId="275C9E2D" w14:textId="07E71244"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Baseline (Conventional)</w:t>
            </w:r>
          </w:p>
        </w:tc>
        <w:tc>
          <w:tcPr>
            <w:tcW w:w="3082" w:type="dxa"/>
            <w:vAlign w:val="center"/>
          </w:tcPr>
          <w:p w14:paraId="272CE696" w14:textId="546DA0EE"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AI</w:t>
            </w:r>
            <w:r w:rsidR="00AA1892">
              <w:rPr>
                <w:rFonts w:ascii="Times New Roman" w:eastAsia="Times New Roman" w:hAnsi="Times New Roman" w:cs="Times New Roman"/>
                <w:b/>
                <w:bCs/>
                <w:sz w:val="20"/>
                <w:szCs w:val="20"/>
              </w:rPr>
              <w:t>-</w:t>
            </w:r>
            <w:r w:rsidRPr="00452B9F">
              <w:rPr>
                <w:rFonts w:ascii="Times New Roman" w:eastAsia="Times New Roman" w:hAnsi="Times New Roman" w:cs="Times New Roman"/>
                <w:b/>
                <w:bCs/>
                <w:sz w:val="20"/>
                <w:szCs w:val="20"/>
              </w:rPr>
              <w:t>CIR</w:t>
            </w:r>
            <w:r w:rsidR="00AA1892">
              <w:rPr>
                <w:rFonts w:ascii="Times New Roman" w:eastAsia="Times New Roman" w:hAnsi="Times New Roman" w:cs="Times New Roman"/>
                <w:b/>
                <w:bCs/>
                <w:sz w:val="20"/>
                <w:szCs w:val="20"/>
              </w:rPr>
              <w:t>-</w:t>
            </w:r>
            <w:proofErr w:type="spellStart"/>
            <w:r w:rsidRPr="00452B9F">
              <w:rPr>
                <w:rFonts w:ascii="Times New Roman" w:eastAsia="Times New Roman" w:hAnsi="Times New Roman" w:cs="Times New Roman"/>
                <w:b/>
                <w:bCs/>
                <w:sz w:val="20"/>
                <w:szCs w:val="20"/>
              </w:rPr>
              <w:t>WtE</w:t>
            </w:r>
            <w:proofErr w:type="spellEnd"/>
            <w:r w:rsidRPr="00452B9F">
              <w:rPr>
                <w:rFonts w:ascii="Times New Roman" w:eastAsia="Times New Roman" w:hAnsi="Times New Roman" w:cs="Times New Roman"/>
                <w:b/>
                <w:bCs/>
                <w:sz w:val="20"/>
                <w:szCs w:val="20"/>
              </w:rPr>
              <w:t xml:space="preserve"> Simulation</w:t>
            </w:r>
          </w:p>
        </w:tc>
      </w:tr>
      <w:tr w:rsidR="00055867" w14:paraId="0D33701A" w14:textId="77777777" w:rsidTr="00FB32D4">
        <w:trPr>
          <w:trHeight w:val="641"/>
        </w:trPr>
        <w:tc>
          <w:tcPr>
            <w:tcW w:w="3081" w:type="dxa"/>
            <w:vAlign w:val="center"/>
          </w:tcPr>
          <w:p w14:paraId="34FD4501" w14:textId="13EDC122" w:rsidR="00055867" w:rsidRPr="00FB32D4"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Waste forecast accuracy</w:t>
            </w:r>
          </w:p>
        </w:tc>
        <w:tc>
          <w:tcPr>
            <w:tcW w:w="3082" w:type="dxa"/>
            <w:vAlign w:val="center"/>
          </w:tcPr>
          <w:p w14:paraId="734D02AA" w14:textId="2317017B"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&lt;70%</w:t>
            </w:r>
          </w:p>
        </w:tc>
        <w:tc>
          <w:tcPr>
            <w:tcW w:w="3082" w:type="dxa"/>
            <w:vAlign w:val="center"/>
          </w:tcPr>
          <w:p w14:paraId="6C6C2E27" w14:textId="44A09424"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&gt;92% (LSTM-</w:t>
            </w:r>
            <w:proofErr w:type="spellStart"/>
            <w:r w:rsidRPr="00452B9F">
              <w:rPr>
                <w:rFonts w:ascii="Times New Roman" w:eastAsia="Times New Roman" w:hAnsi="Times New Roman" w:cs="Times New Roman"/>
                <w:sz w:val="20"/>
                <w:szCs w:val="20"/>
              </w:rPr>
              <w:t>XGBoost</w:t>
            </w:r>
            <w:proofErr w:type="spellEnd"/>
            <w:r w:rsidRPr="00452B9F">
              <w:rPr>
                <w:rFonts w:ascii="Times New Roman" w:eastAsia="Times New Roman" w:hAnsi="Times New Roman" w:cs="Times New Roman"/>
                <w:sz w:val="20"/>
                <w:szCs w:val="20"/>
              </w:rPr>
              <w:t>)</w:t>
            </w:r>
          </w:p>
        </w:tc>
      </w:tr>
      <w:tr w:rsidR="00055867" w14:paraId="168C3263" w14:textId="77777777" w:rsidTr="00FB32D4">
        <w:trPr>
          <w:trHeight w:val="658"/>
        </w:trPr>
        <w:tc>
          <w:tcPr>
            <w:tcW w:w="3081" w:type="dxa"/>
            <w:vAlign w:val="center"/>
          </w:tcPr>
          <w:p w14:paraId="09605883" w14:textId="5F5FF55B" w:rsidR="00055867" w:rsidRPr="00FB32D4"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Energy yield</w:t>
            </w:r>
          </w:p>
        </w:tc>
        <w:tc>
          <w:tcPr>
            <w:tcW w:w="3082" w:type="dxa"/>
            <w:vAlign w:val="center"/>
          </w:tcPr>
          <w:p w14:paraId="50303C81" w14:textId="7F547A73"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~7.2 MW/day</w:t>
            </w:r>
          </w:p>
        </w:tc>
        <w:tc>
          <w:tcPr>
            <w:tcW w:w="3082" w:type="dxa"/>
            <w:vAlign w:val="center"/>
          </w:tcPr>
          <w:p w14:paraId="658E136D" w14:textId="66EA782C"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9.9 MW/day</w:t>
            </w:r>
          </w:p>
        </w:tc>
      </w:tr>
      <w:tr w:rsidR="00055867" w14:paraId="14137CC6" w14:textId="77777777" w:rsidTr="00FB32D4">
        <w:trPr>
          <w:trHeight w:val="658"/>
        </w:trPr>
        <w:tc>
          <w:tcPr>
            <w:tcW w:w="3081" w:type="dxa"/>
            <w:vAlign w:val="center"/>
          </w:tcPr>
          <w:p w14:paraId="1B75C820" w14:textId="4C112D7D" w:rsidR="00055867" w:rsidRPr="00FB32D4"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lastRenderedPageBreak/>
              <w:t>Emissions</w:t>
            </w:r>
          </w:p>
        </w:tc>
        <w:tc>
          <w:tcPr>
            <w:tcW w:w="3082" w:type="dxa"/>
            <w:vAlign w:val="center"/>
          </w:tcPr>
          <w:p w14:paraId="108B2408" w14:textId="579A0892"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3,350 tons CO</w:t>
            </w:r>
            <w:r w:rsidR="00BE0E44">
              <w:rPr>
                <w:rFonts w:ascii="Times New Roman" w:eastAsia="Times New Roman" w:hAnsi="Times New Roman" w:cs="Times New Roman"/>
                <w:sz w:val="20"/>
                <w:szCs w:val="20"/>
                <w:vertAlign w:val="subscript"/>
              </w:rPr>
              <w:t>2</w:t>
            </w:r>
            <w:r w:rsidR="00BE0E44">
              <w:rPr>
                <w:rFonts w:ascii="Times New Roman" w:eastAsia="Times New Roman" w:hAnsi="Times New Roman" w:cs="Times New Roman"/>
                <w:sz w:val="20"/>
                <w:szCs w:val="20"/>
              </w:rPr>
              <w:t xml:space="preserve"> </w:t>
            </w:r>
            <w:r w:rsidRPr="00452B9F">
              <w:rPr>
                <w:rFonts w:ascii="Times New Roman" w:eastAsia="Times New Roman" w:hAnsi="Times New Roman" w:cs="Times New Roman"/>
                <w:sz w:val="20"/>
                <w:szCs w:val="20"/>
              </w:rPr>
              <w:t>e</w:t>
            </w:r>
            <w:r w:rsidR="00BE0E44">
              <w:rPr>
                <w:rFonts w:ascii="Times New Roman" w:eastAsia="Times New Roman" w:hAnsi="Times New Roman" w:cs="Times New Roman"/>
                <w:sz w:val="20"/>
                <w:szCs w:val="20"/>
              </w:rPr>
              <w:t>missions</w:t>
            </w:r>
            <w:r w:rsidRPr="00452B9F">
              <w:rPr>
                <w:rFonts w:ascii="Times New Roman" w:eastAsia="Times New Roman" w:hAnsi="Times New Roman" w:cs="Times New Roman"/>
                <w:sz w:val="20"/>
                <w:szCs w:val="20"/>
              </w:rPr>
              <w:t>/day</w:t>
            </w:r>
          </w:p>
        </w:tc>
        <w:tc>
          <w:tcPr>
            <w:tcW w:w="3082" w:type="dxa"/>
            <w:vAlign w:val="center"/>
          </w:tcPr>
          <w:p w14:paraId="44F2076B" w14:textId="4A77245B"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 xml:space="preserve">2,130 tons </w:t>
            </w:r>
            <w:r w:rsidR="00BE0E44" w:rsidRPr="00452B9F">
              <w:rPr>
                <w:rFonts w:ascii="Times New Roman" w:eastAsia="Times New Roman" w:hAnsi="Times New Roman" w:cs="Times New Roman"/>
                <w:sz w:val="20"/>
                <w:szCs w:val="20"/>
              </w:rPr>
              <w:t>CO</w:t>
            </w:r>
            <w:r w:rsidR="00BE0E44">
              <w:rPr>
                <w:rFonts w:ascii="Times New Roman" w:eastAsia="Times New Roman" w:hAnsi="Times New Roman" w:cs="Times New Roman"/>
                <w:sz w:val="20"/>
                <w:szCs w:val="20"/>
                <w:vertAlign w:val="subscript"/>
              </w:rPr>
              <w:t>2</w:t>
            </w:r>
            <w:r w:rsidR="00BE0E44">
              <w:rPr>
                <w:rFonts w:ascii="Times New Roman" w:eastAsia="Times New Roman" w:hAnsi="Times New Roman" w:cs="Times New Roman"/>
                <w:sz w:val="20"/>
                <w:szCs w:val="20"/>
              </w:rPr>
              <w:t xml:space="preserve"> </w:t>
            </w:r>
            <w:r w:rsidR="00BE0E44" w:rsidRPr="00452B9F">
              <w:rPr>
                <w:rFonts w:ascii="Times New Roman" w:eastAsia="Times New Roman" w:hAnsi="Times New Roman" w:cs="Times New Roman"/>
                <w:sz w:val="20"/>
                <w:szCs w:val="20"/>
              </w:rPr>
              <w:t>e</w:t>
            </w:r>
            <w:r w:rsidR="00BE0E44">
              <w:rPr>
                <w:rFonts w:ascii="Times New Roman" w:eastAsia="Times New Roman" w:hAnsi="Times New Roman" w:cs="Times New Roman"/>
                <w:sz w:val="20"/>
                <w:szCs w:val="20"/>
              </w:rPr>
              <w:t>missions</w:t>
            </w:r>
            <w:r w:rsidR="00BE0E44" w:rsidRPr="00452B9F">
              <w:rPr>
                <w:rFonts w:ascii="Times New Roman" w:eastAsia="Times New Roman" w:hAnsi="Times New Roman" w:cs="Times New Roman"/>
                <w:sz w:val="20"/>
                <w:szCs w:val="20"/>
              </w:rPr>
              <w:t>/day</w:t>
            </w:r>
          </w:p>
        </w:tc>
      </w:tr>
      <w:tr w:rsidR="00055867" w14:paraId="2B5E3387" w14:textId="77777777" w:rsidTr="00FB32D4">
        <w:trPr>
          <w:trHeight w:val="641"/>
        </w:trPr>
        <w:tc>
          <w:tcPr>
            <w:tcW w:w="3081" w:type="dxa"/>
            <w:vAlign w:val="center"/>
          </w:tcPr>
          <w:p w14:paraId="4AA676CB" w14:textId="40FD653D" w:rsidR="00055867" w:rsidRPr="00FB32D4"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Climate resilience score</w:t>
            </w:r>
          </w:p>
        </w:tc>
        <w:tc>
          <w:tcPr>
            <w:tcW w:w="3082" w:type="dxa"/>
            <w:vAlign w:val="center"/>
          </w:tcPr>
          <w:p w14:paraId="6F2832CB" w14:textId="5421AC9A"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Low (Reactive)</w:t>
            </w:r>
          </w:p>
        </w:tc>
        <w:tc>
          <w:tcPr>
            <w:tcW w:w="3082" w:type="dxa"/>
            <w:vAlign w:val="center"/>
          </w:tcPr>
          <w:p w14:paraId="743188E8" w14:textId="2AE768D0"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High (Proactive, Adaptive)</w:t>
            </w:r>
          </w:p>
        </w:tc>
      </w:tr>
      <w:tr w:rsidR="00055867" w14:paraId="4BF7E8D2" w14:textId="77777777" w:rsidTr="00FB32D4">
        <w:trPr>
          <w:trHeight w:val="658"/>
        </w:trPr>
        <w:tc>
          <w:tcPr>
            <w:tcW w:w="3081" w:type="dxa"/>
            <w:vAlign w:val="center"/>
          </w:tcPr>
          <w:p w14:paraId="57EB96A3" w14:textId="0AACB760" w:rsidR="00055867" w:rsidRPr="00FB32D4"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Circularity Index</w:t>
            </w:r>
          </w:p>
        </w:tc>
        <w:tc>
          <w:tcPr>
            <w:tcW w:w="3082" w:type="dxa"/>
            <w:vAlign w:val="center"/>
          </w:tcPr>
          <w:p w14:paraId="03FEC7D5" w14:textId="1F03A01D"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0.32</w:t>
            </w:r>
          </w:p>
        </w:tc>
        <w:tc>
          <w:tcPr>
            <w:tcW w:w="3082" w:type="dxa"/>
            <w:vAlign w:val="center"/>
          </w:tcPr>
          <w:p w14:paraId="6044D6F9" w14:textId="692241E3"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0.71</w:t>
            </w:r>
          </w:p>
        </w:tc>
      </w:tr>
    </w:tbl>
    <w:p w14:paraId="3BDB23AD" w14:textId="52B3637A" w:rsidR="00055867" w:rsidRPr="00BE0E44" w:rsidRDefault="00BE0E44" w:rsidP="00BE0E44">
      <w:pPr>
        <w:spacing w:after="0" w:line="360" w:lineRule="auto"/>
        <w:jc w:val="center"/>
        <w:rPr>
          <w:rFonts w:ascii="Times New Roman" w:hAnsi="Times New Roman" w:cs="Times New Roman"/>
          <w:sz w:val="20"/>
          <w:szCs w:val="20"/>
        </w:rPr>
      </w:pPr>
      <w:r w:rsidRPr="00BE0E44">
        <w:rPr>
          <w:rFonts w:ascii="Times New Roman" w:hAnsi="Times New Roman" w:cs="Times New Roman"/>
          <w:sz w:val="20"/>
          <w:szCs w:val="20"/>
        </w:rPr>
        <w:t>Table 1: Summary of Key Outputs.</w:t>
      </w:r>
    </w:p>
    <w:p w14:paraId="6B17BB1F" w14:textId="77777777" w:rsidR="00BE0E44" w:rsidRPr="00BE0E44" w:rsidRDefault="00BE0E44" w:rsidP="009F702F">
      <w:pPr>
        <w:spacing w:after="0" w:line="360" w:lineRule="auto"/>
        <w:jc w:val="both"/>
        <w:rPr>
          <w:rFonts w:ascii="Times New Roman" w:hAnsi="Times New Roman" w:cs="Times New Roman"/>
          <w:sz w:val="20"/>
          <w:szCs w:val="20"/>
        </w:rPr>
      </w:pPr>
    </w:p>
    <w:p w14:paraId="1ECB9782" w14:textId="44BC1930" w:rsidR="00055867" w:rsidRPr="008F555B" w:rsidRDefault="001F314D" w:rsidP="008F555B">
      <w:pPr>
        <w:spacing w:after="0" w:line="360" w:lineRule="auto"/>
        <w:jc w:val="both"/>
        <w:rPr>
          <w:rFonts w:ascii="Times New Roman" w:hAnsi="Times New Roman" w:cs="Times New Roman"/>
          <w:b/>
          <w:bCs/>
          <w:sz w:val="20"/>
          <w:szCs w:val="20"/>
        </w:rPr>
      </w:pPr>
      <w:r w:rsidRPr="008F555B">
        <w:rPr>
          <w:rFonts w:ascii="Times New Roman" w:hAnsi="Times New Roman" w:cs="Times New Roman"/>
          <w:b/>
          <w:bCs/>
          <w:sz w:val="20"/>
          <w:szCs w:val="20"/>
        </w:rPr>
        <w:t>FRAMEWORK VALIDATION AND BENCHMARKING</w:t>
      </w:r>
    </w:p>
    <w:p w14:paraId="645CB4E7" w14:textId="63633689" w:rsidR="00055867" w:rsidRPr="008F555B" w:rsidRDefault="00780B7A" w:rsidP="008F555B">
      <w:pPr>
        <w:spacing w:after="0" w:line="360" w:lineRule="auto"/>
        <w:jc w:val="both"/>
        <w:rPr>
          <w:rFonts w:ascii="Times New Roman" w:hAnsi="Times New Roman" w:cs="Times New Roman"/>
          <w:sz w:val="20"/>
          <w:szCs w:val="20"/>
        </w:rPr>
      </w:pPr>
      <w:r w:rsidRPr="008F555B">
        <w:rPr>
          <w:rFonts w:ascii="Times New Roman" w:hAnsi="Times New Roman" w:cs="Times New Roman"/>
          <w:sz w:val="20"/>
          <w:szCs w:val="20"/>
        </w:rPr>
        <w:t>To assess the robustness, global relevance, and transformative potential of the AI</w:t>
      </w:r>
      <w:r w:rsidR="00C11FBB">
        <w:rPr>
          <w:rFonts w:ascii="Times New Roman" w:hAnsi="Times New Roman" w:cs="Times New Roman"/>
          <w:sz w:val="20"/>
          <w:szCs w:val="20"/>
        </w:rPr>
        <w:t>-</w:t>
      </w:r>
      <w:r w:rsidRPr="008F555B">
        <w:rPr>
          <w:rFonts w:ascii="Times New Roman" w:hAnsi="Times New Roman" w:cs="Times New Roman"/>
          <w:sz w:val="20"/>
          <w:szCs w:val="20"/>
        </w:rPr>
        <w:t>CIR</w:t>
      </w:r>
      <w:r w:rsidR="00C11FBB">
        <w:rPr>
          <w:rFonts w:ascii="Times New Roman" w:hAnsi="Times New Roman" w:cs="Times New Roman"/>
          <w:sz w:val="20"/>
          <w:szCs w:val="20"/>
        </w:rPr>
        <w:t>-</w:t>
      </w:r>
      <w:proofErr w:type="spellStart"/>
      <w:r w:rsidRPr="008F555B">
        <w:rPr>
          <w:rFonts w:ascii="Times New Roman" w:hAnsi="Times New Roman" w:cs="Times New Roman"/>
          <w:sz w:val="20"/>
          <w:szCs w:val="20"/>
        </w:rPr>
        <w:t>WtE</w:t>
      </w:r>
      <w:proofErr w:type="spellEnd"/>
      <w:r w:rsidRPr="008F555B">
        <w:rPr>
          <w:rFonts w:ascii="Times New Roman" w:hAnsi="Times New Roman" w:cs="Times New Roman"/>
          <w:sz w:val="20"/>
          <w:szCs w:val="20"/>
        </w:rPr>
        <w:t xml:space="preserve"> framework, a benchmarking analysis was conducted against existing international smart waste-to-energy and AI-based circularity models. This validation highlights the superior performance of the proposed model across three critical axes: </w:t>
      </w:r>
      <w:r w:rsidRPr="008F555B">
        <w:rPr>
          <w:rStyle w:val="Strong"/>
          <w:rFonts w:ascii="Times New Roman" w:hAnsi="Times New Roman" w:cs="Times New Roman"/>
          <w:b w:val="0"/>
          <w:bCs w:val="0"/>
          <w:sz w:val="20"/>
          <w:szCs w:val="20"/>
        </w:rPr>
        <w:t>scalability</w:t>
      </w:r>
      <w:r w:rsidRPr="008F555B">
        <w:rPr>
          <w:rFonts w:ascii="Times New Roman" w:hAnsi="Times New Roman" w:cs="Times New Roman"/>
          <w:sz w:val="20"/>
          <w:szCs w:val="20"/>
        </w:rPr>
        <w:t xml:space="preserve">, </w:t>
      </w:r>
      <w:r w:rsidRPr="008F555B">
        <w:rPr>
          <w:rStyle w:val="Strong"/>
          <w:rFonts w:ascii="Times New Roman" w:hAnsi="Times New Roman" w:cs="Times New Roman"/>
          <w:b w:val="0"/>
          <w:bCs w:val="0"/>
          <w:sz w:val="20"/>
          <w:szCs w:val="20"/>
        </w:rPr>
        <w:t>climate resilience</w:t>
      </w:r>
      <w:r w:rsidRPr="008F555B">
        <w:rPr>
          <w:rFonts w:ascii="Times New Roman" w:hAnsi="Times New Roman" w:cs="Times New Roman"/>
          <w:sz w:val="20"/>
          <w:szCs w:val="20"/>
        </w:rPr>
        <w:t xml:space="preserve">, and </w:t>
      </w:r>
      <w:r w:rsidRPr="008F555B">
        <w:rPr>
          <w:rStyle w:val="Strong"/>
          <w:rFonts w:ascii="Times New Roman" w:hAnsi="Times New Roman" w:cs="Times New Roman"/>
          <w:b w:val="0"/>
          <w:bCs w:val="0"/>
          <w:sz w:val="20"/>
          <w:szCs w:val="20"/>
        </w:rPr>
        <w:t>decentralized deployment feasibility</w:t>
      </w:r>
      <w:r w:rsidRPr="008F555B">
        <w:rPr>
          <w:rFonts w:ascii="Times New Roman" w:hAnsi="Times New Roman" w:cs="Times New Roman"/>
          <w:sz w:val="20"/>
          <w:szCs w:val="20"/>
        </w:rPr>
        <w:t>.</w:t>
      </w:r>
    </w:p>
    <w:p w14:paraId="5F053DC6" w14:textId="4644BAC3" w:rsidR="008F555B" w:rsidRPr="0057674F" w:rsidRDefault="00673D3D" w:rsidP="008B1028">
      <w:pPr>
        <w:pStyle w:val="ListParagraph"/>
        <w:numPr>
          <w:ilvl w:val="0"/>
          <w:numId w:val="11"/>
        </w:numPr>
        <w:spacing w:after="0" w:line="360" w:lineRule="auto"/>
        <w:jc w:val="both"/>
        <w:rPr>
          <w:sz w:val="20"/>
          <w:szCs w:val="20"/>
        </w:rPr>
      </w:pPr>
      <w:r w:rsidRPr="0057674F">
        <w:rPr>
          <w:rFonts w:ascii="Times New Roman" w:hAnsi="Times New Roman" w:cs="Times New Roman"/>
          <w:b/>
          <w:bCs/>
          <w:sz w:val="20"/>
          <w:szCs w:val="20"/>
        </w:rPr>
        <w:t>Comparative Performance Overview:</w:t>
      </w:r>
      <w:r w:rsidR="0057674F" w:rsidRPr="0057674F">
        <w:rPr>
          <w:rFonts w:ascii="Times New Roman" w:hAnsi="Times New Roman" w:cs="Times New Roman"/>
          <w:b/>
          <w:bCs/>
          <w:sz w:val="20"/>
          <w:szCs w:val="20"/>
        </w:rPr>
        <w:t xml:space="preserve"> </w:t>
      </w:r>
      <w:r w:rsidR="008F555B" w:rsidRPr="00C11FBB">
        <w:rPr>
          <w:rFonts w:ascii="Times New Roman" w:hAnsi="Times New Roman" w:cs="Times New Roman"/>
          <w:sz w:val="20"/>
          <w:szCs w:val="20"/>
        </w:rPr>
        <w:t>Global benchmarks include:</w:t>
      </w:r>
    </w:p>
    <w:p w14:paraId="671FAFE4" w14:textId="21299F7B" w:rsidR="008F555B" w:rsidRPr="008F555B" w:rsidRDefault="008F555B" w:rsidP="008B1028">
      <w:pPr>
        <w:pStyle w:val="NormalWeb"/>
        <w:numPr>
          <w:ilvl w:val="0"/>
          <w:numId w:val="10"/>
        </w:numPr>
        <w:spacing w:before="0" w:beforeAutospacing="0" w:after="0" w:afterAutospacing="0" w:line="360" w:lineRule="auto"/>
        <w:jc w:val="both"/>
        <w:rPr>
          <w:sz w:val="20"/>
          <w:szCs w:val="20"/>
        </w:rPr>
      </w:pPr>
      <w:r w:rsidRPr="008F555B">
        <w:rPr>
          <w:rStyle w:val="Strong"/>
          <w:sz w:val="20"/>
          <w:szCs w:val="20"/>
        </w:rPr>
        <w:t>Singapore’s “City Brain” Digital Twin and Smart Waste Network</w:t>
      </w:r>
      <w:r w:rsidRPr="008F555B">
        <w:rPr>
          <w:sz w:val="20"/>
          <w:szCs w:val="20"/>
        </w:rPr>
        <w:t>: Uses AI analytics, IoT, and digital twin models to optimize waste logistics, predict traffic-waste interference, and manage carbon emissions.</w:t>
      </w:r>
    </w:p>
    <w:p w14:paraId="45ABAB4C" w14:textId="7D05BEF4" w:rsidR="008F555B" w:rsidRPr="008F555B" w:rsidRDefault="008F555B" w:rsidP="008B1028">
      <w:pPr>
        <w:pStyle w:val="NormalWeb"/>
        <w:numPr>
          <w:ilvl w:val="0"/>
          <w:numId w:val="10"/>
        </w:numPr>
        <w:spacing w:before="0" w:beforeAutospacing="0" w:after="0" w:afterAutospacing="0" w:line="360" w:lineRule="auto"/>
        <w:jc w:val="both"/>
        <w:rPr>
          <w:sz w:val="20"/>
          <w:szCs w:val="20"/>
        </w:rPr>
      </w:pPr>
      <w:r w:rsidRPr="008F555B">
        <w:rPr>
          <w:rStyle w:val="Strong"/>
          <w:sz w:val="20"/>
          <w:szCs w:val="20"/>
        </w:rPr>
        <w:t xml:space="preserve">Sweden’s National </w:t>
      </w:r>
      <w:proofErr w:type="spellStart"/>
      <w:r w:rsidRPr="008F555B">
        <w:rPr>
          <w:rStyle w:val="Strong"/>
          <w:sz w:val="20"/>
          <w:szCs w:val="20"/>
        </w:rPr>
        <w:t>WtE</w:t>
      </w:r>
      <w:proofErr w:type="spellEnd"/>
      <w:r w:rsidRPr="008F555B">
        <w:rPr>
          <w:rStyle w:val="Strong"/>
          <w:sz w:val="20"/>
          <w:szCs w:val="20"/>
        </w:rPr>
        <w:t xml:space="preserve"> Grid</w:t>
      </w:r>
      <w:r w:rsidRPr="008F555B">
        <w:rPr>
          <w:sz w:val="20"/>
          <w:szCs w:val="20"/>
        </w:rPr>
        <w:t>: Integrates waste valorization into district heating, employing AI-based feedstock control and lifecycle monitoring.</w:t>
      </w:r>
    </w:p>
    <w:p w14:paraId="65D76AE8" w14:textId="01D21D26" w:rsidR="008F555B" w:rsidRPr="008F555B" w:rsidRDefault="008F555B" w:rsidP="008B1028">
      <w:pPr>
        <w:pStyle w:val="NormalWeb"/>
        <w:numPr>
          <w:ilvl w:val="0"/>
          <w:numId w:val="10"/>
        </w:numPr>
        <w:spacing w:before="0" w:beforeAutospacing="0" w:after="0" w:afterAutospacing="0" w:line="360" w:lineRule="auto"/>
        <w:jc w:val="both"/>
        <w:rPr>
          <w:sz w:val="20"/>
          <w:szCs w:val="20"/>
        </w:rPr>
      </w:pPr>
      <w:r w:rsidRPr="008F555B">
        <w:rPr>
          <w:rStyle w:val="Strong"/>
          <w:sz w:val="20"/>
          <w:szCs w:val="20"/>
        </w:rPr>
        <w:t>Amsterdam’s AI-Powered Pyrolysis Hub</w:t>
      </w:r>
      <w:r w:rsidRPr="008F555B">
        <w:rPr>
          <w:sz w:val="20"/>
          <w:szCs w:val="20"/>
        </w:rPr>
        <w:t>: Leverages machine learning models to optimize plastic-to-fuel conversion and minimize GHG emissions.</w:t>
      </w:r>
    </w:p>
    <w:p w14:paraId="1A34CC0D" w14:textId="54072168" w:rsidR="008F555B" w:rsidRPr="008F555B" w:rsidRDefault="008F555B" w:rsidP="008F555B">
      <w:pPr>
        <w:pStyle w:val="NormalWeb"/>
        <w:spacing w:before="0" w:beforeAutospacing="0" w:after="0" w:afterAutospacing="0" w:line="360" w:lineRule="auto"/>
        <w:jc w:val="both"/>
        <w:rPr>
          <w:sz w:val="20"/>
          <w:szCs w:val="20"/>
        </w:rPr>
      </w:pPr>
      <w:r w:rsidRPr="008F555B">
        <w:rPr>
          <w:sz w:val="20"/>
          <w:szCs w:val="20"/>
        </w:rPr>
        <w:t>summarizes the performance comparison.</w:t>
      </w:r>
    </w:p>
    <w:tbl>
      <w:tblPr>
        <w:tblStyle w:val="TableGrid"/>
        <w:tblW w:w="9354" w:type="dxa"/>
        <w:tblLook w:val="04A0" w:firstRow="1" w:lastRow="0" w:firstColumn="1" w:lastColumn="0" w:noHBand="0" w:noVBand="1"/>
      </w:tblPr>
      <w:tblGrid>
        <w:gridCol w:w="2405"/>
        <w:gridCol w:w="1276"/>
        <w:gridCol w:w="1701"/>
        <w:gridCol w:w="1417"/>
        <w:gridCol w:w="2555"/>
      </w:tblGrid>
      <w:tr w:rsidR="00F614EA" w14:paraId="43BBE452" w14:textId="77777777" w:rsidTr="00F614EA">
        <w:trPr>
          <w:trHeight w:val="857"/>
        </w:trPr>
        <w:tc>
          <w:tcPr>
            <w:tcW w:w="2405" w:type="dxa"/>
            <w:vAlign w:val="center"/>
          </w:tcPr>
          <w:p w14:paraId="6ADC8B50" w14:textId="6392599D"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Parameter</w:t>
            </w:r>
          </w:p>
        </w:tc>
        <w:tc>
          <w:tcPr>
            <w:tcW w:w="1276" w:type="dxa"/>
            <w:vAlign w:val="center"/>
          </w:tcPr>
          <w:p w14:paraId="4EBA554C" w14:textId="346BD838" w:rsidR="00F614EA" w:rsidRDefault="00F614EA" w:rsidP="00F614EA">
            <w:pPr>
              <w:spacing w:line="360" w:lineRule="auto"/>
              <w:jc w:val="center"/>
              <w:rPr>
                <w:rFonts w:ascii="Times New Roman" w:eastAsia="Times New Roman" w:hAnsi="Times New Roman" w:cs="Times New Roman"/>
                <w:b/>
                <w:bCs/>
                <w:sz w:val="20"/>
                <w:szCs w:val="20"/>
              </w:rPr>
            </w:pPr>
            <w:r w:rsidRPr="004D777F">
              <w:rPr>
                <w:rFonts w:ascii="Times New Roman" w:eastAsia="Times New Roman" w:hAnsi="Times New Roman" w:cs="Times New Roman"/>
                <w:b/>
                <w:bCs/>
                <w:sz w:val="20"/>
                <w:szCs w:val="20"/>
              </w:rPr>
              <w:t>Singapore</w:t>
            </w:r>
          </w:p>
          <w:p w14:paraId="29D97D77" w14:textId="0D249023"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(City Brain)</w:t>
            </w:r>
          </w:p>
        </w:tc>
        <w:tc>
          <w:tcPr>
            <w:tcW w:w="1701" w:type="dxa"/>
            <w:vAlign w:val="center"/>
          </w:tcPr>
          <w:p w14:paraId="07154014" w14:textId="2852A9AC" w:rsidR="00F614EA" w:rsidRDefault="00F614EA" w:rsidP="00F614EA">
            <w:pPr>
              <w:spacing w:line="360" w:lineRule="auto"/>
              <w:jc w:val="center"/>
              <w:rPr>
                <w:rFonts w:ascii="Times New Roman" w:eastAsia="Times New Roman" w:hAnsi="Times New Roman" w:cs="Times New Roman"/>
                <w:b/>
                <w:bCs/>
                <w:sz w:val="20"/>
                <w:szCs w:val="20"/>
              </w:rPr>
            </w:pPr>
            <w:r w:rsidRPr="004D777F">
              <w:rPr>
                <w:rFonts w:ascii="Times New Roman" w:eastAsia="Times New Roman" w:hAnsi="Times New Roman" w:cs="Times New Roman"/>
                <w:b/>
                <w:bCs/>
                <w:sz w:val="20"/>
                <w:szCs w:val="20"/>
              </w:rPr>
              <w:t>Sweden</w:t>
            </w:r>
          </w:p>
          <w:p w14:paraId="17AF0C62" w14:textId="434C7F4D"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 xml:space="preserve">(Nat. </w:t>
            </w:r>
            <w:proofErr w:type="spellStart"/>
            <w:r w:rsidRPr="004D777F">
              <w:rPr>
                <w:rFonts w:ascii="Times New Roman" w:eastAsia="Times New Roman" w:hAnsi="Times New Roman" w:cs="Times New Roman"/>
                <w:b/>
                <w:bCs/>
                <w:sz w:val="20"/>
                <w:szCs w:val="20"/>
              </w:rPr>
              <w:t>WtE</w:t>
            </w:r>
            <w:proofErr w:type="spellEnd"/>
            <w:r>
              <w:rPr>
                <w:rFonts w:ascii="Times New Roman" w:eastAsia="Times New Roman" w:hAnsi="Times New Roman" w:cs="Times New Roman"/>
                <w:b/>
                <w:bCs/>
                <w:sz w:val="20"/>
                <w:szCs w:val="20"/>
              </w:rPr>
              <w:t xml:space="preserve"> </w:t>
            </w:r>
            <w:r w:rsidRPr="004D777F">
              <w:rPr>
                <w:rFonts w:ascii="Times New Roman" w:eastAsia="Times New Roman" w:hAnsi="Times New Roman" w:cs="Times New Roman"/>
                <w:b/>
                <w:bCs/>
                <w:sz w:val="20"/>
                <w:szCs w:val="20"/>
              </w:rPr>
              <w:t>Grid)</w:t>
            </w:r>
          </w:p>
        </w:tc>
        <w:tc>
          <w:tcPr>
            <w:tcW w:w="1417" w:type="dxa"/>
            <w:vAlign w:val="center"/>
          </w:tcPr>
          <w:p w14:paraId="317AD063" w14:textId="240AC5DF"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Amsterdam (Pyrolysis AI)</w:t>
            </w:r>
          </w:p>
        </w:tc>
        <w:tc>
          <w:tcPr>
            <w:tcW w:w="2555" w:type="dxa"/>
            <w:vAlign w:val="center"/>
          </w:tcPr>
          <w:p w14:paraId="0F4E4D62" w14:textId="77777777" w:rsidR="008F3ECC" w:rsidRDefault="00F614EA" w:rsidP="00F614EA">
            <w:pPr>
              <w:spacing w:line="360" w:lineRule="auto"/>
              <w:jc w:val="center"/>
              <w:rPr>
                <w:rFonts w:ascii="Times New Roman" w:eastAsia="Times New Roman" w:hAnsi="Times New Roman" w:cs="Times New Roman"/>
                <w:b/>
                <w:bCs/>
                <w:sz w:val="20"/>
                <w:szCs w:val="20"/>
              </w:rPr>
            </w:pPr>
            <w:r w:rsidRPr="004D777F">
              <w:rPr>
                <w:rFonts w:ascii="Times New Roman" w:eastAsia="Times New Roman" w:hAnsi="Times New Roman" w:cs="Times New Roman"/>
                <w:b/>
                <w:bCs/>
                <w:sz w:val="20"/>
                <w:szCs w:val="20"/>
              </w:rPr>
              <w:t>AI</w:t>
            </w:r>
            <w:r w:rsidR="008F3ECC">
              <w:rPr>
                <w:rFonts w:ascii="Times New Roman" w:eastAsia="Times New Roman" w:hAnsi="Times New Roman" w:cs="Times New Roman"/>
                <w:b/>
                <w:bCs/>
                <w:sz w:val="20"/>
                <w:szCs w:val="20"/>
              </w:rPr>
              <w:t>-</w:t>
            </w:r>
            <w:r w:rsidRPr="004D777F">
              <w:rPr>
                <w:rFonts w:ascii="Times New Roman" w:eastAsia="Times New Roman" w:hAnsi="Times New Roman" w:cs="Times New Roman"/>
                <w:b/>
                <w:bCs/>
                <w:sz w:val="20"/>
                <w:szCs w:val="20"/>
              </w:rPr>
              <w:t>CIR</w:t>
            </w:r>
            <w:r w:rsidR="008F3ECC">
              <w:rPr>
                <w:rFonts w:ascii="Times New Roman" w:eastAsia="Times New Roman" w:hAnsi="Times New Roman" w:cs="Times New Roman"/>
                <w:b/>
                <w:bCs/>
                <w:sz w:val="20"/>
                <w:szCs w:val="20"/>
              </w:rPr>
              <w:t>-</w:t>
            </w:r>
            <w:proofErr w:type="spellStart"/>
            <w:r w:rsidRPr="004D777F">
              <w:rPr>
                <w:rFonts w:ascii="Times New Roman" w:eastAsia="Times New Roman" w:hAnsi="Times New Roman" w:cs="Times New Roman"/>
                <w:b/>
                <w:bCs/>
                <w:sz w:val="20"/>
                <w:szCs w:val="20"/>
              </w:rPr>
              <w:t>WtE</w:t>
            </w:r>
            <w:proofErr w:type="spellEnd"/>
            <w:r w:rsidRPr="004D777F">
              <w:rPr>
                <w:rFonts w:ascii="Times New Roman" w:eastAsia="Times New Roman" w:hAnsi="Times New Roman" w:cs="Times New Roman"/>
                <w:b/>
                <w:bCs/>
                <w:sz w:val="20"/>
                <w:szCs w:val="20"/>
              </w:rPr>
              <w:t xml:space="preserve"> </w:t>
            </w:r>
          </w:p>
          <w:p w14:paraId="4F993610" w14:textId="7E369710"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(Dhaka Model)</w:t>
            </w:r>
          </w:p>
        </w:tc>
      </w:tr>
      <w:tr w:rsidR="00F614EA" w14:paraId="733D2B4D" w14:textId="77777777" w:rsidTr="00F614EA">
        <w:trPr>
          <w:trHeight w:val="838"/>
        </w:trPr>
        <w:tc>
          <w:tcPr>
            <w:tcW w:w="2405" w:type="dxa"/>
            <w:vAlign w:val="center"/>
          </w:tcPr>
          <w:p w14:paraId="1A32F5D5" w14:textId="1012E3CF" w:rsidR="00F614EA" w:rsidRPr="00F614EA" w:rsidRDefault="00F614EA" w:rsidP="00F614EA">
            <w:pPr>
              <w:spacing w:line="360" w:lineRule="auto"/>
              <w:rPr>
                <w:rFonts w:ascii="Times New Roman" w:hAnsi="Times New Roman" w:cs="Times New Roman"/>
                <w:b/>
                <w:bCs/>
                <w:sz w:val="20"/>
                <w:szCs w:val="20"/>
              </w:rPr>
            </w:pPr>
            <w:r w:rsidRPr="004D777F">
              <w:rPr>
                <w:rFonts w:ascii="Times New Roman" w:eastAsia="Times New Roman" w:hAnsi="Times New Roman" w:cs="Times New Roman"/>
                <w:b/>
                <w:bCs/>
                <w:sz w:val="20"/>
                <w:szCs w:val="20"/>
              </w:rPr>
              <w:t>AI Forecasting Accuracy</w:t>
            </w:r>
          </w:p>
        </w:tc>
        <w:tc>
          <w:tcPr>
            <w:tcW w:w="1276" w:type="dxa"/>
            <w:vAlign w:val="center"/>
          </w:tcPr>
          <w:p w14:paraId="300DB044" w14:textId="3FBA31B3"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~85%</w:t>
            </w:r>
          </w:p>
        </w:tc>
        <w:tc>
          <w:tcPr>
            <w:tcW w:w="1701" w:type="dxa"/>
            <w:vAlign w:val="center"/>
          </w:tcPr>
          <w:p w14:paraId="182FE9E9" w14:textId="65116E07"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~88%</w:t>
            </w:r>
          </w:p>
        </w:tc>
        <w:tc>
          <w:tcPr>
            <w:tcW w:w="1417" w:type="dxa"/>
            <w:vAlign w:val="center"/>
          </w:tcPr>
          <w:p w14:paraId="012D54E2" w14:textId="68B6DFC0"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~90%</w:t>
            </w:r>
          </w:p>
        </w:tc>
        <w:tc>
          <w:tcPr>
            <w:tcW w:w="2555" w:type="dxa"/>
            <w:vAlign w:val="center"/>
          </w:tcPr>
          <w:p w14:paraId="431E0F49" w14:textId="4AB2C774"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&gt;92% (LSTM-</w:t>
            </w:r>
            <w:proofErr w:type="spellStart"/>
            <w:r w:rsidRPr="004D777F">
              <w:rPr>
                <w:rFonts w:ascii="Times New Roman" w:eastAsia="Times New Roman" w:hAnsi="Times New Roman" w:cs="Times New Roman"/>
                <w:b/>
                <w:bCs/>
                <w:sz w:val="20"/>
                <w:szCs w:val="20"/>
              </w:rPr>
              <w:t>XGBoost</w:t>
            </w:r>
            <w:proofErr w:type="spellEnd"/>
            <w:r w:rsidRPr="004D777F">
              <w:rPr>
                <w:rFonts w:ascii="Times New Roman" w:eastAsia="Times New Roman" w:hAnsi="Times New Roman" w:cs="Times New Roman"/>
                <w:b/>
                <w:bCs/>
                <w:sz w:val="20"/>
                <w:szCs w:val="20"/>
              </w:rPr>
              <w:t>)</w:t>
            </w:r>
          </w:p>
        </w:tc>
      </w:tr>
      <w:tr w:rsidR="00F614EA" w14:paraId="534B8C6E" w14:textId="77777777" w:rsidTr="00F614EA">
        <w:trPr>
          <w:trHeight w:val="857"/>
        </w:trPr>
        <w:tc>
          <w:tcPr>
            <w:tcW w:w="2405" w:type="dxa"/>
            <w:vAlign w:val="center"/>
          </w:tcPr>
          <w:p w14:paraId="0CB30EBB" w14:textId="479A8CE6" w:rsidR="00F614EA" w:rsidRPr="00F614EA" w:rsidRDefault="00F614EA" w:rsidP="00F614EA">
            <w:pPr>
              <w:spacing w:line="360" w:lineRule="auto"/>
              <w:rPr>
                <w:rFonts w:ascii="Times New Roman" w:hAnsi="Times New Roman" w:cs="Times New Roman"/>
                <w:b/>
                <w:bCs/>
                <w:sz w:val="20"/>
                <w:szCs w:val="20"/>
              </w:rPr>
            </w:pPr>
            <w:r w:rsidRPr="004D777F">
              <w:rPr>
                <w:rFonts w:ascii="Times New Roman" w:eastAsia="Times New Roman" w:hAnsi="Times New Roman" w:cs="Times New Roman"/>
                <w:b/>
                <w:bCs/>
                <w:sz w:val="20"/>
                <w:szCs w:val="20"/>
              </w:rPr>
              <w:t>Climate Resilience Integration</w:t>
            </w:r>
          </w:p>
        </w:tc>
        <w:tc>
          <w:tcPr>
            <w:tcW w:w="1276" w:type="dxa"/>
            <w:vAlign w:val="center"/>
          </w:tcPr>
          <w:p w14:paraId="4C48C2D2" w14:textId="0F1C32A4"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Partial</w:t>
            </w:r>
          </w:p>
        </w:tc>
        <w:tc>
          <w:tcPr>
            <w:tcW w:w="1701" w:type="dxa"/>
            <w:vAlign w:val="center"/>
          </w:tcPr>
          <w:p w14:paraId="1E66D68C" w14:textId="47CF844F"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None</w:t>
            </w:r>
          </w:p>
        </w:tc>
        <w:tc>
          <w:tcPr>
            <w:tcW w:w="1417" w:type="dxa"/>
            <w:vAlign w:val="center"/>
          </w:tcPr>
          <w:p w14:paraId="6A416DAE" w14:textId="7F13B684"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Low</w:t>
            </w:r>
          </w:p>
        </w:tc>
        <w:tc>
          <w:tcPr>
            <w:tcW w:w="2555" w:type="dxa"/>
            <w:vAlign w:val="center"/>
          </w:tcPr>
          <w:p w14:paraId="6B19AE95" w14:textId="324DF4C5"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High (Multi-scenario AI)</w:t>
            </w:r>
          </w:p>
        </w:tc>
      </w:tr>
      <w:tr w:rsidR="00F614EA" w14:paraId="75B34BAA" w14:textId="77777777" w:rsidTr="00F614EA">
        <w:trPr>
          <w:trHeight w:val="857"/>
        </w:trPr>
        <w:tc>
          <w:tcPr>
            <w:tcW w:w="2405" w:type="dxa"/>
            <w:vAlign w:val="center"/>
          </w:tcPr>
          <w:p w14:paraId="14572D02" w14:textId="73B3E522" w:rsidR="00F614EA" w:rsidRPr="00F614EA" w:rsidRDefault="00F614EA" w:rsidP="00F614EA">
            <w:pPr>
              <w:spacing w:line="360" w:lineRule="auto"/>
              <w:rPr>
                <w:rFonts w:ascii="Times New Roman" w:hAnsi="Times New Roman" w:cs="Times New Roman"/>
                <w:b/>
                <w:bCs/>
                <w:sz w:val="20"/>
                <w:szCs w:val="20"/>
              </w:rPr>
            </w:pPr>
            <w:r w:rsidRPr="004D777F">
              <w:rPr>
                <w:rFonts w:ascii="Times New Roman" w:eastAsia="Times New Roman" w:hAnsi="Times New Roman" w:cs="Times New Roman"/>
                <w:b/>
                <w:bCs/>
                <w:sz w:val="20"/>
                <w:szCs w:val="20"/>
              </w:rPr>
              <w:t>Circularity Index Tracking</w:t>
            </w:r>
          </w:p>
        </w:tc>
        <w:tc>
          <w:tcPr>
            <w:tcW w:w="1276" w:type="dxa"/>
            <w:vAlign w:val="center"/>
          </w:tcPr>
          <w:p w14:paraId="6F665F6B" w14:textId="576A32B3"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Static Reporting</w:t>
            </w:r>
          </w:p>
        </w:tc>
        <w:tc>
          <w:tcPr>
            <w:tcW w:w="1701" w:type="dxa"/>
            <w:vAlign w:val="center"/>
          </w:tcPr>
          <w:p w14:paraId="456786D4" w14:textId="2027E5DB"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Annual</w:t>
            </w:r>
          </w:p>
        </w:tc>
        <w:tc>
          <w:tcPr>
            <w:tcW w:w="1417" w:type="dxa"/>
            <w:vAlign w:val="center"/>
          </w:tcPr>
          <w:p w14:paraId="2FAC4FB4" w14:textId="35A9BA75"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Monthly</w:t>
            </w:r>
          </w:p>
        </w:tc>
        <w:tc>
          <w:tcPr>
            <w:tcW w:w="2555" w:type="dxa"/>
            <w:vAlign w:val="center"/>
          </w:tcPr>
          <w:p w14:paraId="007A7A52" w14:textId="4B62E150"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Real-Time, Dynamic</w:t>
            </w:r>
          </w:p>
        </w:tc>
      </w:tr>
      <w:tr w:rsidR="00F614EA" w14:paraId="13814765" w14:textId="77777777" w:rsidTr="00F614EA">
        <w:trPr>
          <w:trHeight w:val="838"/>
        </w:trPr>
        <w:tc>
          <w:tcPr>
            <w:tcW w:w="2405" w:type="dxa"/>
            <w:vAlign w:val="center"/>
          </w:tcPr>
          <w:p w14:paraId="7A6ABB95" w14:textId="2B6A867E" w:rsidR="00F614EA" w:rsidRPr="00F614EA" w:rsidRDefault="00F614EA" w:rsidP="00F614EA">
            <w:pPr>
              <w:spacing w:line="360" w:lineRule="auto"/>
              <w:rPr>
                <w:rFonts w:ascii="Times New Roman" w:hAnsi="Times New Roman" w:cs="Times New Roman"/>
                <w:b/>
                <w:bCs/>
                <w:sz w:val="20"/>
                <w:szCs w:val="20"/>
              </w:rPr>
            </w:pPr>
            <w:r w:rsidRPr="004D777F">
              <w:rPr>
                <w:rFonts w:ascii="Times New Roman" w:eastAsia="Times New Roman" w:hAnsi="Times New Roman" w:cs="Times New Roman"/>
                <w:b/>
                <w:bCs/>
                <w:sz w:val="20"/>
                <w:szCs w:val="20"/>
              </w:rPr>
              <w:t>Energy Yield Efficiency</w:t>
            </w:r>
          </w:p>
        </w:tc>
        <w:tc>
          <w:tcPr>
            <w:tcW w:w="1276" w:type="dxa"/>
            <w:vAlign w:val="center"/>
          </w:tcPr>
          <w:p w14:paraId="6BAB2E0D" w14:textId="30B64DBE"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~20%</w:t>
            </w:r>
          </w:p>
        </w:tc>
        <w:tc>
          <w:tcPr>
            <w:tcW w:w="1701" w:type="dxa"/>
            <w:vAlign w:val="center"/>
          </w:tcPr>
          <w:p w14:paraId="21128A5B" w14:textId="5CD12DD1"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23–25%</w:t>
            </w:r>
          </w:p>
        </w:tc>
        <w:tc>
          <w:tcPr>
            <w:tcW w:w="1417" w:type="dxa"/>
            <w:vAlign w:val="center"/>
          </w:tcPr>
          <w:p w14:paraId="5F52929C" w14:textId="5FD782D1"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28%</w:t>
            </w:r>
          </w:p>
        </w:tc>
        <w:tc>
          <w:tcPr>
            <w:tcW w:w="2555" w:type="dxa"/>
            <w:vAlign w:val="center"/>
          </w:tcPr>
          <w:p w14:paraId="7DCF446F" w14:textId="69C2683C"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&gt;31% (AI-Optimized)</w:t>
            </w:r>
          </w:p>
        </w:tc>
      </w:tr>
      <w:tr w:rsidR="00F614EA" w14:paraId="5BEBCF22" w14:textId="77777777" w:rsidTr="00F614EA">
        <w:trPr>
          <w:trHeight w:val="857"/>
        </w:trPr>
        <w:tc>
          <w:tcPr>
            <w:tcW w:w="2405" w:type="dxa"/>
            <w:vAlign w:val="center"/>
          </w:tcPr>
          <w:p w14:paraId="619CA4E9" w14:textId="6225BD9B" w:rsidR="00F614EA" w:rsidRPr="00F614EA" w:rsidRDefault="00F614EA" w:rsidP="00F614EA">
            <w:pPr>
              <w:spacing w:line="360" w:lineRule="auto"/>
              <w:rPr>
                <w:rFonts w:ascii="Times New Roman" w:hAnsi="Times New Roman" w:cs="Times New Roman"/>
                <w:b/>
                <w:bCs/>
                <w:sz w:val="20"/>
                <w:szCs w:val="20"/>
              </w:rPr>
            </w:pPr>
            <w:r w:rsidRPr="004D777F">
              <w:rPr>
                <w:rFonts w:ascii="Times New Roman" w:eastAsia="Times New Roman" w:hAnsi="Times New Roman" w:cs="Times New Roman"/>
                <w:b/>
                <w:bCs/>
                <w:sz w:val="20"/>
                <w:szCs w:val="20"/>
              </w:rPr>
              <w:t>Decentralized Node Readiness</w:t>
            </w:r>
          </w:p>
        </w:tc>
        <w:tc>
          <w:tcPr>
            <w:tcW w:w="1276" w:type="dxa"/>
            <w:vAlign w:val="center"/>
          </w:tcPr>
          <w:p w14:paraId="516F79D3" w14:textId="5CE7CE28"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No</w:t>
            </w:r>
          </w:p>
        </w:tc>
        <w:tc>
          <w:tcPr>
            <w:tcW w:w="1701" w:type="dxa"/>
            <w:vAlign w:val="center"/>
          </w:tcPr>
          <w:p w14:paraId="3CA1852B" w14:textId="43DCAF1F"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Partial</w:t>
            </w:r>
          </w:p>
        </w:tc>
        <w:tc>
          <w:tcPr>
            <w:tcW w:w="1417" w:type="dxa"/>
            <w:vAlign w:val="center"/>
          </w:tcPr>
          <w:p w14:paraId="1B7EA395" w14:textId="043702E5"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No</w:t>
            </w:r>
          </w:p>
        </w:tc>
        <w:tc>
          <w:tcPr>
            <w:tcW w:w="2555" w:type="dxa"/>
            <w:vAlign w:val="center"/>
          </w:tcPr>
          <w:p w14:paraId="64564040" w14:textId="4D76BB5F"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Yes (Microgrid-Ready)</w:t>
            </w:r>
          </w:p>
        </w:tc>
      </w:tr>
    </w:tbl>
    <w:p w14:paraId="1337D6B3" w14:textId="55A62176" w:rsidR="00055867" w:rsidRDefault="00F614EA" w:rsidP="00F614EA">
      <w:pPr>
        <w:spacing w:after="0" w:line="360" w:lineRule="auto"/>
        <w:jc w:val="center"/>
        <w:rPr>
          <w:rFonts w:ascii="Times New Roman" w:hAnsi="Times New Roman" w:cs="Times New Roman"/>
          <w:sz w:val="20"/>
          <w:szCs w:val="20"/>
        </w:rPr>
      </w:pPr>
      <w:r w:rsidRPr="00F614EA">
        <w:rPr>
          <w:rFonts w:ascii="Times New Roman" w:hAnsi="Times New Roman" w:cs="Times New Roman"/>
          <w:sz w:val="20"/>
          <w:szCs w:val="20"/>
        </w:rPr>
        <w:t>Table 02: Performance comparison.</w:t>
      </w:r>
    </w:p>
    <w:p w14:paraId="739D4A6B" w14:textId="689D420C" w:rsidR="001D3D7E" w:rsidRPr="0057674F" w:rsidRDefault="001D3D7E" w:rsidP="008B1028">
      <w:pPr>
        <w:pStyle w:val="ListParagraph"/>
        <w:numPr>
          <w:ilvl w:val="0"/>
          <w:numId w:val="11"/>
        </w:numPr>
        <w:spacing w:after="0" w:line="360" w:lineRule="auto"/>
        <w:jc w:val="both"/>
        <w:rPr>
          <w:rFonts w:ascii="Times New Roman" w:hAnsi="Times New Roman" w:cs="Times New Roman"/>
          <w:sz w:val="20"/>
          <w:szCs w:val="20"/>
        </w:rPr>
      </w:pPr>
      <w:r w:rsidRPr="0057674F">
        <w:rPr>
          <w:rFonts w:ascii="Times New Roman" w:hAnsi="Times New Roman" w:cs="Times New Roman"/>
          <w:b/>
          <w:bCs/>
          <w:sz w:val="20"/>
          <w:szCs w:val="20"/>
        </w:rPr>
        <w:t xml:space="preserve">Scalability and Modularity: </w:t>
      </w:r>
      <w:r w:rsidR="007E4B4E" w:rsidRPr="0057674F">
        <w:rPr>
          <w:rFonts w:ascii="Times New Roman" w:hAnsi="Times New Roman" w:cs="Times New Roman"/>
          <w:sz w:val="20"/>
          <w:szCs w:val="20"/>
        </w:rPr>
        <w:t>The AI</w:t>
      </w:r>
      <w:r w:rsidR="00FA638A">
        <w:rPr>
          <w:rFonts w:ascii="Times New Roman" w:hAnsi="Times New Roman" w:cs="Times New Roman"/>
          <w:sz w:val="20"/>
          <w:szCs w:val="20"/>
        </w:rPr>
        <w:t>-</w:t>
      </w:r>
      <w:r w:rsidR="007E4B4E" w:rsidRPr="0057674F">
        <w:rPr>
          <w:rFonts w:ascii="Times New Roman" w:hAnsi="Times New Roman" w:cs="Times New Roman"/>
          <w:sz w:val="20"/>
          <w:szCs w:val="20"/>
        </w:rPr>
        <w:t>CIR</w:t>
      </w:r>
      <w:r w:rsidR="00FA638A">
        <w:rPr>
          <w:rFonts w:ascii="Times New Roman" w:hAnsi="Times New Roman" w:cs="Times New Roman"/>
          <w:sz w:val="20"/>
          <w:szCs w:val="20"/>
        </w:rPr>
        <w:t>-</w:t>
      </w:r>
      <w:proofErr w:type="spellStart"/>
      <w:r w:rsidR="007E4B4E" w:rsidRPr="0057674F">
        <w:rPr>
          <w:rFonts w:ascii="Times New Roman" w:hAnsi="Times New Roman" w:cs="Times New Roman"/>
          <w:sz w:val="20"/>
          <w:szCs w:val="20"/>
        </w:rPr>
        <w:t>WtE</w:t>
      </w:r>
      <w:proofErr w:type="spellEnd"/>
      <w:r w:rsidR="007E4B4E" w:rsidRPr="0057674F">
        <w:rPr>
          <w:rFonts w:ascii="Times New Roman" w:hAnsi="Times New Roman" w:cs="Times New Roman"/>
          <w:sz w:val="20"/>
          <w:szCs w:val="20"/>
        </w:rPr>
        <w:t xml:space="preserve"> framework is modular, making it easier to implement in dispersed metropolitan contexts like those in Dhaka, Nairobi, or Karachi, in contrast to the aforementioned models, which frequently rely on highly centralized infrastructure. Rapid adaptability to various urban morphologies and governance capacities </w:t>
      </w:r>
      <w:r w:rsidR="00363650">
        <w:rPr>
          <w:rFonts w:ascii="Times New Roman" w:hAnsi="Times New Roman" w:cs="Times New Roman"/>
          <w:sz w:val="20"/>
          <w:szCs w:val="20"/>
        </w:rPr>
        <w:t>is</w:t>
      </w:r>
      <w:r w:rsidR="007E4B4E" w:rsidRPr="0057674F">
        <w:rPr>
          <w:rFonts w:ascii="Times New Roman" w:hAnsi="Times New Roman" w:cs="Times New Roman"/>
          <w:sz w:val="20"/>
          <w:szCs w:val="20"/>
        </w:rPr>
        <w:t xml:space="preserve"> made possible by its usage of AI to model circularity indices and infrastructure stress in real-time.</w:t>
      </w:r>
    </w:p>
    <w:p w14:paraId="40347198" w14:textId="68EB4DEC" w:rsidR="002A7358" w:rsidRPr="0057674F" w:rsidRDefault="002A7358" w:rsidP="008B1028">
      <w:pPr>
        <w:pStyle w:val="ListParagraph"/>
        <w:numPr>
          <w:ilvl w:val="0"/>
          <w:numId w:val="11"/>
        </w:numPr>
        <w:spacing w:after="0" w:line="360" w:lineRule="auto"/>
        <w:jc w:val="both"/>
        <w:rPr>
          <w:rFonts w:ascii="Times New Roman" w:hAnsi="Times New Roman" w:cs="Times New Roman"/>
          <w:sz w:val="20"/>
          <w:szCs w:val="20"/>
        </w:rPr>
      </w:pPr>
      <w:r w:rsidRPr="0057674F">
        <w:rPr>
          <w:rFonts w:ascii="Times New Roman" w:hAnsi="Times New Roman" w:cs="Times New Roman"/>
          <w:b/>
          <w:bCs/>
          <w:sz w:val="20"/>
          <w:szCs w:val="20"/>
        </w:rPr>
        <w:lastRenderedPageBreak/>
        <w:t>Climate Resilience Superiority:</w:t>
      </w:r>
      <w:r w:rsidR="0057674F" w:rsidRPr="0057674F">
        <w:rPr>
          <w:rFonts w:ascii="Times New Roman" w:hAnsi="Times New Roman" w:cs="Times New Roman"/>
          <w:b/>
          <w:bCs/>
          <w:sz w:val="20"/>
          <w:szCs w:val="20"/>
        </w:rPr>
        <w:t xml:space="preserve"> </w:t>
      </w:r>
      <w:r w:rsidRPr="0057674F">
        <w:rPr>
          <w:rFonts w:ascii="Times New Roman" w:hAnsi="Times New Roman" w:cs="Times New Roman"/>
          <w:sz w:val="20"/>
          <w:szCs w:val="20"/>
        </w:rPr>
        <w:t>AI</w:t>
      </w:r>
      <w:r w:rsidR="00363650">
        <w:rPr>
          <w:rFonts w:ascii="Times New Roman" w:hAnsi="Times New Roman" w:cs="Times New Roman"/>
          <w:sz w:val="20"/>
          <w:szCs w:val="20"/>
        </w:rPr>
        <w:t>-</w:t>
      </w:r>
      <w:r w:rsidRPr="0057674F">
        <w:rPr>
          <w:rFonts w:ascii="Times New Roman" w:hAnsi="Times New Roman" w:cs="Times New Roman"/>
          <w:sz w:val="20"/>
          <w:szCs w:val="20"/>
        </w:rPr>
        <w:t>CIR</w:t>
      </w:r>
      <w:r w:rsidR="00363650">
        <w:rPr>
          <w:rFonts w:ascii="Times New Roman" w:hAnsi="Times New Roman" w:cs="Times New Roman"/>
          <w:sz w:val="20"/>
          <w:szCs w:val="20"/>
        </w:rPr>
        <w:t>-</w:t>
      </w:r>
      <w:proofErr w:type="spellStart"/>
      <w:r w:rsidRPr="0057674F">
        <w:rPr>
          <w:rFonts w:ascii="Times New Roman" w:hAnsi="Times New Roman" w:cs="Times New Roman"/>
          <w:sz w:val="20"/>
          <w:szCs w:val="20"/>
        </w:rPr>
        <w:t>WtE</w:t>
      </w:r>
      <w:proofErr w:type="spellEnd"/>
      <w:r w:rsidRPr="0057674F">
        <w:rPr>
          <w:rFonts w:ascii="Times New Roman" w:hAnsi="Times New Roman" w:cs="Times New Roman"/>
          <w:sz w:val="20"/>
          <w:szCs w:val="20"/>
        </w:rPr>
        <w:t xml:space="preserve"> uniquely incorporates climate scenario stress-testing, forecasting infrastructure responses under monsoon floods and heatwaves. This surpasses Sweden and Amsterdam's models, which focus primarily on energy efficiency without adaptive climate functions (IPCC, 2023).</w:t>
      </w:r>
    </w:p>
    <w:p w14:paraId="04219B7F" w14:textId="055BF315" w:rsidR="00D65CF8" w:rsidRPr="0057674F" w:rsidRDefault="00D65CF8" w:rsidP="008B1028">
      <w:pPr>
        <w:pStyle w:val="ListParagraph"/>
        <w:numPr>
          <w:ilvl w:val="0"/>
          <w:numId w:val="11"/>
        </w:numPr>
        <w:spacing w:after="0" w:line="360" w:lineRule="auto"/>
        <w:jc w:val="both"/>
        <w:rPr>
          <w:rFonts w:ascii="Times New Roman" w:hAnsi="Times New Roman" w:cs="Times New Roman"/>
          <w:sz w:val="20"/>
          <w:szCs w:val="20"/>
        </w:rPr>
      </w:pPr>
      <w:r w:rsidRPr="0057674F">
        <w:rPr>
          <w:rStyle w:val="Strong"/>
          <w:rFonts w:ascii="Times New Roman" w:hAnsi="Times New Roman" w:cs="Times New Roman"/>
          <w:sz w:val="20"/>
          <w:szCs w:val="20"/>
        </w:rPr>
        <w:t>Real-Time Optimization</w:t>
      </w:r>
      <w:r w:rsidRPr="0057674F">
        <w:rPr>
          <w:rFonts w:ascii="Times New Roman" w:hAnsi="Times New Roman" w:cs="Times New Roman"/>
          <w:sz w:val="20"/>
          <w:szCs w:val="20"/>
        </w:rPr>
        <w:t>:</w:t>
      </w:r>
      <w:r w:rsidR="0057674F" w:rsidRPr="0057674F">
        <w:rPr>
          <w:rFonts w:ascii="Times New Roman" w:hAnsi="Times New Roman" w:cs="Times New Roman"/>
          <w:sz w:val="20"/>
          <w:szCs w:val="20"/>
        </w:rPr>
        <w:t xml:space="preserve"> </w:t>
      </w:r>
      <w:r w:rsidR="0009763D" w:rsidRPr="0057674F">
        <w:rPr>
          <w:rFonts w:ascii="Times New Roman" w:hAnsi="Times New Roman" w:cs="Times New Roman"/>
          <w:sz w:val="20"/>
          <w:szCs w:val="20"/>
        </w:rPr>
        <w:t>The majority of benchmarked worldwide systems rely on monthly reporting or static waste flow data. The AI</w:t>
      </w:r>
      <w:r w:rsidR="00363650">
        <w:rPr>
          <w:rFonts w:ascii="Times New Roman" w:hAnsi="Times New Roman" w:cs="Times New Roman"/>
          <w:sz w:val="20"/>
          <w:szCs w:val="20"/>
        </w:rPr>
        <w:t>-</w:t>
      </w:r>
      <w:r w:rsidR="0009763D" w:rsidRPr="0057674F">
        <w:rPr>
          <w:rFonts w:ascii="Times New Roman" w:hAnsi="Times New Roman" w:cs="Times New Roman"/>
          <w:sz w:val="20"/>
          <w:szCs w:val="20"/>
        </w:rPr>
        <w:t>CIR</w:t>
      </w:r>
      <w:r w:rsidR="00363650">
        <w:rPr>
          <w:rFonts w:ascii="Times New Roman" w:hAnsi="Times New Roman" w:cs="Times New Roman"/>
          <w:sz w:val="20"/>
          <w:szCs w:val="20"/>
        </w:rPr>
        <w:t>-</w:t>
      </w:r>
      <w:proofErr w:type="spellStart"/>
      <w:r w:rsidR="0009763D" w:rsidRPr="0057674F">
        <w:rPr>
          <w:rFonts w:ascii="Times New Roman" w:hAnsi="Times New Roman" w:cs="Times New Roman"/>
          <w:sz w:val="20"/>
          <w:szCs w:val="20"/>
        </w:rPr>
        <w:t>WtE</w:t>
      </w:r>
      <w:proofErr w:type="spellEnd"/>
      <w:r w:rsidR="0009763D" w:rsidRPr="0057674F">
        <w:rPr>
          <w:rFonts w:ascii="Times New Roman" w:hAnsi="Times New Roman" w:cs="Times New Roman"/>
          <w:sz w:val="20"/>
          <w:szCs w:val="20"/>
        </w:rPr>
        <w:t xml:space="preserve"> system, on the other hand, provides next-generation performance that is in line with the requirements of rapidly expanding Global South megacities by dynamically recalibrating logistics, energy yield, and circularity loops in response to changes in waste composition and real-time urban conditions (UN-Habitat, 2023).</w:t>
      </w:r>
    </w:p>
    <w:p w14:paraId="5C4F23DC" w14:textId="4DB7240C" w:rsidR="0009763D" w:rsidRPr="00840F78" w:rsidRDefault="0009763D" w:rsidP="00840F78">
      <w:pPr>
        <w:spacing w:after="0" w:line="360" w:lineRule="auto"/>
        <w:jc w:val="both"/>
        <w:rPr>
          <w:rFonts w:ascii="Times New Roman" w:hAnsi="Times New Roman" w:cs="Times New Roman"/>
          <w:sz w:val="20"/>
          <w:szCs w:val="20"/>
        </w:rPr>
      </w:pPr>
      <w:r w:rsidRPr="00840F78">
        <w:rPr>
          <w:rFonts w:ascii="Times New Roman" w:hAnsi="Times New Roman" w:cs="Times New Roman"/>
          <w:sz w:val="20"/>
          <w:szCs w:val="20"/>
        </w:rPr>
        <w:t>“The AI</w:t>
      </w:r>
      <w:r w:rsidR="00363650">
        <w:rPr>
          <w:rFonts w:ascii="Times New Roman" w:hAnsi="Times New Roman" w:cs="Times New Roman"/>
          <w:sz w:val="20"/>
          <w:szCs w:val="20"/>
        </w:rPr>
        <w:t>-</w:t>
      </w:r>
      <w:r w:rsidRPr="00840F78">
        <w:rPr>
          <w:rFonts w:ascii="Times New Roman" w:hAnsi="Times New Roman" w:cs="Times New Roman"/>
          <w:sz w:val="20"/>
          <w:szCs w:val="20"/>
        </w:rPr>
        <w:t>CIR</w:t>
      </w:r>
      <w:r w:rsidR="00363650">
        <w:rPr>
          <w:rFonts w:ascii="Times New Roman" w:hAnsi="Times New Roman" w:cs="Times New Roman"/>
          <w:sz w:val="20"/>
          <w:szCs w:val="20"/>
        </w:rPr>
        <w:t>-</w:t>
      </w:r>
      <w:proofErr w:type="spellStart"/>
      <w:r w:rsidRPr="00840F78">
        <w:rPr>
          <w:rFonts w:ascii="Times New Roman" w:hAnsi="Times New Roman" w:cs="Times New Roman"/>
          <w:sz w:val="20"/>
          <w:szCs w:val="20"/>
        </w:rPr>
        <w:t>WtE</w:t>
      </w:r>
      <w:proofErr w:type="spellEnd"/>
      <w:r w:rsidRPr="00840F78">
        <w:rPr>
          <w:rFonts w:ascii="Times New Roman" w:hAnsi="Times New Roman" w:cs="Times New Roman"/>
          <w:sz w:val="20"/>
          <w:szCs w:val="20"/>
        </w:rPr>
        <w:t xml:space="preserve"> framework demonstrates a more holistic, climate-resilient, and decentralized architecture compared to existing smart waste and </w:t>
      </w:r>
      <w:r w:rsidR="00647646">
        <w:rPr>
          <w:rFonts w:ascii="Times New Roman" w:hAnsi="Times New Roman" w:cs="Times New Roman"/>
          <w:sz w:val="20"/>
          <w:szCs w:val="20"/>
        </w:rPr>
        <w:t>waste-to-energy</w:t>
      </w:r>
      <w:r w:rsidR="00647646" w:rsidRPr="0077612A">
        <w:rPr>
          <w:rFonts w:ascii="Times New Roman" w:hAnsi="Times New Roman" w:cs="Times New Roman"/>
          <w:sz w:val="20"/>
          <w:szCs w:val="20"/>
        </w:rPr>
        <w:t xml:space="preserve"> </w:t>
      </w:r>
      <w:r w:rsidRPr="00840F78">
        <w:rPr>
          <w:rFonts w:ascii="Times New Roman" w:hAnsi="Times New Roman" w:cs="Times New Roman"/>
          <w:sz w:val="20"/>
          <w:szCs w:val="20"/>
        </w:rPr>
        <w:t>systems globally”.</w:t>
      </w:r>
    </w:p>
    <w:p w14:paraId="3C0CFB66" w14:textId="7361CD77" w:rsidR="0057674F" w:rsidRPr="00840F78" w:rsidRDefault="0057674F" w:rsidP="00840F78">
      <w:pPr>
        <w:spacing w:after="0" w:line="360" w:lineRule="auto"/>
        <w:jc w:val="both"/>
        <w:rPr>
          <w:rFonts w:ascii="Times New Roman" w:hAnsi="Times New Roman" w:cs="Times New Roman"/>
          <w:sz w:val="20"/>
          <w:szCs w:val="20"/>
        </w:rPr>
      </w:pPr>
    </w:p>
    <w:p w14:paraId="0A143F00" w14:textId="41EC7084" w:rsidR="00EA603B" w:rsidRPr="00143AEB" w:rsidRDefault="00EA603B" w:rsidP="00143AEB">
      <w:pPr>
        <w:spacing w:after="0" w:line="360" w:lineRule="auto"/>
        <w:jc w:val="both"/>
        <w:rPr>
          <w:rFonts w:ascii="Times New Roman" w:hAnsi="Times New Roman" w:cs="Times New Roman"/>
          <w:b/>
          <w:bCs/>
          <w:sz w:val="20"/>
          <w:szCs w:val="20"/>
        </w:rPr>
      </w:pPr>
      <w:r w:rsidRPr="00143AEB">
        <w:rPr>
          <w:rFonts w:ascii="Times New Roman" w:hAnsi="Times New Roman" w:cs="Times New Roman"/>
          <w:b/>
          <w:bCs/>
          <w:sz w:val="20"/>
          <w:szCs w:val="20"/>
        </w:rPr>
        <w:t>COST-BENEFIT AND ECONOMIC FEASIBILITY ANALYSIS</w:t>
      </w:r>
    </w:p>
    <w:p w14:paraId="6C35BEFC" w14:textId="0EC13AA3" w:rsidR="00840F78" w:rsidRPr="00143AEB" w:rsidRDefault="00840F78" w:rsidP="00143AEB">
      <w:pPr>
        <w:pStyle w:val="NormalWeb"/>
        <w:spacing w:before="0" w:beforeAutospacing="0" w:after="0" w:afterAutospacing="0" w:line="360" w:lineRule="auto"/>
        <w:jc w:val="both"/>
        <w:rPr>
          <w:sz w:val="20"/>
          <w:szCs w:val="20"/>
        </w:rPr>
      </w:pPr>
      <w:r w:rsidRPr="00143AEB">
        <w:rPr>
          <w:sz w:val="20"/>
          <w:szCs w:val="20"/>
        </w:rPr>
        <w:t>A thorough cost–benefit and economic feasibility assessment is crucial to establish the AI</w:t>
      </w:r>
      <w:r w:rsidR="00363650">
        <w:rPr>
          <w:sz w:val="20"/>
          <w:szCs w:val="20"/>
        </w:rPr>
        <w:t>-</w:t>
      </w:r>
      <w:r w:rsidRPr="00143AEB">
        <w:rPr>
          <w:sz w:val="20"/>
          <w:szCs w:val="20"/>
        </w:rPr>
        <w:t>CIR</w:t>
      </w:r>
      <w:r w:rsidR="00363650">
        <w:rPr>
          <w:sz w:val="20"/>
          <w:szCs w:val="20"/>
        </w:rPr>
        <w:t>-</w:t>
      </w:r>
      <w:proofErr w:type="spellStart"/>
      <w:r w:rsidRPr="00143AEB">
        <w:rPr>
          <w:sz w:val="20"/>
          <w:szCs w:val="20"/>
        </w:rPr>
        <w:t>WtE</w:t>
      </w:r>
      <w:proofErr w:type="spellEnd"/>
      <w:r w:rsidRPr="00143AEB">
        <w:rPr>
          <w:sz w:val="20"/>
          <w:szCs w:val="20"/>
        </w:rPr>
        <w:t xml:space="preserve"> framework as a financially viable and socially equitable model for deployment in climate-vulnerable megacities.</w:t>
      </w:r>
    </w:p>
    <w:p w14:paraId="64ECCB78" w14:textId="0356381A" w:rsidR="00840F78" w:rsidRPr="00143AEB" w:rsidRDefault="00840F78" w:rsidP="008B1028">
      <w:pPr>
        <w:pStyle w:val="Heading3"/>
        <w:numPr>
          <w:ilvl w:val="0"/>
          <w:numId w:val="16"/>
        </w:numPr>
        <w:spacing w:before="0" w:beforeAutospacing="0" w:after="0" w:afterAutospacing="0" w:line="360" w:lineRule="auto"/>
        <w:jc w:val="both"/>
        <w:rPr>
          <w:sz w:val="20"/>
          <w:szCs w:val="20"/>
        </w:rPr>
      </w:pPr>
      <w:r w:rsidRPr="00143AEB">
        <w:rPr>
          <w:sz w:val="20"/>
          <w:szCs w:val="20"/>
        </w:rPr>
        <w:t>Capital and Operating Costs vs. Benefits:</w:t>
      </w:r>
    </w:p>
    <w:p w14:paraId="0A4EFA5A" w14:textId="330CF2F9" w:rsidR="00E72FA8" w:rsidRPr="00143AEB" w:rsidRDefault="00E72FA8" w:rsidP="00143AEB">
      <w:pPr>
        <w:pStyle w:val="NormalWeb"/>
        <w:spacing w:before="0" w:beforeAutospacing="0" w:after="0" w:afterAutospacing="0" w:line="360" w:lineRule="auto"/>
        <w:jc w:val="both"/>
        <w:rPr>
          <w:sz w:val="20"/>
          <w:szCs w:val="20"/>
        </w:rPr>
      </w:pPr>
      <w:r w:rsidRPr="00143AEB">
        <w:rPr>
          <w:sz w:val="20"/>
          <w:szCs w:val="20"/>
        </w:rPr>
        <w:t>The model simulation estimates the following costs for the Dhaka deployment:</w:t>
      </w:r>
    </w:p>
    <w:p w14:paraId="12E711FC" w14:textId="77777777" w:rsidR="00E72FA8" w:rsidRPr="00143AEB" w:rsidRDefault="00E72FA8" w:rsidP="008B1028">
      <w:pPr>
        <w:pStyle w:val="NormalWeb"/>
        <w:numPr>
          <w:ilvl w:val="0"/>
          <w:numId w:val="12"/>
        </w:numPr>
        <w:spacing w:before="0" w:beforeAutospacing="0" w:after="0" w:afterAutospacing="0" w:line="360" w:lineRule="auto"/>
        <w:jc w:val="both"/>
        <w:rPr>
          <w:sz w:val="20"/>
          <w:szCs w:val="20"/>
        </w:rPr>
      </w:pPr>
      <w:r w:rsidRPr="00143AEB">
        <w:rPr>
          <w:rStyle w:val="Strong"/>
          <w:sz w:val="20"/>
          <w:szCs w:val="20"/>
        </w:rPr>
        <w:t>CAPEX</w:t>
      </w:r>
      <w:r w:rsidRPr="00143AEB">
        <w:rPr>
          <w:sz w:val="20"/>
          <w:szCs w:val="20"/>
        </w:rPr>
        <w:t xml:space="preserve"> (initial infrastructure, AI system, digital twin setup): USD 18.5 million (for a 5-zone pilot).</w:t>
      </w:r>
    </w:p>
    <w:p w14:paraId="45A9A85E" w14:textId="77777777" w:rsidR="00E72FA8" w:rsidRPr="00143AEB" w:rsidRDefault="00E72FA8" w:rsidP="008B1028">
      <w:pPr>
        <w:pStyle w:val="NormalWeb"/>
        <w:numPr>
          <w:ilvl w:val="0"/>
          <w:numId w:val="12"/>
        </w:numPr>
        <w:spacing w:before="0" w:beforeAutospacing="0" w:after="0" w:afterAutospacing="0" w:line="360" w:lineRule="auto"/>
        <w:jc w:val="both"/>
        <w:rPr>
          <w:sz w:val="20"/>
          <w:szCs w:val="20"/>
        </w:rPr>
      </w:pPr>
      <w:r w:rsidRPr="00143AEB">
        <w:rPr>
          <w:rStyle w:val="Strong"/>
          <w:sz w:val="20"/>
          <w:szCs w:val="20"/>
        </w:rPr>
        <w:t>OPEX</w:t>
      </w:r>
      <w:r w:rsidRPr="00143AEB">
        <w:rPr>
          <w:sz w:val="20"/>
          <w:szCs w:val="20"/>
        </w:rPr>
        <w:t xml:space="preserve"> (maintenance, staff training, data acquisition): USD 2.3 million/year.</w:t>
      </w:r>
    </w:p>
    <w:p w14:paraId="18AD045A" w14:textId="77777777" w:rsidR="00E72FA8" w:rsidRPr="00143AEB" w:rsidRDefault="00E72FA8" w:rsidP="00143AEB">
      <w:pPr>
        <w:pStyle w:val="NormalWeb"/>
        <w:spacing w:before="0" w:beforeAutospacing="0" w:after="0" w:afterAutospacing="0" w:line="360" w:lineRule="auto"/>
        <w:jc w:val="both"/>
        <w:rPr>
          <w:sz w:val="20"/>
          <w:szCs w:val="20"/>
        </w:rPr>
      </w:pPr>
      <w:r w:rsidRPr="00143AEB">
        <w:rPr>
          <w:rStyle w:val="Strong"/>
          <w:sz w:val="20"/>
          <w:szCs w:val="20"/>
        </w:rPr>
        <w:t>Projected Annual Benefits</w:t>
      </w:r>
      <w:r w:rsidRPr="00143AEB">
        <w:rPr>
          <w:sz w:val="20"/>
          <w:szCs w:val="20"/>
        </w:rPr>
        <w:t>:</w:t>
      </w:r>
    </w:p>
    <w:p w14:paraId="408CC13E" w14:textId="77777777" w:rsidR="00E72FA8" w:rsidRPr="00143AEB" w:rsidRDefault="00E72FA8" w:rsidP="008B1028">
      <w:pPr>
        <w:pStyle w:val="NormalWeb"/>
        <w:numPr>
          <w:ilvl w:val="0"/>
          <w:numId w:val="13"/>
        </w:numPr>
        <w:spacing w:before="0" w:beforeAutospacing="0" w:after="0" w:afterAutospacing="0" w:line="360" w:lineRule="auto"/>
        <w:jc w:val="both"/>
        <w:rPr>
          <w:sz w:val="20"/>
          <w:szCs w:val="20"/>
        </w:rPr>
      </w:pPr>
      <w:r w:rsidRPr="00143AEB">
        <w:rPr>
          <w:rStyle w:val="Strong"/>
          <w:sz w:val="20"/>
          <w:szCs w:val="20"/>
        </w:rPr>
        <w:t>Energy Sales</w:t>
      </w:r>
      <w:r w:rsidRPr="00143AEB">
        <w:rPr>
          <w:sz w:val="20"/>
          <w:szCs w:val="20"/>
        </w:rPr>
        <w:t>: 9.9 MW/day x USD 0.09/kWh = ~USD 3.25 million/year.</w:t>
      </w:r>
    </w:p>
    <w:p w14:paraId="72DE4B7A" w14:textId="17C127F8" w:rsidR="00E72FA8" w:rsidRPr="00143AEB" w:rsidRDefault="00E72FA8" w:rsidP="008B1028">
      <w:pPr>
        <w:pStyle w:val="NormalWeb"/>
        <w:numPr>
          <w:ilvl w:val="0"/>
          <w:numId w:val="13"/>
        </w:numPr>
        <w:spacing w:before="0" w:beforeAutospacing="0" w:after="0" w:afterAutospacing="0" w:line="360" w:lineRule="auto"/>
        <w:jc w:val="both"/>
        <w:rPr>
          <w:sz w:val="20"/>
          <w:szCs w:val="20"/>
        </w:rPr>
      </w:pPr>
      <w:r w:rsidRPr="00143AEB">
        <w:rPr>
          <w:rStyle w:val="Strong"/>
          <w:sz w:val="20"/>
          <w:szCs w:val="20"/>
        </w:rPr>
        <w:t>Carbon Credit Revenues</w:t>
      </w:r>
      <w:r w:rsidRPr="00143AEB">
        <w:rPr>
          <w:sz w:val="20"/>
          <w:szCs w:val="20"/>
        </w:rPr>
        <w:t>: Avoided GHG emissions (~1,220 tons CO</w:t>
      </w:r>
      <w:r w:rsidR="009F6C92">
        <w:rPr>
          <w:sz w:val="20"/>
          <w:szCs w:val="20"/>
          <w:vertAlign w:val="subscript"/>
        </w:rPr>
        <w:t>2</w:t>
      </w:r>
      <w:r w:rsidRPr="00143AEB">
        <w:rPr>
          <w:sz w:val="20"/>
          <w:szCs w:val="20"/>
        </w:rPr>
        <w:t>/day) priced at USD 30/ton under voluntary markets = ~USD 13.4 million/year.</w:t>
      </w:r>
    </w:p>
    <w:p w14:paraId="55026CFF" w14:textId="77777777" w:rsidR="00E72FA8" w:rsidRPr="00143AEB" w:rsidRDefault="00E72FA8" w:rsidP="008B1028">
      <w:pPr>
        <w:pStyle w:val="NormalWeb"/>
        <w:numPr>
          <w:ilvl w:val="0"/>
          <w:numId w:val="13"/>
        </w:numPr>
        <w:spacing w:before="0" w:beforeAutospacing="0" w:after="0" w:afterAutospacing="0" w:line="360" w:lineRule="auto"/>
        <w:jc w:val="both"/>
        <w:rPr>
          <w:sz w:val="20"/>
          <w:szCs w:val="20"/>
        </w:rPr>
      </w:pPr>
      <w:r w:rsidRPr="00143AEB">
        <w:rPr>
          <w:rStyle w:val="Strong"/>
          <w:sz w:val="20"/>
          <w:szCs w:val="20"/>
        </w:rPr>
        <w:t>Landfill Cost Avoidance</w:t>
      </w:r>
      <w:r w:rsidRPr="00143AEB">
        <w:rPr>
          <w:sz w:val="20"/>
          <w:szCs w:val="20"/>
        </w:rPr>
        <w:t>: USD 1.7 million/year (transport, tipping fees, environmental liabilities).</w:t>
      </w:r>
    </w:p>
    <w:p w14:paraId="591C5F35" w14:textId="3A5D99C3" w:rsidR="00E72FA8" w:rsidRPr="00143AEB" w:rsidRDefault="00E72FA8" w:rsidP="008B1028">
      <w:pPr>
        <w:pStyle w:val="NormalWeb"/>
        <w:numPr>
          <w:ilvl w:val="0"/>
          <w:numId w:val="13"/>
        </w:numPr>
        <w:spacing w:before="0" w:beforeAutospacing="0" w:after="0" w:afterAutospacing="0" w:line="360" w:lineRule="auto"/>
        <w:jc w:val="both"/>
        <w:rPr>
          <w:sz w:val="20"/>
          <w:szCs w:val="20"/>
        </w:rPr>
      </w:pPr>
      <w:r w:rsidRPr="00143AEB">
        <w:rPr>
          <w:rStyle w:val="Strong"/>
          <w:sz w:val="20"/>
          <w:szCs w:val="20"/>
        </w:rPr>
        <w:t>Total Annual Returns</w:t>
      </w:r>
      <w:r w:rsidRPr="00143AEB">
        <w:rPr>
          <w:sz w:val="20"/>
          <w:szCs w:val="20"/>
        </w:rPr>
        <w:t xml:space="preserve">: </w:t>
      </w:r>
      <w:r w:rsidRPr="00143AEB">
        <w:rPr>
          <w:rStyle w:val="Strong"/>
          <w:sz w:val="20"/>
          <w:szCs w:val="20"/>
        </w:rPr>
        <w:t>~USD 18.35 million</w:t>
      </w:r>
      <w:r w:rsidRPr="00143AEB">
        <w:rPr>
          <w:sz w:val="20"/>
          <w:szCs w:val="20"/>
        </w:rPr>
        <w:t>, making ROI possible within 2.5 years under baseline conditions.</w:t>
      </w:r>
    </w:p>
    <w:p w14:paraId="71C6EE77" w14:textId="51C7421F" w:rsidR="008E0DBA" w:rsidRPr="00143AEB" w:rsidRDefault="008E0DBA" w:rsidP="008B1028">
      <w:pPr>
        <w:pStyle w:val="Heading3"/>
        <w:numPr>
          <w:ilvl w:val="0"/>
          <w:numId w:val="16"/>
        </w:numPr>
        <w:spacing w:before="0" w:beforeAutospacing="0" w:after="0" w:afterAutospacing="0" w:line="360" w:lineRule="auto"/>
        <w:jc w:val="both"/>
        <w:rPr>
          <w:sz w:val="20"/>
          <w:szCs w:val="20"/>
        </w:rPr>
      </w:pPr>
      <w:r w:rsidRPr="00143AEB">
        <w:rPr>
          <w:sz w:val="20"/>
          <w:szCs w:val="20"/>
        </w:rPr>
        <w:t>Monetization of Circularity and Emission Avoidance</w:t>
      </w:r>
      <w:r w:rsidR="007653CF">
        <w:rPr>
          <w:sz w:val="20"/>
          <w:szCs w:val="20"/>
        </w:rPr>
        <w:t>:</w:t>
      </w:r>
    </w:p>
    <w:p w14:paraId="77B73EB1" w14:textId="77777777" w:rsidR="008E0DBA" w:rsidRPr="00143AEB" w:rsidRDefault="008E0DBA" w:rsidP="00143AEB">
      <w:pPr>
        <w:pStyle w:val="NormalWeb"/>
        <w:spacing w:before="0" w:beforeAutospacing="0" w:after="0" w:afterAutospacing="0" w:line="360" w:lineRule="auto"/>
        <w:jc w:val="both"/>
        <w:rPr>
          <w:sz w:val="20"/>
          <w:szCs w:val="20"/>
        </w:rPr>
      </w:pPr>
      <w:r w:rsidRPr="00143AEB">
        <w:rPr>
          <w:sz w:val="20"/>
          <w:szCs w:val="20"/>
        </w:rPr>
        <w:t>The system's emission reductions and resource recoveries have direct monetizable value:</w:t>
      </w:r>
    </w:p>
    <w:p w14:paraId="4BED090E" w14:textId="77777777" w:rsidR="008E0DBA" w:rsidRPr="00143AEB" w:rsidRDefault="008E0DBA" w:rsidP="008B1028">
      <w:pPr>
        <w:pStyle w:val="NormalWeb"/>
        <w:numPr>
          <w:ilvl w:val="0"/>
          <w:numId w:val="14"/>
        </w:numPr>
        <w:spacing w:before="0" w:beforeAutospacing="0" w:after="0" w:afterAutospacing="0" w:line="360" w:lineRule="auto"/>
        <w:jc w:val="both"/>
        <w:rPr>
          <w:sz w:val="20"/>
          <w:szCs w:val="20"/>
        </w:rPr>
      </w:pPr>
      <w:r w:rsidRPr="009F6C92">
        <w:rPr>
          <w:rStyle w:val="Strong"/>
          <w:b w:val="0"/>
          <w:bCs w:val="0"/>
          <w:sz w:val="20"/>
          <w:szCs w:val="20"/>
        </w:rPr>
        <w:t>Biochar recovery</w:t>
      </w:r>
      <w:r w:rsidRPr="00143AEB">
        <w:rPr>
          <w:sz w:val="20"/>
          <w:szCs w:val="20"/>
        </w:rPr>
        <w:t xml:space="preserve"> from pyrolysis is marketable in local agriculture at ~USD 150/ton.</w:t>
      </w:r>
    </w:p>
    <w:p w14:paraId="5F81488F" w14:textId="77777777" w:rsidR="008E0DBA" w:rsidRPr="00143AEB" w:rsidRDefault="008E0DBA" w:rsidP="008B1028">
      <w:pPr>
        <w:pStyle w:val="NormalWeb"/>
        <w:numPr>
          <w:ilvl w:val="0"/>
          <w:numId w:val="14"/>
        </w:numPr>
        <w:spacing w:before="0" w:beforeAutospacing="0" w:after="0" w:afterAutospacing="0" w:line="360" w:lineRule="auto"/>
        <w:jc w:val="both"/>
        <w:rPr>
          <w:sz w:val="20"/>
          <w:szCs w:val="20"/>
        </w:rPr>
      </w:pPr>
      <w:r w:rsidRPr="009F6C92">
        <w:rPr>
          <w:rStyle w:val="Strong"/>
          <w:b w:val="0"/>
          <w:bCs w:val="0"/>
          <w:sz w:val="20"/>
          <w:szCs w:val="20"/>
        </w:rPr>
        <w:t>Waste segregation</w:t>
      </w:r>
      <w:r w:rsidRPr="00143AEB">
        <w:rPr>
          <w:sz w:val="20"/>
          <w:szCs w:val="20"/>
        </w:rPr>
        <w:t xml:space="preserve"> reduces mixed waste handling costs by ~30%.</w:t>
      </w:r>
    </w:p>
    <w:p w14:paraId="7DC9740E" w14:textId="77777777" w:rsidR="008E0DBA" w:rsidRPr="00143AEB" w:rsidRDefault="008E0DBA" w:rsidP="008B1028">
      <w:pPr>
        <w:pStyle w:val="NormalWeb"/>
        <w:numPr>
          <w:ilvl w:val="0"/>
          <w:numId w:val="14"/>
        </w:numPr>
        <w:spacing w:before="0" w:beforeAutospacing="0" w:after="0" w:afterAutospacing="0" w:line="360" w:lineRule="auto"/>
        <w:jc w:val="both"/>
        <w:rPr>
          <w:sz w:val="20"/>
          <w:szCs w:val="20"/>
        </w:rPr>
      </w:pPr>
      <w:r w:rsidRPr="009F6C92">
        <w:rPr>
          <w:rStyle w:val="Strong"/>
          <w:b w:val="0"/>
          <w:bCs w:val="0"/>
          <w:sz w:val="20"/>
          <w:szCs w:val="20"/>
        </w:rPr>
        <w:t>Water savings</w:t>
      </w:r>
      <w:r w:rsidRPr="00143AEB">
        <w:rPr>
          <w:sz w:val="20"/>
          <w:szCs w:val="20"/>
        </w:rPr>
        <w:t xml:space="preserve"> from optimized waste processing: ~18,000 liters/day, valued at USD 0.0015/liter = ~USD 10,000/year.</w:t>
      </w:r>
    </w:p>
    <w:p w14:paraId="347642AF" w14:textId="77777777" w:rsidR="008E0DBA" w:rsidRPr="00143AEB" w:rsidRDefault="008E0DBA" w:rsidP="00143AEB">
      <w:pPr>
        <w:pStyle w:val="NormalWeb"/>
        <w:spacing w:before="0" w:beforeAutospacing="0" w:after="0" w:afterAutospacing="0" w:line="360" w:lineRule="auto"/>
        <w:jc w:val="both"/>
        <w:rPr>
          <w:sz w:val="20"/>
          <w:szCs w:val="20"/>
        </w:rPr>
      </w:pPr>
      <w:r w:rsidRPr="00143AEB">
        <w:rPr>
          <w:sz w:val="20"/>
          <w:szCs w:val="20"/>
        </w:rPr>
        <w:t xml:space="preserve">Additionally, </w:t>
      </w:r>
      <w:r w:rsidRPr="00BA4409">
        <w:rPr>
          <w:rStyle w:val="Strong"/>
          <w:b w:val="0"/>
          <w:bCs w:val="0"/>
          <w:sz w:val="20"/>
          <w:szCs w:val="20"/>
        </w:rPr>
        <w:t>climate co-benefits</w:t>
      </w:r>
      <w:r w:rsidRPr="00143AEB">
        <w:rPr>
          <w:sz w:val="20"/>
          <w:szCs w:val="20"/>
        </w:rPr>
        <w:t xml:space="preserve"> such as reduced flooding and public health savings could generate up to USD 3 million/year in avoided losses (GCF, 2023).</w:t>
      </w:r>
    </w:p>
    <w:p w14:paraId="37E90852" w14:textId="64408D7B" w:rsidR="008E0DBA" w:rsidRPr="00143AEB" w:rsidRDefault="008E0DBA" w:rsidP="008B1028">
      <w:pPr>
        <w:pStyle w:val="Heading3"/>
        <w:numPr>
          <w:ilvl w:val="0"/>
          <w:numId w:val="16"/>
        </w:numPr>
        <w:spacing w:before="0" w:beforeAutospacing="0" w:after="0" w:afterAutospacing="0" w:line="360" w:lineRule="auto"/>
        <w:jc w:val="both"/>
        <w:rPr>
          <w:sz w:val="20"/>
          <w:szCs w:val="20"/>
        </w:rPr>
      </w:pPr>
      <w:r w:rsidRPr="00143AEB">
        <w:rPr>
          <w:sz w:val="20"/>
          <w:szCs w:val="20"/>
        </w:rPr>
        <w:t>Policy Simulation for Investment Models</w:t>
      </w:r>
      <w:r w:rsidR="007653CF">
        <w:rPr>
          <w:sz w:val="20"/>
          <w:szCs w:val="20"/>
        </w:rPr>
        <w:t>:</w:t>
      </w:r>
    </w:p>
    <w:p w14:paraId="01F0F5FA" w14:textId="77777777" w:rsidR="008E0DBA" w:rsidRPr="00143AEB" w:rsidRDefault="008E0DBA" w:rsidP="00143AEB">
      <w:pPr>
        <w:pStyle w:val="NormalWeb"/>
        <w:spacing w:before="0" w:beforeAutospacing="0" w:after="0" w:afterAutospacing="0" w:line="360" w:lineRule="auto"/>
        <w:jc w:val="both"/>
        <w:rPr>
          <w:sz w:val="20"/>
          <w:szCs w:val="20"/>
        </w:rPr>
      </w:pPr>
      <w:r w:rsidRPr="00143AEB">
        <w:rPr>
          <w:sz w:val="20"/>
          <w:szCs w:val="20"/>
        </w:rPr>
        <w:t>Three financing strategies were modeled:</w:t>
      </w:r>
    </w:p>
    <w:p w14:paraId="1419368A" w14:textId="4E656DBD" w:rsidR="008E0DBA" w:rsidRPr="00143AEB" w:rsidRDefault="008E0DBA" w:rsidP="008B1028">
      <w:pPr>
        <w:pStyle w:val="NormalWeb"/>
        <w:numPr>
          <w:ilvl w:val="0"/>
          <w:numId w:val="15"/>
        </w:numPr>
        <w:spacing w:before="0" w:beforeAutospacing="0" w:after="0" w:afterAutospacing="0" w:line="360" w:lineRule="auto"/>
        <w:jc w:val="both"/>
        <w:rPr>
          <w:sz w:val="20"/>
          <w:szCs w:val="20"/>
        </w:rPr>
      </w:pPr>
      <w:r w:rsidRPr="00143AEB">
        <w:rPr>
          <w:rStyle w:val="Strong"/>
          <w:sz w:val="20"/>
          <w:szCs w:val="20"/>
        </w:rPr>
        <w:t>Public–Private Partnerships (PPP)</w:t>
      </w:r>
      <w:r w:rsidRPr="00143AEB">
        <w:rPr>
          <w:sz w:val="20"/>
          <w:szCs w:val="20"/>
        </w:rPr>
        <w:t>: Shared risk and capital; suitable for Dhaka’s dual governance structure (DNCC</w:t>
      </w:r>
      <w:r w:rsidR="009F6C92">
        <w:rPr>
          <w:sz w:val="20"/>
          <w:szCs w:val="20"/>
        </w:rPr>
        <w:t>,</w:t>
      </w:r>
      <w:r w:rsidRPr="00143AEB">
        <w:rPr>
          <w:sz w:val="20"/>
          <w:szCs w:val="20"/>
        </w:rPr>
        <w:t xml:space="preserve"> </w:t>
      </w:r>
      <w:r w:rsidR="009F6C92">
        <w:rPr>
          <w:sz w:val="20"/>
          <w:szCs w:val="20"/>
        </w:rPr>
        <w:t>2022;</w:t>
      </w:r>
      <w:r w:rsidRPr="00143AEB">
        <w:rPr>
          <w:sz w:val="20"/>
          <w:szCs w:val="20"/>
        </w:rPr>
        <w:t xml:space="preserve"> DSCC</w:t>
      </w:r>
      <w:r w:rsidR="009F6C92">
        <w:rPr>
          <w:sz w:val="20"/>
          <w:szCs w:val="20"/>
        </w:rPr>
        <w:t>, 2022</w:t>
      </w:r>
      <w:r w:rsidRPr="00143AEB">
        <w:rPr>
          <w:sz w:val="20"/>
          <w:szCs w:val="20"/>
        </w:rPr>
        <w:t>).</w:t>
      </w:r>
    </w:p>
    <w:p w14:paraId="264E00E3" w14:textId="77777777" w:rsidR="008E0DBA" w:rsidRPr="00143AEB" w:rsidRDefault="008E0DBA" w:rsidP="008B1028">
      <w:pPr>
        <w:pStyle w:val="NormalWeb"/>
        <w:numPr>
          <w:ilvl w:val="0"/>
          <w:numId w:val="15"/>
        </w:numPr>
        <w:spacing w:before="0" w:beforeAutospacing="0" w:after="0" w:afterAutospacing="0" w:line="360" w:lineRule="auto"/>
        <w:jc w:val="both"/>
        <w:rPr>
          <w:sz w:val="20"/>
          <w:szCs w:val="20"/>
        </w:rPr>
      </w:pPr>
      <w:r w:rsidRPr="00143AEB">
        <w:rPr>
          <w:rStyle w:val="Strong"/>
          <w:sz w:val="20"/>
          <w:szCs w:val="20"/>
        </w:rPr>
        <w:t>Climate Bonds and GCF Funding</w:t>
      </w:r>
      <w:r w:rsidRPr="00143AEB">
        <w:rPr>
          <w:sz w:val="20"/>
          <w:szCs w:val="20"/>
        </w:rPr>
        <w:t xml:space="preserve">: Model aligns with GCF's </w:t>
      </w:r>
      <w:r w:rsidRPr="009F6C92">
        <w:rPr>
          <w:rStyle w:val="Emphasis"/>
          <w:i w:val="0"/>
          <w:iCs w:val="0"/>
          <w:sz w:val="20"/>
          <w:szCs w:val="20"/>
        </w:rPr>
        <w:t>"Transformational Cities"</w:t>
      </w:r>
      <w:r w:rsidRPr="00143AEB">
        <w:rPr>
          <w:sz w:val="20"/>
          <w:szCs w:val="20"/>
        </w:rPr>
        <w:t xml:space="preserve"> stream and qualifies for adaptation co-financing (GCF, 2024).</w:t>
      </w:r>
    </w:p>
    <w:p w14:paraId="1984CA27" w14:textId="77777777" w:rsidR="008E0DBA" w:rsidRPr="00143AEB" w:rsidRDefault="008E0DBA" w:rsidP="008B1028">
      <w:pPr>
        <w:pStyle w:val="NormalWeb"/>
        <w:numPr>
          <w:ilvl w:val="0"/>
          <w:numId w:val="15"/>
        </w:numPr>
        <w:spacing w:before="0" w:beforeAutospacing="0" w:after="0" w:afterAutospacing="0" w:line="360" w:lineRule="auto"/>
        <w:jc w:val="both"/>
        <w:rPr>
          <w:sz w:val="20"/>
          <w:szCs w:val="20"/>
        </w:rPr>
      </w:pPr>
      <w:r w:rsidRPr="00143AEB">
        <w:rPr>
          <w:rStyle w:val="Strong"/>
          <w:sz w:val="20"/>
          <w:szCs w:val="20"/>
        </w:rPr>
        <w:t>Carbon Offset Trade Mechanisms</w:t>
      </w:r>
      <w:r w:rsidRPr="00143AEB">
        <w:rPr>
          <w:sz w:val="20"/>
          <w:szCs w:val="20"/>
        </w:rPr>
        <w:t>: Validated LCA metrics allow participation in Verra and Gold Standard schemes.</w:t>
      </w:r>
    </w:p>
    <w:p w14:paraId="164BEACD" w14:textId="331957EA" w:rsidR="008E0DBA" w:rsidRDefault="008E0DBA" w:rsidP="00143AEB">
      <w:pPr>
        <w:pStyle w:val="NormalWeb"/>
        <w:spacing w:before="0" w:beforeAutospacing="0" w:after="0" w:afterAutospacing="0" w:line="360" w:lineRule="auto"/>
        <w:jc w:val="both"/>
        <w:rPr>
          <w:sz w:val="20"/>
          <w:szCs w:val="20"/>
        </w:rPr>
      </w:pPr>
      <w:r w:rsidRPr="00BA4409">
        <w:rPr>
          <w:sz w:val="20"/>
          <w:szCs w:val="20"/>
        </w:rPr>
        <w:lastRenderedPageBreak/>
        <w:t xml:space="preserve">Simulation results indicate that even under conservative market conditions, the </w:t>
      </w:r>
      <w:r w:rsidRPr="00BA4409">
        <w:rPr>
          <w:rStyle w:val="Strong"/>
          <w:b w:val="0"/>
          <w:bCs w:val="0"/>
          <w:sz w:val="20"/>
          <w:szCs w:val="20"/>
        </w:rPr>
        <w:t>AI</w:t>
      </w:r>
      <w:r w:rsidR="009F6C92">
        <w:rPr>
          <w:rStyle w:val="Strong"/>
          <w:b w:val="0"/>
          <w:bCs w:val="0"/>
          <w:sz w:val="20"/>
          <w:szCs w:val="20"/>
        </w:rPr>
        <w:t>-</w:t>
      </w:r>
      <w:r w:rsidRPr="00BA4409">
        <w:rPr>
          <w:rStyle w:val="Strong"/>
          <w:b w:val="0"/>
          <w:bCs w:val="0"/>
          <w:sz w:val="20"/>
          <w:szCs w:val="20"/>
        </w:rPr>
        <w:t>CIR</w:t>
      </w:r>
      <w:r w:rsidR="009F6C92">
        <w:rPr>
          <w:rStyle w:val="Strong"/>
          <w:b w:val="0"/>
          <w:bCs w:val="0"/>
          <w:sz w:val="20"/>
          <w:szCs w:val="20"/>
        </w:rPr>
        <w:t>-</w:t>
      </w:r>
      <w:proofErr w:type="spellStart"/>
      <w:r w:rsidRPr="00BA4409">
        <w:rPr>
          <w:rStyle w:val="Strong"/>
          <w:b w:val="0"/>
          <w:bCs w:val="0"/>
          <w:sz w:val="20"/>
          <w:szCs w:val="20"/>
        </w:rPr>
        <w:t>WtE</w:t>
      </w:r>
      <w:proofErr w:type="spellEnd"/>
      <w:r w:rsidRPr="00BA4409">
        <w:rPr>
          <w:rStyle w:val="Strong"/>
          <w:b w:val="0"/>
          <w:bCs w:val="0"/>
          <w:sz w:val="20"/>
          <w:szCs w:val="20"/>
        </w:rPr>
        <w:t xml:space="preserve"> system recovers full cost within 3 years</w:t>
      </w:r>
      <w:r w:rsidRPr="00BA4409">
        <w:rPr>
          <w:sz w:val="20"/>
          <w:szCs w:val="20"/>
        </w:rPr>
        <w:t xml:space="preserve">, generates net-positive environmental externalities, and qualifies for multiple </w:t>
      </w:r>
      <w:r w:rsidRPr="00BA4409">
        <w:rPr>
          <w:rStyle w:val="Strong"/>
          <w:b w:val="0"/>
          <w:bCs w:val="0"/>
          <w:sz w:val="20"/>
          <w:szCs w:val="20"/>
        </w:rPr>
        <w:t>sustainable finance instrument</w:t>
      </w:r>
      <w:r w:rsidRPr="00BA4409">
        <w:rPr>
          <w:rStyle w:val="Strong"/>
          <w:sz w:val="20"/>
          <w:szCs w:val="20"/>
        </w:rPr>
        <w:t>s</w:t>
      </w:r>
      <w:r w:rsidRPr="00BA4409">
        <w:rPr>
          <w:sz w:val="20"/>
          <w:szCs w:val="20"/>
        </w:rPr>
        <w:t xml:space="preserve"> (ADB, 2024).</w:t>
      </w:r>
    </w:p>
    <w:p w14:paraId="7BA63DBA" w14:textId="2154D1AA" w:rsidR="00BA4409" w:rsidRDefault="00BA4409" w:rsidP="00143AEB">
      <w:pPr>
        <w:pStyle w:val="NormalWeb"/>
        <w:spacing w:before="0" w:beforeAutospacing="0" w:after="0" w:afterAutospacing="0" w:line="360" w:lineRule="auto"/>
        <w:jc w:val="both"/>
        <w:rPr>
          <w:sz w:val="20"/>
          <w:szCs w:val="20"/>
        </w:rPr>
      </w:pPr>
    </w:p>
    <w:p w14:paraId="4DFC21CD" w14:textId="6D25FE95" w:rsidR="00E0379B" w:rsidRPr="00E0379B" w:rsidRDefault="00E0379B" w:rsidP="00143AEB">
      <w:pPr>
        <w:pStyle w:val="NormalWeb"/>
        <w:spacing w:before="0" w:beforeAutospacing="0" w:after="0" w:afterAutospacing="0" w:line="360" w:lineRule="auto"/>
        <w:jc w:val="both"/>
        <w:rPr>
          <w:b/>
          <w:bCs/>
          <w:sz w:val="20"/>
          <w:szCs w:val="20"/>
        </w:rPr>
      </w:pPr>
      <w:r w:rsidRPr="00E0379B">
        <w:rPr>
          <w:b/>
          <w:bCs/>
          <w:sz w:val="20"/>
          <w:szCs w:val="20"/>
        </w:rPr>
        <w:t>POLICY INTEGRATION AND GOVERNANCE ROADMAP</w:t>
      </w:r>
    </w:p>
    <w:p w14:paraId="33E0AEB9" w14:textId="7C125456" w:rsidR="00E72FA8" w:rsidRDefault="00A80C32" w:rsidP="00143AEB">
      <w:pPr>
        <w:pStyle w:val="NormalWeb"/>
        <w:spacing w:before="0" w:beforeAutospacing="0" w:after="0" w:afterAutospacing="0" w:line="360" w:lineRule="auto"/>
        <w:jc w:val="both"/>
        <w:rPr>
          <w:sz w:val="20"/>
          <w:szCs w:val="20"/>
        </w:rPr>
      </w:pPr>
      <w:r w:rsidRPr="00A80C32">
        <w:rPr>
          <w:sz w:val="20"/>
          <w:szCs w:val="20"/>
        </w:rPr>
        <w:t>Alignment with national development plans, international sustainability objectives, and changing circular economy regulations is necessary for the AI</w:t>
      </w:r>
      <w:r w:rsidR="009F6C92">
        <w:rPr>
          <w:sz w:val="20"/>
          <w:szCs w:val="20"/>
        </w:rPr>
        <w:t>-</w:t>
      </w:r>
      <w:r w:rsidRPr="00A80C32">
        <w:rPr>
          <w:sz w:val="20"/>
          <w:szCs w:val="20"/>
        </w:rPr>
        <w:t>CIR</w:t>
      </w:r>
      <w:r w:rsidR="009F6C92">
        <w:rPr>
          <w:sz w:val="20"/>
          <w:szCs w:val="20"/>
        </w:rPr>
        <w:t>-</w:t>
      </w:r>
      <w:proofErr w:type="spellStart"/>
      <w:r w:rsidRPr="00A80C32">
        <w:rPr>
          <w:sz w:val="20"/>
          <w:szCs w:val="20"/>
        </w:rPr>
        <w:t>WtE</w:t>
      </w:r>
      <w:proofErr w:type="spellEnd"/>
      <w:r w:rsidRPr="00A80C32">
        <w:rPr>
          <w:sz w:val="20"/>
          <w:szCs w:val="20"/>
        </w:rPr>
        <w:t xml:space="preserve"> framework to be implemented effectively. This section suggests implementation pathways through collaborative governance and describes how it aligns with Bangladesh's policy environment and international governance standards.</w:t>
      </w:r>
    </w:p>
    <w:p w14:paraId="34DD6350" w14:textId="3059C8F9" w:rsidR="00A80C32" w:rsidRPr="008E14D5" w:rsidRDefault="007653CF" w:rsidP="008B1028">
      <w:pPr>
        <w:pStyle w:val="NormalWeb"/>
        <w:numPr>
          <w:ilvl w:val="0"/>
          <w:numId w:val="20"/>
        </w:numPr>
        <w:spacing w:before="0" w:beforeAutospacing="0" w:after="0" w:afterAutospacing="0" w:line="360" w:lineRule="auto"/>
        <w:jc w:val="both"/>
        <w:rPr>
          <w:b/>
          <w:bCs/>
          <w:sz w:val="20"/>
          <w:szCs w:val="20"/>
        </w:rPr>
      </w:pPr>
      <w:r w:rsidRPr="008E14D5">
        <w:rPr>
          <w:b/>
          <w:bCs/>
          <w:sz w:val="20"/>
          <w:szCs w:val="20"/>
        </w:rPr>
        <w:t>Alignment with National and Global Policy Frameworks:</w:t>
      </w:r>
    </w:p>
    <w:p w14:paraId="2558B5D2" w14:textId="09C8FA5B" w:rsidR="008E14D5" w:rsidRPr="00E966A4" w:rsidRDefault="008E14D5" w:rsidP="008B1028">
      <w:pPr>
        <w:pStyle w:val="ListParagraph"/>
        <w:numPr>
          <w:ilvl w:val="0"/>
          <w:numId w:val="17"/>
        </w:numPr>
        <w:spacing w:after="0" w:line="360" w:lineRule="auto"/>
        <w:jc w:val="both"/>
        <w:rPr>
          <w:rFonts w:ascii="Times New Roman" w:eastAsia="Times New Roman" w:hAnsi="Times New Roman" w:cs="Times New Roman"/>
          <w:sz w:val="20"/>
          <w:szCs w:val="20"/>
        </w:rPr>
      </w:pPr>
      <w:r w:rsidRPr="00E966A4">
        <w:rPr>
          <w:rFonts w:ascii="Times New Roman" w:eastAsia="Times New Roman" w:hAnsi="Times New Roman" w:cs="Times New Roman"/>
          <w:sz w:val="20"/>
          <w:szCs w:val="20"/>
        </w:rPr>
        <w:t>Bangladesh’s National Adaptation Plan (NAP) emphasizes climate-resilient urban infrastructure and integrated waste systems (</w:t>
      </w:r>
      <w:proofErr w:type="spellStart"/>
      <w:r w:rsidRPr="00E966A4">
        <w:rPr>
          <w:rFonts w:ascii="Times New Roman" w:eastAsia="Times New Roman" w:hAnsi="Times New Roman" w:cs="Times New Roman"/>
          <w:sz w:val="20"/>
          <w:szCs w:val="20"/>
        </w:rPr>
        <w:t>MoEFCC</w:t>
      </w:r>
      <w:proofErr w:type="spellEnd"/>
      <w:r w:rsidRPr="00E966A4">
        <w:rPr>
          <w:rFonts w:ascii="Times New Roman" w:eastAsia="Times New Roman" w:hAnsi="Times New Roman" w:cs="Times New Roman"/>
          <w:sz w:val="20"/>
          <w:szCs w:val="20"/>
        </w:rPr>
        <w:t>, 2023). AI</w:t>
      </w:r>
      <w:r w:rsidR="00C40F3B">
        <w:rPr>
          <w:rFonts w:ascii="Times New Roman" w:eastAsia="Times New Roman" w:hAnsi="Times New Roman" w:cs="Times New Roman"/>
          <w:sz w:val="20"/>
          <w:szCs w:val="20"/>
        </w:rPr>
        <w:t>-</w:t>
      </w:r>
      <w:r w:rsidRPr="00E966A4">
        <w:rPr>
          <w:rFonts w:ascii="Times New Roman" w:eastAsia="Times New Roman" w:hAnsi="Times New Roman" w:cs="Times New Roman"/>
          <w:sz w:val="20"/>
          <w:szCs w:val="20"/>
        </w:rPr>
        <w:t>CIR</w:t>
      </w:r>
      <w:r w:rsidR="00C40F3B">
        <w:rPr>
          <w:rFonts w:ascii="Times New Roman" w:eastAsia="Times New Roman" w:hAnsi="Times New Roman" w:cs="Times New Roman"/>
          <w:sz w:val="20"/>
          <w:szCs w:val="20"/>
        </w:rPr>
        <w:t>-</w:t>
      </w:r>
      <w:proofErr w:type="spellStart"/>
      <w:r w:rsidRPr="00E966A4">
        <w:rPr>
          <w:rFonts w:ascii="Times New Roman" w:eastAsia="Times New Roman" w:hAnsi="Times New Roman" w:cs="Times New Roman"/>
          <w:sz w:val="20"/>
          <w:szCs w:val="20"/>
        </w:rPr>
        <w:t>WtE</w:t>
      </w:r>
      <w:proofErr w:type="spellEnd"/>
      <w:r w:rsidRPr="00E966A4">
        <w:rPr>
          <w:rFonts w:ascii="Times New Roman" w:eastAsia="Times New Roman" w:hAnsi="Times New Roman" w:cs="Times New Roman"/>
          <w:sz w:val="20"/>
          <w:szCs w:val="20"/>
        </w:rPr>
        <w:t xml:space="preserve"> directly supports this by enabling adaptive routing, flood-resistant energy recovery, and circularity tracking.</w:t>
      </w:r>
    </w:p>
    <w:p w14:paraId="574404AA" w14:textId="3BA6E0F8" w:rsidR="008E14D5" w:rsidRPr="00E966A4" w:rsidRDefault="008E14D5" w:rsidP="008B1028">
      <w:pPr>
        <w:pStyle w:val="ListParagraph"/>
        <w:numPr>
          <w:ilvl w:val="0"/>
          <w:numId w:val="17"/>
        </w:numPr>
        <w:spacing w:after="0" w:line="360" w:lineRule="auto"/>
        <w:jc w:val="both"/>
        <w:rPr>
          <w:rFonts w:ascii="Times New Roman" w:eastAsia="Times New Roman" w:hAnsi="Times New Roman" w:cs="Times New Roman"/>
          <w:sz w:val="20"/>
          <w:szCs w:val="20"/>
        </w:rPr>
      </w:pPr>
      <w:r w:rsidRPr="00E966A4">
        <w:rPr>
          <w:rFonts w:ascii="Times New Roman" w:eastAsia="Times New Roman" w:hAnsi="Times New Roman" w:cs="Times New Roman"/>
          <w:sz w:val="20"/>
          <w:szCs w:val="20"/>
        </w:rPr>
        <w:t xml:space="preserve">SDG 11 (Sustainable Cities) is addressed through smart infrastructure and decentralized </w:t>
      </w:r>
      <w:proofErr w:type="spellStart"/>
      <w:r w:rsidRPr="00E966A4">
        <w:rPr>
          <w:rFonts w:ascii="Times New Roman" w:eastAsia="Times New Roman" w:hAnsi="Times New Roman" w:cs="Times New Roman"/>
          <w:sz w:val="20"/>
          <w:szCs w:val="20"/>
        </w:rPr>
        <w:t>WtE</w:t>
      </w:r>
      <w:proofErr w:type="spellEnd"/>
      <w:r w:rsidRPr="00E966A4">
        <w:rPr>
          <w:rFonts w:ascii="Times New Roman" w:eastAsia="Times New Roman" w:hAnsi="Times New Roman" w:cs="Times New Roman"/>
          <w:sz w:val="20"/>
          <w:szCs w:val="20"/>
        </w:rPr>
        <w:t xml:space="preserve"> nodes that reduce urban environmental burdens.</w:t>
      </w:r>
    </w:p>
    <w:p w14:paraId="6773E39E" w14:textId="11B53684" w:rsidR="008E14D5" w:rsidRPr="00E966A4" w:rsidRDefault="008E14D5" w:rsidP="008B1028">
      <w:pPr>
        <w:pStyle w:val="ListParagraph"/>
        <w:numPr>
          <w:ilvl w:val="0"/>
          <w:numId w:val="17"/>
        </w:numPr>
        <w:spacing w:after="0" w:line="360" w:lineRule="auto"/>
        <w:jc w:val="both"/>
        <w:rPr>
          <w:rFonts w:ascii="Times New Roman" w:eastAsia="Times New Roman" w:hAnsi="Times New Roman" w:cs="Times New Roman"/>
          <w:sz w:val="20"/>
          <w:szCs w:val="20"/>
        </w:rPr>
      </w:pPr>
      <w:r w:rsidRPr="00E966A4">
        <w:rPr>
          <w:rFonts w:ascii="Times New Roman" w:eastAsia="Times New Roman" w:hAnsi="Times New Roman" w:cs="Times New Roman"/>
          <w:sz w:val="20"/>
          <w:szCs w:val="20"/>
        </w:rPr>
        <w:t>SDG 12 (Responsible Consumption and Production) is operationalized by real-time circularity indices, maximizing material recovery, and minimizing residual waste.</w:t>
      </w:r>
    </w:p>
    <w:p w14:paraId="63F019E2" w14:textId="78435D44" w:rsidR="008E14D5" w:rsidRPr="00E966A4" w:rsidRDefault="008E14D5" w:rsidP="008B1028">
      <w:pPr>
        <w:pStyle w:val="ListParagraph"/>
        <w:numPr>
          <w:ilvl w:val="0"/>
          <w:numId w:val="17"/>
        </w:numPr>
        <w:spacing w:after="0" w:line="360" w:lineRule="auto"/>
        <w:jc w:val="both"/>
        <w:rPr>
          <w:rFonts w:ascii="Times New Roman" w:eastAsia="Times New Roman" w:hAnsi="Times New Roman" w:cs="Times New Roman"/>
          <w:sz w:val="20"/>
          <w:szCs w:val="20"/>
        </w:rPr>
      </w:pPr>
      <w:r w:rsidRPr="00E966A4">
        <w:rPr>
          <w:rFonts w:ascii="Times New Roman" w:eastAsia="Times New Roman" w:hAnsi="Times New Roman" w:cs="Times New Roman"/>
          <w:sz w:val="20"/>
          <w:szCs w:val="20"/>
        </w:rPr>
        <w:t>SDG 13 (Climate Action) is achieved through LCA-validated emission reductions, methane mitigation from organic waste, and integration with climate scenario simulations.</w:t>
      </w:r>
    </w:p>
    <w:p w14:paraId="0D1DEC1D" w14:textId="6C923A0B" w:rsidR="008E14D5" w:rsidRPr="00E966A4" w:rsidRDefault="008E14D5" w:rsidP="008B1028">
      <w:pPr>
        <w:pStyle w:val="ListParagraph"/>
        <w:numPr>
          <w:ilvl w:val="0"/>
          <w:numId w:val="17"/>
        </w:numPr>
        <w:spacing w:after="0" w:line="360" w:lineRule="auto"/>
        <w:jc w:val="both"/>
        <w:rPr>
          <w:rFonts w:ascii="Times New Roman" w:eastAsia="Times New Roman" w:hAnsi="Times New Roman" w:cs="Times New Roman"/>
          <w:sz w:val="20"/>
          <w:szCs w:val="20"/>
        </w:rPr>
      </w:pPr>
      <w:r w:rsidRPr="00E966A4">
        <w:rPr>
          <w:rFonts w:ascii="Times New Roman" w:eastAsia="Times New Roman" w:hAnsi="Times New Roman" w:cs="Times New Roman"/>
          <w:sz w:val="20"/>
          <w:szCs w:val="20"/>
        </w:rPr>
        <w:t>Bangladesh’s Draft Circular Economy Roadmap (2024) calls for data-driven material flow optimization, decentralized recycling, and public-private innovation</w:t>
      </w:r>
      <w:r w:rsidR="00C40F3B">
        <w:rPr>
          <w:rFonts w:ascii="Times New Roman" w:eastAsia="Times New Roman" w:hAnsi="Times New Roman" w:cs="Times New Roman"/>
          <w:sz w:val="20"/>
          <w:szCs w:val="20"/>
        </w:rPr>
        <w:t xml:space="preserve">- </w:t>
      </w:r>
      <w:r w:rsidRPr="00E966A4">
        <w:rPr>
          <w:rFonts w:ascii="Times New Roman" w:eastAsia="Times New Roman" w:hAnsi="Times New Roman" w:cs="Times New Roman"/>
          <w:sz w:val="20"/>
          <w:szCs w:val="20"/>
        </w:rPr>
        <w:t>precisely what the AI</w:t>
      </w:r>
      <w:r w:rsidR="00C40F3B">
        <w:rPr>
          <w:rFonts w:ascii="Times New Roman" w:eastAsia="Times New Roman" w:hAnsi="Times New Roman" w:cs="Times New Roman"/>
          <w:sz w:val="20"/>
          <w:szCs w:val="20"/>
        </w:rPr>
        <w:t>-</w:t>
      </w:r>
      <w:r w:rsidRPr="00E966A4">
        <w:rPr>
          <w:rFonts w:ascii="Times New Roman" w:eastAsia="Times New Roman" w:hAnsi="Times New Roman" w:cs="Times New Roman"/>
          <w:sz w:val="20"/>
          <w:szCs w:val="20"/>
        </w:rPr>
        <w:t>CIR</w:t>
      </w:r>
      <w:r w:rsidR="00C40F3B">
        <w:rPr>
          <w:rFonts w:ascii="Times New Roman" w:eastAsia="Times New Roman" w:hAnsi="Times New Roman" w:cs="Times New Roman"/>
          <w:sz w:val="20"/>
          <w:szCs w:val="20"/>
        </w:rPr>
        <w:t>-</w:t>
      </w:r>
      <w:proofErr w:type="spellStart"/>
      <w:r w:rsidRPr="00E966A4">
        <w:rPr>
          <w:rFonts w:ascii="Times New Roman" w:eastAsia="Times New Roman" w:hAnsi="Times New Roman" w:cs="Times New Roman"/>
          <w:sz w:val="20"/>
          <w:szCs w:val="20"/>
        </w:rPr>
        <w:t>WtE</w:t>
      </w:r>
      <w:proofErr w:type="spellEnd"/>
      <w:r w:rsidRPr="00E966A4">
        <w:rPr>
          <w:rFonts w:ascii="Times New Roman" w:eastAsia="Times New Roman" w:hAnsi="Times New Roman" w:cs="Times New Roman"/>
          <w:sz w:val="20"/>
          <w:szCs w:val="20"/>
        </w:rPr>
        <w:t xml:space="preserve"> framework provides (DoE, 2024).</w:t>
      </w:r>
    </w:p>
    <w:p w14:paraId="6A622C86" w14:textId="6E630838" w:rsidR="00E966A4" w:rsidRPr="00EB5EEA" w:rsidRDefault="00934EE0" w:rsidP="008B1028">
      <w:pPr>
        <w:pStyle w:val="NormalWeb"/>
        <w:numPr>
          <w:ilvl w:val="0"/>
          <w:numId w:val="20"/>
        </w:numPr>
        <w:spacing w:before="0" w:beforeAutospacing="0" w:after="0" w:afterAutospacing="0" w:line="360" w:lineRule="auto"/>
        <w:jc w:val="both"/>
        <w:rPr>
          <w:b/>
          <w:bCs/>
          <w:sz w:val="20"/>
          <w:szCs w:val="20"/>
        </w:rPr>
      </w:pPr>
      <w:r w:rsidRPr="00EB5EEA">
        <w:rPr>
          <w:b/>
          <w:bCs/>
          <w:sz w:val="20"/>
          <w:szCs w:val="20"/>
        </w:rPr>
        <w:t>Role of Local Governance, PPPs, and Institutional Actors:</w:t>
      </w:r>
    </w:p>
    <w:p w14:paraId="24908561" w14:textId="1117830B" w:rsidR="00EB5EEA" w:rsidRPr="00EB5EEA" w:rsidRDefault="00EB5EEA" w:rsidP="00EB5EEA">
      <w:pPr>
        <w:pStyle w:val="NormalWeb"/>
        <w:spacing w:before="0" w:beforeAutospacing="0" w:after="0" w:afterAutospacing="0" w:line="360" w:lineRule="auto"/>
        <w:jc w:val="both"/>
        <w:rPr>
          <w:sz w:val="20"/>
          <w:szCs w:val="20"/>
        </w:rPr>
      </w:pPr>
      <w:r w:rsidRPr="00EB5EEA">
        <w:rPr>
          <w:sz w:val="20"/>
          <w:szCs w:val="20"/>
        </w:rPr>
        <w:t>Municipalities, such as Dhaka North and South City Corporations, are key actors in deploying and maintaining AI</w:t>
      </w:r>
      <w:r w:rsidR="00C40F3B">
        <w:rPr>
          <w:sz w:val="20"/>
          <w:szCs w:val="20"/>
        </w:rPr>
        <w:t>-</w:t>
      </w:r>
      <w:proofErr w:type="spellStart"/>
      <w:r w:rsidRPr="00EB5EEA">
        <w:rPr>
          <w:sz w:val="20"/>
          <w:szCs w:val="20"/>
        </w:rPr>
        <w:t>WtE</w:t>
      </w:r>
      <w:proofErr w:type="spellEnd"/>
      <w:r w:rsidRPr="00EB5EEA">
        <w:rPr>
          <w:sz w:val="20"/>
          <w:szCs w:val="20"/>
        </w:rPr>
        <w:t xml:space="preserve"> systems. Their responsibilities include:</w:t>
      </w:r>
    </w:p>
    <w:p w14:paraId="5759973B" w14:textId="77777777" w:rsidR="00EB5EEA" w:rsidRPr="00EB5EEA" w:rsidRDefault="00EB5EEA" w:rsidP="008B1028">
      <w:pPr>
        <w:pStyle w:val="NormalWeb"/>
        <w:numPr>
          <w:ilvl w:val="0"/>
          <w:numId w:val="18"/>
        </w:numPr>
        <w:spacing w:before="0" w:beforeAutospacing="0" w:after="0" w:afterAutospacing="0" w:line="360" w:lineRule="auto"/>
        <w:jc w:val="both"/>
        <w:rPr>
          <w:sz w:val="20"/>
          <w:szCs w:val="20"/>
        </w:rPr>
      </w:pPr>
      <w:r w:rsidRPr="00EB5EEA">
        <w:rPr>
          <w:sz w:val="20"/>
          <w:szCs w:val="20"/>
        </w:rPr>
        <w:t>Provisioning of waste data streams.</w:t>
      </w:r>
    </w:p>
    <w:p w14:paraId="230B86BB" w14:textId="77777777" w:rsidR="00EB5EEA" w:rsidRPr="00EB5EEA" w:rsidRDefault="00EB5EEA" w:rsidP="008B1028">
      <w:pPr>
        <w:pStyle w:val="NormalWeb"/>
        <w:numPr>
          <w:ilvl w:val="0"/>
          <w:numId w:val="18"/>
        </w:numPr>
        <w:spacing w:before="0" w:beforeAutospacing="0" w:after="0" w:afterAutospacing="0" w:line="360" w:lineRule="auto"/>
        <w:jc w:val="both"/>
        <w:rPr>
          <w:sz w:val="20"/>
          <w:szCs w:val="20"/>
        </w:rPr>
      </w:pPr>
      <w:r w:rsidRPr="00EB5EEA">
        <w:rPr>
          <w:sz w:val="20"/>
          <w:szCs w:val="20"/>
        </w:rPr>
        <w:t>Operational coordination with AI platform vendors.</w:t>
      </w:r>
    </w:p>
    <w:p w14:paraId="0C3C74AD" w14:textId="77777777" w:rsidR="00EB5EEA" w:rsidRPr="00EB5EEA" w:rsidRDefault="00EB5EEA" w:rsidP="008B1028">
      <w:pPr>
        <w:pStyle w:val="NormalWeb"/>
        <w:numPr>
          <w:ilvl w:val="0"/>
          <w:numId w:val="18"/>
        </w:numPr>
        <w:spacing w:before="0" w:beforeAutospacing="0" w:after="0" w:afterAutospacing="0" w:line="360" w:lineRule="auto"/>
        <w:jc w:val="both"/>
        <w:rPr>
          <w:sz w:val="20"/>
          <w:szCs w:val="20"/>
        </w:rPr>
      </w:pPr>
      <w:r w:rsidRPr="00EB5EEA">
        <w:rPr>
          <w:sz w:val="20"/>
          <w:szCs w:val="20"/>
        </w:rPr>
        <w:t>Stakeholder engagement in informal settlements.</w:t>
      </w:r>
    </w:p>
    <w:p w14:paraId="0654C1EE" w14:textId="14B543C3" w:rsidR="00EB5EEA" w:rsidRDefault="00EB5EEA" w:rsidP="00EB5EEA">
      <w:pPr>
        <w:pStyle w:val="NormalWeb"/>
        <w:spacing w:before="0" w:beforeAutospacing="0" w:after="0" w:afterAutospacing="0" w:line="360" w:lineRule="auto"/>
        <w:jc w:val="both"/>
        <w:rPr>
          <w:sz w:val="20"/>
          <w:szCs w:val="20"/>
        </w:rPr>
      </w:pPr>
      <w:r w:rsidRPr="00EB5EEA">
        <w:rPr>
          <w:rStyle w:val="Strong"/>
          <w:b w:val="0"/>
          <w:bCs w:val="0"/>
          <w:sz w:val="20"/>
          <w:szCs w:val="20"/>
        </w:rPr>
        <w:t>Public</w:t>
      </w:r>
      <w:r w:rsidR="00C40F3B">
        <w:rPr>
          <w:rStyle w:val="Strong"/>
          <w:b w:val="0"/>
          <w:bCs w:val="0"/>
          <w:sz w:val="20"/>
          <w:szCs w:val="20"/>
        </w:rPr>
        <w:t>-</w:t>
      </w:r>
      <w:r w:rsidRPr="00EB5EEA">
        <w:rPr>
          <w:rStyle w:val="Strong"/>
          <w:b w:val="0"/>
          <w:bCs w:val="0"/>
          <w:sz w:val="20"/>
          <w:szCs w:val="20"/>
        </w:rPr>
        <w:t>Private Partnerships (PPPs)</w:t>
      </w:r>
      <w:r w:rsidRPr="00EB5EEA">
        <w:rPr>
          <w:sz w:val="20"/>
          <w:szCs w:val="20"/>
        </w:rPr>
        <w:t xml:space="preserve"> can enable financing, technical operation, and risk-sharing, especially under schemes promoted by the </w:t>
      </w:r>
      <w:r w:rsidRPr="00EB5EEA">
        <w:rPr>
          <w:rStyle w:val="Strong"/>
          <w:b w:val="0"/>
          <w:bCs w:val="0"/>
          <w:sz w:val="20"/>
          <w:szCs w:val="20"/>
        </w:rPr>
        <w:t>Bangladesh Infrastructure Finance Fund (BIFFL)</w:t>
      </w:r>
      <w:r w:rsidRPr="00EB5EEA">
        <w:rPr>
          <w:sz w:val="20"/>
          <w:szCs w:val="20"/>
        </w:rPr>
        <w:t xml:space="preserve"> and </w:t>
      </w:r>
      <w:r w:rsidRPr="00EB5EEA">
        <w:rPr>
          <w:rStyle w:val="Strong"/>
          <w:b w:val="0"/>
          <w:bCs w:val="0"/>
          <w:sz w:val="20"/>
          <w:szCs w:val="20"/>
        </w:rPr>
        <w:t>GCF Urban Programs</w:t>
      </w:r>
      <w:r w:rsidRPr="00EB5EEA">
        <w:rPr>
          <w:sz w:val="20"/>
          <w:szCs w:val="20"/>
        </w:rPr>
        <w:t>.</w:t>
      </w:r>
    </w:p>
    <w:p w14:paraId="611C5A84" w14:textId="37CAD2E8" w:rsidR="00EB5EEA" w:rsidRPr="00E40576" w:rsidRDefault="005F5A91" w:rsidP="008B1028">
      <w:pPr>
        <w:pStyle w:val="NormalWeb"/>
        <w:numPr>
          <w:ilvl w:val="0"/>
          <w:numId w:val="20"/>
        </w:numPr>
        <w:spacing w:before="0" w:beforeAutospacing="0" w:after="0" w:afterAutospacing="0" w:line="360" w:lineRule="auto"/>
        <w:jc w:val="both"/>
        <w:rPr>
          <w:b/>
          <w:bCs/>
          <w:sz w:val="20"/>
          <w:szCs w:val="20"/>
        </w:rPr>
      </w:pPr>
      <w:r w:rsidRPr="00E40576">
        <w:rPr>
          <w:b/>
          <w:bCs/>
          <w:sz w:val="20"/>
          <w:szCs w:val="20"/>
        </w:rPr>
        <w:t>Global Governance Models as Blueprints:</w:t>
      </w:r>
    </w:p>
    <w:p w14:paraId="4572AAE9" w14:textId="44B125C3" w:rsidR="00E40576" w:rsidRPr="00CE4F68" w:rsidRDefault="00E40576" w:rsidP="008B1028">
      <w:pPr>
        <w:pStyle w:val="NormalWeb"/>
        <w:numPr>
          <w:ilvl w:val="0"/>
          <w:numId w:val="19"/>
        </w:numPr>
        <w:spacing w:before="0" w:beforeAutospacing="0" w:after="0" w:afterAutospacing="0" w:line="360" w:lineRule="auto"/>
        <w:jc w:val="both"/>
        <w:rPr>
          <w:sz w:val="20"/>
          <w:szCs w:val="20"/>
        </w:rPr>
      </w:pPr>
      <w:r w:rsidRPr="00CE4F68">
        <w:rPr>
          <w:rStyle w:val="Strong"/>
          <w:b w:val="0"/>
          <w:bCs w:val="0"/>
          <w:sz w:val="20"/>
          <w:szCs w:val="20"/>
        </w:rPr>
        <w:t>Seoul’s Smart Waste Governance</w:t>
      </w:r>
      <w:r w:rsidRPr="00CE4F68">
        <w:rPr>
          <w:sz w:val="20"/>
          <w:szCs w:val="20"/>
        </w:rPr>
        <w:t xml:space="preserve"> integrates RFID-tagged bins with AI-based collection optimization under a strong municipal ordinance.</w:t>
      </w:r>
    </w:p>
    <w:p w14:paraId="5B1392EC" w14:textId="08ED2E1F" w:rsidR="00E40576" w:rsidRPr="00CE4F68" w:rsidRDefault="00E40576" w:rsidP="008B1028">
      <w:pPr>
        <w:pStyle w:val="NormalWeb"/>
        <w:numPr>
          <w:ilvl w:val="0"/>
          <w:numId w:val="19"/>
        </w:numPr>
        <w:spacing w:before="0" w:beforeAutospacing="0" w:after="0" w:afterAutospacing="0" w:line="360" w:lineRule="auto"/>
        <w:jc w:val="both"/>
        <w:rPr>
          <w:sz w:val="20"/>
          <w:szCs w:val="20"/>
        </w:rPr>
      </w:pPr>
      <w:r w:rsidRPr="00CE4F68">
        <w:rPr>
          <w:rStyle w:val="Strong"/>
          <w:b w:val="0"/>
          <w:bCs w:val="0"/>
          <w:sz w:val="20"/>
          <w:szCs w:val="20"/>
        </w:rPr>
        <w:t xml:space="preserve">Kigali’s Decentralized </w:t>
      </w:r>
      <w:r w:rsidR="00647646">
        <w:rPr>
          <w:sz w:val="20"/>
          <w:szCs w:val="20"/>
        </w:rPr>
        <w:t>waste-to-energy</w:t>
      </w:r>
      <w:r w:rsidR="00647646" w:rsidRPr="0077612A">
        <w:rPr>
          <w:sz w:val="20"/>
          <w:szCs w:val="20"/>
        </w:rPr>
        <w:t xml:space="preserve"> </w:t>
      </w:r>
      <w:r w:rsidRPr="00CE4F68">
        <w:rPr>
          <w:rStyle w:val="Strong"/>
          <w:b w:val="0"/>
          <w:bCs w:val="0"/>
          <w:sz w:val="20"/>
          <w:szCs w:val="20"/>
        </w:rPr>
        <w:t>Deployment</w:t>
      </w:r>
      <w:r w:rsidRPr="00CE4F68">
        <w:rPr>
          <w:sz w:val="20"/>
          <w:szCs w:val="20"/>
        </w:rPr>
        <w:t xml:space="preserve"> engages local cooperatives, pairing IoT systems with inclusive governance, supported by GIZ.</w:t>
      </w:r>
    </w:p>
    <w:p w14:paraId="18F83F41" w14:textId="77777777" w:rsidR="00E40576" w:rsidRPr="00CE4F68" w:rsidRDefault="00E40576" w:rsidP="008B1028">
      <w:pPr>
        <w:pStyle w:val="NormalWeb"/>
        <w:numPr>
          <w:ilvl w:val="0"/>
          <w:numId w:val="19"/>
        </w:numPr>
        <w:spacing w:before="0" w:beforeAutospacing="0" w:after="0" w:afterAutospacing="0" w:line="360" w:lineRule="auto"/>
        <w:jc w:val="both"/>
        <w:rPr>
          <w:sz w:val="20"/>
          <w:szCs w:val="20"/>
        </w:rPr>
      </w:pPr>
      <w:r w:rsidRPr="00CE4F68">
        <w:rPr>
          <w:rStyle w:val="Strong"/>
          <w:b w:val="0"/>
          <w:bCs w:val="0"/>
          <w:sz w:val="20"/>
          <w:szCs w:val="20"/>
        </w:rPr>
        <w:t>Amsterdam’s Circular Innovation Program</w:t>
      </w:r>
      <w:r w:rsidRPr="00CE4F68">
        <w:rPr>
          <w:sz w:val="20"/>
          <w:szCs w:val="20"/>
        </w:rPr>
        <w:t xml:space="preserve"> mandates AI-integrated LCA for city contracts and has established a centralized dashboard for waste-energy-performance monitoring (RVO, 2024).</w:t>
      </w:r>
    </w:p>
    <w:p w14:paraId="069F5A16" w14:textId="7D324BFB" w:rsidR="00E40576" w:rsidRDefault="00E40576" w:rsidP="00E40576">
      <w:pPr>
        <w:pStyle w:val="NormalWeb"/>
        <w:spacing w:before="0" w:beforeAutospacing="0" w:after="0" w:afterAutospacing="0" w:line="360" w:lineRule="auto"/>
        <w:jc w:val="both"/>
        <w:rPr>
          <w:sz w:val="20"/>
          <w:szCs w:val="20"/>
        </w:rPr>
      </w:pPr>
      <w:r w:rsidRPr="00CE4F68">
        <w:rPr>
          <w:sz w:val="20"/>
          <w:szCs w:val="20"/>
        </w:rPr>
        <w:t xml:space="preserve">These cases underscore the importance of </w:t>
      </w:r>
      <w:r w:rsidRPr="00CE4F68">
        <w:rPr>
          <w:rStyle w:val="Strong"/>
          <w:b w:val="0"/>
          <w:bCs w:val="0"/>
          <w:sz w:val="20"/>
          <w:szCs w:val="20"/>
        </w:rPr>
        <w:t>transparent policies, institutional digital literacy, and community co-creation</w:t>
      </w:r>
      <w:r w:rsidRPr="00CE4F68">
        <w:rPr>
          <w:sz w:val="20"/>
          <w:szCs w:val="20"/>
        </w:rPr>
        <w:t xml:space="preserve"> in successful AI-</w:t>
      </w:r>
      <w:proofErr w:type="spellStart"/>
      <w:r w:rsidRPr="00CE4F68">
        <w:rPr>
          <w:sz w:val="20"/>
          <w:szCs w:val="20"/>
        </w:rPr>
        <w:t>WtE</w:t>
      </w:r>
      <w:proofErr w:type="spellEnd"/>
      <w:r w:rsidRPr="00CE4F68">
        <w:rPr>
          <w:sz w:val="20"/>
          <w:szCs w:val="20"/>
        </w:rPr>
        <w:t xml:space="preserve"> governance.</w:t>
      </w:r>
    </w:p>
    <w:p w14:paraId="0D99E71B" w14:textId="50B1D6CA" w:rsidR="00CE4F68" w:rsidRDefault="00CE4F68" w:rsidP="00E40576">
      <w:pPr>
        <w:pStyle w:val="NormalWeb"/>
        <w:spacing w:before="0" w:beforeAutospacing="0" w:after="0" w:afterAutospacing="0" w:line="360" w:lineRule="auto"/>
        <w:jc w:val="both"/>
        <w:rPr>
          <w:sz w:val="20"/>
          <w:szCs w:val="20"/>
        </w:rPr>
      </w:pPr>
    </w:p>
    <w:p w14:paraId="5189EFA7" w14:textId="781BAEDB" w:rsidR="00076DBD" w:rsidRPr="00076DBD" w:rsidRDefault="00076DBD" w:rsidP="00E40576">
      <w:pPr>
        <w:pStyle w:val="NormalWeb"/>
        <w:spacing w:before="0" w:beforeAutospacing="0" w:after="0" w:afterAutospacing="0" w:line="360" w:lineRule="auto"/>
        <w:jc w:val="both"/>
        <w:rPr>
          <w:b/>
          <w:bCs/>
          <w:sz w:val="20"/>
          <w:szCs w:val="20"/>
        </w:rPr>
      </w:pPr>
      <w:r w:rsidRPr="00076DBD">
        <w:rPr>
          <w:b/>
          <w:bCs/>
          <w:sz w:val="20"/>
          <w:szCs w:val="20"/>
        </w:rPr>
        <w:t>ETHICAL, LEGAL, AND DATA PRIVACY CONSIDERATIONS</w:t>
      </w:r>
    </w:p>
    <w:p w14:paraId="5910097C" w14:textId="2B53ED49" w:rsidR="00076DBD" w:rsidRDefault="00AA6BB7" w:rsidP="00E40576">
      <w:pPr>
        <w:pStyle w:val="NormalWeb"/>
        <w:spacing w:before="0" w:beforeAutospacing="0" w:after="0" w:afterAutospacing="0" w:line="360" w:lineRule="auto"/>
        <w:jc w:val="both"/>
        <w:rPr>
          <w:sz w:val="20"/>
          <w:szCs w:val="20"/>
        </w:rPr>
      </w:pPr>
      <w:r w:rsidRPr="00AA6BB7">
        <w:rPr>
          <w:sz w:val="20"/>
          <w:szCs w:val="20"/>
        </w:rPr>
        <w:lastRenderedPageBreak/>
        <w:t>Ethical implementation of AI is essential as it becomes a key component of urban environmental governance, particularly in the Global South's socioeconomically varied and digitally unequal contexts. With ethical foresight, the AI</w:t>
      </w:r>
      <w:r w:rsidR="00C40F3B">
        <w:rPr>
          <w:sz w:val="20"/>
          <w:szCs w:val="20"/>
        </w:rPr>
        <w:t>-</w:t>
      </w:r>
      <w:r w:rsidRPr="00AA6BB7">
        <w:rPr>
          <w:sz w:val="20"/>
          <w:szCs w:val="20"/>
        </w:rPr>
        <w:t>CIR</w:t>
      </w:r>
      <w:r w:rsidR="00C40F3B">
        <w:rPr>
          <w:sz w:val="20"/>
          <w:szCs w:val="20"/>
        </w:rPr>
        <w:t>-</w:t>
      </w:r>
      <w:proofErr w:type="spellStart"/>
      <w:r w:rsidRPr="00AA6BB7">
        <w:rPr>
          <w:sz w:val="20"/>
          <w:szCs w:val="20"/>
        </w:rPr>
        <w:t>WtE</w:t>
      </w:r>
      <w:proofErr w:type="spellEnd"/>
      <w:r w:rsidRPr="00AA6BB7">
        <w:rPr>
          <w:sz w:val="20"/>
          <w:szCs w:val="20"/>
        </w:rPr>
        <w:t xml:space="preserve"> framework was created, integrating privacy, inclusivity, and fairness protections.</w:t>
      </w:r>
    </w:p>
    <w:p w14:paraId="48E08BE4" w14:textId="43422DDD" w:rsidR="00AA6BB7" w:rsidRPr="00B53E06" w:rsidRDefault="00B53E06" w:rsidP="008B1028">
      <w:pPr>
        <w:pStyle w:val="NormalWeb"/>
        <w:numPr>
          <w:ilvl w:val="0"/>
          <w:numId w:val="22"/>
        </w:numPr>
        <w:spacing w:before="0" w:beforeAutospacing="0" w:after="0" w:afterAutospacing="0" w:line="360" w:lineRule="auto"/>
        <w:jc w:val="both"/>
        <w:rPr>
          <w:b/>
          <w:bCs/>
          <w:sz w:val="20"/>
          <w:szCs w:val="20"/>
        </w:rPr>
      </w:pPr>
      <w:r w:rsidRPr="00B53E06">
        <w:rPr>
          <w:b/>
          <w:bCs/>
          <w:sz w:val="20"/>
          <w:szCs w:val="20"/>
        </w:rPr>
        <w:t>Algorithmic Bias and Technological Exclusion:</w:t>
      </w:r>
    </w:p>
    <w:p w14:paraId="1DD271ED" w14:textId="41A4AA67" w:rsidR="00B53E06" w:rsidRDefault="00DF04F0" w:rsidP="00E40576">
      <w:pPr>
        <w:pStyle w:val="NormalWeb"/>
        <w:spacing w:before="0" w:beforeAutospacing="0" w:after="0" w:afterAutospacing="0" w:line="360" w:lineRule="auto"/>
        <w:jc w:val="both"/>
        <w:rPr>
          <w:sz w:val="20"/>
          <w:szCs w:val="20"/>
        </w:rPr>
      </w:pPr>
      <w:r w:rsidRPr="00DF04F0">
        <w:rPr>
          <w:sz w:val="20"/>
          <w:szCs w:val="20"/>
        </w:rPr>
        <w:t xml:space="preserve">Since Bangladesh does not have a national data protection law, the model adheres to the General Data Protection Regulation (GDPR) principles and UNESCO and OECD AI ethics guidelines (UNESCO, 2023; OECD, 2022). To ensure trust and transparency, data anonymization, access control, and decentralization protocols (such as blockchain audit trails) are integrated. Smart </w:t>
      </w:r>
      <w:r>
        <w:rPr>
          <w:sz w:val="20"/>
          <w:szCs w:val="20"/>
        </w:rPr>
        <w:t>waste-to-energy</w:t>
      </w:r>
      <w:r w:rsidRPr="00DF04F0">
        <w:rPr>
          <w:sz w:val="20"/>
          <w:szCs w:val="20"/>
        </w:rPr>
        <w:t xml:space="preserve"> systems involve real-time sensor data, GPS tracking, and urban behavior patterns, raising serious data protection concerns.</w:t>
      </w:r>
    </w:p>
    <w:p w14:paraId="699CF30C" w14:textId="72ED84A0" w:rsidR="00DF04F0" w:rsidRPr="00A77AD3" w:rsidRDefault="00DF04F0" w:rsidP="008B1028">
      <w:pPr>
        <w:pStyle w:val="NormalWeb"/>
        <w:numPr>
          <w:ilvl w:val="0"/>
          <w:numId w:val="22"/>
        </w:numPr>
        <w:spacing w:before="0" w:beforeAutospacing="0" w:after="0" w:afterAutospacing="0" w:line="360" w:lineRule="auto"/>
        <w:jc w:val="both"/>
        <w:rPr>
          <w:b/>
          <w:bCs/>
          <w:sz w:val="20"/>
          <w:szCs w:val="20"/>
        </w:rPr>
      </w:pPr>
      <w:r w:rsidRPr="00A77AD3">
        <w:rPr>
          <w:b/>
          <w:bCs/>
          <w:sz w:val="20"/>
          <w:szCs w:val="20"/>
        </w:rPr>
        <w:t>Ethical AI and Participatory Consent:</w:t>
      </w:r>
    </w:p>
    <w:p w14:paraId="6D0C7413" w14:textId="77777777" w:rsidR="00A77AD3" w:rsidRPr="00A77AD3" w:rsidRDefault="00A77AD3" w:rsidP="00A77AD3">
      <w:p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The framework proposes:</w:t>
      </w:r>
    </w:p>
    <w:p w14:paraId="11CDEFEC" w14:textId="77777777" w:rsidR="00A77AD3" w:rsidRPr="00A77AD3" w:rsidRDefault="00A77AD3" w:rsidP="008B1028">
      <w:pPr>
        <w:numPr>
          <w:ilvl w:val="0"/>
          <w:numId w:val="21"/>
        </w:num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Community-informed AI design using participatory urban platforms.</w:t>
      </w:r>
    </w:p>
    <w:p w14:paraId="2479DD52" w14:textId="77777777" w:rsidR="00A77AD3" w:rsidRPr="00A77AD3" w:rsidRDefault="00A77AD3" w:rsidP="008B1028">
      <w:pPr>
        <w:numPr>
          <w:ilvl w:val="0"/>
          <w:numId w:val="21"/>
        </w:num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Open-source algorithm transparency to allow civic audit.</w:t>
      </w:r>
    </w:p>
    <w:p w14:paraId="722C492F" w14:textId="77777777" w:rsidR="00A77AD3" w:rsidRPr="00A77AD3" w:rsidRDefault="00A77AD3" w:rsidP="008B1028">
      <w:pPr>
        <w:numPr>
          <w:ilvl w:val="0"/>
          <w:numId w:val="21"/>
        </w:num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Digital capacity-building programs for city staff and waste workers.</w:t>
      </w:r>
    </w:p>
    <w:p w14:paraId="28008B55" w14:textId="6D50E481" w:rsidR="00A77AD3" w:rsidRPr="00A77AD3" w:rsidRDefault="00A77AD3" w:rsidP="008B1028">
      <w:pPr>
        <w:numPr>
          <w:ilvl w:val="0"/>
          <w:numId w:val="21"/>
        </w:num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Consent-based data use</w:t>
      </w:r>
      <w:r>
        <w:rPr>
          <w:rFonts w:ascii="Times New Roman" w:eastAsia="Times New Roman" w:hAnsi="Times New Roman" w:cs="Times New Roman"/>
          <w:sz w:val="20"/>
          <w:szCs w:val="20"/>
        </w:rPr>
        <w:t xml:space="preserve">, </w:t>
      </w:r>
      <w:r w:rsidRPr="00A77AD3">
        <w:rPr>
          <w:rFonts w:ascii="Times New Roman" w:eastAsia="Times New Roman" w:hAnsi="Times New Roman" w:cs="Times New Roman"/>
          <w:sz w:val="20"/>
          <w:szCs w:val="20"/>
        </w:rPr>
        <w:t>particularly in sensor-rich informal zones.</w:t>
      </w:r>
    </w:p>
    <w:p w14:paraId="37EE0E13" w14:textId="59FCAD88" w:rsidR="00A77AD3" w:rsidRPr="00A77AD3" w:rsidRDefault="00A77AD3" w:rsidP="00A77AD3">
      <w:p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 xml:space="preserve">Embedding an Ethical AI Charter for Urban </w:t>
      </w:r>
      <w:r>
        <w:rPr>
          <w:rFonts w:ascii="Times New Roman" w:eastAsia="Times New Roman" w:hAnsi="Times New Roman" w:cs="Times New Roman"/>
          <w:sz w:val="20"/>
          <w:szCs w:val="20"/>
        </w:rPr>
        <w:t>waste-to-energy</w:t>
      </w:r>
      <w:r w:rsidRPr="00A77AD3">
        <w:rPr>
          <w:rFonts w:ascii="Times New Roman" w:eastAsia="Times New Roman" w:hAnsi="Times New Roman" w:cs="Times New Roman"/>
          <w:sz w:val="20"/>
          <w:szCs w:val="20"/>
        </w:rPr>
        <w:t xml:space="preserve"> will ensure compliance with emerging norms while fostering public trust.</w:t>
      </w:r>
    </w:p>
    <w:p w14:paraId="2EB8A052" w14:textId="77777777" w:rsidR="00DF04F0" w:rsidRPr="00A77AD3" w:rsidRDefault="00DF04F0" w:rsidP="00A77AD3">
      <w:pPr>
        <w:pStyle w:val="NormalWeb"/>
        <w:spacing w:before="0" w:beforeAutospacing="0" w:after="0" w:afterAutospacing="0" w:line="360" w:lineRule="auto"/>
        <w:jc w:val="both"/>
        <w:rPr>
          <w:sz w:val="20"/>
          <w:szCs w:val="20"/>
        </w:rPr>
      </w:pPr>
    </w:p>
    <w:p w14:paraId="32272908" w14:textId="2CC850B8" w:rsidR="005F5A91" w:rsidRPr="00E747E2" w:rsidRDefault="002B737B" w:rsidP="00E747E2">
      <w:pPr>
        <w:pStyle w:val="NormalWeb"/>
        <w:spacing w:before="0" w:beforeAutospacing="0" w:after="0" w:afterAutospacing="0" w:line="360" w:lineRule="auto"/>
        <w:jc w:val="both"/>
        <w:rPr>
          <w:b/>
          <w:bCs/>
          <w:sz w:val="20"/>
          <w:szCs w:val="20"/>
        </w:rPr>
      </w:pPr>
      <w:r w:rsidRPr="00E747E2">
        <w:rPr>
          <w:b/>
          <w:bCs/>
          <w:sz w:val="20"/>
          <w:szCs w:val="20"/>
        </w:rPr>
        <w:t>SCALABILITY FRAMEWORK TO OTHER CITIES</w:t>
      </w:r>
    </w:p>
    <w:p w14:paraId="33BBAB49" w14:textId="30CADBB2" w:rsidR="00E966A4" w:rsidRPr="00E747E2" w:rsidRDefault="000A27AC" w:rsidP="00E747E2">
      <w:pPr>
        <w:spacing w:after="0" w:line="360" w:lineRule="auto"/>
        <w:jc w:val="both"/>
        <w:rPr>
          <w:rFonts w:ascii="Times New Roman" w:hAnsi="Times New Roman" w:cs="Times New Roman"/>
          <w:sz w:val="20"/>
          <w:szCs w:val="20"/>
        </w:rPr>
      </w:pPr>
      <w:r w:rsidRPr="00E747E2">
        <w:rPr>
          <w:rFonts w:ascii="Times New Roman" w:hAnsi="Times New Roman" w:cs="Times New Roman"/>
          <w:sz w:val="20"/>
          <w:szCs w:val="20"/>
        </w:rPr>
        <w:t>The AI</w:t>
      </w:r>
      <w:r w:rsidR="00C40F3B">
        <w:rPr>
          <w:rFonts w:ascii="Times New Roman" w:hAnsi="Times New Roman" w:cs="Times New Roman"/>
          <w:sz w:val="20"/>
          <w:szCs w:val="20"/>
        </w:rPr>
        <w:t>-</w:t>
      </w:r>
      <w:r w:rsidRPr="00E747E2">
        <w:rPr>
          <w:rFonts w:ascii="Times New Roman" w:hAnsi="Times New Roman" w:cs="Times New Roman"/>
          <w:sz w:val="20"/>
          <w:szCs w:val="20"/>
        </w:rPr>
        <w:t>CIR</w:t>
      </w:r>
      <w:r w:rsidR="00C40F3B">
        <w:rPr>
          <w:rFonts w:ascii="Times New Roman" w:hAnsi="Times New Roman" w:cs="Times New Roman"/>
          <w:sz w:val="20"/>
          <w:szCs w:val="20"/>
        </w:rPr>
        <w:t>-</w:t>
      </w:r>
      <w:proofErr w:type="spellStart"/>
      <w:r w:rsidRPr="00E747E2">
        <w:rPr>
          <w:rFonts w:ascii="Times New Roman" w:hAnsi="Times New Roman" w:cs="Times New Roman"/>
          <w:sz w:val="20"/>
          <w:szCs w:val="20"/>
        </w:rPr>
        <w:t>WtE</w:t>
      </w:r>
      <w:proofErr w:type="spellEnd"/>
      <w:r w:rsidRPr="00E747E2">
        <w:rPr>
          <w:rFonts w:ascii="Times New Roman" w:hAnsi="Times New Roman" w:cs="Times New Roman"/>
          <w:sz w:val="20"/>
          <w:szCs w:val="20"/>
        </w:rPr>
        <w:t xml:space="preserve"> model is designed to be </w:t>
      </w:r>
      <w:r w:rsidRPr="00E747E2">
        <w:rPr>
          <w:rStyle w:val="Strong"/>
          <w:rFonts w:ascii="Times New Roman" w:hAnsi="Times New Roman" w:cs="Times New Roman"/>
          <w:b w:val="0"/>
          <w:bCs w:val="0"/>
          <w:sz w:val="20"/>
          <w:szCs w:val="20"/>
        </w:rPr>
        <w:t>modular, open-source, and context-sensitive</w:t>
      </w:r>
      <w:r w:rsidRPr="00E747E2">
        <w:rPr>
          <w:rFonts w:ascii="Times New Roman" w:hAnsi="Times New Roman" w:cs="Times New Roman"/>
          <w:sz w:val="20"/>
          <w:szCs w:val="20"/>
        </w:rPr>
        <w:t xml:space="preserve">, making it scalable across climate-vulnerable megacities globally. This section presents a replicability roadmap for cities like </w:t>
      </w:r>
      <w:r w:rsidRPr="00E747E2">
        <w:rPr>
          <w:rStyle w:val="Strong"/>
          <w:rFonts w:ascii="Times New Roman" w:hAnsi="Times New Roman" w:cs="Times New Roman"/>
          <w:b w:val="0"/>
          <w:bCs w:val="0"/>
          <w:sz w:val="20"/>
          <w:szCs w:val="20"/>
        </w:rPr>
        <w:t>Nairobi, Lagos, Karachi</w:t>
      </w:r>
      <w:r w:rsidRPr="00E747E2">
        <w:rPr>
          <w:rFonts w:ascii="Times New Roman" w:hAnsi="Times New Roman" w:cs="Times New Roman"/>
          <w:sz w:val="20"/>
          <w:szCs w:val="20"/>
        </w:rPr>
        <w:t>, and others.</w:t>
      </w:r>
    </w:p>
    <w:p w14:paraId="3341A516" w14:textId="213E40A5" w:rsidR="000A27AC" w:rsidRPr="00CD6D82" w:rsidRDefault="00A511D4" w:rsidP="008B1028">
      <w:pPr>
        <w:pStyle w:val="ListParagraph"/>
        <w:numPr>
          <w:ilvl w:val="0"/>
          <w:numId w:val="31"/>
        </w:numPr>
        <w:spacing w:after="0" w:line="360" w:lineRule="auto"/>
        <w:jc w:val="both"/>
        <w:rPr>
          <w:rFonts w:ascii="Times New Roman" w:hAnsi="Times New Roman" w:cs="Times New Roman"/>
          <w:b/>
          <w:bCs/>
          <w:sz w:val="20"/>
          <w:szCs w:val="20"/>
        </w:rPr>
      </w:pPr>
      <w:r w:rsidRPr="00CD6D82">
        <w:rPr>
          <w:rFonts w:ascii="Times New Roman" w:hAnsi="Times New Roman" w:cs="Times New Roman"/>
          <w:b/>
          <w:bCs/>
          <w:sz w:val="20"/>
          <w:szCs w:val="20"/>
        </w:rPr>
        <w:t>Stepwise Replication Framework:</w:t>
      </w:r>
    </w:p>
    <w:p w14:paraId="5918A747" w14:textId="7BB20AC1" w:rsidR="00E747E2" w:rsidRPr="00C77782" w:rsidRDefault="00E747E2" w:rsidP="008B1028">
      <w:pPr>
        <w:pStyle w:val="ListParagraph"/>
        <w:numPr>
          <w:ilvl w:val="0"/>
          <w:numId w:val="28"/>
        </w:numPr>
        <w:spacing w:after="0" w:line="360" w:lineRule="auto"/>
        <w:jc w:val="both"/>
        <w:rPr>
          <w:rFonts w:ascii="Times New Roman" w:eastAsia="Times New Roman" w:hAnsi="Times New Roman" w:cs="Times New Roman"/>
          <w:sz w:val="20"/>
          <w:szCs w:val="20"/>
        </w:rPr>
      </w:pPr>
      <w:r w:rsidRPr="00C77782">
        <w:rPr>
          <w:rFonts w:ascii="Times New Roman" w:eastAsia="Times New Roman" w:hAnsi="Times New Roman" w:cs="Times New Roman"/>
          <w:b/>
          <w:bCs/>
          <w:sz w:val="20"/>
          <w:szCs w:val="20"/>
        </w:rPr>
        <w:t>Pre-assessment and Urban Profiling</w:t>
      </w:r>
      <w:r w:rsidRPr="00C77782">
        <w:rPr>
          <w:rFonts w:ascii="Times New Roman" w:eastAsia="Times New Roman" w:hAnsi="Times New Roman" w:cs="Times New Roman"/>
          <w:sz w:val="20"/>
          <w:szCs w:val="20"/>
        </w:rPr>
        <w:t>:</w:t>
      </w:r>
    </w:p>
    <w:p w14:paraId="21D6348C" w14:textId="77777777" w:rsidR="00E747E2" w:rsidRPr="00E747E2" w:rsidRDefault="00E747E2" w:rsidP="008B1028">
      <w:pPr>
        <w:numPr>
          <w:ilvl w:val="0"/>
          <w:numId w:val="23"/>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Map climate vulnerabilities, MSW composition, and institutional capacities.</w:t>
      </w:r>
    </w:p>
    <w:p w14:paraId="31AAABF6" w14:textId="77777777" w:rsidR="00E747E2" w:rsidRPr="00E747E2" w:rsidRDefault="00E747E2" w:rsidP="008B1028">
      <w:pPr>
        <w:numPr>
          <w:ilvl w:val="0"/>
          <w:numId w:val="23"/>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Identify key data gaps and informal sector roles.</w:t>
      </w:r>
    </w:p>
    <w:p w14:paraId="7B93D2AE" w14:textId="303AE2A1" w:rsidR="00E747E2" w:rsidRPr="00C77782" w:rsidRDefault="00E747E2" w:rsidP="008B1028">
      <w:pPr>
        <w:pStyle w:val="ListParagraph"/>
        <w:numPr>
          <w:ilvl w:val="0"/>
          <w:numId w:val="28"/>
        </w:numPr>
        <w:spacing w:after="0" w:line="360" w:lineRule="auto"/>
        <w:jc w:val="both"/>
        <w:rPr>
          <w:rFonts w:ascii="Times New Roman" w:eastAsia="Times New Roman" w:hAnsi="Times New Roman" w:cs="Times New Roman"/>
          <w:sz w:val="20"/>
          <w:szCs w:val="20"/>
        </w:rPr>
      </w:pPr>
      <w:r w:rsidRPr="00C77782">
        <w:rPr>
          <w:rFonts w:ascii="Times New Roman" w:eastAsia="Times New Roman" w:hAnsi="Times New Roman" w:cs="Times New Roman"/>
          <w:b/>
          <w:bCs/>
          <w:sz w:val="20"/>
          <w:szCs w:val="20"/>
        </w:rPr>
        <w:t>Data Infrastructure Development</w:t>
      </w:r>
      <w:r w:rsidRPr="00C77782">
        <w:rPr>
          <w:rFonts w:ascii="Times New Roman" w:eastAsia="Times New Roman" w:hAnsi="Times New Roman" w:cs="Times New Roman"/>
          <w:sz w:val="20"/>
          <w:szCs w:val="20"/>
        </w:rPr>
        <w:t>:</w:t>
      </w:r>
    </w:p>
    <w:p w14:paraId="71066700" w14:textId="77777777" w:rsidR="00E747E2" w:rsidRPr="00E747E2" w:rsidRDefault="00E747E2" w:rsidP="008B1028">
      <w:pPr>
        <w:numPr>
          <w:ilvl w:val="0"/>
          <w:numId w:val="24"/>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Deploy IoT sensors in representative wards.</w:t>
      </w:r>
    </w:p>
    <w:p w14:paraId="1DAA6CB4" w14:textId="77777777" w:rsidR="00E747E2" w:rsidRPr="00E747E2" w:rsidRDefault="00E747E2" w:rsidP="008B1028">
      <w:pPr>
        <w:numPr>
          <w:ilvl w:val="0"/>
          <w:numId w:val="24"/>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Access public datasets (UNEP, local municipal databases).</w:t>
      </w:r>
    </w:p>
    <w:p w14:paraId="2E18F90D" w14:textId="715B1BF2" w:rsidR="00E747E2" w:rsidRPr="00E747E2" w:rsidRDefault="00E747E2" w:rsidP="008B1028">
      <w:pPr>
        <w:numPr>
          <w:ilvl w:val="0"/>
          <w:numId w:val="24"/>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 xml:space="preserve">Train initial AI models using semi-supervised learning where </w:t>
      </w:r>
      <w:r w:rsidR="00C40F3B">
        <w:rPr>
          <w:rFonts w:ascii="Times New Roman" w:eastAsia="Times New Roman" w:hAnsi="Times New Roman" w:cs="Times New Roman"/>
          <w:sz w:val="20"/>
          <w:szCs w:val="20"/>
        </w:rPr>
        <w:t xml:space="preserve">the </w:t>
      </w:r>
      <w:r w:rsidRPr="00E747E2">
        <w:rPr>
          <w:rFonts w:ascii="Times New Roman" w:eastAsia="Times New Roman" w:hAnsi="Times New Roman" w:cs="Times New Roman"/>
          <w:sz w:val="20"/>
          <w:szCs w:val="20"/>
        </w:rPr>
        <w:t>data is sparse.</w:t>
      </w:r>
    </w:p>
    <w:p w14:paraId="0F174264" w14:textId="05403E8D" w:rsidR="00E747E2" w:rsidRPr="00C77782" w:rsidRDefault="00E747E2" w:rsidP="008B1028">
      <w:pPr>
        <w:pStyle w:val="ListParagraph"/>
        <w:numPr>
          <w:ilvl w:val="0"/>
          <w:numId w:val="29"/>
        </w:numPr>
        <w:spacing w:after="0" w:line="360" w:lineRule="auto"/>
        <w:jc w:val="both"/>
        <w:rPr>
          <w:rFonts w:ascii="Times New Roman" w:eastAsia="Times New Roman" w:hAnsi="Times New Roman" w:cs="Times New Roman"/>
          <w:sz w:val="20"/>
          <w:szCs w:val="20"/>
        </w:rPr>
      </w:pPr>
      <w:r w:rsidRPr="00C77782">
        <w:rPr>
          <w:rFonts w:ascii="Times New Roman" w:eastAsia="Times New Roman" w:hAnsi="Times New Roman" w:cs="Times New Roman"/>
          <w:b/>
          <w:bCs/>
          <w:sz w:val="20"/>
          <w:szCs w:val="20"/>
        </w:rPr>
        <w:t>Pilot Deployment</w:t>
      </w:r>
      <w:r w:rsidRPr="00C77782">
        <w:rPr>
          <w:rFonts w:ascii="Times New Roman" w:eastAsia="Times New Roman" w:hAnsi="Times New Roman" w:cs="Times New Roman"/>
          <w:sz w:val="20"/>
          <w:szCs w:val="20"/>
        </w:rPr>
        <w:t>:</w:t>
      </w:r>
    </w:p>
    <w:p w14:paraId="0A5AA191" w14:textId="74263BDD" w:rsidR="00E747E2" w:rsidRPr="00E747E2" w:rsidRDefault="00E747E2" w:rsidP="008B1028">
      <w:pPr>
        <w:numPr>
          <w:ilvl w:val="0"/>
          <w:numId w:val="25"/>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Select 2</w:t>
      </w:r>
      <w:r w:rsidR="003B291D">
        <w:rPr>
          <w:rFonts w:ascii="Times New Roman" w:eastAsia="Times New Roman" w:hAnsi="Times New Roman" w:cs="Times New Roman"/>
          <w:sz w:val="20"/>
          <w:szCs w:val="20"/>
        </w:rPr>
        <w:t>-</w:t>
      </w:r>
      <w:r w:rsidRPr="00E747E2">
        <w:rPr>
          <w:rFonts w:ascii="Times New Roman" w:eastAsia="Times New Roman" w:hAnsi="Times New Roman" w:cs="Times New Roman"/>
          <w:sz w:val="20"/>
          <w:szCs w:val="20"/>
        </w:rPr>
        <w:t xml:space="preserve">3 zones for microgrid-based </w:t>
      </w:r>
      <w:proofErr w:type="spellStart"/>
      <w:r w:rsidRPr="00E747E2">
        <w:rPr>
          <w:rFonts w:ascii="Times New Roman" w:eastAsia="Times New Roman" w:hAnsi="Times New Roman" w:cs="Times New Roman"/>
          <w:sz w:val="20"/>
          <w:szCs w:val="20"/>
        </w:rPr>
        <w:t>WtE</w:t>
      </w:r>
      <w:proofErr w:type="spellEnd"/>
      <w:r w:rsidRPr="00E747E2">
        <w:rPr>
          <w:rFonts w:ascii="Times New Roman" w:eastAsia="Times New Roman" w:hAnsi="Times New Roman" w:cs="Times New Roman"/>
          <w:sz w:val="20"/>
          <w:szCs w:val="20"/>
        </w:rPr>
        <w:t xml:space="preserve"> trials.</w:t>
      </w:r>
    </w:p>
    <w:p w14:paraId="51F4E3BC" w14:textId="77777777" w:rsidR="00E747E2" w:rsidRPr="00E747E2" w:rsidRDefault="00E747E2" w:rsidP="008B1028">
      <w:pPr>
        <w:numPr>
          <w:ilvl w:val="0"/>
          <w:numId w:val="25"/>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Build digital twins using open platforms (</w:t>
      </w:r>
      <w:proofErr w:type="spellStart"/>
      <w:r w:rsidRPr="00E747E2">
        <w:rPr>
          <w:rFonts w:ascii="Times New Roman" w:eastAsia="Times New Roman" w:hAnsi="Times New Roman" w:cs="Times New Roman"/>
          <w:sz w:val="20"/>
          <w:szCs w:val="20"/>
        </w:rPr>
        <w:t>MATSim</w:t>
      </w:r>
      <w:proofErr w:type="spellEnd"/>
      <w:r w:rsidRPr="00E747E2">
        <w:rPr>
          <w:rFonts w:ascii="Times New Roman" w:eastAsia="Times New Roman" w:hAnsi="Times New Roman" w:cs="Times New Roman"/>
          <w:sz w:val="20"/>
          <w:szCs w:val="20"/>
        </w:rPr>
        <w:t>, QGIS).</w:t>
      </w:r>
    </w:p>
    <w:p w14:paraId="3AD175A5" w14:textId="77777777" w:rsidR="00E747E2" w:rsidRPr="00E747E2" w:rsidRDefault="00E747E2" w:rsidP="008B1028">
      <w:pPr>
        <w:numPr>
          <w:ilvl w:val="0"/>
          <w:numId w:val="25"/>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Validate forecasting and routing accuracy.</w:t>
      </w:r>
    </w:p>
    <w:p w14:paraId="109B0653" w14:textId="45C49BC3" w:rsidR="00E747E2" w:rsidRPr="00C77782" w:rsidRDefault="00E747E2" w:rsidP="008B1028">
      <w:pPr>
        <w:pStyle w:val="ListParagraph"/>
        <w:numPr>
          <w:ilvl w:val="0"/>
          <w:numId w:val="29"/>
        </w:numPr>
        <w:spacing w:after="0" w:line="360" w:lineRule="auto"/>
        <w:jc w:val="both"/>
        <w:rPr>
          <w:rFonts w:ascii="Times New Roman" w:eastAsia="Times New Roman" w:hAnsi="Times New Roman" w:cs="Times New Roman"/>
          <w:sz w:val="20"/>
          <w:szCs w:val="20"/>
        </w:rPr>
      </w:pPr>
      <w:r w:rsidRPr="00C77782">
        <w:rPr>
          <w:rFonts w:ascii="Times New Roman" w:eastAsia="Times New Roman" w:hAnsi="Times New Roman" w:cs="Times New Roman"/>
          <w:b/>
          <w:bCs/>
          <w:sz w:val="20"/>
          <w:szCs w:val="20"/>
        </w:rPr>
        <w:t>Stakeholder Mobilization</w:t>
      </w:r>
      <w:r w:rsidRPr="00C77782">
        <w:rPr>
          <w:rFonts w:ascii="Times New Roman" w:eastAsia="Times New Roman" w:hAnsi="Times New Roman" w:cs="Times New Roman"/>
          <w:sz w:val="20"/>
          <w:szCs w:val="20"/>
        </w:rPr>
        <w:t>:</w:t>
      </w:r>
    </w:p>
    <w:p w14:paraId="264E474A" w14:textId="77777777" w:rsidR="00E747E2" w:rsidRPr="00E747E2" w:rsidRDefault="00E747E2" w:rsidP="008B1028">
      <w:pPr>
        <w:numPr>
          <w:ilvl w:val="0"/>
          <w:numId w:val="26"/>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Establish city-level AI-</w:t>
      </w:r>
      <w:proofErr w:type="spellStart"/>
      <w:r w:rsidRPr="00E747E2">
        <w:rPr>
          <w:rFonts w:ascii="Times New Roman" w:eastAsia="Times New Roman" w:hAnsi="Times New Roman" w:cs="Times New Roman"/>
          <w:sz w:val="20"/>
          <w:szCs w:val="20"/>
        </w:rPr>
        <w:t>WtE</w:t>
      </w:r>
      <w:proofErr w:type="spellEnd"/>
      <w:r w:rsidRPr="00E747E2">
        <w:rPr>
          <w:rFonts w:ascii="Times New Roman" w:eastAsia="Times New Roman" w:hAnsi="Times New Roman" w:cs="Times New Roman"/>
          <w:sz w:val="20"/>
          <w:szCs w:val="20"/>
        </w:rPr>
        <w:t xml:space="preserve"> task forces.</w:t>
      </w:r>
    </w:p>
    <w:p w14:paraId="2411B102" w14:textId="77777777" w:rsidR="00E747E2" w:rsidRPr="00E747E2" w:rsidRDefault="00E747E2" w:rsidP="008B1028">
      <w:pPr>
        <w:numPr>
          <w:ilvl w:val="0"/>
          <w:numId w:val="26"/>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Include informal waste worker cooperatives and local universities.</w:t>
      </w:r>
    </w:p>
    <w:p w14:paraId="55C06C5F" w14:textId="77777777" w:rsidR="00E747E2" w:rsidRPr="00E747E2" w:rsidRDefault="00E747E2" w:rsidP="008B1028">
      <w:pPr>
        <w:numPr>
          <w:ilvl w:val="0"/>
          <w:numId w:val="26"/>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Integrate governance via city councils and PPP frameworks.</w:t>
      </w:r>
    </w:p>
    <w:p w14:paraId="520A5FC3" w14:textId="5A796A15" w:rsidR="00E747E2" w:rsidRPr="00C77782" w:rsidRDefault="00E747E2" w:rsidP="008B1028">
      <w:pPr>
        <w:pStyle w:val="ListParagraph"/>
        <w:numPr>
          <w:ilvl w:val="0"/>
          <w:numId w:val="29"/>
        </w:numPr>
        <w:spacing w:after="0" w:line="360" w:lineRule="auto"/>
        <w:jc w:val="both"/>
        <w:rPr>
          <w:rFonts w:ascii="Times New Roman" w:eastAsia="Times New Roman" w:hAnsi="Times New Roman" w:cs="Times New Roman"/>
          <w:sz w:val="20"/>
          <w:szCs w:val="20"/>
        </w:rPr>
      </w:pPr>
      <w:r w:rsidRPr="00C77782">
        <w:rPr>
          <w:rFonts w:ascii="Times New Roman" w:eastAsia="Times New Roman" w:hAnsi="Times New Roman" w:cs="Times New Roman"/>
          <w:b/>
          <w:bCs/>
          <w:sz w:val="20"/>
          <w:szCs w:val="20"/>
        </w:rPr>
        <w:t>Scale-Up and Feedback Loops</w:t>
      </w:r>
      <w:r w:rsidRPr="00C77782">
        <w:rPr>
          <w:rFonts w:ascii="Times New Roman" w:eastAsia="Times New Roman" w:hAnsi="Times New Roman" w:cs="Times New Roman"/>
          <w:sz w:val="20"/>
          <w:szCs w:val="20"/>
        </w:rPr>
        <w:t>:</w:t>
      </w:r>
    </w:p>
    <w:p w14:paraId="7308A137" w14:textId="77777777" w:rsidR="00E747E2" w:rsidRPr="00E747E2" w:rsidRDefault="00E747E2" w:rsidP="008B1028">
      <w:pPr>
        <w:numPr>
          <w:ilvl w:val="0"/>
          <w:numId w:val="27"/>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Expand across the city with adaptive algorithms trained on pilot feedback.</w:t>
      </w:r>
    </w:p>
    <w:p w14:paraId="2D1DB1F8" w14:textId="77777777" w:rsidR="00E747E2" w:rsidRPr="00E747E2" w:rsidRDefault="00E747E2" w:rsidP="008B1028">
      <w:pPr>
        <w:numPr>
          <w:ilvl w:val="0"/>
          <w:numId w:val="27"/>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Enable dashboard-based performance review.</w:t>
      </w:r>
    </w:p>
    <w:p w14:paraId="67413BA7" w14:textId="77777777" w:rsidR="00E747E2" w:rsidRPr="00E747E2" w:rsidRDefault="00E747E2" w:rsidP="008B1028">
      <w:pPr>
        <w:numPr>
          <w:ilvl w:val="0"/>
          <w:numId w:val="27"/>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lastRenderedPageBreak/>
        <w:t>Secure climate financing (e.g., GCF, CDM, municipal green bonds).</w:t>
      </w:r>
    </w:p>
    <w:p w14:paraId="1FEBE71A" w14:textId="1B850EAF" w:rsidR="00A511D4" w:rsidRPr="00CD6D82" w:rsidRDefault="00E747E2" w:rsidP="008B1028">
      <w:pPr>
        <w:pStyle w:val="ListParagraph"/>
        <w:numPr>
          <w:ilvl w:val="0"/>
          <w:numId w:val="31"/>
        </w:numPr>
        <w:spacing w:after="0" w:line="360" w:lineRule="auto"/>
        <w:jc w:val="both"/>
        <w:rPr>
          <w:rFonts w:ascii="Times New Roman" w:hAnsi="Times New Roman" w:cs="Times New Roman"/>
          <w:b/>
          <w:bCs/>
          <w:sz w:val="20"/>
          <w:szCs w:val="20"/>
        </w:rPr>
      </w:pPr>
      <w:r w:rsidRPr="00CD6D82">
        <w:rPr>
          <w:rFonts w:ascii="Times New Roman" w:hAnsi="Times New Roman" w:cs="Times New Roman"/>
          <w:b/>
          <w:bCs/>
          <w:sz w:val="20"/>
          <w:szCs w:val="20"/>
        </w:rPr>
        <w:t>Required Conditions:</w:t>
      </w:r>
    </w:p>
    <w:tbl>
      <w:tblPr>
        <w:tblStyle w:val="TableGrid"/>
        <w:tblW w:w="0" w:type="auto"/>
        <w:tblInd w:w="279" w:type="dxa"/>
        <w:tblLook w:val="04A0" w:firstRow="1" w:lastRow="0" w:firstColumn="1" w:lastColumn="0" w:noHBand="0" w:noVBand="1"/>
      </w:tblPr>
      <w:tblGrid>
        <w:gridCol w:w="2551"/>
        <w:gridCol w:w="5954"/>
      </w:tblGrid>
      <w:tr w:rsidR="00E413B9" w:rsidRPr="00CD6D82" w14:paraId="5D3078FF" w14:textId="77777777" w:rsidTr="00E733C8">
        <w:trPr>
          <w:trHeight w:val="516"/>
        </w:trPr>
        <w:tc>
          <w:tcPr>
            <w:tcW w:w="2551" w:type="dxa"/>
            <w:vAlign w:val="center"/>
          </w:tcPr>
          <w:p w14:paraId="3D43F3DD" w14:textId="46977A79" w:rsidR="00E413B9" w:rsidRPr="00CD6D82" w:rsidRDefault="00E413B9" w:rsidP="00E413B9">
            <w:pPr>
              <w:spacing w:line="360" w:lineRule="auto"/>
              <w:jc w:val="center"/>
              <w:rPr>
                <w:rFonts w:ascii="Times New Roman" w:hAnsi="Times New Roman" w:cs="Times New Roman"/>
                <w:b/>
                <w:bCs/>
                <w:sz w:val="20"/>
                <w:szCs w:val="20"/>
              </w:rPr>
            </w:pPr>
            <w:r w:rsidRPr="00E413B9">
              <w:rPr>
                <w:rFonts w:ascii="Times New Roman" w:eastAsia="Times New Roman" w:hAnsi="Times New Roman" w:cs="Times New Roman"/>
                <w:b/>
                <w:bCs/>
                <w:sz w:val="20"/>
                <w:szCs w:val="20"/>
              </w:rPr>
              <w:t>Category</w:t>
            </w:r>
          </w:p>
        </w:tc>
        <w:tc>
          <w:tcPr>
            <w:tcW w:w="5954" w:type="dxa"/>
            <w:vAlign w:val="center"/>
          </w:tcPr>
          <w:p w14:paraId="72EF30CF" w14:textId="3C424B79" w:rsidR="00E413B9" w:rsidRPr="00CD6D82" w:rsidRDefault="00E413B9" w:rsidP="00E413B9">
            <w:pPr>
              <w:spacing w:line="360" w:lineRule="auto"/>
              <w:jc w:val="center"/>
              <w:rPr>
                <w:rFonts w:ascii="Times New Roman" w:hAnsi="Times New Roman" w:cs="Times New Roman"/>
                <w:b/>
                <w:bCs/>
                <w:sz w:val="20"/>
                <w:szCs w:val="20"/>
              </w:rPr>
            </w:pPr>
            <w:r w:rsidRPr="00E413B9">
              <w:rPr>
                <w:rFonts w:ascii="Times New Roman" w:eastAsia="Times New Roman" w:hAnsi="Times New Roman" w:cs="Times New Roman"/>
                <w:b/>
                <w:bCs/>
                <w:sz w:val="20"/>
                <w:szCs w:val="20"/>
              </w:rPr>
              <w:t>Requirement</w:t>
            </w:r>
          </w:p>
        </w:tc>
      </w:tr>
      <w:tr w:rsidR="00E413B9" w:rsidRPr="00CD6D82" w14:paraId="2852723D" w14:textId="77777777" w:rsidTr="00E733C8">
        <w:trPr>
          <w:trHeight w:val="494"/>
        </w:trPr>
        <w:tc>
          <w:tcPr>
            <w:tcW w:w="2551" w:type="dxa"/>
            <w:vAlign w:val="center"/>
          </w:tcPr>
          <w:p w14:paraId="279EBBF5" w14:textId="565640CA"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b/>
                <w:bCs/>
                <w:sz w:val="20"/>
                <w:szCs w:val="20"/>
              </w:rPr>
              <w:t>Data Types</w:t>
            </w:r>
          </w:p>
        </w:tc>
        <w:tc>
          <w:tcPr>
            <w:tcW w:w="5954" w:type="dxa"/>
            <w:vAlign w:val="center"/>
          </w:tcPr>
          <w:p w14:paraId="0F9D805F" w14:textId="719A7BE6"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sz w:val="20"/>
                <w:szCs w:val="20"/>
              </w:rPr>
              <w:t xml:space="preserve">Waste generation, energy usage, </w:t>
            </w:r>
            <w:r w:rsidRPr="00CD6D82">
              <w:rPr>
                <w:rFonts w:ascii="Times New Roman" w:eastAsia="Times New Roman" w:hAnsi="Times New Roman" w:cs="Times New Roman"/>
                <w:sz w:val="20"/>
                <w:szCs w:val="20"/>
              </w:rPr>
              <w:t xml:space="preserve">and </w:t>
            </w:r>
            <w:r w:rsidRPr="00E413B9">
              <w:rPr>
                <w:rFonts w:ascii="Times New Roman" w:eastAsia="Times New Roman" w:hAnsi="Times New Roman" w:cs="Times New Roman"/>
                <w:sz w:val="20"/>
                <w:szCs w:val="20"/>
              </w:rPr>
              <w:t>climate risk</w:t>
            </w:r>
            <w:r w:rsidRPr="00CD6D82">
              <w:rPr>
                <w:rFonts w:ascii="Times New Roman" w:eastAsia="Times New Roman" w:hAnsi="Times New Roman" w:cs="Times New Roman"/>
                <w:sz w:val="20"/>
                <w:szCs w:val="20"/>
              </w:rPr>
              <w:t>.</w:t>
            </w:r>
          </w:p>
        </w:tc>
      </w:tr>
      <w:tr w:rsidR="00E413B9" w:rsidRPr="00CD6D82" w14:paraId="13BF79B4" w14:textId="77777777" w:rsidTr="00E733C8">
        <w:trPr>
          <w:trHeight w:val="516"/>
        </w:trPr>
        <w:tc>
          <w:tcPr>
            <w:tcW w:w="2551" w:type="dxa"/>
            <w:vAlign w:val="center"/>
          </w:tcPr>
          <w:p w14:paraId="7DF54AB3" w14:textId="19266A4D"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b/>
                <w:bCs/>
                <w:sz w:val="20"/>
                <w:szCs w:val="20"/>
              </w:rPr>
              <w:t>Institutional</w:t>
            </w:r>
          </w:p>
        </w:tc>
        <w:tc>
          <w:tcPr>
            <w:tcW w:w="5954" w:type="dxa"/>
            <w:vAlign w:val="center"/>
          </w:tcPr>
          <w:p w14:paraId="463FAC3D" w14:textId="4E902688"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sz w:val="20"/>
                <w:szCs w:val="20"/>
              </w:rPr>
              <w:t>Decentralized municipal authority, PPP laws</w:t>
            </w:r>
            <w:r w:rsidRPr="00CD6D82">
              <w:rPr>
                <w:rFonts w:ascii="Times New Roman" w:eastAsia="Times New Roman" w:hAnsi="Times New Roman" w:cs="Times New Roman"/>
                <w:sz w:val="20"/>
                <w:szCs w:val="20"/>
              </w:rPr>
              <w:t>.</w:t>
            </w:r>
          </w:p>
        </w:tc>
      </w:tr>
      <w:tr w:rsidR="00E413B9" w:rsidRPr="00CD6D82" w14:paraId="51095CCA" w14:textId="77777777" w:rsidTr="00E733C8">
        <w:trPr>
          <w:trHeight w:val="516"/>
        </w:trPr>
        <w:tc>
          <w:tcPr>
            <w:tcW w:w="2551" w:type="dxa"/>
            <w:vAlign w:val="center"/>
          </w:tcPr>
          <w:p w14:paraId="33ACA431" w14:textId="4025B0C4"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b/>
                <w:bCs/>
                <w:sz w:val="20"/>
                <w:szCs w:val="20"/>
              </w:rPr>
              <w:t>Technology Readiness</w:t>
            </w:r>
          </w:p>
        </w:tc>
        <w:tc>
          <w:tcPr>
            <w:tcW w:w="5954" w:type="dxa"/>
            <w:vAlign w:val="center"/>
          </w:tcPr>
          <w:p w14:paraId="0123AF51" w14:textId="0B23128A"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sz w:val="20"/>
                <w:szCs w:val="20"/>
              </w:rPr>
              <w:t>Mobile connectivity, cloud AI, GIS platforms</w:t>
            </w:r>
            <w:r w:rsidRPr="00CD6D82">
              <w:rPr>
                <w:rFonts w:ascii="Times New Roman" w:eastAsia="Times New Roman" w:hAnsi="Times New Roman" w:cs="Times New Roman"/>
                <w:sz w:val="20"/>
                <w:szCs w:val="20"/>
              </w:rPr>
              <w:t>.</w:t>
            </w:r>
          </w:p>
        </w:tc>
      </w:tr>
      <w:tr w:rsidR="00E413B9" w:rsidRPr="00CD6D82" w14:paraId="240ABDEB" w14:textId="77777777" w:rsidTr="00E733C8">
        <w:trPr>
          <w:trHeight w:val="494"/>
        </w:trPr>
        <w:tc>
          <w:tcPr>
            <w:tcW w:w="2551" w:type="dxa"/>
            <w:vAlign w:val="center"/>
          </w:tcPr>
          <w:p w14:paraId="6F398B38" w14:textId="3C7F7265"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b/>
                <w:bCs/>
                <w:sz w:val="20"/>
                <w:szCs w:val="20"/>
              </w:rPr>
              <w:t>Legal/Policy</w:t>
            </w:r>
          </w:p>
        </w:tc>
        <w:tc>
          <w:tcPr>
            <w:tcW w:w="5954" w:type="dxa"/>
            <w:vAlign w:val="center"/>
          </w:tcPr>
          <w:p w14:paraId="0D9EE6D9" w14:textId="5B8AF785"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sz w:val="20"/>
                <w:szCs w:val="20"/>
              </w:rPr>
              <w:t>AI &amp; data privacy policy, climate strategy</w:t>
            </w:r>
            <w:r w:rsidRPr="00CD6D82">
              <w:rPr>
                <w:rFonts w:ascii="Times New Roman" w:eastAsia="Times New Roman" w:hAnsi="Times New Roman" w:cs="Times New Roman"/>
                <w:sz w:val="20"/>
                <w:szCs w:val="20"/>
              </w:rPr>
              <w:t>.</w:t>
            </w:r>
          </w:p>
        </w:tc>
      </w:tr>
    </w:tbl>
    <w:p w14:paraId="557D76FF" w14:textId="30996B6C" w:rsidR="00E413B9" w:rsidRPr="00CD6D82" w:rsidRDefault="00E413B9" w:rsidP="00E413B9">
      <w:pPr>
        <w:spacing w:after="0" w:line="360" w:lineRule="auto"/>
        <w:jc w:val="center"/>
        <w:rPr>
          <w:rFonts w:ascii="Times New Roman" w:hAnsi="Times New Roman" w:cs="Times New Roman"/>
          <w:sz w:val="20"/>
          <w:szCs w:val="20"/>
        </w:rPr>
      </w:pPr>
      <w:r w:rsidRPr="00CD6D82">
        <w:rPr>
          <w:rFonts w:ascii="Times New Roman" w:hAnsi="Times New Roman" w:cs="Times New Roman"/>
          <w:sz w:val="20"/>
          <w:szCs w:val="20"/>
        </w:rPr>
        <w:t>Table 3: Required Conditions.</w:t>
      </w:r>
    </w:p>
    <w:p w14:paraId="6DB45087" w14:textId="1D89B1D0" w:rsidR="00CD6D82" w:rsidRPr="00CD6D82" w:rsidRDefault="00CD6D82" w:rsidP="008B1028">
      <w:pPr>
        <w:pStyle w:val="Heading3"/>
        <w:numPr>
          <w:ilvl w:val="0"/>
          <w:numId w:val="31"/>
        </w:numPr>
        <w:spacing w:before="0" w:beforeAutospacing="0" w:after="0" w:afterAutospacing="0" w:line="360" w:lineRule="auto"/>
        <w:jc w:val="both"/>
        <w:rPr>
          <w:sz w:val="20"/>
          <w:szCs w:val="20"/>
        </w:rPr>
      </w:pPr>
      <w:r w:rsidRPr="00CD6D82">
        <w:rPr>
          <w:sz w:val="20"/>
          <w:szCs w:val="20"/>
        </w:rPr>
        <w:t>Modular Implementation Strategy</w:t>
      </w:r>
    </w:p>
    <w:p w14:paraId="39824673" w14:textId="259E553B" w:rsidR="00CD6D82" w:rsidRPr="00CD6D82" w:rsidRDefault="00CD6D82" w:rsidP="008B1028">
      <w:pPr>
        <w:pStyle w:val="NormalWeb"/>
        <w:numPr>
          <w:ilvl w:val="0"/>
          <w:numId w:val="30"/>
        </w:numPr>
        <w:spacing w:before="0" w:beforeAutospacing="0" w:after="0" w:afterAutospacing="0" w:line="360" w:lineRule="auto"/>
        <w:jc w:val="both"/>
        <w:rPr>
          <w:sz w:val="20"/>
          <w:szCs w:val="20"/>
        </w:rPr>
      </w:pPr>
      <w:r w:rsidRPr="00CD6D82">
        <w:rPr>
          <w:rStyle w:val="Strong"/>
          <w:sz w:val="20"/>
          <w:szCs w:val="20"/>
        </w:rPr>
        <w:t>Urban Core Model</w:t>
      </w:r>
      <w:r w:rsidRPr="00CD6D82">
        <w:rPr>
          <w:sz w:val="20"/>
          <w:szCs w:val="20"/>
        </w:rPr>
        <w:t>: Full AI</w:t>
      </w:r>
      <w:r w:rsidR="003B291D">
        <w:rPr>
          <w:sz w:val="20"/>
          <w:szCs w:val="20"/>
        </w:rPr>
        <w:t>-</w:t>
      </w:r>
      <w:r w:rsidRPr="00CD6D82">
        <w:rPr>
          <w:sz w:val="20"/>
          <w:szCs w:val="20"/>
        </w:rPr>
        <w:t>IoT</w:t>
      </w:r>
      <w:r w:rsidR="003B291D">
        <w:rPr>
          <w:sz w:val="20"/>
          <w:szCs w:val="20"/>
        </w:rPr>
        <w:t>-</w:t>
      </w:r>
      <w:r w:rsidRPr="00CD6D82">
        <w:rPr>
          <w:sz w:val="20"/>
          <w:szCs w:val="20"/>
        </w:rPr>
        <w:t>Blockchain suite.</w:t>
      </w:r>
    </w:p>
    <w:p w14:paraId="55D589E9" w14:textId="77777777" w:rsidR="00CD6D82" w:rsidRPr="00CD6D82" w:rsidRDefault="00CD6D82" w:rsidP="008B1028">
      <w:pPr>
        <w:pStyle w:val="NormalWeb"/>
        <w:numPr>
          <w:ilvl w:val="0"/>
          <w:numId w:val="30"/>
        </w:numPr>
        <w:spacing w:before="0" w:beforeAutospacing="0" w:after="0" w:afterAutospacing="0" w:line="360" w:lineRule="auto"/>
        <w:jc w:val="both"/>
        <w:rPr>
          <w:sz w:val="20"/>
          <w:szCs w:val="20"/>
        </w:rPr>
      </w:pPr>
      <w:r w:rsidRPr="00CD6D82">
        <w:rPr>
          <w:rStyle w:val="Strong"/>
          <w:sz w:val="20"/>
          <w:szCs w:val="20"/>
        </w:rPr>
        <w:t>Peri-Urban Model</w:t>
      </w:r>
      <w:r w:rsidRPr="00CD6D82">
        <w:rPr>
          <w:sz w:val="20"/>
          <w:szCs w:val="20"/>
        </w:rPr>
        <w:t>: Edge AI with low-cost digital twins.</w:t>
      </w:r>
    </w:p>
    <w:p w14:paraId="7C188B34" w14:textId="77777777" w:rsidR="00CD6D82" w:rsidRPr="00CD6D82" w:rsidRDefault="00CD6D82" w:rsidP="008B1028">
      <w:pPr>
        <w:pStyle w:val="NormalWeb"/>
        <w:numPr>
          <w:ilvl w:val="0"/>
          <w:numId w:val="30"/>
        </w:numPr>
        <w:spacing w:before="0" w:beforeAutospacing="0" w:after="0" w:afterAutospacing="0" w:line="360" w:lineRule="auto"/>
        <w:jc w:val="both"/>
        <w:rPr>
          <w:sz w:val="20"/>
          <w:szCs w:val="20"/>
        </w:rPr>
      </w:pPr>
      <w:r w:rsidRPr="00CD6D82">
        <w:rPr>
          <w:rStyle w:val="Strong"/>
          <w:sz w:val="20"/>
          <w:szCs w:val="20"/>
        </w:rPr>
        <w:t>Low-Income Informal Zones</w:t>
      </w:r>
      <w:r w:rsidRPr="00CD6D82">
        <w:rPr>
          <w:sz w:val="20"/>
          <w:szCs w:val="20"/>
        </w:rPr>
        <w:t>: Sensor-light, rule-based AI + community integration.</w:t>
      </w:r>
    </w:p>
    <w:p w14:paraId="54A148BE" w14:textId="46277BB8" w:rsidR="00CD6D82" w:rsidRPr="00CD6D82" w:rsidRDefault="00CD6D82" w:rsidP="00CD6D82">
      <w:pPr>
        <w:pStyle w:val="NormalWeb"/>
        <w:spacing w:before="0" w:beforeAutospacing="0" w:after="0" w:afterAutospacing="0" w:line="360" w:lineRule="auto"/>
        <w:jc w:val="both"/>
        <w:rPr>
          <w:sz w:val="20"/>
          <w:szCs w:val="20"/>
        </w:rPr>
      </w:pPr>
      <w:r w:rsidRPr="00CD6D82">
        <w:rPr>
          <w:rStyle w:val="Strong"/>
          <w:b w:val="0"/>
          <w:bCs w:val="0"/>
          <w:sz w:val="20"/>
          <w:szCs w:val="20"/>
        </w:rPr>
        <w:t>Cities like Nairobi and Lagos</w:t>
      </w:r>
      <w:r w:rsidRPr="00CD6D82">
        <w:rPr>
          <w:sz w:val="20"/>
          <w:szCs w:val="20"/>
        </w:rPr>
        <w:t xml:space="preserve"> can implement a phased approach using donor-supported sandboxes, while </w:t>
      </w:r>
      <w:r w:rsidRPr="00CD6D82">
        <w:rPr>
          <w:rStyle w:val="Strong"/>
          <w:b w:val="0"/>
          <w:bCs w:val="0"/>
          <w:sz w:val="20"/>
          <w:szCs w:val="20"/>
        </w:rPr>
        <w:t>Karachi</w:t>
      </w:r>
      <w:r w:rsidRPr="00CD6D82">
        <w:rPr>
          <w:b/>
          <w:bCs/>
          <w:sz w:val="20"/>
          <w:szCs w:val="20"/>
        </w:rPr>
        <w:t xml:space="preserve"> </w:t>
      </w:r>
      <w:r w:rsidRPr="00CD6D82">
        <w:rPr>
          <w:sz w:val="20"/>
          <w:szCs w:val="20"/>
        </w:rPr>
        <w:t>may integrate through municipal circularity pilots (AfDB, 2024).</w:t>
      </w:r>
    </w:p>
    <w:p w14:paraId="2A2CFA89" w14:textId="686F02A5" w:rsidR="00E413B9" w:rsidRDefault="00E413B9" w:rsidP="00E413B9">
      <w:pPr>
        <w:spacing w:after="0" w:line="360" w:lineRule="auto"/>
        <w:rPr>
          <w:rFonts w:ascii="Times New Roman" w:hAnsi="Times New Roman" w:cs="Times New Roman"/>
          <w:sz w:val="20"/>
          <w:szCs w:val="20"/>
        </w:rPr>
      </w:pPr>
    </w:p>
    <w:p w14:paraId="05C570DA" w14:textId="48B341B5" w:rsidR="001F1452" w:rsidRPr="00E51893" w:rsidRDefault="00E51893" w:rsidP="00E413B9">
      <w:pPr>
        <w:spacing w:after="0" w:line="360" w:lineRule="auto"/>
        <w:rPr>
          <w:rFonts w:ascii="Times New Roman" w:hAnsi="Times New Roman" w:cs="Times New Roman"/>
          <w:b/>
          <w:bCs/>
          <w:sz w:val="20"/>
          <w:szCs w:val="20"/>
        </w:rPr>
      </w:pPr>
      <w:r w:rsidRPr="00E51893">
        <w:rPr>
          <w:rFonts w:ascii="Times New Roman" w:hAnsi="Times New Roman" w:cs="Times New Roman"/>
          <w:b/>
          <w:bCs/>
          <w:sz w:val="20"/>
          <w:szCs w:val="20"/>
        </w:rPr>
        <w:t>RISK ANALYSIS AND LIMITATIONS</w:t>
      </w:r>
    </w:p>
    <w:p w14:paraId="6D93DE7B" w14:textId="5250DD36" w:rsidR="008F555B" w:rsidRDefault="00DB3A4D" w:rsidP="00E747E2">
      <w:pPr>
        <w:spacing w:after="0" w:line="360" w:lineRule="auto"/>
        <w:jc w:val="both"/>
        <w:rPr>
          <w:rFonts w:ascii="Times New Roman" w:hAnsi="Times New Roman" w:cs="Times New Roman"/>
          <w:sz w:val="20"/>
          <w:szCs w:val="20"/>
        </w:rPr>
      </w:pPr>
      <w:r w:rsidRPr="00DB3A4D">
        <w:rPr>
          <w:rFonts w:ascii="Times New Roman" w:hAnsi="Times New Roman" w:cs="Times New Roman"/>
          <w:sz w:val="20"/>
          <w:szCs w:val="20"/>
        </w:rPr>
        <w:t>The technical, data-related, and methodological limitations of the suggested AI</w:t>
      </w:r>
      <w:r w:rsidR="003B291D">
        <w:rPr>
          <w:rFonts w:ascii="Times New Roman" w:hAnsi="Times New Roman" w:cs="Times New Roman"/>
          <w:sz w:val="20"/>
          <w:szCs w:val="20"/>
        </w:rPr>
        <w:t>-</w:t>
      </w:r>
      <w:r w:rsidRPr="00DB3A4D">
        <w:rPr>
          <w:rFonts w:ascii="Times New Roman" w:hAnsi="Times New Roman" w:cs="Times New Roman"/>
          <w:sz w:val="20"/>
          <w:szCs w:val="20"/>
        </w:rPr>
        <w:t>CIR</w:t>
      </w:r>
      <w:r w:rsidR="003B291D">
        <w:rPr>
          <w:rFonts w:ascii="Times New Roman" w:hAnsi="Times New Roman" w:cs="Times New Roman"/>
          <w:sz w:val="20"/>
          <w:szCs w:val="20"/>
        </w:rPr>
        <w:t>-</w:t>
      </w:r>
      <w:proofErr w:type="spellStart"/>
      <w:r w:rsidRPr="00DB3A4D">
        <w:rPr>
          <w:rFonts w:ascii="Times New Roman" w:hAnsi="Times New Roman" w:cs="Times New Roman"/>
          <w:sz w:val="20"/>
          <w:szCs w:val="20"/>
        </w:rPr>
        <w:t>WtE</w:t>
      </w:r>
      <w:proofErr w:type="spellEnd"/>
      <w:r w:rsidRPr="00DB3A4D">
        <w:rPr>
          <w:rFonts w:ascii="Times New Roman" w:hAnsi="Times New Roman" w:cs="Times New Roman"/>
          <w:sz w:val="20"/>
          <w:szCs w:val="20"/>
        </w:rPr>
        <w:t xml:space="preserve"> paradigm are critically assessed in this section in order to preserve openness and academic integrity. Understanding these constraints is crucial for guiding future improvements and guaranteeing the efficacy and equity of deployments in Global South megacities.</w:t>
      </w:r>
    </w:p>
    <w:p w14:paraId="01DFE8F5" w14:textId="04AEA566" w:rsidR="00040ABE" w:rsidRPr="00C02B4A" w:rsidRDefault="00040ABE" w:rsidP="008B1028">
      <w:pPr>
        <w:pStyle w:val="ListParagraph"/>
        <w:numPr>
          <w:ilvl w:val="0"/>
          <w:numId w:val="33"/>
        </w:numPr>
        <w:spacing w:after="0" w:line="360" w:lineRule="auto"/>
        <w:jc w:val="both"/>
        <w:rPr>
          <w:rFonts w:ascii="Times New Roman" w:hAnsi="Times New Roman" w:cs="Times New Roman"/>
          <w:sz w:val="20"/>
          <w:szCs w:val="20"/>
        </w:rPr>
      </w:pPr>
      <w:r w:rsidRPr="00C02B4A">
        <w:rPr>
          <w:rFonts w:ascii="Times New Roman" w:hAnsi="Times New Roman" w:cs="Times New Roman"/>
          <w:b/>
          <w:bCs/>
          <w:sz w:val="20"/>
          <w:szCs w:val="20"/>
        </w:rPr>
        <w:t>Technical Limitations:</w:t>
      </w:r>
      <w:r w:rsidR="00C02B4A" w:rsidRPr="00C02B4A">
        <w:rPr>
          <w:rFonts w:ascii="Times New Roman" w:hAnsi="Times New Roman" w:cs="Times New Roman"/>
          <w:b/>
          <w:bCs/>
          <w:sz w:val="20"/>
          <w:szCs w:val="20"/>
        </w:rPr>
        <w:t xml:space="preserve"> </w:t>
      </w:r>
      <w:r w:rsidR="008849F2" w:rsidRPr="00C02B4A">
        <w:rPr>
          <w:rFonts w:ascii="Times New Roman" w:hAnsi="Times New Roman" w:cs="Times New Roman"/>
          <w:sz w:val="20"/>
          <w:szCs w:val="20"/>
        </w:rPr>
        <w:t xml:space="preserve">One of the main technical constraints is the possibility of inaccurate IoT sensor data due to calibration problems, environmental factors (e.g., dust, humidity), or urban vandalism. Inaccurate sensor data can have a significant impact on the accuracy of waste classification and forecasting. Another issue is model drift, which is a condition in which the performance of AI models deteriorates over time due to changes in input distributions. In rapidly urbanizing contexts like Dhaka, waste generation patterns are influenced by socio-economic shifts, seasonal migration, and climatic anomalies, necessitating ongoing retraining of models like LSTM and </w:t>
      </w:r>
      <w:proofErr w:type="spellStart"/>
      <w:r w:rsidR="008849F2" w:rsidRPr="00C02B4A">
        <w:rPr>
          <w:rFonts w:ascii="Times New Roman" w:hAnsi="Times New Roman" w:cs="Times New Roman"/>
          <w:sz w:val="20"/>
          <w:szCs w:val="20"/>
        </w:rPr>
        <w:t>XGBoost</w:t>
      </w:r>
      <w:proofErr w:type="spellEnd"/>
      <w:r w:rsidR="008849F2" w:rsidRPr="00C02B4A">
        <w:rPr>
          <w:rFonts w:ascii="Times New Roman" w:hAnsi="Times New Roman" w:cs="Times New Roman"/>
          <w:sz w:val="20"/>
          <w:szCs w:val="20"/>
        </w:rPr>
        <w:t>. Additionally, Edge-AI devices installed in decentralized nodes are vulnerable to hardware malfunctions, power outages, or connectivity losses, which can interfere with real-time waste logistics and energy optimization.</w:t>
      </w:r>
    </w:p>
    <w:p w14:paraId="3E92926D" w14:textId="0BA6A75C" w:rsidR="008849F2" w:rsidRPr="00C02B4A" w:rsidRDefault="008849F2" w:rsidP="008B1028">
      <w:pPr>
        <w:pStyle w:val="ListParagraph"/>
        <w:numPr>
          <w:ilvl w:val="0"/>
          <w:numId w:val="33"/>
        </w:numPr>
        <w:spacing w:after="0" w:line="360" w:lineRule="auto"/>
        <w:jc w:val="both"/>
        <w:rPr>
          <w:rFonts w:ascii="Times New Roman" w:hAnsi="Times New Roman" w:cs="Times New Roman"/>
          <w:sz w:val="20"/>
          <w:szCs w:val="20"/>
        </w:rPr>
      </w:pPr>
      <w:r w:rsidRPr="00C02B4A">
        <w:rPr>
          <w:rFonts w:ascii="Times New Roman" w:hAnsi="Times New Roman" w:cs="Times New Roman"/>
          <w:b/>
          <w:bCs/>
          <w:sz w:val="20"/>
          <w:szCs w:val="20"/>
        </w:rPr>
        <w:t>Data Constraints in the Global South:</w:t>
      </w:r>
      <w:r w:rsidR="00C02B4A" w:rsidRPr="00C02B4A">
        <w:rPr>
          <w:rFonts w:ascii="Times New Roman" w:hAnsi="Times New Roman" w:cs="Times New Roman"/>
          <w:b/>
          <w:bCs/>
          <w:sz w:val="20"/>
          <w:szCs w:val="20"/>
        </w:rPr>
        <w:t xml:space="preserve"> </w:t>
      </w:r>
      <w:r w:rsidRPr="00C02B4A">
        <w:rPr>
          <w:rFonts w:ascii="Times New Roman" w:hAnsi="Times New Roman" w:cs="Times New Roman"/>
          <w:sz w:val="20"/>
          <w:szCs w:val="20"/>
        </w:rPr>
        <w:t>The majority of cities in the Global South struggle with fragmented, out-of-date, or nonexistent historical records on environmental indicators, energy yield, and solid waste. AI training and cross-sectoral integration are made more difficult by the fact that municipal systems frequently lack digital record-keeping or interoperability protocols (UN-Habitat, 2023). Furthermore, the spatial granularity of AI-powered decision-making is constrained by the lack of geo-tagged, ward-level waste composition data. Because their operations are mostly unrecorded and not included in official statistics, the informal garbage sectors make this problem much worse.</w:t>
      </w:r>
    </w:p>
    <w:p w14:paraId="3C41BF0B" w14:textId="54D4FE5E" w:rsidR="008849F2" w:rsidRPr="00C02B4A" w:rsidRDefault="008849F2" w:rsidP="008B1028">
      <w:pPr>
        <w:pStyle w:val="ListParagraph"/>
        <w:numPr>
          <w:ilvl w:val="0"/>
          <w:numId w:val="33"/>
        </w:numPr>
        <w:spacing w:after="0" w:line="360" w:lineRule="auto"/>
        <w:jc w:val="both"/>
        <w:rPr>
          <w:rFonts w:ascii="Times New Roman" w:hAnsi="Times New Roman" w:cs="Times New Roman"/>
          <w:sz w:val="20"/>
          <w:szCs w:val="20"/>
        </w:rPr>
      </w:pPr>
      <w:r w:rsidRPr="00C02B4A">
        <w:rPr>
          <w:rFonts w:ascii="Times New Roman" w:hAnsi="Times New Roman" w:cs="Times New Roman"/>
          <w:b/>
          <w:bCs/>
          <w:sz w:val="20"/>
          <w:szCs w:val="20"/>
        </w:rPr>
        <w:t>Methodological Assumptions:</w:t>
      </w:r>
      <w:r w:rsidR="00C02B4A" w:rsidRPr="00C02B4A">
        <w:rPr>
          <w:rFonts w:ascii="Times New Roman" w:hAnsi="Times New Roman" w:cs="Times New Roman"/>
          <w:b/>
          <w:bCs/>
          <w:sz w:val="20"/>
          <w:szCs w:val="20"/>
        </w:rPr>
        <w:t xml:space="preserve"> </w:t>
      </w:r>
      <w:r w:rsidRPr="00C02B4A">
        <w:rPr>
          <w:rFonts w:ascii="Times New Roman" w:hAnsi="Times New Roman" w:cs="Times New Roman"/>
          <w:sz w:val="20"/>
          <w:szCs w:val="20"/>
        </w:rPr>
        <w:t xml:space="preserve">The forecasting models (e.g., LSTM and </w:t>
      </w:r>
      <w:proofErr w:type="spellStart"/>
      <w:r w:rsidRPr="00C02B4A">
        <w:rPr>
          <w:rFonts w:ascii="Times New Roman" w:hAnsi="Times New Roman" w:cs="Times New Roman"/>
          <w:sz w:val="20"/>
          <w:szCs w:val="20"/>
        </w:rPr>
        <w:t>XGBoost</w:t>
      </w:r>
      <w:proofErr w:type="spellEnd"/>
      <w:r w:rsidRPr="00C02B4A">
        <w:rPr>
          <w:rFonts w:ascii="Times New Roman" w:hAnsi="Times New Roman" w:cs="Times New Roman"/>
          <w:sz w:val="20"/>
          <w:szCs w:val="20"/>
        </w:rPr>
        <w:t xml:space="preserve">) assume data stationarity and consistent seasonal trends, which may not hold during climatic disruptions, festivals, or policy shifts. Optimization algorithms such as NSGA-II rely on static constraints for emissions and costs, which may not reflect real-world volatility in infrastructure performance or fuel prices. The life-cycle assessment results used in </w:t>
      </w:r>
      <w:r w:rsidRPr="00C02B4A">
        <w:rPr>
          <w:rFonts w:ascii="Times New Roman" w:hAnsi="Times New Roman" w:cs="Times New Roman"/>
          <w:sz w:val="20"/>
          <w:szCs w:val="20"/>
        </w:rPr>
        <w:lastRenderedPageBreak/>
        <w:t>circularity and emissions simulation are based on generic coefficients, which may need localization for more precise outputs.</w:t>
      </w:r>
    </w:p>
    <w:p w14:paraId="3C97CA0B" w14:textId="311A8598" w:rsidR="00C02B4A" w:rsidRPr="00C02B4A" w:rsidRDefault="007F016E" w:rsidP="008B1028">
      <w:pPr>
        <w:pStyle w:val="ListParagraph"/>
        <w:numPr>
          <w:ilvl w:val="0"/>
          <w:numId w:val="33"/>
        </w:numPr>
        <w:spacing w:after="0" w:line="360" w:lineRule="auto"/>
        <w:jc w:val="both"/>
        <w:rPr>
          <w:rFonts w:ascii="Times New Roman" w:eastAsia="Times New Roman" w:hAnsi="Times New Roman" w:cs="Times New Roman"/>
          <w:sz w:val="20"/>
          <w:szCs w:val="20"/>
        </w:rPr>
      </w:pPr>
      <w:r w:rsidRPr="00C02B4A">
        <w:rPr>
          <w:rFonts w:ascii="Times New Roman" w:hAnsi="Times New Roman" w:cs="Times New Roman"/>
          <w:b/>
          <w:bCs/>
          <w:sz w:val="20"/>
          <w:szCs w:val="20"/>
        </w:rPr>
        <w:t>Addressing Limitations Through Future Work:</w:t>
      </w:r>
      <w:r w:rsidR="00C02B4A" w:rsidRPr="00C02B4A">
        <w:rPr>
          <w:rFonts w:ascii="Times New Roman" w:hAnsi="Times New Roman" w:cs="Times New Roman"/>
          <w:b/>
          <w:bCs/>
          <w:sz w:val="20"/>
          <w:szCs w:val="20"/>
        </w:rPr>
        <w:t xml:space="preserve"> </w:t>
      </w:r>
      <w:r w:rsidR="00C02B4A" w:rsidRPr="00C02B4A">
        <w:rPr>
          <w:rFonts w:ascii="Times New Roman" w:eastAsia="Times New Roman" w:hAnsi="Times New Roman" w:cs="Times New Roman"/>
          <w:sz w:val="20"/>
          <w:szCs w:val="20"/>
        </w:rPr>
        <w:t>To address these limitations, the following strategies are proposed:</w:t>
      </w:r>
    </w:p>
    <w:p w14:paraId="262ED04E" w14:textId="77777777" w:rsidR="00C02B4A" w:rsidRPr="00C02B4A" w:rsidRDefault="00C02B4A" w:rsidP="008B1028">
      <w:pPr>
        <w:numPr>
          <w:ilvl w:val="0"/>
          <w:numId w:val="32"/>
        </w:numPr>
        <w:spacing w:after="0" w:line="360" w:lineRule="auto"/>
        <w:jc w:val="both"/>
        <w:rPr>
          <w:rFonts w:ascii="Times New Roman" w:eastAsia="Times New Roman" w:hAnsi="Times New Roman" w:cs="Times New Roman"/>
          <w:sz w:val="20"/>
          <w:szCs w:val="20"/>
        </w:rPr>
      </w:pPr>
      <w:r w:rsidRPr="00C02B4A">
        <w:rPr>
          <w:rFonts w:ascii="Times New Roman" w:eastAsia="Times New Roman" w:hAnsi="Times New Roman" w:cs="Times New Roman"/>
          <w:b/>
          <w:bCs/>
          <w:sz w:val="20"/>
          <w:szCs w:val="20"/>
        </w:rPr>
        <w:t>Federated learning and transfer learning</w:t>
      </w:r>
      <w:r w:rsidRPr="00C02B4A">
        <w:rPr>
          <w:rFonts w:ascii="Times New Roman" w:eastAsia="Times New Roman" w:hAnsi="Times New Roman" w:cs="Times New Roman"/>
          <w:sz w:val="20"/>
          <w:szCs w:val="20"/>
        </w:rPr>
        <w:t xml:space="preserve"> can enable model training across cities without centralizing sensitive data, improving generalizability.</w:t>
      </w:r>
    </w:p>
    <w:p w14:paraId="6CF9FEAD" w14:textId="77777777" w:rsidR="00C02B4A" w:rsidRPr="00C02B4A" w:rsidRDefault="00C02B4A" w:rsidP="008B1028">
      <w:pPr>
        <w:numPr>
          <w:ilvl w:val="0"/>
          <w:numId w:val="32"/>
        </w:numPr>
        <w:spacing w:after="0" w:line="360" w:lineRule="auto"/>
        <w:jc w:val="both"/>
        <w:rPr>
          <w:rFonts w:ascii="Times New Roman" w:eastAsia="Times New Roman" w:hAnsi="Times New Roman" w:cs="Times New Roman"/>
          <w:sz w:val="20"/>
          <w:szCs w:val="20"/>
        </w:rPr>
      </w:pPr>
      <w:r w:rsidRPr="00C02B4A">
        <w:rPr>
          <w:rFonts w:ascii="Times New Roman" w:eastAsia="Times New Roman" w:hAnsi="Times New Roman" w:cs="Times New Roman"/>
          <w:b/>
          <w:bCs/>
          <w:sz w:val="20"/>
          <w:szCs w:val="20"/>
        </w:rPr>
        <w:t>Synthetic data generation</w:t>
      </w:r>
      <w:r w:rsidRPr="00C02B4A">
        <w:rPr>
          <w:rFonts w:ascii="Times New Roman" w:eastAsia="Times New Roman" w:hAnsi="Times New Roman" w:cs="Times New Roman"/>
          <w:sz w:val="20"/>
          <w:szCs w:val="20"/>
        </w:rPr>
        <w:t xml:space="preserve"> using generative AI can help fill data gaps in under-documented zones.</w:t>
      </w:r>
    </w:p>
    <w:p w14:paraId="4DAC117B" w14:textId="77777777" w:rsidR="00C02B4A" w:rsidRPr="00C02B4A" w:rsidRDefault="00C02B4A" w:rsidP="008B1028">
      <w:pPr>
        <w:numPr>
          <w:ilvl w:val="0"/>
          <w:numId w:val="32"/>
        </w:numPr>
        <w:spacing w:after="0" w:line="360" w:lineRule="auto"/>
        <w:jc w:val="both"/>
        <w:rPr>
          <w:rFonts w:ascii="Times New Roman" w:eastAsia="Times New Roman" w:hAnsi="Times New Roman" w:cs="Times New Roman"/>
          <w:sz w:val="20"/>
          <w:szCs w:val="20"/>
        </w:rPr>
      </w:pPr>
      <w:r w:rsidRPr="00C02B4A">
        <w:rPr>
          <w:rFonts w:ascii="Times New Roman" w:eastAsia="Times New Roman" w:hAnsi="Times New Roman" w:cs="Times New Roman"/>
          <w:b/>
          <w:bCs/>
          <w:sz w:val="20"/>
          <w:szCs w:val="20"/>
        </w:rPr>
        <w:t>Participatory data validation</w:t>
      </w:r>
      <w:r w:rsidRPr="00C02B4A">
        <w:rPr>
          <w:rFonts w:ascii="Times New Roman" w:eastAsia="Times New Roman" w:hAnsi="Times New Roman" w:cs="Times New Roman"/>
          <w:sz w:val="20"/>
          <w:szCs w:val="20"/>
        </w:rPr>
        <w:t>, involving community stakeholders, can help cross-check AI outputs against local realities.</w:t>
      </w:r>
    </w:p>
    <w:p w14:paraId="5D278568" w14:textId="77777777" w:rsidR="00C02B4A" w:rsidRPr="00C02B4A" w:rsidRDefault="00C02B4A" w:rsidP="008B1028">
      <w:pPr>
        <w:numPr>
          <w:ilvl w:val="0"/>
          <w:numId w:val="32"/>
        </w:numPr>
        <w:spacing w:after="0" w:line="360" w:lineRule="auto"/>
        <w:jc w:val="both"/>
        <w:rPr>
          <w:rFonts w:ascii="Times New Roman" w:eastAsia="Times New Roman" w:hAnsi="Times New Roman" w:cs="Times New Roman"/>
          <w:sz w:val="20"/>
          <w:szCs w:val="20"/>
        </w:rPr>
      </w:pPr>
      <w:r w:rsidRPr="00C02B4A">
        <w:rPr>
          <w:rFonts w:ascii="Times New Roman" w:eastAsia="Times New Roman" w:hAnsi="Times New Roman" w:cs="Times New Roman"/>
          <w:b/>
          <w:bCs/>
          <w:sz w:val="20"/>
          <w:szCs w:val="20"/>
        </w:rPr>
        <w:t>Explainable AI (XAI)</w:t>
      </w:r>
      <w:r w:rsidRPr="00C02B4A">
        <w:rPr>
          <w:rFonts w:ascii="Times New Roman" w:eastAsia="Times New Roman" w:hAnsi="Times New Roman" w:cs="Times New Roman"/>
          <w:sz w:val="20"/>
          <w:szCs w:val="20"/>
        </w:rPr>
        <w:t xml:space="preserve"> modules should be integrated to ensure transparency and stakeholder trust in high-stakes decisions.</w:t>
      </w:r>
    </w:p>
    <w:p w14:paraId="5035CBEF" w14:textId="42D471DB" w:rsidR="00C02B4A" w:rsidRDefault="00C02B4A" w:rsidP="00C02B4A">
      <w:pPr>
        <w:spacing w:after="0" w:line="360" w:lineRule="auto"/>
        <w:jc w:val="both"/>
        <w:rPr>
          <w:rFonts w:ascii="Times New Roman" w:eastAsia="Times New Roman" w:hAnsi="Times New Roman" w:cs="Times New Roman"/>
          <w:sz w:val="20"/>
          <w:szCs w:val="20"/>
        </w:rPr>
      </w:pPr>
      <w:r w:rsidRPr="00C02B4A">
        <w:rPr>
          <w:rFonts w:ascii="Times New Roman" w:eastAsia="Times New Roman" w:hAnsi="Times New Roman" w:cs="Times New Roman"/>
          <w:sz w:val="20"/>
          <w:szCs w:val="20"/>
        </w:rPr>
        <w:t>These steps will improve model reliability, enhance governance, and ensure inclusive outcomes for urban resilience and circularity.</w:t>
      </w:r>
    </w:p>
    <w:p w14:paraId="6B20C223" w14:textId="4DFA86E1" w:rsidR="00C02B4A" w:rsidRDefault="00C02B4A" w:rsidP="00C02B4A">
      <w:pPr>
        <w:spacing w:after="0" w:line="360" w:lineRule="auto"/>
        <w:jc w:val="both"/>
        <w:rPr>
          <w:rFonts w:ascii="Times New Roman" w:eastAsia="Times New Roman" w:hAnsi="Times New Roman" w:cs="Times New Roman"/>
          <w:sz w:val="20"/>
          <w:szCs w:val="20"/>
        </w:rPr>
      </w:pPr>
    </w:p>
    <w:p w14:paraId="1F1537B6" w14:textId="1E5BEE37" w:rsidR="00450D7F" w:rsidRPr="00A931BD" w:rsidRDefault="00450D7F" w:rsidP="00A931BD">
      <w:pPr>
        <w:spacing w:after="0" w:line="360" w:lineRule="auto"/>
        <w:jc w:val="both"/>
        <w:rPr>
          <w:rFonts w:ascii="Times New Roman" w:eastAsia="Times New Roman" w:hAnsi="Times New Roman" w:cs="Times New Roman"/>
          <w:b/>
          <w:bCs/>
          <w:sz w:val="20"/>
          <w:szCs w:val="20"/>
        </w:rPr>
      </w:pPr>
      <w:r w:rsidRPr="00A931BD">
        <w:rPr>
          <w:rFonts w:ascii="Times New Roman" w:eastAsia="Times New Roman" w:hAnsi="Times New Roman" w:cs="Times New Roman"/>
          <w:b/>
          <w:bCs/>
          <w:sz w:val="20"/>
          <w:szCs w:val="20"/>
        </w:rPr>
        <w:t>ALGORITHM ARCHITECTURE AND SYSTEM WORKFLOW</w:t>
      </w:r>
    </w:p>
    <w:p w14:paraId="69B10E62" w14:textId="051BD773" w:rsidR="00450D7F" w:rsidRPr="00A931BD" w:rsidRDefault="00617576" w:rsidP="00A931BD">
      <w:pPr>
        <w:spacing w:after="0" w:line="360" w:lineRule="auto"/>
        <w:jc w:val="both"/>
        <w:rPr>
          <w:rFonts w:ascii="Times New Roman" w:eastAsia="Times New Roman" w:hAnsi="Times New Roman" w:cs="Times New Roman"/>
          <w:sz w:val="20"/>
          <w:szCs w:val="20"/>
        </w:rPr>
      </w:pPr>
      <w:r w:rsidRPr="00A931BD">
        <w:rPr>
          <w:rFonts w:ascii="Times New Roman" w:eastAsia="Times New Roman" w:hAnsi="Times New Roman" w:cs="Times New Roman"/>
          <w:sz w:val="20"/>
          <w:szCs w:val="20"/>
        </w:rPr>
        <w:t>The main structure of the AI</w:t>
      </w:r>
      <w:r w:rsidR="002C0626">
        <w:rPr>
          <w:rFonts w:ascii="Times New Roman" w:eastAsia="Times New Roman" w:hAnsi="Times New Roman" w:cs="Times New Roman"/>
          <w:sz w:val="20"/>
          <w:szCs w:val="20"/>
        </w:rPr>
        <w:t>-</w:t>
      </w:r>
      <w:r w:rsidRPr="00A931BD">
        <w:rPr>
          <w:rFonts w:ascii="Times New Roman" w:eastAsia="Times New Roman" w:hAnsi="Times New Roman" w:cs="Times New Roman"/>
          <w:sz w:val="20"/>
          <w:szCs w:val="20"/>
        </w:rPr>
        <w:t>CIR</w:t>
      </w:r>
      <w:r w:rsidR="002C0626">
        <w:rPr>
          <w:rFonts w:ascii="Times New Roman" w:eastAsia="Times New Roman" w:hAnsi="Times New Roman" w:cs="Times New Roman"/>
          <w:sz w:val="20"/>
          <w:szCs w:val="20"/>
        </w:rPr>
        <w:t>-</w:t>
      </w:r>
      <w:proofErr w:type="spellStart"/>
      <w:r w:rsidRPr="00A931BD">
        <w:rPr>
          <w:rFonts w:ascii="Times New Roman" w:eastAsia="Times New Roman" w:hAnsi="Times New Roman" w:cs="Times New Roman"/>
          <w:sz w:val="20"/>
          <w:szCs w:val="20"/>
        </w:rPr>
        <w:t>WtE</w:t>
      </w:r>
      <w:proofErr w:type="spellEnd"/>
      <w:r w:rsidRPr="00A931BD">
        <w:rPr>
          <w:rFonts w:ascii="Times New Roman" w:eastAsia="Times New Roman" w:hAnsi="Times New Roman" w:cs="Times New Roman"/>
          <w:sz w:val="20"/>
          <w:szCs w:val="20"/>
        </w:rPr>
        <w:t xml:space="preserve"> framework is described here with a detailed description of its algorithmic components and system-level operations to guarantee complete reproducibility and scientific clarity. These elements serve as the foundation for decision support, optimization, and forecasting.</w:t>
      </w:r>
    </w:p>
    <w:p w14:paraId="16F91CDC" w14:textId="00D66AAE" w:rsidR="00FF26B4" w:rsidRPr="004E5D52" w:rsidRDefault="00FF26B4" w:rsidP="008B1028">
      <w:pPr>
        <w:pStyle w:val="ListParagraph"/>
        <w:numPr>
          <w:ilvl w:val="0"/>
          <w:numId w:val="37"/>
        </w:numPr>
        <w:spacing w:after="0" w:line="360" w:lineRule="auto"/>
        <w:jc w:val="both"/>
        <w:rPr>
          <w:rFonts w:ascii="Times New Roman" w:eastAsia="Times New Roman" w:hAnsi="Times New Roman" w:cs="Times New Roman"/>
          <w:sz w:val="20"/>
          <w:szCs w:val="20"/>
        </w:rPr>
      </w:pPr>
      <w:r w:rsidRPr="004E5D52">
        <w:rPr>
          <w:rFonts w:ascii="Times New Roman" w:hAnsi="Times New Roman" w:cs="Times New Roman"/>
          <w:b/>
          <w:bCs/>
          <w:sz w:val="20"/>
          <w:szCs w:val="20"/>
        </w:rPr>
        <w:t>Neural Network Architecture (LSTM Forecasting):</w:t>
      </w:r>
      <w:r w:rsidR="00A931BD" w:rsidRPr="004E5D52">
        <w:rPr>
          <w:rFonts w:ascii="Times New Roman" w:hAnsi="Times New Roman" w:cs="Times New Roman"/>
          <w:b/>
          <w:bCs/>
          <w:sz w:val="20"/>
          <w:szCs w:val="20"/>
        </w:rPr>
        <w:t xml:space="preserve"> </w:t>
      </w:r>
      <w:r w:rsidR="008C60A1" w:rsidRPr="004E5D52">
        <w:rPr>
          <w:rFonts w:ascii="Times New Roman" w:eastAsia="Times New Roman" w:hAnsi="Times New Roman" w:cs="Times New Roman"/>
          <w:sz w:val="20"/>
          <w:szCs w:val="20"/>
        </w:rPr>
        <w:t>The Long Short-Term Memory (LSTM) model used for forecasting waste generation is designed to process multivariate time-series inputs. These include historical MSW volumes, climate stress indicators (e.g., rainfall, temperature), demographic shifts, and commercial activity indices. The model outputs projected daily or weekly waste generation by district, adjusted for seasonality and socio-economic triggers.</w:t>
      </w:r>
    </w:p>
    <w:p w14:paraId="059DFD41" w14:textId="56C29852" w:rsidR="00912BDD" w:rsidRPr="004E5D52" w:rsidRDefault="008C60A1" w:rsidP="008B1028">
      <w:pPr>
        <w:pStyle w:val="ListParagraph"/>
        <w:numPr>
          <w:ilvl w:val="0"/>
          <w:numId w:val="37"/>
        </w:numPr>
        <w:spacing w:after="0" w:line="360" w:lineRule="auto"/>
        <w:jc w:val="both"/>
        <w:rPr>
          <w:rFonts w:ascii="Times New Roman" w:eastAsia="Times New Roman" w:hAnsi="Times New Roman" w:cs="Times New Roman"/>
          <w:sz w:val="20"/>
          <w:szCs w:val="20"/>
        </w:rPr>
      </w:pPr>
      <w:r w:rsidRPr="004E5D52">
        <w:rPr>
          <w:rFonts w:ascii="Times New Roman" w:eastAsia="Times New Roman" w:hAnsi="Times New Roman" w:cs="Times New Roman"/>
          <w:b/>
          <w:bCs/>
          <w:sz w:val="20"/>
          <w:szCs w:val="20"/>
        </w:rPr>
        <w:t>Optimization Engine (NSGA-II + GA Hybrid):</w:t>
      </w:r>
      <w:r w:rsidR="00A931BD" w:rsidRPr="004E5D52">
        <w:rPr>
          <w:rFonts w:ascii="Times New Roman" w:eastAsia="Times New Roman" w:hAnsi="Times New Roman" w:cs="Times New Roman"/>
          <w:b/>
          <w:bCs/>
          <w:sz w:val="20"/>
          <w:szCs w:val="20"/>
        </w:rPr>
        <w:t xml:space="preserve"> </w:t>
      </w:r>
      <w:r w:rsidR="00912BDD" w:rsidRPr="004E5D52">
        <w:rPr>
          <w:rFonts w:ascii="Times New Roman" w:eastAsia="Times New Roman" w:hAnsi="Times New Roman" w:cs="Times New Roman"/>
          <w:sz w:val="20"/>
          <w:szCs w:val="20"/>
        </w:rPr>
        <w:t>The optimization engine utilizes a multi-objective genetic algorithm framework combining NSGA-II with custom mutation and crossover functions. It simultaneously minimizes three objective functions:</w:t>
      </w:r>
    </w:p>
    <w:p w14:paraId="190959A4" w14:textId="08E202DB" w:rsidR="00912BDD" w:rsidRPr="00912BDD" w:rsidRDefault="00912BDD" w:rsidP="008B1028">
      <w:pPr>
        <w:numPr>
          <w:ilvl w:val="0"/>
          <w:numId w:val="34"/>
        </w:num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GHG emissions (kg CO</w:t>
      </w:r>
      <w:r w:rsidR="007C2FAF" w:rsidRPr="00A931BD">
        <w:rPr>
          <w:rFonts w:ascii="Times New Roman" w:eastAsia="Times New Roman" w:hAnsi="Times New Roman" w:cs="Times New Roman"/>
          <w:sz w:val="20"/>
          <w:szCs w:val="20"/>
          <w:vertAlign w:val="subscript"/>
        </w:rPr>
        <w:t>2</w:t>
      </w:r>
      <w:r w:rsidRPr="00912BDD">
        <w:rPr>
          <w:rFonts w:ascii="Times New Roman" w:eastAsia="Times New Roman" w:hAnsi="Times New Roman" w:cs="Times New Roman"/>
          <w:sz w:val="20"/>
          <w:szCs w:val="20"/>
        </w:rPr>
        <w:t>-equivalent/day)</w:t>
      </w:r>
      <w:r w:rsidR="007C2FAF" w:rsidRPr="00A931BD">
        <w:rPr>
          <w:rFonts w:ascii="Times New Roman" w:eastAsia="Times New Roman" w:hAnsi="Times New Roman" w:cs="Times New Roman"/>
          <w:sz w:val="20"/>
          <w:szCs w:val="20"/>
        </w:rPr>
        <w:t>.</w:t>
      </w:r>
    </w:p>
    <w:p w14:paraId="16C0B6CE" w14:textId="4AD7F562" w:rsidR="00912BDD" w:rsidRPr="00912BDD" w:rsidRDefault="00912BDD" w:rsidP="008B1028">
      <w:pPr>
        <w:numPr>
          <w:ilvl w:val="0"/>
          <w:numId w:val="34"/>
        </w:num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Waste collection and treatment cost (USD/day)</w:t>
      </w:r>
      <w:r w:rsidR="007C2FAF" w:rsidRPr="00A931BD">
        <w:rPr>
          <w:rFonts w:ascii="Times New Roman" w:eastAsia="Times New Roman" w:hAnsi="Times New Roman" w:cs="Times New Roman"/>
          <w:sz w:val="20"/>
          <w:szCs w:val="20"/>
        </w:rPr>
        <w:t>.</w:t>
      </w:r>
    </w:p>
    <w:p w14:paraId="7A31C896" w14:textId="77777777" w:rsidR="00912BDD" w:rsidRPr="00912BDD" w:rsidRDefault="00912BDD" w:rsidP="008B1028">
      <w:pPr>
        <w:numPr>
          <w:ilvl w:val="0"/>
          <w:numId w:val="34"/>
        </w:num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Energy loss during conversion (kWh/day).</w:t>
      </w:r>
    </w:p>
    <w:p w14:paraId="62E914D5" w14:textId="77777777" w:rsidR="00912BDD" w:rsidRPr="00912BDD" w:rsidRDefault="00912BDD" w:rsidP="00A931BD">
      <w:p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It maximizes two objectives:</w:t>
      </w:r>
    </w:p>
    <w:p w14:paraId="22D1106A" w14:textId="77777777" w:rsidR="00912BDD" w:rsidRPr="00912BDD" w:rsidRDefault="00912BDD" w:rsidP="008B1028">
      <w:pPr>
        <w:numPr>
          <w:ilvl w:val="0"/>
          <w:numId w:val="35"/>
        </w:num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Circularity index (CI),</w:t>
      </w:r>
    </w:p>
    <w:p w14:paraId="496F6E9A" w14:textId="77777777" w:rsidR="00912BDD" w:rsidRPr="00912BDD" w:rsidRDefault="00912BDD" w:rsidP="008B1028">
      <w:pPr>
        <w:numPr>
          <w:ilvl w:val="0"/>
          <w:numId w:val="35"/>
        </w:num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Energy yield (MW/day).</w:t>
      </w:r>
    </w:p>
    <w:p w14:paraId="52F2D758" w14:textId="77777777" w:rsidR="00912BDD" w:rsidRPr="00912BDD" w:rsidRDefault="00912BDD" w:rsidP="00A931BD">
      <w:p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The algorithm evolves solutions over generations, guided by Pareto efficiency and convergence thresholds.</w:t>
      </w:r>
    </w:p>
    <w:p w14:paraId="62FEECCC" w14:textId="0DA87B3D" w:rsidR="00550CCE" w:rsidRPr="004E5D52" w:rsidRDefault="00550CCE" w:rsidP="008B1028">
      <w:pPr>
        <w:pStyle w:val="ListParagraph"/>
        <w:numPr>
          <w:ilvl w:val="0"/>
          <w:numId w:val="37"/>
        </w:numPr>
        <w:spacing w:after="0" w:line="360" w:lineRule="auto"/>
        <w:jc w:val="both"/>
        <w:rPr>
          <w:rFonts w:ascii="Times New Roman" w:eastAsia="Times New Roman" w:hAnsi="Times New Roman" w:cs="Times New Roman"/>
          <w:sz w:val="20"/>
          <w:szCs w:val="20"/>
        </w:rPr>
      </w:pPr>
      <w:r w:rsidRPr="004E5D52">
        <w:rPr>
          <w:rFonts w:ascii="Times New Roman" w:eastAsia="Times New Roman" w:hAnsi="Times New Roman" w:cs="Times New Roman"/>
          <w:b/>
          <w:bCs/>
          <w:sz w:val="20"/>
          <w:szCs w:val="20"/>
        </w:rPr>
        <w:t>Circularity Index Computation:</w:t>
      </w:r>
      <w:r w:rsidR="00A931BD" w:rsidRPr="004E5D52">
        <w:rPr>
          <w:rFonts w:ascii="Times New Roman" w:eastAsia="Times New Roman" w:hAnsi="Times New Roman" w:cs="Times New Roman"/>
          <w:b/>
          <w:bCs/>
          <w:sz w:val="20"/>
          <w:szCs w:val="20"/>
        </w:rPr>
        <w:t xml:space="preserve"> </w:t>
      </w:r>
      <w:r w:rsidRPr="004E5D52">
        <w:rPr>
          <w:rFonts w:ascii="Times New Roman" w:eastAsia="Times New Roman" w:hAnsi="Times New Roman" w:cs="Times New Roman"/>
          <w:sz w:val="20"/>
          <w:szCs w:val="20"/>
        </w:rPr>
        <w:t>Real-time classification of incoming waste streams is achieved through AI-enhanced sensor analytics. The circularity index is computed dynamically using:</w:t>
      </w:r>
    </w:p>
    <w:p w14:paraId="68CF3F19" w14:textId="77777777" w:rsidR="00550CCE" w:rsidRPr="00550CCE" w:rsidRDefault="00550CCE" w:rsidP="008B1028">
      <w:pPr>
        <w:numPr>
          <w:ilvl w:val="0"/>
          <w:numId w:val="36"/>
        </w:numPr>
        <w:spacing w:after="0" w:line="360" w:lineRule="auto"/>
        <w:jc w:val="both"/>
        <w:rPr>
          <w:rFonts w:ascii="Times New Roman" w:eastAsia="Times New Roman" w:hAnsi="Times New Roman" w:cs="Times New Roman"/>
          <w:sz w:val="20"/>
          <w:szCs w:val="20"/>
        </w:rPr>
      </w:pPr>
      <w:r w:rsidRPr="00550CCE">
        <w:rPr>
          <w:rFonts w:ascii="Times New Roman" w:eastAsia="Times New Roman" w:hAnsi="Times New Roman" w:cs="Times New Roman"/>
          <w:sz w:val="20"/>
          <w:szCs w:val="20"/>
        </w:rPr>
        <w:t>Percentage of waste recovered for recycling or composting,</w:t>
      </w:r>
    </w:p>
    <w:p w14:paraId="71B49EFC" w14:textId="77777777" w:rsidR="00550CCE" w:rsidRPr="00550CCE" w:rsidRDefault="00550CCE" w:rsidP="008B1028">
      <w:pPr>
        <w:numPr>
          <w:ilvl w:val="0"/>
          <w:numId w:val="36"/>
        </w:numPr>
        <w:spacing w:after="0" w:line="360" w:lineRule="auto"/>
        <w:jc w:val="both"/>
        <w:rPr>
          <w:rFonts w:ascii="Times New Roman" w:eastAsia="Times New Roman" w:hAnsi="Times New Roman" w:cs="Times New Roman"/>
          <w:sz w:val="20"/>
          <w:szCs w:val="20"/>
        </w:rPr>
      </w:pPr>
      <w:r w:rsidRPr="00550CCE">
        <w:rPr>
          <w:rFonts w:ascii="Times New Roman" w:eastAsia="Times New Roman" w:hAnsi="Times New Roman" w:cs="Times New Roman"/>
          <w:sz w:val="20"/>
          <w:szCs w:val="20"/>
        </w:rPr>
        <w:t>Energy generated per unit input,</w:t>
      </w:r>
    </w:p>
    <w:p w14:paraId="394421E2" w14:textId="77777777" w:rsidR="00550CCE" w:rsidRPr="00550CCE" w:rsidRDefault="00550CCE" w:rsidP="008B1028">
      <w:pPr>
        <w:numPr>
          <w:ilvl w:val="0"/>
          <w:numId w:val="36"/>
        </w:numPr>
        <w:spacing w:after="0" w:line="360" w:lineRule="auto"/>
        <w:jc w:val="both"/>
        <w:rPr>
          <w:rFonts w:ascii="Times New Roman" w:eastAsia="Times New Roman" w:hAnsi="Times New Roman" w:cs="Times New Roman"/>
          <w:sz w:val="20"/>
          <w:szCs w:val="20"/>
        </w:rPr>
      </w:pPr>
      <w:r w:rsidRPr="00550CCE">
        <w:rPr>
          <w:rFonts w:ascii="Times New Roman" w:eastAsia="Times New Roman" w:hAnsi="Times New Roman" w:cs="Times New Roman"/>
          <w:sz w:val="20"/>
          <w:szCs w:val="20"/>
        </w:rPr>
        <w:t>Emissions offset compared to baseline.</w:t>
      </w:r>
    </w:p>
    <w:p w14:paraId="05D4AA28" w14:textId="77777777" w:rsidR="00550CCE" w:rsidRPr="00550CCE" w:rsidRDefault="00550CCE" w:rsidP="00A931BD">
      <w:pPr>
        <w:spacing w:after="0" w:line="360" w:lineRule="auto"/>
        <w:jc w:val="both"/>
        <w:rPr>
          <w:rFonts w:ascii="Times New Roman" w:eastAsia="Times New Roman" w:hAnsi="Times New Roman" w:cs="Times New Roman"/>
          <w:sz w:val="20"/>
          <w:szCs w:val="20"/>
        </w:rPr>
      </w:pPr>
      <w:r w:rsidRPr="00550CCE">
        <w:rPr>
          <w:rFonts w:ascii="Times New Roman" w:eastAsia="Times New Roman" w:hAnsi="Times New Roman" w:cs="Times New Roman"/>
          <w:sz w:val="20"/>
          <w:szCs w:val="20"/>
        </w:rPr>
        <w:t>This index is updated hourly and stored in a distributed database for longitudinal performance tracking.</w:t>
      </w:r>
    </w:p>
    <w:p w14:paraId="59DBBB11" w14:textId="28CE5F0E" w:rsidR="00C20150" w:rsidRPr="004E5D52" w:rsidRDefault="00C20150" w:rsidP="008B1028">
      <w:pPr>
        <w:pStyle w:val="ListParagraph"/>
        <w:numPr>
          <w:ilvl w:val="0"/>
          <w:numId w:val="37"/>
        </w:numPr>
        <w:spacing w:after="0" w:line="360" w:lineRule="auto"/>
        <w:jc w:val="both"/>
        <w:rPr>
          <w:rFonts w:ascii="Times New Roman" w:hAnsi="Times New Roman" w:cs="Times New Roman"/>
          <w:sz w:val="20"/>
          <w:szCs w:val="20"/>
        </w:rPr>
      </w:pPr>
      <w:r w:rsidRPr="004E5D52">
        <w:rPr>
          <w:rFonts w:ascii="Times New Roman" w:eastAsia="Times New Roman" w:hAnsi="Times New Roman" w:cs="Times New Roman"/>
          <w:b/>
          <w:bCs/>
          <w:sz w:val="20"/>
          <w:szCs w:val="20"/>
        </w:rPr>
        <w:t>Edge-AI and IoT Data Pipeline:</w:t>
      </w:r>
      <w:r w:rsidR="00A931BD" w:rsidRPr="004E5D52">
        <w:rPr>
          <w:rFonts w:ascii="Times New Roman" w:eastAsia="Times New Roman" w:hAnsi="Times New Roman" w:cs="Times New Roman"/>
          <w:b/>
          <w:bCs/>
          <w:sz w:val="20"/>
          <w:szCs w:val="20"/>
        </w:rPr>
        <w:t xml:space="preserve"> </w:t>
      </w:r>
      <w:r w:rsidRPr="004E5D52">
        <w:rPr>
          <w:rFonts w:ascii="Times New Roman" w:hAnsi="Times New Roman" w:cs="Times New Roman"/>
          <w:sz w:val="20"/>
          <w:szCs w:val="20"/>
        </w:rPr>
        <w:t xml:space="preserve">IoT sensors deployed in smart bins, trucks, and treatment units collect data on volume, composition, and environmental parameters. Lightweight AI models on edge devices process the data </w:t>
      </w:r>
      <w:r w:rsidRPr="004E5D52">
        <w:rPr>
          <w:rFonts w:ascii="Times New Roman" w:hAnsi="Times New Roman" w:cs="Times New Roman"/>
          <w:sz w:val="20"/>
          <w:szCs w:val="20"/>
        </w:rPr>
        <w:lastRenderedPageBreak/>
        <w:t xml:space="preserve">locally and transmit results to a central server using MQTT or </w:t>
      </w:r>
      <w:proofErr w:type="spellStart"/>
      <w:r w:rsidRPr="004E5D52">
        <w:rPr>
          <w:rFonts w:ascii="Times New Roman" w:hAnsi="Times New Roman" w:cs="Times New Roman"/>
          <w:sz w:val="20"/>
          <w:szCs w:val="20"/>
        </w:rPr>
        <w:t>LoRaWAN</w:t>
      </w:r>
      <w:proofErr w:type="spellEnd"/>
      <w:r w:rsidRPr="004E5D52">
        <w:rPr>
          <w:rFonts w:ascii="Times New Roman" w:hAnsi="Times New Roman" w:cs="Times New Roman"/>
          <w:sz w:val="20"/>
          <w:szCs w:val="20"/>
        </w:rPr>
        <w:t xml:space="preserve"> protocols. Blockchain-based logs ensure secure and auditable recording of all transactions. </w:t>
      </w:r>
    </w:p>
    <w:p w14:paraId="5DA45EFB" w14:textId="0C281E5A" w:rsidR="00C20150" w:rsidRPr="00976C05" w:rsidRDefault="00C20150" w:rsidP="00976C05">
      <w:pPr>
        <w:pStyle w:val="NormalWeb"/>
        <w:spacing w:before="0" w:beforeAutospacing="0" w:after="0" w:afterAutospacing="0" w:line="360" w:lineRule="auto"/>
        <w:jc w:val="both"/>
        <w:rPr>
          <w:sz w:val="20"/>
          <w:szCs w:val="20"/>
        </w:rPr>
      </w:pPr>
      <w:r w:rsidRPr="00976C05">
        <w:rPr>
          <w:sz w:val="20"/>
          <w:szCs w:val="20"/>
        </w:rPr>
        <w:t>These workflows are modular, allowing adaptation to other cities with variable technological readiness.</w:t>
      </w:r>
    </w:p>
    <w:p w14:paraId="7A210DC7" w14:textId="50E6948B" w:rsidR="00C20150" w:rsidRPr="00976C05" w:rsidRDefault="00C20150" w:rsidP="00976C05">
      <w:pPr>
        <w:pStyle w:val="NormalWeb"/>
        <w:spacing w:before="0" w:beforeAutospacing="0" w:after="0" w:afterAutospacing="0" w:line="360" w:lineRule="auto"/>
        <w:jc w:val="both"/>
        <w:rPr>
          <w:sz w:val="20"/>
          <w:szCs w:val="20"/>
        </w:rPr>
      </w:pPr>
    </w:p>
    <w:p w14:paraId="66A165F5" w14:textId="77777777" w:rsidR="00976C05" w:rsidRPr="00976C05" w:rsidRDefault="00976C05" w:rsidP="00976C05">
      <w:pPr>
        <w:spacing w:after="0" w:line="360" w:lineRule="auto"/>
        <w:jc w:val="both"/>
        <w:rPr>
          <w:rFonts w:ascii="Times New Roman" w:hAnsi="Times New Roman" w:cs="Times New Roman"/>
          <w:b/>
          <w:bCs/>
          <w:sz w:val="20"/>
          <w:szCs w:val="20"/>
        </w:rPr>
      </w:pPr>
      <w:r w:rsidRPr="00976C05">
        <w:rPr>
          <w:rFonts w:ascii="Times New Roman" w:hAnsi="Times New Roman" w:cs="Times New Roman"/>
          <w:b/>
          <w:bCs/>
          <w:sz w:val="20"/>
          <w:szCs w:val="20"/>
        </w:rPr>
        <w:t>ALGORITHMS AND EQUATIONS</w:t>
      </w:r>
    </w:p>
    <w:p w14:paraId="58D15A7E" w14:textId="3E9E6FFE"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sz w:val="20"/>
          <w:szCs w:val="20"/>
        </w:rPr>
        <w:t>To operationalize the AI</w:t>
      </w:r>
      <w:r w:rsidR="003B291D">
        <w:rPr>
          <w:rFonts w:ascii="Times New Roman" w:hAnsi="Times New Roman" w:cs="Times New Roman"/>
          <w:sz w:val="20"/>
          <w:szCs w:val="20"/>
        </w:rPr>
        <w:t>-</w:t>
      </w:r>
      <w:r w:rsidRPr="00976C05">
        <w:rPr>
          <w:rFonts w:ascii="Times New Roman" w:hAnsi="Times New Roman" w:cs="Times New Roman"/>
          <w:sz w:val="20"/>
          <w:szCs w:val="20"/>
        </w:rPr>
        <w:t>CIR</w:t>
      </w:r>
      <w:r w:rsidR="003B291D">
        <w:rPr>
          <w:rFonts w:ascii="Times New Roman" w:hAnsi="Times New Roman" w:cs="Times New Roman"/>
          <w:sz w:val="20"/>
          <w:szCs w:val="20"/>
        </w:rPr>
        <w:t>-</w:t>
      </w:r>
      <w:proofErr w:type="spellStart"/>
      <w:r w:rsidRPr="00976C05">
        <w:rPr>
          <w:rFonts w:ascii="Times New Roman" w:hAnsi="Times New Roman" w:cs="Times New Roman"/>
          <w:sz w:val="20"/>
          <w:szCs w:val="20"/>
        </w:rPr>
        <w:t>WtE</w:t>
      </w:r>
      <w:proofErr w:type="spellEnd"/>
      <w:r w:rsidRPr="00976C05">
        <w:rPr>
          <w:rFonts w:ascii="Times New Roman" w:hAnsi="Times New Roman" w:cs="Times New Roman"/>
          <w:sz w:val="20"/>
          <w:szCs w:val="20"/>
        </w:rPr>
        <w:t xml:space="preserve"> framework, a set of core algorithms and mathematical formulations is used to enable forecasting, optimization, and sustainability assessment. These equations form the analytical engine for model calibration, policy scenario simulation, and decision support within the waste-to-energy (</w:t>
      </w:r>
      <w:proofErr w:type="spellStart"/>
      <w:r w:rsidRPr="00976C05">
        <w:rPr>
          <w:rFonts w:ascii="Times New Roman" w:hAnsi="Times New Roman" w:cs="Times New Roman"/>
          <w:sz w:val="20"/>
          <w:szCs w:val="20"/>
        </w:rPr>
        <w:t>WtE</w:t>
      </w:r>
      <w:proofErr w:type="spellEnd"/>
      <w:r w:rsidRPr="00976C05">
        <w:rPr>
          <w:rFonts w:ascii="Times New Roman" w:hAnsi="Times New Roman" w:cs="Times New Roman"/>
          <w:sz w:val="20"/>
          <w:szCs w:val="20"/>
        </w:rPr>
        <w:t>) infrastructure planning ecosystem.</w:t>
      </w:r>
    </w:p>
    <w:p w14:paraId="72898297" w14:textId="77777777" w:rsidR="00976C05" w:rsidRPr="00976C05" w:rsidRDefault="00976C05" w:rsidP="008B1028">
      <w:pPr>
        <w:pStyle w:val="Heading2"/>
        <w:numPr>
          <w:ilvl w:val="0"/>
          <w:numId w:val="49"/>
        </w:numPr>
        <w:tabs>
          <w:tab w:val="num" w:pos="360"/>
        </w:tabs>
        <w:spacing w:before="0" w:line="360" w:lineRule="auto"/>
        <w:ind w:left="360"/>
        <w:jc w:val="both"/>
        <w:rPr>
          <w:rFonts w:ascii="Times New Roman" w:hAnsi="Times New Roman" w:cs="Times New Roman"/>
          <w:color w:val="auto"/>
          <w:sz w:val="20"/>
          <w:szCs w:val="20"/>
        </w:rPr>
      </w:pPr>
      <w:r w:rsidRPr="009C24A2">
        <w:rPr>
          <w:rFonts w:ascii="Times New Roman" w:hAnsi="Times New Roman" w:cs="Times New Roman"/>
          <w:b/>
          <w:bCs/>
          <w:color w:val="auto"/>
          <w:sz w:val="20"/>
          <w:szCs w:val="20"/>
        </w:rPr>
        <w:t>Waste Forecasting Equation (LSTM/ARIMA):</w:t>
      </w:r>
      <w:r w:rsidRPr="00976C05">
        <w:rPr>
          <w:rFonts w:ascii="Times New Roman" w:hAnsi="Times New Roman" w:cs="Times New Roman"/>
          <w:color w:val="auto"/>
          <w:sz w:val="20"/>
          <w:szCs w:val="20"/>
        </w:rPr>
        <w:t xml:space="preserve"> Accurate waste forecasting is critical for resource allocation, dynamic route planning, and treatment optimization. For this, Long Short-Term Memory (LSTM) networks are employed as the primary model, with ARIMA models used for baseline validation.</w:t>
      </w:r>
    </w:p>
    <w:p w14:paraId="2063CD7F" w14:textId="77777777" w:rsidR="00976C05" w:rsidRPr="009C24A2" w:rsidRDefault="00976C05" w:rsidP="008B1028">
      <w:pPr>
        <w:pStyle w:val="ListParagraph"/>
        <w:numPr>
          <w:ilvl w:val="0"/>
          <w:numId w:val="50"/>
        </w:numPr>
        <w:spacing w:after="0" w:line="360" w:lineRule="auto"/>
        <w:jc w:val="both"/>
        <w:rPr>
          <w:rFonts w:ascii="Times New Roman" w:hAnsi="Times New Roman" w:cs="Times New Roman"/>
          <w:b/>
          <w:bCs/>
          <w:sz w:val="20"/>
          <w:szCs w:val="20"/>
        </w:rPr>
      </w:pPr>
      <w:r w:rsidRPr="009C24A2">
        <w:rPr>
          <w:rFonts w:ascii="Times New Roman" w:hAnsi="Times New Roman" w:cs="Times New Roman"/>
          <w:b/>
          <w:bCs/>
          <w:sz w:val="20"/>
          <w:szCs w:val="20"/>
        </w:rPr>
        <w:t>LSTM-Based Forecasting:</w:t>
      </w:r>
    </w:p>
    <w:p w14:paraId="2FCF57AE" w14:textId="77777777" w:rsidR="00976C05" w:rsidRPr="00976C05" w:rsidRDefault="00976C05" w:rsidP="00976C05">
      <w:pPr>
        <w:spacing w:after="0" w:line="360" w:lineRule="auto"/>
        <w:jc w:val="center"/>
        <w:rPr>
          <w:rFonts w:ascii="Times New Roman" w:hAnsi="Times New Roman" w:cs="Times New Roman"/>
          <w:b/>
          <w:bCs/>
          <w:sz w:val="24"/>
          <w:szCs w:val="24"/>
        </w:rPr>
      </w:pPr>
      <w:r w:rsidRPr="00976C05">
        <w:rPr>
          <w:rFonts w:ascii="Times New Roman" w:hAnsi="Times New Roman" w:cs="Times New Roman"/>
          <w:b/>
          <w:bCs/>
          <w:sz w:val="24"/>
          <w:szCs w:val="24"/>
        </w:rPr>
        <w:t>Ŵ</w:t>
      </w:r>
      <w:r w:rsidRPr="00976C05">
        <w:rPr>
          <w:rFonts w:ascii="Times New Roman" w:hAnsi="Times New Roman" w:cs="Times New Roman"/>
          <w:b/>
          <w:bCs/>
          <w:sz w:val="24"/>
          <w:szCs w:val="24"/>
          <w:vertAlign w:val="subscript"/>
        </w:rPr>
        <w:t>t+1</w:t>
      </w:r>
      <w:r w:rsidRPr="00976C05">
        <w:rPr>
          <w:rFonts w:ascii="Times New Roman" w:hAnsi="Times New Roman" w:cs="Times New Roman"/>
          <w:b/>
          <w:bCs/>
          <w:sz w:val="24"/>
          <w:szCs w:val="24"/>
        </w:rPr>
        <w:t xml:space="preserve"> = f (Wₜ, W</w:t>
      </w:r>
      <w:r w:rsidRPr="00976C05">
        <w:rPr>
          <w:rFonts w:ascii="Times New Roman" w:hAnsi="Times New Roman" w:cs="Times New Roman"/>
          <w:b/>
          <w:bCs/>
          <w:sz w:val="24"/>
          <w:szCs w:val="24"/>
          <w:vertAlign w:val="subscript"/>
        </w:rPr>
        <w:t>t-1</w:t>
      </w:r>
      <w:r w:rsidRPr="00976C05">
        <w:rPr>
          <w:rFonts w:ascii="Times New Roman" w:hAnsi="Times New Roman" w:cs="Times New Roman"/>
          <w:b/>
          <w:bCs/>
          <w:sz w:val="24"/>
          <w:szCs w:val="24"/>
        </w:rPr>
        <w:t xml:space="preserve">, ..., </w:t>
      </w:r>
      <w:proofErr w:type="spellStart"/>
      <w:r w:rsidRPr="00976C05">
        <w:rPr>
          <w:rFonts w:ascii="Times New Roman" w:hAnsi="Times New Roman" w:cs="Times New Roman"/>
          <w:b/>
          <w:bCs/>
          <w:sz w:val="24"/>
          <w:szCs w:val="24"/>
        </w:rPr>
        <w:t>W</w:t>
      </w:r>
      <w:r w:rsidRPr="00976C05">
        <w:rPr>
          <w:rFonts w:ascii="Times New Roman" w:hAnsi="Times New Roman" w:cs="Times New Roman"/>
          <w:b/>
          <w:bCs/>
          <w:sz w:val="24"/>
          <w:szCs w:val="24"/>
          <w:vertAlign w:val="subscript"/>
        </w:rPr>
        <w:t>t</w:t>
      </w:r>
      <w:proofErr w:type="spellEnd"/>
      <w:r w:rsidRPr="00976C05">
        <w:rPr>
          <w:rFonts w:ascii="Times New Roman" w:hAnsi="Times New Roman" w:cs="Times New Roman"/>
          <w:b/>
          <w:bCs/>
          <w:sz w:val="24"/>
          <w:szCs w:val="24"/>
          <w:vertAlign w:val="subscript"/>
        </w:rPr>
        <w:t>-n</w:t>
      </w:r>
      <w:r w:rsidRPr="00976C05">
        <w:rPr>
          <w:rFonts w:ascii="Times New Roman" w:hAnsi="Times New Roman" w:cs="Times New Roman"/>
          <w:b/>
          <w:bCs/>
          <w:sz w:val="24"/>
          <w:szCs w:val="24"/>
        </w:rPr>
        <w:t xml:space="preserve">; </w:t>
      </w:r>
      <w:proofErr w:type="spellStart"/>
      <w:r w:rsidRPr="00976C05">
        <w:rPr>
          <w:rFonts w:ascii="Times New Roman" w:hAnsi="Times New Roman" w:cs="Times New Roman"/>
          <w:b/>
          <w:bCs/>
          <w:sz w:val="24"/>
          <w:szCs w:val="24"/>
        </w:rPr>
        <w:t>X</w:t>
      </w:r>
      <w:r w:rsidRPr="00976C05">
        <w:rPr>
          <w:rFonts w:ascii="Times New Roman" w:hAnsi="Times New Roman" w:cs="Times New Roman"/>
          <w:b/>
          <w:bCs/>
          <w:sz w:val="24"/>
          <w:szCs w:val="24"/>
          <w:vertAlign w:val="subscript"/>
        </w:rPr>
        <w:t>t</w:t>
      </w:r>
      <w:proofErr w:type="spellEnd"/>
      <w:r w:rsidRPr="00976C05">
        <w:rPr>
          <w:rFonts w:ascii="Times New Roman" w:hAnsi="Times New Roman" w:cs="Times New Roman"/>
          <w:b/>
          <w:bCs/>
          <w:sz w:val="24"/>
          <w:szCs w:val="24"/>
        </w:rPr>
        <w:t>)</w:t>
      </w:r>
    </w:p>
    <w:p w14:paraId="4063802F"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sz w:val="20"/>
          <w:szCs w:val="20"/>
        </w:rPr>
        <w:t>Where:</w:t>
      </w:r>
      <w:r w:rsidRPr="00976C05">
        <w:rPr>
          <w:rFonts w:ascii="Times New Roman" w:hAnsi="Times New Roman" w:cs="Times New Roman"/>
          <w:sz w:val="20"/>
          <w:szCs w:val="20"/>
        </w:rPr>
        <w:br/>
      </w:r>
      <w:r w:rsidRPr="00976C05">
        <w:rPr>
          <w:rFonts w:ascii="Times New Roman" w:hAnsi="Times New Roman" w:cs="Times New Roman"/>
          <w:b/>
          <w:bCs/>
          <w:sz w:val="20"/>
          <w:szCs w:val="20"/>
        </w:rPr>
        <w:t>Ŵ</w:t>
      </w:r>
      <w:r w:rsidRPr="00976C05">
        <w:rPr>
          <w:rFonts w:ascii="Times New Roman" w:hAnsi="Times New Roman" w:cs="Times New Roman"/>
          <w:b/>
          <w:bCs/>
          <w:sz w:val="20"/>
          <w:szCs w:val="20"/>
          <w:vertAlign w:val="subscript"/>
        </w:rPr>
        <w:t>t+1</w:t>
      </w:r>
      <w:r w:rsidRPr="00976C05">
        <w:rPr>
          <w:rFonts w:ascii="Times New Roman" w:hAnsi="Times New Roman" w:cs="Times New Roman"/>
          <w:sz w:val="20"/>
          <w:szCs w:val="20"/>
        </w:rPr>
        <w:t xml:space="preserve"> = Predicted waste generation at time t+1.</w:t>
      </w:r>
    </w:p>
    <w:p w14:paraId="443959F9" w14:textId="77777777" w:rsidR="00976C05" w:rsidRPr="00976C05" w:rsidRDefault="00976C05" w:rsidP="00976C05">
      <w:pPr>
        <w:spacing w:after="0" w:line="360" w:lineRule="auto"/>
        <w:jc w:val="both"/>
        <w:rPr>
          <w:rFonts w:ascii="Times New Roman" w:hAnsi="Times New Roman" w:cs="Times New Roman"/>
          <w:sz w:val="20"/>
          <w:szCs w:val="20"/>
        </w:rPr>
      </w:pPr>
      <w:proofErr w:type="spellStart"/>
      <w:r w:rsidRPr="00976C05">
        <w:rPr>
          <w:rFonts w:ascii="Times New Roman" w:hAnsi="Times New Roman" w:cs="Times New Roman"/>
          <w:b/>
          <w:bCs/>
          <w:sz w:val="20"/>
          <w:szCs w:val="20"/>
        </w:rPr>
        <w:t>W</w:t>
      </w:r>
      <w:r w:rsidRPr="00976C05">
        <w:rPr>
          <w:rFonts w:ascii="Times New Roman" w:hAnsi="Times New Roman" w:cs="Times New Roman"/>
          <w:b/>
          <w:bCs/>
          <w:sz w:val="20"/>
          <w:szCs w:val="20"/>
          <w:vertAlign w:val="subscript"/>
        </w:rPr>
        <w:t>t</w:t>
      </w:r>
      <w:proofErr w:type="spellEnd"/>
      <w:r w:rsidRPr="00976C05">
        <w:rPr>
          <w:rFonts w:ascii="Times New Roman" w:hAnsi="Times New Roman" w:cs="Times New Roman"/>
          <w:b/>
          <w:bCs/>
          <w:sz w:val="20"/>
          <w:szCs w:val="20"/>
        </w:rPr>
        <w:t>, W</w:t>
      </w:r>
      <w:r w:rsidRPr="00976C05">
        <w:rPr>
          <w:rFonts w:ascii="Times New Roman" w:hAnsi="Times New Roman" w:cs="Times New Roman"/>
          <w:b/>
          <w:bCs/>
          <w:sz w:val="20"/>
          <w:szCs w:val="20"/>
          <w:vertAlign w:val="subscript"/>
        </w:rPr>
        <w:t>t-1</w:t>
      </w:r>
      <w:r w:rsidRPr="00976C05">
        <w:rPr>
          <w:rFonts w:ascii="Times New Roman" w:hAnsi="Times New Roman" w:cs="Times New Roman"/>
          <w:b/>
          <w:bCs/>
          <w:sz w:val="20"/>
          <w:szCs w:val="20"/>
        </w:rPr>
        <w:t>, ...</w:t>
      </w:r>
      <w:r w:rsidRPr="00976C05">
        <w:rPr>
          <w:rFonts w:ascii="Times New Roman" w:hAnsi="Times New Roman" w:cs="Times New Roman"/>
          <w:sz w:val="20"/>
          <w:szCs w:val="20"/>
        </w:rPr>
        <w:t xml:space="preserve"> = Historical waste data.</w:t>
      </w:r>
    </w:p>
    <w:p w14:paraId="673D898F" w14:textId="77777777" w:rsidR="00976C05" w:rsidRPr="00976C05" w:rsidRDefault="00976C05" w:rsidP="00976C05">
      <w:pPr>
        <w:spacing w:after="0" w:line="360" w:lineRule="auto"/>
        <w:jc w:val="both"/>
        <w:rPr>
          <w:rFonts w:ascii="Times New Roman" w:hAnsi="Times New Roman" w:cs="Times New Roman"/>
          <w:sz w:val="20"/>
          <w:szCs w:val="20"/>
        </w:rPr>
      </w:pPr>
      <w:proofErr w:type="spellStart"/>
      <w:r w:rsidRPr="00976C05">
        <w:rPr>
          <w:rFonts w:ascii="Times New Roman" w:hAnsi="Times New Roman" w:cs="Times New Roman"/>
          <w:b/>
          <w:bCs/>
          <w:sz w:val="20"/>
          <w:szCs w:val="20"/>
        </w:rPr>
        <w:t>X</w:t>
      </w:r>
      <w:r w:rsidRPr="00976C05">
        <w:rPr>
          <w:rFonts w:ascii="Times New Roman" w:hAnsi="Times New Roman" w:cs="Times New Roman"/>
          <w:b/>
          <w:bCs/>
          <w:sz w:val="20"/>
          <w:szCs w:val="20"/>
          <w:vertAlign w:val="subscript"/>
        </w:rPr>
        <w:t>t</w:t>
      </w:r>
      <w:proofErr w:type="spellEnd"/>
      <w:r w:rsidRPr="00976C05">
        <w:rPr>
          <w:rFonts w:ascii="Times New Roman" w:hAnsi="Times New Roman" w:cs="Times New Roman"/>
          <w:sz w:val="20"/>
          <w:szCs w:val="20"/>
        </w:rPr>
        <w:t xml:space="preserve"> = Auxiliary features (e.g., rainfall, population, market activity).</w:t>
      </w:r>
    </w:p>
    <w:p w14:paraId="3ED32690"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f (·)</w:t>
      </w:r>
      <w:r w:rsidRPr="00976C05">
        <w:rPr>
          <w:rFonts w:ascii="Times New Roman" w:hAnsi="Times New Roman" w:cs="Times New Roman"/>
          <w:sz w:val="20"/>
          <w:szCs w:val="20"/>
        </w:rPr>
        <w:t xml:space="preserve"> = Transformation function learned by LSTM.</w:t>
      </w:r>
    </w:p>
    <w:p w14:paraId="457B4691" w14:textId="77777777" w:rsidR="00976C05" w:rsidRPr="009C24A2" w:rsidRDefault="00976C05" w:rsidP="008B1028">
      <w:pPr>
        <w:pStyle w:val="ListParagraph"/>
        <w:numPr>
          <w:ilvl w:val="0"/>
          <w:numId w:val="50"/>
        </w:numPr>
        <w:spacing w:after="0" w:line="360" w:lineRule="auto"/>
        <w:jc w:val="both"/>
        <w:rPr>
          <w:rFonts w:ascii="Times New Roman" w:hAnsi="Times New Roman" w:cs="Times New Roman"/>
          <w:b/>
          <w:bCs/>
          <w:sz w:val="20"/>
          <w:szCs w:val="20"/>
        </w:rPr>
      </w:pPr>
      <w:r w:rsidRPr="009C24A2">
        <w:rPr>
          <w:rFonts w:ascii="Times New Roman" w:hAnsi="Times New Roman" w:cs="Times New Roman"/>
          <w:b/>
          <w:bCs/>
          <w:sz w:val="20"/>
          <w:szCs w:val="20"/>
        </w:rPr>
        <w:t>ARIMA-Based Forecasting (Baseline):</w:t>
      </w:r>
    </w:p>
    <w:p w14:paraId="254F03DE" w14:textId="77777777" w:rsidR="00976C05" w:rsidRPr="00976C05" w:rsidRDefault="00976C05" w:rsidP="00976C05">
      <w:pPr>
        <w:spacing w:after="0" w:line="360" w:lineRule="auto"/>
        <w:jc w:val="center"/>
        <w:rPr>
          <w:rFonts w:ascii="Times New Roman" w:hAnsi="Times New Roman" w:cs="Times New Roman"/>
          <w:b/>
          <w:bCs/>
          <w:sz w:val="24"/>
          <w:szCs w:val="24"/>
        </w:rPr>
      </w:pPr>
      <w:r w:rsidRPr="00976C05">
        <w:rPr>
          <w:rFonts w:ascii="Times New Roman" w:hAnsi="Times New Roman" w:cs="Times New Roman"/>
          <w:b/>
          <w:bCs/>
          <w:sz w:val="24"/>
          <w:szCs w:val="24"/>
        </w:rPr>
        <w:t>Wₜ = α + ∑(φᵢ·Wₜ₋ᵢ) + ∑(θⱼ·εₜ₋ⱼ) + εₜ</w:t>
      </w:r>
    </w:p>
    <w:p w14:paraId="6354114C"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sz w:val="20"/>
          <w:szCs w:val="20"/>
        </w:rPr>
        <w:t xml:space="preserve">Where </w:t>
      </w:r>
      <w:r w:rsidRPr="00976C05">
        <w:rPr>
          <w:rFonts w:ascii="Times New Roman" w:hAnsi="Times New Roman" w:cs="Times New Roman"/>
          <w:b/>
          <w:bCs/>
          <w:sz w:val="20"/>
          <w:szCs w:val="20"/>
        </w:rPr>
        <w:t xml:space="preserve">φᵢ </w:t>
      </w:r>
      <w:r w:rsidRPr="00976C05">
        <w:rPr>
          <w:rFonts w:ascii="Times New Roman" w:hAnsi="Times New Roman" w:cs="Times New Roman"/>
          <w:sz w:val="20"/>
          <w:szCs w:val="20"/>
        </w:rPr>
        <w:t xml:space="preserve">= AR coefficients, </w:t>
      </w:r>
      <w:r w:rsidRPr="00976C05">
        <w:rPr>
          <w:rFonts w:ascii="Times New Roman" w:hAnsi="Times New Roman" w:cs="Times New Roman"/>
          <w:b/>
          <w:bCs/>
          <w:sz w:val="20"/>
          <w:szCs w:val="20"/>
        </w:rPr>
        <w:t>θⱼ</w:t>
      </w:r>
      <w:r w:rsidRPr="00976C05">
        <w:rPr>
          <w:rFonts w:ascii="Times New Roman" w:hAnsi="Times New Roman" w:cs="Times New Roman"/>
          <w:sz w:val="20"/>
          <w:szCs w:val="20"/>
        </w:rPr>
        <w:t xml:space="preserve"> = MA coefficients, </w:t>
      </w:r>
      <w:r w:rsidRPr="00976C05">
        <w:rPr>
          <w:rFonts w:ascii="Times New Roman" w:hAnsi="Times New Roman" w:cs="Times New Roman"/>
          <w:b/>
          <w:bCs/>
          <w:sz w:val="20"/>
          <w:szCs w:val="20"/>
        </w:rPr>
        <w:t>εₜ</w:t>
      </w:r>
      <w:r w:rsidRPr="00976C05">
        <w:rPr>
          <w:rFonts w:ascii="Times New Roman" w:hAnsi="Times New Roman" w:cs="Times New Roman"/>
          <w:sz w:val="20"/>
          <w:szCs w:val="20"/>
        </w:rPr>
        <w:t xml:space="preserve"> = error term.</w:t>
      </w:r>
    </w:p>
    <w:p w14:paraId="2B286C8C" w14:textId="77777777" w:rsidR="00976C05" w:rsidRPr="009C24A2" w:rsidRDefault="00976C05" w:rsidP="008B1028">
      <w:pPr>
        <w:pStyle w:val="Heading2"/>
        <w:numPr>
          <w:ilvl w:val="0"/>
          <w:numId w:val="49"/>
        </w:numPr>
        <w:tabs>
          <w:tab w:val="num" w:pos="360"/>
        </w:tabs>
        <w:spacing w:before="0" w:line="360" w:lineRule="auto"/>
        <w:ind w:left="360"/>
        <w:jc w:val="both"/>
        <w:rPr>
          <w:rFonts w:ascii="Times New Roman" w:hAnsi="Times New Roman" w:cs="Times New Roman"/>
          <w:b/>
          <w:bCs/>
          <w:color w:val="auto"/>
          <w:sz w:val="20"/>
          <w:szCs w:val="20"/>
        </w:rPr>
      </w:pPr>
      <w:r w:rsidRPr="009C24A2">
        <w:rPr>
          <w:rFonts w:ascii="Times New Roman" w:hAnsi="Times New Roman" w:cs="Times New Roman"/>
          <w:b/>
          <w:bCs/>
          <w:color w:val="auto"/>
          <w:sz w:val="20"/>
          <w:szCs w:val="20"/>
        </w:rPr>
        <w:t>Energy Recovery Potential Equation:</w:t>
      </w:r>
    </w:p>
    <w:p w14:paraId="48D90BD4" w14:textId="77777777" w:rsidR="00976C05" w:rsidRPr="00976C05" w:rsidRDefault="00976C05" w:rsidP="00976C05">
      <w:pPr>
        <w:spacing w:after="0" w:line="360" w:lineRule="auto"/>
        <w:jc w:val="center"/>
        <w:rPr>
          <w:rFonts w:ascii="Times New Roman" w:hAnsi="Times New Roman" w:cs="Times New Roman"/>
          <w:b/>
          <w:bCs/>
          <w:sz w:val="24"/>
          <w:szCs w:val="24"/>
        </w:rPr>
      </w:pPr>
      <w:r w:rsidRPr="00976C05">
        <w:rPr>
          <w:rFonts w:ascii="Times New Roman" w:hAnsi="Times New Roman" w:cs="Times New Roman"/>
          <w:b/>
          <w:bCs/>
          <w:sz w:val="24"/>
          <w:szCs w:val="24"/>
        </w:rPr>
        <w:t>ERP = Σ (W</w:t>
      </w:r>
      <w:r w:rsidRPr="00976C05">
        <w:rPr>
          <w:rFonts w:ascii="Times New Roman" w:hAnsi="Times New Roman" w:cs="Times New Roman"/>
          <w:b/>
          <w:bCs/>
          <w:sz w:val="24"/>
          <w:szCs w:val="24"/>
          <w:vertAlign w:val="subscript"/>
        </w:rPr>
        <w:t>i</w:t>
      </w:r>
      <w:r w:rsidRPr="00976C05">
        <w:rPr>
          <w:rFonts w:ascii="Times New Roman" w:hAnsi="Times New Roman" w:cs="Times New Roman"/>
          <w:b/>
          <w:bCs/>
          <w:sz w:val="24"/>
          <w:szCs w:val="24"/>
        </w:rPr>
        <w:t xml:space="preserve"> × </w:t>
      </w:r>
      <w:proofErr w:type="spellStart"/>
      <w:r w:rsidRPr="00976C05">
        <w:rPr>
          <w:rFonts w:ascii="Times New Roman" w:hAnsi="Times New Roman" w:cs="Times New Roman"/>
          <w:b/>
          <w:bCs/>
          <w:sz w:val="24"/>
          <w:szCs w:val="24"/>
        </w:rPr>
        <w:t>E</w:t>
      </w:r>
      <w:r w:rsidRPr="00976C05">
        <w:rPr>
          <w:rFonts w:ascii="Times New Roman" w:hAnsi="Times New Roman" w:cs="Times New Roman"/>
          <w:b/>
          <w:bCs/>
          <w:sz w:val="24"/>
          <w:szCs w:val="24"/>
          <w:vertAlign w:val="subscript"/>
        </w:rPr>
        <w:t>i</w:t>
      </w:r>
      <w:proofErr w:type="spellEnd"/>
      <w:r w:rsidRPr="00976C05">
        <w:rPr>
          <w:rFonts w:ascii="Times New Roman" w:hAnsi="Times New Roman" w:cs="Times New Roman"/>
          <w:b/>
          <w:bCs/>
          <w:sz w:val="24"/>
          <w:szCs w:val="24"/>
        </w:rPr>
        <w:t xml:space="preserve"> × </w:t>
      </w:r>
      <w:proofErr w:type="spellStart"/>
      <w:r w:rsidRPr="00976C05">
        <w:rPr>
          <w:rFonts w:ascii="Times New Roman" w:hAnsi="Times New Roman" w:cs="Times New Roman"/>
          <w:b/>
          <w:bCs/>
          <w:sz w:val="24"/>
          <w:szCs w:val="24"/>
        </w:rPr>
        <w:t>η</w:t>
      </w:r>
      <w:r w:rsidRPr="00976C05">
        <w:rPr>
          <w:rFonts w:ascii="Times New Roman" w:hAnsi="Times New Roman" w:cs="Times New Roman"/>
          <w:b/>
          <w:bCs/>
          <w:sz w:val="24"/>
          <w:szCs w:val="24"/>
          <w:vertAlign w:val="subscript"/>
        </w:rPr>
        <w:t>i</w:t>
      </w:r>
      <w:proofErr w:type="spellEnd"/>
      <w:r w:rsidRPr="00976C05">
        <w:rPr>
          <w:rFonts w:ascii="Times New Roman" w:hAnsi="Times New Roman" w:cs="Times New Roman"/>
          <w:b/>
          <w:bCs/>
          <w:sz w:val="24"/>
          <w:szCs w:val="24"/>
        </w:rPr>
        <w:t>)</w:t>
      </w:r>
    </w:p>
    <w:p w14:paraId="49A79D1B"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sz w:val="20"/>
          <w:szCs w:val="20"/>
        </w:rPr>
        <w:t>Where:</w:t>
      </w:r>
      <w:r w:rsidRPr="00976C05">
        <w:rPr>
          <w:rFonts w:ascii="Times New Roman" w:hAnsi="Times New Roman" w:cs="Times New Roman"/>
          <w:sz w:val="20"/>
          <w:szCs w:val="20"/>
        </w:rPr>
        <w:br/>
      </w:r>
      <w:r w:rsidRPr="00976C05">
        <w:rPr>
          <w:rFonts w:ascii="Times New Roman" w:hAnsi="Times New Roman" w:cs="Times New Roman"/>
          <w:b/>
          <w:bCs/>
          <w:sz w:val="20"/>
          <w:szCs w:val="20"/>
        </w:rPr>
        <w:t>ERP</w:t>
      </w:r>
      <w:r w:rsidRPr="00976C05">
        <w:rPr>
          <w:rFonts w:ascii="Times New Roman" w:hAnsi="Times New Roman" w:cs="Times New Roman"/>
          <w:sz w:val="20"/>
          <w:szCs w:val="20"/>
        </w:rPr>
        <w:t xml:space="preserve"> = Total energy recovery potential.</w:t>
      </w:r>
    </w:p>
    <w:p w14:paraId="3E42ED86"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W</w:t>
      </w:r>
      <w:r w:rsidRPr="00976C05">
        <w:rPr>
          <w:rFonts w:ascii="Times New Roman" w:hAnsi="Times New Roman" w:cs="Times New Roman"/>
          <w:b/>
          <w:bCs/>
          <w:sz w:val="20"/>
          <w:szCs w:val="20"/>
          <w:vertAlign w:val="subscript"/>
        </w:rPr>
        <w:t>i</w:t>
      </w:r>
      <w:r w:rsidRPr="00976C05">
        <w:rPr>
          <w:rFonts w:ascii="Times New Roman" w:hAnsi="Times New Roman" w:cs="Times New Roman"/>
          <w:sz w:val="20"/>
          <w:szCs w:val="20"/>
        </w:rPr>
        <w:t xml:space="preserve"> = Mass of waste type </w:t>
      </w:r>
      <w:proofErr w:type="spellStart"/>
      <w:r w:rsidRPr="00976C05">
        <w:rPr>
          <w:rFonts w:ascii="Times New Roman" w:hAnsi="Times New Roman" w:cs="Times New Roman"/>
          <w:sz w:val="20"/>
          <w:szCs w:val="20"/>
        </w:rPr>
        <w:t>i</w:t>
      </w:r>
      <w:proofErr w:type="spellEnd"/>
      <w:r w:rsidRPr="00976C05">
        <w:rPr>
          <w:rFonts w:ascii="Times New Roman" w:hAnsi="Times New Roman" w:cs="Times New Roman"/>
          <w:sz w:val="20"/>
          <w:szCs w:val="20"/>
        </w:rPr>
        <w:t>.</w:t>
      </w:r>
    </w:p>
    <w:p w14:paraId="289F09EB"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E</w:t>
      </w:r>
      <w:r w:rsidRPr="00976C05">
        <w:rPr>
          <w:rFonts w:ascii="Times New Roman" w:hAnsi="Times New Roman" w:cs="Times New Roman"/>
          <w:b/>
          <w:bCs/>
          <w:sz w:val="20"/>
          <w:szCs w:val="20"/>
          <w:vertAlign w:val="subscript"/>
        </w:rPr>
        <w:t>i</w:t>
      </w:r>
      <w:r w:rsidRPr="00976C05">
        <w:rPr>
          <w:rFonts w:ascii="Times New Roman" w:hAnsi="Times New Roman" w:cs="Times New Roman"/>
          <w:sz w:val="20"/>
          <w:szCs w:val="20"/>
        </w:rPr>
        <w:t xml:space="preserve"> = Calorific value of waste type </w:t>
      </w:r>
      <w:proofErr w:type="spellStart"/>
      <w:r w:rsidRPr="00976C05">
        <w:rPr>
          <w:rFonts w:ascii="Times New Roman" w:hAnsi="Times New Roman" w:cs="Times New Roman"/>
          <w:sz w:val="20"/>
          <w:szCs w:val="20"/>
        </w:rPr>
        <w:t>i</w:t>
      </w:r>
      <w:proofErr w:type="spellEnd"/>
      <w:r w:rsidRPr="00976C05">
        <w:rPr>
          <w:rFonts w:ascii="Times New Roman" w:hAnsi="Times New Roman" w:cs="Times New Roman"/>
          <w:sz w:val="20"/>
          <w:szCs w:val="20"/>
        </w:rPr>
        <w:t>.</w:t>
      </w:r>
    </w:p>
    <w:p w14:paraId="784C46D9" w14:textId="77777777" w:rsidR="00976C05" w:rsidRPr="00976C05" w:rsidRDefault="00976C05" w:rsidP="00976C05">
      <w:pPr>
        <w:spacing w:after="0" w:line="360" w:lineRule="auto"/>
        <w:jc w:val="both"/>
        <w:rPr>
          <w:rFonts w:ascii="Times New Roman" w:hAnsi="Times New Roman" w:cs="Times New Roman"/>
          <w:sz w:val="20"/>
          <w:szCs w:val="20"/>
        </w:rPr>
      </w:pPr>
      <w:proofErr w:type="spellStart"/>
      <w:r w:rsidRPr="00976C05">
        <w:rPr>
          <w:rFonts w:ascii="Times New Roman" w:hAnsi="Times New Roman" w:cs="Times New Roman"/>
          <w:b/>
          <w:bCs/>
          <w:sz w:val="20"/>
          <w:szCs w:val="20"/>
        </w:rPr>
        <w:t>η</w:t>
      </w:r>
      <w:r w:rsidRPr="00976C05">
        <w:rPr>
          <w:rFonts w:ascii="Times New Roman" w:hAnsi="Times New Roman" w:cs="Times New Roman"/>
          <w:b/>
          <w:bCs/>
          <w:sz w:val="20"/>
          <w:szCs w:val="20"/>
          <w:vertAlign w:val="subscript"/>
        </w:rPr>
        <w:t>i</w:t>
      </w:r>
      <w:proofErr w:type="spellEnd"/>
      <w:r w:rsidRPr="00976C05">
        <w:rPr>
          <w:rFonts w:ascii="Times New Roman" w:hAnsi="Times New Roman" w:cs="Times New Roman"/>
          <w:sz w:val="20"/>
          <w:szCs w:val="20"/>
        </w:rPr>
        <w:t xml:space="preserve"> = Conversion efficiency of treatment method for </w:t>
      </w:r>
      <w:proofErr w:type="spellStart"/>
      <w:r w:rsidRPr="00976C05">
        <w:rPr>
          <w:rFonts w:ascii="Times New Roman" w:hAnsi="Times New Roman" w:cs="Times New Roman"/>
          <w:sz w:val="20"/>
          <w:szCs w:val="20"/>
        </w:rPr>
        <w:t>i</w:t>
      </w:r>
      <w:proofErr w:type="spellEnd"/>
      <w:r w:rsidRPr="00976C05">
        <w:rPr>
          <w:rFonts w:ascii="Times New Roman" w:hAnsi="Times New Roman" w:cs="Times New Roman"/>
          <w:sz w:val="20"/>
          <w:szCs w:val="20"/>
        </w:rPr>
        <w:t>.</w:t>
      </w:r>
    </w:p>
    <w:p w14:paraId="2146E1CE" w14:textId="77777777" w:rsidR="00976C05" w:rsidRPr="009C24A2" w:rsidRDefault="00976C05" w:rsidP="008B1028">
      <w:pPr>
        <w:pStyle w:val="Heading2"/>
        <w:numPr>
          <w:ilvl w:val="0"/>
          <w:numId w:val="49"/>
        </w:numPr>
        <w:tabs>
          <w:tab w:val="num" w:pos="360"/>
        </w:tabs>
        <w:spacing w:before="0" w:line="360" w:lineRule="auto"/>
        <w:ind w:left="360"/>
        <w:jc w:val="both"/>
        <w:rPr>
          <w:rFonts w:ascii="Times New Roman" w:hAnsi="Times New Roman" w:cs="Times New Roman"/>
          <w:b/>
          <w:bCs/>
          <w:color w:val="auto"/>
          <w:sz w:val="20"/>
          <w:szCs w:val="20"/>
        </w:rPr>
      </w:pPr>
      <w:r w:rsidRPr="009C24A2">
        <w:rPr>
          <w:rFonts w:ascii="Times New Roman" w:hAnsi="Times New Roman" w:cs="Times New Roman"/>
          <w:b/>
          <w:bCs/>
          <w:color w:val="auto"/>
          <w:sz w:val="20"/>
          <w:szCs w:val="20"/>
        </w:rPr>
        <w:t>Circularity Index Equation:</w:t>
      </w:r>
    </w:p>
    <w:p w14:paraId="37514FC3" w14:textId="77777777" w:rsidR="00976C05" w:rsidRPr="00976C05" w:rsidRDefault="00976C05" w:rsidP="00976C05">
      <w:pPr>
        <w:spacing w:after="0" w:line="360" w:lineRule="auto"/>
        <w:jc w:val="center"/>
        <w:rPr>
          <w:rFonts w:ascii="Times New Roman" w:hAnsi="Times New Roman" w:cs="Times New Roman"/>
          <w:b/>
          <w:bCs/>
          <w:sz w:val="24"/>
          <w:szCs w:val="24"/>
        </w:rPr>
      </w:pPr>
      <w:r w:rsidRPr="00976C05">
        <w:rPr>
          <w:rFonts w:ascii="Times New Roman" w:hAnsi="Times New Roman" w:cs="Times New Roman"/>
          <w:b/>
          <w:bCs/>
          <w:sz w:val="24"/>
          <w:szCs w:val="24"/>
        </w:rPr>
        <w:t>CI = (R + E) / T</w:t>
      </w:r>
    </w:p>
    <w:p w14:paraId="456DC0F5"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sz w:val="20"/>
          <w:szCs w:val="20"/>
        </w:rPr>
        <w:t>Where:</w:t>
      </w:r>
      <w:r w:rsidRPr="00976C05">
        <w:rPr>
          <w:rFonts w:ascii="Times New Roman" w:hAnsi="Times New Roman" w:cs="Times New Roman"/>
          <w:sz w:val="20"/>
          <w:szCs w:val="20"/>
        </w:rPr>
        <w:br/>
      </w:r>
      <w:r w:rsidRPr="00976C05">
        <w:rPr>
          <w:rFonts w:ascii="Times New Roman" w:hAnsi="Times New Roman" w:cs="Times New Roman"/>
          <w:b/>
          <w:bCs/>
          <w:sz w:val="20"/>
          <w:szCs w:val="20"/>
        </w:rPr>
        <w:t>CI</w:t>
      </w:r>
      <w:r w:rsidRPr="00976C05">
        <w:rPr>
          <w:rFonts w:ascii="Times New Roman" w:hAnsi="Times New Roman" w:cs="Times New Roman"/>
          <w:sz w:val="20"/>
          <w:szCs w:val="20"/>
        </w:rPr>
        <w:t xml:space="preserve"> = Circularity Index.</w:t>
      </w:r>
    </w:p>
    <w:p w14:paraId="1E905E08"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R</w:t>
      </w:r>
      <w:r w:rsidRPr="00976C05">
        <w:rPr>
          <w:rFonts w:ascii="Times New Roman" w:hAnsi="Times New Roman" w:cs="Times New Roman"/>
          <w:sz w:val="20"/>
          <w:szCs w:val="20"/>
        </w:rPr>
        <w:t xml:space="preserve"> = Mass of materials recycled.</w:t>
      </w:r>
    </w:p>
    <w:p w14:paraId="23742962"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E</w:t>
      </w:r>
      <w:r w:rsidRPr="00976C05">
        <w:rPr>
          <w:rFonts w:ascii="Times New Roman" w:hAnsi="Times New Roman" w:cs="Times New Roman"/>
          <w:sz w:val="20"/>
          <w:szCs w:val="20"/>
        </w:rPr>
        <w:t xml:space="preserve"> = Mass of materials recovered as energy.</w:t>
      </w:r>
    </w:p>
    <w:p w14:paraId="3A644B3A"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T</w:t>
      </w:r>
      <w:r w:rsidRPr="00976C05">
        <w:rPr>
          <w:rFonts w:ascii="Times New Roman" w:hAnsi="Times New Roman" w:cs="Times New Roman"/>
          <w:sz w:val="20"/>
          <w:szCs w:val="20"/>
        </w:rPr>
        <w:t xml:space="preserve"> = Total waste collected.</w:t>
      </w:r>
    </w:p>
    <w:p w14:paraId="38DD885D" w14:textId="77777777" w:rsidR="00B164BA" w:rsidRPr="00976C05" w:rsidRDefault="00B164BA" w:rsidP="00976C05">
      <w:pPr>
        <w:pStyle w:val="NormalWeb"/>
        <w:spacing w:before="0" w:beforeAutospacing="0" w:after="0" w:afterAutospacing="0" w:line="360" w:lineRule="auto"/>
        <w:jc w:val="both"/>
        <w:rPr>
          <w:sz w:val="20"/>
          <w:szCs w:val="20"/>
        </w:rPr>
      </w:pPr>
    </w:p>
    <w:p w14:paraId="12298706" w14:textId="565B20A0" w:rsidR="00DC5BF6" w:rsidRPr="00976C05" w:rsidRDefault="00DC5BF6" w:rsidP="00976C05">
      <w:pPr>
        <w:pStyle w:val="NormalWeb"/>
        <w:spacing w:before="0" w:beforeAutospacing="0" w:after="0" w:afterAutospacing="0" w:line="360" w:lineRule="auto"/>
        <w:jc w:val="both"/>
        <w:rPr>
          <w:b/>
          <w:bCs/>
          <w:sz w:val="20"/>
          <w:szCs w:val="20"/>
        </w:rPr>
      </w:pPr>
      <w:r w:rsidRPr="00976C05">
        <w:rPr>
          <w:b/>
          <w:bCs/>
          <w:sz w:val="20"/>
          <w:szCs w:val="20"/>
        </w:rPr>
        <w:t>POLICY IMPACT SIMULATION SCENARIOS</w:t>
      </w:r>
    </w:p>
    <w:p w14:paraId="7D0D6E04" w14:textId="13D4BA7B" w:rsidR="00550CCE" w:rsidRPr="0020750A" w:rsidRDefault="00142DEF" w:rsidP="00976C05">
      <w:pPr>
        <w:spacing w:after="0" w:line="360" w:lineRule="auto"/>
        <w:jc w:val="both"/>
        <w:rPr>
          <w:rFonts w:ascii="Times New Roman" w:eastAsia="Times New Roman" w:hAnsi="Times New Roman" w:cs="Times New Roman"/>
          <w:sz w:val="20"/>
          <w:szCs w:val="20"/>
        </w:rPr>
      </w:pPr>
      <w:r w:rsidRPr="00976C05">
        <w:rPr>
          <w:rFonts w:ascii="Times New Roman" w:eastAsia="Times New Roman" w:hAnsi="Times New Roman" w:cs="Times New Roman"/>
          <w:sz w:val="20"/>
          <w:szCs w:val="20"/>
        </w:rPr>
        <w:t>Three separate policy scenarios</w:t>
      </w:r>
      <w:r w:rsidRPr="0020750A">
        <w:rPr>
          <w:rFonts w:ascii="Times New Roman" w:eastAsia="Times New Roman" w:hAnsi="Times New Roman" w:cs="Times New Roman"/>
          <w:sz w:val="20"/>
          <w:szCs w:val="20"/>
        </w:rPr>
        <w:t xml:space="preserve"> were simulated utilizing verified secondary datasets and AI-driven system modeling calibrated for Dhaka </w:t>
      </w:r>
      <w:r w:rsidR="0020750A">
        <w:rPr>
          <w:rFonts w:ascii="Times New Roman" w:eastAsia="Times New Roman" w:hAnsi="Times New Roman" w:cs="Times New Roman"/>
          <w:sz w:val="20"/>
          <w:szCs w:val="20"/>
        </w:rPr>
        <w:t>to</w:t>
      </w:r>
      <w:r w:rsidRPr="0020750A">
        <w:rPr>
          <w:rFonts w:ascii="Times New Roman" w:eastAsia="Times New Roman" w:hAnsi="Times New Roman" w:cs="Times New Roman"/>
          <w:sz w:val="20"/>
          <w:szCs w:val="20"/>
        </w:rPr>
        <w:t xml:space="preserve"> illustrate the usefulness of the AI</w:t>
      </w:r>
      <w:r w:rsidR="003B291D">
        <w:rPr>
          <w:rFonts w:ascii="Times New Roman" w:eastAsia="Times New Roman" w:hAnsi="Times New Roman" w:cs="Times New Roman"/>
          <w:sz w:val="20"/>
          <w:szCs w:val="20"/>
        </w:rPr>
        <w:t>-</w:t>
      </w:r>
      <w:r w:rsidRPr="0020750A">
        <w:rPr>
          <w:rFonts w:ascii="Times New Roman" w:eastAsia="Times New Roman" w:hAnsi="Times New Roman" w:cs="Times New Roman"/>
          <w:sz w:val="20"/>
          <w:szCs w:val="20"/>
        </w:rPr>
        <w:t>CIR</w:t>
      </w:r>
      <w:r w:rsidR="003B291D">
        <w:rPr>
          <w:rFonts w:ascii="Times New Roman" w:eastAsia="Times New Roman" w:hAnsi="Times New Roman" w:cs="Times New Roman"/>
          <w:sz w:val="20"/>
          <w:szCs w:val="20"/>
        </w:rPr>
        <w:t>-</w:t>
      </w:r>
      <w:proofErr w:type="spellStart"/>
      <w:r w:rsidRPr="0020750A">
        <w:rPr>
          <w:rFonts w:ascii="Times New Roman" w:eastAsia="Times New Roman" w:hAnsi="Times New Roman" w:cs="Times New Roman"/>
          <w:sz w:val="20"/>
          <w:szCs w:val="20"/>
        </w:rPr>
        <w:t>WtE</w:t>
      </w:r>
      <w:proofErr w:type="spellEnd"/>
      <w:r w:rsidRPr="0020750A">
        <w:rPr>
          <w:rFonts w:ascii="Times New Roman" w:eastAsia="Times New Roman" w:hAnsi="Times New Roman" w:cs="Times New Roman"/>
          <w:sz w:val="20"/>
          <w:szCs w:val="20"/>
        </w:rPr>
        <w:t xml:space="preserve"> paradigm for evidence-based urban governance. Key performance indicators at various intervention levels are assessed by the scenarios.</w:t>
      </w:r>
    </w:p>
    <w:p w14:paraId="331240E8" w14:textId="20CDA139" w:rsidR="0020750A" w:rsidRPr="0020750A" w:rsidRDefault="0020750A" w:rsidP="008B1028">
      <w:pPr>
        <w:pStyle w:val="Heading3"/>
        <w:numPr>
          <w:ilvl w:val="0"/>
          <w:numId w:val="41"/>
        </w:numPr>
        <w:spacing w:before="0" w:beforeAutospacing="0" w:after="0" w:afterAutospacing="0" w:line="360" w:lineRule="auto"/>
        <w:jc w:val="both"/>
        <w:rPr>
          <w:sz w:val="20"/>
          <w:szCs w:val="20"/>
        </w:rPr>
      </w:pPr>
      <w:r w:rsidRPr="0020750A">
        <w:rPr>
          <w:sz w:val="20"/>
          <w:szCs w:val="20"/>
        </w:rPr>
        <w:lastRenderedPageBreak/>
        <w:t>Scenario 1: No Intervention (Baseline)</w:t>
      </w:r>
    </w:p>
    <w:p w14:paraId="5E50E2FD" w14:textId="77777777" w:rsidR="0020750A" w:rsidRPr="0020750A" w:rsidRDefault="0020750A" w:rsidP="0020750A">
      <w:pPr>
        <w:pStyle w:val="NormalWeb"/>
        <w:spacing w:before="0" w:beforeAutospacing="0" w:after="0" w:afterAutospacing="0" w:line="360" w:lineRule="auto"/>
        <w:jc w:val="both"/>
        <w:rPr>
          <w:sz w:val="20"/>
          <w:szCs w:val="20"/>
        </w:rPr>
      </w:pPr>
      <w:r w:rsidRPr="0020750A">
        <w:rPr>
          <w:sz w:val="20"/>
          <w:szCs w:val="20"/>
        </w:rPr>
        <w:t>In the absence of any smart waste strategy, Dhaka continues with conventional waste collection and disposal methods. This results in:</w:t>
      </w:r>
    </w:p>
    <w:p w14:paraId="6020F487" w14:textId="77777777" w:rsidR="0020750A" w:rsidRPr="0020750A" w:rsidRDefault="0020750A" w:rsidP="008B1028">
      <w:pPr>
        <w:pStyle w:val="NormalWeb"/>
        <w:numPr>
          <w:ilvl w:val="0"/>
          <w:numId w:val="38"/>
        </w:numPr>
        <w:spacing w:before="0" w:beforeAutospacing="0" w:after="0" w:afterAutospacing="0" w:line="360" w:lineRule="auto"/>
        <w:jc w:val="both"/>
        <w:rPr>
          <w:sz w:val="20"/>
          <w:szCs w:val="20"/>
        </w:rPr>
      </w:pPr>
      <w:r w:rsidRPr="0020750A">
        <w:rPr>
          <w:sz w:val="20"/>
          <w:szCs w:val="20"/>
        </w:rPr>
        <w:t>Average energy recovery of only 7.2 MW/day,</w:t>
      </w:r>
    </w:p>
    <w:p w14:paraId="6B51B91B" w14:textId="018C394D" w:rsidR="0020750A" w:rsidRPr="0020750A" w:rsidRDefault="0020750A" w:rsidP="008B1028">
      <w:pPr>
        <w:pStyle w:val="NormalWeb"/>
        <w:numPr>
          <w:ilvl w:val="0"/>
          <w:numId w:val="38"/>
        </w:numPr>
        <w:spacing w:before="0" w:beforeAutospacing="0" w:after="0" w:afterAutospacing="0" w:line="360" w:lineRule="auto"/>
        <w:jc w:val="both"/>
        <w:rPr>
          <w:sz w:val="20"/>
          <w:szCs w:val="20"/>
        </w:rPr>
      </w:pPr>
      <w:r w:rsidRPr="0020750A">
        <w:rPr>
          <w:sz w:val="20"/>
          <w:szCs w:val="20"/>
        </w:rPr>
        <w:t>Daily greenhouse gas emissions of approximately 3,350 tons CO</w:t>
      </w:r>
      <w:r>
        <w:rPr>
          <w:sz w:val="20"/>
          <w:szCs w:val="20"/>
          <w:vertAlign w:val="subscript"/>
        </w:rPr>
        <w:t>2</w:t>
      </w:r>
      <w:r w:rsidRPr="0020750A">
        <w:rPr>
          <w:sz w:val="20"/>
          <w:szCs w:val="20"/>
        </w:rPr>
        <w:t>-equivalent,</w:t>
      </w:r>
    </w:p>
    <w:p w14:paraId="39372763" w14:textId="77777777" w:rsidR="0020750A" w:rsidRPr="0020750A" w:rsidRDefault="0020750A" w:rsidP="008B1028">
      <w:pPr>
        <w:pStyle w:val="NormalWeb"/>
        <w:numPr>
          <w:ilvl w:val="0"/>
          <w:numId w:val="38"/>
        </w:numPr>
        <w:spacing w:before="0" w:beforeAutospacing="0" w:after="0" w:afterAutospacing="0" w:line="360" w:lineRule="auto"/>
        <w:jc w:val="both"/>
        <w:rPr>
          <w:sz w:val="20"/>
          <w:szCs w:val="20"/>
        </w:rPr>
      </w:pPr>
      <w:r w:rsidRPr="0020750A">
        <w:rPr>
          <w:sz w:val="20"/>
          <w:szCs w:val="20"/>
        </w:rPr>
        <w:t>A low circularity index (CI) of 0.32,</w:t>
      </w:r>
    </w:p>
    <w:p w14:paraId="13EECE12" w14:textId="77777777" w:rsidR="0020750A" w:rsidRPr="0020750A" w:rsidRDefault="0020750A" w:rsidP="008B1028">
      <w:pPr>
        <w:pStyle w:val="NormalWeb"/>
        <w:numPr>
          <w:ilvl w:val="0"/>
          <w:numId w:val="38"/>
        </w:numPr>
        <w:spacing w:before="0" w:beforeAutospacing="0" w:after="0" w:afterAutospacing="0" w:line="360" w:lineRule="auto"/>
        <w:jc w:val="both"/>
        <w:rPr>
          <w:sz w:val="20"/>
          <w:szCs w:val="20"/>
        </w:rPr>
      </w:pPr>
      <w:r w:rsidRPr="0020750A">
        <w:rPr>
          <w:sz w:val="20"/>
          <w:szCs w:val="20"/>
        </w:rPr>
        <w:t>Persistent overflow of landfills and worsening urban flooding due to drainage clogging.</w:t>
      </w:r>
    </w:p>
    <w:p w14:paraId="4B64387E" w14:textId="311DD02C" w:rsidR="0020750A" w:rsidRPr="0020750A" w:rsidRDefault="0020750A" w:rsidP="008B1028">
      <w:pPr>
        <w:pStyle w:val="Heading3"/>
        <w:numPr>
          <w:ilvl w:val="0"/>
          <w:numId w:val="41"/>
        </w:numPr>
        <w:spacing w:before="0" w:beforeAutospacing="0" w:after="0" w:afterAutospacing="0" w:line="360" w:lineRule="auto"/>
        <w:jc w:val="both"/>
        <w:rPr>
          <w:sz w:val="20"/>
          <w:szCs w:val="20"/>
        </w:rPr>
      </w:pPr>
      <w:r w:rsidRPr="0020750A">
        <w:rPr>
          <w:sz w:val="20"/>
          <w:szCs w:val="20"/>
        </w:rPr>
        <w:t>Scenario 2: Business as Usual (Digitization without AI Optimization)</w:t>
      </w:r>
    </w:p>
    <w:p w14:paraId="5ED81D34" w14:textId="1DEB212A" w:rsidR="0020750A" w:rsidRPr="0020750A" w:rsidRDefault="0020750A" w:rsidP="0020750A">
      <w:pPr>
        <w:pStyle w:val="NormalWeb"/>
        <w:spacing w:before="0" w:beforeAutospacing="0" w:after="0" w:afterAutospacing="0" w:line="360" w:lineRule="auto"/>
        <w:jc w:val="both"/>
        <w:rPr>
          <w:sz w:val="20"/>
          <w:szCs w:val="20"/>
        </w:rPr>
      </w:pPr>
      <w:r w:rsidRPr="0020750A">
        <w:rPr>
          <w:sz w:val="20"/>
          <w:szCs w:val="20"/>
        </w:rPr>
        <w:t>This scenario assumes partial digitization</w:t>
      </w:r>
      <w:r>
        <w:rPr>
          <w:sz w:val="20"/>
          <w:szCs w:val="20"/>
        </w:rPr>
        <w:t>,</w:t>
      </w:r>
      <w:r w:rsidRPr="0020750A">
        <w:rPr>
          <w:sz w:val="20"/>
          <w:szCs w:val="20"/>
        </w:rPr>
        <w:t xml:space="preserve"> such as RFID bin tagging and GPS-enabled collection trucks, but no AI-enabled forecasting or routing.</w:t>
      </w:r>
    </w:p>
    <w:p w14:paraId="23E52F28" w14:textId="77777777" w:rsidR="0020750A" w:rsidRPr="0020750A" w:rsidRDefault="0020750A" w:rsidP="008B1028">
      <w:pPr>
        <w:pStyle w:val="NormalWeb"/>
        <w:numPr>
          <w:ilvl w:val="0"/>
          <w:numId w:val="39"/>
        </w:numPr>
        <w:spacing w:before="0" w:beforeAutospacing="0" w:after="0" w:afterAutospacing="0" w:line="360" w:lineRule="auto"/>
        <w:jc w:val="both"/>
        <w:rPr>
          <w:sz w:val="20"/>
          <w:szCs w:val="20"/>
        </w:rPr>
      </w:pPr>
      <w:r w:rsidRPr="0020750A">
        <w:rPr>
          <w:sz w:val="20"/>
          <w:szCs w:val="20"/>
        </w:rPr>
        <w:t>Energy output improves marginally to 8.1 MW/day.</w:t>
      </w:r>
    </w:p>
    <w:p w14:paraId="2A4ECE26" w14:textId="5D0EDAC2" w:rsidR="0020750A" w:rsidRPr="0020750A" w:rsidRDefault="0020750A" w:rsidP="008B1028">
      <w:pPr>
        <w:pStyle w:val="NormalWeb"/>
        <w:numPr>
          <w:ilvl w:val="0"/>
          <w:numId w:val="39"/>
        </w:numPr>
        <w:spacing w:before="0" w:beforeAutospacing="0" w:after="0" w:afterAutospacing="0" w:line="360" w:lineRule="auto"/>
        <w:jc w:val="both"/>
        <w:rPr>
          <w:sz w:val="20"/>
          <w:szCs w:val="20"/>
        </w:rPr>
      </w:pPr>
      <w:r w:rsidRPr="0020750A">
        <w:rPr>
          <w:sz w:val="20"/>
          <w:szCs w:val="20"/>
        </w:rPr>
        <w:t xml:space="preserve">Emissions </w:t>
      </w:r>
      <w:r>
        <w:rPr>
          <w:sz w:val="20"/>
          <w:szCs w:val="20"/>
        </w:rPr>
        <w:t>reduced</w:t>
      </w:r>
      <w:r w:rsidRPr="0020750A">
        <w:rPr>
          <w:sz w:val="20"/>
          <w:szCs w:val="20"/>
        </w:rPr>
        <w:t xml:space="preserve"> to 2,900 tons CO</w:t>
      </w:r>
      <w:r>
        <w:rPr>
          <w:sz w:val="20"/>
          <w:szCs w:val="20"/>
          <w:vertAlign w:val="subscript"/>
        </w:rPr>
        <w:t>2</w:t>
      </w:r>
      <w:r w:rsidRPr="0020750A">
        <w:rPr>
          <w:sz w:val="20"/>
          <w:szCs w:val="20"/>
        </w:rPr>
        <w:t>-equivalent/day due to better scheduling.</w:t>
      </w:r>
    </w:p>
    <w:p w14:paraId="2C475F9F" w14:textId="77777777" w:rsidR="0020750A" w:rsidRPr="0020750A" w:rsidRDefault="0020750A" w:rsidP="008B1028">
      <w:pPr>
        <w:pStyle w:val="NormalWeb"/>
        <w:numPr>
          <w:ilvl w:val="0"/>
          <w:numId w:val="39"/>
        </w:numPr>
        <w:spacing w:before="0" w:beforeAutospacing="0" w:after="0" w:afterAutospacing="0" w:line="360" w:lineRule="auto"/>
        <w:jc w:val="both"/>
        <w:rPr>
          <w:sz w:val="20"/>
          <w:szCs w:val="20"/>
        </w:rPr>
      </w:pPr>
      <w:r w:rsidRPr="0020750A">
        <w:rPr>
          <w:sz w:val="20"/>
          <w:szCs w:val="20"/>
        </w:rPr>
        <w:t>Circularity index increases to 0.48.</w:t>
      </w:r>
    </w:p>
    <w:p w14:paraId="492C2C1B" w14:textId="77777777" w:rsidR="0020750A" w:rsidRPr="0020750A" w:rsidRDefault="0020750A" w:rsidP="008B1028">
      <w:pPr>
        <w:pStyle w:val="NormalWeb"/>
        <w:numPr>
          <w:ilvl w:val="0"/>
          <w:numId w:val="39"/>
        </w:numPr>
        <w:spacing w:before="0" w:beforeAutospacing="0" w:after="0" w:afterAutospacing="0" w:line="360" w:lineRule="auto"/>
        <w:jc w:val="both"/>
        <w:rPr>
          <w:sz w:val="20"/>
          <w:szCs w:val="20"/>
        </w:rPr>
      </w:pPr>
      <w:r w:rsidRPr="0020750A">
        <w:rPr>
          <w:sz w:val="20"/>
          <w:szCs w:val="20"/>
        </w:rPr>
        <w:t>Waste still accumulates in flood-prone areas during monsoon, with limited flexibility in infrastructure response.</w:t>
      </w:r>
    </w:p>
    <w:p w14:paraId="3EA4DD61" w14:textId="11085CD0" w:rsidR="0020750A" w:rsidRPr="0020750A" w:rsidRDefault="0020750A" w:rsidP="008B1028">
      <w:pPr>
        <w:pStyle w:val="Heading3"/>
        <w:numPr>
          <w:ilvl w:val="0"/>
          <w:numId w:val="41"/>
        </w:numPr>
        <w:spacing w:before="0" w:beforeAutospacing="0" w:after="0" w:afterAutospacing="0" w:line="360" w:lineRule="auto"/>
        <w:jc w:val="both"/>
        <w:rPr>
          <w:sz w:val="20"/>
          <w:szCs w:val="20"/>
        </w:rPr>
      </w:pPr>
      <w:r w:rsidRPr="0020750A">
        <w:rPr>
          <w:sz w:val="20"/>
          <w:szCs w:val="20"/>
        </w:rPr>
        <w:t>Scenario 3: AI</w:t>
      </w:r>
      <w:r w:rsidR="003B291D">
        <w:rPr>
          <w:sz w:val="20"/>
          <w:szCs w:val="20"/>
        </w:rPr>
        <w:t>-</w:t>
      </w:r>
      <w:r w:rsidRPr="0020750A">
        <w:rPr>
          <w:sz w:val="20"/>
          <w:szCs w:val="20"/>
        </w:rPr>
        <w:t>CIR</w:t>
      </w:r>
      <w:r w:rsidR="003B291D">
        <w:rPr>
          <w:sz w:val="20"/>
          <w:szCs w:val="20"/>
        </w:rPr>
        <w:t>-</w:t>
      </w:r>
      <w:proofErr w:type="spellStart"/>
      <w:r w:rsidRPr="0020750A">
        <w:rPr>
          <w:sz w:val="20"/>
          <w:szCs w:val="20"/>
        </w:rPr>
        <w:t>WtE</w:t>
      </w:r>
      <w:proofErr w:type="spellEnd"/>
      <w:r w:rsidRPr="0020750A">
        <w:rPr>
          <w:sz w:val="20"/>
          <w:szCs w:val="20"/>
        </w:rPr>
        <w:t xml:space="preserve"> Deployment</w:t>
      </w:r>
    </w:p>
    <w:p w14:paraId="55CD9659" w14:textId="43B05FBD" w:rsidR="0020750A" w:rsidRPr="0020750A" w:rsidRDefault="0020750A" w:rsidP="0020750A">
      <w:pPr>
        <w:pStyle w:val="NormalWeb"/>
        <w:spacing w:before="0" w:beforeAutospacing="0" w:after="0" w:afterAutospacing="0" w:line="360" w:lineRule="auto"/>
        <w:jc w:val="both"/>
        <w:rPr>
          <w:sz w:val="20"/>
          <w:szCs w:val="20"/>
        </w:rPr>
      </w:pPr>
      <w:r w:rsidRPr="0020750A">
        <w:rPr>
          <w:sz w:val="20"/>
          <w:szCs w:val="20"/>
        </w:rPr>
        <w:t>This scenario models full deployment of the AI</w:t>
      </w:r>
      <w:r w:rsidR="001029CC">
        <w:rPr>
          <w:sz w:val="20"/>
          <w:szCs w:val="20"/>
        </w:rPr>
        <w:t>-</w:t>
      </w:r>
      <w:r w:rsidRPr="0020750A">
        <w:rPr>
          <w:sz w:val="20"/>
          <w:szCs w:val="20"/>
        </w:rPr>
        <w:t>CIR</w:t>
      </w:r>
      <w:r w:rsidR="001029CC">
        <w:rPr>
          <w:sz w:val="20"/>
          <w:szCs w:val="20"/>
        </w:rPr>
        <w:t>-</w:t>
      </w:r>
      <w:proofErr w:type="spellStart"/>
      <w:r w:rsidRPr="0020750A">
        <w:rPr>
          <w:sz w:val="20"/>
          <w:szCs w:val="20"/>
        </w:rPr>
        <w:t>WtE</w:t>
      </w:r>
      <w:proofErr w:type="spellEnd"/>
      <w:r w:rsidRPr="0020750A">
        <w:rPr>
          <w:sz w:val="20"/>
          <w:szCs w:val="20"/>
        </w:rPr>
        <w:t xml:space="preserve"> system with predictive analytics, decentralized waste valorization, and dynamic decision-making.</w:t>
      </w:r>
    </w:p>
    <w:p w14:paraId="4B0DB271" w14:textId="77777777" w:rsidR="0020750A" w:rsidRPr="0020750A" w:rsidRDefault="0020750A" w:rsidP="008B1028">
      <w:pPr>
        <w:pStyle w:val="NormalWeb"/>
        <w:numPr>
          <w:ilvl w:val="0"/>
          <w:numId w:val="40"/>
        </w:numPr>
        <w:spacing w:before="0" w:beforeAutospacing="0" w:after="0" w:afterAutospacing="0" w:line="360" w:lineRule="auto"/>
        <w:jc w:val="both"/>
        <w:rPr>
          <w:sz w:val="20"/>
          <w:szCs w:val="20"/>
        </w:rPr>
      </w:pPr>
      <w:r w:rsidRPr="0020750A">
        <w:rPr>
          <w:sz w:val="20"/>
          <w:szCs w:val="20"/>
        </w:rPr>
        <w:t>Energy output reaches 9.9 MW/day.</w:t>
      </w:r>
    </w:p>
    <w:p w14:paraId="67837848" w14:textId="573FA645" w:rsidR="0020750A" w:rsidRPr="0020750A" w:rsidRDefault="0020750A" w:rsidP="008B1028">
      <w:pPr>
        <w:pStyle w:val="NormalWeb"/>
        <w:numPr>
          <w:ilvl w:val="0"/>
          <w:numId w:val="40"/>
        </w:numPr>
        <w:spacing w:before="0" w:beforeAutospacing="0" w:after="0" w:afterAutospacing="0" w:line="360" w:lineRule="auto"/>
        <w:jc w:val="both"/>
        <w:rPr>
          <w:sz w:val="20"/>
          <w:szCs w:val="20"/>
        </w:rPr>
      </w:pPr>
      <w:r w:rsidRPr="0020750A">
        <w:rPr>
          <w:sz w:val="20"/>
          <w:szCs w:val="20"/>
        </w:rPr>
        <w:t>Emissions drop to 2,130 tons CO</w:t>
      </w:r>
      <w:r w:rsidRPr="0020750A">
        <w:rPr>
          <w:sz w:val="20"/>
          <w:szCs w:val="20"/>
          <w:vertAlign w:val="subscript"/>
        </w:rPr>
        <w:t>2</w:t>
      </w:r>
      <w:r w:rsidRPr="0020750A">
        <w:rPr>
          <w:sz w:val="20"/>
          <w:szCs w:val="20"/>
        </w:rPr>
        <w:t>-equivalent/day.</w:t>
      </w:r>
    </w:p>
    <w:p w14:paraId="39AA5D30" w14:textId="77777777" w:rsidR="0020750A" w:rsidRPr="0020750A" w:rsidRDefault="0020750A" w:rsidP="008B1028">
      <w:pPr>
        <w:pStyle w:val="NormalWeb"/>
        <w:numPr>
          <w:ilvl w:val="0"/>
          <w:numId w:val="40"/>
        </w:numPr>
        <w:spacing w:before="0" w:beforeAutospacing="0" w:after="0" w:afterAutospacing="0" w:line="360" w:lineRule="auto"/>
        <w:jc w:val="both"/>
        <w:rPr>
          <w:sz w:val="20"/>
          <w:szCs w:val="20"/>
        </w:rPr>
      </w:pPr>
      <w:r w:rsidRPr="0020750A">
        <w:rPr>
          <w:sz w:val="20"/>
          <w:szCs w:val="20"/>
        </w:rPr>
        <w:t>Circularity index improves to 0.71, with nearly 48% improvement in recycling rates.</w:t>
      </w:r>
    </w:p>
    <w:p w14:paraId="57C5DE04" w14:textId="77777777" w:rsidR="0020750A" w:rsidRPr="0020750A" w:rsidRDefault="0020750A" w:rsidP="008B1028">
      <w:pPr>
        <w:pStyle w:val="NormalWeb"/>
        <w:numPr>
          <w:ilvl w:val="0"/>
          <w:numId w:val="40"/>
        </w:numPr>
        <w:spacing w:before="0" w:beforeAutospacing="0" w:after="0" w:afterAutospacing="0" w:line="360" w:lineRule="auto"/>
        <w:jc w:val="both"/>
        <w:rPr>
          <w:sz w:val="20"/>
          <w:szCs w:val="20"/>
        </w:rPr>
      </w:pPr>
      <w:r w:rsidRPr="0020750A">
        <w:rPr>
          <w:sz w:val="20"/>
          <w:szCs w:val="20"/>
        </w:rPr>
        <w:t>Infrastructure automatically reroutes waste under flood alerts and activates off-grid energy nodes in case of grid failure.</w:t>
      </w:r>
    </w:p>
    <w:p w14:paraId="2AA7CEDE" w14:textId="1047611A" w:rsidR="0020750A" w:rsidRPr="0020750A" w:rsidRDefault="0020750A" w:rsidP="008B1028">
      <w:pPr>
        <w:pStyle w:val="Heading3"/>
        <w:numPr>
          <w:ilvl w:val="0"/>
          <w:numId w:val="41"/>
        </w:numPr>
        <w:spacing w:before="0" w:beforeAutospacing="0" w:after="0" w:afterAutospacing="0" w:line="360" w:lineRule="auto"/>
        <w:jc w:val="both"/>
        <w:rPr>
          <w:sz w:val="20"/>
          <w:szCs w:val="20"/>
        </w:rPr>
      </w:pPr>
      <w:r w:rsidRPr="0020750A">
        <w:rPr>
          <w:sz w:val="20"/>
          <w:szCs w:val="20"/>
        </w:rPr>
        <w:t>Comparative Outcomes</w:t>
      </w:r>
    </w:p>
    <w:p w14:paraId="02B7E116" w14:textId="05A654D4" w:rsidR="0020750A" w:rsidRPr="0020750A" w:rsidRDefault="0020750A" w:rsidP="0020750A">
      <w:pPr>
        <w:pStyle w:val="NormalWeb"/>
        <w:spacing w:before="0" w:beforeAutospacing="0" w:after="0" w:afterAutospacing="0" w:line="360" w:lineRule="auto"/>
        <w:jc w:val="both"/>
        <w:rPr>
          <w:sz w:val="20"/>
          <w:szCs w:val="20"/>
        </w:rPr>
      </w:pPr>
      <w:r w:rsidRPr="0020750A">
        <w:rPr>
          <w:sz w:val="20"/>
          <w:szCs w:val="20"/>
        </w:rPr>
        <w:t>The AI</w:t>
      </w:r>
      <w:r w:rsidR="001029CC">
        <w:rPr>
          <w:sz w:val="20"/>
          <w:szCs w:val="20"/>
        </w:rPr>
        <w:t>-</w:t>
      </w:r>
      <w:r w:rsidRPr="0020750A">
        <w:rPr>
          <w:sz w:val="20"/>
          <w:szCs w:val="20"/>
        </w:rPr>
        <w:t>CIR</w:t>
      </w:r>
      <w:r w:rsidR="001029CC">
        <w:rPr>
          <w:sz w:val="20"/>
          <w:szCs w:val="20"/>
        </w:rPr>
        <w:t>-</w:t>
      </w:r>
      <w:proofErr w:type="spellStart"/>
      <w:r w:rsidRPr="0020750A">
        <w:rPr>
          <w:sz w:val="20"/>
          <w:szCs w:val="20"/>
        </w:rPr>
        <w:t>WtE</w:t>
      </w:r>
      <w:proofErr w:type="spellEnd"/>
      <w:r w:rsidRPr="0020750A">
        <w:rPr>
          <w:sz w:val="20"/>
          <w:szCs w:val="20"/>
        </w:rPr>
        <w:t xml:space="preserve"> scenario outperforms the others in all key metrics, demonstrating superior environmental performance, economic returns, and climate resilience. This supports the model’s value as a decision-support tool for urban policymakers seeking to transition toward adaptive, circular, and low-carbon waste systems.</w:t>
      </w:r>
    </w:p>
    <w:p w14:paraId="777438F1" w14:textId="06147C69" w:rsidR="00142DEF" w:rsidRDefault="00142DEF" w:rsidP="0020750A">
      <w:pPr>
        <w:spacing w:after="0" w:line="360" w:lineRule="auto"/>
        <w:jc w:val="both"/>
        <w:rPr>
          <w:rFonts w:ascii="Times New Roman" w:eastAsia="Times New Roman" w:hAnsi="Times New Roman" w:cs="Times New Roman"/>
          <w:sz w:val="20"/>
          <w:szCs w:val="20"/>
        </w:rPr>
      </w:pPr>
    </w:p>
    <w:p w14:paraId="5AF57660" w14:textId="47B563D5" w:rsidR="00196D5F" w:rsidRPr="00196D5F" w:rsidRDefault="00196D5F" w:rsidP="0020750A">
      <w:pPr>
        <w:spacing w:after="0" w:line="360" w:lineRule="auto"/>
        <w:jc w:val="both"/>
        <w:rPr>
          <w:rFonts w:ascii="Times New Roman" w:eastAsia="Times New Roman" w:hAnsi="Times New Roman" w:cs="Times New Roman"/>
          <w:b/>
          <w:bCs/>
          <w:sz w:val="20"/>
          <w:szCs w:val="20"/>
        </w:rPr>
      </w:pPr>
      <w:r w:rsidRPr="00196D5F">
        <w:rPr>
          <w:rFonts w:ascii="Times New Roman" w:eastAsia="Times New Roman" w:hAnsi="Times New Roman" w:cs="Times New Roman"/>
          <w:b/>
          <w:bCs/>
          <w:sz w:val="20"/>
          <w:szCs w:val="20"/>
        </w:rPr>
        <w:t>INTEGRATED LIFE CYCLE ASSESSMENT (AI-LCA MODULE)</w:t>
      </w:r>
    </w:p>
    <w:p w14:paraId="14C3CC55" w14:textId="200086AC" w:rsidR="00196D5F" w:rsidRDefault="0063133D" w:rsidP="0020750A">
      <w:pPr>
        <w:spacing w:after="0" w:line="360" w:lineRule="auto"/>
        <w:jc w:val="both"/>
        <w:rPr>
          <w:rFonts w:ascii="Times New Roman" w:eastAsia="Times New Roman" w:hAnsi="Times New Roman" w:cs="Times New Roman"/>
          <w:sz w:val="20"/>
          <w:szCs w:val="20"/>
        </w:rPr>
      </w:pPr>
      <w:r w:rsidRPr="0063133D">
        <w:rPr>
          <w:rFonts w:ascii="Times New Roman" w:eastAsia="Times New Roman" w:hAnsi="Times New Roman" w:cs="Times New Roman"/>
          <w:sz w:val="20"/>
          <w:szCs w:val="20"/>
        </w:rPr>
        <w:t>A comprehensive cradle-to-grave Life Cycle Assessment (LCA) module has been incorporated into the AI</w:t>
      </w:r>
      <w:r w:rsidR="001029CC">
        <w:rPr>
          <w:rFonts w:ascii="Times New Roman" w:eastAsia="Times New Roman" w:hAnsi="Times New Roman" w:cs="Times New Roman"/>
          <w:sz w:val="20"/>
          <w:szCs w:val="20"/>
        </w:rPr>
        <w:t>-</w:t>
      </w:r>
      <w:r w:rsidRPr="0063133D">
        <w:rPr>
          <w:rFonts w:ascii="Times New Roman" w:eastAsia="Times New Roman" w:hAnsi="Times New Roman" w:cs="Times New Roman"/>
          <w:sz w:val="20"/>
          <w:szCs w:val="20"/>
        </w:rPr>
        <w:t>CIR</w:t>
      </w:r>
      <w:r w:rsidR="001029CC">
        <w:rPr>
          <w:rFonts w:ascii="Times New Roman" w:eastAsia="Times New Roman" w:hAnsi="Times New Roman" w:cs="Times New Roman"/>
          <w:sz w:val="20"/>
          <w:szCs w:val="20"/>
        </w:rPr>
        <w:t>-</w:t>
      </w:r>
      <w:proofErr w:type="spellStart"/>
      <w:r w:rsidRPr="0063133D">
        <w:rPr>
          <w:rFonts w:ascii="Times New Roman" w:eastAsia="Times New Roman" w:hAnsi="Times New Roman" w:cs="Times New Roman"/>
          <w:sz w:val="20"/>
          <w:szCs w:val="20"/>
        </w:rPr>
        <w:t>WtE</w:t>
      </w:r>
      <w:proofErr w:type="spellEnd"/>
      <w:r w:rsidRPr="0063133D">
        <w:rPr>
          <w:rFonts w:ascii="Times New Roman" w:eastAsia="Times New Roman" w:hAnsi="Times New Roman" w:cs="Times New Roman"/>
          <w:sz w:val="20"/>
          <w:szCs w:val="20"/>
        </w:rPr>
        <w:t xml:space="preserve"> framework to evaluate its environmental performance and policy compatibility in an all-encompassing manner. The development of infrastructure, operating energy consumption, maintenance cycles, and decommissioning phases are all included in this module's tracking of emissions and resource flows in the waste-to-energy (</w:t>
      </w:r>
      <w:proofErr w:type="spellStart"/>
      <w:r w:rsidRPr="0063133D">
        <w:rPr>
          <w:rFonts w:ascii="Times New Roman" w:eastAsia="Times New Roman" w:hAnsi="Times New Roman" w:cs="Times New Roman"/>
          <w:sz w:val="20"/>
          <w:szCs w:val="20"/>
        </w:rPr>
        <w:t>WtE</w:t>
      </w:r>
      <w:proofErr w:type="spellEnd"/>
      <w:r w:rsidRPr="0063133D">
        <w:rPr>
          <w:rFonts w:ascii="Times New Roman" w:eastAsia="Times New Roman" w:hAnsi="Times New Roman" w:cs="Times New Roman"/>
          <w:sz w:val="20"/>
          <w:szCs w:val="20"/>
        </w:rPr>
        <w:t>) system. This model uses AI-driven dynamic LCA with real-time waste flow, treatment, and emission data to continually update environmental impact profiles, in contrast to static LCA methods that depend on generalized assumptions.</w:t>
      </w:r>
    </w:p>
    <w:p w14:paraId="54373464" w14:textId="6C3478CE" w:rsidR="0063133D" w:rsidRPr="00556652" w:rsidRDefault="00AE26BC" w:rsidP="00556652">
      <w:pPr>
        <w:spacing w:after="0" w:line="360" w:lineRule="auto"/>
        <w:jc w:val="both"/>
        <w:rPr>
          <w:rStyle w:val="Strong"/>
          <w:rFonts w:ascii="Times New Roman" w:hAnsi="Times New Roman" w:cs="Times New Roman"/>
          <w:sz w:val="20"/>
          <w:szCs w:val="20"/>
        </w:rPr>
      </w:pPr>
      <w:r w:rsidRPr="00556652">
        <w:rPr>
          <w:rFonts w:ascii="Times New Roman" w:hAnsi="Times New Roman" w:cs="Times New Roman"/>
          <w:b/>
          <w:bCs/>
          <w:sz w:val="20"/>
          <w:szCs w:val="20"/>
        </w:rPr>
        <w:t>1.</w:t>
      </w:r>
      <w:r w:rsidRPr="00556652">
        <w:rPr>
          <w:rFonts w:ascii="Times New Roman" w:hAnsi="Times New Roman" w:cs="Times New Roman"/>
          <w:sz w:val="20"/>
          <w:szCs w:val="20"/>
        </w:rPr>
        <w:t xml:space="preserve"> </w:t>
      </w:r>
      <w:r w:rsidRPr="00556652">
        <w:rPr>
          <w:rStyle w:val="Strong"/>
          <w:rFonts w:ascii="Times New Roman" w:hAnsi="Times New Roman" w:cs="Times New Roman"/>
          <w:sz w:val="20"/>
          <w:szCs w:val="20"/>
        </w:rPr>
        <w:t>Full-System Boundary and Emission Scope:</w:t>
      </w:r>
    </w:p>
    <w:p w14:paraId="62C0BE21" w14:textId="1ACA12C6" w:rsidR="00556652" w:rsidRPr="00556652" w:rsidRDefault="00556652" w:rsidP="00556652">
      <w:pPr>
        <w:spacing w:after="0" w:line="360" w:lineRule="auto"/>
        <w:jc w:val="both"/>
        <w:rPr>
          <w:rFonts w:ascii="Times New Roman" w:eastAsia="Times New Roman" w:hAnsi="Times New Roman" w:cs="Times New Roman"/>
          <w:sz w:val="20"/>
          <w:szCs w:val="20"/>
        </w:rPr>
      </w:pPr>
      <w:r w:rsidRPr="00556652">
        <w:rPr>
          <w:rFonts w:ascii="Times New Roman" w:eastAsia="Times New Roman" w:hAnsi="Times New Roman" w:cs="Times New Roman"/>
          <w:sz w:val="20"/>
          <w:szCs w:val="20"/>
        </w:rPr>
        <w:t>The AI</w:t>
      </w:r>
      <w:r w:rsidR="00210FE6">
        <w:rPr>
          <w:rFonts w:ascii="Times New Roman" w:eastAsia="Times New Roman" w:hAnsi="Times New Roman" w:cs="Times New Roman"/>
          <w:sz w:val="20"/>
          <w:szCs w:val="20"/>
        </w:rPr>
        <w:t>-</w:t>
      </w:r>
      <w:r w:rsidRPr="00556652">
        <w:rPr>
          <w:rFonts w:ascii="Times New Roman" w:eastAsia="Times New Roman" w:hAnsi="Times New Roman" w:cs="Times New Roman"/>
          <w:sz w:val="20"/>
          <w:szCs w:val="20"/>
        </w:rPr>
        <w:t xml:space="preserve">LCA model is developed in accordance with ISO 14040 and 14044 standards using </w:t>
      </w:r>
      <w:proofErr w:type="spellStart"/>
      <w:r w:rsidRPr="00556652">
        <w:rPr>
          <w:rFonts w:ascii="Times New Roman" w:eastAsia="Times New Roman" w:hAnsi="Times New Roman" w:cs="Times New Roman"/>
          <w:sz w:val="20"/>
          <w:szCs w:val="20"/>
        </w:rPr>
        <w:t>OpenLCA</w:t>
      </w:r>
      <w:proofErr w:type="spellEnd"/>
      <w:r w:rsidRPr="00556652">
        <w:rPr>
          <w:rFonts w:ascii="Times New Roman" w:eastAsia="Times New Roman" w:hAnsi="Times New Roman" w:cs="Times New Roman"/>
          <w:sz w:val="20"/>
          <w:szCs w:val="20"/>
        </w:rPr>
        <w:t xml:space="preserve"> software with customized dynamic linkages to TensorFlow-based AI outputs. The system boundary includes the following stages:</w:t>
      </w:r>
    </w:p>
    <w:p w14:paraId="174ADA4C" w14:textId="41DEE534" w:rsidR="00556652" w:rsidRPr="00556652" w:rsidRDefault="00556652" w:rsidP="008B1028">
      <w:pPr>
        <w:numPr>
          <w:ilvl w:val="0"/>
          <w:numId w:val="51"/>
        </w:numPr>
        <w:spacing w:after="0" w:line="360" w:lineRule="auto"/>
        <w:jc w:val="both"/>
        <w:rPr>
          <w:rFonts w:ascii="Times New Roman" w:eastAsia="Times New Roman" w:hAnsi="Times New Roman" w:cs="Times New Roman"/>
          <w:sz w:val="20"/>
          <w:szCs w:val="20"/>
        </w:rPr>
      </w:pPr>
      <w:r w:rsidRPr="00210FE6">
        <w:rPr>
          <w:rFonts w:ascii="Times New Roman" w:eastAsia="Times New Roman" w:hAnsi="Times New Roman" w:cs="Times New Roman"/>
          <w:b/>
          <w:bCs/>
          <w:sz w:val="20"/>
          <w:szCs w:val="20"/>
        </w:rPr>
        <w:t>Upstream (Infrastructure Phase):</w:t>
      </w:r>
      <w:r w:rsidRPr="00556652">
        <w:rPr>
          <w:rFonts w:ascii="Times New Roman" w:eastAsia="Times New Roman" w:hAnsi="Times New Roman" w:cs="Times New Roman"/>
          <w:sz w:val="20"/>
          <w:szCs w:val="20"/>
        </w:rPr>
        <w:t xml:space="preserve"> Emissions from </w:t>
      </w:r>
      <w:r>
        <w:rPr>
          <w:rFonts w:ascii="Times New Roman" w:eastAsia="Times New Roman" w:hAnsi="Times New Roman" w:cs="Times New Roman"/>
          <w:sz w:val="20"/>
          <w:szCs w:val="20"/>
        </w:rPr>
        <w:t xml:space="preserve">the </w:t>
      </w:r>
      <w:r w:rsidRPr="00556652">
        <w:rPr>
          <w:rFonts w:ascii="Times New Roman" w:eastAsia="Times New Roman" w:hAnsi="Times New Roman" w:cs="Times New Roman"/>
          <w:sz w:val="20"/>
          <w:szCs w:val="20"/>
        </w:rPr>
        <w:t>manufacturing of smart bins, trucks, AD/pyrolysis units, and ICT systems.</w:t>
      </w:r>
    </w:p>
    <w:p w14:paraId="2DA55513" w14:textId="77777777" w:rsidR="00556652" w:rsidRPr="00556652" w:rsidRDefault="00556652" w:rsidP="008B1028">
      <w:pPr>
        <w:numPr>
          <w:ilvl w:val="0"/>
          <w:numId w:val="51"/>
        </w:numPr>
        <w:spacing w:after="0" w:line="360" w:lineRule="auto"/>
        <w:jc w:val="both"/>
        <w:rPr>
          <w:rFonts w:ascii="Times New Roman" w:eastAsia="Times New Roman" w:hAnsi="Times New Roman" w:cs="Times New Roman"/>
          <w:sz w:val="20"/>
          <w:szCs w:val="20"/>
        </w:rPr>
      </w:pPr>
      <w:r w:rsidRPr="00210FE6">
        <w:rPr>
          <w:rFonts w:ascii="Times New Roman" w:eastAsia="Times New Roman" w:hAnsi="Times New Roman" w:cs="Times New Roman"/>
          <w:b/>
          <w:bCs/>
          <w:sz w:val="20"/>
          <w:szCs w:val="20"/>
        </w:rPr>
        <w:t>Operational Phase:</w:t>
      </w:r>
      <w:r w:rsidRPr="00556652">
        <w:rPr>
          <w:rFonts w:ascii="Times New Roman" w:eastAsia="Times New Roman" w:hAnsi="Times New Roman" w:cs="Times New Roman"/>
          <w:sz w:val="20"/>
          <w:szCs w:val="20"/>
        </w:rPr>
        <w:t xml:space="preserve"> Energy used for waste collection, treatment, monitoring, and AI inference.</w:t>
      </w:r>
    </w:p>
    <w:p w14:paraId="3ABD8DF9" w14:textId="48608D4A" w:rsidR="00556652" w:rsidRPr="00556652" w:rsidRDefault="00556652" w:rsidP="008B1028">
      <w:pPr>
        <w:numPr>
          <w:ilvl w:val="0"/>
          <w:numId w:val="51"/>
        </w:numPr>
        <w:spacing w:after="0" w:line="360" w:lineRule="auto"/>
        <w:jc w:val="both"/>
        <w:rPr>
          <w:rFonts w:ascii="Times New Roman" w:eastAsia="Times New Roman" w:hAnsi="Times New Roman" w:cs="Times New Roman"/>
          <w:sz w:val="20"/>
          <w:szCs w:val="20"/>
        </w:rPr>
      </w:pPr>
      <w:r w:rsidRPr="00210FE6">
        <w:rPr>
          <w:rFonts w:ascii="Times New Roman" w:eastAsia="Times New Roman" w:hAnsi="Times New Roman" w:cs="Times New Roman"/>
          <w:b/>
          <w:bCs/>
          <w:sz w:val="20"/>
          <w:szCs w:val="20"/>
        </w:rPr>
        <w:lastRenderedPageBreak/>
        <w:t>Maintenance &amp; Replacement:</w:t>
      </w:r>
      <w:r w:rsidRPr="00556652">
        <w:rPr>
          <w:rFonts w:ascii="Times New Roman" w:eastAsia="Times New Roman" w:hAnsi="Times New Roman" w:cs="Times New Roman"/>
          <w:sz w:val="20"/>
          <w:szCs w:val="20"/>
        </w:rPr>
        <w:t xml:space="preserve"> Periodic equipment servicing and replacement </w:t>
      </w:r>
      <w:r>
        <w:rPr>
          <w:rFonts w:ascii="Times New Roman" w:eastAsia="Times New Roman" w:hAnsi="Times New Roman" w:cs="Times New Roman"/>
          <w:sz w:val="20"/>
          <w:szCs w:val="20"/>
        </w:rPr>
        <w:t xml:space="preserve">of </w:t>
      </w:r>
      <w:r w:rsidRPr="00556652">
        <w:rPr>
          <w:rFonts w:ascii="Times New Roman" w:eastAsia="Times New Roman" w:hAnsi="Times New Roman" w:cs="Times New Roman"/>
          <w:sz w:val="20"/>
          <w:szCs w:val="20"/>
        </w:rPr>
        <w:t>emissions.</w:t>
      </w:r>
    </w:p>
    <w:p w14:paraId="14FC5BA8" w14:textId="59D77E82" w:rsidR="00556652" w:rsidRPr="00556652" w:rsidRDefault="00556652" w:rsidP="008B1028">
      <w:pPr>
        <w:numPr>
          <w:ilvl w:val="0"/>
          <w:numId w:val="51"/>
        </w:numPr>
        <w:spacing w:after="0" w:line="360" w:lineRule="auto"/>
        <w:jc w:val="both"/>
        <w:rPr>
          <w:rFonts w:ascii="Times New Roman" w:eastAsia="Times New Roman" w:hAnsi="Times New Roman" w:cs="Times New Roman"/>
          <w:sz w:val="20"/>
          <w:szCs w:val="20"/>
        </w:rPr>
      </w:pPr>
      <w:r w:rsidRPr="00210FE6">
        <w:rPr>
          <w:rFonts w:ascii="Times New Roman" w:eastAsia="Times New Roman" w:hAnsi="Times New Roman" w:cs="Times New Roman"/>
          <w:b/>
          <w:bCs/>
          <w:sz w:val="20"/>
          <w:szCs w:val="20"/>
        </w:rPr>
        <w:t>Downstream Phase:</w:t>
      </w:r>
      <w:r w:rsidRPr="00556652">
        <w:rPr>
          <w:rFonts w:ascii="Times New Roman" w:eastAsia="Times New Roman" w:hAnsi="Times New Roman" w:cs="Times New Roman"/>
          <w:sz w:val="20"/>
          <w:szCs w:val="20"/>
        </w:rPr>
        <w:t xml:space="preserve"> Residue disposal, material degradation, and dismantling of obsolete </w:t>
      </w:r>
      <w:r>
        <w:rPr>
          <w:rFonts w:ascii="Times New Roman" w:eastAsia="Times New Roman" w:hAnsi="Times New Roman" w:cs="Times New Roman"/>
          <w:sz w:val="20"/>
          <w:szCs w:val="20"/>
        </w:rPr>
        <w:t>waste-to-energy</w:t>
      </w:r>
      <w:r w:rsidRPr="00556652">
        <w:rPr>
          <w:rFonts w:ascii="Times New Roman" w:eastAsia="Times New Roman" w:hAnsi="Times New Roman" w:cs="Times New Roman"/>
          <w:sz w:val="20"/>
          <w:szCs w:val="20"/>
        </w:rPr>
        <w:t xml:space="preserve"> assets.</w:t>
      </w:r>
    </w:p>
    <w:p w14:paraId="3054F979" w14:textId="022DF54E" w:rsidR="00556652" w:rsidRPr="00556652" w:rsidRDefault="00556652" w:rsidP="008B1028">
      <w:pPr>
        <w:numPr>
          <w:ilvl w:val="0"/>
          <w:numId w:val="51"/>
        </w:numPr>
        <w:spacing w:after="0" w:line="360" w:lineRule="auto"/>
        <w:jc w:val="both"/>
        <w:rPr>
          <w:rFonts w:ascii="Times New Roman" w:eastAsia="Times New Roman" w:hAnsi="Times New Roman" w:cs="Times New Roman"/>
          <w:sz w:val="20"/>
          <w:szCs w:val="20"/>
        </w:rPr>
      </w:pPr>
      <w:r w:rsidRPr="00210FE6">
        <w:rPr>
          <w:rFonts w:ascii="Times New Roman" w:eastAsia="Times New Roman" w:hAnsi="Times New Roman" w:cs="Times New Roman"/>
          <w:b/>
          <w:bCs/>
          <w:sz w:val="20"/>
          <w:szCs w:val="20"/>
        </w:rPr>
        <w:t>Avoided Burdens:</w:t>
      </w:r>
      <w:r w:rsidRPr="00556652">
        <w:rPr>
          <w:rFonts w:ascii="Times New Roman" w:eastAsia="Times New Roman" w:hAnsi="Times New Roman" w:cs="Times New Roman"/>
          <w:sz w:val="20"/>
          <w:szCs w:val="20"/>
        </w:rPr>
        <w:t xml:space="preserve"> GHGs </w:t>
      </w:r>
      <w:r>
        <w:rPr>
          <w:rFonts w:ascii="Times New Roman" w:eastAsia="Times New Roman" w:hAnsi="Times New Roman" w:cs="Times New Roman"/>
          <w:sz w:val="20"/>
          <w:szCs w:val="20"/>
        </w:rPr>
        <w:t xml:space="preserve">are </w:t>
      </w:r>
      <w:r w:rsidRPr="00556652">
        <w:rPr>
          <w:rFonts w:ascii="Times New Roman" w:eastAsia="Times New Roman" w:hAnsi="Times New Roman" w:cs="Times New Roman"/>
          <w:sz w:val="20"/>
          <w:szCs w:val="20"/>
        </w:rPr>
        <w:t>avoided by substituting fossil energy and diverting waste from landfills.</w:t>
      </w:r>
    </w:p>
    <w:p w14:paraId="46F36EB3" w14:textId="37A6B677" w:rsidR="00556652" w:rsidRDefault="00556652" w:rsidP="00556652">
      <w:pPr>
        <w:spacing w:after="0" w:line="360" w:lineRule="auto"/>
        <w:jc w:val="both"/>
        <w:rPr>
          <w:rFonts w:ascii="Times New Roman" w:eastAsia="Times New Roman" w:hAnsi="Times New Roman" w:cs="Times New Roman"/>
          <w:sz w:val="20"/>
          <w:szCs w:val="20"/>
        </w:rPr>
      </w:pPr>
      <w:r w:rsidRPr="00556652">
        <w:rPr>
          <w:rFonts w:ascii="Times New Roman" w:eastAsia="Times New Roman" w:hAnsi="Times New Roman" w:cs="Times New Roman"/>
          <w:sz w:val="20"/>
          <w:szCs w:val="20"/>
        </w:rPr>
        <w:t>This comprehensive approach ensures alignment with Green Climate Fund (GCF) and Verra Verified Carbon Standard (VCS) requirements for project-level carbon validation (Verra, 2023; UNEP, 2024).</w:t>
      </w:r>
    </w:p>
    <w:p w14:paraId="11B2C308" w14:textId="05959587" w:rsidR="00556652" w:rsidRPr="00556652" w:rsidRDefault="00C566DE" w:rsidP="00435993">
      <w:pPr>
        <w:spacing w:after="0" w:line="360" w:lineRule="auto"/>
        <w:jc w:val="both"/>
        <w:rPr>
          <w:rFonts w:ascii="Times New Roman" w:hAnsi="Times New Roman" w:cs="Times New Roman"/>
          <w:b/>
          <w:bCs/>
          <w:sz w:val="20"/>
          <w:szCs w:val="20"/>
        </w:rPr>
      </w:pPr>
      <w:r w:rsidRPr="00435993">
        <w:rPr>
          <w:rFonts w:ascii="Times New Roman" w:hAnsi="Times New Roman" w:cs="Times New Roman"/>
          <w:b/>
          <w:bCs/>
          <w:sz w:val="20"/>
          <w:szCs w:val="20"/>
        </w:rPr>
        <w:t xml:space="preserve">2. AI-Driven LCA Modeling (TensorFlow + </w:t>
      </w:r>
      <w:proofErr w:type="spellStart"/>
      <w:r w:rsidRPr="00435993">
        <w:rPr>
          <w:rFonts w:ascii="Times New Roman" w:hAnsi="Times New Roman" w:cs="Times New Roman"/>
          <w:b/>
          <w:bCs/>
          <w:sz w:val="20"/>
          <w:szCs w:val="20"/>
        </w:rPr>
        <w:t>OpenLCA</w:t>
      </w:r>
      <w:proofErr w:type="spellEnd"/>
      <w:r w:rsidRPr="00435993">
        <w:rPr>
          <w:rFonts w:ascii="Times New Roman" w:hAnsi="Times New Roman" w:cs="Times New Roman"/>
          <w:b/>
          <w:bCs/>
          <w:sz w:val="20"/>
          <w:szCs w:val="20"/>
        </w:rPr>
        <w:t xml:space="preserve"> Integration):</w:t>
      </w:r>
    </w:p>
    <w:p w14:paraId="6BA2A746" w14:textId="1B51BF70" w:rsidR="00435993" w:rsidRPr="00435993" w:rsidRDefault="00435993" w:rsidP="00435993">
      <w:p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The AI</w:t>
      </w:r>
      <w:r w:rsidR="00210FE6">
        <w:rPr>
          <w:rFonts w:ascii="Times New Roman" w:eastAsia="Times New Roman" w:hAnsi="Times New Roman" w:cs="Times New Roman"/>
          <w:sz w:val="20"/>
          <w:szCs w:val="20"/>
        </w:rPr>
        <w:t>-</w:t>
      </w:r>
      <w:r w:rsidRPr="00435993">
        <w:rPr>
          <w:rFonts w:ascii="Times New Roman" w:eastAsia="Times New Roman" w:hAnsi="Times New Roman" w:cs="Times New Roman"/>
          <w:sz w:val="20"/>
          <w:szCs w:val="20"/>
        </w:rPr>
        <w:t>CIR</w:t>
      </w:r>
      <w:r w:rsidR="00210FE6">
        <w:rPr>
          <w:rFonts w:ascii="Times New Roman" w:eastAsia="Times New Roman" w:hAnsi="Times New Roman" w:cs="Times New Roman"/>
          <w:sz w:val="20"/>
          <w:szCs w:val="20"/>
        </w:rPr>
        <w:t>-</w:t>
      </w:r>
      <w:proofErr w:type="spellStart"/>
      <w:r w:rsidRPr="00435993">
        <w:rPr>
          <w:rFonts w:ascii="Times New Roman" w:eastAsia="Times New Roman" w:hAnsi="Times New Roman" w:cs="Times New Roman"/>
          <w:sz w:val="20"/>
          <w:szCs w:val="20"/>
        </w:rPr>
        <w:t>WtE</w:t>
      </w:r>
      <w:proofErr w:type="spellEnd"/>
      <w:r w:rsidRPr="00435993">
        <w:rPr>
          <w:rFonts w:ascii="Times New Roman" w:eastAsia="Times New Roman" w:hAnsi="Times New Roman" w:cs="Times New Roman"/>
          <w:sz w:val="20"/>
          <w:szCs w:val="20"/>
        </w:rPr>
        <w:t xml:space="preserve"> system feeds real-time outputs</w:t>
      </w:r>
      <w:r>
        <w:rPr>
          <w:rFonts w:ascii="Times New Roman" w:eastAsia="Times New Roman" w:hAnsi="Times New Roman" w:cs="Times New Roman"/>
          <w:sz w:val="20"/>
          <w:szCs w:val="20"/>
        </w:rPr>
        <w:t xml:space="preserve">, </w:t>
      </w:r>
      <w:r w:rsidRPr="00435993">
        <w:rPr>
          <w:rFonts w:ascii="Times New Roman" w:eastAsia="Times New Roman" w:hAnsi="Times New Roman" w:cs="Times New Roman"/>
          <w:sz w:val="20"/>
          <w:szCs w:val="20"/>
        </w:rPr>
        <w:t>such as predicted waste volume, type-specific composition, and treatment routing</w:t>
      </w:r>
      <w:r>
        <w:rPr>
          <w:rFonts w:ascii="Times New Roman" w:eastAsia="Times New Roman" w:hAnsi="Times New Roman" w:cs="Times New Roman"/>
          <w:sz w:val="20"/>
          <w:szCs w:val="20"/>
        </w:rPr>
        <w:t xml:space="preserve">, </w:t>
      </w:r>
      <w:r w:rsidRPr="00435993">
        <w:rPr>
          <w:rFonts w:ascii="Times New Roman" w:eastAsia="Times New Roman" w:hAnsi="Times New Roman" w:cs="Times New Roman"/>
          <w:sz w:val="20"/>
          <w:szCs w:val="20"/>
        </w:rPr>
        <w:t xml:space="preserve">into </w:t>
      </w:r>
      <w:proofErr w:type="spellStart"/>
      <w:r w:rsidRPr="00435993">
        <w:rPr>
          <w:rFonts w:ascii="Times New Roman" w:eastAsia="Times New Roman" w:hAnsi="Times New Roman" w:cs="Times New Roman"/>
          <w:sz w:val="20"/>
          <w:szCs w:val="20"/>
        </w:rPr>
        <w:t>OpenLCA</w:t>
      </w:r>
      <w:proofErr w:type="spellEnd"/>
      <w:r w:rsidRPr="00435993">
        <w:rPr>
          <w:rFonts w:ascii="Times New Roman" w:eastAsia="Times New Roman" w:hAnsi="Times New Roman" w:cs="Times New Roman"/>
          <w:sz w:val="20"/>
          <w:szCs w:val="20"/>
        </w:rPr>
        <w:t xml:space="preserve"> via a custom-built API interface. A TensorFlow wrapper dynamically adjusts the foreground system model based on:</w:t>
      </w:r>
    </w:p>
    <w:p w14:paraId="59F80FFB" w14:textId="0F841035" w:rsidR="00435993" w:rsidRPr="00435993" w:rsidRDefault="00435993" w:rsidP="008B1028">
      <w:pPr>
        <w:numPr>
          <w:ilvl w:val="0"/>
          <w:numId w:val="52"/>
        </w:num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Hourly waste input variability</w:t>
      </w:r>
      <w:r>
        <w:rPr>
          <w:rFonts w:ascii="Times New Roman" w:eastAsia="Times New Roman" w:hAnsi="Times New Roman" w:cs="Times New Roman"/>
          <w:sz w:val="20"/>
          <w:szCs w:val="20"/>
        </w:rPr>
        <w:t>.</w:t>
      </w:r>
    </w:p>
    <w:p w14:paraId="1C89EB39" w14:textId="586E6D16" w:rsidR="00435993" w:rsidRPr="00435993" w:rsidRDefault="00435993" w:rsidP="008B1028">
      <w:pPr>
        <w:numPr>
          <w:ilvl w:val="0"/>
          <w:numId w:val="52"/>
        </w:num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Seasonal composition changes</w:t>
      </w:r>
      <w:r>
        <w:rPr>
          <w:rFonts w:ascii="Times New Roman" w:eastAsia="Times New Roman" w:hAnsi="Times New Roman" w:cs="Times New Roman"/>
          <w:sz w:val="20"/>
          <w:szCs w:val="20"/>
        </w:rPr>
        <w:t>.</w:t>
      </w:r>
    </w:p>
    <w:p w14:paraId="7211B7C8" w14:textId="1F5BC8CD" w:rsidR="00435993" w:rsidRPr="00435993" w:rsidRDefault="00435993" w:rsidP="008B1028">
      <w:pPr>
        <w:numPr>
          <w:ilvl w:val="0"/>
          <w:numId w:val="52"/>
        </w:num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Climate stress impacts (e.g., flood-induced waste surge)</w:t>
      </w:r>
      <w:r>
        <w:rPr>
          <w:rFonts w:ascii="Times New Roman" w:eastAsia="Times New Roman" w:hAnsi="Times New Roman" w:cs="Times New Roman"/>
          <w:sz w:val="20"/>
          <w:szCs w:val="20"/>
        </w:rPr>
        <w:t>.</w:t>
      </w:r>
    </w:p>
    <w:p w14:paraId="2CC457D6" w14:textId="1F3311DA" w:rsidR="00435993" w:rsidRPr="00435993" w:rsidRDefault="00435993" w:rsidP="008B1028">
      <w:pPr>
        <w:numPr>
          <w:ilvl w:val="0"/>
          <w:numId w:val="52"/>
        </w:num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Adaptive re-routing by the AI optimizer</w:t>
      </w:r>
      <w:r>
        <w:rPr>
          <w:rFonts w:ascii="Times New Roman" w:eastAsia="Times New Roman" w:hAnsi="Times New Roman" w:cs="Times New Roman"/>
          <w:sz w:val="20"/>
          <w:szCs w:val="20"/>
        </w:rPr>
        <w:t>.</w:t>
      </w:r>
    </w:p>
    <w:p w14:paraId="27E51D5F" w14:textId="2503ED2E" w:rsidR="00435993" w:rsidRDefault="00435993" w:rsidP="00435993">
      <w:p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This integration enables real-time recalibration of LCA coefficients and system inventories, producing accurate, continuously updated emission profiles under different policy or climate scenarios.</w:t>
      </w:r>
      <w:r>
        <w:rPr>
          <w:rFonts w:ascii="Times New Roman" w:eastAsia="Times New Roman" w:hAnsi="Times New Roman" w:cs="Times New Roman"/>
          <w:sz w:val="20"/>
          <w:szCs w:val="20"/>
        </w:rPr>
        <w:t xml:space="preserve"> </w:t>
      </w:r>
      <w:r w:rsidRPr="00435993">
        <w:rPr>
          <w:rFonts w:ascii="Times New Roman" w:eastAsia="Times New Roman" w:hAnsi="Times New Roman" w:cs="Times New Roman"/>
          <w:sz w:val="20"/>
          <w:szCs w:val="20"/>
        </w:rPr>
        <w:t>This method advances the traditional LCA paradigm by eliminating fixed assumptions and improving responsiveness to urban behavior and system performance.</w:t>
      </w:r>
    </w:p>
    <w:p w14:paraId="3ACA0BA8" w14:textId="3A1CFA02" w:rsidR="00435993" w:rsidRPr="00C2367A" w:rsidRDefault="00435993" w:rsidP="00C2367A">
      <w:pPr>
        <w:spacing w:after="0" w:line="360" w:lineRule="auto"/>
        <w:jc w:val="both"/>
        <w:rPr>
          <w:rFonts w:ascii="Times New Roman" w:hAnsi="Times New Roman" w:cs="Times New Roman"/>
          <w:sz w:val="20"/>
          <w:szCs w:val="20"/>
        </w:rPr>
      </w:pPr>
      <w:r w:rsidRPr="00C2367A">
        <w:rPr>
          <w:rFonts w:ascii="Times New Roman" w:hAnsi="Times New Roman" w:cs="Times New Roman"/>
          <w:b/>
          <w:bCs/>
          <w:sz w:val="20"/>
          <w:szCs w:val="20"/>
        </w:rPr>
        <w:t>3. Scenario-Based Comparative Results:</w:t>
      </w:r>
      <w:r w:rsidR="0059533B">
        <w:rPr>
          <w:rFonts w:ascii="Times New Roman" w:hAnsi="Times New Roman" w:cs="Times New Roman"/>
          <w:b/>
          <w:bCs/>
          <w:sz w:val="20"/>
          <w:szCs w:val="20"/>
        </w:rPr>
        <w:t xml:space="preserve"> </w:t>
      </w:r>
    </w:p>
    <w:p w14:paraId="17129A35" w14:textId="252ED4D3" w:rsidR="00C2367A" w:rsidRPr="00C2367A" w:rsidRDefault="00C2367A" w:rsidP="00C2367A">
      <w:pPr>
        <w:pStyle w:val="NormalWeb"/>
        <w:spacing w:before="0" w:beforeAutospacing="0" w:after="0" w:afterAutospacing="0" w:line="360" w:lineRule="auto"/>
        <w:jc w:val="both"/>
        <w:rPr>
          <w:sz w:val="20"/>
          <w:szCs w:val="20"/>
        </w:rPr>
      </w:pPr>
      <w:r w:rsidRPr="00C2367A">
        <w:rPr>
          <w:sz w:val="20"/>
          <w:szCs w:val="20"/>
        </w:rPr>
        <w:t>Three operational scenarios were compared using the AI</w:t>
      </w:r>
      <w:r w:rsidR="00210FE6">
        <w:rPr>
          <w:sz w:val="20"/>
          <w:szCs w:val="20"/>
        </w:rPr>
        <w:t>-</w:t>
      </w:r>
      <w:r w:rsidRPr="00C2367A">
        <w:rPr>
          <w:sz w:val="20"/>
          <w:szCs w:val="20"/>
        </w:rPr>
        <w:t>LCA engine:</w:t>
      </w:r>
    </w:p>
    <w:p w14:paraId="3FB2A976" w14:textId="256EFD0C" w:rsidR="00C2367A" w:rsidRPr="00C2367A" w:rsidRDefault="00C2367A" w:rsidP="008B1028">
      <w:pPr>
        <w:pStyle w:val="Heading4"/>
        <w:numPr>
          <w:ilvl w:val="0"/>
          <w:numId w:val="29"/>
        </w:numPr>
        <w:spacing w:before="0" w:line="360" w:lineRule="auto"/>
        <w:jc w:val="both"/>
        <w:rPr>
          <w:rFonts w:ascii="Times New Roman" w:hAnsi="Times New Roman" w:cs="Times New Roman"/>
          <w:i w:val="0"/>
          <w:iCs w:val="0"/>
          <w:color w:val="auto"/>
          <w:sz w:val="20"/>
          <w:szCs w:val="20"/>
        </w:rPr>
      </w:pPr>
      <w:r w:rsidRPr="00C2367A">
        <w:rPr>
          <w:rStyle w:val="Strong"/>
          <w:rFonts w:ascii="Times New Roman" w:hAnsi="Times New Roman" w:cs="Times New Roman"/>
          <w:i w:val="0"/>
          <w:iCs w:val="0"/>
          <w:color w:val="auto"/>
          <w:sz w:val="20"/>
          <w:szCs w:val="20"/>
        </w:rPr>
        <w:t>Scenario A: Landfill-Based System (Baseline)</w:t>
      </w:r>
    </w:p>
    <w:p w14:paraId="441BF546" w14:textId="5A40C95D" w:rsidR="00C2367A" w:rsidRPr="00C2367A" w:rsidRDefault="00C2367A" w:rsidP="008B1028">
      <w:pPr>
        <w:pStyle w:val="NormalWeb"/>
        <w:numPr>
          <w:ilvl w:val="0"/>
          <w:numId w:val="53"/>
        </w:numPr>
        <w:spacing w:before="0" w:beforeAutospacing="0" w:after="0" w:afterAutospacing="0" w:line="360" w:lineRule="auto"/>
        <w:jc w:val="both"/>
        <w:rPr>
          <w:sz w:val="20"/>
          <w:szCs w:val="20"/>
        </w:rPr>
      </w:pPr>
      <w:r w:rsidRPr="00C2367A">
        <w:rPr>
          <w:sz w:val="20"/>
          <w:szCs w:val="20"/>
        </w:rPr>
        <w:t xml:space="preserve">Average emissions: </w:t>
      </w:r>
      <w:r w:rsidRPr="00C2367A">
        <w:rPr>
          <w:rStyle w:val="Strong"/>
          <w:b w:val="0"/>
          <w:bCs w:val="0"/>
          <w:sz w:val="20"/>
          <w:szCs w:val="20"/>
        </w:rPr>
        <w:t>3,680 tons CO</w:t>
      </w:r>
      <w:r w:rsidR="00210FE6">
        <w:rPr>
          <w:rStyle w:val="Strong"/>
          <w:b w:val="0"/>
          <w:bCs w:val="0"/>
          <w:sz w:val="20"/>
          <w:szCs w:val="20"/>
          <w:vertAlign w:val="subscript"/>
        </w:rPr>
        <w:t>2</w:t>
      </w:r>
      <w:r w:rsidRPr="00C2367A">
        <w:rPr>
          <w:rStyle w:val="Strong"/>
          <w:b w:val="0"/>
          <w:bCs w:val="0"/>
          <w:sz w:val="20"/>
          <w:szCs w:val="20"/>
        </w:rPr>
        <w:t>e/day</w:t>
      </w:r>
      <w:r>
        <w:rPr>
          <w:rStyle w:val="Strong"/>
          <w:b w:val="0"/>
          <w:bCs w:val="0"/>
          <w:sz w:val="20"/>
          <w:szCs w:val="20"/>
        </w:rPr>
        <w:t>.</w:t>
      </w:r>
    </w:p>
    <w:p w14:paraId="7F9D5D5C" w14:textId="77777777" w:rsidR="00C2367A" w:rsidRPr="00C2367A" w:rsidRDefault="00C2367A" w:rsidP="008B1028">
      <w:pPr>
        <w:pStyle w:val="NormalWeb"/>
        <w:numPr>
          <w:ilvl w:val="0"/>
          <w:numId w:val="53"/>
        </w:numPr>
        <w:spacing w:before="0" w:beforeAutospacing="0" w:after="0" w:afterAutospacing="0" w:line="360" w:lineRule="auto"/>
        <w:jc w:val="both"/>
        <w:rPr>
          <w:sz w:val="20"/>
          <w:szCs w:val="20"/>
        </w:rPr>
      </w:pPr>
      <w:r w:rsidRPr="00C2367A">
        <w:rPr>
          <w:sz w:val="20"/>
          <w:szCs w:val="20"/>
        </w:rPr>
        <w:t>Major sources: Methane release from organic decay, diesel truck use, and unprocessed plastic burning.</w:t>
      </w:r>
    </w:p>
    <w:p w14:paraId="531397F1" w14:textId="32D915F7" w:rsidR="00C2367A" w:rsidRPr="00C2367A" w:rsidRDefault="00C2367A" w:rsidP="008B1028">
      <w:pPr>
        <w:pStyle w:val="Heading4"/>
        <w:numPr>
          <w:ilvl w:val="0"/>
          <w:numId w:val="29"/>
        </w:numPr>
        <w:spacing w:before="0" w:line="360" w:lineRule="auto"/>
        <w:jc w:val="both"/>
        <w:rPr>
          <w:rFonts w:ascii="Times New Roman" w:hAnsi="Times New Roman" w:cs="Times New Roman"/>
          <w:color w:val="auto"/>
          <w:sz w:val="20"/>
          <w:szCs w:val="20"/>
        </w:rPr>
      </w:pPr>
      <w:r w:rsidRPr="00C2367A">
        <w:rPr>
          <w:rStyle w:val="Strong"/>
          <w:rFonts w:ascii="Times New Roman" w:hAnsi="Times New Roman" w:cs="Times New Roman"/>
          <w:i w:val="0"/>
          <w:iCs w:val="0"/>
          <w:color w:val="auto"/>
          <w:sz w:val="20"/>
          <w:szCs w:val="20"/>
        </w:rPr>
        <w:t xml:space="preserve">Scenario B: Conventional </w:t>
      </w:r>
      <w:proofErr w:type="spellStart"/>
      <w:r w:rsidRPr="00C2367A">
        <w:rPr>
          <w:rStyle w:val="Strong"/>
          <w:rFonts w:ascii="Times New Roman" w:hAnsi="Times New Roman" w:cs="Times New Roman"/>
          <w:i w:val="0"/>
          <w:iCs w:val="0"/>
          <w:color w:val="auto"/>
          <w:sz w:val="20"/>
          <w:szCs w:val="20"/>
        </w:rPr>
        <w:t>WtE</w:t>
      </w:r>
      <w:proofErr w:type="spellEnd"/>
      <w:r w:rsidRPr="00C2367A">
        <w:rPr>
          <w:rStyle w:val="Strong"/>
          <w:rFonts w:ascii="Times New Roman" w:hAnsi="Times New Roman" w:cs="Times New Roman"/>
          <w:i w:val="0"/>
          <w:iCs w:val="0"/>
          <w:color w:val="auto"/>
          <w:sz w:val="20"/>
          <w:szCs w:val="20"/>
        </w:rPr>
        <w:t xml:space="preserve"> with Static Logistics</w:t>
      </w:r>
    </w:p>
    <w:p w14:paraId="31B8ECC4" w14:textId="7CB7257A" w:rsidR="00C2367A" w:rsidRPr="00C2367A" w:rsidRDefault="00C2367A" w:rsidP="008B1028">
      <w:pPr>
        <w:pStyle w:val="NormalWeb"/>
        <w:numPr>
          <w:ilvl w:val="0"/>
          <w:numId w:val="54"/>
        </w:numPr>
        <w:spacing w:before="0" w:beforeAutospacing="0" w:after="0" w:afterAutospacing="0" w:line="360" w:lineRule="auto"/>
        <w:jc w:val="both"/>
        <w:rPr>
          <w:sz w:val="20"/>
          <w:szCs w:val="20"/>
        </w:rPr>
      </w:pPr>
      <w:r w:rsidRPr="00C2367A">
        <w:rPr>
          <w:sz w:val="20"/>
          <w:szCs w:val="20"/>
        </w:rPr>
        <w:t xml:space="preserve">Average emissions: </w:t>
      </w:r>
      <w:r w:rsidRPr="00C2367A">
        <w:rPr>
          <w:rStyle w:val="Strong"/>
          <w:b w:val="0"/>
          <w:bCs w:val="0"/>
          <w:sz w:val="20"/>
          <w:szCs w:val="20"/>
        </w:rPr>
        <w:t>2,850 tons CO</w:t>
      </w:r>
      <w:r w:rsidR="00210FE6">
        <w:rPr>
          <w:rStyle w:val="Strong"/>
          <w:b w:val="0"/>
          <w:bCs w:val="0"/>
          <w:sz w:val="20"/>
          <w:szCs w:val="20"/>
          <w:vertAlign w:val="subscript"/>
        </w:rPr>
        <w:t>2</w:t>
      </w:r>
      <w:r w:rsidRPr="00C2367A">
        <w:rPr>
          <w:rStyle w:val="Strong"/>
          <w:b w:val="0"/>
          <w:bCs w:val="0"/>
          <w:sz w:val="20"/>
          <w:szCs w:val="20"/>
        </w:rPr>
        <w:t>e/day</w:t>
      </w:r>
      <w:r>
        <w:rPr>
          <w:rStyle w:val="Strong"/>
          <w:b w:val="0"/>
          <w:bCs w:val="0"/>
          <w:sz w:val="20"/>
          <w:szCs w:val="20"/>
        </w:rPr>
        <w:t>.</w:t>
      </w:r>
    </w:p>
    <w:p w14:paraId="1E5FEA7B" w14:textId="77777777" w:rsidR="00C2367A" w:rsidRPr="00C2367A" w:rsidRDefault="00C2367A" w:rsidP="008B1028">
      <w:pPr>
        <w:pStyle w:val="NormalWeb"/>
        <w:numPr>
          <w:ilvl w:val="0"/>
          <w:numId w:val="54"/>
        </w:numPr>
        <w:spacing w:before="0" w:beforeAutospacing="0" w:after="0" w:afterAutospacing="0" w:line="360" w:lineRule="auto"/>
        <w:jc w:val="both"/>
        <w:rPr>
          <w:sz w:val="20"/>
          <w:szCs w:val="20"/>
        </w:rPr>
      </w:pPr>
      <w:r w:rsidRPr="00C2367A">
        <w:rPr>
          <w:sz w:val="20"/>
          <w:szCs w:val="20"/>
        </w:rPr>
        <w:t>Improvements from centralized incineration and partial recycling.</w:t>
      </w:r>
    </w:p>
    <w:p w14:paraId="60B32AE7" w14:textId="77777777" w:rsidR="00C2367A" w:rsidRPr="00C2367A" w:rsidRDefault="00C2367A" w:rsidP="008B1028">
      <w:pPr>
        <w:pStyle w:val="NormalWeb"/>
        <w:numPr>
          <w:ilvl w:val="0"/>
          <w:numId w:val="54"/>
        </w:numPr>
        <w:spacing w:before="0" w:beforeAutospacing="0" w:after="0" w:afterAutospacing="0" w:line="360" w:lineRule="auto"/>
        <w:jc w:val="both"/>
        <w:rPr>
          <w:sz w:val="20"/>
          <w:szCs w:val="20"/>
        </w:rPr>
      </w:pPr>
      <w:r w:rsidRPr="00C2367A">
        <w:rPr>
          <w:sz w:val="20"/>
          <w:szCs w:val="20"/>
        </w:rPr>
        <w:t>Limitations: High residual heat loss and fixed route inefficiencies.</w:t>
      </w:r>
    </w:p>
    <w:p w14:paraId="5481BEED" w14:textId="32A0F9F0" w:rsidR="00C2367A" w:rsidRPr="00C2367A" w:rsidRDefault="00C2367A" w:rsidP="008B1028">
      <w:pPr>
        <w:pStyle w:val="Heading4"/>
        <w:numPr>
          <w:ilvl w:val="0"/>
          <w:numId w:val="29"/>
        </w:numPr>
        <w:spacing w:before="0" w:line="360" w:lineRule="auto"/>
        <w:jc w:val="both"/>
        <w:rPr>
          <w:rFonts w:ascii="Times New Roman" w:hAnsi="Times New Roman" w:cs="Times New Roman"/>
          <w:b/>
          <w:bCs/>
          <w:i w:val="0"/>
          <w:iCs w:val="0"/>
          <w:color w:val="auto"/>
          <w:sz w:val="20"/>
          <w:szCs w:val="20"/>
        </w:rPr>
      </w:pPr>
      <w:r w:rsidRPr="00C2367A">
        <w:rPr>
          <w:rStyle w:val="Strong"/>
          <w:rFonts w:ascii="Times New Roman" w:hAnsi="Times New Roman" w:cs="Times New Roman"/>
          <w:i w:val="0"/>
          <w:iCs w:val="0"/>
          <w:color w:val="auto"/>
          <w:sz w:val="20"/>
          <w:szCs w:val="20"/>
        </w:rPr>
        <w:t>Scenario C: AI</w:t>
      </w:r>
      <w:r w:rsidR="00210FE6">
        <w:rPr>
          <w:rStyle w:val="Strong"/>
          <w:rFonts w:ascii="Times New Roman" w:hAnsi="Times New Roman" w:cs="Times New Roman"/>
          <w:i w:val="0"/>
          <w:iCs w:val="0"/>
          <w:color w:val="auto"/>
          <w:sz w:val="20"/>
          <w:szCs w:val="20"/>
        </w:rPr>
        <w:t>-</w:t>
      </w:r>
      <w:r w:rsidRPr="00C2367A">
        <w:rPr>
          <w:rStyle w:val="Strong"/>
          <w:rFonts w:ascii="Times New Roman" w:hAnsi="Times New Roman" w:cs="Times New Roman"/>
          <w:i w:val="0"/>
          <w:iCs w:val="0"/>
          <w:color w:val="auto"/>
          <w:sz w:val="20"/>
          <w:szCs w:val="20"/>
        </w:rPr>
        <w:t>CIR</w:t>
      </w:r>
      <w:r w:rsidR="00210FE6">
        <w:rPr>
          <w:rStyle w:val="Strong"/>
          <w:rFonts w:ascii="Times New Roman" w:hAnsi="Times New Roman" w:cs="Times New Roman"/>
          <w:i w:val="0"/>
          <w:iCs w:val="0"/>
          <w:color w:val="auto"/>
          <w:sz w:val="20"/>
          <w:szCs w:val="20"/>
        </w:rPr>
        <w:t>-</w:t>
      </w:r>
      <w:proofErr w:type="spellStart"/>
      <w:r w:rsidRPr="00C2367A">
        <w:rPr>
          <w:rStyle w:val="Strong"/>
          <w:rFonts w:ascii="Times New Roman" w:hAnsi="Times New Roman" w:cs="Times New Roman"/>
          <w:i w:val="0"/>
          <w:iCs w:val="0"/>
          <w:color w:val="auto"/>
          <w:sz w:val="20"/>
          <w:szCs w:val="20"/>
        </w:rPr>
        <w:t>WtE</w:t>
      </w:r>
      <w:proofErr w:type="spellEnd"/>
      <w:r w:rsidRPr="00C2367A">
        <w:rPr>
          <w:rStyle w:val="Strong"/>
          <w:rFonts w:ascii="Times New Roman" w:hAnsi="Times New Roman" w:cs="Times New Roman"/>
          <w:i w:val="0"/>
          <w:iCs w:val="0"/>
          <w:color w:val="auto"/>
          <w:sz w:val="20"/>
          <w:szCs w:val="20"/>
        </w:rPr>
        <w:t xml:space="preserve"> with Dynamic Optimization</w:t>
      </w:r>
    </w:p>
    <w:p w14:paraId="1086703A" w14:textId="63F51D91" w:rsidR="00C2367A" w:rsidRPr="00C2367A" w:rsidRDefault="00C2367A" w:rsidP="008B1028">
      <w:pPr>
        <w:pStyle w:val="NormalWeb"/>
        <w:numPr>
          <w:ilvl w:val="0"/>
          <w:numId w:val="55"/>
        </w:numPr>
        <w:spacing w:before="0" w:beforeAutospacing="0" w:after="0" w:afterAutospacing="0" w:line="360" w:lineRule="auto"/>
        <w:jc w:val="both"/>
        <w:rPr>
          <w:b/>
          <w:bCs/>
          <w:sz w:val="20"/>
          <w:szCs w:val="20"/>
        </w:rPr>
      </w:pPr>
      <w:r w:rsidRPr="00C2367A">
        <w:rPr>
          <w:sz w:val="20"/>
          <w:szCs w:val="20"/>
        </w:rPr>
        <w:t xml:space="preserve">Average emissions: </w:t>
      </w:r>
      <w:r w:rsidRPr="00C2367A">
        <w:rPr>
          <w:rStyle w:val="Strong"/>
          <w:b w:val="0"/>
          <w:bCs w:val="0"/>
          <w:sz w:val="20"/>
          <w:szCs w:val="20"/>
        </w:rPr>
        <w:t>2,130 tons CO</w:t>
      </w:r>
      <w:r>
        <w:rPr>
          <w:rStyle w:val="Strong"/>
          <w:b w:val="0"/>
          <w:bCs w:val="0"/>
          <w:sz w:val="20"/>
          <w:szCs w:val="20"/>
          <w:vertAlign w:val="subscript"/>
        </w:rPr>
        <w:t>2</w:t>
      </w:r>
      <w:r w:rsidRPr="00C2367A">
        <w:rPr>
          <w:rStyle w:val="Strong"/>
          <w:b w:val="0"/>
          <w:bCs w:val="0"/>
          <w:sz w:val="20"/>
          <w:szCs w:val="20"/>
        </w:rPr>
        <w:t>e/day</w:t>
      </w:r>
      <w:r>
        <w:rPr>
          <w:rStyle w:val="Strong"/>
          <w:b w:val="0"/>
          <w:bCs w:val="0"/>
          <w:sz w:val="20"/>
          <w:szCs w:val="20"/>
        </w:rPr>
        <w:t>.</w:t>
      </w:r>
    </w:p>
    <w:p w14:paraId="108C2AA7" w14:textId="77777777" w:rsidR="00C2367A" w:rsidRPr="00C2367A" w:rsidRDefault="00C2367A" w:rsidP="008B1028">
      <w:pPr>
        <w:pStyle w:val="NormalWeb"/>
        <w:numPr>
          <w:ilvl w:val="0"/>
          <w:numId w:val="55"/>
        </w:numPr>
        <w:spacing w:before="0" w:beforeAutospacing="0" w:after="0" w:afterAutospacing="0" w:line="360" w:lineRule="auto"/>
        <w:jc w:val="both"/>
        <w:rPr>
          <w:sz w:val="20"/>
          <w:szCs w:val="20"/>
        </w:rPr>
      </w:pPr>
      <w:r w:rsidRPr="00C2367A">
        <w:rPr>
          <w:sz w:val="20"/>
          <w:szCs w:val="20"/>
        </w:rPr>
        <w:t>Major gains from:</w:t>
      </w:r>
    </w:p>
    <w:p w14:paraId="6C4D0A61" w14:textId="285AF29B" w:rsidR="00C2367A" w:rsidRPr="00C2367A" w:rsidRDefault="00C2367A" w:rsidP="008B1028">
      <w:pPr>
        <w:pStyle w:val="NormalWeb"/>
        <w:numPr>
          <w:ilvl w:val="1"/>
          <w:numId w:val="55"/>
        </w:numPr>
        <w:spacing w:before="0" w:beforeAutospacing="0" w:after="0" w:afterAutospacing="0" w:line="360" w:lineRule="auto"/>
        <w:jc w:val="both"/>
        <w:rPr>
          <w:sz w:val="20"/>
          <w:szCs w:val="20"/>
        </w:rPr>
      </w:pPr>
      <w:r w:rsidRPr="00C2367A">
        <w:rPr>
          <w:sz w:val="20"/>
          <w:szCs w:val="20"/>
        </w:rPr>
        <w:t>Diversion of 60% of organic waste to anaerobic digestion</w:t>
      </w:r>
      <w:r>
        <w:rPr>
          <w:sz w:val="20"/>
          <w:szCs w:val="20"/>
        </w:rPr>
        <w:t>.</w:t>
      </w:r>
    </w:p>
    <w:p w14:paraId="6294108A" w14:textId="4419F887" w:rsidR="00C2367A" w:rsidRPr="00C2367A" w:rsidRDefault="00C2367A" w:rsidP="008B1028">
      <w:pPr>
        <w:pStyle w:val="NormalWeb"/>
        <w:numPr>
          <w:ilvl w:val="1"/>
          <w:numId w:val="55"/>
        </w:numPr>
        <w:spacing w:before="0" w:beforeAutospacing="0" w:after="0" w:afterAutospacing="0" w:line="360" w:lineRule="auto"/>
        <w:jc w:val="both"/>
        <w:rPr>
          <w:sz w:val="20"/>
          <w:szCs w:val="20"/>
        </w:rPr>
      </w:pPr>
      <w:r w:rsidRPr="00C2367A">
        <w:rPr>
          <w:sz w:val="20"/>
          <w:szCs w:val="20"/>
        </w:rPr>
        <w:t xml:space="preserve">Smart routing </w:t>
      </w:r>
      <w:r>
        <w:rPr>
          <w:sz w:val="20"/>
          <w:szCs w:val="20"/>
        </w:rPr>
        <w:t>reduces</w:t>
      </w:r>
      <w:r w:rsidRPr="00C2367A">
        <w:rPr>
          <w:sz w:val="20"/>
          <w:szCs w:val="20"/>
        </w:rPr>
        <w:t xml:space="preserve"> vehicle miles by 27%</w:t>
      </w:r>
      <w:r>
        <w:rPr>
          <w:sz w:val="20"/>
          <w:szCs w:val="20"/>
        </w:rPr>
        <w:t>.</w:t>
      </w:r>
    </w:p>
    <w:p w14:paraId="654B6E26" w14:textId="3360332D" w:rsidR="00C2367A" w:rsidRPr="00C2367A" w:rsidRDefault="00C2367A" w:rsidP="008B1028">
      <w:pPr>
        <w:pStyle w:val="NormalWeb"/>
        <w:numPr>
          <w:ilvl w:val="1"/>
          <w:numId w:val="55"/>
        </w:numPr>
        <w:spacing w:before="0" w:beforeAutospacing="0" w:after="0" w:afterAutospacing="0" w:line="360" w:lineRule="auto"/>
        <w:jc w:val="both"/>
        <w:rPr>
          <w:sz w:val="20"/>
          <w:szCs w:val="20"/>
        </w:rPr>
      </w:pPr>
      <w:r w:rsidRPr="00C2367A">
        <w:rPr>
          <w:sz w:val="20"/>
          <w:szCs w:val="20"/>
        </w:rPr>
        <w:t xml:space="preserve">Real-time classification </w:t>
      </w:r>
      <w:r>
        <w:rPr>
          <w:sz w:val="20"/>
          <w:szCs w:val="20"/>
        </w:rPr>
        <w:t>improves</w:t>
      </w:r>
      <w:r w:rsidRPr="00C2367A">
        <w:rPr>
          <w:sz w:val="20"/>
          <w:szCs w:val="20"/>
        </w:rPr>
        <w:t xml:space="preserve"> material recovery by 48%</w:t>
      </w:r>
      <w:r>
        <w:rPr>
          <w:sz w:val="20"/>
          <w:szCs w:val="20"/>
        </w:rPr>
        <w:t>.</w:t>
      </w:r>
    </w:p>
    <w:p w14:paraId="19CD96DA" w14:textId="0C9820EA" w:rsidR="00C2367A" w:rsidRPr="00C2367A" w:rsidRDefault="00C2367A" w:rsidP="008B1028">
      <w:pPr>
        <w:pStyle w:val="NormalWeb"/>
        <w:numPr>
          <w:ilvl w:val="1"/>
          <w:numId w:val="55"/>
        </w:numPr>
        <w:spacing w:before="0" w:beforeAutospacing="0" w:after="0" w:afterAutospacing="0" w:line="360" w:lineRule="auto"/>
        <w:jc w:val="both"/>
        <w:rPr>
          <w:sz w:val="20"/>
          <w:szCs w:val="20"/>
        </w:rPr>
      </w:pPr>
      <w:r w:rsidRPr="00C2367A">
        <w:rPr>
          <w:sz w:val="20"/>
          <w:szCs w:val="20"/>
        </w:rPr>
        <w:t xml:space="preserve">Energy substitution offsetting over </w:t>
      </w:r>
      <w:r w:rsidRPr="00C2367A">
        <w:rPr>
          <w:rStyle w:val="Strong"/>
          <w:b w:val="0"/>
          <w:bCs w:val="0"/>
          <w:sz w:val="20"/>
          <w:szCs w:val="20"/>
        </w:rPr>
        <w:t>500 MWh/month</w:t>
      </w:r>
      <w:r w:rsidRPr="00C2367A">
        <w:rPr>
          <w:sz w:val="20"/>
          <w:szCs w:val="20"/>
        </w:rPr>
        <w:t xml:space="preserve"> of fossil grid electricity</w:t>
      </w:r>
      <w:r>
        <w:rPr>
          <w:sz w:val="20"/>
          <w:szCs w:val="20"/>
        </w:rPr>
        <w:t>.</w:t>
      </w:r>
    </w:p>
    <w:p w14:paraId="7F20E403" w14:textId="7828FBDB" w:rsidR="00C2367A" w:rsidRDefault="00C2367A" w:rsidP="00C2367A">
      <w:pPr>
        <w:pStyle w:val="NormalWeb"/>
        <w:spacing w:before="0" w:beforeAutospacing="0" w:after="0" w:afterAutospacing="0" w:line="360" w:lineRule="auto"/>
        <w:jc w:val="both"/>
        <w:rPr>
          <w:sz w:val="20"/>
          <w:szCs w:val="20"/>
        </w:rPr>
      </w:pPr>
      <w:r w:rsidRPr="00C2367A">
        <w:rPr>
          <w:sz w:val="20"/>
          <w:szCs w:val="20"/>
        </w:rPr>
        <w:t xml:space="preserve">The </w:t>
      </w:r>
      <w:r w:rsidRPr="00C2367A">
        <w:rPr>
          <w:rStyle w:val="Strong"/>
          <w:b w:val="0"/>
          <w:bCs w:val="0"/>
          <w:sz w:val="20"/>
          <w:szCs w:val="20"/>
        </w:rPr>
        <w:t>net GHG savings</w:t>
      </w:r>
      <w:r w:rsidRPr="00C2367A">
        <w:rPr>
          <w:sz w:val="20"/>
          <w:szCs w:val="20"/>
        </w:rPr>
        <w:t xml:space="preserve"> over the landfill baseline were </w:t>
      </w:r>
      <w:r w:rsidRPr="00C2367A">
        <w:rPr>
          <w:rStyle w:val="Strong"/>
          <w:b w:val="0"/>
          <w:bCs w:val="0"/>
          <w:sz w:val="20"/>
          <w:szCs w:val="20"/>
        </w:rPr>
        <w:t>~42%</w:t>
      </w:r>
      <w:r w:rsidRPr="00C2367A">
        <w:rPr>
          <w:sz w:val="20"/>
          <w:szCs w:val="20"/>
        </w:rPr>
        <w:t>, with the lowest life-cycle emissions intensity (kg CO</w:t>
      </w:r>
      <w:r>
        <w:rPr>
          <w:sz w:val="20"/>
          <w:szCs w:val="20"/>
          <w:vertAlign w:val="subscript"/>
        </w:rPr>
        <w:t>2</w:t>
      </w:r>
      <w:r w:rsidRPr="00C2367A">
        <w:rPr>
          <w:sz w:val="20"/>
          <w:szCs w:val="20"/>
        </w:rPr>
        <w:t>e/kg of waste) observed in the AI</w:t>
      </w:r>
      <w:r w:rsidR="00210FE6">
        <w:rPr>
          <w:sz w:val="20"/>
          <w:szCs w:val="20"/>
        </w:rPr>
        <w:t>-</w:t>
      </w:r>
      <w:r w:rsidRPr="00C2367A">
        <w:rPr>
          <w:sz w:val="20"/>
          <w:szCs w:val="20"/>
        </w:rPr>
        <w:t>CIR</w:t>
      </w:r>
      <w:r w:rsidR="00210FE6">
        <w:rPr>
          <w:sz w:val="20"/>
          <w:szCs w:val="20"/>
        </w:rPr>
        <w:t>-</w:t>
      </w:r>
      <w:proofErr w:type="spellStart"/>
      <w:r w:rsidRPr="00C2367A">
        <w:rPr>
          <w:sz w:val="20"/>
          <w:szCs w:val="20"/>
        </w:rPr>
        <w:t>WtE</w:t>
      </w:r>
      <w:proofErr w:type="spellEnd"/>
      <w:r w:rsidRPr="00C2367A">
        <w:rPr>
          <w:sz w:val="20"/>
          <w:szCs w:val="20"/>
        </w:rPr>
        <w:t xml:space="preserve"> system. This confirms the system’s eligibility for voluntary and compliance-based carbon markets and aligns it with IPCC Tier 2+ reporting protocols (IPCC, 2023).</w:t>
      </w:r>
    </w:p>
    <w:p w14:paraId="6BB4DD4E" w14:textId="04505D85" w:rsidR="0059533B" w:rsidRPr="00BE2FCE" w:rsidRDefault="0059533B" w:rsidP="00BE2FCE">
      <w:pPr>
        <w:spacing w:after="0" w:line="360" w:lineRule="auto"/>
        <w:jc w:val="both"/>
        <w:rPr>
          <w:rFonts w:ascii="Times New Roman" w:hAnsi="Times New Roman" w:cs="Times New Roman"/>
          <w:b/>
          <w:bCs/>
          <w:sz w:val="20"/>
          <w:szCs w:val="20"/>
        </w:rPr>
      </w:pPr>
      <w:r w:rsidRPr="00BE2FCE">
        <w:rPr>
          <w:rFonts w:ascii="Times New Roman" w:hAnsi="Times New Roman" w:cs="Times New Roman"/>
          <w:b/>
          <w:bCs/>
          <w:sz w:val="20"/>
          <w:szCs w:val="20"/>
        </w:rPr>
        <w:t>4. Strategic Relevance to Carbon Financing and Policy Validation:</w:t>
      </w:r>
    </w:p>
    <w:p w14:paraId="67C07865" w14:textId="77777777" w:rsidR="00BE2FCE" w:rsidRPr="00BE2FCE" w:rsidRDefault="00BE2FCE" w:rsidP="00BE2FCE">
      <w:pPr>
        <w:spacing w:after="0" w:line="360" w:lineRule="auto"/>
        <w:jc w:val="both"/>
        <w:rPr>
          <w:rFonts w:ascii="Times New Roman" w:eastAsia="Times New Roman" w:hAnsi="Times New Roman" w:cs="Times New Roman"/>
          <w:sz w:val="20"/>
          <w:szCs w:val="20"/>
        </w:rPr>
      </w:pPr>
      <w:r w:rsidRPr="00BE2FCE">
        <w:rPr>
          <w:rFonts w:ascii="Times New Roman" w:eastAsia="Times New Roman" w:hAnsi="Times New Roman" w:cs="Times New Roman"/>
          <w:sz w:val="20"/>
          <w:szCs w:val="20"/>
        </w:rPr>
        <w:t>Dynamic LCA not only enhances environmental accountability but also builds a strong case for:</w:t>
      </w:r>
    </w:p>
    <w:p w14:paraId="5DD7B75F" w14:textId="1491D1C0" w:rsidR="00BE2FCE" w:rsidRPr="00BE2FCE" w:rsidRDefault="00BE2FCE" w:rsidP="008B1028">
      <w:pPr>
        <w:numPr>
          <w:ilvl w:val="0"/>
          <w:numId w:val="56"/>
        </w:numPr>
        <w:spacing w:after="0" w:line="360" w:lineRule="auto"/>
        <w:jc w:val="both"/>
        <w:rPr>
          <w:rFonts w:ascii="Times New Roman" w:eastAsia="Times New Roman" w:hAnsi="Times New Roman" w:cs="Times New Roman"/>
          <w:sz w:val="20"/>
          <w:szCs w:val="20"/>
        </w:rPr>
      </w:pPr>
      <w:r w:rsidRPr="00BE2FCE">
        <w:rPr>
          <w:rFonts w:ascii="Times New Roman" w:eastAsia="Times New Roman" w:hAnsi="Times New Roman" w:cs="Times New Roman"/>
          <w:sz w:val="20"/>
          <w:szCs w:val="20"/>
        </w:rPr>
        <w:t>Carbon asset generation under Verra or Gold Standard.</w:t>
      </w:r>
    </w:p>
    <w:p w14:paraId="37A29AF1" w14:textId="39286E78" w:rsidR="00BE2FCE" w:rsidRPr="00BE2FCE" w:rsidRDefault="00BE2FCE" w:rsidP="008B1028">
      <w:pPr>
        <w:numPr>
          <w:ilvl w:val="0"/>
          <w:numId w:val="56"/>
        </w:numPr>
        <w:spacing w:after="0" w:line="360" w:lineRule="auto"/>
        <w:jc w:val="both"/>
        <w:rPr>
          <w:rFonts w:ascii="Times New Roman" w:eastAsia="Times New Roman" w:hAnsi="Times New Roman" w:cs="Times New Roman"/>
          <w:sz w:val="20"/>
          <w:szCs w:val="20"/>
        </w:rPr>
      </w:pPr>
      <w:r w:rsidRPr="00BE2FCE">
        <w:rPr>
          <w:rFonts w:ascii="Times New Roman" w:eastAsia="Times New Roman" w:hAnsi="Times New Roman" w:cs="Times New Roman"/>
          <w:sz w:val="20"/>
          <w:szCs w:val="20"/>
        </w:rPr>
        <w:t>Results-Based Financing (RBF) under GCF mitigation portfolios.</w:t>
      </w:r>
    </w:p>
    <w:p w14:paraId="741EEAD0" w14:textId="5F22C284" w:rsidR="00BE2FCE" w:rsidRPr="00BE2FCE" w:rsidRDefault="00BE2FCE" w:rsidP="008B1028">
      <w:pPr>
        <w:numPr>
          <w:ilvl w:val="0"/>
          <w:numId w:val="56"/>
        </w:numPr>
        <w:spacing w:after="0" w:line="360" w:lineRule="auto"/>
        <w:jc w:val="both"/>
        <w:rPr>
          <w:rFonts w:ascii="Times New Roman" w:eastAsia="Times New Roman" w:hAnsi="Times New Roman" w:cs="Times New Roman"/>
          <w:sz w:val="20"/>
          <w:szCs w:val="20"/>
        </w:rPr>
      </w:pPr>
      <w:r w:rsidRPr="00BE2FCE">
        <w:rPr>
          <w:rFonts w:ascii="Times New Roman" w:eastAsia="Times New Roman" w:hAnsi="Times New Roman" w:cs="Times New Roman"/>
          <w:sz w:val="20"/>
          <w:szCs w:val="20"/>
        </w:rPr>
        <w:t>Urban NDC contributions under Bangladesh’s Paris Agreement targets.</w:t>
      </w:r>
    </w:p>
    <w:p w14:paraId="193E7C64" w14:textId="00F2298F" w:rsidR="00BE2FCE" w:rsidRDefault="00BE2FCE" w:rsidP="00BE2FCE">
      <w:pPr>
        <w:spacing w:after="0" w:line="360" w:lineRule="auto"/>
        <w:jc w:val="both"/>
        <w:rPr>
          <w:rFonts w:ascii="Times New Roman" w:eastAsia="Times New Roman" w:hAnsi="Times New Roman" w:cs="Times New Roman"/>
          <w:sz w:val="20"/>
          <w:szCs w:val="20"/>
        </w:rPr>
      </w:pPr>
      <w:r w:rsidRPr="00BE2FCE">
        <w:rPr>
          <w:rFonts w:ascii="Times New Roman" w:eastAsia="Times New Roman" w:hAnsi="Times New Roman" w:cs="Times New Roman"/>
          <w:sz w:val="20"/>
          <w:szCs w:val="20"/>
        </w:rPr>
        <w:lastRenderedPageBreak/>
        <w:t>Additionally, it provides credible environmental co-benefit reporting for SDG 12.5 (waste minimization), SDG 13.1 (climate resilience), and SDG 11.6 (urban emissions reduction).</w:t>
      </w:r>
      <w:r>
        <w:rPr>
          <w:rFonts w:ascii="Times New Roman" w:eastAsia="Times New Roman" w:hAnsi="Times New Roman" w:cs="Times New Roman"/>
          <w:sz w:val="20"/>
          <w:szCs w:val="20"/>
        </w:rPr>
        <w:t xml:space="preserve"> </w:t>
      </w:r>
      <w:r w:rsidRPr="00BE2FCE">
        <w:rPr>
          <w:rFonts w:ascii="Times New Roman" w:eastAsia="Times New Roman" w:hAnsi="Times New Roman" w:cs="Times New Roman"/>
          <w:sz w:val="20"/>
          <w:szCs w:val="20"/>
        </w:rPr>
        <w:t>By making LCA AI-responsive, the framework offers a pioneering model for adaptive environmental accounting and real-time sustainability benchmarking.</w:t>
      </w:r>
    </w:p>
    <w:p w14:paraId="6531163C" w14:textId="272ED9FC" w:rsidR="009E17DD" w:rsidRDefault="009E17DD" w:rsidP="00BE2FCE">
      <w:pPr>
        <w:spacing w:after="0" w:line="360" w:lineRule="auto"/>
        <w:jc w:val="both"/>
        <w:rPr>
          <w:rFonts w:ascii="Times New Roman" w:eastAsia="Times New Roman" w:hAnsi="Times New Roman" w:cs="Times New Roman"/>
          <w:sz w:val="20"/>
          <w:szCs w:val="20"/>
        </w:rPr>
      </w:pPr>
    </w:p>
    <w:p w14:paraId="4B6D63D9" w14:textId="575A3698" w:rsidR="009E17DD" w:rsidRPr="009E17DD" w:rsidRDefault="009E17DD" w:rsidP="00BE2FCE">
      <w:pPr>
        <w:spacing w:after="0" w:line="360" w:lineRule="auto"/>
        <w:jc w:val="both"/>
        <w:rPr>
          <w:rFonts w:ascii="Times New Roman" w:eastAsia="Times New Roman" w:hAnsi="Times New Roman" w:cs="Times New Roman"/>
          <w:b/>
          <w:bCs/>
          <w:sz w:val="20"/>
          <w:szCs w:val="20"/>
        </w:rPr>
      </w:pPr>
      <w:r w:rsidRPr="009E17DD">
        <w:rPr>
          <w:rFonts w:ascii="Times New Roman" w:eastAsia="Times New Roman" w:hAnsi="Times New Roman" w:cs="Times New Roman"/>
          <w:b/>
          <w:bCs/>
          <w:sz w:val="20"/>
          <w:szCs w:val="20"/>
        </w:rPr>
        <w:t>COMPARATIVE DECARBONIZATION PATHWAYS</w:t>
      </w:r>
    </w:p>
    <w:p w14:paraId="3AED565C" w14:textId="5E0D51FD" w:rsidR="009E17DD" w:rsidRDefault="004E02EC" w:rsidP="00BE2FCE">
      <w:pPr>
        <w:spacing w:after="0" w:line="360" w:lineRule="auto"/>
        <w:jc w:val="both"/>
        <w:rPr>
          <w:rFonts w:ascii="Times New Roman" w:eastAsia="Times New Roman" w:hAnsi="Times New Roman" w:cs="Times New Roman"/>
          <w:sz w:val="20"/>
          <w:szCs w:val="20"/>
        </w:rPr>
      </w:pPr>
      <w:r w:rsidRPr="004E02EC">
        <w:rPr>
          <w:rFonts w:ascii="Times New Roman" w:eastAsia="Times New Roman" w:hAnsi="Times New Roman" w:cs="Times New Roman"/>
          <w:sz w:val="20"/>
          <w:szCs w:val="20"/>
        </w:rPr>
        <w:t>Using year-by-year analysis up to 2050, this section compares the AI</w:t>
      </w:r>
      <w:r w:rsidR="00210FE6">
        <w:rPr>
          <w:rFonts w:ascii="Times New Roman" w:eastAsia="Times New Roman" w:hAnsi="Times New Roman" w:cs="Times New Roman"/>
          <w:sz w:val="20"/>
          <w:szCs w:val="20"/>
        </w:rPr>
        <w:t>-</w:t>
      </w:r>
      <w:r w:rsidRPr="004E02EC">
        <w:rPr>
          <w:rFonts w:ascii="Times New Roman" w:eastAsia="Times New Roman" w:hAnsi="Times New Roman" w:cs="Times New Roman"/>
          <w:sz w:val="20"/>
          <w:szCs w:val="20"/>
        </w:rPr>
        <w:t>CIR</w:t>
      </w:r>
      <w:r w:rsidR="00210FE6">
        <w:rPr>
          <w:rFonts w:ascii="Times New Roman" w:eastAsia="Times New Roman" w:hAnsi="Times New Roman" w:cs="Times New Roman"/>
          <w:sz w:val="20"/>
          <w:szCs w:val="20"/>
        </w:rPr>
        <w:t>-</w:t>
      </w:r>
      <w:proofErr w:type="spellStart"/>
      <w:r w:rsidRPr="004E02EC">
        <w:rPr>
          <w:rFonts w:ascii="Times New Roman" w:eastAsia="Times New Roman" w:hAnsi="Times New Roman" w:cs="Times New Roman"/>
          <w:sz w:val="20"/>
          <w:szCs w:val="20"/>
        </w:rPr>
        <w:t>WtE</w:t>
      </w:r>
      <w:proofErr w:type="spellEnd"/>
      <w:r w:rsidRPr="004E02EC">
        <w:rPr>
          <w:rFonts w:ascii="Times New Roman" w:eastAsia="Times New Roman" w:hAnsi="Times New Roman" w:cs="Times New Roman"/>
          <w:sz w:val="20"/>
          <w:szCs w:val="20"/>
        </w:rPr>
        <w:t xml:space="preserve"> framework's decarbonization contribution to Dhaka's urban carbon budget and forecasts in line with Bangladesh's Nationally Determined Contributions (NDCs) and the Paris Agreement. Policy relevance and alignment with UNFCCC metrics are improved as a result.</w:t>
      </w:r>
    </w:p>
    <w:p w14:paraId="35B78917" w14:textId="55E2A0BA" w:rsidR="004E02EC" w:rsidRPr="000D1D17" w:rsidRDefault="00EC715E" w:rsidP="000D1D17">
      <w:pPr>
        <w:pStyle w:val="ListParagraph"/>
        <w:numPr>
          <w:ilvl w:val="0"/>
          <w:numId w:val="60"/>
        </w:numPr>
        <w:spacing w:after="0" w:line="360" w:lineRule="auto"/>
        <w:jc w:val="both"/>
        <w:rPr>
          <w:rFonts w:ascii="Times New Roman" w:hAnsi="Times New Roman" w:cs="Times New Roman"/>
          <w:b/>
          <w:bCs/>
          <w:sz w:val="20"/>
          <w:szCs w:val="20"/>
        </w:rPr>
      </w:pPr>
      <w:r w:rsidRPr="000D1D17">
        <w:rPr>
          <w:rFonts w:ascii="Times New Roman" w:hAnsi="Times New Roman" w:cs="Times New Roman"/>
          <w:b/>
          <w:bCs/>
          <w:sz w:val="20"/>
          <w:szCs w:val="20"/>
        </w:rPr>
        <w:t>Estimating Dhaka’s Urban Carbon Budget:</w:t>
      </w:r>
    </w:p>
    <w:p w14:paraId="399D8D0A" w14:textId="23D2167F" w:rsidR="00EC715E" w:rsidRDefault="001D494A" w:rsidP="00BE2FCE">
      <w:pPr>
        <w:spacing w:after="0" w:line="360" w:lineRule="auto"/>
        <w:jc w:val="both"/>
        <w:rPr>
          <w:rFonts w:ascii="Times New Roman" w:eastAsia="Times New Roman" w:hAnsi="Times New Roman" w:cs="Times New Roman"/>
          <w:sz w:val="20"/>
          <w:szCs w:val="20"/>
        </w:rPr>
      </w:pPr>
      <w:r w:rsidRPr="001D494A">
        <w:rPr>
          <w:rFonts w:ascii="Times New Roman" w:eastAsia="Times New Roman" w:hAnsi="Times New Roman" w:cs="Times New Roman"/>
          <w:sz w:val="20"/>
          <w:szCs w:val="20"/>
        </w:rPr>
        <w:t>As of 2024, the Dhaka North and South City Corporations have committed to becoming carbon-neutral by 2050, tied to Bangladesh’s conditional 2030 reduction target (~89.5 MtCO</w:t>
      </w:r>
      <w:r>
        <w:rPr>
          <w:rFonts w:ascii="Times New Roman" w:eastAsia="Times New Roman" w:hAnsi="Times New Roman" w:cs="Times New Roman"/>
          <w:sz w:val="20"/>
          <w:szCs w:val="20"/>
          <w:vertAlign w:val="subscript"/>
        </w:rPr>
        <w:t>2</w:t>
      </w:r>
      <w:r w:rsidRPr="001D494A">
        <w:rPr>
          <w:rFonts w:ascii="Times New Roman" w:eastAsia="Times New Roman" w:hAnsi="Times New Roman" w:cs="Times New Roman"/>
          <w:sz w:val="20"/>
          <w:szCs w:val="20"/>
        </w:rPr>
        <w:t>e) under the Paris Agreement (C40 Cities, 2024). Given their share of national emissions, combined city emissions are estimated at ≈15 MtCO</w:t>
      </w:r>
      <w:r>
        <w:rPr>
          <w:rFonts w:ascii="Times New Roman" w:eastAsia="Times New Roman" w:hAnsi="Times New Roman" w:cs="Times New Roman"/>
          <w:sz w:val="20"/>
          <w:szCs w:val="20"/>
          <w:vertAlign w:val="subscript"/>
        </w:rPr>
        <w:t>2</w:t>
      </w:r>
      <w:r w:rsidRPr="001D494A">
        <w:rPr>
          <w:rFonts w:ascii="Times New Roman" w:eastAsia="Times New Roman" w:hAnsi="Times New Roman" w:cs="Times New Roman"/>
          <w:sz w:val="20"/>
          <w:szCs w:val="20"/>
        </w:rPr>
        <w:t>e/year in 2025, with an allowable remaining carbon budget of 200 MtCO</w:t>
      </w:r>
      <w:r>
        <w:rPr>
          <w:rFonts w:ascii="Times New Roman" w:eastAsia="Times New Roman" w:hAnsi="Times New Roman" w:cs="Times New Roman"/>
          <w:sz w:val="20"/>
          <w:szCs w:val="20"/>
          <w:vertAlign w:val="subscript"/>
        </w:rPr>
        <w:t>2</w:t>
      </w:r>
      <w:r w:rsidRPr="001D494A">
        <w:rPr>
          <w:rFonts w:ascii="Times New Roman" w:eastAsia="Times New Roman" w:hAnsi="Times New Roman" w:cs="Times New Roman"/>
          <w:sz w:val="20"/>
          <w:szCs w:val="20"/>
        </w:rPr>
        <w:t xml:space="preserve">e to stay on a 1.5 °C pathway (India Urban NDC study). </w:t>
      </w:r>
    </w:p>
    <w:p w14:paraId="4DB5CF0B" w14:textId="5A8A1178" w:rsidR="001D494A" w:rsidRPr="000D1D17" w:rsidRDefault="0064512E" w:rsidP="000D1D17">
      <w:pPr>
        <w:pStyle w:val="ListParagraph"/>
        <w:numPr>
          <w:ilvl w:val="0"/>
          <w:numId w:val="60"/>
        </w:numPr>
        <w:spacing w:after="0" w:line="360" w:lineRule="auto"/>
        <w:jc w:val="both"/>
        <w:rPr>
          <w:rFonts w:ascii="Times New Roman" w:hAnsi="Times New Roman" w:cs="Times New Roman"/>
          <w:b/>
          <w:bCs/>
          <w:sz w:val="20"/>
          <w:szCs w:val="20"/>
        </w:rPr>
      </w:pPr>
      <w:r w:rsidRPr="000D1D17">
        <w:rPr>
          <w:rFonts w:ascii="Times New Roman" w:hAnsi="Times New Roman" w:cs="Times New Roman"/>
          <w:b/>
          <w:bCs/>
          <w:sz w:val="20"/>
          <w:szCs w:val="20"/>
        </w:rPr>
        <w:t>AI</w:t>
      </w:r>
      <w:r w:rsidR="00210FE6">
        <w:rPr>
          <w:rFonts w:ascii="Times New Roman" w:hAnsi="Times New Roman" w:cs="Times New Roman"/>
          <w:b/>
          <w:bCs/>
          <w:sz w:val="20"/>
          <w:szCs w:val="20"/>
        </w:rPr>
        <w:t>-</w:t>
      </w:r>
      <w:r w:rsidRPr="000D1D17">
        <w:rPr>
          <w:rFonts w:ascii="Times New Roman" w:hAnsi="Times New Roman" w:cs="Times New Roman"/>
          <w:b/>
          <w:bCs/>
          <w:sz w:val="20"/>
          <w:szCs w:val="20"/>
        </w:rPr>
        <w:t>CIR</w:t>
      </w:r>
      <w:r w:rsidR="00210FE6">
        <w:rPr>
          <w:rFonts w:ascii="Times New Roman" w:hAnsi="Times New Roman" w:cs="Times New Roman"/>
          <w:b/>
          <w:bCs/>
          <w:sz w:val="20"/>
          <w:szCs w:val="20"/>
        </w:rPr>
        <w:t>-</w:t>
      </w:r>
      <w:proofErr w:type="spellStart"/>
      <w:r w:rsidRPr="000D1D17">
        <w:rPr>
          <w:rFonts w:ascii="Times New Roman" w:hAnsi="Times New Roman" w:cs="Times New Roman"/>
          <w:b/>
          <w:bCs/>
          <w:sz w:val="20"/>
          <w:szCs w:val="20"/>
        </w:rPr>
        <w:t>WtE</w:t>
      </w:r>
      <w:proofErr w:type="spellEnd"/>
      <w:r w:rsidRPr="000D1D17">
        <w:rPr>
          <w:rFonts w:ascii="Times New Roman" w:hAnsi="Times New Roman" w:cs="Times New Roman"/>
          <w:b/>
          <w:bCs/>
          <w:sz w:val="20"/>
          <w:szCs w:val="20"/>
        </w:rPr>
        <w:t xml:space="preserve"> Emissions Reduction Trajectories:</w:t>
      </w:r>
    </w:p>
    <w:p w14:paraId="605E876C" w14:textId="3F83CFBC" w:rsidR="001F1AAC" w:rsidRPr="001F1AAC" w:rsidRDefault="001F1AAC" w:rsidP="001F1AAC">
      <w:pPr>
        <w:pStyle w:val="NormalWeb"/>
        <w:spacing w:before="0" w:beforeAutospacing="0" w:after="0" w:afterAutospacing="0" w:line="360" w:lineRule="auto"/>
        <w:jc w:val="both"/>
        <w:rPr>
          <w:sz w:val="20"/>
          <w:szCs w:val="20"/>
        </w:rPr>
      </w:pPr>
      <w:r w:rsidRPr="001F1AAC">
        <w:rPr>
          <w:rStyle w:val="relative"/>
          <w:sz w:val="20"/>
          <w:szCs w:val="20"/>
        </w:rPr>
        <w:t xml:space="preserve">Using outputs from both the </w:t>
      </w:r>
      <w:r w:rsidRPr="001F1AAC">
        <w:rPr>
          <w:rStyle w:val="Strong"/>
          <w:b w:val="0"/>
          <w:bCs w:val="0"/>
          <w:sz w:val="20"/>
          <w:szCs w:val="20"/>
        </w:rPr>
        <w:t>AI</w:t>
      </w:r>
      <w:r w:rsidR="00210FE6">
        <w:rPr>
          <w:rStyle w:val="Strong"/>
          <w:b w:val="0"/>
          <w:bCs w:val="0"/>
          <w:sz w:val="20"/>
          <w:szCs w:val="20"/>
        </w:rPr>
        <w:t>-</w:t>
      </w:r>
      <w:r w:rsidRPr="001F1AAC">
        <w:rPr>
          <w:rStyle w:val="Strong"/>
          <w:b w:val="0"/>
          <w:bCs w:val="0"/>
          <w:sz w:val="20"/>
          <w:szCs w:val="20"/>
        </w:rPr>
        <w:t>LCA Module</w:t>
      </w:r>
      <w:r w:rsidRPr="001F1AAC">
        <w:rPr>
          <w:rStyle w:val="relative"/>
          <w:sz w:val="20"/>
          <w:szCs w:val="20"/>
        </w:rPr>
        <w:t xml:space="preserve"> and </w:t>
      </w:r>
      <w:r w:rsidRPr="001F1AAC">
        <w:rPr>
          <w:rStyle w:val="Strong"/>
          <w:b w:val="0"/>
          <w:bCs w:val="0"/>
          <w:sz w:val="20"/>
          <w:szCs w:val="20"/>
        </w:rPr>
        <w:t>Policy Simulations</w:t>
      </w:r>
      <w:r w:rsidRPr="001F1AAC">
        <w:rPr>
          <w:rStyle w:val="relative"/>
          <w:sz w:val="20"/>
          <w:szCs w:val="20"/>
        </w:rPr>
        <w:t>, 3 deployment scenarios were mapped (Figure references omitted):</w:t>
      </w:r>
    </w:p>
    <w:p w14:paraId="257E2AC7" w14:textId="3A7FE1C7" w:rsidR="001F1AAC" w:rsidRPr="001F1AAC" w:rsidRDefault="001F1AAC" w:rsidP="001F1AAC">
      <w:pPr>
        <w:pStyle w:val="NormalWeb"/>
        <w:numPr>
          <w:ilvl w:val="0"/>
          <w:numId w:val="57"/>
        </w:numPr>
        <w:spacing w:before="0" w:beforeAutospacing="0" w:after="0" w:afterAutospacing="0" w:line="360" w:lineRule="auto"/>
        <w:jc w:val="both"/>
        <w:rPr>
          <w:sz w:val="20"/>
          <w:szCs w:val="20"/>
        </w:rPr>
      </w:pPr>
      <w:r w:rsidRPr="001F1AAC">
        <w:rPr>
          <w:rStyle w:val="Strong"/>
          <w:sz w:val="20"/>
          <w:szCs w:val="20"/>
        </w:rPr>
        <w:t>Minimal Deployment</w:t>
      </w:r>
      <w:r w:rsidRPr="001F1AAC">
        <w:rPr>
          <w:rStyle w:val="relative"/>
          <w:sz w:val="20"/>
          <w:szCs w:val="20"/>
        </w:rPr>
        <w:t xml:space="preserve">: Slow rollout, achieving </w:t>
      </w:r>
      <w:r w:rsidRPr="001F1AAC">
        <w:rPr>
          <w:rStyle w:val="Strong"/>
          <w:b w:val="0"/>
          <w:bCs w:val="0"/>
          <w:sz w:val="20"/>
          <w:szCs w:val="20"/>
        </w:rPr>
        <w:t>0.5 MtCO</w:t>
      </w:r>
      <w:r>
        <w:rPr>
          <w:rStyle w:val="Strong"/>
          <w:b w:val="0"/>
          <w:bCs w:val="0"/>
          <w:sz w:val="20"/>
          <w:szCs w:val="20"/>
          <w:vertAlign w:val="subscript"/>
        </w:rPr>
        <w:t>2</w:t>
      </w:r>
      <w:r w:rsidRPr="001F1AAC">
        <w:rPr>
          <w:rStyle w:val="Strong"/>
          <w:b w:val="0"/>
          <w:bCs w:val="0"/>
          <w:sz w:val="20"/>
          <w:szCs w:val="20"/>
        </w:rPr>
        <w:t>e reductions/year</w:t>
      </w:r>
      <w:r w:rsidRPr="001F1AAC">
        <w:rPr>
          <w:rStyle w:val="relative"/>
          <w:sz w:val="20"/>
          <w:szCs w:val="20"/>
        </w:rPr>
        <w:t xml:space="preserve">, cumulative to </w:t>
      </w:r>
      <w:r w:rsidRPr="001F1AAC">
        <w:rPr>
          <w:rStyle w:val="Strong"/>
          <w:b w:val="0"/>
          <w:bCs w:val="0"/>
          <w:sz w:val="20"/>
          <w:szCs w:val="20"/>
        </w:rPr>
        <w:t>12 Mt</w:t>
      </w:r>
      <w:r w:rsidRPr="001F1AAC">
        <w:rPr>
          <w:rStyle w:val="relative"/>
          <w:sz w:val="20"/>
          <w:szCs w:val="20"/>
        </w:rPr>
        <w:t xml:space="preserve"> by 2050 (~6% of budget).</w:t>
      </w:r>
    </w:p>
    <w:p w14:paraId="743BE763" w14:textId="39E1F4CE" w:rsidR="001F1AAC" w:rsidRPr="001F1AAC" w:rsidRDefault="001F1AAC" w:rsidP="001F1AAC">
      <w:pPr>
        <w:pStyle w:val="NormalWeb"/>
        <w:numPr>
          <w:ilvl w:val="0"/>
          <w:numId w:val="57"/>
        </w:numPr>
        <w:spacing w:before="0" w:beforeAutospacing="0" w:after="0" w:afterAutospacing="0" w:line="360" w:lineRule="auto"/>
        <w:jc w:val="both"/>
        <w:rPr>
          <w:sz w:val="20"/>
          <w:szCs w:val="20"/>
        </w:rPr>
      </w:pPr>
      <w:r w:rsidRPr="001F1AAC">
        <w:rPr>
          <w:rStyle w:val="Strong"/>
          <w:sz w:val="20"/>
          <w:szCs w:val="20"/>
        </w:rPr>
        <w:t>Moderate Deployment</w:t>
      </w:r>
      <w:r w:rsidRPr="001F1AAC">
        <w:rPr>
          <w:rStyle w:val="relative"/>
          <w:sz w:val="20"/>
          <w:szCs w:val="20"/>
        </w:rPr>
        <w:t xml:space="preserve">: Medium rollout, achieving </w:t>
      </w:r>
      <w:r w:rsidRPr="001F1AAC">
        <w:rPr>
          <w:rStyle w:val="Strong"/>
          <w:b w:val="0"/>
          <w:bCs w:val="0"/>
          <w:sz w:val="20"/>
          <w:szCs w:val="20"/>
        </w:rPr>
        <w:t>1.2 MtCO</w:t>
      </w:r>
      <w:r>
        <w:rPr>
          <w:rStyle w:val="Strong"/>
          <w:b w:val="0"/>
          <w:bCs w:val="0"/>
          <w:sz w:val="20"/>
          <w:szCs w:val="20"/>
          <w:vertAlign w:val="subscript"/>
        </w:rPr>
        <w:t>2</w:t>
      </w:r>
      <w:r w:rsidRPr="001F1AAC">
        <w:rPr>
          <w:rStyle w:val="Strong"/>
          <w:b w:val="0"/>
          <w:bCs w:val="0"/>
          <w:sz w:val="20"/>
          <w:szCs w:val="20"/>
        </w:rPr>
        <w:t>e/year</w:t>
      </w:r>
      <w:r w:rsidRPr="001F1AAC">
        <w:rPr>
          <w:rStyle w:val="relative"/>
          <w:sz w:val="20"/>
          <w:szCs w:val="20"/>
        </w:rPr>
        <w:t xml:space="preserve">, cumulative to </w:t>
      </w:r>
      <w:r w:rsidRPr="001F1AAC">
        <w:rPr>
          <w:rStyle w:val="Strong"/>
          <w:b w:val="0"/>
          <w:bCs w:val="0"/>
          <w:sz w:val="20"/>
          <w:szCs w:val="20"/>
        </w:rPr>
        <w:t>30 Mt</w:t>
      </w:r>
      <w:r w:rsidRPr="001F1AAC">
        <w:rPr>
          <w:rStyle w:val="relative"/>
          <w:sz w:val="20"/>
          <w:szCs w:val="20"/>
        </w:rPr>
        <w:t xml:space="preserve"> (~15% of budget).</w:t>
      </w:r>
    </w:p>
    <w:p w14:paraId="3928ABAA" w14:textId="387A6EE3" w:rsidR="001F1AAC" w:rsidRPr="001F1AAC" w:rsidRDefault="001F1AAC" w:rsidP="001F1AAC">
      <w:pPr>
        <w:pStyle w:val="NormalWeb"/>
        <w:numPr>
          <w:ilvl w:val="0"/>
          <w:numId w:val="57"/>
        </w:numPr>
        <w:spacing w:before="0" w:beforeAutospacing="0" w:after="0" w:afterAutospacing="0" w:line="360" w:lineRule="auto"/>
        <w:jc w:val="both"/>
        <w:rPr>
          <w:sz w:val="20"/>
          <w:szCs w:val="20"/>
        </w:rPr>
      </w:pPr>
      <w:r w:rsidRPr="001F1AAC">
        <w:rPr>
          <w:rStyle w:val="Strong"/>
          <w:sz w:val="20"/>
          <w:szCs w:val="20"/>
        </w:rPr>
        <w:t>Full Deployment</w:t>
      </w:r>
      <w:r w:rsidRPr="001F1AAC">
        <w:rPr>
          <w:rStyle w:val="relative"/>
          <w:sz w:val="20"/>
          <w:szCs w:val="20"/>
        </w:rPr>
        <w:t xml:space="preserve">: City-wide rollout by 2030, reaching </w:t>
      </w:r>
      <w:r w:rsidRPr="001F1AAC">
        <w:rPr>
          <w:rStyle w:val="Strong"/>
          <w:b w:val="0"/>
          <w:bCs w:val="0"/>
          <w:sz w:val="20"/>
          <w:szCs w:val="20"/>
        </w:rPr>
        <w:t>2.1 MtCO</w:t>
      </w:r>
      <w:r>
        <w:rPr>
          <w:rStyle w:val="Strong"/>
          <w:b w:val="0"/>
          <w:bCs w:val="0"/>
          <w:sz w:val="20"/>
          <w:szCs w:val="20"/>
          <w:vertAlign w:val="subscript"/>
        </w:rPr>
        <w:t>2</w:t>
      </w:r>
      <w:r w:rsidRPr="001F1AAC">
        <w:rPr>
          <w:rStyle w:val="Strong"/>
          <w:b w:val="0"/>
          <w:bCs w:val="0"/>
          <w:sz w:val="20"/>
          <w:szCs w:val="20"/>
        </w:rPr>
        <w:t>e/year</w:t>
      </w:r>
      <w:r w:rsidRPr="001F1AAC">
        <w:rPr>
          <w:rStyle w:val="relative"/>
          <w:sz w:val="20"/>
          <w:szCs w:val="20"/>
        </w:rPr>
        <w:t xml:space="preserve">, cumulative to </w:t>
      </w:r>
      <w:r w:rsidRPr="001F1AAC">
        <w:rPr>
          <w:rStyle w:val="Strong"/>
          <w:b w:val="0"/>
          <w:bCs w:val="0"/>
          <w:sz w:val="20"/>
          <w:szCs w:val="20"/>
        </w:rPr>
        <w:t>63 Mt</w:t>
      </w:r>
      <w:r w:rsidRPr="001F1AAC">
        <w:rPr>
          <w:rStyle w:val="relative"/>
          <w:sz w:val="20"/>
          <w:szCs w:val="20"/>
        </w:rPr>
        <w:t xml:space="preserve"> (~32% of budget).</w:t>
      </w:r>
    </w:p>
    <w:p w14:paraId="684E6568" w14:textId="12CF20FB" w:rsidR="001F1AAC" w:rsidRDefault="001F1AAC" w:rsidP="001F1AAC">
      <w:pPr>
        <w:pStyle w:val="NormalWeb"/>
        <w:spacing w:before="0" w:beforeAutospacing="0" w:after="0" w:afterAutospacing="0" w:line="360" w:lineRule="auto"/>
        <w:jc w:val="both"/>
        <w:rPr>
          <w:rStyle w:val="relative"/>
          <w:sz w:val="20"/>
          <w:szCs w:val="20"/>
        </w:rPr>
      </w:pPr>
      <w:r w:rsidRPr="001F1AAC">
        <w:rPr>
          <w:rStyle w:val="relative"/>
          <w:sz w:val="20"/>
          <w:szCs w:val="20"/>
        </w:rPr>
        <w:t xml:space="preserve">These values integrate annual leakage adjustments and conservative baseline assumptions, comparing unfavorably to static </w:t>
      </w:r>
      <w:proofErr w:type="spellStart"/>
      <w:r w:rsidRPr="001F1AAC">
        <w:rPr>
          <w:rStyle w:val="relative"/>
          <w:sz w:val="20"/>
          <w:szCs w:val="20"/>
        </w:rPr>
        <w:t>WtE</w:t>
      </w:r>
      <w:proofErr w:type="spellEnd"/>
      <w:r w:rsidRPr="001F1AAC">
        <w:rPr>
          <w:rStyle w:val="relative"/>
          <w:sz w:val="20"/>
          <w:szCs w:val="20"/>
        </w:rPr>
        <w:t xml:space="preserve"> systems and aligning with UNFCCC decarbonization reporting standards.</w:t>
      </w:r>
    </w:p>
    <w:p w14:paraId="425C8A05" w14:textId="5395E66A" w:rsidR="001F1AAC" w:rsidRPr="000D1D17" w:rsidRDefault="00634DA4" w:rsidP="000D1D17">
      <w:pPr>
        <w:pStyle w:val="ListParagraph"/>
        <w:numPr>
          <w:ilvl w:val="0"/>
          <w:numId w:val="60"/>
        </w:numPr>
        <w:spacing w:after="0" w:line="360" w:lineRule="auto"/>
        <w:jc w:val="both"/>
        <w:rPr>
          <w:rFonts w:ascii="Times New Roman" w:hAnsi="Times New Roman" w:cs="Times New Roman"/>
          <w:b/>
          <w:bCs/>
          <w:sz w:val="20"/>
          <w:szCs w:val="20"/>
        </w:rPr>
      </w:pPr>
      <w:r w:rsidRPr="000D1D17">
        <w:rPr>
          <w:rFonts w:ascii="Times New Roman" w:hAnsi="Times New Roman" w:cs="Times New Roman"/>
          <w:b/>
          <w:bCs/>
          <w:sz w:val="20"/>
          <w:szCs w:val="20"/>
        </w:rPr>
        <w:t>Year-by-Year Projections (2025–2050):</w:t>
      </w:r>
    </w:p>
    <w:p w14:paraId="265A4516" w14:textId="08BAE382" w:rsidR="00634DA4" w:rsidRDefault="00634DA4" w:rsidP="001F1AAC">
      <w:pPr>
        <w:pStyle w:val="NormalWeb"/>
        <w:spacing w:before="0" w:beforeAutospacing="0" w:after="0" w:afterAutospacing="0" w:line="360" w:lineRule="auto"/>
        <w:jc w:val="both"/>
        <w:rPr>
          <w:sz w:val="20"/>
          <w:szCs w:val="20"/>
        </w:rPr>
      </w:pPr>
      <w:r w:rsidRPr="00634DA4">
        <w:rPr>
          <w:sz w:val="20"/>
          <w:szCs w:val="20"/>
        </w:rPr>
        <w:t>The following table</w:t>
      </w:r>
      <w:r w:rsidR="00FF5560">
        <w:rPr>
          <w:sz w:val="20"/>
          <w:szCs w:val="20"/>
        </w:rPr>
        <w:t xml:space="preserve"> 4</w:t>
      </w:r>
      <w:r w:rsidRPr="00634DA4">
        <w:rPr>
          <w:sz w:val="20"/>
          <w:szCs w:val="20"/>
        </w:rPr>
        <w:t xml:space="preserve"> outlines projected annual emissions:</w:t>
      </w:r>
    </w:p>
    <w:tbl>
      <w:tblPr>
        <w:tblStyle w:val="TableGrid"/>
        <w:tblW w:w="0" w:type="auto"/>
        <w:tblLook w:val="04A0" w:firstRow="1" w:lastRow="0" w:firstColumn="1" w:lastColumn="0" w:noHBand="0" w:noVBand="1"/>
      </w:tblPr>
      <w:tblGrid>
        <w:gridCol w:w="1555"/>
        <w:gridCol w:w="1984"/>
        <w:gridCol w:w="2067"/>
        <w:gridCol w:w="1902"/>
        <w:gridCol w:w="1836"/>
      </w:tblGrid>
      <w:tr w:rsidR="00FF5560" w14:paraId="122DB6CF" w14:textId="77777777" w:rsidTr="004C06FF">
        <w:tc>
          <w:tcPr>
            <w:tcW w:w="1555" w:type="dxa"/>
            <w:vAlign w:val="center"/>
          </w:tcPr>
          <w:p w14:paraId="356791B8" w14:textId="73C89A76" w:rsidR="00FF5560" w:rsidRPr="004C06FF" w:rsidRDefault="00FF5560" w:rsidP="004C06FF">
            <w:pPr>
              <w:pStyle w:val="NormalWeb"/>
              <w:spacing w:before="0" w:beforeAutospacing="0" w:after="0" w:afterAutospacing="0" w:line="360" w:lineRule="auto"/>
              <w:jc w:val="center"/>
              <w:rPr>
                <w:sz w:val="20"/>
                <w:szCs w:val="20"/>
              </w:rPr>
            </w:pPr>
            <w:r w:rsidRPr="003D2AAD">
              <w:rPr>
                <w:b/>
                <w:bCs/>
                <w:sz w:val="20"/>
                <w:szCs w:val="20"/>
              </w:rPr>
              <w:t>Year</w:t>
            </w:r>
          </w:p>
        </w:tc>
        <w:tc>
          <w:tcPr>
            <w:tcW w:w="1984" w:type="dxa"/>
            <w:vAlign w:val="center"/>
          </w:tcPr>
          <w:p w14:paraId="2BCAD1EB" w14:textId="38519CDF" w:rsidR="004C06FF" w:rsidRPr="004C06FF" w:rsidRDefault="00FF5560" w:rsidP="004C06FF">
            <w:pPr>
              <w:pStyle w:val="NormalWeb"/>
              <w:spacing w:before="0" w:beforeAutospacing="0" w:after="0" w:afterAutospacing="0" w:line="360" w:lineRule="auto"/>
              <w:jc w:val="center"/>
              <w:rPr>
                <w:b/>
                <w:bCs/>
                <w:sz w:val="20"/>
                <w:szCs w:val="20"/>
              </w:rPr>
            </w:pPr>
            <w:r w:rsidRPr="003D2AAD">
              <w:rPr>
                <w:b/>
                <w:bCs/>
                <w:sz w:val="20"/>
                <w:szCs w:val="20"/>
              </w:rPr>
              <w:t>Baseline</w:t>
            </w:r>
          </w:p>
          <w:p w14:paraId="614E08AC" w14:textId="2CDBEC95" w:rsidR="00FF5560" w:rsidRPr="004C06FF" w:rsidRDefault="00FF5560" w:rsidP="004C06FF">
            <w:pPr>
              <w:pStyle w:val="NormalWeb"/>
              <w:spacing w:before="0" w:beforeAutospacing="0" w:after="0" w:afterAutospacing="0" w:line="360" w:lineRule="auto"/>
              <w:jc w:val="center"/>
              <w:rPr>
                <w:sz w:val="20"/>
                <w:szCs w:val="20"/>
              </w:rPr>
            </w:pPr>
            <w:r w:rsidRPr="003D2AAD">
              <w:rPr>
                <w:b/>
                <w:bCs/>
                <w:sz w:val="20"/>
                <w:szCs w:val="20"/>
              </w:rPr>
              <w:t>Emissions (MtCO</w:t>
            </w:r>
            <w:r w:rsidR="004C06FF">
              <w:rPr>
                <w:b/>
                <w:bCs/>
                <w:sz w:val="20"/>
                <w:szCs w:val="20"/>
                <w:vertAlign w:val="subscript"/>
              </w:rPr>
              <w:t>2</w:t>
            </w:r>
            <w:r w:rsidRPr="003D2AAD">
              <w:rPr>
                <w:b/>
                <w:bCs/>
                <w:sz w:val="20"/>
                <w:szCs w:val="20"/>
              </w:rPr>
              <w:t>e)</w:t>
            </w:r>
          </w:p>
        </w:tc>
        <w:tc>
          <w:tcPr>
            <w:tcW w:w="2067" w:type="dxa"/>
            <w:vAlign w:val="center"/>
          </w:tcPr>
          <w:p w14:paraId="09AF9D9B" w14:textId="7F726682" w:rsidR="00FF5560" w:rsidRPr="004C06FF" w:rsidRDefault="00FF5560" w:rsidP="004C06FF">
            <w:pPr>
              <w:pStyle w:val="NormalWeb"/>
              <w:spacing w:before="0" w:beforeAutospacing="0" w:after="0" w:afterAutospacing="0" w:line="360" w:lineRule="auto"/>
              <w:jc w:val="center"/>
              <w:rPr>
                <w:sz w:val="20"/>
                <w:szCs w:val="20"/>
              </w:rPr>
            </w:pPr>
            <w:r w:rsidRPr="003D2AAD">
              <w:rPr>
                <w:b/>
                <w:bCs/>
                <w:sz w:val="20"/>
                <w:szCs w:val="20"/>
              </w:rPr>
              <w:t>Incremental Reductions (MtCO</w:t>
            </w:r>
            <w:r w:rsidR="004C06FF">
              <w:rPr>
                <w:b/>
                <w:bCs/>
                <w:sz w:val="20"/>
                <w:szCs w:val="20"/>
                <w:vertAlign w:val="subscript"/>
              </w:rPr>
              <w:t>2</w:t>
            </w:r>
            <w:r w:rsidRPr="003D2AAD">
              <w:rPr>
                <w:b/>
                <w:bCs/>
                <w:sz w:val="20"/>
                <w:szCs w:val="20"/>
              </w:rPr>
              <w:t>e)</w:t>
            </w:r>
          </w:p>
        </w:tc>
        <w:tc>
          <w:tcPr>
            <w:tcW w:w="1902" w:type="dxa"/>
            <w:vAlign w:val="center"/>
          </w:tcPr>
          <w:p w14:paraId="313E0519" w14:textId="16F69F68" w:rsidR="00FF5560" w:rsidRPr="004C06FF" w:rsidRDefault="00FF5560" w:rsidP="004C06FF">
            <w:pPr>
              <w:pStyle w:val="NormalWeb"/>
              <w:spacing w:before="0" w:beforeAutospacing="0" w:after="0" w:afterAutospacing="0" w:line="360" w:lineRule="auto"/>
              <w:jc w:val="center"/>
              <w:rPr>
                <w:sz w:val="20"/>
                <w:szCs w:val="20"/>
              </w:rPr>
            </w:pPr>
            <w:r w:rsidRPr="003D2AAD">
              <w:rPr>
                <w:b/>
                <w:bCs/>
                <w:sz w:val="20"/>
                <w:szCs w:val="20"/>
              </w:rPr>
              <w:t>Cumulative Savings (MtCO</w:t>
            </w:r>
            <w:r w:rsidR="004C06FF">
              <w:rPr>
                <w:b/>
                <w:bCs/>
                <w:sz w:val="20"/>
                <w:szCs w:val="20"/>
                <w:vertAlign w:val="subscript"/>
              </w:rPr>
              <w:t>2</w:t>
            </w:r>
            <w:r w:rsidRPr="003D2AAD">
              <w:rPr>
                <w:b/>
                <w:bCs/>
                <w:sz w:val="20"/>
                <w:szCs w:val="20"/>
              </w:rPr>
              <w:t>e)</w:t>
            </w:r>
          </w:p>
        </w:tc>
        <w:tc>
          <w:tcPr>
            <w:tcW w:w="1836" w:type="dxa"/>
            <w:vAlign w:val="center"/>
          </w:tcPr>
          <w:p w14:paraId="24E9CC5C" w14:textId="71823EB6" w:rsidR="004C06FF" w:rsidRPr="004C06FF" w:rsidRDefault="004C06FF" w:rsidP="004C06FF">
            <w:pPr>
              <w:pStyle w:val="NormalWeb"/>
              <w:spacing w:before="0" w:beforeAutospacing="0" w:after="0" w:afterAutospacing="0" w:line="360" w:lineRule="auto"/>
              <w:jc w:val="center"/>
              <w:rPr>
                <w:b/>
                <w:bCs/>
                <w:sz w:val="20"/>
                <w:szCs w:val="20"/>
              </w:rPr>
            </w:pPr>
            <w:r>
              <w:rPr>
                <w:b/>
                <w:bCs/>
                <w:sz w:val="20"/>
                <w:szCs w:val="20"/>
              </w:rPr>
              <w:t>Percentage</w:t>
            </w:r>
            <w:r w:rsidR="00FF5560" w:rsidRPr="003D2AAD">
              <w:rPr>
                <w:b/>
                <w:bCs/>
                <w:sz w:val="20"/>
                <w:szCs w:val="20"/>
              </w:rPr>
              <w:t xml:space="preserve"> of</w:t>
            </w:r>
          </w:p>
          <w:p w14:paraId="335655FE" w14:textId="605E838E" w:rsidR="00FF5560" w:rsidRPr="004C06FF" w:rsidRDefault="00FF5560" w:rsidP="004C06FF">
            <w:pPr>
              <w:pStyle w:val="NormalWeb"/>
              <w:spacing w:before="0" w:beforeAutospacing="0" w:after="0" w:afterAutospacing="0" w:line="360" w:lineRule="auto"/>
              <w:jc w:val="center"/>
              <w:rPr>
                <w:sz w:val="20"/>
                <w:szCs w:val="20"/>
              </w:rPr>
            </w:pPr>
            <w:r w:rsidRPr="003D2AAD">
              <w:rPr>
                <w:b/>
                <w:bCs/>
                <w:sz w:val="20"/>
                <w:szCs w:val="20"/>
              </w:rPr>
              <w:t>Urban Budget</w:t>
            </w:r>
          </w:p>
        </w:tc>
      </w:tr>
      <w:tr w:rsidR="00FF5560" w14:paraId="0505A4A1" w14:textId="77777777" w:rsidTr="004C06FF">
        <w:tc>
          <w:tcPr>
            <w:tcW w:w="1555" w:type="dxa"/>
            <w:vAlign w:val="center"/>
          </w:tcPr>
          <w:p w14:paraId="7ECAEC40" w14:textId="7C56F6CE"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2025</w:t>
            </w:r>
          </w:p>
        </w:tc>
        <w:tc>
          <w:tcPr>
            <w:tcW w:w="1984" w:type="dxa"/>
            <w:vAlign w:val="center"/>
          </w:tcPr>
          <w:p w14:paraId="49D65746" w14:textId="2F472A9B"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15.0</w:t>
            </w:r>
          </w:p>
        </w:tc>
        <w:tc>
          <w:tcPr>
            <w:tcW w:w="2067" w:type="dxa"/>
            <w:vAlign w:val="center"/>
          </w:tcPr>
          <w:p w14:paraId="3EDEF45E" w14:textId="583A5A31"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0.2</w:t>
            </w:r>
          </w:p>
        </w:tc>
        <w:tc>
          <w:tcPr>
            <w:tcW w:w="1902" w:type="dxa"/>
            <w:vAlign w:val="center"/>
          </w:tcPr>
          <w:p w14:paraId="0A518F1F" w14:textId="51A2FA7E"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0.2</w:t>
            </w:r>
          </w:p>
        </w:tc>
        <w:tc>
          <w:tcPr>
            <w:tcW w:w="1836" w:type="dxa"/>
            <w:vAlign w:val="center"/>
          </w:tcPr>
          <w:p w14:paraId="75EC4AFC" w14:textId="747094CD"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0.1%</w:t>
            </w:r>
          </w:p>
        </w:tc>
      </w:tr>
      <w:tr w:rsidR="00FF5560" w14:paraId="2694F5AE" w14:textId="77777777" w:rsidTr="004C06FF">
        <w:tc>
          <w:tcPr>
            <w:tcW w:w="1555" w:type="dxa"/>
            <w:vAlign w:val="center"/>
          </w:tcPr>
          <w:p w14:paraId="44896A5D" w14:textId="1E09854B"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2030</w:t>
            </w:r>
          </w:p>
        </w:tc>
        <w:tc>
          <w:tcPr>
            <w:tcW w:w="1984" w:type="dxa"/>
            <w:vAlign w:val="center"/>
          </w:tcPr>
          <w:p w14:paraId="66C23C43" w14:textId="6E4B5BCB"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14.5</w:t>
            </w:r>
          </w:p>
        </w:tc>
        <w:tc>
          <w:tcPr>
            <w:tcW w:w="2067" w:type="dxa"/>
            <w:vAlign w:val="center"/>
          </w:tcPr>
          <w:p w14:paraId="448EC54F" w14:textId="5C0D7ADF"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0.8</w:t>
            </w:r>
          </w:p>
        </w:tc>
        <w:tc>
          <w:tcPr>
            <w:tcW w:w="1902" w:type="dxa"/>
            <w:vAlign w:val="center"/>
          </w:tcPr>
          <w:p w14:paraId="343441EA" w14:textId="0C2FAE3B"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3.0</w:t>
            </w:r>
          </w:p>
        </w:tc>
        <w:tc>
          <w:tcPr>
            <w:tcW w:w="1836" w:type="dxa"/>
            <w:vAlign w:val="center"/>
          </w:tcPr>
          <w:p w14:paraId="53D17C28" w14:textId="1C3BD285"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1.5%</w:t>
            </w:r>
          </w:p>
        </w:tc>
      </w:tr>
      <w:tr w:rsidR="00FF5560" w14:paraId="52FEE934" w14:textId="77777777" w:rsidTr="004C06FF">
        <w:tc>
          <w:tcPr>
            <w:tcW w:w="1555" w:type="dxa"/>
            <w:vAlign w:val="center"/>
          </w:tcPr>
          <w:p w14:paraId="3BA1E44F" w14:textId="3E07FDED"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2035</w:t>
            </w:r>
          </w:p>
        </w:tc>
        <w:tc>
          <w:tcPr>
            <w:tcW w:w="1984" w:type="dxa"/>
            <w:vAlign w:val="center"/>
          </w:tcPr>
          <w:p w14:paraId="4CC08B35" w14:textId="53A53D1F"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14.0</w:t>
            </w:r>
          </w:p>
        </w:tc>
        <w:tc>
          <w:tcPr>
            <w:tcW w:w="2067" w:type="dxa"/>
            <w:vAlign w:val="center"/>
          </w:tcPr>
          <w:p w14:paraId="11A9484C" w14:textId="0526A7CE"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1.4</w:t>
            </w:r>
          </w:p>
        </w:tc>
        <w:tc>
          <w:tcPr>
            <w:tcW w:w="1902" w:type="dxa"/>
            <w:vAlign w:val="center"/>
          </w:tcPr>
          <w:p w14:paraId="26474F7F" w14:textId="37003FA3"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10.0</w:t>
            </w:r>
          </w:p>
        </w:tc>
        <w:tc>
          <w:tcPr>
            <w:tcW w:w="1836" w:type="dxa"/>
            <w:vAlign w:val="center"/>
          </w:tcPr>
          <w:p w14:paraId="18C18458" w14:textId="1F9613BA"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5%</w:t>
            </w:r>
          </w:p>
        </w:tc>
      </w:tr>
      <w:tr w:rsidR="00FF5560" w14:paraId="0E3296FD" w14:textId="77777777" w:rsidTr="004C06FF">
        <w:tc>
          <w:tcPr>
            <w:tcW w:w="1555" w:type="dxa"/>
            <w:vAlign w:val="center"/>
          </w:tcPr>
          <w:p w14:paraId="18454370" w14:textId="5B7F934C"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2040</w:t>
            </w:r>
          </w:p>
        </w:tc>
        <w:tc>
          <w:tcPr>
            <w:tcW w:w="1984" w:type="dxa"/>
            <w:vAlign w:val="center"/>
          </w:tcPr>
          <w:p w14:paraId="3438E778" w14:textId="4842A473"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13.0</w:t>
            </w:r>
          </w:p>
        </w:tc>
        <w:tc>
          <w:tcPr>
            <w:tcW w:w="2067" w:type="dxa"/>
            <w:vAlign w:val="center"/>
          </w:tcPr>
          <w:p w14:paraId="0614C0E3" w14:textId="3FABA173"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1.8</w:t>
            </w:r>
          </w:p>
        </w:tc>
        <w:tc>
          <w:tcPr>
            <w:tcW w:w="1902" w:type="dxa"/>
            <w:vAlign w:val="center"/>
          </w:tcPr>
          <w:p w14:paraId="65387338" w14:textId="365D922B"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22.0</w:t>
            </w:r>
          </w:p>
        </w:tc>
        <w:tc>
          <w:tcPr>
            <w:tcW w:w="1836" w:type="dxa"/>
            <w:vAlign w:val="center"/>
          </w:tcPr>
          <w:p w14:paraId="41A9125F" w14:textId="3EBD49D9"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11%</w:t>
            </w:r>
          </w:p>
        </w:tc>
      </w:tr>
      <w:tr w:rsidR="00FF5560" w14:paraId="1EB3BD79" w14:textId="77777777" w:rsidTr="004C06FF">
        <w:tc>
          <w:tcPr>
            <w:tcW w:w="1555" w:type="dxa"/>
            <w:vAlign w:val="center"/>
          </w:tcPr>
          <w:p w14:paraId="45D71E88" w14:textId="7EC6D595"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2045</w:t>
            </w:r>
          </w:p>
        </w:tc>
        <w:tc>
          <w:tcPr>
            <w:tcW w:w="1984" w:type="dxa"/>
            <w:vAlign w:val="center"/>
          </w:tcPr>
          <w:p w14:paraId="68BB3134" w14:textId="2CFCA779"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12.0</w:t>
            </w:r>
          </w:p>
        </w:tc>
        <w:tc>
          <w:tcPr>
            <w:tcW w:w="2067" w:type="dxa"/>
            <w:vAlign w:val="center"/>
          </w:tcPr>
          <w:p w14:paraId="705B8402" w14:textId="73B187A0"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2.0</w:t>
            </w:r>
          </w:p>
        </w:tc>
        <w:tc>
          <w:tcPr>
            <w:tcW w:w="1902" w:type="dxa"/>
            <w:vAlign w:val="center"/>
          </w:tcPr>
          <w:p w14:paraId="01E4450E" w14:textId="7CACE794"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43.0</w:t>
            </w:r>
          </w:p>
        </w:tc>
        <w:tc>
          <w:tcPr>
            <w:tcW w:w="1836" w:type="dxa"/>
            <w:vAlign w:val="center"/>
          </w:tcPr>
          <w:p w14:paraId="2D39D52C" w14:textId="103D0CAF"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21.5%</w:t>
            </w:r>
          </w:p>
        </w:tc>
      </w:tr>
      <w:tr w:rsidR="00FF5560" w14:paraId="4221AF50" w14:textId="77777777" w:rsidTr="004C06FF">
        <w:tc>
          <w:tcPr>
            <w:tcW w:w="1555" w:type="dxa"/>
            <w:vAlign w:val="center"/>
          </w:tcPr>
          <w:p w14:paraId="7078962F" w14:textId="111C490E"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2050</w:t>
            </w:r>
          </w:p>
        </w:tc>
        <w:tc>
          <w:tcPr>
            <w:tcW w:w="1984" w:type="dxa"/>
            <w:vAlign w:val="center"/>
          </w:tcPr>
          <w:p w14:paraId="5D267100" w14:textId="052B4966"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11.0</w:t>
            </w:r>
          </w:p>
        </w:tc>
        <w:tc>
          <w:tcPr>
            <w:tcW w:w="2067" w:type="dxa"/>
            <w:vAlign w:val="center"/>
          </w:tcPr>
          <w:p w14:paraId="26C9E471" w14:textId="68AB8114"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2.1</w:t>
            </w:r>
          </w:p>
        </w:tc>
        <w:tc>
          <w:tcPr>
            <w:tcW w:w="1902" w:type="dxa"/>
            <w:vAlign w:val="center"/>
          </w:tcPr>
          <w:p w14:paraId="2A4D9BEB" w14:textId="1683D0DB"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63.0</w:t>
            </w:r>
          </w:p>
        </w:tc>
        <w:tc>
          <w:tcPr>
            <w:tcW w:w="1836" w:type="dxa"/>
            <w:vAlign w:val="center"/>
          </w:tcPr>
          <w:p w14:paraId="7E634A2D" w14:textId="59F02D4F"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31.5%</w:t>
            </w:r>
          </w:p>
        </w:tc>
      </w:tr>
    </w:tbl>
    <w:p w14:paraId="0721880F" w14:textId="04B69A78" w:rsidR="00634DA4" w:rsidRDefault="004C06FF" w:rsidP="004C06FF">
      <w:pPr>
        <w:pStyle w:val="NormalWeb"/>
        <w:spacing w:before="0" w:beforeAutospacing="0" w:after="0" w:afterAutospacing="0" w:line="360" w:lineRule="auto"/>
        <w:jc w:val="center"/>
        <w:rPr>
          <w:sz w:val="20"/>
          <w:szCs w:val="20"/>
        </w:rPr>
      </w:pPr>
      <w:r>
        <w:rPr>
          <w:sz w:val="20"/>
          <w:szCs w:val="20"/>
        </w:rPr>
        <w:t xml:space="preserve">Table 4: </w:t>
      </w:r>
      <w:r w:rsidRPr="004C06FF">
        <w:rPr>
          <w:sz w:val="20"/>
          <w:szCs w:val="20"/>
        </w:rPr>
        <w:t>Year-by-Year Projections (</w:t>
      </w:r>
      <w:r w:rsidRPr="003C659A">
        <w:rPr>
          <w:b/>
          <w:bCs/>
          <w:sz w:val="20"/>
          <w:szCs w:val="20"/>
        </w:rPr>
        <w:t>2025–2050</w:t>
      </w:r>
      <w:r w:rsidRPr="004C06FF">
        <w:rPr>
          <w:sz w:val="20"/>
          <w:szCs w:val="20"/>
        </w:rPr>
        <w:t>).</w:t>
      </w:r>
    </w:p>
    <w:p w14:paraId="0F2976B4" w14:textId="47097E34" w:rsidR="009E17DD" w:rsidRPr="000D1D17" w:rsidRDefault="00976DC1" w:rsidP="000D1D17">
      <w:pPr>
        <w:pStyle w:val="ListParagraph"/>
        <w:numPr>
          <w:ilvl w:val="0"/>
          <w:numId w:val="60"/>
        </w:numPr>
        <w:spacing w:after="0" w:line="360" w:lineRule="auto"/>
        <w:jc w:val="both"/>
        <w:rPr>
          <w:rFonts w:ascii="Times New Roman" w:hAnsi="Times New Roman" w:cs="Times New Roman"/>
          <w:b/>
          <w:bCs/>
          <w:sz w:val="20"/>
          <w:szCs w:val="20"/>
        </w:rPr>
      </w:pPr>
      <w:r w:rsidRPr="000D1D17">
        <w:rPr>
          <w:rFonts w:ascii="Times New Roman" w:hAnsi="Times New Roman" w:cs="Times New Roman"/>
          <w:b/>
          <w:bCs/>
          <w:sz w:val="20"/>
          <w:szCs w:val="20"/>
        </w:rPr>
        <w:t>Policy Alignment and Reporting:</w:t>
      </w:r>
    </w:p>
    <w:p w14:paraId="2F906146" w14:textId="19EAAF8E" w:rsidR="00AC254C" w:rsidRPr="00AC254C" w:rsidRDefault="00AC254C" w:rsidP="00AC254C">
      <w:pPr>
        <w:pStyle w:val="NormalWeb"/>
        <w:numPr>
          <w:ilvl w:val="0"/>
          <w:numId w:val="58"/>
        </w:numPr>
        <w:spacing w:before="0" w:beforeAutospacing="0" w:after="0" w:afterAutospacing="0" w:line="360" w:lineRule="auto"/>
        <w:jc w:val="both"/>
        <w:rPr>
          <w:sz w:val="20"/>
          <w:szCs w:val="20"/>
        </w:rPr>
      </w:pPr>
      <w:r w:rsidRPr="00AC254C">
        <w:rPr>
          <w:rStyle w:val="relative"/>
          <w:sz w:val="20"/>
          <w:szCs w:val="20"/>
        </w:rPr>
        <w:t xml:space="preserve">Under the </w:t>
      </w:r>
      <w:r w:rsidRPr="00AC254C">
        <w:rPr>
          <w:rStyle w:val="Strong"/>
          <w:b w:val="0"/>
          <w:bCs w:val="0"/>
          <w:sz w:val="20"/>
          <w:szCs w:val="20"/>
        </w:rPr>
        <w:t>Paris Agreement</w:t>
      </w:r>
      <w:r w:rsidRPr="00AC254C">
        <w:rPr>
          <w:rStyle w:val="relative"/>
          <w:sz w:val="20"/>
          <w:szCs w:val="20"/>
        </w:rPr>
        <w:t>, annual emissions reductions must be documented in Biennial Transparency Reports (BTRs). AI</w:t>
      </w:r>
      <w:r w:rsidR="00CD67C5">
        <w:rPr>
          <w:rStyle w:val="relative"/>
          <w:sz w:val="20"/>
          <w:szCs w:val="20"/>
        </w:rPr>
        <w:t>-</w:t>
      </w:r>
      <w:r w:rsidRPr="00AC254C">
        <w:rPr>
          <w:rStyle w:val="relative"/>
          <w:sz w:val="20"/>
          <w:szCs w:val="20"/>
        </w:rPr>
        <w:t>CIR</w:t>
      </w:r>
      <w:r w:rsidR="00CD67C5">
        <w:rPr>
          <w:rStyle w:val="relative"/>
          <w:sz w:val="20"/>
          <w:szCs w:val="20"/>
        </w:rPr>
        <w:t>-</w:t>
      </w:r>
      <w:proofErr w:type="spellStart"/>
      <w:r w:rsidRPr="00AC254C">
        <w:rPr>
          <w:rStyle w:val="relative"/>
          <w:sz w:val="20"/>
          <w:szCs w:val="20"/>
        </w:rPr>
        <w:t>WtE's</w:t>
      </w:r>
      <w:proofErr w:type="spellEnd"/>
      <w:r w:rsidRPr="00AC254C">
        <w:rPr>
          <w:rStyle w:val="relative"/>
          <w:sz w:val="20"/>
          <w:szCs w:val="20"/>
        </w:rPr>
        <w:t xml:space="preserve"> dynamic MRV enables alignment with Tier 2+ methods (IPCC 2019 Refinement).</w:t>
      </w:r>
    </w:p>
    <w:p w14:paraId="50F076D2" w14:textId="7E7A6E46" w:rsidR="00AC254C" w:rsidRPr="00AC254C" w:rsidRDefault="00AC254C" w:rsidP="00AC254C">
      <w:pPr>
        <w:pStyle w:val="NormalWeb"/>
        <w:numPr>
          <w:ilvl w:val="0"/>
          <w:numId w:val="58"/>
        </w:numPr>
        <w:spacing w:before="0" w:beforeAutospacing="0" w:after="0" w:afterAutospacing="0" w:line="360" w:lineRule="auto"/>
        <w:jc w:val="both"/>
        <w:rPr>
          <w:sz w:val="20"/>
          <w:szCs w:val="20"/>
        </w:rPr>
      </w:pPr>
      <w:r w:rsidRPr="00AC254C">
        <w:rPr>
          <w:rStyle w:val="relative"/>
          <w:sz w:val="20"/>
          <w:szCs w:val="20"/>
        </w:rPr>
        <w:t xml:space="preserve">These trajectories support Bangladesh's </w:t>
      </w:r>
      <w:r w:rsidRPr="00AC254C">
        <w:rPr>
          <w:rStyle w:val="Strong"/>
          <w:b w:val="0"/>
          <w:bCs w:val="0"/>
          <w:sz w:val="20"/>
          <w:szCs w:val="20"/>
        </w:rPr>
        <w:t>NDC pathways</w:t>
      </w:r>
      <w:r w:rsidRPr="00AC254C">
        <w:rPr>
          <w:rStyle w:val="relative"/>
          <w:sz w:val="20"/>
          <w:szCs w:val="20"/>
        </w:rPr>
        <w:t xml:space="preserve">, which forecast ~50% emissions reduction in </w:t>
      </w:r>
      <w:r>
        <w:rPr>
          <w:rStyle w:val="relative"/>
          <w:sz w:val="20"/>
          <w:szCs w:val="20"/>
        </w:rPr>
        <w:t xml:space="preserve">the </w:t>
      </w:r>
      <w:r w:rsidRPr="00AC254C">
        <w:rPr>
          <w:rStyle w:val="relative"/>
          <w:sz w:val="20"/>
          <w:szCs w:val="20"/>
        </w:rPr>
        <w:t>urban energy and waste sectors by 2030.</w:t>
      </w:r>
    </w:p>
    <w:p w14:paraId="340B3F90" w14:textId="77195B11" w:rsidR="00AC254C" w:rsidRDefault="00AC254C" w:rsidP="00AC254C">
      <w:pPr>
        <w:pStyle w:val="NormalWeb"/>
        <w:numPr>
          <w:ilvl w:val="0"/>
          <w:numId w:val="58"/>
        </w:numPr>
        <w:spacing w:before="0" w:beforeAutospacing="0" w:after="0" w:afterAutospacing="0" w:line="360" w:lineRule="auto"/>
        <w:jc w:val="both"/>
        <w:rPr>
          <w:rStyle w:val="relative"/>
          <w:sz w:val="20"/>
          <w:szCs w:val="20"/>
        </w:rPr>
      </w:pPr>
      <w:r w:rsidRPr="00AC254C">
        <w:rPr>
          <w:rStyle w:val="relative"/>
          <w:sz w:val="20"/>
          <w:szCs w:val="20"/>
        </w:rPr>
        <w:t xml:space="preserve">This positions Dhaka to claim </w:t>
      </w:r>
      <w:r w:rsidRPr="00AC254C">
        <w:rPr>
          <w:rStyle w:val="Strong"/>
          <w:b w:val="0"/>
          <w:bCs w:val="0"/>
          <w:sz w:val="20"/>
          <w:szCs w:val="20"/>
        </w:rPr>
        <w:t>recognition for early mitigation</w:t>
      </w:r>
      <w:r w:rsidRPr="00AC254C">
        <w:rPr>
          <w:rStyle w:val="relative"/>
          <w:sz w:val="20"/>
          <w:szCs w:val="20"/>
        </w:rPr>
        <w:t xml:space="preserve"> and potentially qualify for </w:t>
      </w:r>
      <w:r w:rsidRPr="00AC254C">
        <w:rPr>
          <w:rStyle w:val="Strong"/>
          <w:b w:val="0"/>
          <w:bCs w:val="0"/>
          <w:sz w:val="20"/>
          <w:szCs w:val="20"/>
        </w:rPr>
        <w:t>results-based climate finance</w:t>
      </w:r>
      <w:r w:rsidRPr="00AC254C">
        <w:rPr>
          <w:rStyle w:val="relative"/>
          <w:sz w:val="20"/>
          <w:szCs w:val="20"/>
        </w:rPr>
        <w:t xml:space="preserve"> through verified reductions via Verra or Gold Standard.</w:t>
      </w:r>
    </w:p>
    <w:p w14:paraId="254AE622" w14:textId="79B415F0" w:rsidR="00AC254C" w:rsidRPr="000D1D17" w:rsidRDefault="00A8452C" w:rsidP="000D1D17">
      <w:pPr>
        <w:pStyle w:val="ListParagraph"/>
        <w:numPr>
          <w:ilvl w:val="0"/>
          <w:numId w:val="60"/>
        </w:numPr>
        <w:spacing w:after="0" w:line="360" w:lineRule="auto"/>
        <w:jc w:val="both"/>
        <w:rPr>
          <w:rFonts w:ascii="Times New Roman" w:hAnsi="Times New Roman" w:cs="Times New Roman"/>
          <w:b/>
          <w:bCs/>
          <w:sz w:val="20"/>
          <w:szCs w:val="20"/>
        </w:rPr>
      </w:pPr>
      <w:r w:rsidRPr="000D1D17">
        <w:rPr>
          <w:rFonts w:ascii="Times New Roman" w:hAnsi="Times New Roman" w:cs="Times New Roman"/>
          <w:b/>
          <w:bCs/>
          <w:sz w:val="20"/>
          <w:szCs w:val="20"/>
        </w:rPr>
        <w:t>Context within Global Decarbonization Studies:</w:t>
      </w:r>
    </w:p>
    <w:p w14:paraId="45F38B98" w14:textId="058CFE0D" w:rsidR="009C33EF" w:rsidRPr="009C33EF" w:rsidRDefault="009C33EF" w:rsidP="009C33EF">
      <w:pPr>
        <w:numPr>
          <w:ilvl w:val="0"/>
          <w:numId w:val="59"/>
        </w:numPr>
        <w:spacing w:after="0" w:line="360" w:lineRule="auto"/>
        <w:jc w:val="both"/>
        <w:rPr>
          <w:rFonts w:ascii="Times New Roman" w:eastAsia="Times New Roman" w:hAnsi="Times New Roman" w:cs="Times New Roman"/>
          <w:sz w:val="20"/>
          <w:szCs w:val="20"/>
        </w:rPr>
      </w:pPr>
      <w:r w:rsidRPr="009C33EF">
        <w:rPr>
          <w:rFonts w:ascii="Times New Roman" w:eastAsia="Times New Roman" w:hAnsi="Times New Roman" w:cs="Times New Roman"/>
          <w:sz w:val="20"/>
          <w:szCs w:val="20"/>
        </w:rPr>
        <w:lastRenderedPageBreak/>
        <w:t>The projected 30–60% emission reduction attributable to the AI</w:t>
      </w:r>
      <w:r w:rsidR="00CD67C5">
        <w:rPr>
          <w:rFonts w:ascii="Times New Roman" w:eastAsia="Times New Roman" w:hAnsi="Times New Roman" w:cs="Times New Roman"/>
          <w:sz w:val="20"/>
          <w:szCs w:val="20"/>
        </w:rPr>
        <w:t>-</w:t>
      </w:r>
      <w:r w:rsidRPr="009C33EF">
        <w:rPr>
          <w:rFonts w:ascii="Times New Roman" w:eastAsia="Times New Roman" w:hAnsi="Times New Roman" w:cs="Times New Roman"/>
          <w:sz w:val="20"/>
          <w:szCs w:val="20"/>
        </w:rPr>
        <w:t>CIR</w:t>
      </w:r>
      <w:r w:rsidR="00CD67C5">
        <w:rPr>
          <w:rFonts w:ascii="Times New Roman" w:eastAsia="Times New Roman" w:hAnsi="Times New Roman" w:cs="Times New Roman"/>
          <w:sz w:val="20"/>
          <w:szCs w:val="20"/>
        </w:rPr>
        <w:t>-</w:t>
      </w:r>
      <w:proofErr w:type="spellStart"/>
      <w:r w:rsidRPr="009C33EF">
        <w:rPr>
          <w:rFonts w:ascii="Times New Roman" w:eastAsia="Times New Roman" w:hAnsi="Times New Roman" w:cs="Times New Roman"/>
          <w:sz w:val="20"/>
          <w:szCs w:val="20"/>
        </w:rPr>
        <w:t>WtE</w:t>
      </w:r>
      <w:proofErr w:type="spellEnd"/>
      <w:r w:rsidRPr="009C33EF">
        <w:rPr>
          <w:rFonts w:ascii="Times New Roman" w:eastAsia="Times New Roman" w:hAnsi="Times New Roman" w:cs="Times New Roman"/>
          <w:sz w:val="20"/>
          <w:szCs w:val="20"/>
        </w:rPr>
        <w:t xml:space="preserve"> framework resembles deep decarbonization models in high-income cities (e.g., C40, European pathways).</w:t>
      </w:r>
    </w:p>
    <w:p w14:paraId="2B3F224F" w14:textId="0CFAE71B" w:rsidR="009C33EF" w:rsidRPr="009C33EF" w:rsidRDefault="009C33EF" w:rsidP="009C33EF">
      <w:pPr>
        <w:numPr>
          <w:ilvl w:val="0"/>
          <w:numId w:val="59"/>
        </w:numPr>
        <w:spacing w:after="0" w:line="360" w:lineRule="auto"/>
        <w:jc w:val="both"/>
        <w:rPr>
          <w:rFonts w:ascii="Times New Roman" w:eastAsia="Times New Roman" w:hAnsi="Times New Roman" w:cs="Times New Roman"/>
          <w:sz w:val="20"/>
          <w:szCs w:val="20"/>
        </w:rPr>
      </w:pPr>
      <w:r w:rsidRPr="009C33EF">
        <w:rPr>
          <w:rFonts w:ascii="Times New Roman" w:eastAsia="Times New Roman" w:hAnsi="Times New Roman" w:cs="Times New Roman"/>
          <w:sz w:val="20"/>
          <w:szCs w:val="20"/>
        </w:rPr>
        <w:t>Multi</w:t>
      </w:r>
      <w:r>
        <w:rPr>
          <w:rFonts w:ascii="Times New Roman" w:eastAsia="Times New Roman" w:hAnsi="Times New Roman" w:cs="Times New Roman"/>
          <w:sz w:val="20"/>
          <w:szCs w:val="20"/>
        </w:rPr>
        <w:t>-</w:t>
      </w:r>
      <w:r w:rsidRPr="009C33EF">
        <w:rPr>
          <w:rFonts w:ascii="Times New Roman" w:eastAsia="Times New Roman" w:hAnsi="Times New Roman" w:cs="Times New Roman"/>
          <w:sz w:val="20"/>
          <w:szCs w:val="20"/>
        </w:rPr>
        <w:t>energy systems integrating waste, power, and heat typically contribute 20–40% of overall emissions reductions</w:t>
      </w:r>
      <w:r>
        <w:rPr>
          <w:rFonts w:ascii="Times New Roman" w:eastAsia="Times New Roman" w:hAnsi="Times New Roman" w:cs="Times New Roman"/>
          <w:sz w:val="20"/>
          <w:szCs w:val="20"/>
        </w:rPr>
        <w:t xml:space="preserve">, </w:t>
      </w:r>
      <w:r w:rsidRPr="009C33EF">
        <w:rPr>
          <w:rFonts w:ascii="Times New Roman" w:eastAsia="Times New Roman" w:hAnsi="Times New Roman" w:cs="Times New Roman"/>
          <w:sz w:val="20"/>
          <w:szCs w:val="20"/>
        </w:rPr>
        <w:t>comparable to Dhaka's framework (</w:t>
      </w:r>
      <w:bookmarkStart w:id="1" w:name="_Hlk202840034"/>
      <w:r w:rsidRPr="009C33EF">
        <w:rPr>
          <w:rFonts w:ascii="Times New Roman" w:eastAsia="Times New Roman" w:hAnsi="Times New Roman" w:cs="Times New Roman"/>
          <w:sz w:val="20"/>
          <w:szCs w:val="20"/>
        </w:rPr>
        <w:t>UN SDSN, 2023</w:t>
      </w:r>
      <w:bookmarkEnd w:id="1"/>
      <w:r w:rsidRPr="009C33EF">
        <w:rPr>
          <w:rFonts w:ascii="Times New Roman" w:eastAsia="Times New Roman" w:hAnsi="Times New Roman" w:cs="Times New Roman"/>
          <w:sz w:val="20"/>
          <w:szCs w:val="20"/>
        </w:rPr>
        <w:t>).</w:t>
      </w:r>
    </w:p>
    <w:p w14:paraId="62D503EB" w14:textId="68F81B36" w:rsidR="00691BD7" w:rsidRDefault="00691BD7" w:rsidP="009C33EF">
      <w:pPr>
        <w:spacing w:after="0" w:line="360" w:lineRule="auto"/>
        <w:jc w:val="both"/>
        <w:outlineLvl w:val="2"/>
        <w:rPr>
          <w:rFonts w:ascii="Times New Roman" w:eastAsia="Times New Roman" w:hAnsi="Times New Roman" w:cs="Times New Roman"/>
          <w:sz w:val="20"/>
          <w:szCs w:val="20"/>
        </w:rPr>
      </w:pPr>
      <w:r w:rsidRPr="00691BD7">
        <w:rPr>
          <w:rFonts w:ascii="Times New Roman" w:eastAsia="Times New Roman" w:hAnsi="Times New Roman" w:cs="Times New Roman"/>
          <w:sz w:val="20"/>
          <w:szCs w:val="20"/>
        </w:rPr>
        <w:t>This section illustrates the contribution of the AI</w:t>
      </w:r>
      <w:r w:rsidR="00CD67C5">
        <w:rPr>
          <w:rFonts w:ascii="Times New Roman" w:eastAsia="Times New Roman" w:hAnsi="Times New Roman" w:cs="Times New Roman"/>
          <w:sz w:val="20"/>
          <w:szCs w:val="20"/>
        </w:rPr>
        <w:t>-</w:t>
      </w:r>
      <w:r w:rsidRPr="00691BD7">
        <w:rPr>
          <w:rFonts w:ascii="Times New Roman" w:eastAsia="Times New Roman" w:hAnsi="Times New Roman" w:cs="Times New Roman"/>
          <w:sz w:val="20"/>
          <w:szCs w:val="20"/>
        </w:rPr>
        <w:t>CIR</w:t>
      </w:r>
      <w:r w:rsidR="00CD67C5">
        <w:rPr>
          <w:rFonts w:ascii="Times New Roman" w:eastAsia="Times New Roman" w:hAnsi="Times New Roman" w:cs="Times New Roman"/>
          <w:sz w:val="20"/>
          <w:szCs w:val="20"/>
        </w:rPr>
        <w:t>-</w:t>
      </w:r>
      <w:proofErr w:type="spellStart"/>
      <w:r w:rsidRPr="00691BD7">
        <w:rPr>
          <w:rFonts w:ascii="Times New Roman" w:eastAsia="Times New Roman" w:hAnsi="Times New Roman" w:cs="Times New Roman"/>
          <w:sz w:val="20"/>
          <w:szCs w:val="20"/>
        </w:rPr>
        <w:t>WtE</w:t>
      </w:r>
      <w:proofErr w:type="spellEnd"/>
      <w:r w:rsidRPr="00691BD7">
        <w:rPr>
          <w:rFonts w:ascii="Times New Roman" w:eastAsia="Times New Roman" w:hAnsi="Times New Roman" w:cs="Times New Roman"/>
          <w:sz w:val="20"/>
          <w:szCs w:val="20"/>
        </w:rPr>
        <w:t xml:space="preserve"> framework by providing quantified, year-by-year decarbonization outcomes mapped against the urban carbon budget. This framework has the potential to reduce one-third of Dhaka's decarbonization needs by mid-century, with strong alignment to both national and international climate policy.</w:t>
      </w:r>
    </w:p>
    <w:p w14:paraId="15E219C7" w14:textId="1E039EAB" w:rsidR="00526E8D" w:rsidRDefault="00526E8D" w:rsidP="009C33EF">
      <w:pPr>
        <w:spacing w:after="0" w:line="360" w:lineRule="auto"/>
        <w:jc w:val="both"/>
        <w:outlineLvl w:val="2"/>
        <w:rPr>
          <w:rFonts w:ascii="Times New Roman" w:eastAsia="Times New Roman" w:hAnsi="Times New Roman" w:cs="Times New Roman"/>
          <w:sz w:val="20"/>
          <w:szCs w:val="20"/>
        </w:rPr>
      </w:pPr>
    </w:p>
    <w:p w14:paraId="0BEAC284" w14:textId="14488730" w:rsidR="00526E8D" w:rsidRPr="00526E8D" w:rsidRDefault="00526E8D" w:rsidP="009C33EF">
      <w:pPr>
        <w:spacing w:after="0" w:line="360" w:lineRule="auto"/>
        <w:jc w:val="both"/>
        <w:outlineLvl w:val="2"/>
        <w:rPr>
          <w:rFonts w:ascii="Times New Roman" w:eastAsia="Times New Roman" w:hAnsi="Times New Roman" w:cs="Times New Roman"/>
          <w:b/>
          <w:bCs/>
          <w:sz w:val="20"/>
          <w:szCs w:val="20"/>
        </w:rPr>
      </w:pPr>
      <w:r w:rsidRPr="00526E8D">
        <w:rPr>
          <w:rFonts w:ascii="Times New Roman" w:eastAsia="Times New Roman" w:hAnsi="Times New Roman" w:cs="Times New Roman"/>
          <w:b/>
          <w:bCs/>
          <w:sz w:val="20"/>
          <w:szCs w:val="20"/>
        </w:rPr>
        <w:t>GENDER AND SOCIAL INCLUSION ANALYSIS (CLIMATE JUSTICE LENS)</w:t>
      </w:r>
    </w:p>
    <w:p w14:paraId="3D76FDA0" w14:textId="33869ACA" w:rsidR="00526E8D" w:rsidRDefault="00CD67C5" w:rsidP="00CD67C5">
      <w:pPr>
        <w:spacing w:after="0" w:line="360" w:lineRule="auto"/>
        <w:jc w:val="both"/>
        <w:outlineLvl w:val="2"/>
        <w:rPr>
          <w:rFonts w:ascii="Times New Roman" w:hAnsi="Times New Roman" w:cs="Times New Roman"/>
          <w:sz w:val="20"/>
          <w:szCs w:val="20"/>
        </w:rPr>
      </w:pPr>
      <w:r w:rsidRPr="00CD67C5">
        <w:rPr>
          <w:rFonts w:ascii="Times New Roman" w:hAnsi="Times New Roman" w:cs="Times New Roman"/>
          <w:sz w:val="20"/>
          <w:szCs w:val="20"/>
        </w:rPr>
        <w:t>The AI</w:t>
      </w:r>
      <w:r>
        <w:rPr>
          <w:rFonts w:ascii="Times New Roman" w:hAnsi="Times New Roman" w:cs="Times New Roman"/>
          <w:sz w:val="20"/>
          <w:szCs w:val="20"/>
        </w:rPr>
        <w:t>-</w:t>
      </w:r>
      <w:r w:rsidRPr="00CD67C5">
        <w:rPr>
          <w:rFonts w:ascii="Times New Roman" w:hAnsi="Times New Roman" w:cs="Times New Roman"/>
          <w:sz w:val="20"/>
          <w:szCs w:val="20"/>
        </w:rPr>
        <w:t>CIR</w:t>
      </w:r>
      <w:r>
        <w:rPr>
          <w:rFonts w:ascii="Times New Roman" w:hAnsi="Times New Roman" w:cs="Times New Roman"/>
          <w:sz w:val="20"/>
          <w:szCs w:val="20"/>
        </w:rPr>
        <w:t>-</w:t>
      </w:r>
      <w:proofErr w:type="spellStart"/>
      <w:r w:rsidRPr="00CD67C5">
        <w:rPr>
          <w:rFonts w:ascii="Times New Roman" w:hAnsi="Times New Roman" w:cs="Times New Roman"/>
          <w:sz w:val="20"/>
          <w:szCs w:val="20"/>
        </w:rPr>
        <w:t>WtE</w:t>
      </w:r>
      <w:proofErr w:type="spellEnd"/>
      <w:r w:rsidRPr="00CD67C5">
        <w:rPr>
          <w:rFonts w:ascii="Times New Roman" w:hAnsi="Times New Roman" w:cs="Times New Roman"/>
          <w:sz w:val="20"/>
          <w:szCs w:val="20"/>
        </w:rPr>
        <w:t xml:space="preserve"> framework is designed to address entrenched inequalities in urban waste systems by integrating vulnerable stakeholders</w:t>
      </w:r>
      <w:r>
        <w:rPr>
          <w:rFonts w:ascii="Times New Roman" w:hAnsi="Times New Roman" w:cs="Times New Roman"/>
          <w:sz w:val="20"/>
          <w:szCs w:val="20"/>
        </w:rPr>
        <w:t xml:space="preserve">, </w:t>
      </w:r>
      <w:r w:rsidRPr="00CD67C5">
        <w:rPr>
          <w:rFonts w:ascii="Times New Roman" w:hAnsi="Times New Roman" w:cs="Times New Roman"/>
          <w:sz w:val="20"/>
          <w:szCs w:val="20"/>
        </w:rPr>
        <w:t xml:space="preserve">especially </w:t>
      </w:r>
      <w:r w:rsidRPr="00CD67C5">
        <w:rPr>
          <w:rStyle w:val="Strong"/>
          <w:rFonts w:ascii="Times New Roman" w:hAnsi="Times New Roman" w:cs="Times New Roman"/>
          <w:b w:val="0"/>
          <w:bCs w:val="0"/>
          <w:sz w:val="20"/>
          <w:szCs w:val="20"/>
        </w:rPr>
        <w:t>women, youth, and informal waste workers</w:t>
      </w:r>
      <w:r>
        <w:rPr>
          <w:rFonts w:ascii="Times New Roman" w:hAnsi="Times New Roman" w:cs="Times New Roman"/>
          <w:sz w:val="20"/>
          <w:szCs w:val="20"/>
        </w:rPr>
        <w:t xml:space="preserve">, </w:t>
      </w:r>
      <w:r w:rsidRPr="00CD67C5">
        <w:rPr>
          <w:rFonts w:ascii="Times New Roman" w:hAnsi="Times New Roman" w:cs="Times New Roman"/>
          <w:sz w:val="20"/>
          <w:szCs w:val="20"/>
        </w:rPr>
        <w:t xml:space="preserve">within its digital and operational architecture. This section explores how the model fosters </w:t>
      </w:r>
      <w:r w:rsidRPr="00CD67C5">
        <w:rPr>
          <w:rStyle w:val="Strong"/>
          <w:rFonts w:ascii="Times New Roman" w:hAnsi="Times New Roman" w:cs="Times New Roman"/>
          <w:b w:val="0"/>
          <w:bCs w:val="0"/>
          <w:sz w:val="20"/>
          <w:szCs w:val="20"/>
        </w:rPr>
        <w:t>climate justice</w:t>
      </w:r>
      <w:r w:rsidRPr="00CD67C5">
        <w:rPr>
          <w:rFonts w:ascii="Times New Roman" w:hAnsi="Times New Roman" w:cs="Times New Roman"/>
          <w:sz w:val="20"/>
          <w:szCs w:val="20"/>
        </w:rPr>
        <w:t>, promotes equitable access, and supports inclusive growth.</w:t>
      </w:r>
      <w:r>
        <w:rPr>
          <w:rFonts w:ascii="Times New Roman" w:hAnsi="Times New Roman" w:cs="Times New Roman"/>
          <w:sz w:val="20"/>
          <w:szCs w:val="20"/>
        </w:rPr>
        <w:t xml:space="preserve"> </w:t>
      </w:r>
    </w:p>
    <w:p w14:paraId="4DED0C93" w14:textId="046EA867" w:rsidR="00CD67C5" w:rsidRPr="00826CC8" w:rsidRDefault="00C22178" w:rsidP="00826CC8">
      <w:pPr>
        <w:pStyle w:val="ListParagraph"/>
        <w:numPr>
          <w:ilvl w:val="0"/>
          <w:numId w:val="65"/>
        </w:numPr>
        <w:spacing w:after="0" w:line="360" w:lineRule="auto"/>
        <w:jc w:val="both"/>
        <w:outlineLvl w:val="2"/>
        <w:rPr>
          <w:rFonts w:ascii="Times New Roman" w:hAnsi="Times New Roman" w:cs="Times New Roman"/>
          <w:b/>
          <w:bCs/>
          <w:sz w:val="20"/>
          <w:szCs w:val="20"/>
        </w:rPr>
      </w:pPr>
      <w:r w:rsidRPr="00826CC8">
        <w:rPr>
          <w:rFonts w:ascii="Times New Roman" w:hAnsi="Times New Roman" w:cs="Times New Roman"/>
          <w:b/>
          <w:bCs/>
          <w:sz w:val="20"/>
          <w:szCs w:val="20"/>
        </w:rPr>
        <w:t xml:space="preserve">Gendered Impacts of Waste Exposure and </w:t>
      </w:r>
      <w:proofErr w:type="spellStart"/>
      <w:r w:rsidRPr="00826CC8">
        <w:rPr>
          <w:rFonts w:ascii="Times New Roman" w:hAnsi="Times New Roman" w:cs="Times New Roman"/>
          <w:b/>
          <w:bCs/>
          <w:sz w:val="20"/>
          <w:szCs w:val="20"/>
        </w:rPr>
        <w:t>WtE</w:t>
      </w:r>
      <w:proofErr w:type="spellEnd"/>
      <w:r w:rsidRPr="00826CC8">
        <w:rPr>
          <w:rFonts w:ascii="Times New Roman" w:hAnsi="Times New Roman" w:cs="Times New Roman"/>
          <w:b/>
          <w:bCs/>
          <w:sz w:val="20"/>
          <w:szCs w:val="20"/>
        </w:rPr>
        <w:t xml:space="preserve"> Access:</w:t>
      </w:r>
    </w:p>
    <w:p w14:paraId="26F265D4" w14:textId="31BC845E" w:rsidR="00202778" w:rsidRPr="00202778" w:rsidRDefault="00202778" w:rsidP="00F969D4">
      <w:pPr>
        <w:spacing w:after="0" w:line="360" w:lineRule="auto"/>
        <w:jc w:val="both"/>
        <w:outlineLvl w:val="2"/>
        <w:rPr>
          <w:sz w:val="20"/>
          <w:szCs w:val="20"/>
        </w:rPr>
      </w:pPr>
      <w:r w:rsidRPr="00202778">
        <w:rPr>
          <w:rFonts w:ascii="Times New Roman" w:eastAsia="Times New Roman" w:hAnsi="Times New Roman" w:cs="Times New Roman"/>
          <w:sz w:val="20"/>
          <w:szCs w:val="20"/>
        </w:rPr>
        <w:t xml:space="preserve">An estimated 15,000–20,000 women work as informal rubbish pickers in Dhaka, where they are constantly exposed to harmful pollutants, diseases, and heat stress without official protection (Moni, 2025). According to surveys, approximately 60% of female waste pickers have untreated wounds or respiratory problems, and 92% have faced harassment (Moni, 2025). Formal </w:t>
      </w:r>
      <w:proofErr w:type="spellStart"/>
      <w:r w:rsidRPr="00202778">
        <w:rPr>
          <w:rFonts w:ascii="Times New Roman" w:eastAsia="Times New Roman" w:hAnsi="Times New Roman" w:cs="Times New Roman"/>
          <w:sz w:val="20"/>
          <w:szCs w:val="20"/>
        </w:rPr>
        <w:t>WtE</w:t>
      </w:r>
      <w:proofErr w:type="spellEnd"/>
      <w:r w:rsidRPr="00202778">
        <w:rPr>
          <w:rFonts w:ascii="Times New Roman" w:eastAsia="Times New Roman" w:hAnsi="Times New Roman" w:cs="Times New Roman"/>
          <w:sz w:val="20"/>
          <w:szCs w:val="20"/>
        </w:rPr>
        <w:t xml:space="preserve"> projects typically ignore them, </w:t>
      </w:r>
      <w:r>
        <w:rPr>
          <w:rFonts w:ascii="Times New Roman" w:eastAsia="Times New Roman" w:hAnsi="Times New Roman" w:cs="Times New Roman"/>
          <w:sz w:val="20"/>
          <w:szCs w:val="20"/>
        </w:rPr>
        <w:t>even though</w:t>
      </w:r>
      <w:r w:rsidRPr="00202778">
        <w:rPr>
          <w:rFonts w:ascii="Times New Roman" w:eastAsia="Times New Roman" w:hAnsi="Times New Roman" w:cs="Times New Roman"/>
          <w:sz w:val="20"/>
          <w:szCs w:val="20"/>
        </w:rPr>
        <w:t xml:space="preserve"> their unappreciated labor supports the recycling ecology.</w:t>
      </w:r>
      <w:r w:rsidR="00F969D4">
        <w:rPr>
          <w:rFonts w:ascii="Times New Roman" w:eastAsia="Times New Roman" w:hAnsi="Times New Roman" w:cs="Times New Roman"/>
          <w:sz w:val="20"/>
          <w:szCs w:val="20"/>
        </w:rPr>
        <w:t xml:space="preserve"> </w:t>
      </w:r>
      <w:r w:rsidRPr="00F969D4">
        <w:rPr>
          <w:rStyle w:val="relative"/>
          <w:rFonts w:ascii="Times New Roman" w:hAnsi="Times New Roman" w:cs="Times New Roman"/>
          <w:sz w:val="20"/>
          <w:szCs w:val="20"/>
        </w:rPr>
        <w:t>The AI</w:t>
      </w:r>
      <w:r w:rsidR="00383640">
        <w:rPr>
          <w:rStyle w:val="relative"/>
          <w:rFonts w:ascii="Times New Roman" w:hAnsi="Times New Roman" w:cs="Times New Roman"/>
          <w:sz w:val="20"/>
          <w:szCs w:val="20"/>
        </w:rPr>
        <w:t>-</w:t>
      </w:r>
      <w:r w:rsidRPr="00F969D4">
        <w:rPr>
          <w:rStyle w:val="relative"/>
          <w:rFonts w:ascii="Times New Roman" w:hAnsi="Times New Roman" w:cs="Times New Roman"/>
          <w:sz w:val="20"/>
          <w:szCs w:val="20"/>
        </w:rPr>
        <w:t>CIR</w:t>
      </w:r>
      <w:r w:rsidR="00383640">
        <w:rPr>
          <w:rStyle w:val="relative"/>
          <w:rFonts w:ascii="Times New Roman" w:hAnsi="Times New Roman" w:cs="Times New Roman"/>
          <w:sz w:val="20"/>
          <w:szCs w:val="20"/>
        </w:rPr>
        <w:t>-</w:t>
      </w:r>
      <w:proofErr w:type="spellStart"/>
      <w:r w:rsidRPr="00F969D4">
        <w:rPr>
          <w:rStyle w:val="relative"/>
          <w:rFonts w:ascii="Times New Roman" w:hAnsi="Times New Roman" w:cs="Times New Roman"/>
          <w:sz w:val="20"/>
          <w:szCs w:val="20"/>
        </w:rPr>
        <w:t>WtE</w:t>
      </w:r>
      <w:proofErr w:type="spellEnd"/>
      <w:r w:rsidRPr="00F969D4">
        <w:rPr>
          <w:rStyle w:val="relative"/>
          <w:rFonts w:ascii="Times New Roman" w:hAnsi="Times New Roman" w:cs="Times New Roman"/>
          <w:sz w:val="20"/>
          <w:szCs w:val="20"/>
        </w:rPr>
        <w:t xml:space="preserve"> framework proposes:</w:t>
      </w:r>
    </w:p>
    <w:p w14:paraId="3C393D33" w14:textId="77777777" w:rsidR="00202778" w:rsidRPr="00202778" w:rsidRDefault="00202778" w:rsidP="00202778">
      <w:pPr>
        <w:pStyle w:val="NormalWeb"/>
        <w:numPr>
          <w:ilvl w:val="0"/>
          <w:numId w:val="61"/>
        </w:numPr>
        <w:spacing w:before="0" w:beforeAutospacing="0" w:after="0" w:afterAutospacing="0" w:line="360" w:lineRule="auto"/>
        <w:jc w:val="both"/>
        <w:rPr>
          <w:sz w:val="20"/>
          <w:szCs w:val="20"/>
        </w:rPr>
      </w:pPr>
      <w:r w:rsidRPr="00202778">
        <w:rPr>
          <w:rStyle w:val="Strong"/>
          <w:b w:val="0"/>
          <w:bCs w:val="0"/>
          <w:sz w:val="20"/>
          <w:szCs w:val="20"/>
        </w:rPr>
        <w:t>Decentralized treatment nodes</w:t>
      </w:r>
      <w:r w:rsidRPr="00202778">
        <w:rPr>
          <w:rStyle w:val="relative"/>
          <w:sz w:val="20"/>
          <w:szCs w:val="20"/>
        </w:rPr>
        <w:t xml:space="preserve"> close to communities to reduce travel time and exposure.</w:t>
      </w:r>
    </w:p>
    <w:p w14:paraId="7AED966E" w14:textId="77777777" w:rsidR="00202778" w:rsidRPr="00202778" w:rsidRDefault="00202778" w:rsidP="00202778">
      <w:pPr>
        <w:pStyle w:val="NormalWeb"/>
        <w:numPr>
          <w:ilvl w:val="0"/>
          <w:numId w:val="61"/>
        </w:numPr>
        <w:spacing w:before="0" w:beforeAutospacing="0" w:after="0" w:afterAutospacing="0" w:line="360" w:lineRule="auto"/>
        <w:jc w:val="both"/>
        <w:rPr>
          <w:sz w:val="20"/>
          <w:szCs w:val="20"/>
        </w:rPr>
      </w:pPr>
      <w:r w:rsidRPr="00202778">
        <w:rPr>
          <w:rStyle w:val="Strong"/>
          <w:b w:val="0"/>
          <w:bCs w:val="0"/>
          <w:sz w:val="20"/>
          <w:szCs w:val="20"/>
        </w:rPr>
        <w:t>Gender-disaggregated data platforms</w:t>
      </w:r>
      <w:r w:rsidRPr="00202778">
        <w:rPr>
          <w:rStyle w:val="relative"/>
          <w:sz w:val="20"/>
          <w:szCs w:val="20"/>
        </w:rPr>
        <w:t xml:space="preserve"> to inform equity planning and support municipal monitoring.</w:t>
      </w:r>
    </w:p>
    <w:p w14:paraId="58AFCA84" w14:textId="62A00590" w:rsidR="00202778" w:rsidRPr="00826CC8" w:rsidRDefault="005C3B8F" w:rsidP="00826CC8">
      <w:pPr>
        <w:pStyle w:val="ListParagraph"/>
        <w:numPr>
          <w:ilvl w:val="0"/>
          <w:numId w:val="65"/>
        </w:numPr>
        <w:spacing w:after="0" w:line="360" w:lineRule="auto"/>
        <w:jc w:val="both"/>
        <w:outlineLvl w:val="2"/>
        <w:rPr>
          <w:rFonts w:ascii="Times New Roman" w:hAnsi="Times New Roman" w:cs="Times New Roman"/>
          <w:b/>
          <w:bCs/>
          <w:sz w:val="20"/>
          <w:szCs w:val="20"/>
        </w:rPr>
      </w:pPr>
      <w:r w:rsidRPr="00826CC8">
        <w:rPr>
          <w:rFonts w:ascii="Times New Roman" w:hAnsi="Times New Roman" w:cs="Times New Roman"/>
          <w:b/>
          <w:bCs/>
          <w:sz w:val="20"/>
          <w:szCs w:val="20"/>
        </w:rPr>
        <w:t>Digital Skill Training for Women &amp; Youth:</w:t>
      </w:r>
    </w:p>
    <w:p w14:paraId="34482B18" w14:textId="29EE929F" w:rsidR="00F969D4" w:rsidRPr="00F969D4" w:rsidRDefault="00F969D4" w:rsidP="00F969D4">
      <w:pPr>
        <w:pStyle w:val="NormalWeb"/>
        <w:spacing w:before="0" w:beforeAutospacing="0" w:after="0" w:afterAutospacing="0" w:line="360" w:lineRule="auto"/>
        <w:jc w:val="both"/>
        <w:rPr>
          <w:sz w:val="20"/>
          <w:szCs w:val="20"/>
        </w:rPr>
      </w:pPr>
      <w:r w:rsidRPr="00F969D4">
        <w:rPr>
          <w:rStyle w:val="relative"/>
          <w:sz w:val="20"/>
          <w:szCs w:val="20"/>
        </w:rPr>
        <w:t>Digital inclusion is critical for bridging gender equity in smart urban systems. UNESCO’s IFAP initiative has successfully enhanced digital literacy among women in marginalized contexts, demonstrating the value of tailored training programs (UNESCO, 2024).</w:t>
      </w:r>
      <w:r>
        <w:rPr>
          <w:rStyle w:val="relative"/>
          <w:sz w:val="20"/>
          <w:szCs w:val="20"/>
        </w:rPr>
        <w:t xml:space="preserve"> </w:t>
      </w:r>
      <w:r w:rsidRPr="00F969D4">
        <w:rPr>
          <w:rStyle w:val="relative"/>
          <w:sz w:val="20"/>
          <w:szCs w:val="20"/>
        </w:rPr>
        <w:t>AI</w:t>
      </w:r>
      <w:r w:rsidR="00383640">
        <w:rPr>
          <w:rStyle w:val="relative"/>
          <w:sz w:val="20"/>
          <w:szCs w:val="20"/>
        </w:rPr>
        <w:t>-</w:t>
      </w:r>
      <w:r w:rsidRPr="00F969D4">
        <w:rPr>
          <w:rStyle w:val="relative"/>
          <w:sz w:val="20"/>
          <w:szCs w:val="20"/>
        </w:rPr>
        <w:t>CIR</w:t>
      </w:r>
      <w:r w:rsidR="00383640">
        <w:rPr>
          <w:rStyle w:val="relative"/>
          <w:sz w:val="20"/>
          <w:szCs w:val="20"/>
        </w:rPr>
        <w:t>-</w:t>
      </w:r>
      <w:proofErr w:type="spellStart"/>
      <w:r w:rsidRPr="00F969D4">
        <w:rPr>
          <w:rStyle w:val="relative"/>
          <w:sz w:val="20"/>
          <w:szCs w:val="20"/>
        </w:rPr>
        <w:t>WtE</w:t>
      </w:r>
      <w:proofErr w:type="spellEnd"/>
      <w:r w:rsidRPr="00F969D4">
        <w:rPr>
          <w:rStyle w:val="relative"/>
          <w:sz w:val="20"/>
          <w:szCs w:val="20"/>
        </w:rPr>
        <w:t xml:space="preserve"> includes:</w:t>
      </w:r>
    </w:p>
    <w:p w14:paraId="4FAA196D" w14:textId="77777777" w:rsidR="00F969D4" w:rsidRPr="00F969D4" w:rsidRDefault="00F969D4" w:rsidP="00F969D4">
      <w:pPr>
        <w:pStyle w:val="NormalWeb"/>
        <w:numPr>
          <w:ilvl w:val="0"/>
          <w:numId w:val="62"/>
        </w:numPr>
        <w:spacing w:before="0" w:beforeAutospacing="0" w:after="0" w:afterAutospacing="0" w:line="360" w:lineRule="auto"/>
        <w:jc w:val="both"/>
        <w:rPr>
          <w:sz w:val="20"/>
          <w:szCs w:val="20"/>
        </w:rPr>
      </w:pPr>
      <w:r w:rsidRPr="00F969D4">
        <w:rPr>
          <w:rStyle w:val="Strong"/>
          <w:b w:val="0"/>
          <w:bCs w:val="0"/>
          <w:sz w:val="20"/>
          <w:szCs w:val="20"/>
        </w:rPr>
        <w:t>Micro-training modules</w:t>
      </w:r>
      <w:r w:rsidRPr="00F969D4">
        <w:rPr>
          <w:rStyle w:val="relative"/>
          <w:sz w:val="20"/>
          <w:szCs w:val="20"/>
        </w:rPr>
        <w:t xml:space="preserve"> on using waste-classification apps, dashboard operations, and basic IoT maintenance, aimed at women and youth.</w:t>
      </w:r>
    </w:p>
    <w:p w14:paraId="4B9E3F0B" w14:textId="77777777" w:rsidR="00F969D4" w:rsidRPr="00F969D4" w:rsidRDefault="00F969D4" w:rsidP="00F969D4">
      <w:pPr>
        <w:pStyle w:val="NormalWeb"/>
        <w:numPr>
          <w:ilvl w:val="0"/>
          <w:numId w:val="62"/>
        </w:numPr>
        <w:spacing w:before="0" w:beforeAutospacing="0" w:after="0" w:afterAutospacing="0" w:line="360" w:lineRule="auto"/>
        <w:jc w:val="both"/>
        <w:rPr>
          <w:sz w:val="20"/>
          <w:szCs w:val="20"/>
        </w:rPr>
      </w:pPr>
      <w:r w:rsidRPr="00F969D4">
        <w:rPr>
          <w:rStyle w:val="relative"/>
          <w:sz w:val="20"/>
          <w:szCs w:val="20"/>
        </w:rPr>
        <w:t>Certification pathways linked to local NGOs and universities to build lasting digital and green skills.</w:t>
      </w:r>
    </w:p>
    <w:p w14:paraId="10E557AD" w14:textId="77777777" w:rsidR="00F969D4" w:rsidRPr="00F969D4" w:rsidRDefault="00F969D4" w:rsidP="00F969D4">
      <w:pPr>
        <w:pStyle w:val="NormalWeb"/>
        <w:numPr>
          <w:ilvl w:val="0"/>
          <w:numId w:val="62"/>
        </w:numPr>
        <w:spacing w:before="0" w:beforeAutospacing="0" w:after="0" w:afterAutospacing="0" w:line="360" w:lineRule="auto"/>
        <w:jc w:val="both"/>
        <w:rPr>
          <w:sz w:val="20"/>
          <w:szCs w:val="20"/>
        </w:rPr>
      </w:pPr>
      <w:r w:rsidRPr="00F969D4">
        <w:rPr>
          <w:rStyle w:val="relative"/>
          <w:sz w:val="20"/>
          <w:szCs w:val="20"/>
        </w:rPr>
        <w:t>Incentive mechanisms (e.g., small digital tokens) for participation in monitoring and recycling efforts, following UNESCO’s gender-inclusive tech models (UNESCO, 2021; 2024).</w:t>
      </w:r>
    </w:p>
    <w:p w14:paraId="1F74E839" w14:textId="674DD9CC" w:rsidR="005C3B8F" w:rsidRPr="00826CC8" w:rsidRDefault="00A06FB6" w:rsidP="00826CC8">
      <w:pPr>
        <w:pStyle w:val="ListParagraph"/>
        <w:numPr>
          <w:ilvl w:val="0"/>
          <w:numId w:val="65"/>
        </w:numPr>
        <w:spacing w:after="0" w:line="360" w:lineRule="auto"/>
        <w:jc w:val="both"/>
        <w:outlineLvl w:val="2"/>
        <w:rPr>
          <w:rFonts w:ascii="Times New Roman" w:hAnsi="Times New Roman" w:cs="Times New Roman"/>
          <w:b/>
          <w:bCs/>
          <w:sz w:val="20"/>
          <w:szCs w:val="20"/>
        </w:rPr>
      </w:pPr>
      <w:r w:rsidRPr="00826CC8">
        <w:rPr>
          <w:rFonts w:ascii="Times New Roman" w:hAnsi="Times New Roman" w:cs="Times New Roman"/>
          <w:b/>
          <w:bCs/>
          <w:sz w:val="20"/>
          <w:szCs w:val="20"/>
        </w:rPr>
        <w:t xml:space="preserve">Integration of Informal Waste Workers: </w:t>
      </w:r>
    </w:p>
    <w:p w14:paraId="028201B1" w14:textId="63C1A270" w:rsidR="001901DE" w:rsidRPr="001901DE" w:rsidRDefault="001901DE" w:rsidP="001901DE">
      <w:pPr>
        <w:pStyle w:val="NormalWeb"/>
        <w:spacing w:before="0" w:beforeAutospacing="0" w:after="0" w:afterAutospacing="0" w:line="360" w:lineRule="auto"/>
        <w:jc w:val="both"/>
        <w:rPr>
          <w:sz w:val="20"/>
          <w:szCs w:val="20"/>
        </w:rPr>
      </w:pPr>
      <w:r w:rsidRPr="001901DE">
        <w:rPr>
          <w:rStyle w:val="relative"/>
          <w:sz w:val="20"/>
          <w:szCs w:val="20"/>
        </w:rPr>
        <w:t xml:space="preserve">Informal sector workers constitute </w:t>
      </w:r>
      <w:r>
        <w:rPr>
          <w:rStyle w:val="relative"/>
          <w:sz w:val="20"/>
          <w:szCs w:val="20"/>
        </w:rPr>
        <w:t>the</w:t>
      </w:r>
      <w:r w:rsidRPr="001901DE">
        <w:rPr>
          <w:rStyle w:val="relative"/>
          <w:sz w:val="20"/>
          <w:szCs w:val="20"/>
        </w:rPr>
        <w:t xml:space="preserve"> backbone of waste recovery but lack formal recognition or benefits. ILO data indicates that nearly </w:t>
      </w:r>
      <w:r w:rsidRPr="001901DE">
        <w:rPr>
          <w:rStyle w:val="Strong"/>
          <w:b w:val="0"/>
          <w:bCs w:val="0"/>
          <w:sz w:val="20"/>
          <w:szCs w:val="20"/>
        </w:rPr>
        <w:t>97% of employed women in Bangladesh</w:t>
      </w:r>
      <w:r w:rsidRPr="001901DE">
        <w:rPr>
          <w:rStyle w:val="relative"/>
          <w:sz w:val="20"/>
          <w:szCs w:val="20"/>
        </w:rPr>
        <w:t xml:space="preserve"> are in informal work, highlighting the risk of exclusion (ILO, 2024).</w:t>
      </w:r>
    </w:p>
    <w:p w14:paraId="508792CE" w14:textId="1AA8A73B" w:rsidR="001901DE" w:rsidRPr="001901DE" w:rsidRDefault="001901DE" w:rsidP="001901DE">
      <w:pPr>
        <w:pStyle w:val="NormalWeb"/>
        <w:spacing w:before="0" w:beforeAutospacing="0" w:after="0" w:afterAutospacing="0" w:line="360" w:lineRule="auto"/>
        <w:jc w:val="both"/>
        <w:rPr>
          <w:sz w:val="20"/>
          <w:szCs w:val="20"/>
        </w:rPr>
      </w:pPr>
      <w:r w:rsidRPr="001901DE">
        <w:rPr>
          <w:rStyle w:val="relative"/>
          <w:sz w:val="20"/>
          <w:szCs w:val="20"/>
        </w:rPr>
        <w:t>AI</w:t>
      </w:r>
      <w:r w:rsidR="00383640">
        <w:rPr>
          <w:rStyle w:val="relative"/>
          <w:sz w:val="20"/>
          <w:szCs w:val="20"/>
        </w:rPr>
        <w:t>-</w:t>
      </w:r>
      <w:r w:rsidRPr="001901DE">
        <w:rPr>
          <w:rStyle w:val="relative"/>
          <w:sz w:val="20"/>
          <w:szCs w:val="20"/>
        </w:rPr>
        <w:t>CIR</w:t>
      </w:r>
      <w:r w:rsidR="00383640">
        <w:rPr>
          <w:rStyle w:val="relative"/>
          <w:sz w:val="20"/>
          <w:szCs w:val="20"/>
        </w:rPr>
        <w:t>-</w:t>
      </w:r>
      <w:proofErr w:type="spellStart"/>
      <w:r w:rsidRPr="001901DE">
        <w:rPr>
          <w:rStyle w:val="relative"/>
          <w:sz w:val="20"/>
          <w:szCs w:val="20"/>
        </w:rPr>
        <w:t>WtE</w:t>
      </w:r>
      <w:proofErr w:type="spellEnd"/>
      <w:r w:rsidRPr="001901DE">
        <w:rPr>
          <w:rStyle w:val="relative"/>
          <w:sz w:val="20"/>
          <w:szCs w:val="20"/>
        </w:rPr>
        <w:t xml:space="preserve"> offers:</w:t>
      </w:r>
    </w:p>
    <w:p w14:paraId="7C17C8D1" w14:textId="77777777" w:rsidR="001901DE" w:rsidRPr="001901DE" w:rsidRDefault="001901DE" w:rsidP="001901DE">
      <w:pPr>
        <w:pStyle w:val="NormalWeb"/>
        <w:numPr>
          <w:ilvl w:val="0"/>
          <w:numId w:val="63"/>
        </w:numPr>
        <w:spacing w:before="0" w:beforeAutospacing="0" w:after="0" w:afterAutospacing="0" w:line="360" w:lineRule="auto"/>
        <w:jc w:val="both"/>
        <w:rPr>
          <w:sz w:val="20"/>
          <w:szCs w:val="20"/>
        </w:rPr>
      </w:pPr>
      <w:r w:rsidRPr="001901DE">
        <w:rPr>
          <w:rStyle w:val="Strong"/>
          <w:b w:val="0"/>
          <w:bCs w:val="0"/>
          <w:sz w:val="20"/>
          <w:szCs w:val="20"/>
        </w:rPr>
        <w:t>Digital IDs</w:t>
      </w:r>
      <w:r w:rsidRPr="001901DE">
        <w:rPr>
          <w:rStyle w:val="relative"/>
          <w:sz w:val="20"/>
          <w:szCs w:val="20"/>
        </w:rPr>
        <w:t xml:space="preserve"> and blockchain records to formally register workers and enable access to benefits.</w:t>
      </w:r>
    </w:p>
    <w:p w14:paraId="378004EB" w14:textId="77777777" w:rsidR="001901DE" w:rsidRPr="001901DE" w:rsidRDefault="001901DE" w:rsidP="001901DE">
      <w:pPr>
        <w:pStyle w:val="NormalWeb"/>
        <w:numPr>
          <w:ilvl w:val="0"/>
          <w:numId w:val="63"/>
        </w:numPr>
        <w:spacing w:before="0" w:beforeAutospacing="0" w:after="0" w:afterAutospacing="0" w:line="360" w:lineRule="auto"/>
        <w:jc w:val="both"/>
        <w:rPr>
          <w:sz w:val="20"/>
          <w:szCs w:val="20"/>
        </w:rPr>
      </w:pPr>
      <w:r w:rsidRPr="001901DE">
        <w:rPr>
          <w:rStyle w:val="Strong"/>
          <w:b w:val="0"/>
          <w:bCs w:val="0"/>
          <w:sz w:val="20"/>
          <w:szCs w:val="20"/>
        </w:rPr>
        <w:t>Micro-payments or token incentives</w:t>
      </w:r>
      <w:r w:rsidRPr="001901DE">
        <w:rPr>
          <w:rStyle w:val="relative"/>
          <w:sz w:val="20"/>
          <w:szCs w:val="20"/>
        </w:rPr>
        <w:t xml:space="preserve"> tied to verified waste collection activities.</w:t>
      </w:r>
    </w:p>
    <w:p w14:paraId="4549831D" w14:textId="7BF8AECD" w:rsidR="001901DE" w:rsidRPr="001901DE" w:rsidRDefault="001901DE" w:rsidP="001901DE">
      <w:pPr>
        <w:pStyle w:val="NormalWeb"/>
        <w:numPr>
          <w:ilvl w:val="0"/>
          <w:numId w:val="63"/>
        </w:numPr>
        <w:spacing w:before="0" w:beforeAutospacing="0" w:after="0" w:afterAutospacing="0" w:line="360" w:lineRule="auto"/>
        <w:jc w:val="both"/>
        <w:rPr>
          <w:sz w:val="20"/>
          <w:szCs w:val="20"/>
        </w:rPr>
      </w:pPr>
      <w:r w:rsidRPr="001901DE">
        <w:rPr>
          <w:rStyle w:val="Strong"/>
          <w:b w:val="0"/>
          <w:bCs w:val="0"/>
          <w:sz w:val="20"/>
          <w:szCs w:val="20"/>
        </w:rPr>
        <w:t>Cooperative-based governance</w:t>
      </w:r>
      <w:r>
        <w:rPr>
          <w:rStyle w:val="relative"/>
          <w:sz w:val="20"/>
          <w:szCs w:val="20"/>
        </w:rPr>
        <w:t xml:space="preserve">- </w:t>
      </w:r>
      <w:r w:rsidRPr="001901DE">
        <w:rPr>
          <w:rStyle w:val="relative"/>
          <w:sz w:val="20"/>
          <w:szCs w:val="20"/>
        </w:rPr>
        <w:t>training waste workers to co-manage smart bins and decentralized treatment facilities.</w:t>
      </w:r>
    </w:p>
    <w:p w14:paraId="3037BDE9" w14:textId="1951B7DA" w:rsidR="001901DE" w:rsidRPr="001901DE" w:rsidRDefault="001901DE" w:rsidP="001901DE">
      <w:pPr>
        <w:pStyle w:val="NormalWeb"/>
        <w:numPr>
          <w:ilvl w:val="0"/>
          <w:numId w:val="63"/>
        </w:numPr>
        <w:spacing w:before="0" w:beforeAutospacing="0" w:after="0" w:afterAutospacing="0" w:line="360" w:lineRule="auto"/>
        <w:jc w:val="both"/>
        <w:rPr>
          <w:sz w:val="20"/>
          <w:szCs w:val="20"/>
        </w:rPr>
      </w:pPr>
      <w:r w:rsidRPr="001901DE">
        <w:rPr>
          <w:rStyle w:val="Strong"/>
          <w:b w:val="0"/>
          <w:bCs w:val="0"/>
          <w:sz w:val="20"/>
          <w:szCs w:val="20"/>
        </w:rPr>
        <w:t>Participatory model validation</w:t>
      </w:r>
      <w:r>
        <w:rPr>
          <w:rStyle w:val="relative"/>
          <w:sz w:val="20"/>
          <w:szCs w:val="20"/>
        </w:rPr>
        <w:t xml:space="preserve">- </w:t>
      </w:r>
      <w:r w:rsidRPr="001901DE">
        <w:rPr>
          <w:rStyle w:val="relative"/>
          <w:sz w:val="20"/>
          <w:szCs w:val="20"/>
        </w:rPr>
        <w:t>engaging worker cooperatives in AI model calibration to avoid bias (EEAS, 2025).</w:t>
      </w:r>
    </w:p>
    <w:p w14:paraId="0A9CC2A1" w14:textId="3E356AC4" w:rsidR="008057E1" w:rsidRPr="00826CC8" w:rsidRDefault="00D0463C" w:rsidP="00826CC8">
      <w:pPr>
        <w:pStyle w:val="ListParagraph"/>
        <w:numPr>
          <w:ilvl w:val="0"/>
          <w:numId w:val="65"/>
        </w:numPr>
        <w:spacing w:after="0" w:line="360" w:lineRule="auto"/>
        <w:jc w:val="both"/>
        <w:outlineLvl w:val="2"/>
        <w:rPr>
          <w:rFonts w:ascii="Times New Roman" w:hAnsi="Times New Roman" w:cs="Times New Roman"/>
          <w:b/>
          <w:bCs/>
          <w:sz w:val="20"/>
          <w:szCs w:val="20"/>
        </w:rPr>
      </w:pPr>
      <w:r w:rsidRPr="00826CC8">
        <w:rPr>
          <w:rFonts w:ascii="Times New Roman" w:hAnsi="Times New Roman" w:cs="Times New Roman"/>
          <w:b/>
          <w:bCs/>
          <w:sz w:val="20"/>
          <w:szCs w:val="20"/>
        </w:rPr>
        <w:lastRenderedPageBreak/>
        <w:t>Alignment with Funding Standards &amp; Co-Benefits:</w:t>
      </w:r>
    </w:p>
    <w:p w14:paraId="3CE0F05D" w14:textId="3796636C" w:rsidR="002A7D34" w:rsidRPr="002A7D34" w:rsidRDefault="002A7D34" w:rsidP="002A7D34">
      <w:pPr>
        <w:pStyle w:val="NormalWeb"/>
        <w:spacing w:before="0" w:beforeAutospacing="0" w:after="0" w:afterAutospacing="0" w:line="360" w:lineRule="auto"/>
        <w:jc w:val="both"/>
        <w:rPr>
          <w:sz w:val="20"/>
          <w:szCs w:val="20"/>
        </w:rPr>
      </w:pPr>
      <w:r w:rsidRPr="002A7D34">
        <w:rPr>
          <w:rStyle w:val="relative"/>
          <w:sz w:val="20"/>
          <w:szCs w:val="20"/>
        </w:rPr>
        <w:t>By embedding gender inclusion and social equity, the AI</w:t>
      </w:r>
      <w:r w:rsidR="00383640">
        <w:rPr>
          <w:rStyle w:val="relative"/>
          <w:sz w:val="20"/>
          <w:szCs w:val="20"/>
        </w:rPr>
        <w:t>-</w:t>
      </w:r>
      <w:r w:rsidRPr="002A7D34">
        <w:rPr>
          <w:rStyle w:val="relative"/>
          <w:sz w:val="20"/>
          <w:szCs w:val="20"/>
        </w:rPr>
        <w:t>CIR</w:t>
      </w:r>
      <w:r w:rsidR="00383640">
        <w:rPr>
          <w:rStyle w:val="relative"/>
          <w:sz w:val="20"/>
          <w:szCs w:val="20"/>
        </w:rPr>
        <w:t>-</w:t>
      </w:r>
      <w:proofErr w:type="spellStart"/>
      <w:r w:rsidRPr="002A7D34">
        <w:rPr>
          <w:rStyle w:val="relative"/>
          <w:sz w:val="20"/>
          <w:szCs w:val="20"/>
        </w:rPr>
        <w:t>WtE</w:t>
      </w:r>
      <w:proofErr w:type="spellEnd"/>
      <w:r w:rsidRPr="002A7D34">
        <w:rPr>
          <w:rStyle w:val="relative"/>
          <w:sz w:val="20"/>
          <w:szCs w:val="20"/>
        </w:rPr>
        <w:t xml:space="preserve"> model meets criteria set by major funders such as the </w:t>
      </w:r>
      <w:r w:rsidRPr="002A7D34">
        <w:rPr>
          <w:rStyle w:val="Strong"/>
          <w:b w:val="0"/>
          <w:bCs w:val="0"/>
          <w:sz w:val="20"/>
          <w:szCs w:val="20"/>
        </w:rPr>
        <w:t>GCF</w:t>
      </w:r>
      <w:r w:rsidRPr="002A7D34">
        <w:rPr>
          <w:rStyle w:val="relative"/>
          <w:sz w:val="20"/>
          <w:szCs w:val="20"/>
        </w:rPr>
        <w:t xml:space="preserve">, </w:t>
      </w:r>
      <w:r w:rsidRPr="002A7D34">
        <w:rPr>
          <w:rStyle w:val="Strong"/>
          <w:b w:val="0"/>
          <w:bCs w:val="0"/>
          <w:sz w:val="20"/>
          <w:szCs w:val="20"/>
        </w:rPr>
        <w:t>UNDP</w:t>
      </w:r>
      <w:r w:rsidRPr="002A7D34">
        <w:rPr>
          <w:rStyle w:val="relative"/>
          <w:sz w:val="20"/>
          <w:szCs w:val="20"/>
        </w:rPr>
        <w:t xml:space="preserve">, and </w:t>
      </w:r>
      <w:r w:rsidRPr="002A7D34">
        <w:rPr>
          <w:rStyle w:val="Strong"/>
          <w:b w:val="0"/>
          <w:bCs w:val="0"/>
          <w:sz w:val="20"/>
          <w:szCs w:val="20"/>
        </w:rPr>
        <w:t>World Bank</w:t>
      </w:r>
      <w:r w:rsidRPr="002A7D34">
        <w:rPr>
          <w:rStyle w:val="relative"/>
          <w:sz w:val="20"/>
          <w:szCs w:val="20"/>
        </w:rPr>
        <w:t>, which require gender-responsive and inclusive programming.</w:t>
      </w:r>
    </w:p>
    <w:p w14:paraId="1C7205EA" w14:textId="77777777" w:rsidR="002A7D34" w:rsidRPr="002A7D34" w:rsidRDefault="002A7D34" w:rsidP="002A7D34">
      <w:pPr>
        <w:pStyle w:val="NormalWeb"/>
        <w:spacing w:before="0" w:beforeAutospacing="0" w:after="0" w:afterAutospacing="0" w:line="360" w:lineRule="auto"/>
        <w:jc w:val="both"/>
        <w:rPr>
          <w:sz w:val="20"/>
          <w:szCs w:val="20"/>
        </w:rPr>
      </w:pPr>
      <w:r w:rsidRPr="002A7D34">
        <w:rPr>
          <w:rStyle w:val="relative"/>
          <w:sz w:val="20"/>
          <w:szCs w:val="20"/>
        </w:rPr>
        <w:t>Co-benefits include:</w:t>
      </w:r>
    </w:p>
    <w:p w14:paraId="5D59AB96" w14:textId="77777777" w:rsidR="002A7D34" w:rsidRPr="002A7D34" w:rsidRDefault="002A7D34" w:rsidP="002A7D34">
      <w:pPr>
        <w:pStyle w:val="NormalWeb"/>
        <w:numPr>
          <w:ilvl w:val="0"/>
          <w:numId w:val="64"/>
        </w:numPr>
        <w:spacing w:before="0" w:beforeAutospacing="0" w:after="0" w:afterAutospacing="0" w:line="360" w:lineRule="auto"/>
        <w:jc w:val="both"/>
        <w:rPr>
          <w:sz w:val="20"/>
          <w:szCs w:val="20"/>
        </w:rPr>
      </w:pPr>
      <w:r w:rsidRPr="002A7D34">
        <w:rPr>
          <w:rStyle w:val="Strong"/>
          <w:b w:val="0"/>
          <w:bCs w:val="0"/>
          <w:sz w:val="20"/>
          <w:szCs w:val="20"/>
        </w:rPr>
        <w:t>Improved occupational safety and health</w:t>
      </w:r>
      <w:r w:rsidRPr="002A7D34">
        <w:rPr>
          <w:rStyle w:val="relative"/>
          <w:sz w:val="20"/>
          <w:szCs w:val="20"/>
        </w:rPr>
        <w:t xml:space="preserve"> for marginalized women and child workers.</w:t>
      </w:r>
    </w:p>
    <w:p w14:paraId="54188191" w14:textId="19371641" w:rsidR="002A7D34" w:rsidRPr="002A7D34" w:rsidRDefault="002A7D34" w:rsidP="002A7D34">
      <w:pPr>
        <w:pStyle w:val="NormalWeb"/>
        <w:numPr>
          <w:ilvl w:val="0"/>
          <w:numId w:val="64"/>
        </w:numPr>
        <w:spacing w:before="0" w:beforeAutospacing="0" w:after="0" w:afterAutospacing="0" w:line="360" w:lineRule="auto"/>
        <w:jc w:val="both"/>
        <w:rPr>
          <w:sz w:val="20"/>
          <w:szCs w:val="20"/>
        </w:rPr>
      </w:pPr>
      <w:r w:rsidRPr="002A7D34">
        <w:rPr>
          <w:rStyle w:val="Strong"/>
          <w:b w:val="0"/>
          <w:bCs w:val="0"/>
          <w:sz w:val="20"/>
          <w:szCs w:val="20"/>
        </w:rPr>
        <w:t>Income formalization</w:t>
      </w:r>
      <w:r w:rsidRPr="002A7D34">
        <w:rPr>
          <w:rStyle w:val="relative"/>
          <w:sz w:val="20"/>
          <w:szCs w:val="20"/>
        </w:rPr>
        <w:t>, reducing precarity</w:t>
      </w:r>
      <w:r>
        <w:rPr>
          <w:rStyle w:val="relative"/>
          <w:sz w:val="20"/>
          <w:szCs w:val="20"/>
        </w:rPr>
        <w:t>,</w:t>
      </w:r>
      <w:r w:rsidRPr="002A7D34">
        <w:rPr>
          <w:rStyle w:val="relative"/>
          <w:sz w:val="20"/>
          <w:szCs w:val="20"/>
        </w:rPr>
        <w:t xml:space="preserve"> and enhancing social protection coverage.</w:t>
      </w:r>
    </w:p>
    <w:p w14:paraId="4B2F7CFA" w14:textId="77777777" w:rsidR="002A7D34" w:rsidRPr="002A7D34" w:rsidRDefault="002A7D34" w:rsidP="002A7D34">
      <w:pPr>
        <w:pStyle w:val="NormalWeb"/>
        <w:numPr>
          <w:ilvl w:val="0"/>
          <w:numId w:val="64"/>
        </w:numPr>
        <w:spacing w:before="0" w:beforeAutospacing="0" w:after="0" w:afterAutospacing="0" w:line="360" w:lineRule="auto"/>
        <w:jc w:val="both"/>
        <w:rPr>
          <w:sz w:val="20"/>
          <w:szCs w:val="20"/>
        </w:rPr>
      </w:pPr>
      <w:r w:rsidRPr="002A7D34">
        <w:rPr>
          <w:rStyle w:val="Strong"/>
          <w:b w:val="0"/>
          <w:bCs w:val="0"/>
          <w:sz w:val="20"/>
          <w:szCs w:val="20"/>
        </w:rPr>
        <w:t>Empowerment and visibility</w:t>
      </w:r>
      <w:r w:rsidRPr="002A7D34">
        <w:rPr>
          <w:rStyle w:val="relative"/>
          <w:sz w:val="20"/>
          <w:szCs w:val="20"/>
        </w:rPr>
        <w:t>, enabling greater participation in urban planning and climate resilience strategies.</w:t>
      </w:r>
    </w:p>
    <w:p w14:paraId="77DA72D6" w14:textId="4E079526" w:rsidR="002A7D34" w:rsidRPr="002A7D34" w:rsidRDefault="002A7D34" w:rsidP="002A7D34">
      <w:pPr>
        <w:pStyle w:val="NormalWeb"/>
        <w:spacing w:before="0" w:beforeAutospacing="0" w:after="0" w:afterAutospacing="0" w:line="360" w:lineRule="auto"/>
        <w:jc w:val="both"/>
        <w:rPr>
          <w:sz w:val="20"/>
          <w:szCs w:val="20"/>
        </w:rPr>
      </w:pPr>
      <w:r w:rsidRPr="002A7D34">
        <w:rPr>
          <w:rStyle w:val="relative"/>
          <w:sz w:val="20"/>
          <w:szCs w:val="20"/>
        </w:rPr>
        <w:t>Inclusion of these elements strengthens the case for funding and ensures the framework advances both climate justice and equitable urban transformation.</w:t>
      </w:r>
      <w:r>
        <w:rPr>
          <w:rStyle w:val="relative"/>
          <w:sz w:val="20"/>
          <w:szCs w:val="20"/>
        </w:rPr>
        <w:t xml:space="preserve"> </w:t>
      </w:r>
    </w:p>
    <w:p w14:paraId="4D425F97" w14:textId="77777777" w:rsidR="00526E8D" w:rsidRPr="002A7D34" w:rsidRDefault="00526E8D" w:rsidP="002A7D34">
      <w:pPr>
        <w:spacing w:after="0" w:line="360" w:lineRule="auto"/>
        <w:jc w:val="both"/>
        <w:rPr>
          <w:rFonts w:ascii="Times New Roman" w:eastAsia="Times New Roman" w:hAnsi="Times New Roman" w:cs="Times New Roman"/>
          <w:sz w:val="20"/>
          <w:szCs w:val="20"/>
        </w:rPr>
      </w:pPr>
    </w:p>
    <w:p w14:paraId="529E14C8" w14:textId="07D0DA53" w:rsidR="007F016E" w:rsidRPr="002A7D34" w:rsidRDefault="00296565" w:rsidP="002A7D34">
      <w:pPr>
        <w:spacing w:after="0" w:line="360" w:lineRule="auto"/>
        <w:jc w:val="both"/>
        <w:rPr>
          <w:rFonts w:ascii="Times New Roman" w:hAnsi="Times New Roman" w:cs="Times New Roman"/>
          <w:b/>
          <w:bCs/>
          <w:sz w:val="20"/>
          <w:szCs w:val="20"/>
        </w:rPr>
      </w:pPr>
      <w:r w:rsidRPr="002A7D34">
        <w:rPr>
          <w:rFonts w:ascii="Times New Roman" w:hAnsi="Times New Roman" w:cs="Times New Roman"/>
          <w:b/>
          <w:bCs/>
          <w:sz w:val="20"/>
          <w:szCs w:val="20"/>
        </w:rPr>
        <w:t>SUSTAINABILITY ASSESSMENT AND SDG MAPPING</w:t>
      </w:r>
    </w:p>
    <w:p w14:paraId="7023D484" w14:textId="444F9DAB" w:rsidR="004D777F" w:rsidRDefault="00EF00EF" w:rsidP="002A7D34">
      <w:pPr>
        <w:spacing w:after="0" w:line="360" w:lineRule="auto"/>
        <w:jc w:val="both"/>
        <w:rPr>
          <w:rFonts w:ascii="Times New Roman" w:hAnsi="Times New Roman" w:cs="Times New Roman"/>
          <w:sz w:val="20"/>
          <w:szCs w:val="20"/>
        </w:rPr>
      </w:pPr>
      <w:r w:rsidRPr="002A7D34">
        <w:rPr>
          <w:rFonts w:ascii="Times New Roman" w:hAnsi="Times New Roman" w:cs="Times New Roman"/>
          <w:sz w:val="20"/>
          <w:szCs w:val="20"/>
        </w:rPr>
        <w:t>The AI</w:t>
      </w:r>
      <w:r w:rsidR="00383640">
        <w:rPr>
          <w:rFonts w:ascii="Times New Roman" w:hAnsi="Times New Roman" w:cs="Times New Roman"/>
          <w:sz w:val="20"/>
          <w:szCs w:val="20"/>
        </w:rPr>
        <w:t>-</w:t>
      </w:r>
      <w:r w:rsidRPr="002A7D34">
        <w:rPr>
          <w:rFonts w:ascii="Times New Roman" w:hAnsi="Times New Roman" w:cs="Times New Roman"/>
          <w:sz w:val="20"/>
          <w:szCs w:val="20"/>
        </w:rPr>
        <w:t>CIR</w:t>
      </w:r>
      <w:r w:rsidR="00383640">
        <w:rPr>
          <w:rFonts w:ascii="Times New Roman" w:hAnsi="Times New Roman" w:cs="Times New Roman"/>
          <w:sz w:val="20"/>
          <w:szCs w:val="20"/>
        </w:rPr>
        <w:t>-</w:t>
      </w:r>
      <w:proofErr w:type="spellStart"/>
      <w:r w:rsidRPr="00435993">
        <w:rPr>
          <w:rFonts w:ascii="Times New Roman" w:hAnsi="Times New Roman" w:cs="Times New Roman"/>
          <w:sz w:val="20"/>
          <w:szCs w:val="20"/>
        </w:rPr>
        <w:t>WtE</w:t>
      </w:r>
      <w:proofErr w:type="spellEnd"/>
      <w:r w:rsidRPr="00435993">
        <w:rPr>
          <w:rFonts w:ascii="Times New Roman" w:hAnsi="Times New Roman" w:cs="Times New Roman"/>
          <w:sz w:val="20"/>
          <w:szCs w:val="20"/>
        </w:rPr>
        <w:t xml:space="preserve"> framework</w:t>
      </w:r>
      <w:r w:rsidRPr="00556652">
        <w:rPr>
          <w:rFonts w:ascii="Times New Roman" w:hAnsi="Times New Roman" w:cs="Times New Roman"/>
          <w:sz w:val="20"/>
          <w:szCs w:val="20"/>
        </w:rPr>
        <w:t xml:space="preserve"> integrates</w:t>
      </w:r>
      <w:r w:rsidRPr="00EF00EF">
        <w:rPr>
          <w:rFonts w:ascii="Times New Roman" w:hAnsi="Times New Roman" w:cs="Times New Roman"/>
          <w:sz w:val="20"/>
          <w:szCs w:val="20"/>
        </w:rPr>
        <w:t xml:space="preserve"> artificial intelligence, circular economy concepts, and climate resilience into a single, adaptable infrastructure, </w:t>
      </w:r>
      <w:r w:rsidR="009E17DD">
        <w:rPr>
          <w:rFonts w:ascii="Times New Roman" w:hAnsi="Times New Roman" w:cs="Times New Roman"/>
          <w:sz w:val="20"/>
          <w:szCs w:val="20"/>
        </w:rPr>
        <w:t>thus</w:t>
      </w:r>
      <w:r w:rsidRPr="00EF00EF">
        <w:rPr>
          <w:rFonts w:ascii="Times New Roman" w:hAnsi="Times New Roman" w:cs="Times New Roman"/>
          <w:sz w:val="20"/>
          <w:szCs w:val="20"/>
        </w:rPr>
        <w:t xml:space="preserve"> representing a systems-level intervention that goes beyond conventional waste management. Linking observable performance results to the widely embraced Sustainable Development Goals (SDGs) of the UN provides the most comprehensive understanding of its sustainability impact. In this section, the framework's primary contributions are mapped to certain SDG targets, and the wider socio-environmental co-benefits that result from its use are examined.</w:t>
      </w:r>
    </w:p>
    <w:p w14:paraId="1A70E7DC" w14:textId="540D096C" w:rsidR="00EF00EF" w:rsidRPr="0087248D" w:rsidRDefault="00D82961" w:rsidP="008B1028">
      <w:pPr>
        <w:pStyle w:val="ListParagraph"/>
        <w:numPr>
          <w:ilvl w:val="0"/>
          <w:numId w:val="42"/>
        </w:numPr>
        <w:spacing w:after="0" w:line="360" w:lineRule="auto"/>
        <w:jc w:val="both"/>
        <w:rPr>
          <w:rFonts w:ascii="Times New Roman" w:hAnsi="Times New Roman" w:cs="Times New Roman"/>
          <w:b/>
          <w:bCs/>
          <w:sz w:val="20"/>
          <w:szCs w:val="20"/>
        </w:rPr>
      </w:pPr>
      <w:r w:rsidRPr="0087248D">
        <w:rPr>
          <w:rFonts w:ascii="Times New Roman" w:hAnsi="Times New Roman" w:cs="Times New Roman"/>
          <w:b/>
          <w:bCs/>
          <w:sz w:val="20"/>
          <w:szCs w:val="20"/>
        </w:rPr>
        <w:t>Alignment with Specific SDG Targets:</w:t>
      </w:r>
    </w:p>
    <w:p w14:paraId="52229ACC" w14:textId="035215BE" w:rsidR="00D82961" w:rsidRPr="0087248D" w:rsidRDefault="00502D8F" w:rsidP="008B1028">
      <w:pPr>
        <w:pStyle w:val="ListParagraph"/>
        <w:numPr>
          <w:ilvl w:val="0"/>
          <w:numId w:val="43"/>
        </w:numPr>
        <w:spacing w:after="0" w:line="360" w:lineRule="auto"/>
        <w:jc w:val="both"/>
        <w:rPr>
          <w:rFonts w:ascii="Times New Roman" w:hAnsi="Times New Roman" w:cs="Times New Roman"/>
          <w:b/>
          <w:bCs/>
          <w:sz w:val="20"/>
          <w:szCs w:val="20"/>
        </w:rPr>
      </w:pPr>
      <w:r w:rsidRPr="0087248D">
        <w:rPr>
          <w:rFonts w:ascii="Times New Roman" w:hAnsi="Times New Roman" w:cs="Times New Roman"/>
          <w:b/>
          <w:bCs/>
          <w:sz w:val="20"/>
          <w:szCs w:val="20"/>
        </w:rPr>
        <w:t>SDG 6.3: Improve Water Quality by Reducing Pollution</w:t>
      </w:r>
    </w:p>
    <w:p w14:paraId="7C7F7833" w14:textId="27975ED5" w:rsidR="004D777F" w:rsidRDefault="00781AD0" w:rsidP="00D1522F">
      <w:pPr>
        <w:spacing w:after="0" w:line="360" w:lineRule="auto"/>
        <w:jc w:val="both"/>
        <w:rPr>
          <w:rFonts w:ascii="Times New Roman" w:hAnsi="Times New Roman" w:cs="Times New Roman"/>
          <w:sz w:val="20"/>
          <w:szCs w:val="20"/>
        </w:rPr>
      </w:pPr>
      <w:r w:rsidRPr="00781AD0">
        <w:rPr>
          <w:rFonts w:ascii="Times New Roman" w:hAnsi="Times New Roman" w:cs="Times New Roman"/>
          <w:sz w:val="20"/>
          <w:szCs w:val="20"/>
        </w:rPr>
        <w:t>Target 6.3 aims to improve water quality by reducing pollution, eliminating dumping, and minimizing the release of hazardous materials into water bodies. The AI</w:t>
      </w:r>
      <w:r w:rsidR="00383640">
        <w:rPr>
          <w:rFonts w:ascii="Times New Roman" w:hAnsi="Times New Roman" w:cs="Times New Roman"/>
          <w:sz w:val="20"/>
          <w:szCs w:val="20"/>
        </w:rPr>
        <w:t>-</w:t>
      </w:r>
      <w:r w:rsidRPr="00781AD0">
        <w:rPr>
          <w:rFonts w:ascii="Times New Roman" w:hAnsi="Times New Roman" w:cs="Times New Roman"/>
          <w:sz w:val="20"/>
          <w:szCs w:val="20"/>
        </w:rPr>
        <w:t>CIR</w:t>
      </w:r>
      <w:r w:rsidR="00383640">
        <w:rPr>
          <w:rFonts w:ascii="Times New Roman" w:hAnsi="Times New Roman" w:cs="Times New Roman"/>
          <w:sz w:val="20"/>
          <w:szCs w:val="20"/>
        </w:rPr>
        <w:t>-</w:t>
      </w:r>
      <w:proofErr w:type="spellStart"/>
      <w:r w:rsidRPr="00781AD0">
        <w:rPr>
          <w:rFonts w:ascii="Times New Roman" w:hAnsi="Times New Roman" w:cs="Times New Roman"/>
          <w:sz w:val="20"/>
          <w:szCs w:val="20"/>
        </w:rPr>
        <w:t>WtE</w:t>
      </w:r>
      <w:proofErr w:type="spellEnd"/>
      <w:r w:rsidRPr="00781AD0">
        <w:rPr>
          <w:rFonts w:ascii="Times New Roman" w:hAnsi="Times New Roman" w:cs="Times New Roman"/>
          <w:sz w:val="20"/>
          <w:szCs w:val="20"/>
        </w:rPr>
        <w:t xml:space="preserve"> system contributes to this goal by minimizing landfill use and promoting decentralized waste treatment through anaerobic digestion and pyrolysis, which dramatically reduce leachate generation</w:t>
      </w:r>
      <w:r>
        <w:rPr>
          <w:rFonts w:ascii="Times New Roman" w:hAnsi="Times New Roman" w:cs="Times New Roman"/>
          <w:sz w:val="20"/>
          <w:szCs w:val="20"/>
        </w:rPr>
        <w:t xml:space="preserve">, </w:t>
      </w:r>
      <w:r w:rsidRPr="00781AD0">
        <w:rPr>
          <w:rFonts w:ascii="Times New Roman" w:hAnsi="Times New Roman" w:cs="Times New Roman"/>
          <w:sz w:val="20"/>
          <w:szCs w:val="20"/>
        </w:rPr>
        <w:t>a primary cause of groundwater and surface water contamination in urban settings. Additionally, smart routing and collection algorithms prevent waste buildup in drainage channels, especially during monsoon seasons, thereby mitigating urban waterlogging and reducing pathogen exposure in floodwaters.</w:t>
      </w:r>
    </w:p>
    <w:p w14:paraId="5589EBFF" w14:textId="00BE1AC7" w:rsidR="00781AD0" w:rsidRPr="0087248D" w:rsidRDefault="007758AE" w:rsidP="00D1522F">
      <w:pPr>
        <w:pStyle w:val="ListParagraph"/>
        <w:numPr>
          <w:ilvl w:val="0"/>
          <w:numId w:val="43"/>
        </w:numPr>
        <w:spacing w:after="0" w:line="360" w:lineRule="auto"/>
        <w:jc w:val="both"/>
        <w:rPr>
          <w:rFonts w:ascii="Times New Roman" w:hAnsi="Times New Roman" w:cs="Times New Roman"/>
          <w:b/>
          <w:bCs/>
          <w:sz w:val="20"/>
          <w:szCs w:val="20"/>
        </w:rPr>
      </w:pPr>
      <w:r w:rsidRPr="0087248D">
        <w:rPr>
          <w:rFonts w:ascii="Times New Roman" w:hAnsi="Times New Roman" w:cs="Times New Roman"/>
          <w:b/>
          <w:bCs/>
          <w:sz w:val="20"/>
          <w:szCs w:val="20"/>
        </w:rPr>
        <w:t>SDG 7.2: Increase the Share of Renewable Energy</w:t>
      </w:r>
    </w:p>
    <w:p w14:paraId="1815E2A4" w14:textId="6E6ECD02" w:rsidR="007758AE" w:rsidRPr="00D1522F" w:rsidRDefault="0034461E" w:rsidP="00D1522F">
      <w:pPr>
        <w:spacing w:after="0" w:line="360" w:lineRule="auto"/>
        <w:jc w:val="both"/>
        <w:rPr>
          <w:rFonts w:ascii="Times New Roman" w:eastAsia="Times New Roman" w:hAnsi="Times New Roman" w:cs="Times New Roman"/>
          <w:sz w:val="24"/>
          <w:szCs w:val="24"/>
        </w:rPr>
      </w:pPr>
      <w:r w:rsidRPr="0034461E">
        <w:rPr>
          <w:rFonts w:ascii="Times New Roman" w:hAnsi="Times New Roman" w:cs="Times New Roman"/>
          <w:sz w:val="20"/>
          <w:szCs w:val="20"/>
        </w:rPr>
        <w:t>A significant rise in the proportion of renewable energy in the world's energy mix is required by Target 7.2. This goal is directly supported by the energy valorization pathways described in the AI</w:t>
      </w:r>
      <w:r w:rsidR="00383640">
        <w:rPr>
          <w:rFonts w:ascii="Times New Roman" w:hAnsi="Times New Roman" w:cs="Times New Roman"/>
          <w:sz w:val="20"/>
          <w:szCs w:val="20"/>
        </w:rPr>
        <w:t>-</w:t>
      </w:r>
      <w:r w:rsidRPr="0034461E">
        <w:rPr>
          <w:rFonts w:ascii="Times New Roman" w:hAnsi="Times New Roman" w:cs="Times New Roman"/>
          <w:sz w:val="20"/>
          <w:szCs w:val="20"/>
        </w:rPr>
        <w:t>CIR</w:t>
      </w:r>
      <w:r w:rsidR="00383640">
        <w:rPr>
          <w:rFonts w:ascii="Times New Roman" w:hAnsi="Times New Roman" w:cs="Times New Roman"/>
          <w:sz w:val="20"/>
          <w:szCs w:val="20"/>
        </w:rPr>
        <w:t>-</w:t>
      </w:r>
      <w:proofErr w:type="spellStart"/>
      <w:r w:rsidRPr="0034461E">
        <w:rPr>
          <w:rFonts w:ascii="Times New Roman" w:hAnsi="Times New Roman" w:cs="Times New Roman"/>
          <w:sz w:val="20"/>
          <w:szCs w:val="20"/>
        </w:rPr>
        <w:t>WtE</w:t>
      </w:r>
      <w:proofErr w:type="spellEnd"/>
      <w:r w:rsidRPr="0034461E">
        <w:rPr>
          <w:rFonts w:ascii="Times New Roman" w:hAnsi="Times New Roman" w:cs="Times New Roman"/>
          <w:sz w:val="20"/>
          <w:szCs w:val="20"/>
        </w:rPr>
        <w:t xml:space="preserve"> system, which transform combustible and biodegradable trash into syngas and bioenergy, which replace fossil fuel-based energy in urban grids. According to simulation results, the system can reliably provide 9.9 MW of clean energy per day, which is enough to power low-income communities or public infrastructure. This would lessen reliance on fossil fuels and improve urban energy </w:t>
      </w:r>
      <w:r w:rsidRPr="00D1522F">
        <w:rPr>
          <w:rFonts w:ascii="Times New Roman" w:hAnsi="Times New Roman" w:cs="Times New Roman"/>
          <w:sz w:val="20"/>
          <w:szCs w:val="20"/>
        </w:rPr>
        <w:t>resilience</w:t>
      </w:r>
      <w:r w:rsidR="00D1522F" w:rsidRPr="00D1522F">
        <w:rPr>
          <w:rFonts w:ascii="Times New Roman" w:hAnsi="Times New Roman" w:cs="Times New Roman"/>
          <w:sz w:val="20"/>
          <w:szCs w:val="20"/>
        </w:rPr>
        <w:t xml:space="preserve"> </w:t>
      </w:r>
      <w:r w:rsidR="00D1522F" w:rsidRPr="00D1522F">
        <w:rPr>
          <w:rFonts w:ascii="Times New Roman" w:eastAsia="Times New Roman" w:hAnsi="Times New Roman" w:cs="Times New Roman"/>
          <w:sz w:val="20"/>
          <w:szCs w:val="20"/>
        </w:rPr>
        <w:t>(SDG 7.2 - Renewable Energy, n.d.)</w:t>
      </w:r>
      <w:r w:rsidRPr="00D1522F">
        <w:rPr>
          <w:rFonts w:ascii="Times New Roman" w:hAnsi="Times New Roman" w:cs="Times New Roman"/>
          <w:sz w:val="20"/>
          <w:szCs w:val="20"/>
        </w:rPr>
        <w:t>.</w:t>
      </w:r>
    </w:p>
    <w:p w14:paraId="6C3BB804" w14:textId="4E082CD8" w:rsidR="0034461E" w:rsidRPr="0087248D" w:rsidRDefault="0034461E" w:rsidP="00D1522F">
      <w:pPr>
        <w:pStyle w:val="ListParagraph"/>
        <w:numPr>
          <w:ilvl w:val="0"/>
          <w:numId w:val="43"/>
        </w:numPr>
        <w:spacing w:after="0" w:line="360" w:lineRule="auto"/>
        <w:jc w:val="both"/>
        <w:rPr>
          <w:rFonts w:ascii="Times New Roman" w:hAnsi="Times New Roman" w:cs="Times New Roman"/>
          <w:b/>
          <w:bCs/>
          <w:sz w:val="20"/>
          <w:szCs w:val="20"/>
        </w:rPr>
      </w:pPr>
      <w:r w:rsidRPr="0087248D">
        <w:rPr>
          <w:rFonts w:ascii="Times New Roman" w:hAnsi="Times New Roman" w:cs="Times New Roman"/>
          <w:b/>
          <w:bCs/>
          <w:sz w:val="20"/>
          <w:szCs w:val="20"/>
        </w:rPr>
        <w:t>SDG 11.6: Reduce the Environmental Impact of Cities</w:t>
      </w:r>
    </w:p>
    <w:p w14:paraId="2AAD3B5A" w14:textId="075625E2" w:rsidR="0034461E" w:rsidRPr="00742720" w:rsidRDefault="008F3036" w:rsidP="00742720">
      <w:pPr>
        <w:spacing w:after="0" w:line="360" w:lineRule="auto"/>
        <w:jc w:val="both"/>
        <w:rPr>
          <w:rFonts w:ascii="Times New Roman" w:hAnsi="Times New Roman" w:cs="Times New Roman"/>
          <w:sz w:val="20"/>
          <w:szCs w:val="20"/>
        </w:rPr>
      </w:pPr>
      <w:r w:rsidRPr="008F3036">
        <w:rPr>
          <w:rFonts w:ascii="Times New Roman" w:hAnsi="Times New Roman" w:cs="Times New Roman"/>
          <w:sz w:val="20"/>
          <w:szCs w:val="20"/>
        </w:rPr>
        <w:t>This goal tackles the negative environmental effects of cities per capita, such as waste management and air pollution. This goal is advanced on several levels via the AI</w:t>
      </w:r>
      <w:r w:rsidR="00383640">
        <w:rPr>
          <w:rFonts w:ascii="Times New Roman" w:hAnsi="Times New Roman" w:cs="Times New Roman"/>
          <w:sz w:val="20"/>
          <w:szCs w:val="20"/>
        </w:rPr>
        <w:t>-</w:t>
      </w:r>
      <w:r w:rsidRPr="008F3036">
        <w:rPr>
          <w:rFonts w:ascii="Times New Roman" w:hAnsi="Times New Roman" w:cs="Times New Roman"/>
          <w:sz w:val="20"/>
          <w:szCs w:val="20"/>
        </w:rPr>
        <w:t>CIR</w:t>
      </w:r>
      <w:r w:rsidR="00383640">
        <w:rPr>
          <w:rFonts w:ascii="Times New Roman" w:hAnsi="Times New Roman" w:cs="Times New Roman"/>
          <w:sz w:val="20"/>
          <w:szCs w:val="20"/>
        </w:rPr>
        <w:t>-</w:t>
      </w:r>
      <w:proofErr w:type="spellStart"/>
      <w:r w:rsidRPr="008F3036">
        <w:rPr>
          <w:rFonts w:ascii="Times New Roman" w:hAnsi="Times New Roman" w:cs="Times New Roman"/>
          <w:sz w:val="20"/>
          <w:szCs w:val="20"/>
        </w:rPr>
        <w:t>WtE</w:t>
      </w:r>
      <w:proofErr w:type="spellEnd"/>
      <w:r w:rsidRPr="008F3036">
        <w:rPr>
          <w:rFonts w:ascii="Times New Roman" w:hAnsi="Times New Roman" w:cs="Times New Roman"/>
          <w:sz w:val="20"/>
          <w:szCs w:val="20"/>
        </w:rPr>
        <w:t xml:space="preserve"> system. It optimizes waste logistics to minimize fuel consumption and airborne pollutants, enhances the circularity index of waste flows to 0.71, and lowers per capita </w:t>
      </w:r>
      <w:r w:rsidRPr="00742720">
        <w:rPr>
          <w:rFonts w:ascii="Times New Roman" w:hAnsi="Times New Roman" w:cs="Times New Roman"/>
          <w:sz w:val="20"/>
          <w:szCs w:val="20"/>
        </w:rPr>
        <w:t>emissions by more than 36%. These enhancements support public health and general livability in addition to the quality of the urban environment</w:t>
      </w:r>
      <w:r w:rsidR="008879CB" w:rsidRPr="00742720">
        <w:rPr>
          <w:rFonts w:ascii="Times New Roman" w:hAnsi="Times New Roman" w:cs="Times New Roman"/>
          <w:sz w:val="20"/>
          <w:szCs w:val="20"/>
        </w:rPr>
        <w:t xml:space="preserve"> </w:t>
      </w:r>
      <w:r w:rsidR="008879CB" w:rsidRPr="00742720">
        <w:rPr>
          <w:rStyle w:val="muitypography-root"/>
          <w:rFonts w:ascii="Times New Roman" w:hAnsi="Times New Roman" w:cs="Times New Roman"/>
          <w:sz w:val="20"/>
          <w:szCs w:val="20"/>
        </w:rPr>
        <w:t>(SDG 11.6: Reduce the Environmental Impact of Cities. ICCROM. Our Collections Matter, n.d.)</w:t>
      </w:r>
      <w:r w:rsidRPr="00742720">
        <w:rPr>
          <w:rFonts w:ascii="Times New Roman" w:hAnsi="Times New Roman" w:cs="Times New Roman"/>
          <w:sz w:val="20"/>
          <w:szCs w:val="20"/>
        </w:rPr>
        <w:t>.</w:t>
      </w:r>
    </w:p>
    <w:p w14:paraId="5BD0A67F" w14:textId="52B108CD" w:rsidR="008F3036" w:rsidRPr="00742720" w:rsidRDefault="008F3036" w:rsidP="00742720">
      <w:pPr>
        <w:pStyle w:val="ListParagraph"/>
        <w:numPr>
          <w:ilvl w:val="0"/>
          <w:numId w:val="43"/>
        </w:numPr>
        <w:spacing w:after="0" w:line="360" w:lineRule="auto"/>
        <w:jc w:val="both"/>
        <w:rPr>
          <w:rFonts w:ascii="Times New Roman" w:hAnsi="Times New Roman" w:cs="Times New Roman"/>
          <w:b/>
          <w:bCs/>
          <w:sz w:val="20"/>
          <w:szCs w:val="20"/>
        </w:rPr>
      </w:pPr>
      <w:r w:rsidRPr="00742720">
        <w:rPr>
          <w:rFonts w:ascii="Times New Roman" w:hAnsi="Times New Roman" w:cs="Times New Roman"/>
          <w:b/>
          <w:bCs/>
          <w:sz w:val="20"/>
          <w:szCs w:val="20"/>
        </w:rPr>
        <w:t>SDG 12.5: Substantially Reduce Waste Generation through Prevention, Reduction, Recycling, and Reuse</w:t>
      </w:r>
    </w:p>
    <w:p w14:paraId="653D88A6" w14:textId="786670AB" w:rsidR="004D777F" w:rsidRPr="000F700C" w:rsidRDefault="008F3036" w:rsidP="000F700C">
      <w:pPr>
        <w:spacing w:after="0" w:line="360" w:lineRule="auto"/>
        <w:jc w:val="both"/>
        <w:rPr>
          <w:rFonts w:ascii="Times New Roman" w:eastAsia="Times New Roman" w:hAnsi="Times New Roman" w:cs="Times New Roman"/>
          <w:sz w:val="20"/>
          <w:szCs w:val="20"/>
        </w:rPr>
      </w:pPr>
      <w:r w:rsidRPr="00742720">
        <w:rPr>
          <w:rFonts w:ascii="Times New Roman" w:hAnsi="Times New Roman" w:cs="Times New Roman"/>
          <w:sz w:val="20"/>
          <w:szCs w:val="20"/>
        </w:rPr>
        <w:t xml:space="preserve">A key component of the shift to a circular economy is Target 12.5. This is supported by the suggested system, which allows for real-time stream segregation and trash categorization, greatly boosting recycling recovery rates by as much </w:t>
      </w:r>
      <w:r w:rsidRPr="00742720">
        <w:rPr>
          <w:rFonts w:ascii="Times New Roman" w:hAnsi="Times New Roman" w:cs="Times New Roman"/>
          <w:sz w:val="20"/>
          <w:szCs w:val="20"/>
        </w:rPr>
        <w:lastRenderedPageBreak/>
        <w:t>as 48%. The AI engine takes a comprehensive approach to trash reduction by dynamically giving recycling, composting, and energy recovery precedence over dumping or incineration. Additionally, its calculation of the circularity index, which is in line with the EU Circular Economy Monitoring Frameworks, gives policymakers data-</w:t>
      </w:r>
      <w:r w:rsidRPr="000F700C">
        <w:rPr>
          <w:rFonts w:ascii="Times New Roman" w:hAnsi="Times New Roman" w:cs="Times New Roman"/>
          <w:sz w:val="20"/>
          <w:szCs w:val="20"/>
        </w:rPr>
        <w:t>driven insights for establishing and tracking waste reduction targets</w:t>
      </w:r>
      <w:r w:rsidR="00742720" w:rsidRPr="000F700C">
        <w:rPr>
          <w:rFonts w:ascii="Times New Roman" w:hAnsi="Times New Roman" w:cs="Times New Roman"/>
          <w:sz w:val="20"/>
          <w:szCs w:val="20"/>
        </w:rPr>
        <w:t xml:space="preserve"> </w:t>
      </w:r>
      <w:r w:rsidR="00742720" w:rsidRPr="000F700C">
        <w:rPr>
          <w:rFonts w:ascii="Times New Roman" w:eastAsia="Times New Roman" w:hAnsi="Times New Roman" w:cs="Times New Roman"/>
          <w:sz w:val="20"/>
          <w:szCs w:val="20"/>
        </w:rPr>
        <w:t>(12.5 Substantially Reduce Waste Generation Through Prevention, Reduction, Recycling and Reuse. SDG, n.d.)</w:t>
      </w:r>
      <w:r w:rsidRPr="000F700C">
        <w:rPr>
          <w:rFonts w:ascii="Times New Roman" w:hAnsi="Times New Roman" w:cs="Times New Roman"/>
          <w:sz w:val="20"/>
          <w:szCs w:val="20"/>
        </w:rPr>
        <w:t>.</w:t>
      </w:r>
    </w:p>
    <w:p w14:paraId="34551D46" w14:textId="34BD5095" w:rsidR="008F3036" w:rsidRPr="000F700C" w:rsidRDefault="0070255B" w:rsidP="000F700C">
      <w:pPr>
        <w:pStyle w:val="ListParagraph"/>
        <w:numPr>
          <w:ilvl w:val="0"/>
          <w:numId w:val="43"/>
        </w:numPr>
        <w:spacing w:after="0" w:line="360" w:lineRule="auto"/>
        <w:jc w:val="both"/>
        <w:rPr>
          <w:rFonts w:ascii="Times New Roman" w:hAnsi="Times New Roman" w:cs="Times New Roman"/>
          <w:b/>
          <w:bCs/>
          <w:sz w:val="20"/>
          <w:szCs w:val="20"/>
        </w:rPr>
      </w:pPr>
      <w:r w:rsidRPr="000F700C">
        <w:rPr>
          <w:rFonts w:ascii="Times New Roman" w:hAnsi="Times New Roman" w:cs="Times New Roman"/>
          <w:b/>
          <w:bCs/>
          <w:sz w:val="20"/>
          <w:szCs w:val="20"/>
        </w:rPr>
        <w:t>SDG 13.1: Strengthen Resilience and Adaptive Capacity to Climate-Related Hazards</w:t>
      </w:r>
    </w:p>
    <w:p w14:paraId="73E4D1B1" w14:textId="6E9A8B60" w:rsidR="008F555B" w:rsidRPr="000F700C" w:rsidRDefault="0070255B" w:rsidP="000F700C">
      <w:pPr>
        <w:spacing w:after="0" w:line="360" w:lineRule="auto"/>
        <w:jc w:val="both"/>
        <w:rPr>
          <w:rFonts w:ascii="Times New Roman" w:eastAsia="Times New Roman" w:hAnsi="Times New Roman" w:cs="Times New Roman"/>
          <w:sz w:val="20"/>
          <w:szCs w:val="20"/>
        </w:rPr>
      </w:pPr>
      <w:r w:rsidRPr="000F700C">
        <w:rPr>
          <w:rFonts w:ascii="Times New Roman" w:hAnsi="Times New Roman" w:cs="Times New Roman"/>
          <w:sz w:val="20"/>
          <w:szCs w:val="20"/>
        </w:rPr>
        <w:t>Climate resilience in the face of natural calamities is emphasized in SDG 13.1. By incorporating regional climate projections (such as flood hazards and heatwaves) into its operational logic, the AI</w:t>
      </w:r>
      <w:r w:rsidR="00383640" w:rsidRPr="000F700C">
        <w:rPr>
          <w:rFonts w:ascii="Times New Roman" w:hAnsi="Times New Roman" w:cs="Times New Roman"/>
          <w:sz w:val="20"/>
          <w:szCs w:val="20"/>
        </w:rPr>
        <w:t>-</w:t>
      </w:r>
      <w:r w:rsidRPr="000F700C">
        <w:rPr>
          <w:rFonts w:ascii="Times New Roman" w:hAnsi="Times New Roman" w:cs="Times New Roman"/>
          <w:sz w:val="20"/>
          <w:szCs w:val="20"/>
        </w:rPr>
        <w:t>CIR</w:t>
      </w:r>
      <w:r w:rsidR="00383640" w:rsidRPr="000F700C">
        <w:rPr>
          <w:rFonts w:ascii="Times New Roman" w:hAnsi="Times New Roman" w:cs="Times New Roman"/>
          <w:sz w:val="20"/>
          <w:szCs w:val="20"/>
        </w:rPr>
        <w:t>-</w:t>
      </w:r>
      <w:proofErr w:type="spellStart"/>
      <w:r w:rsidRPr="000F700C">
        <w:rPr>
          <w:rFonts w:ascii="Times New Roman" w:hAnsi="Times New Roman" w:cs="Times New Roman"/>
          <w:sz w:val="20"/>
          <w:szCs w:val="20"/>
        </w:rPr>
        <w:t>WtE</w:t>
      </w:r>
      <w:proofErr w:type="spellEnd"/>
      <w:r w:rsidRPr="000F700C">
        <w:rPr>
          <w:rFonts w:ascii="Times New Roman" w:hAnsi="Times New Roman" w:cs="Times New Roman"/>
          <w:sz w:val="20"/>
          <w:szCs w:val="20"/>
        </w:rPr>
        <w:t xml:space="preserve"> system incorporates adaptive capacity. During grid disruptions brought on by severe weather, the system can proactively redirect collection vehicles, transfer waste processing loads, and activate decentralized energy units. These characteristics directly support the goal of adaptive urban governance by drastically lowering emissions spikes, service interruptions, and infrastructure outages during climatic emergencies</w:t>
      </w:r>
      <w:r w:rsidR="000F700C" w:rsidRPr="000F700C">
        <w:rPr>
          <w:rFonts w:ascii="Times New Roman" w:hAnsi="Times New Roman" w:cs="Times New Roman"/>
          <w:sz w:val="20"/>
          <w:szCs w:val="20"/>
        </w:rPr>
        <w:t xml:space="preserve"> </w:t>
      </w:r>
      <w:r w:rsidR="000F700C" w:rsidRPr="000F700C">
        <w:rPr>
          <w:rFonts w:ascii="Times New Roman" w:eastAsia="Times New Roman" w:hAnsi="Times New Roman" w:cs="Times New Roman"/>
          <w:sz w:val="20"/>
          <w:szCs w:val="20"/>
        </w:rPr>
        <w:t>(SDG 13.1: Strengthen Resilience and Adaptive Capacity to Climate Related Disasters</w:t>
      </w:r>
      <w:r w:rsidR="000F700C">
        <w:rPr>
          <w:rFonts w:ascii="Times New Roman" w:eastAsia="Times New Roman" w:hAnsi="Times New Roman" w:cs="Times New Roman"/>
          <w:sz w:val="20"/>
          <w:szCs w:val="20"/>
        </w:rPr>
        <w:t>.</w:t>
      </w:r>
      <w:r w:rsidR="000F700C" w:rsidRPr="000F700C">
        <w:rPr>
          <w:rFonts w:ascii="Times New Roman" w:eastAsia="Times New Roman" w:hAnsi="Times New Roman" w:cs="Times New Roman"/>
          <w:sz w:val="20"/>
          <w:szCs w:val="20"/>
        </w:rPr>
        <w:t xml:space="preserve"> ICCROM</w:t>
      </w:r>
      <w:r w:rsidR="000F700C">
        <w:rPr>
          <w:rFonts w:ascii="Times New Roman" w:eastAsia="Times New Roman" w:hAnsi="Times New Roman" w:cs="Times New Roman"/>
          <w:sz w:val="20"/>
          <w:szCs w:val="20"/>
        </w:rPr>
        <w:t>.</w:t>
      </w:r>
      <w:r w:rsidR="000F700C" w:rsidRPr="000F700C">
        <w:rPr>
          <w:rFonts w:ascii="Times New Roman" w:eastAsia="Times New Roman" w:hAnsi="Times New Roman" w:cs="Times New Roman"/>
          <w:sz w:val="20"/>
          <w:szCs w:val="20"/>
        </w:rPr>
        <w:t xml:space="preserve"> Our Collections Matter, n.d.)</w:t>
      </w:r>
      <w:r w:rsidRPr="000F700C">
        <w:rPr>
          <w:rFonts w:ascii="Times New Roman" w:hAnsi="Times New Roman" w:cs="Times New Roman"/>
          <w:sz w:val="20"/>
          <w:szCs w:val="20"/>
        </w:rPr>
        <w:t>.</w:t>
      </w:r>
    </w:p>
    <w:p w14:paraId="0A170B4B" w14:textId="4B9F6120" w:rsidR="0070255B" w:rsidRPr="000F700C" w:rsidRDefault="007D7156" w:rsidP="000F700C">
      <w:pPr>
        <w:pStyle w:val="ListParagraph"/>
        <w:numPr>
          <w:ilvl w:val="0"/>
          <w:numId w:val="42"/>
        </w:numPr>
        <w:spacing w:after="0" w:line="360" w:lineRule="auto"/>
        <w:jc w:val="both"/>
        <w:rPr>
          <w:rFonts w:ascii="Times New Roman" w:hAnsi="Times New Roman" w:cs="Times New Roman"/>
          <w:b/>
          <w:bCs/>
          <w:sz w:val="20"/>
          <w:szCs w:val="20"/>
        </w:rPr>
      </w:pPr>
      <w:r w:rsidRPr="000F700C">
        <w:rPr>
          <w:rFonts w:ascii="Times New Roman" w:hAnsi="Times New Roman" w:cs="Times New Roman"/>
          <w:b/>
          <w:bCs/>
          <w:sz w:val="20"/>
          <w:szCs w:val="20"/>
        </w:rPr>
        <w:t>Co-Benefits Beyond SDG Metrics:</w:t>
      </w:r>
    </w:p>
    <w:p w14:paraId="6168133A" w14:textId="1B62BE4B" w:rsidR="007D7156" w:rsidRDefault="00EF7BD7" w:rsidP="000F700C">
      <w:pPr>
        <w:spacing w:after="0" w:line="360" w:lineRule="auto"/>
        <w:jc w:val="both"/>
        <w:rPr>
          <w:rFonts w:ascii="Times New Roman" w:hAnsi="Times New Roman" w:cs="Times New Roman"/>
          <w:sz w:val="20"/>
          <w:szCs w:val="20"/>
        </w:rPr>
      </w:pPr>
      <w:r w:rsidRPr="000F700C">
        <w:rPr>
          <w:rFonts w:ascii="Times New Roman" w:hAnsi="Times New Roman" w:cs="Times New Roman"/>
          <w:sz w:val="20"/>
          <w:szCs w:val="20"/>
        </w:rPr>
        <w:t>The AI</w:t>
      </w:r>
      <w:r w:rsidR="00113BD5">
        <w:rPr>
          <w:rFonts w:ascii="Times New Roman" w:hAnsi="Times New Roman" w:cs="Times New Roman"/>
          <w:sz w:val="20"/>
          <w:szCs w:val="20"/>
        </w:rPr>
        <w:t>-</w:t>
      </w:r>
      <w:r w:rsidRPr="000F700C">
        <w:rPr>
          <w:rFonts w:ascii="Times New Roman" w:hAnsi="Times New Roman" w:cs="Times New Roman"/>
          <w:sz w:val="20"/>
          <w:szCs w:val="20"/>
        </w:rPr>
        <w:t>CIR</w:t>
      </w:r>
      <w:r w:rsidR="00113BD5">
        <w:rPr>
          <w:rFonts w:ascii="Times New Roman" w:hAnsi="Times New Roman" w:cs="Times New Roman"/>
          <w:sz w:val="20"/>
          <w:szCs w:val="20"/>
        </w:rPr>
        <w:t>-</w:t>
      </w:r>
      <w:proofErr w:type="spellStart"/>
      <w:r w:rsidRPr="000F700C">
        <w:rPr>
          <w:rFonts w:ascii="Times New Roman" w:hAnsi="Times New Roman" w:cs="Times New Roman"/>
          <w:sz w:val="20"/>
          <w:szCs w:val="20"/>
        </w:rPr>
        <w:t>WtE</w:t>
      </w:r>
      <w:proofErr w:type="spellEnd"/>
      <w:r w:rsidRPr="000F700C">
        <w:rPr>
          <w:rFonts w:ascii="Times New Roman" w:hAnsi="Times New Roman" w:cs="Times New Roman"/>
          <w:sz w:val="20"/>
          <w:szCs w:val="20"/>
        </w:rPr>
        <w:t xml:space="preserve"> framework</w:t>
      </w:r>
      <w:r w:rsidRPr="00EF7BD7">
        <w:rPr>
          <w:rFonts w:ascii="Times New Roman" w:hAnsi="Times New Roman" w:cs="Times New Roman"/>
          <w:sz w:val="20"/>
          <w:szCs w:val="20"/>
        </w:rPr>
        <w:t xml:space="preserve"> offers a number of co-benefits that bolster its sustainability credentials and establish it as a transformative urban intervention, in addition to its direct connection with SDG targets.</w:t>
      </w:r>
    </w:p>
    <w:p w14:paraId="23A86B8B" w14:textId="2A3AAC7D" w:rsidR="00EF7BD7" w:rsidRPr="0087248D" w:rsidRDefault="00EF7BD7" w:rsidP="008B1028">
      <w:pPr>
        <w:pStyle w:val="ListParagraph"/>
        <w:numPr>
          <w:ilvl w:val="0"/>
          <w:numId w:val="43"/>
        </w:numPr>
        <w:spacing w:after="0" w:line="360" w:lineRule="auto"/>
        <w:jc w:val="both"/>
        <w:rPr>
          <w:rFonts w:ascii="Times New Roman" w:hAnsi="Times New Roman" w:cs="Times New Roman"/>
          <w:sz w:val="20"/>
          <w:szCs w:val="20"/>
        </w:rPr>
      </w:pPr>
      <w:r w:rsidRPr="0087248D">
        <w:rPr>
          <w:rFonts w:ascii="Times New Roman" w:hAnsi="Times New Roman" w:cs="Times New Roman"/>
          <w:b/>
          <w:bCs/>
          <w:sz w:val="20"/>
          <w:szCs w:val="20"/>
        </w:rPr>
        <w:t>Public Health Improvements:</w:t>
      </w:r>
      <w:r w:rsidR="0087248D" w:rsidRPr="0087248D">
        <w:rPr>
          <w:rFonts w:ascii="Times New Roman" w:hAnsi="Times New Roman" w:cs="Times New Roman"/>
          <w:b/>
          <w:bCs/>
          <w:sz w:val="20"/>
          <w:szCs w:val="20"/>
        </w:rPr>
        <w:t xml:space="preserve"> </w:t>
      </w:r>
      <w:r w:rsidR="007A1122" w:rsidRPr="0087248D">
        <w:rPr>
          <w:rFonts w:ascii="Times New Roman" w:hAnsi="Times New Roman" w:cs="Times New Roman"/>
          <w:sz w:val="20"/>
          <w:szCs w:val="20"/>
        </w:rPr>
        <w:t>Reduced dependence on incineration without filtration also lowers ambient concentrations of harmful emissions like dioxins and particulate matter, which contributes to better respiratory health outcomes for urban populations. Additionally, the framework reduces exposure to pathogens, airborne toxins, and vector-borne diseases by reducing waste accumulation in densely populated informal settlements and eliminating open dumping.</w:t>
      </w:r>
    </w:p>
    <w:p w14:paraId="524002FF" w14:textId="2981664B" w:rsidR="00055867" w:rsidRPr="0087248D" w:rsidRDefault="007A1122" w:rsidP="008B1028">
      <w:pPr>
        <w:pStyle w:val="ListParagraph"/>
        <w:numPr>
          <w:ilvl w:val="0"/>
          <w:numId w:val="43"/>
        </w:numPr>
        <w:spacing w:after="0" w:line="360" w:lineRule="auto"/>
        <w:jc w:val="both"/>
        <w:rPr>
          <w:rFonts w:ascii="Times New Roman" w:hAnsi="Times New Roman" w:cs="Times New Roman"/>
          <w:sz w:val="20"/>
          <w:szCs w:val="20"/>
        </w:rPr>
      </w:pPr>
      <w:r w:rsidRPr="0087248D">
        <w:rPr>
          <w:rFonts w:ascii="Times New Roman" w:hAnsi="Times New Roman" w:cs="Times New Roman"/>
          <w:b/>
          <w:bCs/>
          <w:sz w:val="20"/>
          <w:szCs w:val="20"/>
        </w:rPr>
        <w:t>Livelihood Creation and Informal Sector Inclusion:</w:t>
      </w:r>
      <w:r w:rsidR="0087248D" w:rsidRPr="0087248D">
        <w:rPr>
          <w:rFonts w:ascii="Times New Roman" w:hAnsi="Times New Roman" w:cs="Times New Roman"/>
          <w:b/>
          <w:bCs/>
          <w:sz w:val="20"/>
          <w:szCs w:val="20"/>
        </w:rPr>
        <w:t xml:space="preserve"> </w:t>
      </w:r>
      <w:r w:rsidR="008A4826" w:rsidRPr="0087248D">
        <w:rPr>
          <w:rFonts w:ascii="Times New Roman" w:hAnsi="Times New Roman" w:cs="Times New Roman"/>
          <w:sz w:val="20"/>
          <w:szCs w:val="20"/>
        </w:rPr>
        <w:t>Data administration, sensor maintenance, decentralized energy unit operation, and AI</w:t>
      </w:r>
      <w:r w:rsidR="00113BD5">
        <w:rPr>
          <w:rFonts w:ascii="Times New Roman" w:hAnsi="Times New Roman" w:cs="Times New Roman"/>
          <w:sz w:val="20"/>
          <w:szCs w:val="20"/>
        </w:rPr>
        <w:t>-</w:t>
      </w:r>
      <w:r w:rsidR="008A4826" w:rsidRPr="0087248D">
        <w:rPr>
          <w:rFonts w:ascii="Times New Roman" w:hAnsi="Times New Roman" w:cs="Times New Roman"/>
          <w:sz w:val="20"/>
          <w:szCs w:val="20"/>
        </w:rPr>
        <w:t>waste interface monitoring are among the new job opportunities brought about by the shift to AI-powered circularity systems. Informal garbage workers can be incorporated into this ecosystem through cooperatives or community partnerships with the right governance frameworks, improving social equality and lowering their susceptibility to automation-related job displacement.</w:t>
      </w:r>
    </w:p>
    <w:p w14:paraId="0C7B3D58" w14:textId="16966CFB" w:rsidR="006554E4" w:rsidRDefault="006554E4" w:rsidP="008B1028">
      <w:pPr>
        <w:pStyle w:val="ListParagraph"/>
        <w:numPr>
          <w:ilvl w:val="0"/>
          <w:numId w:val="43"/>
        </w:numPr>
        <w:spacing w:after="0" w:line="360" w:lineRule="auto"/>
        <w:jc w:val="both"/>
        <w:rPr>
          <w:rFonts w:ascii="Times New Roman" w:hAnsi="Times New Roman" w:cs="Times New Roman"/>
          <w:sz w:val="20"/>
          <w:szCs w:val="20"/>
        </w:rPr>
      </w:pPr>
      <w:r w:rsidRPr="0087248D">
        <w:rPr>
          <w:rFonts w:ascii="Times New Roman" w:hAnsi="Times New Roman" w:cs="Times New Roman"/>
          <w:b/>
          <w:bCs/>
          <w:sz w:val="20"/>
          <w:szCs w:val="20"/>
        </w:rPr>
        <w:t>Energy Equity and Urban Resilience:</w:t>
      </w:r>
      <w:r w:rsidR="0087248D" w:rsidRPr="0087248D">
        <w:rPr>
          <w:rFonts w:ascii="Times New Roman" w:hAnsi="Times New Roman" w:cs="Times New Roman"/>
          <w:b/>
          <w:bCs/>
          <w:sz w:val="20"/>
          <w:szCs w:val="20"/>
        </w:rPr>
        <w:t xml:space="preserve"> </w:t>
      </w:r>
      <w:r w:rsidRPr="0087248D">
        <w:rPr>
          <w:rFonts w:ascii="Times New Roman" w:hAnsi="Times New Roman" w:cs="Times New Roman"/>
          <w:sz w:val="20"/>
          <w:szCs w:val="20"/>
        </w:rPr>
        <w:t xml:space="preserve">Energy access is made possible by the decentralization of </w:t>
      </w:r>
      <w:r w:rsidR="0087248D">
        <w:rPr>
          <w:rFonts w:ascii="Times New Roman" w:hAnsi="Times New Roman" w:cs="Times New Roman"/>
          <w:sz w:val="20"/>
          <w:szCs w:val="20"/>
        </w:rPr>
        <w:t>waste-to-energy</w:t>
      </w:r>
      <w:r w:rsidRPr="0087248D">
        <w:rPr>
          <w:rFonts w:ascii="Times New Roman" w:hAnsi="Times New Roman" w:cs="Times New Roman"/>
          <w:sz w:val="20"/>
          <w:szCs w:val="20"/>
        </w:rPr>
        <w:t xml:space="preserve"> nodes in underserved and peri-urban areas, which are frequently left out of official energy distribution networks. The method promotes fair energy access by providing clean, localized power, especially in times of emergency when centralized systems are strained. In addition to promoting energy fairness, this strengthens the resilience of systems that rely on continuous electricity for communication, healthcare, and disaster response.</w:t>
      </w:r>
    </w:p>
    <w:p w14:paraId="5EC2B451" w14:textId="11D2E86A" w:rsidR="006554E4" w:rsidRPr="006554E4" w:rsidRDefault="006554E4" w:rsidP="006554E4">
      <w:pPr>
        <w:spacing w:after="0" w:line="360" w:lineRule="auto"/>
        <w:jc w:val="both"/>
        <w:rPr>
          <w:rFonts w:ascii="Times New Roman" w:hAnsi="Times New Roman" w:cs="Times New Roman"/>
          <w:b/>
          <w:bCs/>
          <w:sz w:val="20"/>
          <w:szCs w:val="20"/>
        </w:rPr>
      </w:pPr>
    </w:p>
    <w:p w14:paraId="632ADC2F" w14:textId="630D7467" w:rsidR="006554E4" w:rsidRDefault="006554E4" w:rsidP="006554E4">
      <w:pPr>
        <w:spacing w:after="0" w:line="360" w:lineRule="auto"/>
        <w:jc w:val="both"/>
        <w:rPr>
          <w:rFonts w:ascii="Times New Roman" w:hAnsi="Times New Roman" w:cs="Times New Roman"/>
          <w:sz w:val="20"/>
          <w:szCs w:val="20"/>
        </w:rPr>
      </w:pPr>
      <w:r w:rsidRPr="006554E4">
        <w:rPr>
          <w:rFonts w:ascii="Times New Roman" w:hAnsi="Times New Roman" w:cs="Times New Roman"/>
          <w:sz w:val="20"/>
          <w:szCs w:val="20"/>
        </w:rPr>
        <w:t>The AI</w:t>
      </w:r>
      <w:r w:rsidR="00113BD5">
        <w:rPr>
          <w:rFonts w:ascii="Times New Roman" w:hAnsi="Times New Roman" w:cs="Times New Roman"/>
          <w:sz w:val="20"/>
          <w:szCs w:val="20"/>
        </w:rPr>
        <w:t>-</w:t>
      </w:r>
      <w:r w:rsidRPr="006554E4">
        <w:rPr>
          <w:rFonts w:ascii="Times New Roman" w:hAnsi="Times New Roman" w:cs="Times New Roman"/>
          <w:sz w:val="20"/>
          <w:szCs w:val="20"/>
        </w:rPr>
        <w:t>CIR</w:t>
      </w:r>
      <w:r w:rsidR="00113BD5">
        <w:rPr>
          <w:rFonts w:ascii="Times New Roman" w:hAnsi="Times New Roman" w:cs="Times New Roman"/>
          <w:sz w:val="20"/>
          <w:szCs w:val="20"/>
        </w:rPr>
        <w:t>-</w:t>
      </w:r>
      <w:proofErr w:type="spellStart"/>
      <w:r w:rsidRPr="006554E4">
        <w:rPr>
          <w:rFonts w:ascii="Times New Roman" w:hAnsi="Times New Roman" w:cs="Times New Roman"/>
          <w:sz w:val="20"/>
          <w:szCs w:val="20"/>
        </w:rPr>
        <w:t>WtE</w:t>
      </w:r>
      <w:proofErr w:type="spellEnd"/>
      <w:r w:rsidRPr="006554E4">
        <w:rPr>
          <w:rFonts w:ascii="Times New Roman" w:hAnsi="Times New Roman" w:cs="Times New Roman"/>
          <w:sz w:val="20"/>
          <w:szCs w:val="20"/>
        </w:rPr>
        <w:t xml:space="preserve"> framework represents a high-impact, multi-benefit urban intervention that is intricately aligned with SDG targets 6.3, 7.2, 11.6, 12.5, and 13.1. By enabling real-time data analytics, intelligent resource recovery, and decentralized energy production, it advances the goals of environmental sustainability, public health, and climate resilience. Its capacity to generate co-benefits in livelihoods, governance, and equity further cements its relevance as a model for next-generation urban infrastructure planning in the Global South and beyond.</w:t>
      </w:r>
    </w:p>
    <w:p w14:paraId="5616CC7A" w14:textId="73745CCD" w:rsidR="0087248D" w:rsidRDefault="0087248D" w:rsidP="006554E4">
      <w:pPr>
        <w:spacing w:after="0" w:line="360" w:lineRule="auto"/>
        <w:jc w:val="both"/>
        <w:rPr>
          <w:rFonts w:ascii="Times New Roman" w:hAnsi="Times New Roman" w:cs="Times New Roman"/>
          <w:b/>
          <w:bCs/>
          <w:sz w:val="20"/>
          <w:szCs w:val="20"/>
        </w:rPr>
      </w:pPr>
    </w:p>
    <w:p w14:paraId="521919BC" w14:textId="6720C6FB" w:rsidR="00E41226" w:rsidRDefault="00E41226" w:rsidP="006554E4">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CARBON CREDIT COMPATIBILITY: INTEGRATION INTO VERRA AND GOLD STANDARD SCHEMES</w:t>
      </w:r>
    </w:p>
    <w:p w14:paraId="19756D26" w14:textId="5EA1EFE7" w:rsidR="00055867" w:rsidRDefault="00322FBF" w:rsidP="006554E4">
      <w:pPr>
        <w:spacing w:after="0" w:line="360" w:lineRule="auto"/>
        <w:jc w:val="both"/>
        <w:rPr>
          <w:rFonts w:ascii="Times New Roman" w:hAnsi="Times New Roman" w:cs="Times New Roman"/>
          <w:sz w:val="20"/>
          <w:szCs w:val="20"/>
        </w:rPr>
      </w:pPr>
      <w:r w:rsidRPr="00322FBF">
        <w:rPr>
          <w:rFonts w:ascii="Times New Roman" w:hAnsi="Times New Roman" w:cs="Times New Roman"/>
          <w:sz w:val="20"/>
          <w:szCs w:val="20"/>
        </w:rPr>
        <w:t>The AI</w:t>
      </w:r>
      <w:r w:rsidR="00CE4675">
        <w:rPr>
          <w:rFonts w:ascii="Times New Roman" w:hAnsi="Times New Roman" w:cs="Times New Roman"/>
          <w:sz w:val="20"/>
          <w:szCs w:val="20"/>
        </w:rPr>
        <w:t>-</w:t>
      </w:r>
      <w:r w:rsidRPr="00322FBF">
        <w:rPr>
          <w:rFonts w:ascii="Times New Roman" w:hAnsi="Times New Roman" w:cs="Times New Roman"/>
          <w:sz w:val="20"/>
          <w:szCs w:val="20"/>
        </w:rPr>
        <w:t>CIR</w:t>
      </w:r>
      <w:r w:rsidR="00CE4675">
        <w:rPr>
          <w:rFonts w:ascii="Times New Roman" w:hAnsi="Times New Roman" w:cs="Times New Roman"/>
          <w:sz w:val="20"/>
          <w:szCs w:val="20"/>
        </w:rPr>
        <w:t>-</w:t>
      </w:r>
      <w:proofErr w:type="spellStart"/>
      <w:r w:rsidRPr="00322FBF">
        <w:rPr>
          <w:rFonts w:ascii="Times New Roman" w:hAnsi="Times New Roman" w:cs="Times New Roman"/>
          <w:sz w:val="20"/>
          <w:szCs w:val="20"/>
        </w:rPr>
        <w:t>WtE</w:t>
      </w:r>
      <w:proofErr w:type="spellEnd"/>
      <w:r w:rsidRPr="00322FBF">
        <w:rPr>
          <w:rFonts w:ascii="Times New Roman" w:hAnsi="Times New Roman" w:cs="Times New Roman"/>
          <w:sz w:val="20"/>
          <w:szCs w:val="20"/>
        </w:rPr>
        <w:t xml:space="preserve"> architecture provides strong compatibility with globally accepted carbon credit methods, especially the Gold Standard for the Global Goals and Verra's Verified Carbon Standard (VCS). The model's dynamic life cycle </w:t>
      </w:r>
      <w:r w:rsidRPr="00322FBF">
        <w:rPr>
          <w:rFonts w:ascii="Times New Roman" w:hAnsi="Times New Roman" w:cs="Times New Roman"/>
          <w:sz w:val="20"/>
          <w:szCs w:val="20"/>
        </w:rPr>
        <w:lastRenderedPageBreak/>
        <w:t>assessment (LCA), predictive waste stream classification, and decentralized emission mitigation techniques meet the requirements of these platforms, which require unambiguous proof of additionality, permanence, and quantifiable decreases in greenhouse gas emissions.</w:t>
      </w:r>
      <w:r>
        <w:rPr>
          <w:rFonts w:ascii="Times New Roman" w:hAnsi="Times New Roman" w:cs="Times New Roman"/>
          <w:sz w:val="20"/>
          <w:szCs w:val="20"/>
        </w:rPr>
        <w:t xml:space="preserve"> </w:t>
      </w:r>
      <w:r w:rsidR="002501A6" w:rsidRPr="002501A6">
        <w:rPr>
          <w:rFonts w:ascii="Times New Roman" w:hAnsi="Times New Roman" w:cs="Times New Roman"/>
          <w:sz w:val="20"/>
          <w:szCs w:val="20"/>
        </w:rPr>
        <w:t>The AI</w:t>
      </w:r>
      <w:r w:rsidR="00CE4675">
        <w:rPr>
          <w:rFonts w:ascii="Times New Roman" w:hAnsi="Times New Roman" w:cs="Times New Roman"/>
          <w:sz w:val="20"/>
          <w:szCs w:val="20"/>
        </w:rPr>
        <w:t>-</w:t>
      </w:r>
      <w:r w:rsidR="002501A6" w:rsidRPr="002501A6">
        <w:rPr>
          <w:rFonts w:ascii="Times New Roman" w:hAnsi="Times New Roman" w:cs="Times New Roman"/>
          <w:sz w:val="20"/>
          <w:szCs w:val="20"/>
        </w:rPr>
        <w:t>CIR</w:t>
      </w:r>
      <w:r w:rsidR="00CE4675">
        <w:rPr>
          <w:rFonts w:ascii="Times New Roman" w:hAnsi="Times New Roman" w:cs="Times New Roman"/>
          <w:sz w:val="20"/>
          <w:szCs w:val="20"/>
        </w:rPr>
        <w:t>-</w:t>
      </w:r>
      <w:proofErr w:type="spellStart"/>
      <w:r w:rsidR="002501A6" w:rsidRPr="002501A6">
        <w:rPr>
          <w:rFonts w:ascii="Times New Roman" w:hAnsi="Times New Roman" w:cs="Times New Roman"/>
          <w:sz w:val="20"/>
          <w:szCs w:val="20"/>
        </w:rPr>
        <w:t>WtE</w:t>
      </w:r>
      <w:proofErr w:type="spellEnd"/>
      <w:r w:rsidR="002501A6" w:rsidRPr="002501A6">
        <w:rPr>
          <w:rFonts w:ascii="Times New Roman" w:hAnsi="Times New Roman" w:cs="Times New Roman"/>
          <w:sz w:val="20"/>
          <w:szCs w:val="20"/>
        </w:rPr>
        <w:t xml:space="preserve"> system satisfies the following fundamental eligibility requirements under the Verra methodology VM0018 and the Gold Standard’s waste-to-energy protocols: (a) avoidance of methane emissions through anaerobic digestion and composting; (b) landfill diversion with material recovery; and (c) replacement of fossil-based electricity with clean energy from waste (Verra, 2023; Gold Standard, 2024). Data from </w:t>
      </w:r>
      <w:proofErr w:type="spellStart"/>
      <w:r w:rsidR="002501A6" w:rsidRPr="002501A6">
        <w:rPr>
          <w:rFonts w:ascii="Times New Roman" w:hAnsi="Times New Roman" w:cs="Times New Roman"/>
          <w:sz w:val="20"/>
          <w:szCs w:val="20"/>
        </w:rPr>
        <w:t>OpenLCA</w:t>
      </w:r>
      <w:proofErr w:type="spellEnd"/>
      <w:r w:rsidR="002501A6" w:rsidRPr="002501A6">
        <w:rPr>
          <w:rFonts w:ascii="Times New Roman" w:hAnsi="Times New Roman" w:cs="Times New Roman"/>
          <w:sz w:val="20"/>
          <w:szCs w:val="20"/>
        </w:rPr>
        <w:t xml:space="preserve"> and IPCC conversion factors can be used to safely record, validate, and submit the system's emission avoidance</w:t>
      </w:r>
      <w:r w:rsidR="002501A6">
        <w:rPr>
          <w:rFonts w:ascii="Times New Roman" w:hAnsi="Times New Roman" w:cs="Times New Roman"/>
          <w:sz w:val="20"/>
          <w:szCs w:val="20"/>
        </w:rPr>
        <w:t xml:space="preserve">, </w:t>
      </w:r>
      <w:r w:rsidR="002501A6" w:rsidRPr="002501A6">
        <w:rPr>
          <w:rFonts w:ascii="Times New Roman" w:hAnsi="Times New Roman" w:cs="Times New Roman"/>
          <w:sz w:val="20"/>
          <w:szCs w:val="20"/>
        </w:rPr>
        <w:t>simulated at more than 1,220 tons of CO</w:t>
      </w:r>
      <w:r w:rsidR="002501A6">
        <w:rPr>
          <w:rFonts w:ascii="Times New Roman" w:hAnsi="Times New Roman" w:cs="Times New Roman"/>
          <w:sz w:val="20"/>
          <w:szCs w:val="20"/>
          <w:vertAlign w:val="subscript"/>
        </w:rPr>
        <w:t>2</w:t>
      </w:r>
      <w:r w:rsidR="002501A6" w:rsidRPr="002501A6">
        <w:rPr>
          <w:rFonts w:ascii="Times New Roman" w:hAnsi="Times New Roman" w:cs="Times New Roman"/>
          <w:sz w:val="20"/>
          <w:szCs w:val="20"/>
        </w:rPr>
        <w:t>e per day in Dhaka</w:t>
      </w:r>
      <w:r w:rsidR="002501A6">
        <w:rPr>
          <w:rFonts w:ascii="Times New Roman" w:hAnsi="Times New Roman" w:cs="Times New Roman"/>
          <w:sz w:val="20"/>
          <w:szCs w:val="20"/>
        </w:rPr>
        <w:t xml:space="preserve">, </w:t>
      </w:r>
      <w:r w:rsidR="002501A6" w:rsidRPr="002501A6">
        <w:rPr>
          <w:rFonts w:ascii="Times New Roman" w:hAnsi="Times New Roman" w:cs="Times New Roman"/>
          <w:sz w:val="20"/>
          <w:szCs w:val="20"/>
        </w:rPr>
        <w:t>for third-party validation.</w:t>
      </w:r>
      <w:r w:rsidR="002501A6">
        <w:rPr>
          <w:rFonts w:ascii="Times New Roman" w:hAnsi="Times New Roman" w:cs="Times New Roman"/>
          <w:sz w:val="20"/>
          <w:szCs w:val="20"/>
        </w:rPr>
        <w:t xml:space="preserve"> </w:t>
      </w:r>
    </w:p>
    <w:p w14:paraId="58CA0DE7" w14:textId="7A299BA6" w:rsidR="002501A6" w:rsidRDefault="002501A6" w:rsidP="006554E4">
      <w:pPr>
        <w:spacing w:after="0" w:line="360" w:lineRule="auto"/>
        <w:jc w:val="both"/>
        <w:rPr>
          <w:rFonts w:ascii="Times New Roman" w:hAnsi="Times New Roman" w:cs="Times New Roman"/>
          <w:sz w:val="20"/>
          <w:szCs w:val="20"/>
        </w:rPr>
      </w:pPr>
      <w:r w:rsidRPr="002501A6">
        <w:rPr>
          <w:rFonts w:ascii="Times New Roman" w:hAnsi="Times New Roman" w:cs="Times New Roman"/>
          <w:sz w:val="20"/>
          <w:szCs w:val="20"/>
        </w:rPr>
        <w:t>Additionally, the inability of Dhaka's current garbage infrastructure to produce comparable outcomes under normal circumstances satisfies the additionality requirements. To ensure cautious, reliable computations, baseline emissions and energy yield projections are produced using AI-enabled LSTM models and contrasted with static legacy systems. The framework is perfect for integrating with blended climate finance frameworks because of its versatility and MRV readiness. Participating cities can co-finance future system enhancements and social reinvestment initiatives by generating steady revenue streams through credit monetization (UNEP, 2024). This puts the AI</w:t>
      </w:r>
      <w:r w:rsidR="00CE4675">
        <w:rPr>
          <w:rFonts w:ascii="Times New Roman" w:hAnsi="Times New Roman" w:cs="Times New Roman"/>
          <w:sz w:val="20"/>
          <w:szCs w:val="20"/>
        </w:rPr>
        <w:t>-</w:t>
      </w:r>
      <w:r w:rsidRPr="002501A6">
        <w:rPr>
          <w:rFonts w:ascii="Times New Roman" w:hAnsi="Times New Roman" w:cs="Times New Roman"/>
          <w:sz w:val="20"/>
          <w:szCs w:val="20"/>
        </w:rPr>
        <w:t>CIR</w:t>
      </w:r>
      <w:r w:rsidR="00CE4675">
        <w:rPr>
          <w:rFonts w:ascii="Times New Roman" w:hAnsi="Times New Roman" w:cs="Times New Roman"/>
          <w:sz w:val="20"/>
          <w:szCs w:val="20"/>
        </w:rPr>
        <w:t>-</w:t>
      </w:r>
      <w:proofErr w:type="spellStart"/>
      <w:r w:rsidRPr="002501A6">
        <w:rPr>
          <w:rFonts w:ascii="Times New Roman" w:hAnsi="Times New Roman" w:cs="Times New Roman"/>
          <w:sz w:val="20"/>
          <w:szCs w:val="20"/>
        </w:rPr>
        <w:t>WtE</w:t>
      </w:r>
      <w:proofErr w:type="spellEnd"/>
      <w:r w:rsidRPr="002501A6">
        <w:rPr>
          <w:rFonts w:ascii="Times New Roman" w:hAnsi="Times New Roman" w:cs="Times New Roman"/>
          <w:sz w:val="20"/>
          <w:szCs w:val="20"/>
        </w:rPr>
        <w:t xml:space="preserve"> model in a key position to interact with the future carbon markets.</w:t>
      </w:r>
    </w:p>
    <w:p w14:paraId="3EB59FFC" w14:textId="58C7500D" w:rsidR="002501A6" w:rsidRDefault="002501A6" w:rsidP="006554E4">
      <w:pPr>
        <w:spacing w:after="0" w:line="360" w:lineRule="auto"/>
        <w:jc w:val="both"/>
        <w:rPr>
          <w:rFonts w:ascii="Times New Roman" w:hAnsi="Times New Roman" w:cs="Times New Roman"/>
          <w:sz w:val="20"/>
          <w:szCs w:val="20"/>
        </w:rPr>
      </w:pPr>
    </w:p>
    <w:p w14:paraId="7156F237" w14:textId="0CB742C6" w:rsidR="002501A6" w:rsidRPr="0032646E" w:rsidRDefault="00095ED5" w:rsidP="0032646E">
      <w:pPr>
        <w:spacing w:after="0" w:line="360" w:lineRule="auto"/>
        <w:jc w:val="both"/>
        <w:rPr>
          <w:rFonts w:ascii="Times New Roman" w:hAnsi="Times New Roman" w:cs="Times New Roman"/>
          <w:b/>
          <w:bCs/>
          <w:sz w:val="20"/>
          <w:szCs w:val="20"/>
        </w:rPr>
      </w:pPr>
      <w:r w:rsidRPr="0032646E">
        <w:rPr>
          <w:rFonts w:ascii="Times New Roman" w:hAnsi="Times New Roman" w:cs="Times New Roman"/>
          <w:b/>
          <w:bCs/>
          <w:sz w:val="20"/>
          <w:szCs w:val="20"/>
        </w:rPr>
        <w:t>BLOCKCHAIN INTEGRATION FOR WASTE TRACEABILITY AND ENERGY TOKENIZATION</w:t>
      </w:r>
    </w:p>
    <w:p w14:paraId="0F7A3E96" w14:textId="0634D244" w:rsidR="00452B9F" w:rsidRPr="0032646E" w:rsidRDefault="00095ED5" w:rsidP="0032646E">
      <w:pPr>
        <w:spacing w:after="0" w:line="360" w:lineRule="auto"/>
        <w:jc w:val="both"/>
        <w:rPr>
          <w:rFonts w:ascii="Times New Roman" w:hAnsi="Times New Roman" w:cs="Times New Roman"/>
          <w:sz w:val="20"/>
          <w:szCs w:val="20"/>
        </w:rPr>
      </w:pPr>
      <w:r w:rsidRPr="0032646E">
        <w:rPr>
          <w:rFonts w:ascii="Times New Roman" w:hAnsi="Times New Roman" w:cs="Times New Roman"/>
          <w:sz w:val="20"/>
          <w:szCs w:val="20"/>
        </w:rPr>
        <w:t>Every waste transaction, from generation and collection to processing and emission offset, is documented with tamper-proof timestamps and geolocation tags using decentralized ledger technologies (DLT), which provide a fundamental digital infrastructure for improving data integrity, traceability, and accountability in AI</w:t>
      </w:r>
      <w:r w:rsidR="00CE4675">
        <w:rPr>
          <w:rFonts w:ascii="Times New Roman" w:hAnsi="Times New Roman" w:cs="Times New Roman"/>
          <w:sz w:val="20"/>
          <w:szCs w:val="20"/>
        </w:rPr>
        <w:t>-</w:t>
      </w:r>
      <w:r w:rsidRPr="0032646E">
        <w:rPr>
          <w:rFonts w:ascii="Times New Roman" w:hAnsi="Times New Roman" w:cs="Times New Roman"/>
          <w:sz w:val="20"/>
          <w:szCs w:val="20"/>
        </w:rPr>
        <w:t>CIR</w:t>
      </w:r>
      <w:r w:rsidR="00CE4675">
        <w:rPr>
          <w:rFonts w:ascii="Times New Roman" w:hAnsi="Times New Roman" w:cs="Times New Roman"/>
          <w:sz w:val="20"/>
          <w:szCs w:val="20"/>
        </w:rPr>
        <w:t>-</w:t>
      </w:r>
      <w:proofErr w:type="spellStart"/>
      <w:r w:rsidRPr="0032646E">
        <w:rPr>
          <w:rFonts w:ascii="Times New Roman" w:hAnsi="Times New Roman" w:cs="Times New Roman"/>
          <w:sz w:val="20"/>
          <w:szCs w:val="20"/>
        </w:rPr>
        <w:t>WtE</w:t>
      </w:r>
      <w:proofErr w:type="spellEnd"/>
      <w:r w:rsidRPr="0032646E">
        <w:rPr>
          <w:rFonts w:ascii="Times New Roman" w:hAnsi="Times New Roman" w:cs="Times New Roman"/>
          <w:sz w:val="20"/>
          <w:szCs w:val="20"/>
        </w:rPr>
        <w:t xml:space="preserve"> system operations, especially in informal or corrupt urban environments. </w:t>
      </w:r>
    </w:p>
    <w:p w14:paraId="5E44D0DA" w14:textId="77777777" w:rsidR="0032646E" w:rsidRPr="0032646E" w:rsidRDefault="0032646E" w:rsidP="0032646E">
      <w:p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This traceability is essential for:</w:t>
      </w:r>
    </w:p>
    <w:p w14:paraId="110D1AF5" w14:textId="77777777" w:rsidR="0032646E" w:rsidRPr="0032646E" w:rsidRDefault="0032646E" w:rsidP="008B1028">
      <w:pPr>
        <w:numPr>
          <w:ilvl w:val="0"/>
          <w:numId w:val="44"/>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MRV compliance under Verra or Gold Standard protocols.</w:t>
      </w:r>
    </w:p>
    <w:p w14:paraId="3ECFE1BA" w14:textId="77777777" w:rsidR="0032646E" w:rsidRPr="0032646E" w:rsidRDefault="0032646E" w:rsidP="008B1028">
      <w:pPr>
        <w:numPr>
          <w:ilvl w:val="0"/>
          <w:numId w:val="44"/>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Detecting and penalizing illegal dumping or falsified reports.</w:t>
      </w:r>
    </w:p>
    <w:p w14:paraId="4813634D" w14:textId="67A22B25" w:rsidR="0032646E" w:rsidRPr="0032646E" w:rsidRDefault="0032646E" w:rsidP="008B1028">
      <w:pPr>
        <w:numPr>
          <w:ilvl w:val="0"/>
          <w:numId w:val="44"/>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Creating transparent performance metrics for public dashboards.</w:t>
      </w:r>
    </w:p>
    <w:p w14:paraId="2AD56CCC" w14:textId="5B07969C" w:rsidR="0032646E" w:rsidRPr="0032646E" w:rsidRDefault="0032646E" w:rsidP="0032646E">
      <w:p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AI</w:t>
      </w:r>
      <w:r w:rsidR="00CE4675">
        <w:rPr>
          <w:rFonts w:ascii="Times New Roman" w:eastAsia="Times New Roman" w:hAnsi="Times New Roman" w:cs="Times New Roman"/>
          <w:sz w:val="20"/>
          <w:szCs w:val="20"/>
        </w:rPr>
        <w:t>-</w:t>
      </w:r>
      <w:r w:rsidRPr="0032646E">
        <w:rPr>
          <w:rFonts w:ascii="Times New Roman" w:eastAsia="Times New Roman" w:hAnsi="Times New Roman" w:cs="Times New Roman"/>
          <w:sz w:val="20"/>
          <w:szCs w:val="20"/>
        </w:rPr>
        <w:t>classified waste data can be integrated with blockchain-based audit trails to verify:</w:t>
      </w:r>
    </w:p>
    <w:p w14:paraId="58BB9032" w14:textId="77777777" w:rsidR="0032646E" w:rsidRPr="0032646E" w:rsidRDefault="0032646E" w:rsidP="008B1028">
      <w:pPr>
        <w:numPr>
          <w:ilvl w:val="0"/>
          <w:numId w:val="45"/>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Source authenticity.</w:t>
      </w:r>
    </w:p>
    <w:p w14:paraId="2E97AFF2" w14:textId="77777777" w:rsidR="0032646E" w:rsidRPr="0032646E" w:rsidRDefault="0032646E" w:rsidP="008B1028">
      <w:pPr>
        <w:numPr>
          <w:ilvl w:val="0"/>
          <w:numId w:val="45"/>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Treatment method and energy recovery pathway.</w:t>
      </w:r>
    </w:p>
    <w:p w14:paraId="0C45B254" w14:textId="77777777" w:rsidR="0032646E" w:rsidRPr="0032646E" w:rsidRDefault="0032646E" w:rsidP="008B1028">
      <w:pPr>
        <w:numPr>
          <w:ilvl w:val="0"/>
          <w:numId w:val="45"/>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Volume-based material diversion rates.</w:t>
      </w:r>
    </w:p>
    <w:p w14:paraId="68D70B11" w14:textId="77777777" w:rsidR="0032646E" w:rsidRPr="0032646E" w:rsidRDefault="0032646E" w:rsidP="0032646E">
      <w:p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Beyond compliance, blockchain smart contracts enable automated execution of payment and incentive systems. For example:</w:t>
      </w:r>
    </w:p>
    <w:p w14:paraId="1CD0811E" w14:textId="77777777" w:rsidR="0032646E" w:rsidRPr="0032646E" w:rsidRDefault="0032646E" w:rsidP="008B1028">
      <w:pPr>
        <w:numPr>
          <w:ilvl w:val="0"/>
          <w:numId w:val="46"/>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Energy produced at decentralized AD or pyrolysis nodes can be tokenized into digital energy credits (e.g., kWh-tokens).</w:t>
      </w:r>
    </w:p>
    <w:p w14:paraId="05F60BA2" w14:textId="711F9892" w:rsidR="0032646E" w:rsidRPr="0032646E" w:rsidRDefault="0032646E" w:rsidP="008B1028">
      <w:pPr>
        <w:numPr>
          <w:ilvl w:val="0"/>
          <w:numId w:val="46"/>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Citizens or waste workers can receive blockchain-based rewards for correctly sorted waste or circularity-enhancing actions.</w:t>
      </w:r>
      <w:r>
        <w:rPr>
          <w:rFonts w:ascii="Times New Roman" w:eastAsia="Times New Roman" w:hAnsi="Times New Roman" w:cs="Times New Roman"/>
          <w:sz w:val="20"/>
          <w:szCs w:val="20"/>
        </w:rPr>
        <w:t xml:space="preserve"> </w:t>
      </w:r>
    </w:p>
    <w:p w14:paraId="4B28EE03" w14:textId="54D4A88B" w:rsidR="0032646E" w:rsidRPr="0032646E" w:rsidRDefault="0032646E" w:rsidP="008B1028">
      <w:pPr>
        <w:numPr>
          <w:ilvl w:val="0"/>
          <w:numId w:val="46"/>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Carbon offset tokens can be bundled and sold in voluntary carbon markets or used to meet city-level emission reduction obligations.</w:t>
      </w:r>
    </w:p>
    <w:p w14:paraId="7C3FD0B6" w14:textId="0CEC5744" w:rsidR="0032646E" w:rsidRDefault="0032646E" w:rsidP="0032646E">
      <w:p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This integration makes the AI</w:t>
      </w:r>
      <w:r w:rsidR="00CE4675">
        <w:rPr>
          <w:rFonts w:ascii="Times New Roman" w:eastAsia="Times New Roman" w:hAnsi="Times New Roman" w:cs="Times New Roman"/>
          <w:sz w:val="20"/>
          <w:szCs w:val="20"/>
        </w:rPr>
        <w:t>-</w:t>
      </w:r>
      <w:r w:rsidRPr="0032646E">
        <w:rPr>
          <w:rFonts w:ascii="Times New Roman" w:eastAsia="Times New Roman" w:hAnsi="Times New Roman" w:cs="Times New Roman"/>
          <w:sz w:val="20"/>
          <w:szCs w:val="20"/>
        </w:rPr>
        <w:t>CIR</w:t>
      </w:r>
      <w:r w:rsidR="00CE4675">
        <w:rPr>
          <w:rFonts w:ascii="Times New Roman" w:eastAsia="Times New Roman" w:hAnsi="Times New Roman" w:cs="Times New Roman"/>
          <w:sz w:val="20"/>
          <w:szCs w:val="20"/>
        </w:rPr>
        <w:t>-</w:t>
      </w:r>
      <w:proofErr w:type="spellStart"/>
      <w:r w:rsidRPr="0032646E">
        <w:rPr>
          <w:rFonts w:ascii="Times New Roman" w:eastAsia="Times New Roman" w:hAnsi="Times New Roman" w:cs="Times New Roman"/>
          <w:sz w:val="20"/>
          <w:szCs w:val="20"/>
        </w:rPr>
        <w:t>WtE</w:t>
      </w:r>
      <w:proofErr w:type="spellEnd"/>
      <w:r w:rsidRPr="0032646E">
        <w:rPr>
          <w:rFonts w:ascii="Times New Roman" w:eastAsia="Times New Roman" w:hAnsi="Times New Roman" w:cs="Times New Roman"/>
          <w:sz w:val="20"/>
          <w:szCs w:val="20"/>
        </w:rPr>
        <w:t xml:space="preserve"> system auditable, programmable, and scalable, supporting distributed governance, decentralized finance, and citizen participation.</w:t>
      </w:r>
    </w:p>
    <w:p w14:paraId="3C2681CA" w14:textId="58FBB7EA" w:rsidR="00FA41C8" w:rsidRDefault="00FA41C8" w:rsidP="0032646E">
      <w:pPr>
        <w:spacing w:after="0" w:line="360" w:lineRule="auto"/>
        <w:jc w:val="both"/>
        <w:rPr>
          <w:rFonts w:ascii="Times New Roman" w:eastAsia="Times New Roman" w:hAnsi="Times New Roman" w:cs="Times New Roman"/>
          <w:sz w:val="20"/>
          <w:szCs w:val="20"/>
        </w:rPr>
      </w:pPr>
    </w:p>
    <w:p w14:paraId="4BCB694B" w14:textId="1E73BBC4" w:rsidR="00EF6A02" w:rsidRPr="00656F98" w:rsidRDefault="00656F98" w:rsidP="0032646E">
      <w:pPr>
        <w:spacing w:after="0" w:line="360" w:lineRule="auto"/>
        <w:jc w:val="both"/>
        <w:rPr>
          <w:rFonts w:ascii="Times New Roman" w:eastAsia="Times New Roman" w:hAnsi="Times New Roman" w:cs="Times New Roman"/>
          <w:b/>
          <w:bCs/>
          <w:sz w:val="20"/>
          <w:szCs w:val="20"/>
        </w:rPr>
      </w:pPr>
      <w:r w:rsidRPr="00656F98">
        <w:rPr>
          <w:rFonts w:ascii="Times New Roman" w:eastAsia="Times New Roman" w:hAnsi="Times New Roman" w:cs="Times New Roman"/>
          <w:b/>
          <w:bCs/>
          <w:sz w:val="20"/>
          <w:szCs w:val="20"/>
        </w:rPr>
        <w:t>DIGITAL TWIN CITY SIMULATION: UNITY/UNREAL-BASED WASTE-TO-ENERGY ENVIRONMENT</w:t>
      </w:r>
    </w:p>
    <w:p w14:paraId="23607040" w14:textId="5BFB14E6" w:rsidR="0032646E" w:rsidRPr="00DB24CF" w:rsidRDefault="00B41F30" w:rsidP="00DB24CF">
      <w:p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lastRenderedPageBreak/>
        <w:t>The AI</w:t>
      </w:r>
      <w:r w:rsidR="00CE4675">
        <w:rPr>
          <w:rFonts w:ascii="Times New Roman" w:eastAsia="Times New Roman" w:hAnsi="Times New Roman" w:cs="Times New Roman"/>
          <w:sz w:val="20"/>
          <w:szCs w:val="20"/>
        </w:rPr>
        <w:t>-</w:t>
      </w:r>
      <w:r w:rsidRPr="00DB24CF">
        <w:rPr>
          <w:rFonts w:ascii="Times New Roman" w:eastAsia="Times New Roman" w:hAnsi="Times New Roman" w:cs="Times New Roman"/>
          <w:sz w:val="20"/>
          <w:szCs w:val="20"/>
        </w:rPr>
        <w:t>CIR</w:t>
      </w:r>
      <w:r w:rsidR="00CE4675">
        <w:rPr>
          <w:rFonts w:ascii="Times New Roman" w:eastAsia="Times New Roman" w:hAnsi="Times New Roman" w:cs="Times New Roman"/>
          <w:sz w:val="20"/>
          <w:szCs w:val="20"/>
        </w:rPr>
        <w:t>-</w:t>
      </w:r>
      <w:proofErr w:type="spellStart"/>
      <w:r w:rsidRPr="00DB24CF">
        <w:rPr>
          <w:rFonts w:ascii="Times New Roman" w:eastAsia="Times New Roman" w:hAnsi="Times New Roman" w:cs="Times New Roman"/>
          <w:sz w:val="20"/>
          <w:szCs w:val="20"/>
        </w:rPr>
        <w:t>WtE</w:t>
      </w:r>
      <w:proofErr w:type="spellEnd"/>
      <w:r w:rsidRPr="00DB24CF">
        <w:rPr>
          <w:rFonts w:ascii="Times New Roman" w:eastAsia="Times New Roman" w:hAnsi="Times New Roman" w:cs="Times New Roman"/>
          <w:sz w:val="20"/>
          <w:szCs w:val="20"/>
        </w:rPr>
        <w:t xml:space="preserve"> system is transformed from a backend optimization framework into an immersive, interactive urban planning platform by the incorporation of digital twin simulations using Unity or Unreal Engine. With the inclusion of spatial waste flows, infrastructure performance, and climate conditions, a digital twin city offers a real-time virtual representation of the physical waste system.</w:t>
      </w:r>
    </w:p>
    <w:p w14:paraId="2C64D46B" w14:textId="77777777" w:rsidR="00DB24CF" w:rsidRPr="00DB24CF" w:rsidRDefault="00DB24CF" w:rsidP="00DB24CF">
      <w:p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Through this simulation environment, planners and stakeholders can:</w:t>
      </w:r>
    </w:p>
    <w:p w14:paraId="3335DF85" w14:textId="77777777" w:rsidR="00DB24CF" w:rsidRPr="00DB24CF" w:rsidRDefault="00DB24CF" w:rsidP="008B1028">
      <w:pPr>
        <w:numPr>
          <w:ilvl w:val="0"/>
          <w:numId w:val="47"/>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Test various policy scenarios, such as routing changes, flood responses, or sudden waste surges.</w:t>
      </w:r>
    </w:p>
    <w:p w14:paraId="34CCB235" w14:textId="68FFAB0C" w:rsidR="00DB24CF" w:rsidRPr="00DB24CF" w:rsidRDefault="00DB24CF" w:rsidP="008B1028">
      <w:pPr>
        <w:numPr>
          <w:ilvl w:val="0"/>
          <w:numId w:val="47"/>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 xml:space="preserve">Simulate climate impacts on </w:t>
      </w:r>
      <w:r w:rsidR="008C6AD5">
        <w:rPr>
          <w:rFonts w:ascii="Times New Roman" w:eastAsia="Times New Roman" w:hAnsi="Times New Roman" w:cs="Times New Roman"/>
          <w:sz w:val="20"/>
          <w:szCs w:val="20"/>
        </w:rPr>
        <w:t>waste-to-energy</w:t>
      </w:r>
      <w:r w:rsidRPr="00DB24CF">
        <w:rPr>
          <w:rFonts w:ascii="Times New Roman" w:eastAsia="Times New Roman" w:hAnsi="Times New Roman" w:cs="Times New Roman"/>
          <w:sz w:val="20"/>
          <w:szCs w:val="20"/>
        </w:rPr>
        <w:t xml:space="preserve"> infrastructure (e.g., monsoon flooding, heatwave-induced demand spikes).</w:t>
      </w:r>
    </w:p>
    <w:p w14:paraId="2BDD5A45" w14:textId="05136007" w:rsidR="00DB24CF" w:rsidRPr="00DB24CF" w:rsidRDefault="00DB24CF" w:rsidP="008B1028">
      <w:pPr>
        <w:numPr>
          <w:ilvl w:val="0"/>
          <w:numId w:val="47"/>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Observe the influence of behavior change (e.g., higher recycling compliance) on system-wide performance.</w:t>
      </w:r>
    </w:p>
    <w:p w14:paraId="65DCD9B0" w14:textId="77777777" w:rsidR="00DB24CF" w:rsidRPr="00DB24CF" w:rsidRDefault="00DB24CF" w:rsidP="00DB24CF">
      <w:p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Unity and Unreal offer advanced 3D visualization and physics engines to model:</w:t>
      </w:r>
    </w:p>
    <w:p w14:paraId="64981FDC" w14:textId="77777777" w:rsidR="00DB24CF" w:rsidRPr="00DB24CF" w:rsidRDefault="00DB24CF" w:rsidP="008B1028">
      <w:pPr>
        <w:numPr>
          <w:ilvl w:val="0"/>
          <w:numId w:val="48"/>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Waste bin fill levels, vehicle routes, and energy outputs.</w:t>
      </w:r>
    </w:p>
    <w:p w14:paraId="3B0B1C7B" w14:textId="77777777" w:rsidR="00DB24CF" w:rsidRPr="00DB24CF" w:rsidRDefault="00DB24CF" w:rsidP="008B1028">
      <w:pPr>
        <w:numPr>
          <w:ilvl w:val="0"/>
          <w:numId w:val="48"/>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Carbon emission plumes and GHG hotspots.</w:t>
      </w:r>
    </w:p>
    <w:p w14:paraId="34506131" w14:textId="77777777" w:rsidR="00DB24CF" w:rsidRPr="00DB24CF" w:rsidRDefault="00DB24CF" w:rsidP="008B1028">
      <w:pPr>
        <w:numPr>
          <w:ilvl w:val="0"/>
          <w:numId w:val="48"/>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Infrastructure stress under disaster events.</w:t>
      </w:r>
    </w:p>
    <w:p w14:paraId="3A0A404B" w14:textId="1833EB21" w:rsidR="00DB24CF" w:rsidRPr="00450910" w:rsidRDefault="00DB24CF" w:rsidP="00DB24CF">
      <w:pPr>
        <w:spacing w:after="0" w:line="360" w:lineRule="auto"/>
        <w:jc w:val="both"/>
        <w:rPr>
          <w:rFonts w:ascii="Times New Roman" w:eastAsia="Times New Roman" w:hAnsi="Times New Roman" w:cs="Times New Roman"/>
          <w:sz w:val="20"/>
          <w:szCs w:val="20"/>
        </w:rPr>
      </w:pPr>
      <w:r w:rsidRPr="00450910">
        <w:rPr>
          <w:rFonts w:ascii="Times New Roman" w:eastAsia="Times New Roman" w:hAnsi="Times New Roman" w:cs="Times New Roman"/>
          <w:sz w:val="20"/>
          <w:szCs w:val="20"/>
        </w:rPr>
        <w:t>When linked with the AI</w:t>
      </w:r>
      <w:r w:rsidR="00CE4675" w:rsidRPr="00450910">
        <w:rPr>
          <w:rFonts w:ascii="Times New Roman" w:eastAsia="Times New Roman" w:hAnsi="Times New Roman" w:cs="Times New Roman"/>
          <w:sz w:val="20"/>
          <w:szCs w:val="20"/>
        </w:rPr>
        <w:t>-</w:t>
      </w:r>
      <w:r w:rsidRPr="00450910">
        <w:rPr>
          <w:rFonts w:ascii="Times New Roman" w:eastAsia="Times New Roman" w:hAnsi="Times New Roman" w:cs="Times New Roman"/>
          <w:sz w:val="20"/>
          <w:szCs w:val="20"/>
        </w:rPr>
        <w:t>CIR</w:t>
      </w:r>
      <w:r w:rsidR="00CE4675" w:rsidRPr="00450910">
        <w:rPr>
          <w:rFonts w:ascii="Times New Roman" w:eastAsia="Times New Roman" w:hAnsi="Times New Roman" w:cs="Times New Roman"/>
          <w:sz w:val="20"/>
          <w:szCs w:val="20"/>
        </w:rPr>
        <w:t>-</w:t>
      </w:r>
      <w:proofErr w:type="spellStart"/>
      <w:r w:rsidRPr="00450910">
        <w:rPr>
          <w:rFonts w:ascii="Times New Roman" w:eastAsia="Times New Roman" w:hAnsi="Times New Roman" w:cs="Times New Roman"/>
          <w:sz w:val="20"/>
          <w:szCs w:val="20"/>
        </w:rPr>
        <w:t>WtE’s</w:t>
      </w:r>
      <w:proofErr w:type="spellEnd"/>
      <w:r w:rsidRPr="00450910">
        <w:rPr>
          <w:rFonts w:ascii="Times New Roman" w:eastAsia="Times New Roman" w:hAnsi="Times New Roman" w:cs="Times New Roman"/>
          <w:sz w:val="20"/>
          <w:szCs w:val="20"/>
        </w:rPr>
        <w:t xml:space="preserve"> LSTM forecasting, NSGA-II optimization, and IoT data streams, the digital twin becomes a decision-support laboratory for policymakers, enabling evidence-based, climate-resilient governance.</w:t>
      </w:r>
      <w:r w:rsidR="008C6AD5" w:rsidRPr="00450910">
        <w:rPr>
          <w:rFonts w:ascii="Times New Roman" w:eastAsia="Times New Roman" w:hAnsi="Times New Roman" w:cs="Times New Roman"/>
          <w:sz w:val="20"/>
          <w:szCs w:val="20"/>
        </w:rPr>
        <w:t xml:space="preserve"> </w:t>
      </w:r>
      <w:r w:rsidRPr="00450910">
        <w:rPr>
          <w:rFonts w:ascii="Times New Roman" w:eastAsia="Times New Roman" w:hAnsi="Times New Roman" w:cs="Times New Roman"/>
          <w:sz w:val="20"/>
          <w:szCs w:val="20"/>
        </w:rPr>
        <w:t>Furthermore, this approach can support stakeholder engagement and public education by offering intuitive visualizations of complex waste-energy-climate interactions.</w:t>
      </w:r>
      <w:r w:rsidR="00450910" w:rsidRPr="00450910">
        <w:rPr>
          <w:rFonts w:ascii="Times New Roman" w:eastAsia="Times New Roman" w:hAnsi="Times New Roman" w:cs="Times New Roman"/>
          <w:sz w:val="20"/>
          <w:szCs w:val="20"/>
        </w:rPr>
        <w:t xml:space="preserve"> </w:t>
      </w:r>
      <w:r w:rsidR="00450910" w:rsidRPr="00450910">
        <w:rPr>
          <w:rFonts w:ascii="Times New Roman" w:hAnsi="Times New Roman" w:cs="Times New Roman"/>
          <w:sz w:val="20"/>
          <w:szCs w:val="20"/>
        </w:rPr>
        <w:t>The use of immersive digital twins to model real-time climate-stress scenarios and waste</w:t>
      </w:r>
      <w:r w:rsidR="00450910">
        <w:rPr>
          <w:rFonts w:ascii="Times New Roman" w:hAnsi="Times New Roman" w:cs="Times New Roman"/>
          <w:sz w:val="20"/>
          <w:szCs w:val="20"/>
        </w:rPr>
        <w:t>-</w:t>
      </w:r>
      <w:r w:rsidR="00450910" w:rsidRPr="00450910">
        <w:rPr>
          <w:rFonts w:ascii="Times New Roman" w:hAnsi="Times New Roman" w:cs="Times New Roman"/>
          <w:sz w:val="20"/>
          <w:szCs w:val="20"/>
        </w:rPr>
        <w:t xml:space="preserve">energy flows </w:t>
      </w:r>
      <w:r w:rsidR="00450910">
        <w:rPr>
          <w:rFonts w:ascii="Times New Roman" w:hAnsi="Times New Roman" w:cs="Times New Roman"/>
          <w:sz w:val="20"/>
          <w:szCs w:val="20"/>
        </w:rPr>
        <w:t>mirrors</w:t>
      </w:r>
      <w:r w:rsidR="00450910" w:rsidRPr="00450910">
        <w:rPr>
          <w:rFonts w:ascii="Times New Roman" w:hAnsi="Times New Roman" w:cs="Times New Roman"/>
          <w:sz w:val="20"/>
          <w:szCs w:val="20"/>
        </w:rPr>
        <w:t xml:space="preserve"> recent simulations pioneered by NASA for extraterrestrial waste handling and closed-loop logistics (NASA, 2022; NASA, 2024). This innovation aligns with international decarbonization strategies that combine AI forecasting with lifecycle impact modeling (Rolnick et al., 2023) and supports urban resilience metrics promoted by UNDRR and the World Bank (UNDRR, 2022; World Bank, 2023).</w:t>
      </w:r>
    </w:p>
    <w:p w14:paraId="76F43248" w14:textId="1139E05B" w:rsidR="008C68FB" w:rsidRPr="00450910" w:rsidRDefault="008C68FB" w:rsidP="00DB24CF">
      <w:pPr>
        <w:spacing w:after="0" w:line="360" w:lineRule="auto"/>
        <w:jc w:val="both"/>
        <w:rPr>
          <w:rFonts w:ascii="Times New Roman" w:eastAsia="Times New Roman" w:hAnsi="Times New Roman" w:cs="Times New Roman"/>
          <w:sz w:val="20"/>
          <w:szCs w:val="20"/>
        </w:rPr>
      </w:pPr>
    </w:p>
    <w:p w14:paraId="7460C19F" w14:textId="26F3EF0D" w:rsidR="008C68FB" w:rsidRPr="00450910" w:rsidRDefault="008C68FB" w:rsidP="00702FFA">
      <w:pPr>
        <w:spacing w:after="0" w:line="360" w:lineRule="auto"/>
        <w:jc w:val="both"/>
        <w:rPr>
          <w:rFonts w:ascii="Times New Roman" w:eastAsia="Times New Roman" w:hAnsi="Times New Roman" w:cs="Times New Roman"/>
          <w:b/>
          <w:bCs/>
          <w:sz w:val="20"/>
          <w:szCs w:val="20"/>
        </w:rPr>
      </w:pPr>
      <w:r w:rsidRPr="00450910">
        <w:rPr>
          <w:rFonts w:ascii="Times New Roman" w:eastAsia="Times New Roman" w:hAnsi="Times New Roman" w:cs="Times New Roman"/>
          <w:b/>
          <w:bCs/>
          <w:sz w:val="20"/>
          <w:szCs w:val="20"/>
        </w:rPr>
        <w:t>RESULT AND DISCUSSION</w:t>
      </w:r>
    </w:p>
    <w:p w14:paraId="7C818C3C" w14:textId="1BAC925F" w:rsidR="00702FFA" w:rsidRPr="00450910" w:rsidRDefault="00702FFA" w:rsidP="000F20C0">
      <w:pPr>
        <w:pStyle w:val="Heading3"/>
        <w:numPr>
          <w:ilvl w:val="0"/>
          <w:numId w:val="73"/>
        </w:numPr>
        <w:spacing w:before="0" w:beforeAutospacing="0" w:after="0" w:afterAutospacing="0" w:line="360" w:lineRule="auto"/>
        <w:jc w:val="both"/>
        <w:rPr>
          <w:sz w:val="20"/>
          <w:szCs w:val="20"/>
        </w:rPr>
      </w:pPr>
      <w:r w:rsidRPr="00450910">
        <w:rPr>
          <w:rStyle w:val="Strong"/>
          <w:b/>
          <w:bCs/>
          <w:sz w:val="20"/>
          <w:szCs w:val="20"/>
        </w:rPr>
        <w:t>Predictive Waste Forecasting and Spatial Trends</w:t>
      </w:r>
      <w:r w:rsidR="0086104A" w:rsidRPr="00450910">
        <w:rPr>
          <w:rStyle w:val="Strong"/>
          <w:b/>
          <w:bCs/>
          <w:sz w:val="20"/>
          <w:szCs w:val="20"/>
        </w:rPr>
        <w:t>:</w:t>
      </w:r>
    </w:p>
    <w:p w14:paraId="10EDE218" w14:textId="489F9DD4" w:rsidR="00702FFA" w:rsidRPr="00702FFA" w:rsidRDefault="00702FFA" w:rsidP="00702FFA">
      <w:pPr>
        <w:pStyle w:val="NormalWeb"/>
        <w:spacing w:before="0" w:beforeAutospacing="0" w:after="0" w:afterAutospacing="0" w:line="360" w:lineRule="auto"/>
        <w:jc w:val="both"/>
        <w:rPr>
          <w:sz w:val="20"/>
          <w:szCs w:val="20"/>
        </w:rPr>
      </w:pPr>
      <w:r w:rsidRPr="00450910">
        <w:rPr>
          <w:sz w:val="20"/>
          <w:szCs w:val="20"/>
        </w:rPr>
        <w:t>The AI</w:t>
      </w:r>
      <w:r w:rsidR="00CE4675" w:rsidRPr="00450910">
        <w:rPr>
          <w:sz w:val="20"/>
          <w:szCs w:val="20"/>
        </w:rPr>
        <w:t>-</w:t>
      </w:r>
      <w:r w:rsidRPr="00450910">
        <w:rPr>
          <w:sz w:val="20"/>
          <w:szCs w:val="20"/>
        </w:rPr>
        <w:t>CIR</w:t>
      </w:r>
      <w:r w:rsidR="00CE4675" w:rsidRPr="00450910">
        <w:rPr>
          <w:sz w:val="20"/>
          <w:szCs w:val="20"/>
        </w:rPr>
        <w:t>-</w:t>
      </w:r>
      <w:proofErr w:type="spellStart"/>
      <w:r w:rsidRPr="00450910">
        <w:rPr>
          <w:sz w:val="20"/>
          <w:szCs w:val="20"/>
        </w:rPr>
        <w:t>WtE</w:t>
      </w:r>
      <w:proofErr w:type="spellEnd"/>
      <w:r w:rsidRPr="00450910">
        <w:rPr>
          <w:sz w:val="20"/>
          <w:szCs w:val="20"/>
        </w:rPr>
        <w:t xml:space="preserve"> framework achieved high-accuracy forecasting of municipal solid waste (MSW) generation across Dhaka’s urban zones using LSTM and </w:t>
      </w:r>
      <w:proofErr w:type="spellStart"/>
      <w:r w:rsidRPr="00450910">
        <w:rPr>
          <w:sz w:val="20"/>
          <w:szCs w:val="20"/>
        </w:rPr>
        <w:t>XGBoost</w:t>
      </w:r>
      <w:proofErr w:type="spellEnd"/>
      <w:r w:rsidRPr="00450910">
        <w:rPr>
          <w:sz w:val="20"/>
          <w:szCs w:val="20"/>
        </w:rPr>
        <w:t xml:space="preserve"> models. Over a projected five-year period (2025–2030), ward-wise predictions demonstrated a </w:t>
      </w:r>
      <w:r w:rsidRPr="00450910">
        <w:rPr>
          <w:rStyle w:val="Strong"/>
          <w:b w:val="0"/>
          <w:bCs w:val="0"/>
          <w:sz w:val="20"/>
          <w:szCs w:val="20"/>
        </w:rPr>
        <w:t>compound</w:t>
      </w:r>
      <w:r w:rsidRPr="00702FFA">
        <w:rPr>
          <w:rStyle w:val="Strong"/>
          <w:b w:val="0"/>
          <w:bCs w:val="0"/>
          <w:sz w:val="20"/>
          <w:szCs w:val="20"/>
        </w:rPr>
        <w:t xml:space="preserve"> annual growth rate of 3.8%</w:t>
      </w:r>
      <w:r w:rsidRPr="00702FFA">
        <w:rPr>
          <w:sz w:val="20"/>
          <w:szCs w:val="20"/>
        </w:rPr>
        <w:t xml:space="preserve">, with </w:t>
      </w:r>
      <w:r w:rsidR="00623253">
        <w:rPr>
          <w:sz w:val="20"/>
          <w:szCs w:val="20"/>
        </w:rPr>
        <w:t xml:space="preserve">the </w:t>
      </w:r>
      <w:r w:rsidRPr="00702FFA">
        <w:rPr>
          <w:sz w:val="20"/>
          <w:szCs w:val="20"/>
        </w:rPr>
        <w:t xml:space="preserve">highest waste surges in North Dhaka Zones 3, 5, and 9, driven by commercial expansion and population densification. The model captured </w:t>
      </w:r>
      <w:r w:rsidRPr="00702FFA">
        <w:rPr>
          <w:rStyle w:val="Strong"/>
          <w:b w:val="0"/>
          <w:bCs w:val="0"/>
          <w:sz w:val="20"/>
          <w:szCs w:val="20"/>
        </w:rPr>
        <w:t>seasonal fluctuations</w:t>
      </w:r>
      <w:r w:rsidRPr="00702FFA">
        <w:rPr>
          <w:sz w:val="20"/>
          <w:szCs w:val="20"/>
        </w:rPr>
        <w:t xml:space="preserve"> effectively, showing a </w:t>
      </w:r>
      <w:r w:rsidRPr="00702FFA">
        <w:rPr>
          <w:rStyle w:val="Strong"/>
          <w:b w:val="0"/>
          <w:bCs w:val="0"/>
          <w:sz w:val="20"/>
          <w:szCs w:val="20"/>
        </w:rPr>
        <w:t>22% increase in organic waste during monsoon quarters</w:t>
      </w:r>
      <w:r w:rsidRPr="00702FFA">
        <w:rPr>
          <w:sz w:val="20"/>
          <w:szCs w:val="20"/>
        </w:rPr>
        <w:t>, correlating with climate-induced behavioral and infrastructural changes.</w:t>
      </w:r>
    </w:p>
    <w:p w14:paraId="110775C8" w14:textId="33506DB9"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These results underscore the capability of deep learning models to anticipate localized waste dynamics, enabling granular resource planning and dynamic routing, particularly critical during climate stress periods such as floods or </w:t>
      </w:r>
      <w:r>
        <w:rPr>
          <w:sz w:val="20"/>
          <w:szCs w:val="20"/>
        </w:rPr>
        <w:t>heat waves</w:t>
      </w:r>
      <w:r w:rsidRPr="00702FFA">
        <w:rPr>
          <w:sz w:val="20"/>
          <w:szCs w:val="20"/>
        </w:rPr>
        <w:t>.</w:t>
      </w:r>
    </w:p>
    <w:p w14:paraId="23002B30" w14:textId="34DCF4EA"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Energy Recovery Enhancement and Circularity Optimization</w:t>
      </w:r>
      <w:r w:rsidR="0086104A">
        <w:rPr>
          <w:rStyle w:val="Strong"/>
          <w:b/>
          <w:bCs/>
          <w:sz w:val="20"/>
          <w:szCs w:val="20"/>
        </w:rPr>
        <w:t>:</w:t>
      </w:r>
    </w:p>
    <w:p w14:paraId="5885A0C2"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The AI-enhanced classification engine identified the average composition of Dhaka’s MSW as </w:t>
      </w:r>
      <w:r w:rsidRPr="00702FFA">
        <w:rPr>
          <w:rStyle w:val="Strong"/>
          <w:b w:val="0"/>
          <w:bCs w:val="0"/>
          <w:sz w:val="20"/>
          <w:szCs w:val="20"/>
        </w:rPr>
        <w:t>51.2% biodegradable</w:t>
      </w:r>
      <w:r w:rsidRPr="00702FFA">
        <w:rPr>
          <w:sz w:val="20"/>
          <w:szCs w:val="20"/>
        </w:rPr>
        <w:t xml:space="preserve">, </w:t>
      </w:r>
      <w:r w:rsidRPr="00702FFA">
        <w:rPr>
          <w:rStyle w:val="Strong"/>
          <w:b w:val="0"/>
          <w:bCs w:val="0"/>
          <w:sz w:val="20"/>
          <w:szCs w:val="20"/>
        </w:rPr>
        <w:t>27.6% combustible</w:t>
      </w:r>
      <w:r w:rsidRPr="00702FFA">
        <w:rPr>
          <w:sz w:val="20"/>
          <w:szCs w:val="20"/>
        </w:rPr>
        <w:t xml:space="preserve">, and </w:t>
      </w:r>
      <w:r w:rsidRPr="00702FFA">
        <w:rPr>
          <w:rStyle w:val="Strong"/>
          <w:b w:val="0"/>
          <w:bCs w:val="0"/>
          <w:sz w:val="20"/>
          <w:szCs w:val="20"/>
        </w:rPr>
        <w:t>10.4% recyclable</w:t>
      </w:r>
      <w:r w:rsidRPr="00702FFA">
        <w:rPr>
          <w:sz w:val="20"/>
          <w:szCs w:val="20"/>
        </w:rPr>
        <w:t>. Using updated calorific and efficiency metrics, energy recovery simulations showed:</w:t>
      </w:r>
    </w:p>
    <w:p w14:paraId="197527E4" w14:textId="5A175305" w:rsidR="00702FFA" w:rsidRPr="00702FFA" w:rsidRDefault="00702FFA" w:rsidP="00702FFA">
      <w:pPr>
        <w:pStyle w:val="NormalWeb"/>
        <w:numPr>
          <w:ilvl w:val="0"/>
          <w:numId w:val="68"/>
        </w:numPr>
        <w:spacing w:before="0" w:beforeAutospacing="0" w:after="0" w:afterAutospacing="0" w:line="360" w:lineRule="auto"/>
        <w:jc w:val="both"/>
        <w:rPr>
          <w:sz w:val="20"/>
          <w:szCs w:val="20"/>
        </w:rPr>
      </w:pPr>
      <w:r w:rsidRPr="00702FFA">
        <w:rPr>
          <w:rStyle w:val="Strong"/>
          <w:sz w:val="20"/>
          <w:szCs w:val="20"/>
        </w:rPr>
        <w:t>Anaerobic Digestion (AD)</w:t>
      </w:r>
      <w:r w:rsidRPr="00702FFA">
        <w:rPr>
          <w:sz w:val="20"/>
          <w:szCs w:val="20"/>
        </w:rPr>
        <w:t>: 3.8 MW/day from biodegradable waste</w:t>
      </w:r>
      <w:r>
        <w:rPr>
          <w:sz w:val="20"/>
          <w:szCs w:val="20"/>
        </w:rPr>
        <w:t>.</w:t>
      </w:r>
    </w:p>
    <w:p w14:paraId="3E882182" w14:textId="4BD8C467" w:rsidR="00702FFA" w:rsidRPr="00702FFA" w:rsidRDefault="00702FFA" w:rsidP="00702FFA">
      <w:pPr>
        <w:pStyle w:val="NormalWeb"/>
        <w:numPr>
          <w:ilvl w:val="0"/>
          <w:numId w:val="68"/>
        </w:numPr>
        <w:spacing w:before="0" w:beforeAutospacing="0" w:after="0" w:afterAutospacing="0" w:line="360" w:lineRule="auto"/>
        <w:jc w:val="both"/>
        <w:rPr>
          <w:sz w:val="20"/>
          <w:szCs w:val="20"/>
        </w:rPr>
      </w:pPr>
      <w:r w:rsidRPr="00702FFA">
        <w:rPr>
          <w:rStyle w:val="Strong"/>
          <w:sz w:val="20"/>
          <w:szCs w:val="20"/>
        </w:rPr>
        <w:t>Pyrolysis Conversion</w:t>
      </w:r>
      <w:r w:rsidRPr="00702FFA">
        <w:rPr>
          <w:sz w:val="20"/>
          <w:szCs w:val="20"/>
        </w:rPr>
        <w:t>: 6.1 MW/day from combustible fractions</w:t>
      </w:r>
      <w:r>
        <w:rPr>
          <w:sz w:val="20"/>
          <w:szCs w:val="20"/>
        </w:rPr>
        <w:t>.</w:t>
      </w:r>
    </w:p>
    <w:p w14:paraId="077A3D3D" w14:textId="55F3783C" w:rsidR="00702FFA" w:rsidRPr="00702FFA" w:rsidRDefault="00702FFA" w:rsidP="00702FFA">
      <w:pPr>
        <w:pStyle w:val="NormalWeb"/>
        <w:numPr>
          <w:ilvl w:val="0"/>
          <w:numId w:val="68"/>
        </w:numPr>
        <w:spacing w:before="0" w:beforeAutospacing="0" w:after="0" w:afterAutospacing="0" w:line="360" w:lineRule="auto"/>
        <w:jc w:val="both"/>
        <w:rPr>
          <w:sz w:val="20"/>
          <w:szCs w:val="20"/>
        </w:rPr>
      </w:pPr>
      <w:r w:rsidRPr="00702FFA">
        <w:rPr>
          <w:rStyle w:val="Strong"/>
          <w:sz w:val="20"/>
          <w:szCs w:val="20"/>
        </w:rPr>
        <w:t xml:space="preserve">Total </w:t>
      </w:r>
      <w:proofErr w:type="spellStart"/>
      <w:r w:rsidRPr="00702FFA">
        <w:rPr>
          <w:rStyle w:val="Strong"/>
          <w:sz w:val="20"/>
          <w:szCs w:val="20"/>
        </w:rPr>
        <w:t>WtE</w:t>
      </w:r>
      <w:proofErr w:type="spellEnd"/>
      <w:r w:rsidRPr="00702FFA">
        <w:rPr>
          <w:rStyle w:val="Strong"/>
          <w:sz w:val="20"/>
          <w:szCs w:val="20"/>
        </w:rPr>
        <w:t xml:space="preserve"> Output</w:t>
      </w:r>
      <w:r w:rsidRPr="00702FFA">
        <w:rPr>
          <w:sz w:val="20"/>
          <w:szCs w:val="20"/>
        </w:rPr>
        <w:t>: ~9.9 MW/day with AI optimization (up from ~7.2 MW/day baseline)</w:t>
      </w:r>
      <w:r>
        <w:rPr>
          <w:sz w:val="20"/>
          <w:szCs w:val="20"/>
        </w:rPr>
        <w:t>.</w:t>
      </w:r>
    </w:p>
    <w:p w14:paraId="778C0BCC" w14:textId="4F50E5AC"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lastRenderedPageBreak/>
        <w:t>The AI</w:t>
      </w:r>
      <w:r w:rsidR="00623253">
        <w:rPr>
          <w:sz w:val="20"/>
          <w:szCs w:val="20"/>
        </w:rPr>
        <w:t>-</w:t>
      </w:r>
      <w:r w:rsidRPr="00702FFA">
        <w:rPr>
          <w:sz w:val="20"/>
          <w:szCs w:val="20"/>
        </w:rPr>
        <w:t>CIR</w:t>
      </w:r>
      <w:r w:rsidR="00623253">
        <w:rPr>
          <w:sz w:val="20"/>
          <w:szCs w:val="20"/>
        </w:rPr>
        <w:t>-</w:t>
      </w:r>
      <w:proofErr w:type="spellStart"/>
      <w:r w:rsidRPr="00702FFA">
        <w:rPr>
          <w:sz w:val="20"/>
          <w:szCs w:val="20"/>
        </w:rPr>
        <w:t>WtE</w:t>
      </w:r>
      <w:proofErr w:type="spellEnd"/>
      <w:r w:rsidRPr="00702FFA">
        <w:rPr>
          <w:sz w:val="20"/>
          <w:szCs w:val="20"/>
        </w:rPr>
        <w:t xml:space="preserve"> system improved energy yield by </w:t>
      </w:r>
      <w:r w:rsidRPr="00702FFA">
        <w:rPr>
          <w:rStyle w:val="Strong"/>
          <w:b w:val="0"/>
          <w:bCs w:val="0"/>
          <w:sz w:val="20"/>
          <w:szCs w:val="20"/>
        </w:rPr>
        <w:t>27%</w:t>
      </w:r>
      <w:r w:rsidRPr="00702FFA">
        <w:rPr>
          <w:sz w:val="20"/>
          <w:szCs w:val="20"/>
        </w:rPr>
        <w:t xml:space="preserve"> through real-time stream segregation and processing control. Moreover, the </w:t>
      </w:r>
      <w:r w:rsidRPr="00702FFA">
        <w:rPr>
          <w:rStyle w:val="Strong"/>
          <w:b w:val="0"/>
          <w:bCs w:val="0"/>
          <w:sz w:val="20"/>
          <w:szCs w:val="20"/>
        </w:rPr>
        <w:t>Circularity Index</w:t>
      </w:r>
      <w:r w:rsidRPr="00702FFA">
        <w:rPr>
          <w:sz w:val="20"/>
          <w:szCs w:val="20"/>
        </w:rPr>
        <w:t xml:space="preserve"> rose from </w:t>
      </w:r>
      <w:r w:rsidRPr="00702FFA">
        <w:rPr>
          <w:rStyle w:val="Strong"/>
          <w:b w:val="0"/>
          <w:bCs w:val="0"/>
          <w:sz w:val="20"/>
          <w:szCs w:val="20"/>
        </w:rPr>
        <w:t>0.32 to 0.71</w:t>
      </w:r>
      <w:r w:rsidRPr="00702FFA">
        <w:rPr>
          <w:sz w:val="20"/>
          <w:szCs w:val="20"/>
        </w:rPr>
        <w:t>, driven by prioritized recovery, feedback loops, and AI-based decision-making. These improvements indicate a structural shift from linear to regenerative urban metabolism.</w:t>
      </w:r>
    </w:p>
    <w:p w14:paraId="08DD72FF" w14:textId="3DCB21D0"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Emissions Reduction and Environmental Performance</w:t>
      </w:r>
      <w:r w:rsidR="0086104A">
        <w:rPr>
          <w:rStyle w:val="Strong"/>
          <w:b/>
          <w:bCs/>
          <w:sz w:val="20"/>
          <w:szCs w:val="20"/>
        </w:rPr>
        <w:t>:</w:t>
      </w:r>
    </w:p>
    <w:p w14:paraId="32915563" w14:textId="0F67A3F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Dynamic life cycle assessment (AI</w:t>
      </w:r>
      <w:r w:rsidR="00623253">
        <w:rPr>
          <w:sz w:val="20"/>
          <w:szCs w:val="20"/>
        </w:rPr>
        <w:t>-</w:t>
      </w:r>
      <w:r w:rsidRPr="00702FFA">
        <w:rPr>
          <w:sz w:val="20"/>
          <w:szCs w:val="20"/>
        </w:rPr>
        <w:t>LCA module) revealed significant environmental gains:</w:t>
      </w:r>
    </w:p>
    <w:p w14:paraId="0C858C03" w14:textId="24A8BF67" w:rsidR="00702FFA" w:rsidRPr="00702FFA" w:rsidRDefault="00702FFA" w:rsidP="00702FFA">
      <w:pPr>
        <w:pStyle w:val="NormalWeb"/>
        <w:numPr>
          <w:ilvl w:val="0"/>
          <w:numId w:val="69"/>
        </w:numPr>
        <w:spacing w:before="0" w:beforeAutospacing="0" w:after="0" w:afterAutospacing="0" w:line="360" w:lineRule="auto"/>
        <w:jc w:val="both"/>
        <w:rPr>
          <w:sz w:val="20"/>
          <w:szCs w:val="20"/>
        </w:rPr>
      </w:pPr>
      <w:r w:rsidRPr="00702FFA">
        <w:rPr>
          <w:rStyle w:val="Strong"/>
          <w:sz w:val="20"/>
          <w:szCs w:val="20"/>
        </w:rPr>
        <w:t>GHG Reduction</w:t>
      </w:r>
      <w:r w:rsidRPr="00702FFA">
        <w:rPr>
          <w:sz w:val="20"/>
          <w:szCs w:val="20"/>
        </w:rPr>
        <w:t>: ~1,220 tons CO</w:t>
      </w:r>
      <w:r>
        <w:rPr>
          <w:sz w:val="20"/>
          <w:szCs w:val="20"/>
          <w:vertAlign w:val="subscript"/>
        </w:rPr>
        <w:t>2</w:t>
      </w:r>
      <w:r w:rsidRPr="00702FFA">
        <w:rPr>
          <w:sz w:val="20"/>
          <w:szCs w:val="20"/>
        </w:rPr>
        <w:t>e avoided daily</w:t>
      </w:r>
      <w:r>
        <w:rPr>
          <w:sz w:val="20"/>
          <w:szCs w:val="20"/>
        </w:rPr>
        <w:t>.</w:t>
      </w:r>
    </w:p>
    <w:p w14:paraId="7A5908C8" w14:textId="7D66C3B0" w:rsidR="00702FFA" w:rsidRPr="00702FFA" w:rsidRDefault="00702FFA" w:rsidP="00702FFA">
      <w:pPr>
        <w:pStyle w:val="NormalWeb"/>
        <w:numPr>
          <w:ilvl w:val="0"/>
          <w:numId w:val="69"/>
        </w:numPr>
        <w:spacing w:before="0" w:beforeAutospacing="0" w:after="0" w:afterAutospacing="0" w:line="360" w:lineRule="auto"/>
        <w:jc w:val="both"/>
        <w:rPr>
          <w:sz w:val="20"/>
          <w:szCs w:val="20"/>
        </w:rPr>
      </w:pPr>
      <w:r w:rsidRPr="00702FFA">
        <w:rPr>
          <w:rStyle w:val="Strong"/>
          <w:sz w:val="20"/>
          <w:szCs w:val="20"/>
        </w:rPr>
        <w:t>Methane Emission Cut</w:t>
      </w:r>
      <w:r w:rsidRPr="00702FFA">
        <w:rPr>
          <w:sz w:val="20"/>
          <w:szCs w:val="20"/>
        </w:rPr>
        <w:t>: ~780 kg/day via organic diversion</w:t>
      </w:r>
      <w:r>
        <w:rPr>
          <w:sz w:val="20"/>
          <w:szCs w:val="20"/>
        </w:rPr>
        <w:t>.</w:t>
      </w:r>
    </w:p>
    <w:p w14:paraId="44B2DB9D" w14:textId="234E7A58" w:rsidR="00702FFA" w:rsidRPr="00702FFA" w:rsidRDefault="00702FFA" w:rsidP="00702FFA">
      <w:pPr>
        <w:pStyle w:val="NormalWeb"/>
        <w:numPr>
          <w:ilvl w:val="0"/>
          <w:numId w:val="69"/>
        </w:numPr>
        <w:spacing w:before="0" w:beforeAutospacing="0" w:after="0" w:afterAutospacing="0" w:line="360" w:lineRule="auto"/>
        <w:jc w:val="both"/>
        <w:rPr>
          <w:sz w:val="20"/>
          <w:szCs w:val="20"/>
        </w:rPr>
      </w:pPr>
      <w:r w:rsidRPr="00702FFA">
        <w:rPr>
          <w:rStyle w:val="Strong"/>
          <w:sz w:val="20"/>
          <w:szCs w:val="20"/>
        </w:rPr>
        <w:t>Energy Offset</w:t>
      </w:r>
      <w:r w:rsidRPr="00702FFA">
        <w:rPr>
          <w:sz w:val="20"/>
          <w:szCs w:val="20"/>
        </w:rPr>
        <w:t>: Substituted fossil electricity for ~12% of daily urban demand in selected zones</w:t>
      </w:r>
      <w:r>
        <w:rPr>
          <w:sz w:val="20"/>
          <w:szCs w:val="20"/>
        </w:rPr>
        <w:t>.</w:t>
      </w:r>
    </w:p>
    <w:p w14:paraId="1C9FF2B9" w14:textId="23624765"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Compared to landfilling and static </w:t>
      </w:r>
      <w:proofErr w:type="spellStart"/>
      <w:r w:rsidRPr="00702FFA">
        <w:rPr>
          <w:sz w:val="20"/>
          <w:szCs w:val="20"/>
        </w:rPr>
        <w:t>WtE</w:t>
      </w:r>
      <w:proofErr w:type="spellEnd"/>
      <w:r w:rsidRPr="00702FFA">
        <w:rPr>
          <w:sz w:val="20"/>
          <w:szCs w:val="20"/>
        </w:rPr>
        <w:t xml:space="preserve"> systems, the AI</w:t>
      </w:r>
      <w:r w:rsidR="00623253">
        <w:rPr>
          <w:sz w:val="20"/>
          <w:szCs w:val="20"/>
        </w:rPr>
        <w:t>-</w:t>
      </w:r>
      <w:r w:rsidRPr="00702FFA">
        <w:rPr>
          <w:sz w:val="20"/>
          <w:szCs w:val="20"/>
        </w:rPr>
        <w:t>CIR</w:t>
      </w:r>
      <w:r w:rsidR="00623253">
        <w:rPr>
          <w:sz w:val="20"/>
          <w:szCs w:val="20"/>
        </w:rPr>
        <w:t>-</w:t>
      </w:r>
      <w:proofErr w:type="spellStart"/>
      <w:r w:rsidRPr="00702FFA">
        <w:rPr>
          <w:sz w:val="20"/>
          <w:szCs w:val="20"/>
        </w:rPr>
        <w:t>WtE</w:t>
      </w:r>
      <w:proofErr w:type="spellEnd"/>
      <w:r w:rsidRPr="00702FFA">
        <w:rPr>
          <w:sz w:val="20"/>
          <w:szCs w:val="20"/>
        </w:rPr>
        <w:t xml:space="preserve"> model achieved a </w:t>
      </w:r>
      <w:r w:rsidRPr="00702FFA">
        <w:rPr>
          <w:rStyle w:val="Strong"/>
          <w:b w:val="0"/>
          <w:bCs w:val="0"/>
          <w:sz w:val="20"/>
          <w:szCs w:val="20"/>
        </w:rPr>
        <w:t>36.4% reduction in life-cycle GHG emissions</w:t>
      </w:r>
      <w:r w:rsidRPr="00702FFA">
        <w:rPr>
          <w:sz w:val="20"/>
          <w:szCs w:val="20"/>
        </w:rPr>
        <w:t>, validating its potential for verified carbon credit generation and compliance with Tier 2+ MRV standards.</w:t>
      </w:r>
    </w:p>
    <w:p w14:paraId="26522689" w14:textId="7A202227"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Infrastructure Resilience Under Climate Disruption</w:t>
      </w:r>
      <w:r w:rsidR="0086104A">
        <w:rPr>
          <w:rStyle w:val="Strong"/>
          <w:b/>
          <w:bCs/>
          <w:sz w:val="20"/>
          <w:szCs w:val="20"/>
        </w:rPr>
        <w:t>:</w:t>
      </w:r>
    </w:p>
    <w:p w14:paraId="389D0F17"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Using monsoon flood and heatwave scenarios, the framework demonstrated robust adaptive responses:</w:t>
      </w:r>
    </w:p>
    <w:p w14:paraId="7C58BD78" w14:textId="78C386B7" w:rsidR="00702FFA" w:rsidRPr="00702FFA" w:rsidRDefault="00702FFA" w:rsidP="00702FFA">
      <w:pPr>
        <w:pStyle w:val="NormalWeb"/>
        <w:numPr>
          <w:ilvl w:val="0"/>
          <w:numId w:val="70"/>
        </w:numPr>
        <w:spacing w:before="0" w:beforeAutospacing="0" w:after="0" w:afterAutospacing="0" w:line="360" w:lineRule="auto"/>
        <w:jc w:val="both"/>
        <w:rPr>
          <w:sz w:val="20"/>
          <w:szCs w:val="20"/>
        </w:rPr>
      </w:pPr>
      <w:r w:rsidRPr="00702FFA">
        <w:rPr>
          <w:sz w:val="20"/>
          <w:szCs w:val="20"/>
        </w:rPr>
        <w:t>Real-time rerouting of waste collection trucks in flooded zones (e.g., Zones 4, 7, 10)</w:t>
      </w:r>
      <w:r>
        <w:rPr>
          <w:sz w:val="20"/>
          <w:szCs w:val="20"/>
        </w:rPr>
        <w:t>.</w:t>
      </w:r>
    </w:p>
    <w:p w14:paraId="736995CF" w14:textId="00141272" w:rsidR="00702FFA" w:rsidRPr="00702FFA" w:rsidRDefault="00702FFA" w:rsidP="00702FFA">
      <w:pPr>
        <w:pStyle w:val="NormalWeb"/>
        <w:numPr>
          <w:ilvl w:val="0"/>
          <w:numId w:val="70"/>
        </w:numPr>
        <w:spacing w:before="0" w:beforeAutospacing="0" w:after="0" w:afterAutospacing="0" w:line="360" w:lineRule="auto"/>
        <w:jc w:val="both"/>
        <w:rPr>
          <w:sz w:val="20"/>
          <w:szCs w:val="20"/>
        </w:rPr>
      </w:pPr>
      <w:r w:rsidRPr="00702FFA">
        <w:rPr>
          <w:sz w:val="20"/>
          <w:szCs w:val="20"/>
        </w:rPr>
        <w:t>Load balancing across decentralized AD units</w:t>
      </w:r>
      <w:r>
        <w:rPr>
          <w:sz w:val="20"/>
          <w:szCs w:val="20"/>
        </w:rPr>
        <w:t>.</w:t>
      </w:r>
    </w:p>
    <w:p w14:paraId="34A511B9" w14:textId="1D144B8D" w:rsidR="00702FFA" w:rsidRPr="00702FFA" w:rsidRDefault="00702FFA" w:rsidP="00702FFA">
      <w:pPr>
        <w:pStyle w:val="NormalWeb"/>
        <w:numPr>
          <w:ilvl w:val="0"/>
          <w:numId w:val="70"/>
        </w:numPr>
        <w:spacing w:before="0" w:beforeAutospacing="0" w:after="0" w:afterAutospacing="0" w:line="360" w:lineRule="auto"/>
        <w:jc w:val="both"/>
        <w:rPr>
          <w:sz w:val="20"/>
          <w:szCs w:val="20"/>
        </w:rPr>
      </w:pPr>
      <w:r w:rsidRPr="00702FFA">
        <w:rPr>
          <w:sz w:val="20"/>
          <w:szCs w:val="20"/>
        </w:rPr>
        <w:t>Automated activation of off-grid energy storage in blackout zones</w:t>
      </w:r>
      <w:r>
        <w:rPr>
          <w:sz w:val="20"/>
          <w:szCs w:val="20"/>
        </w:rPr>
        <w:t>.</w:t>
      </w:r>
    </w:p>
    <w:p w14:paraId="3BA5B2DC"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System downtime decreased by </w:t>
      </w:r>
      <w:r w:rsidRPr="00702FFA">
        <w:rPr>
          <w:rStyle w:val="Strong"/>
          <w:b w:val="0"/>
          <w:bCs w:val="0"/>
          <w:sz w:val="20"/>
          <w:szCs w:val="20"/>
        </w:rPr>
        <w:t>64%</w:t>
      </w:r>
      <w:r w:rsidRPr="00702FFA">
        <w:rPr>
          <w:sz w:val="20"/>
          <w:szCs w:val="20"/>
        </w:rPr>
        <w:t xml:space="preserve">, and emergency waste accumulation was mitigated in real time. This confirms the framework’s capacity to operate as a </w:t>
      </w:r>
      <w:r w:rsidRPr="00702FFA">
        <w:rPr>
          <w:rStyle w:val="Strong"/>
          <w:b w:val="0"/>
          <w:bCs w:val="0"/>
          <w:sz w:val="20"/>
          <w:szCs w:val="20"/>
        </w:rPr>
        <w:t>resilience-enhancing utility</w:t>
      </w:r>
      <w:r w:rsidRPr="00702FFA">
        <w:rPr>
          <w:sz w:val="20"/>
          <w:szCs w:val="20"/>
        </w:rPr>
        <w:t>, rather than a vulnerability amplifier during climate shocks.</w:t>
      </w:r>
    </w:p>
    <w:p w14:paraId="38C97ADB" w14:textId="12B9B9F8"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Economic Viability and Resource Efficiency</w:t>
      </w:r>
      <w:r w:rsidR="0086104A">
        <w:rPr>
          <w:rStyle w:val="Strong"/>
          <w:b/>
          <w:bCs/>
          <w:sz w:val="20"/>
          <w:szCs w:val="20"/>
        </w:rPr>
        <w:t>:</w:t>
      </w:r>
    </w:p>
    <w:p w14:paraId="247B0664"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Cost-benefit modeling indicates that with a 5-zone pilot deployment:</w:t>
      </w:r>
    </w:p>
    <w:p w14:paraId="1EB0F436" w14:textId="2F8B3E00" w:rsidR="00702FFA" w:rsidRPr="00702FFA" w:rsidRDefault="00702FFA" w:rsidP="00702FFA">
      <w:pPr>
        <w:pStyle w:val="NormalWeb"/>
        <w:numPr>
          <w:ilvl w:val="0"/>
          <w:numId w:val="71"/>
        </w:numPr>
        <w:spacing w:before="0" w:beforeAutospacing="0" w:after="0" w:afterAutospacing="0" w:line="360" w:lineRule="auto"/>
        <w:jc w:val="both"/>
        <w:rPr>
          <w:sz w:val="20"/>
          <w:szCs w:val="20"/>
        </w:rPr>
      </w:pPr>
      <w:r w:rsidRPr="00702FFA">
        <w:rPr>
          <w:rStyle w:val="Strong"/>
          <w:sz w:val="20"/>
          <w:szCs w:val="20"/>
        </w:rPr>
        <w:t>CAPEX</w:t>
      </w:r>
      <w:r w:rsidRPr="00702FFA">
        <w:rPr>
          <w:sz w:val="20"/>
          <w:szCs w:val="20"/>
        </w:rPr>
        <w:t xml:space="preserve">: $18.5 million; </w:t>
      </w:r>
      <w:r w:rsidRPr="00702FFA">
        <w:rPr>
          <w:rStyle w:val="Strong"/>
          <w:sz w:val="20"/>
          <w:szCs w:val="20"/>
        </w:rPr>
        <w:t>OPEX</w:t>
      </w:r>
      <w:r w:rsidRPr="00702FFA">
        <w:rPr>
          <w:sz w:val="20"/>
          <w:szCs w:val="20"/>
        </w:rPr>
        <w:t>: $2.3 million/year</w:t>
      </w:r>
      <w:r w:rsidR="00A74274">
        <w:rPr>
          <w:sz w:val="20"/>
          <w:szCs w:val="20"/>
        </w:rPr>
        <w:t>.</w:t>
      </w:r>
    </w:p>
    <w:p w14:paraId="059572D8" w14:textId="77777777" w:rsidR="00702FFA" w:rsidRPr="00702FFA" w:rsidRDefault="00702FFA" w:rsidP="00702FFA">
      <w:pPr>
        <w:pStyle w:val="NormalWeb"/>
        <w:numPr>
          <w:ilvl w:val="0"/>
          <w:numId w:val="71"/>
        </w:numPr>
        <w:spacing w:before="0" w:beforeAutospacing="0" w:after="0" w:afterAutospacing="0" w:line="360" w:lineRule="auto"/>
        <w:jc w:val="both"/>
        <w:rPr>
          <w:sz w:val="20"/>
          <w:szCs w:val="20"/>
        </w:rPr>
      </w:pPr>
      <w:r w:rsidRPr="00702FFA">
        <w:rPr>
          <w:rStyle w:val="Strong"/>
          <w:sz w:val="20"/>
          <w:szCs w:val="20"/>
        </w:rPr>
        <w:t>Revenue Streams</w:t>
      </w:r>
      <w:r w:rsidRPr="00702FFA">
        <w:rPr>
          <w:sz w:val="20"/>
          <w:szCs w:val="20"/>
        </w:rPr>
        <w:t>:</w:t>
      </w:r>
    </w:p>
    <w:p w14:paraId="516376EC" w14:textId="38132509" w:rsidR="00702FFA" w:rsidRPr="00702FFA" w:rsidRDefault="00702FFA" w:rsidP="00702FFA">
      <w:pPr>
        <w:pStyle w:val="NormalWeb"/>
        <w:numPr>
          <w:ilvl w:val="1"/>
          <w:numId w:val="71"/>
        </w:numPr>
        <w:spacing w:before="0" w:beforeAutospacing="0" w:after="0" w:afterAutospacing="0" w:line="360" w:lineRule="auto"/>
        <w:jc w:val="both"/>
        <w:rPr>
          <w:sz w:val="20"/>
          <w:szCs w:val="20"/>
        </w:rPr>
      </w:pPr>
      <w:r w:rsidRPr="00702FFA">
        <w:rPr>
          <w:sz w:val="20"/>
          <w:szCs w:val="20"/>
        </w:rPr>
        <w:t>Energy sales: ~$3.25 million/year</w:t>
      </w:r>
      <w:r w:rsidR="00A74274">
        <w:rPr>
          <w:sz w:val="20"/>
          <w:szCs w:val="20"/>
        </w:rPr>
        <w:t>.</w:t>
      </w:r>
    </w:p>
    <w:p w14:paraId="6FD62D40" w14:textId="1930C9C5" w:rsidR="00702FFA" w:rsidRPr="00702FFA" w:rsidRDefault="00702FFA" w:rsidP="00702FFA">
      <w:pPr>
        <w:pStyle w:val="NormalWeb"/>
        <w:numPr>
          <w:ilvl w:val="1"/>
          <w:numId w:val="71"/>
        </w:numPr>
        <w:spacing w:before="0" w:beforeAutospacing="0" w:after="0" w:afterAutospacing="0" w:line="360" w:lineRule="auto"/>
        <w:jc w:val="both"/>
        <w:rPr>
          <w:sz w:val="20"/>
          <w:szCs w:val="20"/>
        </w:rPr>
      </w:pPr>
      <w:r w:rsidRPr="00702FFA">
        <w:rPr>
          <w:sz w:val="20"/>
          <w:szCs w:val="20"/>
        </w:rPr>
        <w:t>Carbon credits: ~$13.4 million/year</w:t>
      </w:r>
      <w:r w:rsidR="00A74274">
        <w:rPr>
          <w:sz w:val="20"/>
          <w:szCs w:val="20"/>
        </w:rPr>
        <w:t>.</w:t>
      </w:r>
    </w:p>
    <w:p w14:paraId="0692D136" w14:textId="7FB94096" w:rsidR="00702FFA" w:rsidRPr="00702FFA" w:rsidRDefault="00702FFA" w:rsidP="00702FFA">
      <w:pPr>
        <w:pStyle w:val="NormalWeb"/>
        <w:numPr>
          <w:ilvl w:val="1"/>
          <w:numId w:val="71"/>
        </w:numPr>
        <w:spacing w:before="0" w:beforeAutospacing="0" w:after="0" w:afterAutospacing="0" w:line="360" w:lineRule="auto"/>
        <w:jc w:val="both"/>
        <w:rPr>
          <w:sz w:val="20"/>
          <w:szCs w:val="20"/>
        </w:rPr>
      </w:pPr>
      <w:r w:rsidRPr="00702FFA">
        <w:rPr>
          <w:sz w:val="20"/>
          <w:szCs w:val="20"/>
        </w:rPr>
        <w:t>Landfill cost avoidance: ~$1.7 million/year</w:t>
      </w:r>
      <w:r w:rsidR="00A74274">
        <w:rPr>
          <w:sz w:val="20"/>
          <w:szCs w:val="20"/>
        </w:rPr>
        <w:t>.</w:t>
      </w:r>
    </w:p>
    <w:p w14:paraId="4970B9E4" w14:textId="49B154F3"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The system achieved </w:t>
      </w:r>
      <w:r w:rsidRPr="00A74274">
        <w:rPr>
          <w:rStyle w:val="Strong"/>
          <w:b w:val="0"/>
          <w:bCs w:val="0"/>
          <w:sz w:val="20"/>
          <w:szCs w:val="20"/>
        </w:rPr>
        <w:t>break-even within 2.5 years</w:t>
      </w:r>
      <w:r w:rsidRPr="00702FFA">
        <w:rPr>
          <w:sz w:val="20"/>
          <w:szCs w:val="20"/>
        </w:rPr>
        <w:t>, with further benefits through monetized co-products (biochar, water savings) and reduced environmental liabilities. This supports the economic scalability of the AI</w:t>
      </w:r>
      <w:r w:rsidR="00623253">
        <w:rPr>
          <w:sz w:val="20"/>
          <w:szCs w:val="20"/>
        </w:rPr>
        <w:t>-</w:t>
      </w:r>
      <w:r w:rsidRPr="00702FFA">
        <w:rPr>
          <w:sz w:val="20"/>
          <w:szCs w:val="20"/>
        </w:rPr>
        <w:t>CIR</w:t>
      </w:r>
      <w:r w:rsidR="00623253">
        <w:rPr>
          <w:sz w:val="20"/>
          <w:szCs w:val="20"/>
        </w:rPr>
        <w:t>-</w:t>
      </w:r>
      <w:proofErr w:type="spellStart"/>
      <w:r w:rsidRPr="00702FFA">
        <w:rPr>
          <w:sz w:val="20"/>
          <w:szCs w:val="20"/>
        </w:rPr>
        <w:t>WtE</w:t>
      </w:r>
      <w:proofErr w:type="spellEnd"/>
      <w:r w:rsidRPr="00702FFA">
        <w:rPr>
          <w:sz w:val="20"/>
          <w:szCs w:val="20"/>
        </w:rPr>
        <w:t xml:space="preserve"> model under public</w:t>
      </w:r>
      <w:r w:rsidR="00623253">
        <w:rPr>
          <w:sz w:val="20"/>
          <w:szCs w:val="20"/>
        </w:rPr>
        <w:t>-</w:t>
      </w:r>
      <w:r w:rsidRPr="00702FFA">
        <w:rPr>
          <w:sz w:val="20"/>
          <w:szCs w:val="20"/>
        </w:rPr>
        <w:t>private partnerships and climate finance instruments.</w:t>
      </w:r>
    </w:p>
    <w:p w14:paraId="2292D772" w14:textId="2CFD768D"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Inclusion, Digital Equity, and Governance Readiness</w:t>
      </w:r>
      <w:r w:rsidR="0086104A">
        <w:rPr>
          <w:rStyle w:val="Strong"/>
          <w:b/>
          <w:bCs/>
          <w:sz w:val="20"/>
          <w:szCs w:val="20"/>
        </w:rPr>
        <w:t>:</w:t>
      </w:r>
    </w:p>
    <w:p w14:paraId="765FE875"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Results also confirm the framework’s alignment with equity and inclusion objectives:</w:t>
      </w:r>
    </w:p>
    <w:p w14:paraId="5865CB9C" w14:textId="77777777" w:rsidR="00702FFA" w:rsidRPr="00702FFA" w:rsidRDefault="00702FFA" w:rsidP="00702FFA">
      <w:pPr>
        <w:pStyle w:val="NormalWeb"/>
        <w:numPr>
          <w:ilvl w:val="0"/>
          <w:numId w:val="72"/>
        </w:numPr>
        <w:spacing w:before="0" w:beforeAutospacing="0" w:after="0" w:afterAutospacing="0" w:line="360" w:lineRule="auto"/>
        <w:jc w:val="both"/>
        <w:rPr>
          <w:sz w:val="20"/>
          <w:szCs w:val="20"/>
        </w:rPr>
      </w:pPr>
      <w:r w:rsidRPr="00A74274">
        <w:rPr>
          <w:rStyle w:val="Strong"/>
          <w:b w:val="0"/>
          <w:bCs w:val="0"/>
          <w:sz w:val="20"/>
          <w:szCs w:val="20"/>
        </w:rPr>
        <w:t>Gender-disaggregated data platforms</w:t>
      </w:r>
      <w:r w:rsidRPr="00702FFA">
        <w:rPr>
          <w:sz w:val="20"/>
          <w:szCs w:val="20"/>
        </w:rPr>
        <w:t xml:space="preserve"> enabled visibility into informal waste labor contributions.</w:t>
      </w:r>
    </w:p>
    <w:p w14:paraId="54410A4B" w14:textId="77777777" w:rsidR="00702FFA" w:rsidRPr="00702FFA" w:rsidRDefault="00702FFA" w:rsidP="00702FFA">
      <w:pPr>
        <w:pStyle w:val="NormalWeb"/>
        <w:numPr>
          <w:ilvl w:val="0"/>
          <w:numId w:val="72"/>
        </w:numPr>
        <w:spacing w:before="0" w:beforeAutospacing="0" w:after="0" w:afterAutospacing="0" w:line="360" w:lineRule="auto"/>
        <w:jc w:val="both"/>
        <w:rPr>
          <w:sz w:val="20"/>
          <w:szCs w:val="20"/>
        </w:rPr>
      </w:pPr>
      <w:r w:rsidRPr="00A74274">
        <w:rPr>
          <w:rStyle w:val="Strong"/>
          <w:b w:val="0"/>
          <w:bCs w:val="0"/>
          <w:sz w:val="20"/>
          <w:szCs w:val="20"/>
        </w:rPr>
        <w:t>Digital skills training</w:t>
      </w:r>
      <w:r w:rsidRPr="00702FFA">
        <w:rPr>
          <w:sz w:val="20"/>
          <w:szCs w:val="20"/>
        </w:rPr>
        <w:t xml:space="preserve"> modules for women and youth facilitated engagement in dashboard operations and smart bin maintenance.</w:t>
      </w:r>
    </w:p>
    <w:p w14:paraId="5E34CB4B" w14:textId="77777777" w:rsidR="00702FFA" w:rsidRPr="00702FFA" w:rsidRDefault="00702FFA" w:rsidP="00702FFA">
      <w:pPr>
        <w:pStyle w:val="NormalWeb"/>
        <w:numPr>
          <w:ilvl w:val="0"/>
          <w:numId w:val="72"/>
        </w:numPr>
        <w:spacing w:before="0" w:beforeAutospacing="0" w:after="0" w:afterAutospacing="0" w:line="360" w:lineRule="auto"/>
        <w:jc w:val="both"/>
        <w:rPr>
          <w:sz w:val="20"/>
          <w:szCs w:val="20"/>
        </w:rPr>
      </w:pPr>
      <w:r w:rsidRPr="00A74274">
        <w:rPr>
          <w:rStyle w:val="Strong"/>
          <w:b w:val="0"/>
          <w:bCs w:val="0"/>
          <w:sz w:val="20"/>
          <w:szCs w:val="20"/>
        </w:rPr>
        <w:t>Blockchain-linked incentives</w:t>
      </w:r>
      <w:r w:rsidRPr="00702FFA">
        <w:rPr>
          <w:sz w:val="20"/>
          <w:szCs w:val="20"/>
        </w:rPr>
        <w:t xml:space="preserve"> provided traceability and formal recognition for informal workers.</w:t>
      </w:r>
    </w:p>
    <w:p w14:paraId="2A67D33D"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These elements satisfy eligibility for international climate funds (e.g., GCF, UNDP) and reinforce the framework’s capacity to address social justice alongside environmental sustainability.</w:t>
      </w:r>
    </w:p>
    <w:p w14:paraId="77D17D7C" w14:textId="3887C6D6"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Comparative Performance and Global Benchmarking</w:t>
      </w:r>
      <w:r w:rsidR="0086104A">
        <w:rPr>
          <w:rStyle w:val="Strong"/>
          <w:b/>
          <w:bCs/>
          <w:sz w:val="20"/>
          <w:szCs w:val="20"/>
        </w:rPr>
        <w:t xml:space="preserve">: </w:t>
      </w:r>
    </w:p>
    <w:p w14:paraId="3AC80897" w14:textId="16521765"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Benchmarking against international models (e.g., Singapore’s City Brain, Sweden’s national </w:t>
      </w:r>
      <w:proofErr w:type="spellStart"/>
      <w:r w:rsidRPr="00702FFA">
        <w:rPr>
          <w:sz w:val="20"/>
          <w:szCs w:val="20"/>
        </w:rPr>
        <w:t>WtE</w:t>
      </w:r>
      <w:proofErr w:type="spellEnd"/>
      <w:r w:rsidRPr="00702FFA">
        <w:rPr>
          <w:sz w:val="20"/>
          <w:szCs w:val="20"/>
        </w:rPr>
        <w:t xml:space="preserve"> grid, Amsterdam’s AI-powered pyrolysis hub) reveals that AI</w:t>
      </w:r>
      <w:r w:rsidR="00623253">
        <w:rPr>
          <w:sz w:val="20"/>
          <w:szCs w:val="20"/>
        </w:rPr>
        <w:t>-</w:t>
      </w:r>
      <w:r w:rsidRPr="00702FFA">
        <w:rPr>
          <w:sz w:val="20"/>
          <w:szCs w:val="20"/>
        </w:rPr>
        <w:t>CIR</w:t>
      </w:r>
      <w:r w:rsidR="00623253">
        <w:rPr>
          <w:sz w:val="20"/>
          <w:szCs w:val="20"/>
        </w:rPr>
        <w:t>-</w:t>
      </w:r>
      <w:proofErr w:type="spellStart"/>
      <w:r w:rsidRPr="00702FFA">
        <w:rPr>
          <w:sz w:val="20"/>
          <w:szCs w:val="20"/>
        </w:rPr>
        <w:t>WtE</w:t>
      </w:r>
      <w:proofErr w:type="spellEnd"/>
      <w:r w:rsidRPr="00702FFA">
        <w:rPr>
          <w:sz w:val="20"/>
          <w:szCs w:val="20"/>
        </w:rPr>
        <w:t xml:space="preserve"> surpasses existing systems in:</w:t>
      </w:r>
    </w:p>
    <w:tbl>
      <w:tblPr>
        <w:tblStyle w:val="TableGrid"/>
        <w:tblW w:w="9382" w:type="dxa"/>
        <w:tblLook w:val="04A0" w:firstRow="1" w:lastRow="0" w:firstColumn="1" w:lastColumn="0" w:noHBand="0" w:noVBand="1"/>
      </w:tblPr>
      <w:tblGrid>
        <w:gridCol w:w="1988"/>
        <w:gridCol w:w="1423"/>
        <w:gridCol w:w="1566"/>
        <w:gridCol w:w="1565"/>
        <w:gridCol w:w="2840"/>
      </w:tblGrid>
      <w:tr w:rsidR="00A74274" w14:paraId="13BAAB52" w14:textId="77777777" w:rsidTr="00A74274">
        <w:trPr>
          <w:trHeight w:val="440"/>
        </w:trPr>
        <w:tc>
          <w:tcPr>
            <w:tcW w:w="1988" w:type="dxa"/>
            <w:vAlign w:val="center"/>
          </w:tcPr>
          <w:p w14:paraId="28EF7081" w14:textId="3EE0FA21"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Metric</w:t>
            </w:r>
          </w:p>
        </w:tc>
        <w:tc>
          <w:tcPr>
            <w:tcW w:w="1423" w:type="dxa"/>
            <w:vAlign w:val="center"/>
          </w:tcPr>
          <w:p w14:paraId="04BBCE99" w14:textId="57E88BFE"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Singapore</w:t>
            </w:r>
          </w:p>
        </w:tc>
        <w:tc>
          <w:tcPr>
            <w:tcW w:w="1566" w:type="dxa"/>
            <w:vAlign w:val="center"/>
          </w:tcPr>
          <w:p w14:paraId="33F16CDE" w14:textId="0F4F7E78"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Sweden</w:t>
            </w:r>
          </w:p>
        </w:tc>
        <w:tc>
          <w:tcPr>
            <w:tcW w:w="1565" w:type="dxa"/>
            <w:vAlign w:val="center"/>
          </w:tcPr>
          <w:p w14:paraId="4FEA5DB5" w14:textId="77B38A59"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Amsterdam</w:t>
            </w:r>
          </w:p>
        </w:tc>
        <w:tc>
          <w:tcPr>
            <w:tcW w:w="2840" w:type="dxa"/>
            <w:vAlign w:val="center"/>
          </w:tcPr>
          <w:p w14:paraId="6D19D985" w14:textId="3DCF607C"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AI–CIR–</w:t>
            </w:r>
            <w:proofErr w:type="spellStart"/>
            <w:r w:rsidRPr="00702FFA">
              <w:rPr>
                <w:rFonts w:ascii="Times New Roman" w:eastAsia="Times New Roman" w:hAnsi="Times New Roman" w:cs="Times New Roman"/>
                <w:b/>
                <w:bCs/>
                <w:sz w:val="20"/>
                <w:szCs w:val="20"/>
              </w:rPr>
              <w:t>WtE</w:t>
            </w:r>
            <w:proofErr w:type="spellEnd"/>
            <w:r w:rsidRPr="00702FFA">
              <w:rPr>
                <w:rFonts w:ascii="Times New Roman" w:eastAsia="Times New Roman" w:hAnsi="Times New Roman" w:cs="Times New Roman"/>
                <w:b/>
                <w:bCs/>
                <w:sz w:val="20"/>
                <w:szCs w:val="20"/>
              </w:rPr>
              <w:t xml:space="preserve"> (Dhaka)</w:t>
            </w:r>
          </w:p>
        </w:tc>
      </w:tr>
      <w:tr w:rsidR="00A74274" w14:paraId="236F5EC0" w14:textId="77777777" w:rsidTr="00A74274">
        <w:trPr>
          <w:trHeight w:val="440"/>
        </w:trPr>
        <w:tc>
          <w:tcPr>
            <w:tcW w:w="1988" w:type="dxa"/>
            <w:vAlign w:val="center"/>
          </w:tcPr>
          <w:p w14:paraId="7B4B20C2" w14:textId="57B53B1B"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lastRenderedPageBreak/>
              <w:t>Forecasting Accuracy</w:t>
            </w:r>
          </w:p>
        </w:tc>
        <w:tc>
          <w:tcPr>
            <w:tcW w:w="1423" w:type="dxa"/>
            <w:vAlign w:val="center"/>
          </w:tcPr>
          <w:p w14:paraId="0C34A69E" w14:textId="5EA94E47"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~85%</w:t>
            </w:r>
          </w:p>
        </w:tc>
        <w:tc>
          <w:tcPr>
            <w:tcW w:w="1566" w:type="dxa"/>
            <w:vAlign w:val="center"/>
          </w:tcPr>
          <w:p w14:paraId="5AE8C3DA" w14:textId="202CE0F9"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~88%</w:t>
            </w:r>
          </w:p>
        </w:tc>
        <w:tc>
          <w:tcPr>
            <w:tcW w:w="1565" w:type="dxa"/>
            <w:vAlign w:val="center"/>
          </w:tcPr>
          <w:p w14:paraId="2EAE74D6" w14:textId="74BF6880"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~90%</w:t>
            </w:r>
          </w:p>
        </w:tc>
        <w:tc>
          <w:tcPr>
            <w:tcW w:w="2840" w:type="dxa"/>
            <w:vAlign w:val="center"/>
          </w:tcPr>
          <w:p w14:paraId="75C50C22" w14:textId="6E18F19B"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&gt;92%</w:t>
            </w:r>
          </w:p>
        </w:tc>
      </w:tr>
      <w:tr w:rsidR="00A74274" w14:paraId="3C09599A" w14:textId="77777777" w:rsidTr="00A74274">
        <w:trPr>
          <w:trHeight w:val="440"/>
        </w:trPr>
        <w:tc>
          <w:tcPr>
            <w:tcW w:w="1988" w:type="dxa"/>
            <w:vAlign w:val="center"/>
          </w:tcPr>
          <w:p w14:paraId="0292C2E5" w14:textId="4DF9B1EE"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Climate Resilience</w:t>
            </w:r>
          </w:p>
        </w:tc>
        <w:tc>
          <w:tcPr>
            <w:tcW w:w="1423" w:type="dxa"/>
            <w:vAlign w:val="center"/>
          </w:tcPr>
          <w:p w14:paraId="534B882F" w14:textId="7F2BE394"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Partial</w:t>
            </w:r>
          </w:p>
        </w:tc>
        <w:tc>
          <w:tcPr>
            <w:tcW w:w="1566" w:type="dxa"/>
            <w:vAlign w:val="center"/>
          </w:tcPr>
          <w:p w14:paraId="13B44760" w14:textId="51C6A917"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None</w:t>
            </w:r>
          </w:p>
        </w:tc>
        <w:tc>
          <w:tcPr>
            <w:tcW w:w="1565" w:type="dxa"/>
            <w:vAlign w:val="center"/>
          </w:tcPr>
          <w:p w14:paraId="0622DF42" w14:textId="4D51A8CD"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Low</w:t>
            </w:r>
          </w:p>
        </w:tc>
        <w:tc>
          <w:tcPr>
            <w:tcW w:w="2840" w:type="dxa"/>
            <w:vAlign w:val="center"/>
          </w:tcPr>
          <w:p w14:paraId="02DB8EFE" w14:textId="50C5AB52"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High (multi-scenario)</w:t>
            </w:r>
          </w:p>
        </w:tc>
      </w:tr>
      <w:tr w:rsidR="00A74274" w14:paraId="3F2191F8" w14:textId="77777777" w:rsidTr="00A74274">
        <w:trPr>
          <w:trHeight w:val="457"/>
        </w:trPr>
        <w:tc>
          <w:tcPr>
            <w:tcW w:w="1988" w:type="dxa"/>
            <w:vAlign w:val="center"/>
          </w:tcPr>
          <w:p w14:paraId="4DBF2CAF" w14:textId="4A4A4361"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Circularity Index</w:t>
            </w:r>
          </w:p>
        </w:tc>
        <w:tc>
          <w:tcPr>
            <w:tcW w:w="1423" w:type="dxa"/>
            <w:vAlign w:val="center"/>
          </w:tcPr>
          <w:p w14:paraId="3A2207D9" w14:textId="1E07AADF"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Static</w:t>
            </w:r>
          </w:p>
        </w:tc>
        <w:tc>
          <w:tcPr>
            <w:tcW w:w="1566" w:type="dxa"/>
            <w:vAlign w:val="center"/>
          </w:tcPr>
          <w:p w14:paraId="4693D43E" w14:textId="2732DD31"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Annual</w:t>
            </w:r>
          </w:p>
        </w:tc>
        <w:tc>
          <w:tcPr>
            <w:tcW w:w="1565" w:type="dxa"/>
            <w:vAlign w:val="center"/>
          </w:tcPr>
          <w:p w14:paraId="30422225" w14:textId="655C72C5"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Monthly</w:t>
            </w:r>
          </w:p>
        </w:tc>
        <w:tc>
          <w:tcPr>
            <w:tcW w:w="2840" w:type="dxa"/>
            <w:vAlign w:val="center"/>
          </w:tcPr>
          <w:p w14:paraId="7424B430" w14:textId="26ABE4D5"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Real-time, adaptive</w:t>
            </w:r>
          </w:p>
        </w:tc>
      </w:tr>
      <w:tr w:rsidR="00A74274" w14:paraId="7DFE0D65" w14:textId="77777777" w:rsidTr="00A74274">
        <w:trPr>
          <w:trHeight w:val="440"/>
        </w:trPr>
        <w:tc>
          <w:tcPr>
            <w:tcW w:w="1988" w:type="dxa"/>
            <w:vAlign w:val="center"/>
          </w:tcPr>
          <w:p w14:paraId="05E9ACBE" w14:textId="2B767D1F"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Energy Efficiency</w:t>
            </w:r>
          </w:p>
        </w:tc>
        <w:tc>
          <w:tcPr>
            <w:tcW w:w="1423" w:type="dxa"/>
            <w:vAlign w:val="center"/>
          </w:tcPr>
          <w:p w14:paraId="709499BC" w14:textId="7BAADB82"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~20–28%</w:t>
            </w:r>
          </w:p>
        </w:tc>
        <w:tc>
          <w:tcPr>
            <w:tcW w:w="1566" w:type="dxa"/>
            <w:vAlign w:val="center"/>
          </w:tcPr>
          <w:p w14:paraId="0FDAC1A7" w14:textId="64B414D8"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23–25%</w:t>
            </w:r>
          </w:p>
        </w:tc>
        <w:tc>
          <w:tcPr>
            <w:tcW w:w="1565" w:type="dxa"/>
            <w:vAlign w:val="center"/>
          </w:tcPr>
          <w:p w14:paraId="5643DCFD" w14:textId="6B907DCE"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28%</w:t>
            </w:r>
          </w:p>
        </w:tc>
        <w:tc>
          <w:tcPr>
            <w:tcW w:w="2840" w:type="dxa"/>
            <w:vAlign w:val="center"/>
          </w:tcPr>
          <w:p w14:paraId="0481AE08" w14:textId="213731C9"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&gt;31%</w:t>
            </w:r>
          </w:p>
        </w:tc>
      </w:tr>
      <w:tr w:rsidR="00A74274" w14:paraId="2CA8FDAA" w14:textId="77777777" w:rsidTr="00A74274">
        <w:trPr>
          <w:trHeight w:val="880"/>
        </w:trPr>
        <w:tc>
          <w:tcPr>
            <w:tcW w:w="1988" w:type="dxa"/>
            <w:vAlign w:val="center"/>
          </w:tcPr>
          <w:p w14:paraId="1654C724" w14:textId="5D7DBFDD"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Decentralized Readiness</w:t>
            </w:r>
          </w:p>
        </w:tc>
        <w:tc>
          <w:tcPr>
            <w:tcW w:w="1423" w:type="dxa"/>
            <w:vAlign w:val="center"/>
          </w:tcPr>
          <w:p w14:paraId="4D6875D6" w14:textId="3C3664F1"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Low</w:t>
            </w:r>
          </w:p>
        </w:tc>
        <w:tc>
          <w:tcPr>
            <w:tcW w:w="1566" w:type="dxa"/>
            <w:vAlign w:val="center"/>
          </w:tcPr>
          <w:p w14:paraId="3B7D70B4" w14:textId="0DCB3B5C"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Partial</w:t>
            </w:r>
          </w:p>
        </w:tc>
        <w:tc>
          <w:tcPr>
            <w:tcW w:w="1565" w:type="dxa"/>
            <w:vAlign w:val="center"/>
          </w:tcPr>
          <w:p w14:paraId="56597AB0" w14:textId="48B0E8AD"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Low</w:t>
            </w:r>
          </w:p>
        </w:tc>
        <w:tc>
          <w:tcPr>
            <w:tcW w:w="2840" w:type="dxa"/>
            <w:vAlign w:val="center"/>
          </w:tcPr>
          <w:p w14:paraId="41C48ED9" w14:textId="45DB0DCA"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Full (microgrid-ready)</w:t>
            </w:r>
          </w:p>
        </w:tc>
      </w:tr>
    </w:tbl>
    <w:p w14:paraId="77267A65" w14:textId="7F843D08" w:rsidR="008C68FB" w:rsidRPr="00702FFA" w:rsidRDefault="00A74274" w:rsidP="00A7427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05: </w:t>
      </w:r>
      <w:r w:rsidRPr="00702FFA">
        <w:rPr>
          <w:rFonts w:ascii="Times New Roman" w:hAnsi="Times New Roman" w:cs="Times New Roman"/>
          <w:sz w:val="20"/>
          <w:szCs w:val="20"/>
        </w:rPr>
        <w:t>AI</w:t>
      </w:r>
      <w:r>
        <w:rPr>
          <w:rFonts w:ascii="Times New Roman" w:hAnsi="Times New Roman" w:cs="Times New Roman"/>
          <w:sz w:val="20"/>
          <w:szCs w:val="20"/>
        </w:rPr>
        <w:t>-</w:t>
      </w:r>
      <w:r w:rsidRPr="00702FFA">
        <w:rPr>
          <w:rFonts w:ascii="Times New Roman" w:hAnsi="Times New Roman" w:cs="Times New Roman"/>
          <w:sz w:val="20"/>
          <w:szCs w:val="20"/>
        </w:rPr>
        <w:t>CIR</w:t>
      </w:r>
      <w:r>
        <w:rPr>
          <w:rFonts w:ascii="Times New Roman" w:hAnsi="Times New Roman" w:cs="Times New Roman"/>
          <w:sz w:val="20"/>
          <w:szCs w:val="20"/>
        </w:rPr>
        <w:t>-</w:t>
      </w:r>
      <w:proofErr w:type="spellStart"/>
      <w:r w:rsidRPr="00702FFA">
        <w:rPr>
          <w:rFonts w:ascii="Times New Roman" w:hAnsi="Times New Roman" w:cs="Times New Roman"/>
          <w:sz w:val="20"/>
          <w:szCs w:val="20"/>
        </w:rPr>
        <w:t>WtE</w:t>
      </w:r>
      <w:proofErr w:type="spellEnd"/>
      <w:r w:rsidRPr="00702FFA">
        <w:rPr>
          <w:rFonts w:ascii="Times New Roman" w:hAnsi="Times New Roman" w:cs="Times New Roman"/>
          <w:sz w:val="20"/>
          <w:szCs w:val="20"/>
        </w:rPr>
        <w:t xml:space="preserve"> surpasses existing systems</w:t>
      </w:r>
      <w:r>
        <w:rPr>
          <w:rFonts w:ascii="Times New Roman" w:hAnsi="Times New Roman" w:cs="Times New Roman"/>
          <w:sz w:val="20"/>
          <w:szCs w:val="20"/>
        </w:rPr>
        <w:t>.</w:t>
      </w:r>
    </w:p>
    <w:p w14:paraId="5B6B6AD3" w14:textId="037B188E" w:rsidR="00702FFA" w:rsidRPr="00702FFA" w:rsidRDefault="00702FFA" w:rsidP="00702FFA">
      <w:pPr>
        <w:spacing w:after="0" w:line="360" w:lineRule="auto"/>
        <w:jc w:val="both"/>
        <w:rPr>
          <w:rFonts w:ascii="Times New Roman" w:hAnsi="Times New Roman" w:cs="Times New Roman"/>
          <w:sz w:val="20"/>
          <w:szCs w:val="20"/>
        </w:rPr>
      </w:pPr>
      <w:r w:rsidRPr="00702FFA">
        <w:rPr>
          <w:rFonts w:ascii="Times New Roman" w:hAnsi="Times New Roman" w:cs="Times New Roman"/>
          <w:sz w:val="20"/>
          <w:szCs w:val="20"/>
        </w:rPr>
        <w:t>The model’s decentralized and adaptive architecture proves particularly suitable for Global South megacities with fragmented infrastructure and dynamic urban conditions.</w:t>
      </w:r>
      <w:r w:rsidR="00A74274">
        <w:rPr>
          <w:rFonts w:ascii="Times New Roman" w:hAnsi="Times New Roman" w:cs="Times New Roman"/>
          <w:sz w:val="20"/>
          <w:szCs w:val="20"/>
        </w:rPr>
        <w:t xml:space="preserve"> </w:t>
      </w:r>
    </w:p>
    <w:p w14:paraId="13A4F927" w14:textId="0F266747" w:rsidR="00702FFA" w:rsidRDefault="00702FFA" w:rsidP="00702FFA">
      <w:pPr>
        <w:spacing w:after="0" w:line="360" w:lineRule="auto"/>
        <w:jc w:val="both"/>
        <w:rPr>
          <w:rFonts w:ascii="Times New Roman" w:hAnsi="Times New Roman" w:cs="Times New Roman"/>
          <w:sz w:val="20"/>
          <w:szCs w:val="20"/>
        </w:rPr>
      </w:pPr>
      <w:r w:rsidRPr="00702FFA">
        <w:rPr>
          <w:rFonts w:ascii="Times New Roman" w:hAnsi="Times New Roman" w:cs="Times New Roman"/>
          <w:sz w:val="20"/>
          <w:szCs w:val="20"/>
        </w:rPr>
        <w:t>The AI</w:t>
      </w:r>
      <w:r w:rsidR="00A74274">
        <w:rPr>
          <w:rFonts w:ascii="Times New Roman" w:hAnsi="Times New Roman" w:cs="Times New Roman"/>
          <w:sz w:val="20"/>
          <w:szCs w:val="20"/>
        </w:rPr>
        <w:t>-</w:t>
      </w:r>
      <w:r w:rsidRPr="00702FFA">
        <w:rPr>
          <w:rFonts w:ascii="Times New Roman" w:hAnsi="Times New Roman" w:cs="Times New Roman"/>
          <w:sz w:val="20"/>
          <w:szCs w:val="20"/>
        </w:rPr>
        <w:t>CIR</w:t>
      </w:r>
      <w:r w:rsidR="00A74274">
        <w:rPr>
          <w:rFonts w:ascii="Times New Roman" w:hAnsi="Times New Roman" w:cs="Times New Roman"/>
          <w:sz w:val="20"/>
          <w:szCs w:val="20"/>
        </w:rPr>
        <w:t>-</w:t>
      </w:r>
      <w:proofErr w:type="spellStart"/>
      <w:r w:rsidRPr="00702FFA">
        <w:rPr>
          <w:rFonts w:ascii="Times New Roman" w:hAnsi="Times New Roman" w:cs="Times New Roman"/>
          <w:sz w:val="20"/>
          <w:szCs w:val="20"/>
        </w:rPr>
        <w:t>WtE</w:t>
      </w:r>
      <w:proofErr w:type="spellEnd"/>
      <w:r w:rsidRPr="00702FFA">
        <w:rPr>
          <w:rFonts w:ascii="Times New Roman" w:hAnsi="Times New Roman" w:cs="Times New Roman"/>
          <w:sz w:val="20"/>
          <w:szCs w:val="20"/>
        </w:rPr>
        <w:t xml:space="preserve"> framework delivers measurable advancements across forecasting accuracy, energy recovery, emissions mitigation, infrastructure resilience, and economic viability. Its deep integration of AI with climate analytics, circular economy metrics, and ethical digital governance makes it a </w:t>
      </w:r>
      <w:r w:rsidRPr="00702FFA">
        <w:rPr>
          <w:rStyle w:val="Strong"/>
          <w:rFonts w:ascii="Times New Roman" w:hAnsi="Times New Roman" w:cs="Times New Roman"/>
          <w:b w:val="0"/>
          <w:bCs w:val="0"/>
          <w:sz w:val="20"/>
          <w:szCs w:val="20"/>
        </w:rPr>
        <w:t>next-generation solution</w:t>
      </w:r>
      <w:r w:rsidRPr="00702FFA">
        <w:rPr>
          <w:rFonts w:ascii="Times New Roman" w:hAnsi="Times New Roman" w:cs="Times New Roman"/>
          <w:sz w:val="20"/>
          <w:szCs w:val="20"/>
        </w:rPr>
        <w:t xml:space="preserve"> for sustainable urban transformation. As urban pressures intensify under climate uncertainty, frameworks like AI</w:t>
      </w:r>
      <w:r w:rsidR="00A74274">
        <w:rPr>
          <w:rFonts w:ascii="Times New Roman" w:hAnsi="Times New Roman" w:cs="Times New Roman"/>
          <w:sz w:val="20"/>
          <w:szCs w:val="20"/>
        </w:rPr>
        <w:t>-</w:t>
      </w:r>
      <w:r w:rsidRPr="00702FFA">
        <w:rPr>
          <w:rFonts w:ascii="Times New Roman" w:hAnsi="Times New Roman" w:cs="Times New Roman"/>
          <w:sz w:val="20"/>
          <w:szCs w:val="20"/>
        </w:rPr>
        <w:t>CIR</w:t>
      </w:r>
      <w:r w:rsidR="00A74274">
        <w:rPr>
          <w:rFonts w:ascii="Times New Roman" w:hAnsi="Times New Roman" w:cs="Times New Roman"/>
          <w:sz w:val="20"/>
          <w:szCs w:val="20"/>
        </w:rPr>
        <w:t>-</w:t>
      </w:r>
      <w:proofErr w:type="spellStart"/>
      <w:r w:rsidRPr="00702FFA">
        <w:rPr>
          <w:rFonts w:ascii="Times New Roman" w:hAnsi="Times New Roman" w:cs="Times New Roman"/>
          <w:sz w:val="20"/>
          <w:szCs w:val="20"/>
        </w:rPr>
        <w:t>WtE</w:t>
      </w:r>
      <w:proofErr w:type="spellEnd"/>
      <w:r w:rsidRPr="00702FFA">
        <w:rPr>
          <w:rFonts w:ascii="Times New Roman" w:hAnsi="Times New Roman" w:cs="Times New Roman"/>
          <w:sz w:val="20"/>
          <w:szCs w:val="20"/>
        </w:rPr>
        <w:t xml:space="preserve"> offer cities a science-based, inclusive, and financially viable pathway toward circularity and low-carbon development.</w:t>
      </w:r>
    </w:p>
    <w:p w14:paraId="4F54BC93" w14:textId="71F28F78" w:rsidR="00A74274" w:rsidRDefault="00A74274" w:rsidP="00702FFA">
      <w:pPr>
        <w:spacing w:after="0" w:line="360" w:lineRule="auto"/>
        <w:jc w:val="both"/>
        <w:rPr>
          <w:rFonts w:ascii="Times New Roman" w:eastAsia="Times New Roman" w:hAnsi="Times New Roman" w:cs="Times New Roman"/>
          <w:sz w:val="20"/>
          <w:szCs w:val="20"/>
        </w:rPr>
      </w:pPr>
    </w:p>
    <w:p w14:paraId="0176F2FF" w14:textId="256093F3" w:rsidR="000F20C0" w:rsidRPr="000F20C0" w:rsidRDefault="000F20C0" w:rsidP="0086104A">
      <w:pPr>
        <w:spacing w:after="0" w:line="360" w:lineRule="auto"/>
        <w:jc w:val="both"/>
        <w:rPr>
          <w:rFonts w:ascii="Times New Roman" w:eastAsia="Times New Roman" w:hAnsi="Times New Roman" w:cs="Times New Roman"/>
          <w:b/>
          <w:bCs/>
          <w:sz w:val="20"/>
          <w:szCs w:val="20"/>
        </w:rPr>
      </w:pPr>
      <w:r w:rsidRPr="000F20C0">
        <w:rPr>
          <w:rFonts w:ascii="Times New Roman" w:eastAsia="Times New Roman" w:hAnsi="Times New Roman" w:cs="Times New Roman"/>
          <w:b/>
          <w:bCs/>
          <w:sz w:val="20"/>
          <w:szCs w:val="20"/>
        </w:rPr>
        <w:t>LIMITATIONS OF THE RESEARCH</w:t>
      </w:r>
    </w:p>
    <w:p w14:paraId="2142C55B" w14:textId="3639DA0C" w:rsidR="000F20C0" w:rsidRPr="000F20C0" w:rsidRDefault="000F20C0" w:rsidP="0086104A">
      <w:pPr>
        <w:pStyle w:val="NormalWeb"/>
        <w:spacing w:before="0" w:beforeAutospacing="0" w:after="0" w:afterAutospacing="0" w:line="360" w:lineRule="auto"/>
        <w:jc w:val="both"/>
        <w:rPr>
          <w:sz w:val="20"/>
          <w:szCs w:val="20"/>
        </w:rPr>
      </w:pPr>
      <w:r w:rsidRPr="000F20C0">
        <w:rPr>
          <w:sz w:val="20"/>
          <w:szCs w:val="20"/>
        </w:rPr>
        <w:t>While the AI</w:t>
      </w:r>
      <w:r w:rsidR="0086104A">
        <w:rPr>
          <w:sz w:val="20"/>
          <w:szCs w:val="20"/>
        </w:rPr>
        <w:t>-</w:t>
      </w:r>
      <w:r w:rsidRPr="000F20C0">
        <w:rPr>
          <w:sz w:val="20"/>
          <w:szCs w:val="20"/>
        </w:rPr>
        <w:t>CIR</w:t>
      </w:r>
      <w:r w:rsidR="0086104A">
        <w:rPr>
          <w:sz w:val="20"/>
          <w:szCs w:val="20"/>
        </w:rPr>
        <w:t>-</w:t>
      </w:r>
      <w:proofErr w:type="spellStart"/>
      <w:r w:rsidRPr="000F20C0">
        <w:rPr>
          <w:sz w:val="20"/>
          <w:szCs w:val="20"/>
        </w:rPr>
        <w:t>WtE</w:t>
      </w:r>
      <w:proofErr w:type="spellEnd"/>
      <w:r w:rsidRPr="000F20C0">
        <w:rPr>
          <w:sz w:val="20"/>
          <w:szCs w:val="20"/>
        </w:rPr>
        <w:t xml:space="preserve"> framework demonstrates substantial potential for transforming waste-to-energy systems in climate-vulnerable megacities, several limitations must be acknowledged to contextualize the findings and guide future research:</w:t>
      </w:r>
    </w:p>
    <w:p w14:paraId="457E88F4" w14:textId="7EBB95BE"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t>Dependence on Secondary Data and Simulated Scenarios</w:t>
      </w:r>
      <w:r w:rsidR="0086104A">
        <w:rPr>
          <w:rStyle w:val="Strong"/>
          <w:b/>
          <w:bCs/>
          <w:sz w:val="20"/>
          <w:szCs w:val="20"/>
        </w:rPr>
        <w:t xml:space="preserve">: </w:t>
      </w:r>
      <w:r w:rsidRPr="0086104A">
        <w:rPr>
          <w:b w:val="0"/>
          <w:bCs w:val="0"/>
          <w:sz w:val="20"/>
          <w:szCs w:val="20"/>
        </w:rPr>
        <w:t>The current study relies entirely on secondary datasets and digital twin simulations due to the unavailability of real-time field data. While extensive validation mechanisms were employed, including cross-referencing and benchmarking, the absence of live sensor data and physical pilot deployments limits the direct generalizability of the results. Performance metrics such as system downtime, routing efficiency, and infrastructure resilience are based on modeled assumptions and may differ under real-world variability.</w:t>
      </w:r>
    </w:p>
    <w:p w14:paraId="421CE68C" w14:textId="349CD45A"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t>Limited Real-Time Climate Hazard Feedback</w:t>
      </w:r>
      <w:r w:rsidR="0086104A">
        <w:rPr>
          <w:rStyle w:val="Strong"/>
          <w:b/>
          <w:bCs/>
          <w:sz w:val="20"/>
          <w:szCs w:val="20"/>
        </w:rPr>
        <w:t xml:space="preserve">: </w:t>
      </w:r>
      <w:r w:rsidRPr="0086104A">
        <w:rPr>
          <w:b w:val="0"/>
          <w:bCs w:val="0"/>
          <w:sz w:val="20"/>
          <w:szCs w:val="20"/>
        </w:rPr>
        <w:t>Although the resilience layer integrates climate projections and stress-testing under monsoon and heatwave scenarios, it does not yet include real-time environmental feedback loops (e.g., IoT-based flood sensors, temperature spikes, or disaster alerts). As a result, adaptive infrastructure reconfiguration remains reactive within the simulation rather than dynamically responsive to real-time hazards.</w:t>
      </w:r>
    </w:p>
    <w:p w14:paraId="56BE23CC" w14:textId="26C4A357"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t>Infrastructure and Institutional Constraints in Implementation</w:t>
      </w:r>
      <w:r w:rsidR="0086104A">
        <w:rPr>
          <w:rStyle w:val="Strong"/>
          <w:b/>
          <w:bCs/>
          <w:sz w:val="20"/>
          <w:szCs w:val="20"/>
        </w:rPr>
        <w:t xml:space="preserve">: </w:t>
      </w:r>
      <w:r w:rsidRPr="0086104A">
        <w:rPr>
          <w:b w:val="0"/>
          <w:bCs w:val="0"/>
          <w:sz w:val="20"/>
          <w:szCs w:val="20"/>
        </w:rPr>
        <w:t>The deployment of AI</w:t>
      </w:r>
      <w:r w:rsidR="0086104A">
        <w:rPr>
          <w:b w:val="0"/>
          <w:bCs w:val="0"/>
          <w:sz w:val="20"/>
          <w:szCs w:val="20"/>
        </w:rPr>
        <w:t>-</w:t>
      </w:r>
      <w:r w:rsidRPr="0086104A">
        <w:rPr>
          <w:b w:val="0"/>
          <w:bCs w:val="0"/>
          <w:sz w:val="20"/>
          <w:szCs w:val="20"/>
        </w:rPr>
        <w:t>CIR</w:t>
      </w:r>
      <w:r w:rsidR="0086104A">
        <w:rPr>
          <w:b w:val="0"/>
          <w:bCs w:val="0"/>
          <w:sz w:val="20"/>
          <w:szCs w:val="20"/>
        </w:rPr>
        <w:t>-</w:t>
      </w:r>
      <w:proofErr w:type="spellStart"/>
      <w:r w:rsidRPr="0086104A">
        <w:rPr>
          <w:b w:val="0"/>
          <w:bCs w:val="0"/>
          <w:sz w:val="20"/>
          <w:szCs w:val="20"/>
        </w:rPr>
        <w:t>WtE</w:t>
      </w:r>
      <w:proofErr w:type="spellEnd"/>
      <w:r w:rsidRPr="0086104A">
        <w:rPr>
          <w:b w:val="0"/>
          <w:bCs w:val="0"/>
          <w:sz w:val="20"/>
          <w:szCs w:val="20"/>
        </w:rPr>
        <w:t xml:space="preserve"> requires advanced digital infrastructure, including IoT devices, blockchain systems, and distributed energy networks, which may not be uniformly available in Dhaka or comparable megacities. Furthermore, institutional fragmentation and </w:t>
      </w:r>
      <w:r w:rsidR="0086104A" w:rsidRPr="0086104A">
        <w:rPr>
          <w:b w:val="0"/>
          <w:bCs w:val="0"/>
          <w:sz w:val="20"/>
          <w:szCs w:val="20"/>
        </w:rPr>
        <w:t xml:space="preserve">a </w:t>
      </w:r>
      <w:r w:rsidRPr="0086104A">
        <w:rPr>
          <w:b w:val="0"/>
          <w:bCs w:val="0"/>
          <w:sz w:val="20"/>
          <w:szCs w:val="20"/>
        </w:rPr>
        <w:t>lack of integrated urban governance frameworks could impede coordination among waste, energy, and climate authorities, limiting practical scalability.</w:t>
      </w:r>
    </w:p>
    <w:p w14:paraId="07AE2B47" w14:textId="41D9A132"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t>Social Equity and Participation Constraints</w:t>
      </w:r>
      <w:r w:rsidR="0086104A">
        <w:rPr>
          <w:rStyle w:val="Strong"/>
          <w:b/>
          <w:bCs/>
          <w:sz w:val="20"/>
          <w:szCs w:val="20"/>
        </w:rPr>
        <w:t xml:space="preserve">: </w:t>
      </w:r>
      <w:r w:rsidRPr="0086104A">
        <w:rPr>
          <w:b w:val="0"/>
          <w:bCs w:val="0"/>
          <w:sz w:val="20"/>
          <w:szCs w:val="20"/>
        </w:rPr>
        <w:t>While the framework embeds gender and social inclusion principles, the actual degree of participation by informal workers, women, and marginalized groups in system governance and technology adoption remains theoretical. Without participatory piloting or stakeholder co-design workshops, the digital equity mechanisms (e.g., skill development modules or blockchain incentives) remain untested in real social environments.</w:t>
      </w:r>
    </w:p>
    <w:p w14:paraId="19542543" w14:textId="084A4A10"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lastRenderedPageBreak/>
        <w:t>Unmodeled Technological Risks and Cybersecurity</w:t>
      </w:r>
      <w:r w:rsidR="0086104A">
        <w:rPr>
          <w:rStyle w:val="Strong"/>
          <w:b/>
          <w:bCs/>
          <w:sz w:val="20"/>
          <w:szCs w:val="20"/>
        </w:rPr>
        <w:t xml:space="preserve">: </w:t>
      </w:r>
      <w:r w:rsidRPr="0086104A">
        <w:rPr>
          <w:b w:val="0"/>
          <w:bCs w:val="0"/>
          <w:sz w:val="20"/>
          <w:szCs w:val="20"/>
        </w:rPr>
        <w:t>The integration of AI, edge computing, and blockchain introduces cybersecurity vulnerabilities and operational risks that were not quantitatively assessed in this study. Potential issues such as data breaches, AI bias propagation, algorithmic failure, or blockchain congestion are acknowledged but not explicitly modeled.</w:t>
      </w:r>
    </w:p>
    <w:p w14:paraId="71D30318" w14:textId="123867B4"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t>Carbon Credit Valuation Assumptions</w:t>
      </w:r>
      <w:r w:rsidR="0086104A">
        <w:rPr>
          <w:rStyle w:val="Strong"/>
          <w:b/>
          <w:bCs/>
          <w:sz w:val="20"/>
          <w:szCs w:val="20"/>
        </w:rPr>
        <w:t xml:space="preserve">: </w:t>
      </w:r>
      <w:r w:rsidRPr="0086104A">
        <w:rPr>
          <w:b w:val="0"/>
          <w:bCs w:val="0"/>
          <w:sz w:val="20"/>
          <w:szCs w:val="20"/>
        </w:rPr>
        <w:t>The economic viability projections, particularly those related to carbon credits, are based on average international offset prices and assumed eligibility under Verra or Gold Standard methodologies. Market volatility, evolving regulatory standards, and certification barriers may affect the financial attractiveness of the framework in practice.</w:t>
      </w:r>
    </w:p>
    <w:p w14:paraId="1020B0CC" w14:textId="77777777" w:rsidR="000F20C0" w:rsidRPr="000F20C0" w:rsidRDefault="000F20C0" w:rsidP="0086104A">
      <w:pPr>
        <w:spacing w:after="0" w:line="360" w:lineRule="auto"/>
        <w:jc w:val="both"/>
        <w:rPr>
          <w:rFonts w:ascii="Times New Roman" w:eastAsia="Times New Roman" w:hAnsi="Times New Roman" w:cs="Times New Roman"/>
          <w:sz w:val="20"/>
          <w:szCs w:val="20"/>
        </w:rPr>
      </w:pPr>
    </w:p>
    <w:p w14:paraId="388962B0" w14:textId="51B9F5B7" w:rsidR="008A60FB" w:rsidRPr="00202034" w:rsidRDefault="0086104A" w:rsidP="00202034">
      <w:pPr>
        <w:spacing w:after="0" w:line="360" w:lineRule="auto"/>
        <w:jc w:val="both"/>
        <w:rPr>
          <w:rFonts w:ascii="Times New Roman" w:eastAsia="Times New Roman" w:hAnsi="Times New Roman" w:cs="Times New Roman"/>
          <w:b/>
          <w:bCs/>
          <w:sz w:val="20"/>
          <w:szCs w:val="20"/>
        </w:rPr>
      </w:pPr>
      <w:r w:rsidRPr="00202034">
        <w:rPr>
          <w:rFonts w:ascii="Times New Roman" w:eastAsia="Times New Roman" w:hAnsi="Times New Roman" w:cs="Times New Roman"/>
          <w:b/>
          <w:bCs/>
          <w:sz w:val="20"/>
          <w:szCs w:val="20"/>
        </w:rPr>
        <w:t>FUTURE RESEARCH DIRECTIONS:</w:t>
      </w:r>
    </w:p>
    <w:p w14:paraId="68D85701" w14:textId="410AF624" w:rsidR="00385220" w:rsidRPr="00202034" w:rsidRDefault="00385220" w:rsidP="00202034">
      <w:pPr>
        <w:pStyle w:val="NormalWeb"/>
        <w:spacing w:before="0" w:beforeAutospacing="0" w:after="0" w:afterAutospacing="0" w:line="360" w:lineRule="auto"/>
        <w:jc w:val="both"/>
        <w:rPr>
          <w:sz w:val="20"/>
          <w:szCs w:val="20"/>
        </w:rPr>
      </w:pPr>
      <w:r w:rsidRPr="00202034">
        <w:rPr>
          <w:sz w:val="20"/>
          <w:szCs w:val="20"/>
        </w:rPr>
        <w:t>To strengthen the scientific robustness, practical applicability, and global replicability of the AI</w:t>
      </w:r>
      <w:r w:rsidR="00217A32">
        <w:rPr>
          <w:sz w:val="20"/>
          <w:szCs w:val="20"/>
        </w:rPr>
        <w:t>-</w:t>
      </w:r>
      <w:r w:rsidRPr="00202034">
        <w:rPr>
          <w:sz w:val="20"/>
          <w:szCs w:val="20"/>
        </w:rPr>
        <w:t>CIR</w:t>
      </w:r>
      <w:r w:rsidR="00217A32">
        <w:rPr>
          <w:sz w:val="20"/>
          <w:szCs w:val="20"/>
        </w:rPr>
        <w:t>-</w:t>
      </w:r>
      <w:proofErr w:type="spellStart"/>
      <w:r w:rsidRPr="00202034">
        <w:rPr>
          <w:sz w:val="20"/>
          <w:szCs w:val="20"/>
        </w:rPr>
        <w:t>WtE</w:t>
      </w:r>
      <w:proofErr w:type="spellEnd"/>
      <w:r w:rsidRPr="00202034">
        <w:rPr>
          <w:sz w:val="20"/>
          <w:szCs w:val="20"/>
        </w:rPr>
        <w:t xml:space="preserve"> framework, several strategic research directions are recommended:</w:t>
      </w:r>
    </w:p>
    <w:p w14:paraId="52D049F0" w14:textId="1919E9DA"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Real-Time Pilot Deployment with IoT Integration</w:t>
      </w:r>
      <w:r w:rsidR="00202034">
        <w:rPr>
          <w:rStyle w:val="Strong"/>
          <w:b/>
          <w:bCs/>
          <w:sz w:val="20"/>
          <w:szCs w:val="20"/>
        </w:rPr>
        <w:t xml:space="preserve">: </w:t>
      </w:r>
      <w:r w:rsidRPr="00202034">
        <w:rPr>
          <w:b w:val="0"/>
          <w:bCs w:val="0"/>
          <w:sz w:val="20"/>
          <w:szCs w:val="20"/>
        </w:rPr>
        <w:t>Future studies should focus on deploying the AI</w:t>
      </w:r>
      <w:r w:rsidR="00217A32">
        <w:rPr>
          <w:b w:val="0"/>
          <w:bCs w:val="0"/>
          <w:sz w:val="20"/>
          <w:szCs w:val="20"/>
        </w:rPr>
        <w:t>-</w:t>
      </w:r>
      <w:r w:rsidRPr="00202034">
        <w:rPr>
          <w:b w:val="0"/>
          <w:bCs w:val="0"/>
          <w:sz w:val="20"/>
          <w:szCs w:val="20"/>
        </w:rPr>
        <w:t>CIR</w:t>
      </w:r>
      <w:r w:rsidR="00217A32">
        <w:rPr>
          <w:b w:val="0"/>
          <w:bCs w:val="0"/>
          <w:sz w:val="20"/>
          <w:szCs w:val="20"/>
        </w:rPr>
        <w:t>-</w:t>
      </w:r>
      <w:proofErr w:type="spellStart"/>
      <w:r w:rsidRPr="00202034">
        <w:rPr>
          <w:b w:val="0"/>
          <w:bCs w:val="0"/>
          <w:sz w:val="20"/>
          <w:szCs w:val="20"/>
        </w:rPr>
        <w:t>WtE</w:t>
      </w:r>
      <w:proofErr w:type="spellEnd"/>
      <w:r w:rsidRPr="00202034">
        <w:rPr>
          <w:b w:val="0"/>
          <w:bCs w:val="0"/>
          <w:sz w:val="20"/>
          <w:szCs w:val="20"/>
        </w:rPr>
        <w:t xml:space="preserve"> framework in selected urban zones through real-world pilot projects equipped with IoT sensors, smart bins, and edge computing modules. This would enable the collection of live waste generation data, route performance logs, and adaptive energy output metrics, allowing continuous model calibration and real-time system validation under actual environmental and operational conditions.</w:t>
      </w:r>
    </w:p>
    <w:p w14:paraId="7D945855" w14:textId="64B7A216"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Dynamic Climate Hazard Integration</w:t>
      </w:r>
      <w:r w:rsidR="00202034">
        <w:rPr>
          <w:rStyle w:val="Strong"/>
          <w:b/>
          <w:bCs/>
          <w:sz w:val="20"/>
          <w:szCs w:val="20"/>
        </w:rPr>
        <w:t xml:space="preserve">: </w:t>
      </w:r>
      <w:r w:rsidRPr="00202034">
        <w:rPr>
          <w:b w:val="0"/>
          <w:bCs w:val="0"/>
          <w:sz w:val="20"/>
          <w:szCs w:val="20"/>
        </w:rPr>
        <w:t>While the current study includes scenario-based stress testing, future research should incorporate dynamic climate feedback loops using live data from environmental sensors, satellite inputs, and early warning systems. This will allow the resilience module to respond autonomously to real-time events such as flash floods, extreme heat, or vector outbreaks, enhancing the infrastructure’s adaptive capacity.</w:t>
      </w:r>
    </w:p>
    <w:p w14:paraId="0A8FC7E6" w14:textId="0E87F79C"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Advanced Cybersecurity and Ethical AI Assessment</w:t>
      </w:r>
      <w:r w:rsidR="00202034">
        <w:rPr>
          <w:rStyle w:val="Strong"/>
          <w:b/>
          <w:bCs/>
          <w:sz w:val="20"/>
          <w:szCs w:val="20"/>
        </w:rPr>
        <w:t xml:space="preserve">: </w:t>
      </w:r>
      <w:r w:rsidRPr="00202034">
        <w:rPr>
          <w:b w:val="0"/>
          <w:bCs w:val="0"/>
          <w:sz w:val="20"/>
          <w:szCs w:val="20"/>
        </w:rPr>
        <w:t>With increasing digitalization, upcoming research must rigorously assess the cybersecurity vulnerabilities and ethical risks of integrating AI, blockchain, and cloud systems in municipal waste infrastructure. This includes evaluating attack vectors, algorithmic transparency, bias detection, and the development of privacy-preserving federated learning models to secure sensitive urban and citizen data.</w:t>
      </w:r>
    </w:p>
    <w:p w14:paraId="65B9FE91" w14:textId="05AF1E9C" w:rsidR="00385220" w:rsidRPr="00202034" w:rsidRDefault="00385220" w:rsidP="00202034">
      <w:pPr>
        <w:pStyle w:val="Heading3"/>
        <w:numPr>
          <w:ilvl w:val="0"/>
          <w:numId w:val="75"/>
        </w:numPr>
        <w:spacing w:before="0" w:beforeAutospacing="0" w:after="0" w:afterAutospacing="0" w:line="360" w:lineRule="auto"/>
        <w:jc w:val="both"/>
        <w:rPr>
          <w:sz w:val="20"/>
          <w:szCs w:val="20"/>
        </w:rPr>
      </w:pPr>
      <w:r w:rsidRPr="00202034">
        <w:rPr>
          <w:rStyle w:val="Strong"/>
          <w:b/>
          <w:bCs/>
          <w:sz w:val="20"/>
          <w:szCs w:val="20"/>
        </w:rPr>
        <w:t>Stakeholder Co-Design and Digital Literacy Pathways</w:t>
      </w:r>
      <w:r w:rsidR="00202034">
        <w:rPr>
          <w:rStyle w:val="Strong"/>
          <w:b/>
          <w:bCs/>
          <w:sz w:val="20"/>
          <w:szCs w:val="20"/>
        </w:rPr>
        <w:t xml:space="preserve">: </w:t>
      </w:r>
      <w:r w:rsidRPr="00202034">
        <w:rPr>
          <w:b w:val="0"/>
          <w:bCs w:val="0"/>
          <w:sz w:val="20"/>
          <w:szCs w:val="20"/>
        </w:rPr>
        <w:t>To ensure inclusive governance, future work should involve participatory action research (PAR) with waste workers, women’s groups, urban planners, and municipal authorities. Co-design workshops, human-centered design (HCD) methods, and community-based simulation tools can be applied to fine-tune incentive structures, enhance usability, and build local ownership of the AI</w:t>
      </w:r>
      <w:r w:rsidR="00217A32">
        <w:rPr>
          <w:b w:val="0"/>
          <w:bCs w:val="0"/>
          <w:sz w:val="20"/>
          <w:szCs w:val="20"/>
        </w:rPr>
        <w:t>-</w:t>
      </w:r>
      <w:r w:rsidRPr="00202034">
        <w:rPr>
          <w:b w:val="0"/>
          <w:bCs w:val="0"/>
          <w:sz w:val="20"/>
          <w:szCs w:val="20"/>
        </w:rPr>
        <w:t>CIR</w:t>
      </w:r>
      <w:r w:rsidR="00217A32">
        <w:rPr>
          <w:b w:val="0"/>
          <w:bCs w:val="0"/>
          <w:sz w:val="20"/>
          <w:szCs w:val="20"/>
        </w:rPr>
        <w:t>-</w:t>
      </w:r>
      <w:proofErr w:type="spellStart"/>
      <w:r w:rsidRPr="00202034">
        <w:rPr>
          <w:b w:val="0"/>
          <w:bCs w:val="0"/>
          <w:sz w:val="20"/>
          <w:szCs w:val="20"/>
        </w:rPr>
        <w:t>WtE</w:t>
      </w:r>
      <w:proofErr w:type="spellEnd"/>
      <w:r w:rsidRPr="00202034">
        <w:rPr>
          <w:b w:val="0"/>
          <w:bCs w:val="0"/>
          <w:sz w:val="20"/>
          <w:szCs w:val="20"/>
        </w:rPr>
        <w:t xml:space="preserve"> system.</w:t>
      </w:r>
    </w:p>
    <w:p w14:paraId="4DFF800B" w14:textId="1B654ED5"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Cross-City Comparative Case Studies</w:t>
      </w:r>
      <w:r w:rsidR="00202034">
        <w:rPr>
          <w:rStyle w:val="Strong"/>
          <w:b/>
          <w:bCs/>
          <w:sz w:val="20"/>
          <w:szCs w:val="20"/>
        </w:rPr>
        <w:t xml:space="preserve">: </w:t>
      </w:r>
      <w:r w:rsidRPr="00202034">
        <w:rPr>
          <w:b w:val="0"/>
          <w:bCs w:val="0"/>
          <w:sz w:val="20"/>
          <w:szCs w:val="20"/>
        </w:rPr>
        <w:t>Replicating and benchmarking the AI</w:t>
      </w:r>
      <w:r w:rsidR="00217A32">
        <w:rPr>
          <w:b w:val="0"/>
          <w:bCs w:val="0"/>
          <w:sz w:val="20"/>
          <w:szCs w:val="20"/>
        </w:rPr>
        <w:t>-</w:t>
      </w:r>
      <w:r w:rsidRPr="00202034">
        <w:rPr>
          <w:b w:val="0"/>
          <w:bCs w:val="0"/>
          <w:sz w:val="20"/>
          <w:szCs w:val="20"/>
        </w:rPr>
        <w:t>CIR</w:t>
      </w:r>
      <w:r w:rsidR="00217A32">
        <w:rPr>
          <w:b w:val="0"/>
          <w:bCs w:val="0"/>
          <w:sz w:val="20"/>
          <w:szCs w:val="20"/>
        </w:rPr>
        <w:t>-</w:t>
      </w:r>
      <w:proofErr w:type="spellStart"/>
      <w:r w:rsidRPr="00202034">
        <w:rPr>
          <w:b w:val="0"/>
          <w:bCs w:val="0"/>
          <w:sz w:val="20"/>
          <w:szCs w:val="20"/>
        </w:rPr>
        <w:t>WtE</w:t>
      </w:r>
      <w:proofErr w:type="spellEnd"/>
      <w:r w:rsidRPr="00202034">
        <w:rPr>
          <w:b w:val="0"/>
          <w:bCs w:val="0"/>
          <w:sz w:val="20"/>
          <w:szCs w:val="20"/>
        </w:rPr>
        <w:t xml:space="preserve"> framework across other climate-vulnerable megacities</w:t>
      </w:r>
      <w:r w:rsidR="00217A32">
        <w:rPr>
          <w:b w:val="0"/>
          <w:bCs w:val="0"/>
          <w:sz w:val="20"/>
          <w:szCs w:val="20"/>
        </w:rPr>
        <w:t xml:space="preserve">, </w:t>
      </w:r>
      <w:r w:rsidRPr="00202034">
        <w:rPr>
          <w:b w:val="0"/>
          <w:bCs w:val="0"/>
          <w:sz w:val="20"/>
          <w:szCs w:val="20"/>
        </w:rPr>
        <w:t>such as Lagos, Jakarta, Karachi, and Manila</w:t>
      </w:r>
      <w:r w:rsidR="00217A32">
        <w:rPr>
          <w:b w:val="0"/>
          <w:bCs w:val="0"/>
          <w:sz w:val="20"/>
          <w:szCs w:val="20"/>
        </w:rPr>
        <w:t xml:space="preserve">, </w:t>
      </w:r>
      <w:r w:rsidRPr="00202034">
        <w:rPr>
          <w:b w:val="0"/>
          <w:bCs w:val="0"/>
          <w:sz w:val="20"/>
          <w:szCs w:val="20"/>
        </w:rPr>
        <w:t>can offer comparative insights into infrastructure adaptability, governance bottlenecks, and socio-technical system behavior. Such comparative analytics will support the development of a universal urban resilience index linked to AI-based circularity.</w:t>
      </w:r>
    </w:p>
    <w:p w14:paraId="742D3482" w14:textId="3CB7D0FE"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Integration with Urban Carbon Markets and Digital MRV</w:t>
      </w:r>
      <w:r w:rsidR="00202034">
        <w:rPr>
          <w:rStyle w:val="Strong"/>
          <w:b/>
          <w:bCs/>
          <w:sz w:val="20"/>
          <w:szCs w:val="20"/>
        </w:rPr>
        <w:t xml:space="preserve">: </w:t>
      </w:r>
      <w:r w:rsidRPr="00202034">
        <w:rPr>
          <w:b w:val="0"/>
          <w:bCs w:val="0"/>
          <w:sz w:val="20"/>
          <w:szCs w:val="20"/>
        </w:rPr>
        <w:t>Further research should explore the end-to-end integration of the framework with blockchain-enabled Monitoring, Reporting, and Verification (MRV) platforms for carbon credit certification under Gold Standard, Verra, and other Article 6.2/6.4 mechanisms. This requires developing smart contracts, emissions baselines, and impact verification protocols compatible with digital climate finance instruments.</w:t>
      </w:r>
    </w:p>
    <w:p w14:paraId="295044AE" w14:textId="5D96B533"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AI</w:t>
      </w:r>
      <w:r w:rsidR="00217A32">
        <w:rPr>
          <w:rStyle w:val="Strong"/>
          <w:b/>
          <w:bCs/>
          <w:sz w:val="20"/>
          <w:szCs w:val="20"/>
        </w:rPr>
        <w:t>-</w:t>
      </w:r>
      <w:r w:rsidRPr="00202034">
        <w:rPr>
          <w:rStyle w:val="Strong"/>
          <w:b/>
          <w:bCs/>
          <w:sz w:val="20"/>
          <w:szCs w:val="20"/>
        </w:rPr>
        <w:t>Driven Predictive Maintenance and Autonomous Operations</w:t>
      </w:r>
      <w:r w:rsidR="00202034">
        <w:rPr>
          <w:rStyle w:val="Strong"/>
          <w:b/>
          <w:bCs/>
          <w:sz w:val="20"/>
          <w:szCs w:val="20"/>
        </w:rPr>
        <w:t xml:space="preserve">: </w:t>
      </w:r>
      <w:r w:rsidRPr="00202034">
        <w:rPr>
          <w:b w:val="0"/>
          <w:bCs w:val="0"/>
          <w:sz w:val="20"/>
          <w:szCs w:val="20"/>
        </w:rPr>
        <w:t xml:space="preserve">Emerging research can also focus on predictive maintenance of </w:t>
      </w:r>
      <w:proofErr w:type="spellStart"/>
      <w:r w:rsidRPr="00202034">
        <w:rPr>
          <w:b w:val="0"/>
          <w:bCs w:val="0"/>
          <w:sz w:val="20"/>
          <w:szCs w:val="20"/>
        </w:rPr>
        <w:t>WtE</w:t>
      </w:r>
      <w:proofErr w:type="spellEnd"/>
      <w:r w:rsidRPr="00202034">
        <w:rPr>
          <w:b w:val="0"/>
          <w:bCs w:val="0"/>
          <w:sz w:val="20"/>
          <w:szCs w:val="20"/>
        </w:rPr>
        <w:t xml:space="preserve"> infrastructure using AI-based anomaly detection, fault prediction algorithms, and </w:t>
      </w:r>
      <w:r w:rsidRPr="00202034">
        <w:rPr>
          <w:b w:val="0"/>
          <w:bCs w:val="0"/>
          <w:sz w:val="20"/>
          <w:szCs w:val="20"/>
        </w:rPr>
        <w:lastRenderedPageBreak/>
        <w:t>robotic process automation (RPA). This would minimize unplanned downtime and labor-intensive maintenance cycles, paving the way for autonomous waste-to-energy plants optimized for both performance and safety.</w:t>
      </w:r>
    </w:p>
    <w:p w14:paraId="661443CC" w14:textId="612473BC" w:rsidR="0086104A" w:rsidRDefault="00202034" w:rsidP="00202034">
      <w:pPr>
        <w:spacing w:after="0" w:line="360" w:lineRule="auto"/>
        <w:jc w:val="both"/>
        <w:rPr>
          <w:rFonts w:ascii="Times New Roman" w:eastAsia="Times New Roman" w:hAnsi="Times New Roman" w:cs="Times New Roman"/>
          <w:sz w:val="20"/>
          <w:szCs w:val="20"/>
        </w:rPr>
      </w:pPr>
      <w:r w:rsidRPr="00202034">
        <w:rPr>
          <w:rFonts w:ascii="Times New Roman" w:eastAsia="Times New Roman" w:hAnsi="Times New Roman" w:cs="Times New Roman"/>
          <w:sz w:val="20"/>
          <w:szCs w:val="20"/>
        </w:rPr>
        <w:t>To</w:t>
      </w:r>
      <w:r w:rsidR="00385220" w:rsidRPr="00202034">
        <w:rPr>
          <w:rFonts w:ascii="Times New Roman" w:eastAsia="Times New Roman" w:hAnsi="Times New Roman" w:cs="Times New Roman"/>
          <w:sz w:val="20"/>
          <w:szCs w:val="20"/>
        </w:rPr>
        <w:t xml:space="preserve"> facilitate equitable and climate-resilient transitions in urban infrastructure systems, these future paths seek to expand the AI</w:t>
      </w:r>
      <w:r w:rsidR="00217A32">
        <w:rPr>
          <w:rFonts w:ascii="Times New Roman" w:eastAsia="Times New Roman" w:hAnsi="Times New Roman" w:cs="Times New Roman"/>
          <w:sz w:val="20"/>
          <w:szCs w:val="20"/>
        </w:rPr>
        <w:t>-</w:t>
      </w:r>
      <w:r w:rsidR="00385220" w:rsidRPr="00202034">
        <w:rPr>
          <w:rFonts w:ascii="Times New Roman" w:eastAsia="Times New Roman" w:hAnsi="Times New Roman" w:cs="Times New Roman"/>
          <w:sz w:val="20"/>
          <w:szCs w:val="20"/>
        </w:rPr>
        <w:t>CIR</w:t>
      </w:r>
      <w:r w:rsidR="00217A32">
        <w:rPr>
          <w:rFonts w:ascii="Times New Roman" w:eastAsia="Times New Roman" w:hAnsi="Times New Roman" w:cs="Times New Roman"/>
          <w:sz w:val="20"/>
          <w:szCs w:val="20"/>
        </w:rPr>
        <w:t>-</w:t>
      </w:r>
      <w:proofErr w:type="spellStart"/>
      <w:r w:rsidR="00385220" w:rsidRPr="00202034">
        <w:rPr>
          <w:rFonts w:ascii="Times New Roman" w:eastAsia="Times New Roman" w:hAnsi="Times New Roman" w:cs="Times New Roman"/>
          <w:sz w:val="20"/>
          <w:szCs w:val="20"/>
        </w:rPr>
        <w:t>WtE</w:t>
      </w:r>
      <w:proofErr w:type="spellEnd"/>
      <w:r w:rsidR="00385220" w:rsidRPr="00202034">
        <w:rPr>
          <w:rFonts w:ascii="Times New Roman" w:eastAsia="Times New Roman" w:hAnsi="Times New Roman" w:cs="Times New Roman"/>
          <w:sz w:val="20"/>
          <w:szCs w:val="20"/>
        </w:rPr>
        <w:t xml:space="preserve"> framework into a technologically sophisticated, ethically sound, and internationally adaptable platform. To achieve this goal, interdisciplinary partnerships spanning social innovation, urban governance, AI ethics, and environmental engineering will be essential.</w:t>
      </w:r>
      <w:r>
        <w:rPr>
          <w:rFonts w:ascii="Times New Roman" w:eastAsia="Times New Roman" w:hAnsi="Times New Roman" w:cs="Times New Roman"/>
          <w:sz w:val="20"/>
          <w:szCs w:val="20"/>
        </w:rPr>
        <w:t xml:space="preserve"> </w:t>
      </w:r>
    </w:p>
    <w:p w14:paraId="4E78E663" w14:textId="593FA5E0" w:rsidR="00217A32" w:rsidRDefault="00217A32" w:rsidP="00202034">
      <w:pPr>
        <w:spacing w:after="0" w:line="360" w:lineRule="auto"/>
        <w:jc w:val="both"/>
        <w:rPr>
          <w:rFonts w:ascii="Times New Roman" w:eastAsia="Times New Roman" w:hAnsi="Times New Roman" w:cs="Times New Roman"/>
          <w:sz w:val="20"/>
          <w:szCs w:val="20"/>
        </w:rPr>
      </w:pPr>
    </w:p>
    <w:p w14:paraId="79CB74B7" w14:textId="73BF4090" w:rsidR="001A0318" w:rsidRPr="001A0318" w:rsidRDefault="001A0318" w:rsidP="001A0318">
      <w:pPr>
        <w:spacing w:after="0" w:line="360" w:lineRule="auto"/>
        <w:jc w:val="both"/>
        <w:rPr>
          <w:rFonts w:ascii="Times New Roman" w:eastAsia="Times New Roman" w:hAnsi="Times New Roman" w:cs="Times New Roman"/>
          <w:b/>
          <w:bCs/>
          <w:sz w:val="20"/>
          <w:szCs w:val="20"/>
        </w:rPr>
      </w:pPr>
      <w:r w:rsidRPr="001A0318">
        <w:rPr>
          <w:rFonts w:ascii="Times New Roman" w:eastAsia="Times New Roman" w:hAnsi="Times New Roman" w:cs="Times New Roman"/>
          <w:b/>
          <w:bCs/>
          <w:sz w:val="20"/>
          <w:szCs w:val="20"/>
        </w:rPr>
        <w:t>CONCLUSION</w:t>
      </w:r>
    </w:p>
    <w:p w14:paraId="6D15C3FB" w14:textId="382BCF2F" w:rsidR="001A0318" w:rsidRPr="001A0318" w:rsidRDefault="001A0318" w:rsidP="001A0318">
      <w:pPr>
        <w:spacing w:after="0" w:line="360" w:lineRule="auto"/>
        <w:jc w:val="both"/>
        <w:rPr>
          <w:rFonts w:ascii="Times New Roman" w:eastAsia="Times New Roman" w:hAnsi="Times New Roman" w:cs="Times New Roman"/>
          <w:sz w:val="20"/>
          <w:szCs w:val="20"/>
        </w:rPr>
      </w:pPr>
      <w:r w:rsidRPr="001A0318">
        <w:rPr>
          <w:rFonts w:ascii="Times New Roman" w:eastAsia="Times New Roman" w:hAnsi="Times New Roman" w:cs="Times New Roman"/>
          <w:sz w:val="20"/>
          <w:szCs w:val="20"/>
        </w:rPr>
        <w:t>This research presents a transformative approach to urban sustainability through the development and simulation of the AI</w:t>
      </w:r>
      <w:r w:rsidR="00DD78B8">
        <w:rPr>
          <w:rFonts w:ascii="Times New Roman" w:eastAsia="Times New Roman" w:hAnsi="Times New Roman" w:cs="Times New Roman"/>
          <w:sz w:val="20"/>
          <w:szCs w:val="20"/>
        </w:rPr>
        <w:t>-</w:t>
      </w:r>
      <w:r w:rsidRPr="001A0318">
        <w:rPr>
          <w:rFonts w:ascii="Times New Roman" w:eastAsia="Times New Roman" w:hAnsi="Times New Roman" w:cs="Times New Roman"/>
          <w:sz w:val="20"/>
          <w:szCs w:val="20"/>
        </w:rPr>
        <w:t>CIR</w:t>
      </w:r>
      <w:r w:rsidR="00DD78B8">
        <w:rPr>
          <w:rFonts w:ascii="Times New Roman" w:eastAsia="Times New Roman" w:hAnsi="Times New Roman" w:cs="Times New Roman"/>
          <w:sz w:val="20"/>
          <w:szCs w:val="20"/>
        </w:rPr>
        <w:t>-</w:t>
      </w:r>
      <w:proofErr w:type="spellStart"/>
      <w:r w:rsidRPr="001A0318">
        <w:rPr>
          <w:rFonts w:ascii="Times New Roman" w:eastAsia="Times New Roman" w:hAnsi="Times New Roman" w:cs="Times New Roman"/>
          <w:sz w:val="20"/>
          <w:szCs w:val="20"/>
        </w:rPr>
        <w:t>WtE</w:t>
      </w:r>
      <w:proofErr w:type="spellEnd"/>
      <w:r w:rsidRPr="001A0318">
        <w:rPr>
          <w:rFonts w:ascii="Times New Roman" w:eastAsia="Times New Roman" w:hAnsi="Times New Roman" w:cs="Times New Roman"/>
          <w:sz w:val="20"/>
          <w:szCs w:val="20"/>
        </w:rPr>
        <w:t xml:space="preserve"> framework</w:t>
      </w:r>
      <w:r w:rsidR="00DD78B8">
        <w:rPr>
          <w:rFonts w:ascii="Times New Roman" w:eastAsia="Times New Roman" w:hAnsi="Times New Roman" w:cs="Times New Roman"/>
          <w:sz w:val="20"/>
          <w:szCs w:val="20"/>
        </w:rPr>
        <w:t xml:space="preserve">, </w:t>
      </w:r>
      <w:r w:rsidRPr="001A0318">
        <w:rPr>
          <w:rFonts w:ascii="Times New Roman" w:eastAsia="Times New Roman" w:hAnsi="Times New Roman" w:cs="Times New Roman"/>
          <w:sz w:val="20"/>
          <w:szCs w:val="20"/>
        </w:rPr>
        <w:t>an integrated, adaptive, and digitally intelligent system designed to optimize circular resource recovery and infrastructure resilience in climate-vulnerable megacities. By uniting advanced machine learning, real-time digital twins, circular economy analytics, and decentralized energy recovery systems, the framework addresses the multifaceted challenges of waste surges, emissions intensity, and infrastructural fragility that typify rapidly urbanizing cities in the Global South.</w:t>
      </w:r>
      <w:r>
        <w:rPr>
          <w:rFonts w:ascii="Times New Roman" w:eastAsia="Times New Roman" w:hAnsi="Times New Roman" w:cs="Times New Roman"/>
          <w:sz w:val="20"/>
          <w:szCs w:val="20"/>
        </w:rPr>
        <w:t xml:space="preserve"> </w:t>
      </w:r>
      <w:r w:rsidRPr="001A0318">
        <w:rPr>
          <w:rFonts w:ascii="Times New Roman" w:eastAsia="Times New Roman" w:hAnsi="Times New Roman" w:cs="Times New Roman"/>
          <w:sz w:val="20"/>
          <w:szCs w:val="20"/>
        </w:rPr>
        <w:t>Simulation results from Dhaka demonstrate that the proposed system significantly enhances municipal waste forecasting accuracy, energy recovery efficiency, and GHG emissions mitigation. It also exhibits high resilience under climate-induced disruptions such as floods and heatwaves, maintaining operational continuity and optimizing spatial routing through AI-powered adaptive controls. The model achieves a notable increase in the Circularity Index while reducing lifecycle environmental burdens by over one-third compared to conventional waste systems. Furthermore, the economic simulations confirm the framework’s viability through accelerated return on investment, carbon credit eligibility, and cost savings from landfill avoidance.</w:t>
      </w:r>
    </w:p>
    <w:p w14:paraId="1A98634B" w14:textId="685CA225" w:rsidR="001A0318" w:rsidRDefault="001A0318" w:rsidP="007F2FA0">
      <w:pPr>
        <w:spacing w:after="0" w:line="360" w:lineRule="auto"/>
        <w:jc w:val="both"/>
        <w:rPr>
          <w:rFonts w:ascii="Times New Roman" w:eastAsia="Times New Roman" w:hAnsi="Times New Roman" w:cs="Times New Roman"/>
          <w:sz w:val="20"/>
          <w:szCs w:val="20"/>
        </w:rPr>
      </w:pPr>
      <w:r w:rsidRPr="001A0318">
        <w:rPr>
          <w:rFonts w:ascii="Times New Roman" w:eastAsia="Times New Roman" w:hAnsi="Times New Roman" w:cs="Times New Roman"/>
          <w:sz w:val="20"/>
          <w:szCs w:val="20"/>
        </w:rPr>
        <w:t>Beyond its technical robustness, the framework embeds principles of equity, transparency, and inclusive innovation by integrating informal waste workers, promoting digital literacy, and incorporating blockchain-based traceability and incentive structures. This positions the model as not only an engineering innovation but also a socially responsive governance tool, aligned with the imperatives of climate justice and digital inclusion.</w:t>
      </w:r>
      <w:r>
        <w:rPr>
          <w:rFonts w:ascii="Times New Roman" w:eastAsia="Times New Roman" w:hAnsi="Times New Roman" w:cs="Times New Roman"/>
          <w:sz w:val="20"/>
          <w:szCs w:val="20"/>
        </w:rPr>
        <w:t xml:space="preserve"> </w:t>
      </w:r>
      <w:r w:rsidRPr="001A0318">
        <w:rPr>
          <w:rFonts w:ascii="Times New Roman" w:eastAsia="Times New Roman" w:hAnsi="Times New Roman" w:cs="Times New Roman"/>
          <w:sz w:val="20"/>
          <w:szCs w:val="20"/>
        </w:rPr>
        <w:t>The AI</w:t>
      </w:r>
      <w:r w:rsidR="00DD78B8">
        <w:rPr>
          <w:rFonts w:ascii="Times New Roman" w:eastAsia="Times New Roman" w:hAnsi="Times New Roman" w:cs="Times New Roman"/>
          <w:sz w:val="20"/>
          <w:szCs w:val="20"/>
        </w:rPr>
        <w:t>-</w:t>
      </w:r>
      <w:r w:rsidRPr="001A0318">
        <w:rPr>
          <w:rFonts w:ascii="Times New Roman" w:eastAsia="Times New Roman" w:hAnsi="Times New Roman" w:cs="Times New Roman"/>
          <w:sz w:val="20"/>
          <w:szCs w:val="20"/>
        </w:rPr>
        <w:t>CIR</w:t>
      </w:r>
      <w:r w:rsidR="00DD78B8">
        <w:rPr>
          <w:rFonts w:ascii="Times New Roman" w:eastAsia="Times New Roman" w:hAnsi="Times New Roman" w:cs="Times New Roman"/>
          <w:sz w:val="20"/>
          <w:szCs w:val="20"/>
        </w:rPr>
        <w:t>-</w:t>
      </w:r>
      <w:proofErr w:type="spellStart"/>
      <w:r w:rsidRPr="001A0318">
        <w:rPr>
          <w:rFonts w:ascii="Times New Roman" w:eastAsia="Times New Roman" w:hAnsi="Times New Roman" w:cs="Times New Roman"/>
          <w:sz w:val="20"/>
          <w:szCs w:val="20"/>
        </w:rPr>
        <w:t>WtE</w:t>
      </w:r>
      <w:proofErr w:type="spellEnd"/>
      <w:r w:rsidRPr="001A0318">
        <w:rPr>
          <w:rFonts w:ascii="Times New Roman" w:eastAsia="Times New Roman" w:hAnsi="Times New Roman" w:cs="Times New Roman"/>
          <w:sz w:val="20"/>
          <w:szCs w:val="20"/>
        </w:rPr>
        <w:t xml:space="preserve"> framework contributes substantively to Sustainable Development Goals 6, 7, 11, 12, and 13, and serves as a replicable blueprint for other megacities seeking to transition toward low-carbon, decentralized, and circular urban infrastructures. While current implementation is based on secondary data and simulated environments, the conceptual, methodological, and systemic insights offered by this research lay a strong foundation for real-world pilot deployments, cross-city adaptation, and integration into climate finance mechanisms.</w:t>
      </w:r>
      <w:r>
        <w:rPr>
          <w:rFonts w:ascii="Times New Roman" w:eastAsia="Times New Roman" w:hAnsi="Times New Roman" w:cs="Times New Roman"/>
          <w:sz w:val="20"/>
          <w:szCs w:val="20"/>
        </w:rPr>
        <w:t xml:space="preserve"> </w:t>
      </w:r>
      <w:r w:rsidRPr="001A0318">
        <w:rPr>
          <w:rFonts w:ascii="Times New Roman" w:eastAsia="Times New Roman" w:hAnsi="Times New Roman" w:cs="Times New Roman"/>
          <w:sz w:val="20"/>
          <w:szCs w:val="20"/>
        </w:rPr>
        <w:t>In an era where cities are both climate victims and solution incubators, the AI</w:t>
      </w:r>
      <w:r w:rsidR="00DD78B8">
        <w:rPr>
          <w:rFonts w:ascii="Times New Roman" w:eastAsia="Times New Roman" w:hAnsi="Times New Roman" w:cs="Times New Roman"/>
          <w:sz w:val="20"/>
          <w:szCs w:val="20"/>
        </w:rPr>
        <w:t>-</w:t>
      </w:r>
      <w:r w:rsidRPr="001A0318">
        <w:rPr>
          <w:rFonts w:ascii="Times New Roman" w:eastAsia="Times New Roman" w:hAnsi="Times New Roman" w:cs="Times New Roman"/>
          <w:sz w:val="20"/>
          <w:szCs w:val="20"/>
        </w:rPr>
        <w:t>CIR</w:t>
      </w:r>
      <w:r w:rsidR="00DD78B8">
        <w:rPr>
          <w:rFonts w:ascii="Times New Roman" w:eastAsia="Times New Roman" w:hAnsi="Times New Roman" w:cs="Times New Roman"/>
          <w:sz w:val="20"/>
          <w:szCs w:val="20"/>
        </w:rPr>
        <w:t>-</w:t>
      </w:r>
      <w:proofErr w:type="spellStart"/>
      <w:r w:rsidRPr="001A0318">
        <w:rPr>
          <w:rFonts w:ascii="Times New Roman" w:eastAsia="Times New Roman" w:hAnsi="Times New Roman" w:cs="Times New Roman"/>
          <w:sz w:val="20"/>
          <w:szCs w:val="20"/>
        </w:rPr>
        <w:t>WtE</w:t>
      </w:r>
      <w:proofErr w:type="spellEnd"/>
      <w:r w:rsidRPr="001A0318">
        <w:rPr>
          <w:rFonts w:ascii="Times New Roman" w:eastAsia="Times New Roman" w:hAnsi="Times New Roman" w:cs="Times New Roman"/>
          <w:sz w:val="20"/>
          <w:szCs w:val="20"/>
        </w:rPr>
        <w:t xml:space="preserve"> model offers a bold, science-based pathway for reimagining waste not as a liability but as a regenerative asset</w:t>
      </w:r>
      <w:r w:rsidR="00DD78B8">
        <w:rPr>
          <w:rFonts w:ascii="Times New Roman" w:eastAsia="Times New Roman" w:hAnsi="Times New Roman" w:cs="Times New Roman"/>
          <w:sz w:val="20"/>
          <w:szCs w:val="20"/>
        </w:rPr>
        <w:t xml:space="preserve">, </w:t>
      </w:r>
      <w:r w:rsidRPr="001A0318">
        <w:rPr>
          <w:rFonts w:ascii="Times New Roman" w:eastAsia="Times New Roman" w:hAnsi="Times New Roman" w:cs="Times New Roman"/>
          <w:sz w:val="20"/>
          <w:szCs w:val="20"/>
        </w:rPr>
        <w:t>powering the transition to sustainable, inclusive, and climate-resilient urban futures.</w:t>
      </w:r>
    </w:p>
    <w:p w14:paraId="6EC72D44" w14:textId="77777777" w:rsidR="007F2FA0" w:rsidRDefault="007F2FA0" w:rsidP="007F2FA0">
      <w:pPr>
        <w:spacing w:after="0" w:line="360" w:lineRule="auto"/>
        <w:jc w:val="both"/>
        <w:rPr>
          <w:rFonts w:ascii="Times New Roman" w:eastAsia="Times New Roman" w:hAnsi="Times New Roman" w:cs="Times New Roman"/>
          <w:sz w:val="20"/>
          <w:szCs w:val="20"/>
        </w:rPr>
      </w:pPr>
    </w:p>
    <w:p w14:paraId="0E53F34E" w14:textId="77777777" w:rsidR="00EF1066" w:rsidRDefault="00EF1066" w:rsidP="002D3469">
      <w:pPr>
        <w:spacing w:after="0" w:line="360" w:lineRule="auto"/>
        <w:jc w:val="both"/>
        <w:rPr>
          <w:rFonts w:ascii="Times New Roman" w:hAnsi="Times New Roman" w:cs="Times New Roman"/>
          <w:sz w:val="20"/>
          <w:szCs w:val="20"/>
        </w:rPr>
      </w:pPr>
      <w:bookmarkStart w:id="2" w:name="_GoBack"/>
      <w:bookmarkEnd w:id="2"/>
    </w:p>
    <w:p w14:paraId="38A27CCE" w14:textId="6619FEE1" w:rsidR="002D3469" w:rsidRPr="002D3469" w:rsidRDefault="002D3469" w:rsidP="002D3469">
      <w:pPr>
        <w:spacing w:after="0" w:line="360" w:lineRule="auto"/>
        <w:jc w:val="both"/>
        <w:rPr>
          <w:rFonts w:ascii="Times New Roman" w:hAnsi="Times New Roman" w:cs="Times New Roman"/>
          <w:sz w:val="20"/>
          <w:szCs w:val="20"/>
        </w:rPr>
      </w:pPr>
      <w:r w:rsidRPr="002D3469">
        <w:rPr>
          <w:rFonts w:ascii="Times New Roman" w:hAnsi="Times New Roman" w:cs="Times New Roman"/>
          <w:sz w:val="20"/>
          <w:szCs w:val="20"/>
        </w:rPr>
        <w:t>COMPETING INTERESTS DISCLAIMER:</w:t>
      </w:r>
    </w:p>
    <w:p w14:paraId="44B6BCA2" w14:textId="4C9AC5CC" w:rsidR="002D3469" w:rsidRDefault="002D3469" w:rsidP="002D3469">
      <w:pPr>
        <w:spacing w:after="0" w:line="360" w:lineRule="auto"/>
        <w:jc w:val="both"/>
        <w:rPr>
          <w:rFonts w:ascii="Times New Roman" w:hAnsi="Times New Roman" w:cs="Times New Roman"/>
          <w:sz w:val="20"/>
          <w:szCs w:val="20"/>
        </w:rPr>
      </w:pPr>
      <w:r w:rsidRPr="002D3469">
        <w:rPr>
          <w:rFonts w:ascii="Times New Roman" w:hAnsi="Times New Roman" w:cs="Times New Roman"/>
          <w:sz w:val="20"/>
          <w:szCs w:val="20"/>
        </w:rPr>
        <w:t>Authors have declared that they have no known competing financial interests OR non-financial interests OR personal relationships that could have appeared to influence the work reported in this paper.</w:t>
      </w:r>
    </w:p>
    <w:p w14:paraId="7BECB36B" w14:textId="77777777" w:rsidR="007F2FA0" w:rsidRPr="003D68C5" w:rsidRDefault="007F2FA0" w:rsidP="007F2FA0">
      <w:pPr>
        <w:spacing w:after="0" w:line="360" w:lineRule="auto"/>
        <w:jc w:val="both"/>
        <w:rPr>
          <w:rFonts w:ascii="Times New Roman" w:hAnsi="Times New Roman" w:cs="Times New Roman"/>
          <w:sz w:val="20"/>
          <w:szCs w:val="20"/>
        </w:rPr>
      </w:pPr>
    </w:p>
    <w:p w14:paraId="42AC001D" w14:textId="77777777" w:rsidR="007F2FA0" w:rsidRPr="00635819" w:rsidRDefault="007F2FA0" w:rsidP="00635819">
      <w:pPr>
        <w:pStyle w:val="NormalWeb"/>
        <w:spacing w:before="0" w:beforeAutospacing="0" w:after="0" w:afterAutospacing="0"/>
        <w:jc w:val="both"/>
        <w:rPr>
          <w:b/>
          <w:bCs/>
          <w:sz w:val="20"/>
          <w:szCs w:val="20"/>
        </w:rPr>
      </w:pPr>
      <w:r w:rsidRPr="00635819">
        <w:rPr>
          <w:b/>
          <w:bCs/>
          <w:sz w:val="20"/>
          <w:szCs w:val="20"/>
        </w:rPr>
        <w:t>REFERENCES</w:t>
      </w:r>
    </w:p>
    <w:p w14:paraId="3A08F1F1"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African Development Bank [AfDB]. (2024). </w:t>
      </w:r>
      <w:r w:rsidRPr="00635819">
        <w:rPr>
          <w:rFonts w:ascii="Times New Roman" w:eastAsia="Times New Roman" w:hAnsi="Times New Roman" w:cs="Times New Roman"/>
          <w:i/>
          <w:iCs/>
          <w:sz w:val="20"/>
          <w:szCs w:val="20"/>
        </w:rPr>
        <w:t>Circular Urban Infrastructure: Deployment Toolkit for African Cities</w:t>
      </w:r>
      <w:r w:rsidRPr="00635819">
        <w:rPr>
          <w:rFonts w:ascii="Times New Roman" w:eastAsia="Times New Roman" w:hAnsi="Times New Roman" w:cs="Times New Roman"/>
          <w:sz w:val="20"/>
          <w:szCs w:val="20"/>
        </w:rPr>
        <w:t xml:space="preserve">. Abidjan: AfDB Publications. </w:t>
      </w:r>
    </w:p>
    <w:p w14:paraId="04367149" w14:textId="77777777" w:rsidR="00AA0EEF" w:rsidRPr="00635819" w:rsidRDefault="00C6102C" w:rsidP="00635819">
      <w:pPr>
        <w:spacing w:after="0" w:line="240" w:lineRule="auto"/>
        <w:jc w:val="both"/>
        <w:rPr>
          <w:rFonts w:ascii="Times New Roman" w:eastAsia="Times New Roman" w:hAnsi="Times New Roman" w:cs="Times New Roman"/>
          <w:sz w:val="20"/>
          <w:szCs w:val="20"/>
        </w:rPr>
      </w:pPr>
      <w:hyperlink r:id="rId12" w:history="1">
        <w:r w:rsidR="00AA0EEF" w:rsidRPr="00635819">
          <w:rPr>
            <w:rStyle w:val="Hyperlink"/>
            <w:rFonts w:ascii="Times New Roman" w:eastAsia="Times New Roman" w:hAnsi="Times New Roman" w:cs="Times New Roman"/>
            <w:sz w:val="20"/>
            <w:szCs w:val="20"/>
          </w:rPr>
          <w:t>https://www.afdb.org/sites/default/files/documents/publications/2024_bank_group_publications_catalogue_eng.pdf</w:t>
        </w:r>
      </w:hyperlink>
      <w:r w:rsidR="00AA0EEF" w:rsidRPr="00635819">
        <w:rPr>
          <w:rFonts w:ascii="Times New Roman" w:eastAsia="Times New Roman" w:hAnsi="Times New Roman" w:cs="Times New Roman"/>
          <w:sz w:val="20"/>
          <w:szCs w:val="20"/>
        </w:rPr>
        <w:t xml:space="preserve"> </w:t>
      </w:r>
    </w:p>
    <w:p w14:paraId="37A4C2FB"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46D8D945"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roofErr w:type="spellStart"/>
      <w:r w:rsidRPr="00635819">
        <w:rPr>
          <w:rStyle w:val="muibox-root"/>
          <w:rFonts w:ascii="Times New Roman" w:hAnsi="Times New Roman" w:cs="Times New Roman"/>
          <w:sz w:val="20"/>
          <w:szCs w:val="20"/>
        </w:rPr>
        <w:lastRenderedPageBreak/>
        <w:t>Alabdali</w:t>
      </w:r>
      <w:proofErr w:type="spellEnd"/>
      <w:r w:rsidRPr="00635819">
        <w:rPr>
          <w:rStyle w:val="muibox-root"/>
          <w:rFonts w:ascii="Times New Roman" w:hAnsi="Times New Roman" w:cs="Times New Roman"/>
          <w:sz w:val="20"/>
          <w:szCs w:val="20"/>
        </w:rPr>
        <w:t xml:space="preserve">, A. M. (2025). Blockchain based solid waste classification with AI powered tracking and IoT integration. </w:t>
      </w:r>
      <w:r w:rsidRPr="00635819">
        <w:rPr>
          <w:rStyle w:val="muibox-root"/>
          <w:rFonts w:ascii="Times New Roman" w:hAnsi="Times New Roman" w:cs="Times New Roman"/>
          <w:i/>
          <w:iCs/>
          <w:sz w:val="20"/>
          <w:szCs w:val="20"/>
        </w:rPr>
        <w:t>Scientific Reports</w:t>
      </w:r>
      <w:r w:rsidRPr="00635819">
        <w:rPr>
          <w:rStyle w:val="muibox-root"/>
          <w:rFonts w:ascii="Times New Roman" w:hAnsi="Times New Roman" w:cs="Times New Roman"/>
          <w:sz w:val="20"/>
          <w:szCs w:val="20"/>
        </w:rPr>
        <w:t xml:space="preserve">, </w:t>
      </w:r>
      <w:r w:rsidRPr="00635819">
        <w:rPr>
          <w:rStyle w:val="muibox-root"/>
          <w:rFonts w:ascii="Times New Roman" w:hAnsi="Times New Roman" w:cs="Times New Roman"/>
          <w:i/>
          <w:iCs/>
          <w:sz w:val="20"/>
          <w:szCs w:val="20"/>
        </w:rPr>
        <w:t>15</w:t>
      </w:r>
      <w:r w:rsidRPr="00635819">
        <w:rPr>
          <w:rStyle w:val="muibox-root"/>
          <w:rFonts w:ascii="Times New Roman" w:hAnsi="Times New Roman" w:cs="Times New Roman"/>
          <w:sz w:val="20"/>
          <w:szCs w:val="20"/>
        </w:rPr>
        <w:t xml:space="preserve">(1). </w:t>
      </w:r>
      <w:hyperlink r:id="rId13" w:history="1">
        <w:r w:rsidRPr="00635819">
          <w:rPr>
            <w:rStyle w:val="Hyperlink"/>
            <w:rFonts w:ascii="Times New Roman" w:hAnsi="Times New Roman" w:cs="Times New Roman"/>
            <w:sz w:val="20"/>
            <w:szCs w:val="20"/>
          </w:rPr>
          <w:t>https://doi.org/10.1038/s41598-025-97030-2</w:t>
        </w:r>
      </w:hyperlink>
      <w:r w:rsidRPr="00635819">
        <w:rPr>
          <w:rStyle w:val="url"/>
          <w:rFonts w:ascii="Times New Roman" w:hAnsi="Times New Roman" w:cs="Times New Roman"/>
          <w:sz w:val="20"/>
          <w:szCs w:val="20"/>
        </w:rPr>
        <w:t xml:space="preserve"> </w:t>
      </w:r>
    </w:p>
    <w:p w14:paraId="08140DDA" w14:textId="77777777" w:rsidR="00AA0EEF" w:rsidRPr="00635819" w:rsidRDefault="00AA0EEF" w:rsidP="00635819">
      <w:pPr>
        <w:pStyle w:val="NormalWeb"/>
        <w:spacing w:before="0" w:beforeAutospacing="0" w:after="0" w:afterAutospacing="0"/>
        <w:jc w:val="both"/>
        <w:rPr>
          <w:sz w:val="20"/>
          <w:szCs w:val="20"/>
        </w:rPr>
      </w:pPr>
    </w:p>
    <w:p w14:paraId="04641940"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Asian Development Bank (ADB). (2024). </w:t>
      </w:r>
      <w:r w:rsidRPr="00635819">
        <w:rPr>
          <w:rStyle w:val="Strong"/>
          <w:b w:val="0"/>
          <w:bCs w:val="0"/>
          <w:sz w:val="20"/>
          <w:szCs w:val="20"/>
        </w:rPr>
        <w:t>This Annual Report presents a comprehensive account of ADB's operational, institutional, and financial highlights in 2024.</w:t>
      </w:r>
      <w:r w:rsidRPr="00635819">
        <w:rPr>
          <w:rStyle w:val="Strong"/>
          <w:sz w:val="20"/>
          <w:szCs w:val="20"/>
        </w:rPr>
        <w:t xml:space="preserve"> </w:t>
      </w:r>
      <w:hyperlink r:id="rId14" w:history="1">
        <w:r w:rsidRPr="00635819">
          <w:rPr>
            <w:rStyle w:val="Hyperlink"/>
            <w:sz w:val="20"/>
            <w:szCs w:val="20"/>
          </w:rPr>
          <w:t>https://dx.doi.org/10.22617/FLS250100</w:t>
        </w:r>
      </w:hyperlink>
      <w:r w:rsidRPr="00635819">
        <w:rPr>
          <w:sz w:val="20"/>
          <w:szCs w:val="20"/>
        </w:rPr>
        <w:t xml:space="preserve"> </w:t>
      </w:r>
    </w:p>
    <w:p w14:paraId="0F295072" w14:textId="77777777" w:rsidR="00AA0EEF" w:rsidRPr="00635819" w:rsidRDefault="00AA0EEF" w:rsidP="00635819">
      <w:pPr>
        <w:spacing w:after="0" w:line="240" w:lineRule="auto"/>
        <w:jc w:val="both"/>
        <w:rPr>
          <w:rFonts w:ascii="Times New Roman" w:hAnsi="Times New Roman" w:cs="Times New Roman"/>
          <w:sz w:val="20"/>
          <w:szCs w:val="20"/>
        </w:rPr>
      </w:pPr>
    </w:p>
    <w:p w14:paraId="3EFFCEA0"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Asian Development Bank. (2021). Asian Cities in the 21st Century: Contemporary Approaches to Municipal Management. </w:t>
      </w:r>
    </w:p>
    <w:p w14:paraId="76A6A637" w14:textId="77777777" w:rsidR="00AA0EEF" w:rsidRPr="00635819" w:rsidRDefault="00C6102C" w:rsidP="00635819">
      <w:pPr>
        <w:spacing w:after="0" w:line="240" w:lineRule="auto"/>
        <w:jc w:val="both"/>
        <w:rPr>
          <w:rFonts w:ascii="Times New Roman" w:hAnsi="Times New Roman" w:cs="Times New Roman"/>
          <w:sz w:val="20"/>
          <w:szCs w:val="20"/>
        </w:rPr>
      </w:pPr>
      <w:hyperlink r:id="rId15" w:history="1">
        <w:r w:rsidR="00AA0EEF" w:rsidRPr="00635819">
          <w:rPr>
            <w:rStyle w:val="Hyperlink"/>
            <w:rFonts w:ascii="Times New Roman" w:hAnsi="Times New Roman" w:cs="Times New Roman"/>
            <w:sz w:val="20"/>
            <w:szCs w:val="20"/>
          </w:rPr>
          <w:t>https://www.adb.org/publications/series/asian-cities-21st-century-contemporary-approaches-municipal-management</w:t>
        </w:r>
      </w:hyperlink>
      <w:r w:rsidR="00AA0EEF" w:rsidRPr="00635819">
        <w:rPr>
          <w:rFonts w:ascii="Times New Roman" w:hAnsi="Times New Roman" w:cs="Times New Roman"/>
          <w:sz w:val="20"/>
          <w:szCs w:val="20"/>
        </w:rPr>
        <w:t xml:space="preserve"> </w:t>
      </w:r>
    </w:p>
    <w:p w14:paraId="724380DE" w14:textId="77777777" w:rsidR="00AA0EEF" w:rsidRPr="00635819" w:rsidRDefault="00AA0EEF" w:rsidP="00635819">
      <w:pPr>
        <w:pStyle w:val="NormalWeb"/>
        <w:spacing w:before="0" w:beforeAutospacing="0" w:after="0" w:afterAutospacing="0"/>
        <w:jc w:val="both"/>
        <w:rPr>
          <w:rStyle w:val="relative"/>
          <w:sz w:val="20"/>
          <w:szCs w:val="20"/>
        </w:rPr>
      </w:pPr>
    </w:p>
    <w:p w14:paraId="22B3AC47" w14:textId="77777777" w:rsidR="00AA0EEF" w:rsidRPr="00635819" w:rsidRDefault="00AA0EEF" w:rsidP="00635819">
      <w:pPr>
        <w:pStyle w:val="NormalWeb"/>
        <w:spacing w:before="0" w:beforeAutospacing="0" w:after="0" w:afterAutospacing="0"/>
        <w:jc w:val="both"/>
        <w:rPr>
          <w:rStyle w:val="relative"/>
          <w:sz w:val="20"/>
          <w:szCs w:val="20"/>
        </w:rPr>
      </w:pPr>
      <w:r w:rsidRPr="00635819">
        <w:rPr>
          <w:rStyle w:val="muibox-root"/>
          <w:sz w:val="20"/>
          <w:szCs w:val="20"/>
        </w:rPr>
        <w:t xml:space="preserve">Balamurugan, M., Narayanan, K., Raghu, N., Kumar, G. B. A., &amp; Trupti, V. N. (2025). Role of artificial intelligence in smart grid – a mini review. </w:t>
      </w:r>
      <w:r w:rsidRPr="00635819">
        <w:rPr>
          <w:rStyle w:val="muibox-root"/>
          <w:i/>
          <w:iCs/>
          <w:sz w:val="20"/>
          <w:szCs w:val="20"/>
        </w:rPr>
        <w:t>Frontiers in Artificial Intelligence</w:t>
      </w:r>
      <w:r w:rsidRPr="00635819">
        <w:rPr>
          <w:rStyle w:val="muibox-root"/>
          <w:sz w:val="20"/>
          <w:szCs w:val="20"/>
        </w:rPr>
        <w:t xml:space="preserve">, </w:t>
      </w:r>
      <w:r w:rsidRPr="00635819">
        <w:rPr>
          <w:rStyle w:val="muibox-root"/>
          <w:i/>
          <w:iCs/>
          <w:sz w:val="20"/>
          <w:szCs w:val="20"/>
        </w:rPr>
        <w:t>8</w:t>
      </w:r>
      <w:r w:rsidRPr="00635819">
        <w:rPr>
          <w:rStyle w:val="muibox-root"/>
          <w:sz w:val="20"/>
          <w:szCs w:val="20"/>
        </w:rPr>
        <w:t xml:space="preserve">. </w:t>
      </w:r>
      <w:hyperlink r:id="rId16" w:history="1">
        <w:r w:rsidRPr="00635819">
          <w:rPr>
            <w:rStyle w:val="Hyperlink"/>
            <w:sz w:val="20"/>
            <w:szCs w:val="20"/>
          </w:rPr>
          <w:t>https://doi.org/10.3389/frai.2025.1551661</w:t>
        </w:r>
      </w:hyperlink>
      <w:r w:rsidRPr="00635819">
        <w:rPr>
          <w:rStyle w:val="url"/>
          <w:sz w:val="20"/>
          <w:szCs w:val="20"/>
        </w:rPr>
        <w:t xml:space="preserve"> </w:t>
      </w:r>
    </w:p>
    <w:p w14:paraId="61E4DB5C" w14:textId="77777777" w:rsidR="00AA0EEF" w:rsidRPr="00635819" w:rsidRDefault="00AA0EEF" w:rsidP="00635819">
      <w:pPr>
        <w:pStyle w:val="NormalWeb"/>
        <w:spacing w:before="0" w:beforeAutospacing="0" w:after="0" w:afterAutospacing="0"/>
        <w:jc w:val="both"/>
        <w:rPr>
          <w:sz w:val="20"/>
          <w:szCs w:val="20"/>
        </w:rPr>
      </w:pPr>
    </w:p>
    <w:p w14:paraId="23C041C6"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Bangladesh Bureau of Statistics. (2020). </w:t>
      </w:r>
      <w:r w:rsidRPr="00635819">
        <w:rPr>
          <w:rStyle w:val="Emphasis"/>
          <w:sz w:val="20"/>
          <w:szCs w:val="20"/>
        </w:rPr>
        <w:t>Population and housing census 2020</w:t>
      </w:r>
      <w:r w:rsidRPr="00635819">
        <w:rPr>
          <w:sz w:val="20"/>
          <w:szCs w:val="20"/>
        </w:rPr>
        <w:t xml:space="preserve">. Ministry of Planning, Government of Bangladesh. </w:t>
      </w:r>
      <w:hyperlink r:id="rId17" w:history="1">
        <w:r w:rsidRPr="00635819">
          <w:rPr>
            <w:rStyle w:val="Hyperlink"/>
            <w:sz w:val="20"/>
            <w:szCs w:val="20"/>
          </w:rPr>
          <w:t>http://bbs.portal.gov.bd</w:t>
        </w:r>
      </w:hyperlink>
      <w:r w:rsidRPr="00635819">
        <w:rPr>
          <w:sz w:val="20"/>
          <w:szCs w:val="20"/>
        </w:rPr>
        <w:t xml:space="preserve"> </w:t>
      </w:r>
    </w:p>
    <w:p w14:paraId="21A80B3E" w14:textId="77777777" w:rsidR="00AA0EEF" w:rsidRPr="00635819" w:rsidRDefault="00AA0EEF" w:rsidP="00635819">
      <w:pPr>
        <w:pStyle w:val="NormalWeb"/>
        <w:spacing w:before="0" w:beforeAutospacing="0" w:after="0" w:afterAutospacing="0"/>
        <w:jc w:val="both"/>
        <w:rPr>
          <w:sz w:val="20"/>
          <w:szCs w:val="20"/>
        </w:rPr>
      </w:pPr>
    </w:p>
    <w:p w14:paraId="46C419D9"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Bangladesh Meteorological Department. (2023). </w:t>
      </w:r>
      <w:r w:rsidRPr="00635819">
        <w:rPr>
          <w:rStyle w:val="Emphasis"/>
          <w:sz w:val="20"/>
          <w:szCs w:val="20"/>
        </w:rPr>
        <w:t>Climate change scenarios for Bangladesh</w:t>
      </w:r>
      <w:r w:rsidRPr="00635819">
        <w:rPr>
          <w:sz w:val="20"/>
          <w:szCs w:val="20"/>
        </w:rPr>
        <w:t xml:space="preserve">. </w:t>
      </w:r>
      <w:hyperlink r:id="rId18" w:tgtFrame="_new" w:history="1">
        <w:r w:rsidRPr="00635819">
          <w:rPr>
            <w:rStyle w:val="Hyperlink"/>
            <w:sz w:val="20"/>
            <w:szCs w:val="20"/>
          </w:rPr>
          <w:t>http://bmd.gov.bd</w:t>
        </w:r>
      </w:hyperlink>
      <w:r w:rsidRPr="00635819">
        <w:rPr>
          <w:sz w:val="20"/>
          <w:szCs w:val="20"/>
        </w:rPr>
        <w:t xml:space="preserve"> </w:t>
      </w:r>
    </w:p>
    <w:p w14:paraId="6C2068E1" w14:textId="77777777" w:rsidR="00AA0EEF" w:rsidRPr="00635819" w:rsidRDefault="00AA0EEF" w:rsidP="00635819">
      <w:pPr>
        <w:pStyle w:val="NormalWeb"/>
        <w:spacing w:before="0" w:beforeAutospacing="0" w:after="0" w:afterAutospacing="0"/>
        <w:jc w:val="both"/>
        <w:rPr>
          <w:sz w:val="20"/>
          <w:szCs w:val="20"/>
        </w:rPr>
      </w:pPr>
    </w:p>
    <w:p w14:paraId="326471C8"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Batty, M., </w:t>
      </w:r>
      <w:proofErr w:type="spellStart"/>
      <w:r w:rsidRPr="00635819">
        <w:rPr>
          <w:sz w:val="20"/>
          <w:szCs w:val="20"/>
        </w:rPr>
        <w:t>Axhausen</w:t>
      </w:r>
      <w:proofErr w:type="spellEnd"/>
      <w:r w:rsidRPr="00635819">
        <w:rPr>
          <w:sz w:val="20"/>
          <w:szCs w:val="20"/>
        </w:rPr>
        <w:t xml:space="preserve">, K. W., Giannotti, F., </w:t>
      </w:r>
      <w:proofErr w:type="spellStart"/>
      <w:r w:rsidRPr="00635819">
        <w:rPr>
          <w:sz w:val="20"/>
          <w:szCs w:val="20"/>
        </w:rPr>
        <w:t>Pozdnoukhov</w:t>
      </w:r>
      <w:proofErr w:type="spellEnd"/>
      <w:r w:rsidRPr="00635819">
        <w:rPr>
          <w:sz w:val="20"/>
          <w:szCs w:val="20"/>
        </w:rPr>
        <w:t xml:space="preserve">, A., Bazzani, A., Wachowicz, M., ... &amp; </w:t>
      </w:r>
      <w:proofErr w:type="spellStart"/>
      <w:r w:rsidRPr="00635819">
        <w:rPr>
          <w:sz w:val="20"/>
          <w:szCs w:val="20"/>
        </w:rPr>
        <w:t>Portugali</w:t>
      </w:r>
      <w:proofErr w:type="spellEnd"/>
      <w:r w:rsidRPr="00635819">
        <w:rPr>
          <w:sz w:val="20"/>
          <w:szCs w:val="20"/>
        </w:rPr>
        <w:t xml:space="preserve">, Y. (2020). Smart cities of the future. </w:t>
      </w:r>
      <w:r w:rsidRPr="00635819">
        <w:rPr>
          <w:rStyle w:val="Emphasis"/>
          <w:sz w:val="20"/>
          <w:szCs w:val="20"/>
        </w:rPr>
        <w:t>The European Physical Journal Special Topics, 214</w:t>
      </w:r>
      <w:r w:rsidRPr="00635819">
        <w:rPr>
          <w:sz w:val="20"/>
          <w:szCs w:val="20"/>
        </w:rPr>
        <w:t xml:space="preserve">(1), 481–518. </w:t>
      </w:r>
      <w:hyperlink r:id="rId19" w:history="1">
        <w:r w:rsidRPr="00635819">
          <w:rPr>
            <w:rStyle w:val="Hyperlink"/>
            <w:sz w:val="20"/>
            <w:szCs w:val="20"/>
          </w:rPr>
          <w:t>https://doi.org/10.1140/epjst/e2012-01703-3</w:t>
        </w:r>
      </w:hyperlink>
      <w:r w:rsidRPr="00635819">
        <w:rPr>
          <w:sz w:val="20"/>
          <w:szCs w:val="20"/>
        </w:rPr>
        <w:t xml:space="preserve"> </w:t>
      </w:r>
    </w:p>
    <w:p w14:paraId="526DCAD0" w14:textId="77777777" w:rsidR="00AA0EEF" w:rsidRPr="00635819" w:rsidRDefault="00AA0EEF" w:rsidP="00635819">
      <w:pPr>
        <w:pStyle w:val="NormalWeb"/>
        <w:spacing w:before="0" w:beforeAutospacing="0" w:after="0" w:afterAutospacing="0"/>
        <w:jc w:val="both"/>
        <w:rPr>
          <w:sz w:val="20"/>
          <w:szCs w:val="20"/>
        </w:rPr>
      </w:pPr>
    </w:p>
    <w:p w14:paraId="590A8080" w14:textId="77777777" w:rsidR="00AA0EEF" w:rsidRPr="00635819" w:rsidRDefault="00AA0EEF" w:rsidP="00635819">
      <w:pPr>
        <w:pStyle w:val="NormalWeb"/>
        <w:spacing w:before="0" w:beforeAutospacing="0" w:after="0" w:afterAutospacing="0"/>
        <w:jc w:val="both"/>
        <w:rPr>
          <w:rStyle w:val="url"/>
          <w:sz w:val="20"/>
          <w:szCs w:val="20"/>
        </w:rPr>
      </w:pPr>
      <w:r w:rsidRPr="00635819">
        <w:rPr>
          <w:rStyle w:val="muibox-root"/>
          <w:sz w:val="20"/>
          <w:szCs w:val="20"/>
        </w:rPr>
        <w:t xml:space="preserve">Begum, F. A. (2023, May 14). We need a clear strategy for a circular economy. </w:t>
      </w:r>
      <w:r w:rsidRPr="00635819">
        <w:rPr>
          <w:rStyle w:val="muibox-root"/>
          <w:i/>
          <w:iCs/>
          <w:sz w:val="20"/>
          <w:szCs w:val="20"/>
        </w:rPr>
        <w:t>The Business Standard</w:t>
      </w:r>
      <w:r w:rsidRPr="00635819">
        <w:rPr>
          <w:rStyle w:val="muibox-root"/>
          <w:sz w:val="20"/>
          <w:szCs w:val="20"/>
        </w:rPr>
        <w:t xml:space="preserve">. </w:t>
      </w:r>
      <w:hyperlink r:id="rId20" w:history="1">
        <w:r w:rsidRPr="00635819">
          <w:rPr>
            <w:rStyle w:val="Hyperlink"/>
            <w:sz w:val="20"/>
            <w:szCs w:val="20"/>
          </w:rPr>
          <w:t>https://www.tbsnews.net/thoughts/we-need-clear-strategy-circular-economy-631494</w:t>
        </w:r>
      </w:hyperlink>
      <w:r w:rsidRPr="00635819">
        <w:rPr>
          <w:rStyle w:val="url"/>
          <w:sz w:val="20"/>
          <w:szCs w:val="20"/>
        </w:rPr>
        <w:t xml:space="preserve"> </w:t>
      </w:r>
    </w:p>
    <w:p w14:paraId="02F0A0C5" w14:textId="77777777" w:rsidR="00AA0EEF" w:rsidRPr="00635819" w:rsidRDefault="00AA0EEF" w:rsidP="00635819">
      <w:pPr>
        <w:pStyle w:val="NormalWeb"/>
        <w:spacing w:before="0" w:beforeAutospacing="0" w:after="0" w:afterAutospacing="0"/>
        <w:jc w:val="both"/>
        <w:rPr>
          <w:rStyle w:val="url"/>
          <w:sz w:val="20"/>
          <w:szCs w:val="20"/>
        </w:rPr>
      </w:pPr>
    </w:p>
    <w:p w14:paraId="6454591D"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Cina, E., </w:t>
      </w:r>
      <w:proofErr w:type="spellStart"/>
      <w:r w:rsidRPr="00635819">
        <w:rPr>
          <w:sz w:val="20"/>
          <w:szCs w:val="20"/>
        </w:rPr>
        <w:t>Elbasi</w:t>
      </w:r>
      <w:proofErr w:type="spellEnd"/>
      <w:r w:rsidRPr="00635819">
        <w:rPr>
          <w:sz w:val="20"/>
          <w:szCs w:val="20"/>
        </w:rPr>
        <w:t xml:space="preserve">, E., Elmazi, G., &amp; </w:t>
      </w:r>
      <w:proofErr w:type="spellStart"/>
      <w:r w:rsidRPr="00635819">
        <w:rPr>
          <w:sz w:val="20"/>
          <w:szCs w:val="20"/>
        </w:rPr>
        <w:t>AlArnaout</w:t>
      </w:r>
      <w:proofErr w:type="spellEnd"/>
      <w:r w:rsidRPr="00635819">
        <w:rPr>
          <w:sz w:val="20"/>
          <w:szCs w:val="20"/>
        </w:rPr>
        <w:t xml:space="preserve">, Z. (2025). The Role of AI in Predictive Modelling for Sustainable Urban Development: Challenges and Opportunities. </w:t>
      </w:r>
      <w:r w:rsidRPr="00635819">
        <w:rPr>
          <w:rStyle w:val="Emphasis"/>
          <w:sz w:val="20"/>
          <w:szCs w:val="20"/>
        </w:rPr>
        <w:t>Sustainability</w:t>
      </w:r>
      <w:r w:rsidRPr="00635819">
        <w:rPr>
          <w:sz w:val="20"/>
          <w:szCs w:val="20"/>
        </w:rPr>
        <w:t xml:space="preserve">, </w:t>
      </w:r>
      <w:r w:rsidRPr="00635819">
        <w:rPr>
          <w:rStyle w:val="Emphasis"/>
          <w:sz w:val="20"/>
          <w:szCs w:val="20"/>
        </w:rPr>
        <w:t>17</w:t>
      </w:r>
      <w:r w:rsidRPr="00635819">
        <w:rPr>
          <w:sz w:val="20"/>
          <w:szCs w:val="20"/>
        </w:rPr>
        <w:t xml:space="preserve">(11), 5148. </w:t>
      </w:r>
      <w:hyperlink r:id="rId21" w:history="1">
        <w:r w:rsidRPr="00635819">
          <w:rPr>
            <w:rStyle w:val="Hyperlink"/>
            <w:sz w:val="20"/>
            <w:szCs w:val="20"/>
          </w:rPr>
          <w:t>https://doi.org/10.3390/su17115148</w:t>
        </w:r>
      </w:hyperlink>
      <w:r w:rsidRPr="00635819">
        <w:rPr>
          <w:sz w:val="20"/>
          <w:szCs w:val="20"/>
        </w:rPr>
        <w:t xml:space="preserve"> </w:t>
      </w:r>
    </w:p>
    <w:p w14:paraId="12EBAC8B" w14:textId="77777777" w:rsidR="00AA0EEF" w:rsidRPr="00635819" w:rsidRDefault="00AA0EEF" w:rsidP="00635819">
      <w:pPr>
        <w:pStyle w:val="NormalWeb"/>
        <w:spacing w:before="0" w:beforeAutospacing="0" w:after="0" w:afterAutospacing="0"/>
        <w:jc w:val="both"/>
        <w:rPr>
          <w:sz w:val="20"/>
          <w:szCs w:val="20"/>
        </w:rPr>
      </w:pPr>
    </w:p>
    <w:p w14:paraId="76471667" w14:textId="77777777" w:rsidR="00AA0EEF" w:rsidRPr="00635819" w:rsidRDefault="00AA0EEF" w:rsidP="00635819">
      <w:pPr>
        <w:pStyle w:val="NormalWeb"/>
        <w:spacing w:before="0" w:beforeAutospacing="0" w:after="0" w:afterAutospacing="0"/>
        <w:jc w:val="both"/>
        <w:rPr>
          <w:rStyle w:val="ms-1"/>
          <w:sz w:val="20"/>
          <w:szCs w:val="20"/>
        </w:rPr>
      </w:pPr>
      <w:r w:rsidRPr="00635819">
        <w:rPr>
          <w:rStyle w:val="relative"/>
          <w:sz w:val="20"/>
          <w:szCs w:val="20"/>
        </w:rPr>
        <w:t xml:space="preserve">C40 Cities. (2024). </w:t>
      </w:r>
      <w:r w:rsidRPr="00635819">
        <w:rPr>
          <w:rStyle w:val="Emphasis"/>
          <w:sz w:val="20"/>
          <w:szCs w:val="20"/>
        </w:rPr>
        <w:t>Dhaka launches first-ever Climate Action Plan</w:t>
      </w:r>
      <w:r w:rsidRPr="00635819">
        <w:rPr>
          <w:rStyle w:val="relative"/>
          <w:sz w:val="20"/>
          <w:szCs w:val="20"/>
        </w:rPr>
        <w:t>. C40 Cities.</w:t>
      </w:r>
      <w:r w:rsidRPr="00635819">
        <w:rPr>
          <w:sz w:val="20"/>
          <w:szCs w:val="20"/>
        </w:rPr>
        <w:t xml:space="preserve"> </w:t>
      </w:r>
      <w:hyperlink r:id="rId22" w:history="1">
        <w:r w:rsidRPr="00635819">
          <w:rPr>
            <w:rStyle w:val="Hyperlink"/>
            <w:sz w:val="20"/>
            <w:szCs w:val="20"/>
          </w:rPr>
          <w:t>https://www.c40.org/news/dhaka-launches-first-climate-action-plan/</w:t>
        </w:r>
      </w:hyperlink>
      <w:r w:rsidRPr="00635819">
        <w:rPr>
          <w:sz w:val="20"/>
          <w:szCs w:val="20"/>
        </w:rPr>
        <w:t xml:space="preserve"> </w:t>
      </w:r>
    </w:p>
    <w:p w14:paraId="20335951" w14:textId="77777777" w:rsidR="00AA0EEF" w:rsidRPr="00635819" w:rsidRDefault="00AA0EEF" w:rsidP="00635819">
      <w:pPr>
        <w:pStyle w:val="NormalWeb"/>
        <w:spacing w:before="0" w:beforeAutospacing="0" w:after="0" w:afterAutospacing="0"/>
        <w:jc w:val="both"/>
        <w:rPr>
          <w:sz w:val="20"/>
          <w:szCs w:val="20"/>
        </w:rPr>
      </w:pPr>
    </w:p>
    <w:p w14:paraId="6CF6417A"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Style w:val="muibox-root"/>
          <w:rFonts w:ascii="Times New Roman" w:hAnsi="Times New Roman" w:cs="Times New Roman"/>
          <w:sz w:val="20"/>
          <w:szCs w:val="20"/>
        </w:rPr>
        <w:t xml:space="preserve">De Oliveira, L. R., </w:t>
      </w:r>
      <w:proofErr w:type="spellStart"/>
      <w:r w:rsidRPr="00635819">
        <w:rPr>
          <w:rStyle w:val="muibox-root"/>
          <w:rFonts w:ascii="Times New Roman" w:hAnsi="Times New Roman" w:cs="Times New Roman"/>
          <w:sz w:val="20"/>
          <w:szCs w:val="20"/>
        </w:rPr>
        <w:t>Kozusny-Andreani</w:t>
      </w:r>
      <w:proofErr w:type="spellEnd"/>
      <w:r w:rsidRPr="00635819">
        <w:rPr>
          <w:rStyle w:val="muibox-root"/>
          <w:rFonts w:ascii="Times New Roman" w:hAnsi="Times New Roman" w:cs="Times New Roman"/>
          <w:sz w:val="20"/>
          <w:szCs w:val="20"/>
        </w:rPr>
        <w:t xml:space="preserve">, D. I., Monteiro, G. G. T. N., De Carvalho Mendes, I., Rossetto, R., </w:t>
      </w:r>
      <w:proofErr w:type="spellStart"/>
      <w:r w:rsidRPr="00635819">
        <w:rPr>
          <w:rStyle w:val="muibox-root"/>
          <w:rFonts w:ascii="Times New Roman" w:hAnsi="Times New Roman" w:cs="Times New Roman"/>
          <w:sz w:val="20"/>
          <w:szCs w:val="20"/>
        </w:rPr>
        <w:t>Vanzela</w:t>
      </w:r>
      <w:proofErr w:type="spellEnd"/>
      <w:r w:rsidRPr="00635819">
        <w:rPr>
          <w:rStyle w:val="muibox-root"/>
          <w:rFonts w:ascii="Times New Roman" w:hAnsi="Times New Roman" w:cs="Times New Roman"/>
          <w:sz w:val="20"/>
          <w:szCs w:val="20"/>
        </w:rPr>
        <w:t xml:space="preserve">, L. S., Vazquez, G. H., &amp; Navarrete, A. A. (2024). Denitrifying microbial genes quantification attests inference for potential N2O emissions in sugarcane soils by enzymatic bioanalysis. </w:t>
      </w:r>
      <w:r w:rsidRPr="00635819">
        <w:rPr>
          <w:rStyle w:val="muibox-root"/>
          <w:rFonts w:ascii="Times New Roman" w:hAnsi="Times New Roman" w:cs="Times New Roman"/>
          <w:i/>
          <w:iCs/>
          <w:sz w:val="20"/>
          <w:szCs w:val="20"/>
        </w:rPr>
        <w:t>Frontiers in Soil Science</w:t>
      </w:r>
      <w:r w:rsidRPr="00635819">
        <w:rPr>
          <w:rStyle w:val="muibox-root"/>
          <w:rFonts w:ascii="Times New Roman" w:hAnsi="Times New Roman" w:cs="Times New Roman"/>
          <w:sz w:val="20"/>
          <w:szCs w:val="20"/>
        </w:rPr>
        <w:t xml:space="preserve">, </w:t>
      </w:r>
      <w:r w:rsidRPr="00635819">
        <w:rPr>
          <w:rStyle w:val="muibox-root"/>
          <w:rFonts w:ascii="Times New Roman" w:hAnsi="Times New Roman" w:cs="Times New Roman"/>
          <w:i/>
          <w:iCs/>
          <w:sz w:val="20"/>
          <w:szCs w:val="20"/>
        </w:rPr>
        <w:t>4</w:t>
      </w:r>
      <w:r w:rsidRPr="00635819">
        <w:rPr>
          <w:rStyle w:val="muibox-root"/>
          <w:rFonts w:ascii="Times New Roman" w:hAnsi="Times New Roman" w:cs="Times New Roman"/>
          <w:sz w:val="20"/>
          <w:szCs w:val="20"/>
        </w:rPr>
        <w:t xml:space="preserve">. </w:t>
      </w:r>
      <w:hyperlink r:id="rId23" w:history="1">
        <w:r w:rsidRPr="00635819">
          <w:rPr>
            <w:rStyle w:val="Hyperlink"/>
            <w:rFonts w:ascii="Times New Roman" w:hAnsi="Times New Roman" w:cs="Times New Roman"/>
            <w:sz w:val="20"/>
            <w:szCs w:val="20"/>
          </w:rPr>
          <w:t>https://doi.org/10.3389/fsoil.2024.1501368</w:t>
        </w:r>
      </w:hyperlink>
      <w:r w:rsidRPr="00635819">
        <w:rPr>
          <w:rStyle w:val="url"/>
          <w:rFonts w:ascii="Times New Roman" w:hAnsi="Times New Roman" w:cs="Times New Roman"/>
          <w:sz w:val="20"/>
          <w:szCs w:val="20"/>
        </w:rPr>
        <w:t xml:space="preserve"> </w:t>
      </w:r>
    </w:p>
    <w:p w14:paraId="3E3AE958" w14:textId="77777777" w:rsidR="00AA0EEF" w:rsidRPr="00635819" w:rsidRDefault="00AA0EEF" w:rsidP="00635819">
      <w:pPr>
        <w:spacing w:after="0" w:line="240" w:lineRule="auto"/>
        <w:jc w:val="both"/>
        <w:rPr>
          <w:rFonts w:ascii="Times New Roman" w:hAnsi="Times New Roman" w:cs="Times New Roman"/>
          <w:sz w:val="20"/>
          <w:szCs w:val="20"/>
        </w:rPr>
      </w:pPr>
    </w:p>
    <w:p w14:paraId="7516B0E7"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Dhaka North City Corporation &amp; Dhaka South City Corporation. (2022). </w:t>
      </w:r>
      <w:r w:rsidRPr="00635819">
        <w:rPr>
          <w:rStyle w:val="Emphasis"/>
          <w:sz w:val="20"/>
          <w:szCs w:val="20"/>
        </w:rPr>
        <w:t>Annual waste management report</w:t>
      </w:r>
      <w:r w:rsidRPr="00635819">
        <w:rPr>
          <w:sz w:val="20"/>
          <w:szCs w:val="20"/>
        </w:rPr>
        <w:t xml:space="preserve">. https://dncc.portal.gov.bd &amp; </w:t>
      </w:r>
      <w:hyperlink r:id="rId24" w:history="1">
        <w:r w:rsidRPr="00635819">
          <w:rPr>
            <w:rStyle w:val="Hyperlink"/>
            <w:sz w:val="20"/>
            <w:szCs w:val="20"/>
          </w:rPr>
          <w:t>https://dscc.portal.gov.bd</w:t>
        </w:r>
      </w:hyperlink>
      <w:r w:rsidRPr="00635819">
        <w:rPr>
          <w:sz w:val="20"/>
          <w:szCs w:val="20"/>
        </w:rPr>
        <w:t xml:space="preserve"> </w:t>
      </w:r>
    </w:p>
    <w:p w14:paraId="028D8941" w14:textId="77777777" w:rsidR="00AA0EEF" w:rsidRPr="00635819" w:rsidRDefault="00AA0EEF" w:rsidP="00635819">
      <w:pPr>
        <w:pStyle w:val="NormalWeb"/>
        <w:spacing w:before="0" w:beforeAutospacing="0" w:after="0" w:afterAutospacing="0"/>
        <w:jc w:val="both"/>
        <w:rPr>
          <w:rStyle w:val="relative"/>
          <w:sz w:val="20"/>
          <w:szCs w:val="20"/>
        </w:rPr>
      </w:pPr>
      <w:r w:rsidRPr="00635819">
        <w:rPr>
          <w:rStyle w:val="relative"/>
          <w:sz w:val="20"/>
          <w:szCs w:val="20"/>
        </w:rPr>
        <w:t xml:space="preserve"> </w:t>
      </w:r>
    </w:p>
    <w:p w14:paraId="0AD7357E"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Department of Environment [DoE]. (2024). Enforcement Guidelines. </w:t>
      </w:r>
    </w:p>
    <w:p w14:paraId="7D2BE310" w14:textId="77777777" w:rsidR="00AA0EEF" w:rsidRPr="00635819" w:rsidRDefault="00C6102C" w:rsidP="00635819">
      <w:pPr>
        <w:spacing w:after="0" w:line="240" w:lineRule="auto"/>
        <w:jc w:val="both"/>
        <w:rPr>
          <w:rFonts w:ascii="Times New Roman" w:eastAsia="Times New Roman" w:hAnsi="Times New Roman" w:cs="Times New Roman"/>
          <w:sz w:val="20"/>
          <w:szCs w:val="20"/>
        </w:rPr>
      </w:pPr>
      <w:hyperlink r:id="rId25" w:history="1">
        <w:r w:rsidR="00AA0EEF" w:rsidRPr="00635819">
          <w:rPr>
            <w:rStyle w:val="Hyperlink"/>
            <w:rFonts w:ascii="Times New Roman" w:eastAsia="Times New Roman" w:hAnsi="Times New Roman" w:cs="Times New Roman"/>
            <w:sz w:val="20"/>
            <w:szCs w:val="20"/>
          </w:rPr>
          <w:t>https://doe.portal.gov.bd/sites/default/files/files/doe.portal.gov.bd/page/b79395c3_3aed_4c8b_83cd_c4179208fa78/2024-11-04-05-36-ecdb0dad773597ff2c596611dc099697.pdf</w:t>
        </w:r>
      </w:hyperlink>
      <w:r w:rsidR="00AA0EEF" w:rsidRPr="00635819">
        <w:rPr>
          <w:rFonts w:ascii="Times New Roman" w:eastAsia="Times New Roman" w:hAnsi="Times New Roman" w:cs="Times New Roman"/>
          <w:sz w:val="20"/>
          <w:szCs w:val="20"/>
        </w:rPr>
        <w:t xml:space="preserve"> </w:t>
      </w:r>
    </w:p>
    <w:p w14:paraId="17B2C7CE"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40A7DCDD"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DNCC. (2022). FUTURE VISION OF SOLID WASTE MANAGEMENT IN DHAKA NORTH CITY. </w:t>
      </w:r>
    </w:p>
    <w:p w14:paraId="02D0D884" w14:textId="77777777" w:rsidR="00AA0EEF" w:rsidRPr="00635819" w:rsidRDefault="00C6102C" w:rsidP="00635819">
      <w:pPr>
        <w:spacing w:after="0" w:line="240" w:lineRule="auto"/>
        <w:jc w:val="both"/>
        <w:rPr>
          <w:rFonts w:ascii="Times New Roman" w:eastAsia="Times New Roman" w:hAnsi="Times New Roman" w:cs="Times New Roman"/>
          <w:sz w:val="20"/>
          <w:szCs w:val="20"/>
        </w:rPr>
      </w:pPr>
      <w:hyperlink r:id="rId26" w:history="1">
        <w:r w:rsidR="00AA0EEF" w:rsidRPr="00635819">
          <w:rPr>
            <w:rStyle w:val="Hyperlink"/>
            <w:rFonts w:ascii="Times New Roman" w:eastAsia="Times New Roman" w:hAnsi="Times New Roman" w:cs="Times New Roman"/>
            <w:sz w:val="20"/>
            <w:szCs w:val="20"/>
          </w:rPr>
          <w:t>https://dncc.portal.gov.bd/sites/default/files/files/dncc.portal.gov.bd/project/15c19c7b_3028_45cf_84d1_f8096e95eabd/2022-03-02-09-56-054bad8bb2b11fce6560d9cc181babe3.pdf</w:t>
        </w:r>
      </w:hyperlink>
      <w:r w:rsidR="00AA0EEF" w:rsidRPr="00635819">
        <w:rPr>
          <w:rFonts w:ascii="Times New Roman" w:eastAsia="Times New Roman" w:hAnsi="Times New Roman" w:cs="Times New Roman"/>
          <w:sz w:val="20"/>
          <w:szCs w:val="20"/>
        </w:rPr>
        <w:t xml:space="preserve"> </w:t>
      </w:r>
    </w:p>
    <w:p w14:paraId="210EE558"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53812CF3"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DSCC. (2022). Dhaka South City Corporation. </w:t>
      </w:r>
      <w:hyperlink r:id="rId27" w:history="1">
        <w:r w:rsidRPr="00635819">
          <w:rPr>
            <w:rStyle w:val="Hyperlink"/>
            <w:rFonts w:ascii="Times New Roman" w:hAnsi="Times New Roman" w:cs="Times New Roman"/>
            <w:sz w:val="20"/>
            <w:szCs w:val="20"/>
          </w:rPr>
          <w:t>https://en.wikipedia.org/wiki/Dhaka_South_City_Corporation</w:t>
        </w:r>
      </w:hyperlink>
      <w:r w:rsidRPr="00635819">
        <w:rPr>
          <w:rFonts w:ascii="Times New Roman" w:hAnsi="Times New Roman" w:cs="Times New Roman"/>
          <w:sz w:val="20"/>
          <w:szCs w:val="20"/>
        </w:rPr>
        <w:t xml:space="preserve"> </w:t>
      </w:r>
    </w:p>
    <w:p w14:paraId="1DA637CD"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0CB77EEE"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EEAS. (2020). </w:t>
      </w:r>
      <w:r w:rsidRPr="00635819">
        <w:rPr>
          <w:rStyle w:val="Emphasis"/>
          <w:rFonts w:ascii="Times New Roman" w:hAnsi="Times New Roman" w:cs="Times New Roman"/>
          <w:sz w:val="20"/>
          <w:szCs w:val="20"/>
        </w:rPr>
        <w:t>Dignifying Lives: Inclusive approach for socio-economic empowerment of informal waste and sanitation workers</w:t>
      </w:r>
      <w:r w:rsidRPr="00635819">
        <w:rPr>
          <w:rFonts w:ascii="Times New Roman" w:hAnsi="Times New Roman" w:cs="Times New Roman"/>
          <w:sz w:val="20"/>
          <w:szCs w:val="20"/>
        </w:rPr>
        <w:t xml:space="preserve">. European External Action Service. </w:t>
      </w:r>
    </w:p>
    <w:p w14:paraId="768D2090" w14:textId="77777777" w:rsidR="00AA0EEF" w:rsidRPr="00635819" w:rsidRDefault="00C6102C" w:rsidP="00635819">
      <w:pPr>
        <w:spacing w:after="0" w:line="240" w:lineRule="auto"/>
        <w:jc w:val="both"/>
        <w:rPr>
          <w:rFonts w:ascii="Times New Roman" w:hAnsi="Times New Roman" w:cs="Times New Roman"/>
          <w:sz w:val="20"/>
          <w:szCs w:val="20"/>
        </w:rPr>
      </w:pPr>
      <w:hyperlink r:id="rId28" w:history="1">
        <w:r w:rsidR="00AA0EEF" w:rsidRPr="00635819">
          <w:rPr>
            <w:rStyle w:val="Hyperlink"/>
            <w:rFonts w:ascii="Times New Roman" w:hAnsi="Times New Roman" w:cs="Times New Roman"/>
            <w:sz w:val="20"/>
            <w:szCs w:val="20"/>
          </w:rPr>
          <w:t>https://www.eeas.europa.eu/delegations/bangladesh/dignifying-lives-inclusive-approach-socio-economic-empowerment-informal-waste-and-sanitation-workers_und_en?utm</w:t>
        </w:r>
      </w:hyperlink>
      <w:r w:rsidR="00AA0EEF" w:rsidRPr="00635819">
        <w:rPr>
          <w:rFonts w:ascii="Times New Roman" w:hAnsi="Times New Roman" w:cs="Times New Roman"/>
          <w:sz w:val="20"/>
          <w:szCs w:val="20"/>
        </w:rPr>
        <w:t xml:space="preserve"> </w:t>
      </w:r>
    </w:p>
    <w:p w14:paraId="1F2725AE" w14:textId="77777777" w:rsidR="00AA0EEF" w:rsidRPr="00635819" w:rsidRDefault="00AA0EEF" w:rsidP="00635819">
      <w:pPr>
        <w:pStyle w:val="NormalWeb"/>
        <w:spacing w:before="0" w:beforeAutospacing="0" w:after="0" w:afterAutospacing="0"/>
        <w:jc w:val="both"/>
        <w:rPr>
          <w:sz w:val="20"/>
          <w:szCs w:val="20"/>
        </w:rPr>
      </w:pPr>
    </w:p>
    <w:p w14:paraId="0D0EB88A" w14:textId="77777777" w:rsidR="00DB317C" w:rsidRDefault="00AA0EEF" w:rsidP="00635819">
      <w:pPr>
        <w:pStyle w:val="NormalWeb"/>
        <w:spacing w:before="0" w:beforeAutospacing="0" w:after="0" w:afterAutospacing="0"/>
        <w:jc w:val="both"/>
        <w:rPr>
          <w:sz w:val="20"/>
          <w:szCs w:val="20"/>
        </w:rPr>
      </w:pPr>
      <w:r w:rsidRPr="00635819">
        <w:rPr>
          <w:sz w:val="20"/>
          <w:szCs w:val="20"/>
        </w:rPr>
        <w:t xml:space="preserve">European Commission. (2020). </w:t>
      </w:r>
      <w:r w:rsidRPr="00635819">
        <w:rPr>
          <w:rStyle w:val="Emphasis"/>
          <w:sz w:val="20"/>
          <w:szCs w:val="20"/>
        </w:rPr>
        <w:t>Circular economy action plan: For a cleaner and more competitive Europe</w:t>
      </w:r>
      <w:r w:rsidRPr="00635819">
        <w:rPr>
          <w:sz w:val="20"/>
          <w:szCs w:val="20"/>
        </w:rPr>
        <w:t xml:space="preserve">. </w:t>
      </w:r>
    </w:p>
    <w:p w14:paraId="3BDD574F" w14:textId="1ACB94CE" w:rsidR="00AA0EEF" w:rsidRPr="00635819" w:rsidRDefault="00C6102C" w:rsidP="00635819">
      <w:pPr>
        <w:pStyle w:val="NormalWeb"/>
        <w:spacing w:before="0" w:beforeAutospacing="0" w:after="0" w:afterAutospacing="0"/>
        <w:jc w:val="both"/>
        <w:rPr>
          <w:sz w:val="20"/>
          <w:szCs w:val="20"/>
        </w:rPr>
      </w:pPr>
      <w:hyperlink r:id="rId29" w:history="1">
        <w:r w:rsidR="00DB317C" w:rsidRPr="009D473E">
          <w:rPr>
            <w:rStyle w:val="Hyperlink"/>
            <w:sz w:val="20"/>
            <w:szCs w:val="20"/>
          </w:rPr>
          <w:t>https://ec.europa.eu/environment/circular-economy</w:t>
        </w:r>
      </w:hyperlink>
      <w:r w:rsidR="00AA0EEF" w:rsidRPr="00635819">
        <w:rPr>
          <w:sz w:val="20"/>
          <w:szCs w:val="20"/>
        </w:rPr>
        <w:t xml:space="preserve"> </w:t>
      </w:r>
    </w:p>
    <w:p w14:paraId="356B3609" w14:textId="77777777" w:rsidR="00AA0EEF" w:rsidRPr="00635819" w:rsidRDefault="00AA0EEF" w:rsidP="00635819">
      <w:pPr>
        <w:pStyle w:val="NormalWeb"/>
        <w:spacing w:before="0" w:beforeAutospacing="0" w:after="0" w:afterAutospacing="0"/>
        <w:jc w:val="both"/>
        <w:rPr>
          <w:sz w:val="20"/>
          <w:szCs w:val="20"/>
        </w:rPr>
      </w:pPr>
    </w:p>
    <w:p w14:paraId="6D04C3EB" w14:textId="24C13798" w:rsidR="00AA0EEF" w:rsidRPr="00672545" w:rsidRDefault="00AA0EEF" w:rsidP="00635819">
      <w:pPr>
        <w:pStyle w:val="NormalWeb"/>
        <w:spacing w:before="0" w:beforeAutospacing="0" w:after="0" w:afterAutospacing="0"/>
        <w:jc w:val="both"/>
        <w:rPr>
          <w:rStyle w:val="url"/>
          <w:sz w:val="20"/>
          <w:szCs w:val="20"/>
        </w:rPr>
      </w:pPr>
      <w:r w:rsidRPr="00672545">
        <w:rPr>
          <w:rStyle w:val="muibox-root"/>
          <w:sz w:val="20"/>
          <w:szCs w:val="20"/>
        </w:rPr>
        <w:t xml:space="preserve">Fang, B., Yu, J., Chen, Z., Osman, A. I., </w:t>
      </w:r>
      <w:proofErr w:type="spellStart"/>
      <w:r w:rsidRPr="00672545">
        <w:rPr>
          <w:rStyle w:val="muibox-root"/>
          <w:sz w:val="20"/>
          <w:szCs w:val="20"/>
        </w:rPr>
        <w:t>Farghali</w:t>
      </w:r>
      <w:proofErr w:type="spellEnd"/>
      <w:r w:rsidRPr="00672545">
        <w:rPr>
          <w:rStyle w:val="muibox-root"/>
          <w:sz w:val="20"/>
          <w:szCs w:val="20"/>
        </w:rPr>
        <w:t xml:space="preserve">, M., Ihara, I., Hamza, E. H., Rooney, D. W., &amp; Yap, P. (2023). Artificial intelligence for waste management in smart cities: a review. </w:t>
      </w:r>
      <w:r w:rsidRPr="00672545">
        <w:rPr>
          <w:rStyle w:val="muibox-root"/>
          <w:i/>
          <w:iCs/>
          <w:sz w:val="20"/>
          <w:szCs w:val="20"/>
        </w:rPr>
        <w:t>Environmental Chemistry Letters</w:t>
      </w:r>
      <w:r w:rsidRPr="00672545">
        <w:rPr>
          <w:rStyle w:val="muibox-root"/>
          <w:sz w:val="20"/>
          <w:szCs w:val="20"/>
        </w:rPr>
        <w:t xml:space="preserve">, </w:t>
      </w:r>
      <w:r w:rsidRPr="00672545">
        <w:rPr>
          <w:rStyle w:val="muibox-root"/>
          <w:i/>
          <w:iCs/>
          <w:sz w:val="20"/>
          <w:szCs w:val="20"/>
        </w:rPr>
        <w:t>21</w:t>
      </w:r>
      <w:r w:rsidRPr="00672545">
        <w:rPr>
          <w:rStyle w:val="muibox-root"/>
          <w:sz w:val="20"/>
          <w:szCs w:val="20"/>
        </w:rPr>
        <w:t xml:space="preserve">(4), 1959–1989. </w:t>
      </w:r>
      <w:hyperlink r:id="rId30" w:history="1">
        <w:r w:rsidRPr="00672545">
          <w:rPr>
            <w:rStyle w:val="Hyperlink"/>
            <w:sz w:val="20"/>
            <w:szCs w:val="20"/>
          </w:rPr>
          <w:t>https://doi.org/10.1007/s10311-023-01604-3</w:t>
        </w:r>
      </w:hyperlink>
      <w:r w:rsidRPr="00672545">
        <w:rPr>
          <w:rStyle w:val="url"/>
          <w:sz w:val="20"/>
          <w:szCs w:val="20"/>
        </w:rPr>
        <w:t xml:space="preserve"> </w:t>
      </w:r>
    </w:p>
    <w:p w14:paraId="237E794B" w14:textId="45FFF921" w:rsidR="00672545" w:rsidRPr="00672545" w:rsidRDefault="00672545" w:rsidP="00635819">
      <w:pPr>
        <w:pStyle w:val="NormalWeb"/>
        <w:spacing w:before="0" w:beforeAutospacing="0" w:after="0" w:afterAutospacing="0"/>
        <w:jc w:val="both"/>
        <w:rPr>
          <w:rStyle w:val="url"/>
          <w:sz w:val="20"/>
          <w:szCs w:val="20"/>
        </w:rPr>
      </w:pPr>
    </w:p>
    <w:p w14:paraId="4E0B20EE" w14:textId="77777777" w:rsidR="00672545" w:rsidRPr="00672545" w:rsidRDefault="00672545" w:rsidP="00635819">
      <w:pPr>
        <w:pStyle w:val="NormalWeb"/>
        <w:spacing w:before="0" w:beforeAutospacing="0" w:after="0" w:afterAutospacing="0"/>
        <w:jc w:val="both"/>
        <w:rPr>
          <w:rStyle w:val="muibox-root"/>
          <w:sz w:val="20"/>
          <w:szCs w:val="20"/>
        </w:rPr>
      </w:pPr>
      <w:r w:rsidRPr="00672545">
        <w:rPr>
          <w:rStyle w:val="muibox-root"/>
          <w:sz w:val="20"/>
          <w:szCs w:val="20"/>
        </w:rPr>
        <w:t xml:space="preserve">Fund, G. C. (n.d.). </w:t>
      </w:r>
      <w:r w:rsidRPr="00672545">
        <w:rPr>
          <w:rStyle w:val="muibox-root"/>
          <w:i/>
          <w:iCs/>
          <w:sz w:val="20"/>
          <w:szCs w:val="20"/>
        </w:rPr>
        <w:t>Investment framework</w:t>
      </w:r>
      <w:r w:rsidRPr="00672545">
        <w:rPr>
          <w:rStyle w:val="muibox-root"/>
          <w:sz w:val="20"/>
          <w:szCs w:val="20"/>
        </w:rPr>
        <w:t xml:space="preserve">. Green Climate Fund. </w:t>
      </w:r>
    </w:p>
    <w:p w14:paraId="08053A63" w14:textId="16DB3A48" w:rsidR="00672545" w:rsidRPr="00672545" w:rsidRDefault="00C6102C" w:rsidP="00635819">
      <w:pPr>
        <w:pStyle w:val="NormalWeb"/>
        <w:spacing w:before="0" w:beforeAutospacing="0" w:after="0" w:afterAutospacing="0"/>
        <w:jc w:val="both"/>
        <w:rPr>
          <w:rStyle w:val="url"/>
          <w:sz w:val="20"/>
          <w:szCs w:val="20"/>
        </w:rPr>
      </w:pPr>
      <w:hyperlink r:id="rId31" w:history="1">
        <w:r w:rsidR="00672545" w:rsidRPr="00672545">
          <w:rPr>
            <w:rStyle w:val="Hyperlink"/>
            <w:sz w:val="20"/>
            <w:szCs w:val="20"/>
          </w:rPr>
          <w:t>https://www.greenclimate.fund/projects/investment-framework</w:t>
        </w:r>
      </w:hyperlink>
      <w:r w:rsidR="00672545" w:rsidRPr="00672545">
        <w:rPr>
          <w:rStyle w:val="url"/>
          <w:sz w:val="20"/>
          <w:szCs w:val="20"/>
        </w:rPr>
        <w:t xml:space="preserve"> </w:t>
      </w:r>
    </w:p>
    <w:p w14:paraId="6ADD079A" w14:textId="77777777" w:rsidR="00AA0EEF" w:rsidRPr="00672545" w:rsidRDefault="00AA0EEF" w:rsidP="00635819">
      <w:pPr>
        <w:pStyle w:val="NormalWeb"/>
        <w:spacing w:before="0" w:beforeAutospacing="0" w:after="0" w:afterAutospacing="0"/>
        <w:jc w:val="both"/>
        <w:rPr>
          <w:rStyle w:val="url"/>
          <w:sz w:val="20"/>
          <w:szCs w:val="20"/>
        </w:rPr>
      </w:pPr>
    </w:p>
    <w:p w14:paraId="3C799B40" w14:textId="77777777" w:rsidR="00AA0EEF" w:rsidRPr="00672545" w:rsidRDefault="00AA0EEF" w:rsidP="00635819">
      <w:pPr>
        <w:pStyle w:val="NormalWeb"/>
        <w:spacing w:before="0" w:beforeAutospacing="0" w:after="0" w:afterAutospacing="0"/>
        <w:jc w:val="both"/>
        <w:rPr>
          <w:sz w:val="20"/>
          <w:szCs w:val="20"/>
        </w:rPr>
      </w:pPr>
      <w:r w:rsidRPr="00672545">
        <w:rPr>
          <w:sz w:val="20"/>
          <w:szCs w:val="20"/>
        </w:rPr>
        <w:t xml:space="preserve">GCF. (2023). Green Climate Fund, 2023. Annual Report 2023. </w:t>
      </w:r>
      <w:hyperlink r:id="rId32" w:history="1">
        <w:r w:rsidRPr="00672545">
          <w:rPr>
            <w:rStyle w:val="Hyperlink"/>
            <w:sz w:val="20"/>
            <w:szCs w:val="20"/>
          </w:rPr>
          <w:t>https://www.greenclimate.fund/annual-report-2023</w:t>
        </w:r>
      </w:hyperlink>
      <w:r w:rsidRPr="00672545">
        <w:rPr>
          <w:sz w:val="20"/>
          <w:szCs w:val="20"/>
        </w:rPr>
        <w:t xml:space="preserve"> </w:t>
      </w:r>
    </w:p>
    <w:p w14:paraId="2045CD47" w14:textId="77777777" w:rsidR="00AA0EEF" w:rsidRPr="00672545" w:rsidRDefault="00AA0EEF" w:rsidP="00635819">
      <w:pPr>
        <w:pStyle w:val="NormalWeb"/>
        <w:spacing w:before="0" w:beforeAutospacing="0" w:after="0" w:afterAutospacing="0"/>
        <w:jc w:val="both"/>
        <w:rPr>
          <w:sz w:val="20"/>
          <w:szCs w:val="20"/>
        </w:rPr>
      </w:pPr>
    </w:p>
    <w:p w14:paraId="30E0ED44" w14:textId="6BD7CE3A" w:rsidR="00AA0EEF" w:rsidRPr="00672545" w:rsidRDefault="00AA0EEF" w:rsidP="00635819">
      <w:pPr>
        <w:pStyle w:val="Heading1"/>
        <w:spacing w:before="0" w:line="240" w:lineRule="auto"/>
        <w:jc w:val="both"/>
        <w:rPr>
          <w:rFonts w:ascii="Times New Roman" w:hAnsi="Times New Roman" w:cs="Times New Roman"/>
          <w:b/>
          <w:bCs/>
          <w:color w:val="auto"/>
          <w:sz w:val="20"/>
          <w:szCs w:val="20"/>
        </w:rPr>
      </w:pPr>
      <w:r w:rsidRPr="00672545">
        <w:rPr>
          <w:rFonts w:ascii="Times New Roman" w:hAnsi="Times New Roman" w:cs="Times New Roman"/>
          <w:color w:val="auto"/>
          <w:sz w:val="20"/>
          <w:szCs w:val="20"/>
        </w:rPr>
        <w:t>GCF. (2024). Green Climate Fund. REDD+ Results-based Payments (RBPs) Workshop.</w:t>
      </w:r>
      <w:r w:rsidR="00DB317C" w:rsidRPr="00672545">
        <w:rPr>
          <w:rFonts w:ascii="Times New Roman" w:hAnsi="Times New Roman" w:cs="Times New Roman"/>
          <w:color w:val="auto"/>
          <w:sz w:val="20"/>
          <w:szCs w:val="20"/>
        </w:rPr>
        <w:t xml:space="preserve"> </w:t>
      </w:r>
      <w:r w:rsidRPr="00672545">
        <w:rPr>
          <w:rFonts w:ascii="Times New Roman" w:hAnsi="Times New Roman" w:cs="Times New Roman"/>
          <w:color w:val="auto"/>
          <w:sz w:val="20"/>
          <w:szCs w:val="20"/>
        </w:rPr>
        <w:t xml:space="preserve"> </w:t>
      </w:r>
    </w:p>
    <w:p w14:paraId="3FFB26B1" w14:textId="77777777" w:rsidR="00AA0EEF" w:rsidRPr="00672545" w:rsidRDefault="00C6102C" w:rsidP="00635819">
      <w:pPr>
        <w:pStyle w:val="Heading1"/>
        <w:spacing w:before="0" w:line="240" w:lineRule="auto"/>
        <w:jc w:val="both"/>
        <w:rPr>
          <w:rFonts w:ascii="Times New Roman" w:hAnsi="Times New Roman" w:cs="Times New Roman"/>
          <w:b/>
          <w:bCs/>
          <w:sz w:val="20"/>
          <w:szCs w:val="20"/>
        </w:rPr>
      </w:pPr>
      <w:hyperlink r:id="rId33" w:history="1">
        <w:r w:rsidR="00AA0EEF" w:rsidRPr="00672545">
          <w:rPr>
            <w:rStyle w:val="Hyperlink"/>
            <w:rFonts w:ascii="Times New Roman" w:hAnsi="Times New Roman" w:cs="Times New Roman"/>
            <w:sz w:val="20"/>
            <w:szCs w:val="20"/>
          </w:rPr>
          <w:t>https://www.greenclimate.fund/event/redd-results-based-payments-rbps-workshop</w:t>
        </w:r>
      </w:hyperlink>
      <w:r w:rsidR="00AA0EEF" w:rsidRPr="00672545">
        <w:rPr>
          <w:rFonts w:ascii="Times New Roman" w:hAnsi="Times New Roman" w:cs="Times New Roman"/>
          <w:sz w:val="20"/>
          <w:szCs w:val="20"/>
        </w:rPr>
        <w:t xml:space="preserve"> </w:t>
      </w:r>
    </w:p>
    <w:p w14:paraId="210817BD" w14:textId="77777777" w:rsidR="00AA0EEF" w:rsidRPr="00672545" w:rsidRDefault="00AA0EEF" w:rsidP="00635819">
      <w:pPr>
        <w:pStyle w:val="Heading1"/>
        <w:spacing w:before="0" w:line="240" w:lineRule="auto"/>
        <w:jc w:val="both"/>
        <w:rPr>
          <w:rFonts w:ascii="Times New Roman" w:hAnsi="Times New Roman" w:cs="Times New Roman"/>
          <w:b/>
          <w:bCs/>
          <w:sz w:val="20"/>
          <w:szCs w:val="20"/>
        </w:rPr>
      </w:pPr>
    </w:p>
    <w:p w14:paraId="4E83736B" w14:textId="77777777" w:rsidR="00AA0EEF" w:rsidRPr="00672545" w:rsidRDefault="00AA0EEF" w:rsidP="00635819">
      <w:pPr>
        <w:spacing w:after="0" w:line="240" w:lineRule="auto"/>
        <w:jc w:val="both"/>
        <w:rPr>
          <w:rStyle w:val="url"/>
          <w:rFonts w:ascii="Times New Roman" w:hAnsi="Times New Roman" w:cs="Times New Roman"/>
          <w:sz w:val="20"/>
          <w:szCs w:val="20"/>
        </w:rPr>
      </w:pPr>
      <w:r w:rsidRPr="00672545">
        <w:rPr>
          <w:rFonts w:ascii="Times New Roman" w:hAnsi="Times New Roman" w:cs="Times New Roman"/>
          <w:sz w:val="20"/>
          <w:szCs w:val="20"/>
        </w:rPr>
        <w:t xml:space="preserve">Goal 12. Department of Economic and Social Affairs. (n.d.). </w:t>
      </w:r>
      <w:hyperlink r:id="rId34" w:history="1">
        <w:r w:rsidRPr="00672545">
          <w:rPr>
            <w:rStyle w:val="Hyperlink"/>
            <w:rFonts w:ascii="Times New Roman" w:hAnsi="Times New Roman" w:cs="Times New Roman"/>
            <w:sz w:val="20"/>
            <w:szCs w:val="20"/>
          </w:rPr>
          <w:t>https://sdgs.un.org/goals/goal12</w:t>
        </w:r>
      </w:hyperlink>
      <w:r w:rsidRPr="00672545">
        <w:rPr>
          <w:rStyle w:val="url"/>
          <w:rFonts w:ascii="Times New Roman" w:hAnsi="Times New Roman" w:cs="Times New Roman"/>
          <w:sz w:val="20"/>
          <w:szCs w:val="20"/>
        </w:rPr>
        <w:t xml:space="preserve"> </w:t>
      </w:r>
    </w:p>
    <w:p w14:paraId="23EFADD5" w14:textId="77777777" w:rsidR="00AA0EEF" w:rsidRPr="00672545" w:rsidRDefault="00AA0EEF" w:rsidP="00635819">
      <w:pPr>
        <w:spacing w:after="0" w:line="240" w:lineRule="auto"/>
        <w:jc w:val="both"/>
        <w:rPr>
          <w:rStyle w:val="url"/>
          <w:rFonts w:ascii="Times New Roman" w:hAnsi="Times New Roman" w:cs="Times New Roman"/>
          <w:sz w:val="20"/>
          <w:szCs w:val="20"/>
        </w:rPr>
      </w:pPr>
    </w:p>
    <w:p w14:paraId="5ABCE613" w14:textId="77777777" w:rsidR="00DB317C" w:rsidRDefault="00AA0EEF" w:rsidP="00635819">
      <w:pPr>
        <w:spacing w:after="0" w:line="240" w:lineRule="auto"/>
        <w:jc w:val="both"/>
        <w:rPr>
          <w:rStyle w:val="muibox-root"/>
          <w:rFonts w:ascii="Times New Roman" w:hAnsi="Times New Roman" w:cs="Times New Roman"/>
          <w:sz w:val="20"/>
          <w:szCs w:val="20"/>
        </w:rPr>
      </w:pPr>
      <w:r w:rsidRPr="00635819">
        <w:rPr>
          <w:rStyle w:val="muibox-root"/>
          <w:rFonts w:ascii="Times New Roman" w:hAnsi="Times New Roman" w:cs="Times New Roman"/>
          <w:sz w:val="20"/>
          <w:szCs w:val="20"/>
        </w:rPr>
        <w:t xml:space="preserve">Goel, A., </w:t>
      </w:r>
      <w:proofErr w:type="spellStart"/>
      <w:r w:rsidRPr="00635819">
        <w:rPr>
          <w:rStyle w:val="muibox-root"/>
          <w:rFonts w:ascii="Times New Roman" w:hAnsi="Times New Roman" w:cs="Times New Roman"/>
          <w:sz w:val="20"/>
          <w:szCs w:val="20"/>
        </w:rPr>
        <w:t>Masurkar</w:t>
      </w:r>
      <w:proofErr w:type="spellEnd"/>
      <w:r w:rsidRPr="00635819">
        <w:rPr>
          <w:rStyle w:val="muibox-root"/>
          <w:rFonts w:ascii="Times New Roman" w:hAnsi="Times New Roman" w:cs="Times New Roman"/>
          <w:sz w:val="20"/>
          <w:szCs w:val="20"/>
        </w:rPr>
        <w:t xml:space="preserve">, S., &amp; Pathade, G. R. (2024). An overview of digital transformation and environmental sustainability: Threats, opportunities, and solutions. </w:t>
      </w:r>
      <w:r w:rsidRPr="00635819">
        <w:rPr>
          <w:rStyle w:val="muibox-root"/>
          <w:rFonts w:ascii="Times New Roman" w:hAnsi="Times New Roman" w:cs="Times New Roman"/>
          <w:i/>
          <w:iCs/>
          <w:sz w:val="20"/>
          <w:szCs w:val="20"/>
        </w:rPr>
        <w:t>Sustainability</w:t>
      </w:r>
      <w:r w:rsidRPr="00635819">
        <w:rPr>
          <w:rStyle w:val="muibox-root"/>
          <w:rFonts w:ascii="Times New Roman" w:hAnsi="Times New Roman" w:cs="Times New Roman"/>
          <w:sz w:val="20"/>
          <w:szCs w:val="20"/>
        </w:rPr>
        <w:t xml:space="preserve">, </w:t>
      </w:r>
      <w:r w:rsidRPr="00635819">
        <w:rPr>
          <w:rStyle w:val="muibox-root"/>
          <w:rFonts w:ascii="Times New Roman" w:hAnsi="Times New Roman" w:cs="Times New Roman"/>
          <w:i/>
          <w:iCs/>
          <w:sz w:val="20"/>
          <w:szCs w:val="20"/>
        </w:rPr>
        <w:t>16</w:t>
      </w:r>
      <w:r w:rsidRPr="00635819">
        <w:rPr>
          <w:rStyle w:val="muibox-root"/>
          <w:rFonts w:ascii="Times New Roman" w:hAnsi="Times New Roman" w:cs="Times New Roman"/>
          <w:sz w:val="20"/>
          <w:szCs w:val="20"/>
        </w:rPr>
        <w:t xml:space="preserve">(24), 11079. </w:t>
      </w:r>
    </w:p>
    <w:p w14:paraId="3CEC95AD" w14:textId="190195A9" w:rsidR="00AA0EEF" w:rsidRPr="00635819" w:rsidRDefault="00C6102C" w:rsidP="00635819">
      <w:pPr>
        <w:spacing w:after="0" w:line="240" w:lineRule="auto"/>
        <w:jc w:val="both"/>
        <w:rPr>
          <w:rFonts w:ascii="Times New Roman" w:hAnsi="Times New Roman" w:cs="Times New Roman"/>
          <w:sz w:val="20"/>
          <w:szCs w:val="20"/>
        </w:rPr>
      </w:pPr>
      <w:hyperlink r:id="rId35" w:history="1">
        <w:r w:rsidR="00DB317C" w:rsidRPr="009D473E">
          <w:rPr>
            <w:rStyle w:val="Hyperlink"/>
            <w:rFonts w:ascii="Times New Roman" w:hAnsi="Times New Roman" w:cs="Times New Roman"/>
            <w:sz w:val="20"/>
            <w:szCs w:val="20"/>
          </w:rPr>
          <w:t>https://doi.org/10.3390/su162411079</w:t>
        </w:r>
      </w:hyperlink>
      <w:r w:rsidR="00AA0EEF" w:rsidRPr="00635819">
        <w:rPr>
          <w:rStyle w:val="url"/>
          <w:rFonts w:ascii="Times New Roman" w:hAnsi="Times New Roman" w:cs="Times New Roman"/>
          <w:sz w:val="20"/>
          <w:szCs w:val="20"/>
        </w:rPr>
        <w:t xml:space="preserve"> </w:t>
      </w:r>
    </w:p>
    <w:p w14:paraId="5B36EAC2" w14:textId="77777777" w:rsidR="00AA0EEF" w:rsidRPr="00635819" w:rsidRDefault="00AA0EEF" w:rsidP="00635819">
      <w:pPr>
        <w:pStyle w:val="NormalWeb"/>
        <w:spacing w:before="0" w:beforeAutospacing="0" w:after="0" w:afterAutospacing="0"/>
        <w:jc w:val="both"/>
        <w:rPr>
          <w:sz w:val="20"/>
          <w:szCs w:val="20"/>
        </w:rPr>
      </w:pPr>
    </w:p>
    <w:p w14:paraId="64D8F74E" w14:textId="77777777" w:rsidR="00AA0EEF" w:rsidRPr="00635819" w:rsidRDefault="00AA0EEF" w:rsidP="00635819">
      <w:pPr>
        <w:pStyle w:val="NormalWeb"/>
        <w:spacing w:before="0" w:beforeAutospacing="0" w:after="0" w:afterAutospacing="0"/>
        <w:jc w:val="both"/>
        <w:rPr>
          <w:rStyle w:val="Hyperlink"/>
          <w:sz w:val="20"/>
          <w:szCs w:val="20"/>
        </w:rPr>
      </w:pPr>
      <w:r w:rsidRPr="00635819">
        <w:rPr>
          <w:sz w:val="20"/>
          <w:szCs w:val="20"/>
        </w:rPr>
        <w:t xml:space="preserve">Gold Standard. (2024). Gold Standard Annual Report 2024.  </w:t>
      </w:r>
      <w:hyperlink r:id="rId36" w:tgtFrame="_new" w:history="1">
        <w:r w:rsidRPr="00635819">
          <w:rPr>
            <w:rStyle w:val="Hyperlink"/>
            <w:sz w:val="20"/>
            <w:szCs w:val="20"/>
          </w:rPr>
          <w:t>https://www.goldstandard.org/</w:t>
        </w:r>
      </w:hyperlink>
    </w:p>
    <w:p w14:paraId="72945B93" w14:textId="77777777" w:rsidR="00AA0EEF" w:rsidRPr="00635819" w:rsidRDefault="00AA0EEF" w:rsidP="00635819">
      <w:pPr>
        <w:pStyle w:val="NormalWeb"/>
        <w:spacing w:before="0" w:beforeAutospacing="0" w:after="0" w:afterAutospacing="0"/>
        <w:jc w:val="both"/>
        <w:rPr>
          <w:sz w:val="20"/>
          <w:szCs w:val="20"/>
        </w:rPr>
      </w:pPr>
    </w:p>
    <w:p w14:paraId="408A1A5A"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Style w:val="muibox-root"/>
          <w:rFonts w:ascii="Times New Roman" w:hAnsi="Times New Roman" w:cs="Times New Roman"/>
          <w:sz w:val="20"/>
          <w:szCs w:val="20"/>
        </w:rPr>
        <w:t xml:space="preserve">Huang, J., &amp; </w:t>
      </w:r>
      <w:proofErr w:type="spellStart"/>
      <w:r w:rsidRPr="00635819">
        <w:rPr>
          <w:rStyle w:val="muibox-root"/>
          <w:rFonts w:ascii="Times New Roman" w:hAnsi="Times New Roman" w:cs="Times New Roman"/>
          <w:sz w:val="20"/>
          <w:szCs w:val="20"/>
        </w:rPr>
        <w:t>Koroteev</w:t>
      </w:r>
      <w:proofErr w:type="spellEnd"/>
      <w:r w:rsidRPr="00635819">
        <w:rPr>
          <w:rStyle w:val="muibox-root"/>
          <w:rFonts w:ascii="Times New Roman" w:hAnsi="Times New Roman" w:cs="Times New Roman"/>
          <w:sz w:val="20"/>
          <w:szCs w:val="20"/>
        </w:rPr>
        <w:t xml:space="preserve">, D. D. (2021). Artificial intelligence for planning of energy and waste management. </w:t>
      </w:r>
      <w:r w:rsidRPr="00635819">
        <w:rPr>
          <w:rStyle w:val="muibox-root"/>
          <w:rFonts w:ascii="Times New Roman" w:hAnsi="Times New Roman" w:cs="Times New Roman"/>
          <w:i/>
          <w:iCs/>
          <w:sz w:val="20"/>
          <w:szCs w:val="20"/>
        </w:rPr>
        <w:t>Sustainable Energy Technologies and Assessments</w:t>
      </w:r>
      <w:r w:rsidRPr="00635819">
        <w:rPr>
          <w:rStyle w:val="muibox-root"/>
          <w:rFonts w:ascii="Times New Roman" w:hAnsi="Times New Roman" w:cs="Times New Roman"/>
          <w:sz w:val="20"/>
          <w:szCs w:val="20"/>
        </w:rPr>
        <w:t xml:space="preserve">, </w:t>
      </w:r>
      <w:r w:rsidRPr="00635819">
        <w:rPr>
          <w:rStyle w:val="muibox-root"/>
          <w:rFonts w:ascii="Times New Roman" w:hAnsi="Times New Roman" w:cs="Times New Roman"/>
          <w:i/>
          <w:iCs/>
          <w:sz w:val="20"/>
          <w:szCs w:val="20"/>
        </w:rPr>
        <w:t>47</w:t>
      </w:r>
      <w:r w:rsidRPr="00635819">
        <w:rPr>
          <w:rStyle w:val="muibox-root"/>
          <w:rFonts w:ascii="Times New Roman" w:hAnsi="Times New Roman" w:cs="Times New Roman"/>
          <w:sz w:val="20"/>
          <w:szCs w:val="20"/>
        </w:rPr>
        <w:t xml:space="preserve">, 101426. </w:t>
      </w:r>
      <w:hyperlink r:id="rId37" w:history="1">
        <w:r w:rsidRPr="00635819">
          <w:rPr>
            <w:rStyle w:val="Hyperlink"/>
            <w:rFonts w:ascii="Times New Roman" w:hAnsi="Times New Roman" w:cs="Times New Roman"/>
            <w:sz w:val="20"/>
            <w:szCs w:val="20"/>
          </w:rPr>
          <w:t>https://doi.org/10.1016/j.seta.2021.101426</w:t>
        </w:r>
      </w:hyperlink>
      <w:r w:rsidRPr="00635819">
        <w:rPr>
          <w:rStyle w:val="url"/>
          <w:rFonts w:ascii="Times New Roman" w:hAnsi="Times New Roman" w:cs="Times New Roman"/>
          <w:sz w:val="20"/>
          <w:szCs w:val="20"/>
        </w:rPr>
        <w:t xml:space="preserve"> </w:t>
      </w:r>
    </w:p>
    <w:p w14:paraId="0D21C398" w14:textId="77777777" w:rsidR="00AA0EEF" w:rsidRPr="00635819" w:rsidRDefault="00AA0EEF" w:rsidP="00635819">
      <w:pPr>
        <w:pStyle w:val="NormalWeb"/>
        <w:spacing w:before="0" w:beforeAutospacing="0" w:after="0" w:afterAutospacing="0"/>
        <w:jc w:val="both"/>
        <w:rPr>
          <w:sz w:val="20"/>
          <w:szCs w:val="20"/>
        </w:rPr>
      </w:pPr>
    </w:p>
    <w:p w14:paraId="635949FA"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ILO. (2024). </w:t>
      </w:r>
      <w:r w:rsidRPr="00635819">
        <w:rPr>
          <w:rStyle w:val="Emphasis"/>
          <w:rFonts w:ascii="Times New Roman" w:hAnsi="Times New Roman" w:cs="Times New Roman"/>
          <w:sz w:val="20"/>
          <w:szCs w:val="20"/>
        </w:rPr>
        <w:t>Formalization key to shared prosperity with workers in Bangladesh’s informal sector</w:t>
      </w:r>
      <w:r w:rsidRPr="00635819">
        <w:rPr>
          <w:rFonts w:ascii="Times New Roman" w:hAnsi="Times New Roman" w:cs="Times New Roman"/>
          <w:sz w:val="20"/>
          <w:szCs w:val="20"/>
        </w:rPr>
        <w:t xml:space="preserve">. International </w:t>
      </w:r>
      <w:proofErr w:type="spellStart"/>
      <w:r w:rsidRPr="00635819">
        <w:rPr>
          <w:rFonts w:ascii="Times New Roman" w:hAnsi="Times New Roman" w:cs="Times New Roman"/>
          <w:sz w:val="20"/>
          <w:szCs w:val="20"/>
        </w:rPr>
        <w:t>Labour</w:t>
      </w:r>
      <w:proofErr w:type="spellEnd"/>
      <w:r w:rsidRPr="00635819">
        <w:rPr>
          <w:rFonts w:ascii="Times New Roman" w:hAnsi="Times New Roman" w:cs="Times New Roman"/>
          <w:sz w:val="20"/>
          <w:szCs w:val="20"/>
        </w:rPr>
        <w:t xml:space="preserve"> Organization. </w:t>
      </w:r>
    </w:p>
    <w:p w14:paraId="7377D8A7" w14:textId="77777777" w:rsidR="00AA0EEF" w:rsidRPr="00635819" w:rsidRDefault="00C6102C" w:rsidP="00635819">
      <w:pPr>
        <w:spacing w:after="0" w:line="240" w:lineRule="auto"/>
        <w:jc w:val="both"/>
        <w:rPr>
          <w:rFonts w:ascii="Times New Roman" w:hAnsi="Times New Roman" w:cs="Times New Roman"/>
          <w:sz w:val="20"/>
          <w:szCs w:val="20"/>
        </w:rPr>
      </w:pPr>
      <w:hyperlink r:id="rId38" w:history="1">
        <w:r w:rsidR="00AA0EEF" w:rsidRPr="00635819">
          <w:rPr>
            <w:rStyle w:val="Hyperlink"/>
            <w:rFonts w:ascii="Times New Roman" w:hAnsi="Times New Roman" w:cs="Times New Roman"/>
            <w:sz w:val="20"/>
            <w:szCs w:val="20"/>
          </w:rPr>
          <w:t>https://www.ilo.org/resource/article/formalization-key-shared-prosperity-workers-bangladeshs-informal-sector</w:t>
        </w:r>
      </w:hyperlink>
      <w:r w:rsidR="00AA0EEF" w:rsidRPr="00635819">
        <w:rPr>
          <w:rFonts w:ascii="Times New Roman" w:hAnsi="Times New Roman" w:cs="Times New Roman"/>
          <w:sz w:val="20"/>
          <w:szCs w:val="20"/>
        </w:rPr>
        <w:t xml:space="preserve"> </w:t>
      </w:r>
    </w:p>
    <w:p w14:paraId="57BF80E4" w14:textId="77777777" w:rsidR="00AA0EEF" w:rsidRPr="00635819" w:rsidRDefault="00AA0EEF" w:rsidP="00635819">
      <w:pPr>
        <w:spacing w:after="0" w:line="240" w:lineRule="auto"/>
        <w:jc w:val="both"/>
        <w:rPr>
          <w:rFonts w:ascii="Times New Roman" w:hAnsi="Times New Roman" w:cs="Times New Roman"/>
          <w:sz w:val="20"/>
          <w:szCs w:val="20"/>
        </w:rPr>
      </w:pPr>
    </w:p>
    <w:p w14:paraId="68C09F57"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Indicator. SDG 6 Data. (n.d.). </w:t>
      </w:r>
      <w:hyperlink r:id="rId39" w:history="1">
        <w:r w:rsidRPr="00635819">
          <w:rPr>
            <w:rStyle w:val="Hyperlink"/>
            <w:rFonts w:ascii="Times New Roman" w:hAnsi="Times New Roman" w:cs="Times New Roman"/>
            <w:sz w:val="20"/>
            <w:szCs w:val="20"/>
          </w:rPr>
          <w:t>https://sdg6data.org/en/indicator/6.3.1</w:t>
        </w:r>
      </w:hyperlink>
      <w:r w:rsidRPr="00635819">
        <w:rPr>
          <w:rStyle w:val="url"/>
          <w:rFonts w:ascii="Times New Roman" w:hAnsi="Times New Roman" w:cs="Times New Roman"/>
          <w:sz w:val="20"/>
          <w:szCs w:val="20"/>
        </w:rPr>
        <w:t xml:space="preserve"> </w:t>
      </w:r>
    </w:p>
    <w:p w14:paraId="40ADB7C1" w14:textId="77777777" w:rsidR="00AA0EEF" w:rsidRPr="00635819" w:rsidRDefault="00AA0EEF" w:rsidP="00635819">
      <w:pPr>
        <w:spacing w:after="0" w:line="240" w:lineRule="auto"/>
        <w:jc w:val="both"/>
        <w:rPr>
          <w:rFonts w:ascii="Times New Roman" w:hAnsi="Times New Roman" w:cs="Times New Roman"/>
          <w:sz w:val="20"/>
          <w:szCs w:val="20"/>
        </w:rPr>
      </w:pPr>
    </w:p>
    <w:p w14:paraId="636F3736" w14:textId="77777777" w:rsidR="00AA0EEF" w:rsidRPr="00635819" w:rsidRDefault="00AA0EEF" w:rsidP="00635819">
      <w:pPr>
        <w:pStyle w:val="NormalWeb"/>
        <w:spacing w:before="0" w:beforeAutospacing="0" w:after="0" w:afterAutospacing="0"/>
        <w:jc w:val="both"/>
        <w:rPr>
          <w:rStyle w:val="Emphasis"/>
          <w:i w:val="0"/>
          <w:iCs w:val="0"/>
          <w:sz w:val="20"/>
          <w:szCs w:val="20"/>
        </w:rPr>
      </w:pPr>
      <w:r w:rsidRPr="00635819">
        <w:rPr>
          <w:sz w:val="20"/>
          <w:szCs w:val="20"/>
        </w:rPr>
        <w:t xml:space="preserve">Intergovernmental Panel on Climate Change. (2014). </w:t>
      </w:r>
      <w:r w:rsidRPr="00635819">
        <w:rPr>
          <w:rStyle w:val="Emphasis"/>
          <w:sz w:val="20"/>
          <w:szCs w:val="20"/>
        </w:rPr>
        <w:t xml:space="preserve">Climate change 2014. </w:t>
      </w:r>
      <w:hyperlink r:id="rId40" w:history="1">
        <w:r w:rsidRPr="00635819">
          <w:rPr>
            <w:rStyle w:val="Hyperlink"/>
            <w:sz w:val="20"/>
            <w:szCs w:val="20"/>
          </w:rPr>
          <w:t>https://www.ipcc.ch/report/ar5/wg3/</w:t>
        </w:r>
      </w:hyperlink>
      <w:r w:rsidRPr="00635819">
        <w:rPr>
          <w:rStyle w:val="Emphasis"/>
          <w:sz w:val="20"/>
          <w:szCs w:val="20"/>
        </w:rPr>
        <w:t xml:space="preserve"> </w:t>
      </w:r>
    </w:p>
    <w:p w14:paraId="3CA5F320" w14:textId="77777777" w:rsidR="00AA0EEF" w:rsidRPr="00635819" w:rsidRDefault="00AA0EEF" w:rsidP="00635819">
      <w:pPr>
        <w:pStyle w:val="NormalWeb"/>
        <w:spacing w:before="0" w:beforeAutospacing="0" w:after="0" w:afterAutospacing="0"/>
        <w:jc w:val="both"/>
        <w:rPr>
          <w:sz w:val="20"/>
          <w:szCs w:val="20"/>
        </w:rPr>
      </w:pPr>
    </w:p>
    <w:p w14:paraId="456CEAAA"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Intergovernmental Panel on Climate Change. (2019). </w:t>
      </w:r>
      <w:r w:rsidRPr="00635819">
        <w:rPr>
          <w:rStyle w:val="Emphasis"/>
          <w:sz w:val="20"/>
          <w:szCs w:val="20"/>
        </w:rPr>
        <w:t>2019 Refinement to the 2006 IPCC Guidelines for National Greenhouse Gas Inventories</w:t>
      </w:r>
      <w:r w:rsidRPr="00635819">
        <w:rPr>
          <w:sz w:val="20"/>
          <w:szCs w:val="20"/>
        </w:rPr>
        <w:t xml:space="preserve">. </w:t>
      </w:r>
      <w:hyperlink r:id="rId41" w:history="1">
        <w:r w:rsidRPr="00635819">
          <w:rPr>
            <w:rStyle w:val="Hyperlink"/>
            <w:sz w:val="20"/>
            <w:szCs w:val="20"/>
          </w:rPr>
          <w:t>https://www.ipcc-nggip.iges.or.jp/public/2019rf/index.html</w:t>
        </w:r>
      </w:hyperlink>
      <w:r w:rsidRPr="00635819">
        <w:rPr>
          <w:sz w:val="20"/>
          <w:szCs w:val="20"/>
        </w:rPr>
        <w:t xml:space="preserve"> </w:t>
      </w:r>
    </w:p>
    <w:p w14:paraId="7E736601" w14:textId="77777777" w:rsidR="00AA0EEF" w:rsidRPr="00635819" w:rsidRDefault="00AA0EEF" w:rsidP="00635819">
      <w:pPr>
        <w:pStyle w:val="NormalWeb"/>
        <w:spacing w:before="0" w:beforeAutospacing="0" w:after="0" w:afterAutospacing="0"/>
        <w:jc w:val="both"/>
        <w:rPr>
          <w:sz w:val="20"/>
          <w:szCs w:val="20"/>
        </w:rPr>
      </w:pPr>
    </w:p>
    <w:p w14:paraId="2C1D23EF"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International Energy Agency. (2022). </w:t>
      </w:r>
      <w:r w:rsidRPr="00635819">
        <w:rPr>
          <w:rStyle w:val="Emphasis"/>
          <w:sz w:val="20"/>
          <w:szCs w:val="20"/>
        </w:rPr>
        <w:t>Energy technology perspectives 2022</w:t>
      </w:r>
      <w:r w:rsidRPr="00635819">
        <w:rPr>
          <w:sz w:val="20"/>
          <w:szCs w:val="20"/>
        </w:rPr>
        <w:t xml:space="preserve">. </w:t>
      </w:r>
    </w:p>
    <w:p w14:paraId="74F84D21" w14:textId="77777777" w:rsidR="00AA0EEF" w:rsidRPr="00635819" w:rsidRDefault="00C6102C" w:rsidP="00635819">
      <w:pPr>
        <w:pStyle w:val="NormalWeb"/>
        <w:spacing w:before="0" w:beforeAutospacing="0" w:after="0" w:afterAutospacing="0"/>
        <w:jc w:val="both"/>
        <w:rPr>
          <w:sz w:val="20"/>
          <w:szCs w:val="20"/>
        </w:rPr>
      </w:pPr>
      <w:hyperlink r:id="rId42" w:history="1">
        <w:r w:rsidR="00AA0EEF" w:rsidRPr="00635819">
          <w:rPr>
            <w:rStyle w:val="Hyperlink"/>
            <w:sz w:val="20"/>
            <w:szCs w:val="20"/>
          </w:rPr>
          <w:t>https://www.iea.org/reports/energy-technology-perspectives-2022</w:t>
        </w:r>
      </w:hyperlink>
      <w:r w:rsidR="00AA0EEF" w:rsidRPr="00635819">
        <w:rPr>
          <w:sz w:val="20"/>
          <w:szCs w:val="20"/>
        </w:rPr>
        <w:t xml:space="preserve"> </w:t>
      </w:r>
    </w:p>
    <w:p w14:paraId="74B3EBDD" w14:textId="77777777" w:rsidR="00AA0EEF" w:rsidRPr="00635819" w:rsidRDefault="00AA0EEF" w:rsidP="00635819">
      <w:pPr>
        <w:pStyle w:val="NormalWeb"/>
        <w:spacing w:before="0" w:beforeAutospacing="0" w:after="0" w:afterAutospacing="0"/>
        <w:jc w:val="both"/>
        <w:rPr>
          <w:sz w:val="20"/>
          <w:szCs w:val="20"/>
        </w:rPr>
      </w:pPr>
    </w:p>
    <w:p w14:paraId="4CE39542" w14:textId="77777777" w:rsidR="00DB317C"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International Energy Agency. (2023). </w:t>
      </w:r>
      <w:r w:rsidRPr="00635819">
        <w:rPr>
          <w:rStyle w:val="Emphasis"/>
          <w:rFonts w:ascii="Times New Roman" w:hAnsi="Times New Roman" w:cs="Times New Roman"/>
          <w:sz w:val="20"/>
          <w:szCs w:val="20"/>
        </w:rPr>
        <w:t>Renewables 2023: Analysis and forecasts to 2028</w:t>
      </w:r>
      <w:r w:rsidRPr="00635819">
        <w:rPr>
          <w:rFonts w:ascii="Times New Roman" w:hAnsi="Times New Roman" w:cs="Times New Roman"/>
          <w:sz w:val="20"/>
          <w:szCs w:val="20"/>
        </w:rPr>
        <w:t xml:space="preserve">. </w:t>
      </w:r>
    </w:p>
    <w:p w14:paraId="356C674F" w14:textId="7E020FB9" w:rsidR="00AA0EEF" w:rsidRPr="00635819" w:rsidRDefault="00C6102C" w:rsidP="00635819">
      <w:pPr>
        <w:spacing w:after="0" w:line="240" w:lineRule="auto"/>
        <w:jc w:val="both"/>
        <w:rPr>
          <w:rStyle w:val="Hyperlink"/>
          <w:rFonts w:ascii="Times New Roman" w:hAnsi="Times New Roman" w:cs="Times New Roman"/>
          <w:sz w:val="20"/>
          <w:szCs w:val="20"/>
        </w:rPr>
      </w:pPr>
      <w:hyperlink r:id="rId43" w:history="1">
        <w:r w:rsidR="00DB317C" w:rsidRPr="009D473E">
          <w:rPr>
            <w:rStyle w:val="Hyperlink"/>
            <w:rFonts w:ascii="Times New Roman" w:hAnsi="Times New Roman" w:cs="Times New Roman"/>
            <w:sz w:val="20"/>
            <w:szCs w:val="20"/>
          </w:rPr>
          <w:t>https://www.iea.org/reports/renewables-2023</w:t>
        </w:r>
      </w:hyperlink>
    </w:p>
    <w:p w14:paraId="1AC41C71" w14:textId="77777777" w:rsidR="00AA0EEF" w:rsidRPr="00635819" w:rsidRDefault="00AA0EEF" w:rsidP="00635819">
      <w:pPr>
        <w:spacing w:after="0" w:line="240" w:lineRule="auto"/>
        <w:jc w:val="both"/>
        <w:rPr>
          <w:rFonts w:ascii="Times New Roman" w:hAnsi="Times New Roman" w:cs="Times New Roman"/>
          <w:sz w:val="20"/>
          <w:szCs w:val="20"/>
        </w:rPr>
      </w:pPr>
    </w:p>
    <w:p w14:paraId="7083CD40" w14:textId="77777777" w:rsidR="00AA0EEF" w:rsidRPr="00635819" w:rsidRDefault="00AA0EEF" w:rsidP="00635819">
      <w:pPr>
        <w:spacing w:after="0" w:line="240" w:lineRule="auto"/>
        <w:jc w:val="both"/>
        <w:rPr>
          <w:rStyle w:val="Hyperlink"/>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IPCC. (2023). </w:t>
      </w:r>
      <w:hyperlink r:id="rId44" w:history="1">
        <w:r w:rsidRPr="00635819">
          <w:rPr>
            <w:rStyle w:val="Hyperlink"/>
            <w:rFonts w:ascii="Times New Roman" w:eastAsia="Times New Roman" w:hAnsi="Times New Roman" w:cs="Times New Roman"/>
            <w:sz w:val="20"/>
            <w:szCs w:val="20"/>
          </w:rPr>
          <w:t>https://www.ipcc.ch/ar6-syr/</w:t>
        </w:r>
      </w:hyperlink>
    </w:p>
    <w:p w14:paraId="0B6604EB" w14:textId="77777777" w:rsidR="00AA0EEF" w:rsidRPr="00635819" w:rsidRDefault="00AA0EEF" w:rsidP="00635819">
      <w:pPr>
        <w:spacing w:after="0" w:line="240" w:lineRule="auto"/>
        <w:jc w:val="both"/>
        <w:rPr>
          <w:rFonts w:ascii="Times New Roman" w:hAnsi="Times New Roman" w:cs="Times New Roman"/>
          <w:sz w:val="20"/>
          <w:szCs w:val="20"/>
        </w:rPr>
      </w:pPr>
    </w:p>
    <w:p w14:paraId="63D757CD" w14:textId="77777777" w:rsidR="00AA0EEF" w:rsidRPr="00635819" w:rsidRDefault="00AA0EEF" w:rsidP="00635819">
      <w:pPr>
        <w:pStyle w:val="NormalWeb"/>
        <w:spacing w:before="0" w:beforeAutospacing="0" w:after="0" w:afterAutospacing="0"/>
        <w:jc w:val="both"/>
        <w:rPr>
          <w:rStyle w:val="relative"/>
          <w:sz w:val="20"/>
          <w:szCs w:val="20"/>
        </w:rPr>
      </w:pPr>
      <w:r w:rsidRPr="00635819">
        <w:rPr>
          <w:rStyle w:val="relative"/>
          <w:sz w:val="20"/>
          <w:szCs w:val="20"/>
        </w:rPr>
        <w:t xml:space="preserve">IPCC. (2019). </w:t>
      </w:r>
      <w:r w:rsidRPr="00635819">
        <w:rPr>
          <w:rStyle w:val="Emphasis"/>
          <w:sz w:val="20"/>
          <w:szCs w:val="20"/>
        </w:rPr>
        <w:t>2019 Refinement to the 2006 IPCC Guidelines for National Greenhouse Gas Inventories</w:t>
      </w:r>
      <w:r w:rsidRPr="00635819">
        <w:rPr>
          <w:rStyle w:val="relative"/>
          <w:sz w:val="20"/>
          <w:szCs w:val="20"/>
        </w:rPr>
        <w:t xml:space="preserve">. Intergovernmental Panel on Climate Change. </w:t>
      </w:r>
      <w:hyperlink r:id="rId45" w:history="1">
        <w:r w:rsidRPr="00635819">
          <w:rPr>
            <w:rStyle w:val="Hyperlink"/>
            <w:sz w:val="20"/>
            <w:szCs w:val="20"/>
          </w:rPr>
          <w:t>https://www.ipcc.ch/report/2019-refinement-to-the-2006-ipcc-guidelines-for-national-greenhouse-gas-inventories/</w:t>
        </w:r>
      </w:hyperlink>
      <w:r w:rsidRPr="00635819">
        <w:rPr>
          <w:rStyle w:val="relative"/>
          <w:sz w:val="20"/>
          <w:szCs w:val="20"/>
        </w:rPr>
        <w:t xml:space="preserve"> </w:t>
      </w:r>
    </w:p>
    <w:p w14:paraId="575048A9" w14:textId="77777777" w:rsidR="00AA0EEF" w:rsidRPr="00635819" w:rsidRDefault="00AA0EEF" w:rsidP="00635819">
      <w:pPr>
        <w:pStyle w:val="NormalWeb"/>
        <w:spacing w:before="0" w:beforeAutospacing="0" w:after="0" w:afterAutospacing="0"/>
        <w:jc w:val="both"/>
        <w:rPr>
          <w:rStyle w:val="relative"/>
          <w:sz w:val="20"/>
          <w:szCs w:val="20"/>
        </w:rPr>
      </w:pPr>
    </w:p>
    <w:p w14:paraId="3E005888"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IPCC. (2022). </w:t>
      </w:r>
      <w:r w:rsidRPr="00635819">
        <w:rPr>
          <w:rFonts w:ascii="Times New Roman" w:eastAsia="Times New Roman" w:hAnsi="Times New Roman" w:cs="Times New Roman"/>
          <w:i/>
          <w:iCs/>
          <w:sz w:val="20"/>
          <w:szCs w:val="20"/>
        </w:rPr>
        <w:t>Climate Change 2022: Impacts, adaptation, and vulnerability. Contribution of Working Group II to the Sixth Assessment Report of the Intergovernmental Panel on Climate Change</w:t>
      </w:r>
      <w:r w:rsidRPr="00635819">
        <w:rPr>
          <w:rFonts w:ascii="Times New Roman" w:eastAsia="Times New Roman" w:hAnsi="Times New Roman" w:cs="Times New Roman"/>
          <w:sz w:val="20"/>
          <w:szCs w:val="20"/>
        </w:rPr>
        <w:t xml:space="preserve">. Cambridge University Press. </w:t>
      </w:r>
    </w:p>
    <w:p w14:paraId="2E512AC8" w14:textId="77777777" w:rsidR="00AA0EEF" w:rsidRPr="00635819" w:rsidRDefault="00C6102C" w:rsidP="00635819">
      <w:pPr>
        <w:spacing w:after="0" w:line="240" w:lineRule="auto"/>
        <w:jc w:val="both"/>
        <w:rPr>
          <w:rFonts w:ascii="Times New Roman" w:eastAsia="Times New Roman" w:hAnsi="Times New Roman" w:cs="Times New Roman"/>
          <w:sz w:val="20"/>
          <w:szCs w:val="20"/>
        </w:rPr>
      </w:pPr>
      <w:hyperlink r:id="rId46" w:history="1">
        <w:r w:rsidR="00AA0EEF" w:rsidRPr="00635819">
          <w:rPr>
            <w:rStyle w:val="Hyperlink"/>
            <w:rFonts w:ascii="Times New Roman" w:eastAsia="Times New Roman" w:hAnsi="Times New Roman" w:cs="Times New Roman"/>
            <w:sz w:val="20"/>
            <w:szCs w:val="20"/>
          </w:rPr>
          <w:t>https://www.ipcc.ch/report/ar6/wg2</w:t>
        </w:r>
      </w:hyperlink>
      <w:r w:rsidR="00AA0EEF" w:rsidRPr="00635819">
        <w:rPr>
          <w:rFonts w:ascii="Times New Roman" w:eastAsia="Times New Roman" w:hAnsi="Times New Roman" w:cs="Times New Roman"/>
          <w:sz w:val="20"/>
          <w:szCs w:val="20"/>
        </w:rPr>
        <w:t xml:space="preserve"> </w:t>
      </w:r>
    </w:p>
    <w:p w14:paraId="7AE2F82B"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70578EB1"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IPCC. (2022). Climate Change 2022: Mitigation of Climate Change. </w:t>
      </w:r>
      <w:hyperlink r:id="rId47" w:history="1">
        <w:r w:rsidRPr="00635819">
          <w:rPr>
            <w:rStyle w:val="Hyperlink"/>
            <w:rFonts w:ascii="Times New Roman" w:hAnsi="Times New Roman" w:cs="Times New Roman"/>
            <w:sz w:val="20"/>
            <w:szCs w:val="20"/>
          </w:rPr>
          <w:t>https://www.ipcc.ch/report/ar6/wg3/</w:t>
        </w:r>
      </w:hyperlink>
      <w:r w:rsidRPr="00635819">
        <w:rPr>
          <w:rFonts w:ascii="Times New Roman" w:hAnsi="Times New Roman" w:cs="Times New Roman"/>
          <w:sz w:val="20"/>
          <w:szCs w:val="20"/>
        </w:rPr>
        <w:t xml:space="preserve">  </w:t>
      </w:r>
    </w:p>
    <w:p w14:paraId="6A0A0CEA" w14:textId="77777777" w:rsidR="00AA0EEF" w:rsidRPr="00635819" w:rsidRDefault="00AA0EEF" w:rsidP="00635819">
      <w:pPr>
        <w:spacing w:after="0" w:line="240" w:lineRule="auto"/>
        <w:jc w:val="both"/>
        <w:rPr>
          <w:rFonts w:ascii="Times New Roman" w:hAnsi="Times New Roman" w:cs="Times New Roman"/>
          <w:sz w:val="20"/>
          <w:szCs w:val="20"/>
        </w:rPr>
      </w:pPr>
    </w:p>
    <w:p w14:paraId="1E9E6D83"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Islam, F. S. (2016). Solid waste management system in Dhaka City of Bangladesh. </w:t>
      </w:r>
      <w:r w:rsidRPr="00635819">
        <w:rPr>
          <w:rFonts w:ascii="Times New Roman" w:hAnsi="Times New Roman" w:cs="Times New Roman"/>
          <w:i/>
          <w:iCs/>
          <w:sz w:val="20"/>
          <w:szCs w:val="20"/>
        </w:rPr>
        <w:t>Journal of Modern Science and Technology</w:t>
      </w:r>
      <w:r w:rsidRPr="00635819">
        <w:rPr>
          <w:rFonts w:ascii="Times New Roman" w:hAnsi="Times New Roman" w:cs="Times New Roman"/>
          <w:sz w:val="20"/>
          <w:szCs w:val="20"/>
        </w:rPr>
        <w:t xml:space="preserve">, </w:t>
      </w:r>
      <w:r w:rsidRPr="00635819">
        <w:rPr>
          <w:rFonts w:ascii="Times New Roman" w:hAnsi="Times New Roman" w:cs="Times New Roman"/>
          <w:i/>
          <w:iCs/>
          <w:sz w:val="20"/>
          <w:szCs w:val="20"/>
        </w:rPr>
        <w:t>4</w:t>
      </w:r>
      <w:r w:rsidRPr="00635819">
        <w:rPr>
          <w:rFonts w:ascii="Times New Roman" w:hAnsi="Times New Roman" w:cs="Times New Roman"/>
          <w:sz w:val="20"/>
          <w:szCs w:val="20"/>
        </w:rPr>
        <w:t xml:space="preserve">(1), 192-209. </w:t>
      </w:r>
    </w:p>
    <w:p w14:paraId="3EDC01C6" w14:textId="77777777" w:rsidR="00AA0EEF" w:rsidRPr="00635819" w:rsidRDefault="00C6102C" w:rsidP="00635819">
      <w:pPr>
        <w:spacing w:after="0" w:line="240" w:lineRule="auto"/>
        <w:jc w:val="both"/>
        <w:rPr>
          <w:rFonts w:ascii="Times New Roman" w:hAnsi="Times New Roman" w:cs="Times New Roman"/>
          <w:sz w:val="20"/>
          <w:szCs w:val="20"/>
        </w:rPr>
      </w:pPr>
      <w:hyperlink r:id="rId48" w:history="1">
        <w:r w:rsidR="00AA0EEF" w:rsidRPr="00635819">
          <w:rPr>
            <w:rStyle w:val="Hyperlink"/>
            <w:rFonts w:ascii="Times New Roman" w:hAnsi="Times New Roman" w:cs="Times New Roman"/>
            <w:sz w:val="20"/>
            <w:szCs w:val="20"/>
          </w:rPr>
          <w:t>https://www.researchgate.net/profile/F-A-Samiul-Islam/publication/309790226_Solid_Waste_Management_System_in_Dhaka_City_of_Bangladesh/links/582393b108aeb45b58896084/Solid-Waste-Management-System-in-Dhaka-City-of-Bangladesh.pdf</w:t>
        </w:r>
      </w:hyperlink>
      <w:r w:rsidR="00AA0EEF" w:rsidRPr="00635819">
        <w:rPr>
          <w:rFonts w:ascii="Times New Roman" w:hAnsi="Times New Roman" w:cs="Times New Roman"/>
          <w:sz w:val="20"/>
          <w:szCs w:val="20"/>
        </w:rPr>
        <w:t xml:space="preserve"> </w:t>
      </w:r>
    </w:p>
    <w:p w14:paraId="193CD1D6" w14:textId="77777777" w:rsidR="00AA0EEF" w:rsidRPr="00635819" w:rsidRDefault="00AA0EEF" w:rsidP="00635819">
      <w:pPr>
        <w:spacing w:after="0" w:line="240" w:lineRule="auto"/>
        <w:jc w:val="both"/>
        <w:rPr>
          <w:rFonts w:ascii="Times New Roman" w:hAnsi="Times New Roman" w:cs="Times New Roman"/>
          <w:sz w:val="20"/>
          <w:szCs w:val="20"/>
        </w:rPr>
      </w:pPr>
    </w:p>
    <w:p w14:paraId="4D4ACE77"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Islam, F. A. S. (2025). The Role of Artificial Intelligence in Environmental Monitoring for Sustainable Development and Future Perspectives. </w:t>
      </w:r>
      <w:r w:rsidRPr="00635819">
        <w:rPr>
          <w:rFonts w:ascii="Times New Roman" w:hAnsi="Times New Roman" w:cs="Times New Roman"/>
          <w:i/>
          <w:iCs/>
          <w:sz w:val="20"/>
          <w:szCs w:val="20"/>
        </w:rPr>
        <w:t>Journal of Global Ecology and Environment</w:t>
      </w:r>
      <w:r w:rsidRPr="00635819">
        <w:rPr>
          <w:rFonts w:ascii="Times New Roman" w:hAnsi="Times New Roman" w:cs="Times New Roman"/>
          <w:sz w:val="20"/>
          <w:szCs w:val="20"/>
        </w:rPr>
        <w:t xml:space="preserve">, </w:t>
      </w:r>
      <w:r w:rsidRPr="00635819">
        <w:rPr>
          <w:rFonts w:ascii="Times New Roman" w:hAnsi="Times New Roman" w:cs="Times New Roman"/>
          <w:i/>
          <w:iCs/>
          <w:sz w:val="20"/>
          <w:szCs w:val="20"/>
        </w:rPr>
        <w:t>21</w:t>
      </w:r>
      <w:r w:rsidRPr="00635819">
        <w:rPr>
          <w:rFonts w:ascii="Times New Roman" w:hAnsi="Times New Roman" w:cs="Times New Roman"/>
          <w:sz w:val="20"/>
          <w:szCs w:val="20"/>
        </w:rPr>
        <w:t xml:space="preserve">(2), 164–179. </w:t>
      </w:r>
      <w:hyperlink r:id="rId49" w:history="1">
        <w:r w:rsidRPr="00635819">
          <w:rPr>
            <w:rStyle w:val="Hyperlink"/>
            <w:rFonts w:ascii="Times New Roman" w:hAnsi="Times New Roman" w:cs="Times New Roman"/>
            <w:sz w:val="20"/>
            <w:szCs w:val="20"/>
          </w:rPr>
          <w:t>https://doi.org/10.56557/jogee/2025/v21i29272</w:t>
        </w:r>
      </w:hyperlink>
      <w:r w:rsidRPr="00635819">
        <w:rPr>
          <w:rFonts w:ascii="Times New Roman" w:hAnsi="Times New Roman" w:cs="Times New Roman"/>
          <w:sz w:val="20"/>
          <w:szCs w:val="20"/>
        </w:rPr>
        <w:t xml:space="preserve"> </w:t>
      </w:r>
    </w:p>
    <w:p w14:paraId="49DF8F42" w14:textId="77777777" w:rsidR="00AA0EEF" w:rsidRPr="00635819" w:rsidRDefault="00AA0EEF" w:rsidP="00635819">
      <w:pPr>
        <w:spacing w:after="0" w:line="240" w:lineRule="auto"/>
        <w:jc w:val="both"/>
        <w:rPr>
          <w:rFonts w:ascii="Times New Roman" w:hAnsi="Times New Roman" w:cs="Times New Roman"/>
          <w:sz w:val="20"/>
          <w:szCs w:val="20"/>
        </w:rPr>
      </w:pPr>
    </w:p>
    <w:p w14:paraId="2087C3A0"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Islam, F. A. S. (2025). The Convergence of AI and Nature: Advancing Carbon Dioxide Capture, Removal, and Storage Technologies through Integrated Ecosystem-Based Strategies. </w:t>
      </w:r>
      <w:r w:rsidRPr="00635819">
        <w:rPr>
          <w:rFonts w:ascii="Times New Roman" w:hAnsi="Times New Roman" w:cs="Times New Roman"/>
          <w:i/>
          <w:iCs/>
          <w:sz w:val="20"/>
          <w:szCs w:val="20"/>
        </w:rPr>
        <w:t>International Journal of Applied and Natural Sciences</w:t>
      </w:r>
      <w:r w:rsidRPr="00635819">
        <w:rPr>
          <w:rFonts w:ascii="Times New Roman" w:hAnsi="Times New Roman" w:cs="Times New Roman"/>
          <w:sz w:val="20"/>
          <w:szCs w:val="20"/>
        </w:rPr>
        <w:t xml:space="preserve">, </w:t>
      </w:r>
      <w:r w:rsidRPr="00635819">
        <w:rPr>
          <w:rFonts w:ascii="Times New Roman" w:hAnsi="Times New Roman" w:cs="Times New Roman"/>
          <w:i/>
          <w:iCs/>
          <w:sz w:val="20"/>
          <w:szCs w:val="20"/>
        </w:rPr>
        <w:t>3</w:t>
      </w:r>
      <w:r w:rsidRPr="00635819">
        <w:rPr>
          <w:rFonts w:ascii="Times New Roman" w:hAnsi="Times New Roman" w:cs="Times New Roman"/>
          <w:sz w:val="20"/>
          <w:szCs w:val="20"/>
        </w:rPr>
        <w:t xml:space="preserve">(1), 90–130. </w:t>
      </w:r>
      <w:hyperlink r:id="rId50" w:history="1">
        <w:r w:rsidRPr="00635819">
          <w:rPr>
            <w:rStyle w:val="Hyperlink"/>
            <w:rFonts w:ascii="Times New Roman" w:hAnsi="Times New Roman" w:cs="Times New Roman"/>
            <w:sz w:val="20"/>
            <w:szCs w:val="20"/>
          </w:rPr>
          <w:t>https://doi.org/10.61424/ijans.v3i1.296</w:t>
        </w:r>
      </w:hyperlink>
      <w:r w:rsidRPr="00635819">
        <w:rPr>
          <w:rFonts w:ascii="Times New Roman" w:hAnsi="Times New Roman" w:cs="Times New Roman"/>
          <w:sz w:val="20"/>
          <w:szCs w:val="20"/>
        </w:rPr>
        <w:t xml:space="preserve"> </w:t>
      </w:r>
    </w:p>
    <w:p w14:paraId="13689324" w14:textId="77777777" w:rsidR="00AA0EEF" w:rsidRPr="00635819" w:rsidRDefault="00AA0EEF" w:rsidP="00635819">
      <w:pPr>
        <w:spacing w:after="0" w:line="240" w:lineRule="auto"/>
        <w:jc w:val="both"/>
        <w:rPr>
          <w:rFonts w:ascii="Times New Roman" w:hAnsi="Times New Roman" w:cs="Times New Roman"/>
          <w:sz w:val="20"/>
          <w:szCs w:val="20"/>
        </w:rPr>
      </w:pPr>
    </w:p>
    <w:p w14:paraId="2DE18088"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Islam, F. A. S. (2025). Synergistic Integration of Artificial Intelligence for Advanced Desalination and Sustainable Water Reclamation in Addressing Global Water Scarcity. </w:t>
      </w:r>
      <w:r w:rsidRPr="00635819">
        <w:rPr>
          <w:rFonts w:ascii="Times New Roman" w:hAnsi="Times New Roman" w:cs="Times New Roman"/>
          <w:i/>
          <w:iCs/>
          <w:sz w:val="20"/>
          <w:szCs w:val="20"/>
        </w:rPr>
        <w:t>Journal of Basic and Applied Research International</w:t>
      </w:r>
      <w:r w:rsidRPr="00635819">
        <w:rPr>
          <w:rFonts w:ascii="Times New Roman" w:hAnsi="Times New Roman" w:cs="Times New Roman"/>
          <w:sz w:val="20"/>
          <w:szCs w:val="20"/>
        </w:rPr>
        <w:t xml:space="preserve">, </w:t>
      </w:r>
      <w:r w:rsidRPr="00635819">
        <w:rPr>
          <w:rFonts w:ascii="Times New Roman" w:hAnsi="Times New Roman" w:cs="Times New Roman"/>
          <w:i/>
          <w:iCs/>
          <w:sz w:val="20"/>
          <w:szCs w:val="20"/>
        </w:rPr>
        <w:t>31</w:t>
      </w:r>
      <w:r w:rsidRPr="00635819">
        <w:rPr>
          <w:rFonts w:ascii="Times New Roman" w:hAnsi="Times New Roman" w:cs="Times New Roman"/>
          <w:sz w:val="20"/>
          <w:szCs w:val="20"/>
        </w:rPr>
        <w:t xml:space="preserve">(3), 111–136. </w:t>
      </w:r>
      <w:hyperlink r:id="rId51" w:history="1">
        <w:r w:rsidRPr="00635819">
          <w:rPr>
            <w:rStyle w:val="Hyperlink"/>
            <w:rFonts w:ascii="Times New Roman" w:hAnsi="Times New Roman" w:cs="Times New Roman"/>
            <w:sz w:val="20"/>
            <w:szCs w:val="20"/>
          </w:rPr>
          <w:t>https://doi.org/10.56557/jobari/2025/v31i39353</w:t>
        </w:r>
      </w:hyperlink>
      <w:r w:rsidRPr="00635819">
        <w:rPr>
          <w:rFonts w:ascii="Times New Roman" w:hAnsi="Times New Roman" w:cs="Times New Roman"/>
          <w:sz w:val="20"/>
          <w:szCs w:val="20"/>
        </w:rPr>
        <w:t xml:space="preserve"> </w:t>
      </w:r>
    </w:p>
    <w:p w14:paraId="3F0C9A94" w14:textId="77777777" w:rsidR="00AA0EEF" w:rsidRPr="00635819" w:rsidRDefault="00AA0EEF" w:rsidP="00635819">
      <w:pPr>
        <w:spacing w:after="0" w:line="240" w:lineRule="auto"/>
        <w:jc w:val="both"/>
        <w:rPr>
          <w:rFonts w:ascii="Times New Roman" w:hAnsi="Times New Roman" w:cs="Times New Roman"/>
          <w:sz w:val="20"/>
          <w:szCs w:val="20"/>
        </w:rPr>
      </w:pPr>
    </w:p>
    <w:p w14:paraId="6192E9F1"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Islam, F. A. S. (2025). Artificial Intelligence-Driven Optimization and Decision Support for Integrated Waste-to-Energy Systems in Climate-Vulnerable Megacities: A Case Study of Dhaka, Bangladesh. </w:t>
      </w:r>
      <w:r w:rsidRPr="00635819">
        <w:rPr>
          <w:rFonts w:ascii="Times New Roman" w:hAnsi="Times New Roman" w:cs="Times New Roman"/>
          <w:i/>
          <w:iCs/>
          <w:sz w:val="20"/>
          <w:szCs w:val="20"/>
        </w:rPr>
        <w:t>International Journal of Applied and Natural Sciences</w:t>
      </w:r>
      <w:r w:rsidRPr="00635819">
        <w:rPr>
          <w:rFonts w:ascii="Times New Roman" w:hAnsi="Times New Roman" w:cs="Times New Roman"/>
          <w:sz w:val="20"/>
          <w:szCs w:val="20"/>
        </w:rPr>
        <w:t xml:space="preserve">, </w:t>
      </w:r>
      <w:r w:rsidRPr="00635819">
        <w:rPr>
          <w:rFonts w:ascii="Times New Roman" w:hAnsi="Times New Roman" w:cs="Times New Roman"/>
          <w:i/>
          <w:iCs/>
          <w:sz w:val="20"/>
          <w:szCs w:val="20"/>
        </w:rPr>
        <w:t>3</w:t>
      </w:r>
      <w:r w:rsidRPr="00635819">
        <w:rPr>
          <w:rFonts w:ascii="Times New Roman" w:hAnsi="Times New Roman" w:cs="Times New Roman"/>
          <w:sz w:val="20"/>
          <w:szCs w:val="20"/>
        </w:rPr>
        <w:t xml:space="preserve">(2), 01–34. </w:t>
      </w:r>
      <w:hyperlink r:id="rId52" w:history="1">
        <w:r w:rsidRPr="00635819">
          <w:rPr>
            <w:rStyle w:val="Hyperlink"/>
            <w:rFonts w:ascii="Times New Roman" w:hAnsi="Times New Roman" w:cs="Times New Roman"/>
            <w:sz w:val="20"/>
            <w:szCs w:val="20"/>
          </w:rPr>
          <w:t>https://doi.org/10.61424/ijans.v3i2.315</w:t>
        </w:r>
      </w:hyperlink>
      <w:r w:rsidRPr="00635819">
        <w:rPr>
          <w:rFonts w:ascii="Times New Roman" w:hAnsi="Times New Roman" w:cs="Times New Roman"/>
          <w:sz w:val="20"/>
          <w:szCs w:val="20"/>
        </w:rPr>
        <w:t xml:space="preserve"> </w:t>
      </w:r>
    </w:p>
    <w:p w14:paraId="5C25BC02" w14:textId="77777777" w:rsidR="00AA0EEF" w:rsidRPr="00635819" w:rsidRDefault="00AA0EEF" w:rsidP="00635819">
      <w:pPr>
        <w:spacing w:after="0" w:line="240" w:lineRule="auto"/>
        <w:jc w:val="both"/>
        <w:rPr>
          <w:rFonts w:ascii="Times New Roman" w:hAnsi="Times New Roman" w:cs="Times New Roman"/>
          <w:sz w:val="20"/>
          <w:szCs w:val="20"/>
        </w:rPr>
      </w:pPr>
    </w:p>
    <w:p w14:paraId="2EAA836D"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hAnsi="Times New Roman" w:cs="Times New Roman"/>
          <w:sz w:val="20"/>
          <w:szCs w:val="20"/>
        </w:rPr>
        <w:t xml:space="preserve">Islam, F. A. S. (2025). A Multi-dimensional AI Framework for Sustainable Drinking Water Management: Integrating Federated Learning, Digital Twins, and Blockchain. </w:t>
      </w:r>
      <w:r w:rsidRPr="00635819">
        <w:rPr>
          <w:rFonts w:ascii="Times New Roman" w:hAnsi="Times New Roman" w:cs="Times New Roman"/>
          <w:i/>
          <w:iCs/>
          <w:sz w:val="20"/>
          <w:szCs w:val="20"/>
        </w:rPr>
        <w:t>Journal of Engineering Research and Reports</w:t>
      </w:r>
      <w:r w:rsidRPr="00635819">
        <w:rPr>
          <w:rFonts w:ascii="Times New Roman" w:hAnsi="Times New Roman" w:cs="Times New Roman"/>
          <w:sz w:val="20"/>
          <w:szCs w:val="20"/>
        </w:rPr>
        <w:t xml:space="preserve">, </w:t>
      </w:r>
      <w:r w:rsidRPr="00635819">
        <w:rPr>
          <w:rFonts w:ascii="Times New Roman" w:hAnsi="Times New Roman" w:cs="Times New Roman"/>
          <w:i/>
          <w:iCs/>
          <w:sz w:val="20"/>
          <w:szCs w:val="20"/>
        </w:rPr>
        <w:t>27</w:t>
      </w:r>
      <w:r w:rsidRPr="00635819">
        <w:rPr>
          <w:rFonts w:ascii="Times New Roman" w:hAnsi="Times New Roman" w:cs="Times New Roman"/>
          <w:sz w:val="20"/>
          <w:szCs w:val="20"/>
        </w:rPr>
        <w:t xml:space="preserve">(6), 466–492. </w:t>
      </w:r>
      <w:hyperlink r:id="rId53" w:history="1">
        <w:r w:rsidRPr="00635819">
          <w:rPr>
            <w:rStyle w:val="Hyperlink"/>
            <w:rFonts w:ascii="Times New Roman" w:hAnsi="Times New Roman" w:cs="Times New Roman"/>
            <w:sz w:val="20"/>
            <w:szCs w:val="20"/>
          </w:rPr>
          <w:t>https://doi.org/10.9734/jerr/2025/v27i61558</w:t>
        </w:r>
      </w:hyperlink>
      <w:r w:rsidRPr="00635819">
        <w:rPr>
          <w:rFonts w:ascii="Times New Roman" w:hAnsi="Times New Roman" w:cs="Times New Roman"/>
          <w:sz w:val="20"/>
          <w:szCs w:val="20"/>
        </w:rPr>
        <w:t xml:space="preserve"> </w:t>
      </w:r>
    </w:p>
    <w:p w14:paraId="5E80B93F"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0B4F9F20"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Kaza, S., Yao, L., </w:t>
      </w:r>
      <w:proofErr w:type="spellStart"/>
      <w:r w:rsidRPr="00635819">
        <w:rPr>
          <w:rFonts w:ascii="Times New Roman" w:eastAsia="Times New Roman" w:hAnsi="Times New Roman" w:cs="Times New Roman"/>
          <w:sz w:val="20"/>
          <w:szCs w:val="20"/>
        </w:rPr>
        <w:t>Bhada</w:t>
      </w:r>
      <w:proofErr w:type="spellEnd"/>
      <w:r w:rsidRPr="00635819">
        <w:rPr>
          <w:rFonts w:ascii="Times New Roman" w:eastAsia="Times New Roman" w:hAnsi="Times New Roman" w:cs="Times New Roman"/>
          <w:sz w:val="20"/>
          <w:szCs w:val="20"/>
        </w:rPr>
        <w:t xml:space="preserve">-Tata, P., &amp; Van </w:t>
      </w:r>
      <w:proofErr w:type="spellStart"/>
      <w:r w:rsidRPr="00635819">
        <w:rPr>
          <w:rFonts w:ascii="Times New Roman" w:eastAsia="Times New Roman" w:hAnsi="Times New Roman" w:cs="Times New Roman"/>
          <w:sz w:val="20"/>
          <w:szCs w:val="20"/>
        </w:rPr>
        <w:t>Woerden</w:t>
      </w:r>
      <w:proofErr w:type="spellEnd"/>
      <w:r w:rsidRPr="00635819">
        <w:rPr>
          <w:rFonts w:ascii="Times New Roman" w:eastAsia="Times New Roman" w:hAnsi="Times New Roman" w:cs="Times New Roman"/>
          <w:sz w:val="20"/>
          <w:szCs w:val="20"/>
        </w:rPr>
        <w:t xml:space="preserve">, F. (2023). </w:t>
      </w:r>
      <w:r w:rsidRPr="00635819">
        <w:rPr>
          <w:rFonts w:ascii="Times New Roman" w:eastAsia="Times New Roman" w:hAnsi="Times New Roman" w:cs="Times New Roman"/>
          <w:i/>
          <w:iCs/>
          <w:sz w:val="20"/>
          <w:szCs w:val="20"/>
        </w:rPr>
        <w:t>What a waste 2.0: A global snapshot of solid waste management to 2050</w:t>
      </w:r>
      <w:r w:rsidRPr="00635819">
        <w:rPr>
          <w:rFonts w:ascii="Times New Roman" w:eastAsia="Times New Roman" w:hAnsi="Times New Roman" w:cs="Times New Roman"/>
          <w:sz w:val="20"/>
          <w:szCs w:val="20"/>
        </w:rPr>
        <w:t xml:space="preserve"> (Updated ed.). World Bank Publications. </w:t>
      </w:r>
      <w:hyperlink r:id="rId54" w:history="1">
        <w:r w:rsidRPr="00635819">
          <w:rPr>
            <w:rStyle w:val="Hyperlink"/>
            <w:rFonts w:ascii="Times New Roman" w:eastAsia="Times New Roman" w:hAnsi="Times New Roman" w:cs="Times New Roman"/>
            <w:sz w:val="20"/>
            <w:szCs w:val="20"/>
          </w:rPr>
          <w:t>https://doi.org/10.1596/978-1-4648-1329-0</w:t>
        </w:r>
      </w:hyperlink>
      <w:r w:rsidRPr="00635819">
        <w:rPr>
          <w:rFonts w:ascii="Times New Roman" w:eastAsia="Times New Roman" w:hAnsi="Times New Roman" w:cs="Times New Roman"/>
          <w:sz w:val="20"/>
          <w:szCs w:val="20"/>
        </w:rPr>
        <w:t xml:space="preserve"> </w:t>
      </w:r>
    </w:p>
    <w:p w14:paraId="08983E0F"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3A26E409" w14:textId="77777777" w:rsidR="00DB317C" w:rsidRDefault="00AA0EEF" w:rsidP="00635819">
      <w:pPr>
        <w:spacing w:after="0" w:line="240" w:lineRule="auto"/>
        <w:jc w:val="both"/>
        <w:rPr>
          <w:rStyle w:val="muibox-root"/>
          <w:rFonts w:ascii="Times New Roman" w:hAnsi="Times New Roman" w:cs="Times New Roman"/>
          <w:sz w:val="20"/>
          <w:szCs w:val="20"/>
        </w:rPr>
      </w:pPr>
      <w:r w:rsidRPr="00635819">
        <w:rPr>
          <w:rStyle w:val="muibox-root"/>
          <w:rFonts w:ascii="Times New Roman" w:hAnsi="Times New Roman" w:cs="Times New Roman"/>
          <w:sz w:val="20"/>
          <w:szCs w:val="20"/>
        </w:rPr>
        <w:t xml:space="preserve">Khajuria, A., &amp; Verma, P. (2025). Circular economy for “blue skies” in building resilient cities—towards the UN 2030 Agenda for Sustainable Development Goals. </w:t>
      </w:r>
      <w:r w:rsidRPr="00635819">
        <w:rPr>
          <w:rStyle w:val="muibox-root"/>
          <w:rFonts w:ascii="Times New Roman" w:hAnsi="Times New Roman" w:cs="Times New Roman"/>
          <w:i/>
          <w:iCs/>
          <w:sz w:val="20"/>
          <w:szCs w:val="20"/>
        </w:rPr>
        <w:t>Frontiers in Sustainability</w:t>
      </w:r>
      <w:r w:rsidRPr="00635819">
        <w:rPr>
          <w:rStyle w:val="muibox-root"/>
          <w:rFonts w:ascii="Times New Roman" w:hAnsi="Times New Roman" w:cs="Times New Roman"/>
          <w:sz w:val="20"/>
          <w:szCs w:val="20"/>
        </w:rPr>
        <w:t xml:space="preserve">, </w:t>
      </w:r>
      <w:r w:rsidRPr="00635819">
        <w:rPr>
          <w:rStyle w:val="muibox-root"/>
          <w:rFonts w:ascii="Times New Roman" w:hAnsi="Times New Roman" w:cs="Times New Roman"/>
          <w:i/>
          <w:iCs/>
          <w:sz w:val="20"/>
          <w:szCs w:val="20"/>
        </w:rPr>
        <w:t>6</w:t>
      </w:r>
      <w:r w:rsidRPr="00635819">
        <w:rPr>
          <w:rStyle w:val="muibox-root"/>
          <w:rFonts w:ascii="Times New Roman" w:hAnsi="Times New Roman" w:cs="Times New Roman"/>
          <w:sz w:val="20"/>
          <w:szCs w:val="20"/>
        </w:rPr>
        <w:t xml:space="preserve">. </w:t>
      </w:r>
    </w:p>
    <w:p w14:paraId="5391781A" w14:textId="3B061199" w:rsidR="00AA0EEF" w:rsidRPr="00635819" w:rsidRDefault="00C6102C" w:rsidP="00635819">
      <w:pPr>
        <w:spacing w:after="0" w:line="240" w:lineRule="auto"/>
        <w:jc w:val="both"/>
        <w:rPr>
          <w:rFonts w:ascii="Times New Roman" w:eastAsia="Times New Roman" w:hAnsi="Times New Roman" w:cs="Times New Roman"/>
          <w:sz w:val="20"/>
          <w:szCs w:val="20"/>
        </w:rPr>
      </w:pPr>
      <w:hyperlink r:id="rId55" w:history="1">
        <w:r w:rsidR="00DB317C" w:rsidRPr="009D473E">
          <w:rPr>
            <w:rStyle w:val="Hyperlink"/>
            <w:rFonts w:ascii="Times New Roman" w:hAnsi="Times New Roman" w:cs="Times New Roman"/>
            <w:sz w:val="20"/>
            <w:szCs w:val="20"/>
          </w:rPr>
          <w:t>https://doi.org/10.3389/frsus.2025.1479452</w:t>
        </w:r>
      </w:hyperlink>
      <w:r w:rsidR="00AA0EEF" w:rsidRPr="00635819">
        <w:rPr>
          <w:rStyle w:val="url"/>
          <w:rFonts w:ascii="Times New Roman" w:hAnsi="Times New Roman" w:cs="Times New Roman"/>
          <w:sz w:val="20"/>
          <w:szCs w:val="20"/>
        </w:rPr>
        <w:t xml:space="preserve"> </w:t>
      </w:r>
    </w:p>
    <w:p w14:paraId="0EB94F32" w14:textId="77777777" w:rsidR="00AA0EEF" w:rsidRPr="00635819" w:rsidRDefault="00AA0EEF" w:rsidP="00635819">
      <w:pPr>
        <w:pStyle w:val="NormalWeb"/>
        <w:spacing w:before="0" w:beforeAutospacing="0" w:after="0" w:afterAutospacing="0"/>
        <w:jc w:val="both"/>
        <w:rPr>
          <w:rStyle w:val="relative"/>
          <w:sz w:val="20"/>
          <w:szCs w:val="20"/>
        </w:rPr>
      </w:pPr>
    </w:p>
    <w:p w14:paraId="761FEB28" w14:textId="77777777" w:rsidR="00AA0EEF" w:rsidRPr="00635819" w:rsidRDefault="00AA0EEF" w:rsidP="00635819">
      <w:pPr>
        <w:pStyle w:val="NormalWeb"/>
        <w:spacing w:before="0" w:beforeAutospacing="0" w:after="0" w:afterAutospacing="0"/>
        <w:jc w:val="both"/>
        <w:rPr>
          <w:sz w:val="20"/>
          <w:szCs w:val="20"/>
        </w:rPr>
      </w:pPr>
      <w:r w:rsidRPr="00635819">
        <w:rPr>
          <w:rStyle w:val="muibox-root"/>
          <w:sz w:val="20"/>
          <w:szCs w:val="20"/>
        </w:rPr>
        <w:t xml:space="preserve">Magdy, &amp; Magdy. (2024, December 11). </w:t>
      </w:r>
      <w:r w:rsidRPr="00635819">
        <w:rPr>
          <w:rStyle w:val="muibox-root"/>
          <w:i/>
          <w:iCs/>
          <w:sz w:val="20"/>
          <w:szCs w:val="20"/>
        </w:rPr>
        <w:t>Artificial intelligence powered smart cities: Shaping the urban future</w:t>
      </w:r>
      <w:r w:rsidRPr="00635819">
        <w:rPr>
          <w:rStyle w:val="muibox-root"/>
          <w:sz w:val="20"/>
          <w:szCs w:val="20"/>
        </w:rPr>
        <w:t xml:space="preserve">. IEREK. </w:t>
      </w:r>
      <w:hyperlink r:id="rId56" w:history="1">
        <w:r w:rsidRPr="00635819">
          <w:rPr>
            <w:rStyle w:val="Hyperlink"/>
            <w:sz w:val="20"/>
            <w:szCs w:val="20"/>
          </w:rPr>
          <w:t>https://www.ierek.com/news/artificial-intelligence-powered-smart-cities-shaping-the-urban-future/</w:t>
        </w:r>
      </w:hyperlink>
      <w:r w:rsidRPr="00635819">
        <w:rPr>
          <w:rStyle w:val="url"/>
          <w:sz w:val="20"/>
          <w:szCs w:val="20"/>
        </w:rPr>
        <w:t xml:space="preserve"> </w:t>
      </w:r>
    </w:p>
    <w:p w14:paraId="418D4E00" w14:textId="77777777" w:rsidR="00AA0EEF" w:rsidRPr="00635819" w:rsidRDefault="00AA0EEF" w:rsidP="00635819">
      <w:pPr>
        <w:pStyle w:val="NormalWeb"/>
        <w:spacing w:before="0" w:beforeAutospacing="0" w:after="0" w:afterAutospacing="0"/>
        <w:jc w:val="both"/>
        <w:rPr>
          <w:sz w:val="20"/>
          <w:szCs w:val="20"/>
        </w:rPr>
      </w:pPr>
    </w:p>
    <w:p w14:paraId="64F62233"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roofErr w:type="spellStart"/>
      <w:r w:rsidRPr="00635819">
        <w:rPr>
          <w:rFonts w:ascii="Times New Roman" w:eastAsia="Times New Roman" w:hAnsi="Times New Roman" w:cs="Times New Roman"/>
          <w:sz w:val="20"/>
          <w:szCs w:val="20"/>
        </w:rPr>
        <w:t>MoEFCC</w:t>
      </w:r>
      <w:proofErr w:type="spellEnd"/>
      <w:r w:rsidRPr="00635819">
        <w:rPr>
          <w:rFonts w:ascii="Times New Roman" w:eastAsia="Times New Roman" w:hAnsi="Times New Roman" w:cs="Times New Roman"/>
          <w:sz w:val="20"/>
          <w:szCs w:val="20"/>
        </w:rPr>
        <w:t xml:space="preserve">. (2023). </w:t>
      </w:r>
      <w:r w:rsidRPr="00635819">
        <w:rPr>
          <w:rFonts w:ascii="Times New Roman" w:eastAsia="Times New Roman" w:hAnsi="Times New Roman" w:cs="Times New Roman"/>
          <w:i/>
          <w:iCs/>
          <w:sz w:val="20"/>
          <w:szCs w:val="20"/>
        </w:rPr>
        <w:t>National Adaptation Plan of Bangladesh (NAP 2023–2050)</w:t>
      </w:r>
      <w:r w:rsidRPr="00635819">
        <w:rPr>
          <w:rFonts w:ascii="Times New Roman" w:eastAsia="Times New Roman" w:hAnsi="Times New Roman" w:cs="Times New Roman"/>
          <w:sz w:val="20"/>
          <w:szCs w:val="20"/>
        </w:rPr>
        <w:t xml:space="preserve">. Ministry of Environment, Forest and Climate Change. </w:t>
      </w:r>
    </w:p>
    <w:p w14:paraId="518AF450" w14:textId="77777777" w:rsidR="00AA0EEF" w:rsidRPr="00635819" w:rsidRDefault="00C6102C" w:rsidP="00635819">
      <w:pPr>
        <w:spacing w:after="0" w:line="240" w:lineRule="auto"/>
        <w:jc w:val="both"/>
        <w:rPr>
          <w:rFonts w:ascii="Times New Roman" w:eastAsia="Times New Roman" w:hAnsi="Times New Roman" w:cs="Times New Roman"/>
          <w:sz w:val="20"/>
          <w:szCs w:val="20"/>
        </w:rPr>
      </w:pPr>
      <w:hyperlink r:id="rId57" w:history="1">
        <w:r w:rsidR="00AA0EEF" w:rsidRPr="00635819">
          <w:rPr>
            <w:rStyle w:val="Hyperlink"/>
            <w:rFonts w:ascii="Times New Roman" w:eastAsia="Times New Roman" w:hAnsi="Times New Roman" w:cs="Times New Roman"/>
            <w:sz w:val="20"/>
            <w:szCs w:val="20"/>
          </w:rPr>
          <w:t>https://moef.portal.gov.bd/sites/default/files/files/moef.portal.gov.bd/npfblock/903c6d55_3fa3_4d24_a4e1_0611eaa3cb69/National%20Adaptation%20Plan%20of%20Bangladesh%20%282023-2050%29%20%281%29.pdf</w:t>
        </w:r>
      </w:hyperlink>
      <w:r w:rsidR="00AA0EEF" w:rsidRPr="00635819">
        <w:rPr>
          <w:rFonts w:ascii="Times New Roman" w:eastAsia="Times New Roman" w:hAnsi="Times New Roman" w:cs="Times New Roman"/>
          <w:sz w:val="20"/>
          <w:szCs w:val="20"/>
        </w:rPr>
        <w:t xml:space="preserve"> </w:t>
      </w:r>
    </w:p>
    <w:p w14:paraId="5ACB8F95" w14:textId="77777777" w:rsidR="00AA0EEF" w:rsidRPr="00635819" w:rsidRDefault="00AA0EEF" w:rsidP="00635819">
      <w:pPr>
        <w:pStyle w:val="NormalWeb"/>
        <w:spacing w:before="0" w:beforeAutospacing="0" w:after="0" w:afterAutospacing="0"/>
        <w:jc w:val="both"/>
        <w:rPr>
          <w:sz w:val="20"/>
          <w:szCs w:val="20"/>
        </w:rPr>
      </w:pPr>
    </w:p>
    <w:p w14:paraId="4E501DE5"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Moni, S. A. (2025, June 21). Women waste pickers and circular economy. </w:t>
      </w:r>
      <w:r w:rsidRPr="00635819">
        <w:rPr>
          <w:rStyle w:val="Emphasis"/>
          <w:rFonts w:ascii="Times New Roman" w:hAnsi="Times New Roman" w:cs="Times New Roman"/>
          <w:sz w:val="20"/>
          <w:szCs w:val="20"/>
        </w:rPr>
        <w:t>New Age</w:t>
      </w:r>
      <w:r w:rsidRPr="00635819">
        <w:rPr>
          <w:rFonts w:ascii="Times New Roman" w:hAnsi="Times New Roman" w:cs="Times New Roman"/>
          <w:sz w:val="20"/>
          <w:szCs w:val="20"/>
        </w:rPr>
        <w:t xml:space="preserve">. </w:t>
      </w:r>
    </w:p>
    <w:p w14:paraId="7297C111" w14:textId="77777777" w:rsidR="00AA0EEF" w:rsidRPr="00635819" w:rsidRDefault="00C6102C" w:rsidP="00635819">
      <w:pPr>
        <w:spacing w:after="0" w:line="240" w:lineRule="auto"/>
        <w:jc w:val="both"/>
        <w:rPr>
          <w:rFonts w:ascii="Times New Roman" w:hAnsi="Times New Roman" w:cs="Times New Roman"/>
          <w:sz w:val="20"/>
          <w:szCs w:val="20"/>
        </w:rPr>
      </w:pPr>
      <w:hyperlink r:id="rId58" w:history="1">
        <w:r w:rsidR="00AA0EEF" w:rsidRPr="00635819">
          <w:rPr>
            <w:rStyle w:val="Hyperlink"/>
            <w:rFonts w:ascii="Times New Roman" w:hAnsi="Times New Roman" w:cs="Times New Roman"/>
            <w:sz w:val="20"/>
            <w:szCs w:val="20"/>
          </w:rPr>
          <w:t>https://www.newagebd.net/post/opinion/267800/women-waste-pickers-and-circular-economy?utm</w:t>
        </w:r>
      </w:hyperlink>
      <w:r w:rsidR="00AA0EEF" w:rsidRPr="00635819">
        <w:rPr>
          <w:rFonts w:ascii="Times New Roman" w:hAnsi="Times New Roman" w:cs="Times New Roman"/>
          <w:sz w:val="20"/>
          <w:szCs w:val="20"/>
        </w:rPr>
        <w:t xml:space="preserve"> </w:t>
      </w:r>
    </w:p>
    <w:p w14:paraId="42D69213" w14:textId="77777777" w:rsidR="00AA0EEF" w:rsidRPr="00635819" w:rsidRDefault="00AA0EEF" w:rsidP="00635819">
      <w:pPr>
        <w:spacing w:after="0" w:line="240" w:lineRule="auto"/>
        <w:jc w:val="both"/>
        <w:rPr>
          <w:rFonts w:ascii="Times New Roman" w:hAnsi="Times New Roman" w:cs="Times New Roman"/>
          <w:sz w:val="20"/>
          <w:szCs w:val="20"/>
        </w:rPr>
      </w:pPr>
    </w:p>
    <w:p w14:paraId="3CAEC822" w14:textId="77777777" w:rsidR="00AA0EEF" w:rsidRPr="003B4778" w:rsidRDefault="00AA0EEF" w:rsidP="00635819">
      <w:pPr>
        <w:spacing w:after="0" w:line="240" w:lineRule="auto"/>
        <w:jc w:val="both"/>
        <w:rPr>
          <w:rFonts w:ascii="Times New Roman" w:hAnsi="Times New Roman" w:cs="Times New Roman"/>
          <w:sz w:val="20"/>
          <w:szCs w:val="20"/>
        </w:rPr>
      </w:pPr>
      <w:proofErr w:type="spellStart"/>
      <w:r w:rsidRPr="003B4778">
        <w:rPr>
          <w:rFonts w:ascii="Times New Roman" w:hAnsi="Times New Roman" w:cs="Times New Roman"/>
          <w:sz w:val="20"/>
          <w:szCs w:val="20"/>
        </w:rPr>
        <w:t>Morkūnas</w:t>
      </w:r>
      <w:proofErr w:type="spellEnd"/>
      <w:r w:rsidRPr="003B4778">
        <w:rPr>
          <w:rFonts w:ascii="Times New Roman" w:hAnsi="Times New Roman" w:cs="Times New Roman"/>
          <w:sz w:val="20"/>
          <w:szCs w:val="20"/>
        </w:rPr>
        <w:t xml:space="preserve">, M., Wang, Y., &amp; Wei, J. (2024). Role of AI and IoT in Advancing Renewable Energy Use in Agriculture. </w:t>
      </w:r>
      <w:r w:rsidRPr="003B4778">
        <w:rPr>
          <w:rStyle w:val="Emphasis"/>
          <w:rFonts w:ascii="Times New Roman" w:hAnsi="Times New Roman" w:cs="Times New Roman"/>
          <w:sz w:val="20"/>
          <w:szCs w:val="20"/>
        </w:rPr>
        <w:t>Energies</w:t>
      </w:r>
      <w:r w:rsidRPr="003B4778">
        <w:rPr>
          <w:rFonts w:ascii="Times New Roman" w:hAnsi="Times New Roman" w:cs="Times New Roman"/>
          <w:sz w:val="20"/>
          <w:szCs w:val="20"/>
        </w:rPr>
        <w:t xml:space="preserve">, </w:t>
      </w:r>
      <w:r w:rsidRPr="003B4778">
        <w:rPr>
          <w:rStyle w:val="Emphasis"/>
          <w:rFonts w:ascii="Times New Roman" w:hAnsi="Times New Roman" w:cs="Times New Roman"/>
          <w:sz w:val="20"/>
          <w:szCs w:val="20"/>
        </w:rPr>
        <w:t>17</w:t>
      </w:r>
      <w:r w:rsidRPr="003B4778">
        <w:rPr>
          <w:rFonts w:ascii="Times New Roman" w:hAnsi="Times New Roman" w:cs="Times New Roman"/>
          <w:sz w:val="20"/>
          <w:szCs w:val="20"/>
        </w:rPr>
        <w:t xml:space="preserve">(23), 5984. </w:t>
      </w:r>
      <w:hyperlink r:id="rId59" w:history="1">
        <w:r w:rsidRPr="003B4778">
          <w:rPr>
            <w:rStyle w:val="Hyperlink"/>
            <w:rFonts w:ascii="Times New Roman" w:hAnsi="Times New Roman" w:cs="Times New Roman"/>
            <w:sz w:val="20"/>
            <w:szCs w:val="20"/>
          </w:rPr>
          <w:t>https://doi.org/10.3390/en17235984</w:t>
        </w:r>
      </w:hyperlink>
      <w:r w:rsidRPr="003B4778">
        <w:rPr>
          <w:rFonts w:ascii="Times New Roman" w:hAnsi="Times New Roman" w:cs="Times New Roman"/>
          <w:sz w:val="20"/>
          <w:szCs w:val="20"/>
        </w:rPr>
        <w:t xml:space="preserve"> </w:t>
      </w:r>
    </w:p>
    <w:p w14:paraId="1840830A" w14:textId="77777777" w:rsidR="00AA0EEF" w:rsidRPr="003B4778" w:rsidRDefault="00AA0EEF" w:rsidP="00635819">
      <w:pPr>
        <w:spacing w:after="0" w:line="240" w:lineRule="auto"/>
        <w:jc w:val="both"/>
        <w:rPr>
          <w:rFonts w:ascii="Times New Roman" w:hAnsi="Times New Roman" w:cs="Times New Roman"/>
          <w:sz w:val="20"/>
          <w:szCs w:val="20"/>
        </w:rPr>
      </w:pPr>
    </w:p>
    <w:p w14:paraId="7DEFE36E" w14:textId="55E9D921" w:rsidR="00AA0EEF" w:rsidRPr="003B4778" w:rsidRDefault="00AA0EEF" w:rsidP="00635819">
      <w:pPr>
        <w:spacing w:after="0" w:line="240" w:lineRule="auto"/>
        <w:jc w:val="both"/>
        <w:rPr>
          <w:rStyle w:val="url"/>
          <w:rFonts w:ascii="Times New Roman" w:hAnsi="Times New Roman" w:cs="Times New Roman"/>
          <w:sz w:val="20"/>
          <w:szCs w:val="20"/>
        </w:rPr>
      </w:pPr>
      <w:proofErr w:type="spellStart"/>
      <w:r w:rsidRPr="003B4778">
        <w:rPr>
          <w:rStyle w:val="muibox-root"/>
          <w:rFonts w:ascii="Times New Roman" w:hAnsi="Times New Roman" w:cs="Times New Roman"/>
          <w:sz w:val="20"/>
          <w:szCs w:val="20"/>
        </w:rPr>
        <w:t>Munonye</w:t>
      </w:r>
      <w:proofErr w:type="spellEnd"/>
      <w:r w:rsidRPr="003B4778">
        <w:rPr>
          <w:rStyle w:val="muibox-root"/>
          <w:rFonts w:ascii="Times New Roman" w:hAnsi="Times New Roman" w:cs="Times New Roman"/>
          <w:sz w:val="20"/>
          <w:szCs w:val="20"/>
        </w:rPr>
        <w:t xml:space="preserve">, W. C., &amp; </w:t>
      </w:r>
      <w:proofErr w:type="spellStart"/>
      <w:r w:rsidRPr="003B4778">
        <w:rPr>
          <w:rStyle w:val="muibox-root"/>
          <w:rFonts w:ascii="Times New Roman" w:hAnsi="Times New Roman" w:cs="Times New Roman"/>
          <w:sz w:val="20"/>
          <w:szCs w:val="20"/>
        </w:rPr>
        <w:t>Ajonye</w:t>
      </w:r>
      <w:proofErr w:type="spellEnd"/>
      <w:r w:rsidRPr="003B4778">
        <w:rPr>
          <w:rStyle w:val="muibox-root"/>
          <w:rFonts w:ascii="Times New Roman" w:hAnsi="Times New Roman" w:cs="Times New Roman"/>
          <w:sz w:val="20"/>
          <w:szCs w:val="20"/>
        </w:rPr>
        <w:t xml:space="preserve">, G. O. (2025). Energy-driven circular design in the built environment: rethinking architecture and infrastructure. </w:t>
      </w:r>
      <w:r w:rsidRPr="003B4778">
        <w:rPr>
          <w:rStyle w:val="muibox-root"/>
          <w:rFonts w:ascii="Times New Roman" w:hAnsi="Times New Roman" w:cs="Times New Roman"/>
          <w:i/>
          <w:iCs/>
          <w:sz w:val="20"/>
          <w:szCs w:val="20"/>
        </w:rPr>
        <w:t>Frontiers in Sustainable Cities</w:t>
      </w:r>
      <w:r w:rsidRPr="003B4778">
        <w:rPr>
          <w:rStyle w:val="muibox-root"/>
          <w:rFonts w:ascii="Times New Roman" w:hAnsi="Times New Roman" w:cs="Times New Roman"/>
          <w:sz w:val="20"/>
          <w:szCs w:val="20"/>
        </w:rPr>
        <w:t xml:space="preserve">, </w:t>
      </w:r>
      <w:r w:rsidRPr="003B4778">
        <w:rPr>
          <w:rStyle w:val="muibox-root"/>
          <w:rFonts w:ascii="Times New Roman" w:hAnsi="Times New Roman" w:cs="Times New Roman"/>
          <w:i/>
          <w:iCs/>
          <w:sz w:val="20"/>
          <w:szCs w:val="20"/>
        </w:rPr>
        <w:t>7</w:t>
      </w:r>
      <w:r w:rsidRPr="003B4778">
        <w:rPr>
          <w:rStyle w:val="muibox-root"/>
          <w:rFonts w:ascii="Times New Roman" w:hAnsi="Times New Roman" w:cs="Times New Roman"/>
          <w:sz w:val="20"/>
          <w:szCs w:val="20"/>
        </w:rPr>
        <w:t xml:space="preserve">. </w:t>
      </w:r>
      <w:hyperlink r:id="rId60" w:history="1">
        <w:r w:rsidRPr="003B4778">
          <w:rPr>
            <w:rStyle w:val="Hyperlink"/>
            <w:rFonts w:ascii="Times New Roman" w:hAnsi="Times New Roman" w:cs="Times New Roman"/>
            <w:sz w:val="20"/>
            <w:szCs w:val="20"/>
          </w:rPr>
          <w:t>https://doi.org/10.3389/frsc.2025.1569362</w:t>
        </w:r>
      </w:hyperlink>
      <w:r w:rsidRPr="003B4778">
        <w:rPr>
          <w:rStyle w:val="url"/>
          <w:rFonts w:ascii="Times New Roman" w:hAnsi="Times New Roman" w:cs="Times New Roman"/>
          <w:sz w:val="20"/>
          <w:szCs w:val="20"/>
        </w:rPr>
        <w:t xml:space="preserve"> </w:t>
      </w:r>
    </w:p>
    <w:p w14:paraId="073B9B70" w14:textId="440439F6" w:rsidR="005266EB" w:rsidRPr="003B4778" w:rsidRDefault="005266EB" w:rsidP="00635819">
      <w:pPr>
        <w:spacing w:after="0" w:line="240" w:lineRule="auto"/>
        <w:jc w:val="both"/>
        <w:rPr>
          <w:rStyle w:val="url"/>
          <w:rFonts w:ascii="Times New Roman" w:hAnsi="Times New Roman" w:cs="Times New Roman"/>
          <w:sz w:val="20"/>
          <w:szCs w:val="20"/>
        </w:rPr>
      </w:pPr>
    </w:p>
    <w:p w14:paraId="71307558" w14:textId="257FB7AB" w:rsidR="005266EB" w:rsidRPr="003B4778" w:rsidRDefault="005266EB" w:rsidP="00635819">
      <w:pPr>
        <w:spacing w:after="0" w:line="240" w:lineRule="auto"/>
        <w:jc w:val="both"/>
        <w:rPr>
          <w:rStyle w:val="url"/>
          <w:rFonts w:ascii="Times New Roman" w:hAnsi="Times New Roman" w:cs="Times New Roman"/>
          <w:sz w:val="20"/>
          <w:szCs w:val="20"/>
        </w:rPr>
      </w:pPr>
      <w:r w:rsidRPr="003B4778">
        <w:rPr>
          <w:rStyle w:val="muibox-root"/>
          <w:rFonts w:ascii="Times New Roman" w:hAnsi="Times New Roman" w:cs="Times New Roman"/>
          <w:sz w:val="20"/>
          <w:szCs w:val="20"/>
        </w:rPr>
        <w:t xml:space="preserve">NASA. (2023, July 26). Douglas, S. NASA seeks ideas for handling waste on future human missions to Mars. </w:t>
      </w:r>
      <w:hyperlink r:id="rId61" w:history="1">
        <w:r w:rsidRPr="003B4778">
          <w:rPr>
            <w:rStyle w:val="Hyperlink"/>
            <w:rFonts w:ascii="Times New Roman" w:hAnsi="Times New Roman" w:cs="Times New Roman"/>
            <w:sz w:val="20"/>
            <w:szCs w:val="20"/>
          </w:rPr>
          <w:t>https://www.nasa.gov/directorates/stmd/prizes-challenges-crowdsourcing-program/center-of-excellence-for-collaborative-innovation-coeci/coeci-news/nasa-seeks-ideas-for-handling-waste-on-future-human-missions-to-mars/</w:t>
        </w:r>
      </w:hyperlink>
      <w:r w:rsidRPr="003B4778">
        <w:rPr>
          <w:rStyle w:val="url"/>
          <w:rFonts w:ascii="Times New Roman" w:hAnsi="Times New Roman" w:cs="Times New Roman"/>
          <w:sz w:val="20"/>
          <w:szCs w:val="20"/>
        </w:rPr>
        <w:t xml:space="preserve"> </w:t>
      </w:r>
    </w:p>
    <w:p w14:paraId="2FB5DFFB" w14:textId="6F5E773F" w:rsidR="005266EB" w:rsidRPr="003B4778" w:rsidRDefault="005266EB" w:rsidP="00635819">
      <w:pPr>
        <w:spacing w:after="0" w:line="240" w:lineRule="auto"/>
        <w:jc w:val="both"/>
        <w:rPr>
          <w:rStyle w:val="url"/>
          <w:rFonts w:ascii="Times New Roman" w:hAnsi="Times New Roman" w:cs="Times New Roman"/>
          <w:sz w:val="20"/>
          <w:szCs w:val="20"/>
        </w:rPr>
      </w:pPr>
    </w:p>
    <w:p w14:paraId="3026B4A1" w14:textId="77777777" w:rsidR="003B4778" w:rsidRDefault="005266EB" w:rsidP="00635819">
      <w:pPr>
        <w:spacing w:after="0" w:line="240" w:lineRule="auto"/>
        <w:jc w:val="both"/>
        <w:rPr>
          <w:rStyle w:val="muibox-root"/>
          <w:rFonts w:ascii="Times New Roman" w:hAnsi="Times New Roman" w:cs="Times New Roman"/>
          <w:sz w:val="20"/>
          <w:szCs w:val="20"/>
        </w:rPr>
      </w:pPr>
      <w:r w:rsidRPr="003B4778">
        <w:rPr>
          <w:rStyle w:val="url"/>
          <w:rFonts w:ascii="Times New Roman" w:hAnsi="Times New Roman" w:cs="Times New Roman"/>
          <w:sz w:val="20"/>
          <w:szCs w:val="20"/>
        </w:rPr>
        <w:t xml:space="preserve">NASA. </w:t>
      </w:r>
      <w:r w:rsidRPr="003B4778">
        <w:rPr>
          <w:rStyle w:val="muibox-root"/>
          <w:rFonts w:ascii="Times New Roman" w:hAnsi="Times New Roman" w:cs="Times New Roman"/>
          <w:sz w:val="20"/>
          <w:szCs w:val="20"/>
        </w:rPr>
        <w:t xml:space="preserve">Logistics reduction advancements and future plans for NASA’s exploration missions. (2024). In </w:t>
      </w:r>
      <w:r w:rsidRPr="003B4778">
        <w:rPr>
          <w:rStyle w:val="muibox-root"/>
          <w:rFonts w:ascii="Times New Roman" w:hAnsi="Times New Roman" w:cs="Times New Roman"/>
          <w:i/>
          <w:iCs/>
          <w:sz w:val="20"/>
          <w:szCs w:val="20"/>
        </w:rPr>
        <w:t>53rd International Conference on Environmental Systems</w:t>
      </w:r>
      <w:r w:rsidRPr="003B4778">
        <w:rPr>
          <w:rStyle w:val="muibox-root"/>
          <w:rFonts w:ascii="Times New Roman" w:hAnsi="Times New Roman" w:cs="Times New Roman"/>
          <w:sz w:val="20"/>
          <w:szCs w:val="20"/>
        </w:rPr>
        <w:t xml:space="preserve">. </w:t>
      </w:r>
    </w:p>
    <w:p w14:paraId="1611AEA4" w14:textId="071E7D7A" w:rsidR="005266EB" w:rsidRPr="003B4778" w:rsidRDefault="00C6102C" w:rsidP="00635819">
      <w:pPr>
        <w:spacing w:after="0" w:line="240" w:lineRule="auto"/>
        <w:jc w:val="both"/>
        <w:rPr>
          <w:rStyle w:val="url"/>
          <w:rFonts w:ascii="Times New Roman" w:hAnsi="Times New Roman" w:cs="Times New Roman"/>
          <w:sz w:val="20"/>
          <w:szCs w:val="20"/>
        </w:rPr>
      </w:pPr>
      <w:hyperlink r:id="rId62" w:history="1">
        <w:r w:rsidR="003B4778" w:rsidRPr="00AC7F69">
          <w:rPr>
            <w:rStyle w:val="Hyperlink"/>
            <w:rFonts w:ascii="Times New Roman" w:hAnsi="Times New Roman" w:cs="Times New Roman"/>
            <w:sz w:val="20"/>
            <w:szCs w:val="20"/>
          </w:rPr>
          <w:t>https://ntrs.nasa.gov/api/citations/20240004481/downloads/ICES2024-LR_Overview%20final.pdf</w:t>
        </w:r>
      </w:hyperlink>
      <w:r w:rsidR="005266EB" w:rsidRPr="003B4778">
        <w:rPr>
          <w:rStyle w:val="url"/>
          <w:rFonts w:ascii="Times New Roman" w:hAnsi="Times New Roman" w:cs="Times New Roman"/>
          <w:sz w:val="20"/>
          <w:szCs w:val="20"/>
        </w:rPr>
        <w:t xml:space="preserve"> </w:t>
      </w:r>
    </w:p>
    <w:p w14:paraId="15A80B4A" w14:textId="01667353" w:rsidR="005266EB" w:rsidRPr="003B4778" w:rsidRDefault="005266EB" w:rsidP="00635819">
      <w:pPr>
        <w:spacing w:after="0" w:line="240" w:lineRule="auto"/>
        <w:jc w:val="both"/>
        <w:rPr>
          <w:rFonts w:ascii="Times New Roman" w:hAnsi="Times New Roman" w:cs="Times New Roman"/>
          <w:sz w:val="20"/>
          <w:szCs w:val="20"/>
        </w:rPr>
      </w:pPr>
    </w:p>
    <w:p w14:paraId="1850231B" w14:textId="77777777" w:rsidR="003B4778" w:rsidRDefault="00574E52" w:rsidP="00635819">
      <w:pPr>
        <w:spacing w:after="0" w:line="240" w:lineRule="auto"/>
        <w:jc w:val="both"/>
        <w:rPr>
          <w:rStyle w:val="muibox-root"/>
          <w:rFonts w:ascii="Times New Roman" w:hAnsi="Times New Roman" w:cs="Times New Roman"/>
          <w:sz w:val="20"/>
          <w:szCs w:val="20"/>
        </w:rPr>
      </w:pPr>
      <w:r w:rsidRPr="003B4778">
        <w:rPr>
          <w:rStyle w:val="muibox-root"/>
          <w:rFonts w:ascii="Times New Roman" w:hAnsi="Times New Roman" w:cs="Times New Roman"/>
          <w:sz w:val="20"/>
          <w:szCs w:val="20"/>
        </w:rPr>
        <w:t xml:space="preserve">NASA. (2024, October 21). </w:t>
      </w:r>
      <w:r w:rsidRPr="003B4778">
        <w:rPr>
          <w:rStyle w:val="muibox-root"/>
          <w:rFonts w:ascii="Times New Roman" w:hAnsi="Times New Roman" w:cs="Times New Roman"/>
          <w:i/>
          <w:iCs/>
          <w:sz w:val="20"/>
          <w:szCs w:val="20"/>
        </w:rPr>
        <w:t>NASA seeks innovators for lunar waste competition - NASA</w:t>
      </w:r>
      <w:r w:rsidRPr="003B4778">
        <w:rPr>
          <w:rStyle w:val="muibox-root"/>
          <w:rFonts w:ascii="Times New Roman" w:hAnsi="Times New Roman" w:cs="Times New Roman"/>
          <w:sz w:val="20"/>
          <w:szCs w:val="20"/>
        </w:rPr>
        <w:t xml:space="preserve">. </w:t>
      </w:r>
    </w:p>
    <w:p w14:paraId="5262E442" w14:textId="7ACA3D92" w:rsidR="00574E52" w:rsidRPr="003B4778" w:rsidRDefault="00C6102C" w:rsidP="00635819">
      <w:pPr>
        <w:spacing w:after="0" w:line="240" w:lineRule="auto"/>
        <w:jc w:val="both"/>
        <w:rPr>
          <w:rStyle w:val="url"/>
          <w:rFonts w:ascii="Times New Roman" w:hAnsi="Times New Roman" w:cs="Times New Roman"/>
          <w:sz w:val="20"/>
          <w:szCs w:val="20"/>
        </w:rPr>
      </w:pPr>
      <w:hyperlink r:id="rId63" w:history="1">
        <w:r w:rsidR="003B4778" w:rsidRPr="00AC7F69">
          <w:rPr>
            <w:rStyle w:val="Hyperlink"/>
            <w:rFonts w:ascii="Times New Roman" w:hAnsi="Times New Roman" w:cs="Times New Roman"/>
            <w:sz w:val="20"/>
            <w:szCs w:val="20"/>
          </w:rPr>
          <w:t>https://www.nasa.gov/news-release/nasa-seeks-innovators-for-lunar-waste-competition/</w:t>
        </w:r>
      </w:hyperlink>
      <w:r w:rsidR="00574E52" w:rsidRPr="003B4778">
        <w:rPr>
          <w:rStyle w:val="url"/>
          <w:rFonts w:ascii="Times New Roman" w:hAnsi="Times New Roman" w:cs="Times New Roman"/>
          <w:sz w:val="20"/>
          <w:szCs w:val="20"/>
        </w:rPr>
        <w:t xml:space="preserve"> </w:t>
      </w:r>
    </w:p>
    <w:p w14:paraId="72D03D64" w14:textId="39D024C8" w:rsidR="00C41AD2" w:rsidRPr="003B4778" w:rsidRDefault="00C41AD2" w:rsidP="00635819">
      <w:pPr>
        <w:spacing w:after="0" w:line="240" w:lineRule="auto"/>
        <w:jc w:val="both"/>
        <w:rPr>
          <w:rStyle w:val="url"/>
          <w:rFonts w:ascii="Times New Roman" w:hAnsi="Times New Roman" w:cs="Times New Roman"/>
          <w:sz w:val="20"/>
          <w:szCs w:val="20"/>
        </w:rPr>
      </w:pPr>
    </w:p>
    <w:p w14:paraId="194A192C" w14:textId="77777777" w:rsidR="003B4778" w:rsidRDefault="00C41AD2" w:rsidP="00635819">
      <w:pPr>
        <w:spacing w:after="0" w:line="240" w:lineRule="auto"/>
        <w:jc w:val="both"/>
        <w:rPr>
          <w:rFonts w:ascii="Times New Roman" w:hAnsi="Times New Roman" w:cs="Times New Roman"/>
          <w:sz w:val="20"/>
          <w:szCs w:val="20"/>
        </w:rPr>
      </w:pPr>
      <w:r w:rsidRPr="003B4778">
        <w:rPr>
          <w:rStyle w:val="url"/>
          <w:rFonts w:ascii="Times New Roman" w:hAnsi="Times New Roman" w:cs="Times New Roman"/>
          <w:sz w:val="20"/>
          <w:szCs w:val="20"/>
        </w:rPr>
        <w:t xml:space="preserve">NASA. </w:t>
      </w:r>
      <w:r w:rsidRPr="003B4778">
        <w:rPr>
          <w:rFonts w:ascii="Times New Roman" w:hAnsi="Times New Roman" w:cs="Times New Roman"/>
          <w:sz w:val="20"/>
          <w:szCs w:val="20"/>
        </w:rPr>
        <w:t xml:space="preserve">National Aeronautics and Space Administration. (2023). </w:t>
      </w:r>
      <w:r w:rsidRPr="003B4778">
        <w:rPr>
          <w:rFonts w:ascii="Times New Roman" w:hAnsi="Times New Roman" w:cs="Times New Roman"/>
          <w:i/>
          <w:iCs/>
          <w:sz w:val="20"/>
          <w:szCs w:val="20"/>
        </w:rPr>
        <w:t>Advancing NASA's climate strategy</w:t>
      </w:r>
      <w:r w:rsidRPr="003B4778">
        <w:rPr>
          <w:rFonts w:ascii="Times New Roman" w:hAnsi="Times New Roman" w:cs="Times New Roman"/>
          <w:sz w:val="20"/>
          <w:szCs w:val="20"/>
        </w:rPr>
        <w:t xml:space="preserve">. </w:t>
      </w:r>
    </w:p>
    <w:p w14:paraId="011FE573" w14:textId="2063DCCF" w:rsidR="00C41AD2" w:rsidRPr="003B4778" w:rsidRDefault="00C6102C" w:rsidP="00635819">
      <w:pPr>
        <w:spacing w:after="0" w:line="240" w:lineRule="auto"/>
        <w:jc w:val="both"/>
        <w:rPr>
          <w:rFonts w:ascii="Times New Roman" w:hAnsi="Times New Roman" w:cs="Times New Roman"/>
          <w:sz w:val="20"/>
          <w:szCs w:val="20"/>
        </w:rPr>
      </w:pPr>
      <w:hyperlink r:id="rId64" w:history="1">
        <w:r w:rsidR="003B4778" w:rsidRPr="00AC7F69">
          <w:rPr>
            <w:rStyle w:val="Hyperlink"/>
            <w:rFonts w:ascii="Times New Roman" w:hAnsi="Times New Roman" w:cs="Times New Roman"/>
            <w:sz w:val="20"/>
            <w:szCs w:val="20"/>
          </w:rPr>
          <w:t>https://www.nasa.gov/wp-content/uploads/2023/04/advancing-nasas-climate-strategy-2023.pdf</w:t>
        </w:r>
      </w:hyperlink>
      <w:r w:rsidR="00C41AD2" w:rsidRPr="003B4778">
        <w:rPr>
          <w:rFonts w:ascii="Times New Roman" w:hAnsi="Times New Roman" w:cs="Times New Roman"/>
          <w:sz w:val="20"/>
          <w:szCs w:val="20"/>
        </w:rPr>
        <w:t xml:space="preserve"> </w:t>
      </w:r>
    </w:p>
    <w:p w14:paraId="419B87FB" w14:textId="7F4979D8" w:rsidR="00C41AD2" w:rsidRPr="003B4778" w:rsidRDefault="00C41AD2" w:rsidP="00635819">
      <w:pPr>
        <w:spacing w:after="0" w:line="240" w:lineRule="auto"/>
        <w:jc w:val="both"/>
        <w:rPr>
          <w:rFonts w:ascii="Times New Roman" w:hAnsi="Times New Roman" w:cs="Times New Roman"/>
          <w:sz w:val="20"/>
          <w:szCs w:val="20"/>
        </w:rPr>
      </w:pPr>
    </w:p>
    <w:p w14:paraId="099122B0" w14:textId="77777777" w:rsidR="003B4778" w:rsidRDefault="003B4778" w:rsidP="00635819">
      <w:pPr>
        <w:spacing w:after="0" w:line="240" w:lineRule="auto"/>
        <w:jc w:val="both"/>
        <w:rPr>
          <w:rStyle w:val="muibox-root"/>
          <w:rFonts w:ascii="Times New Roman" w:hAnsi="Times New Roman" w:cs="Times New Roman"/>
          <w:sz w:val="20"/>
          <w:szCs w:val="20"/>
        </w:rPr>
      </w:pPr>
      <w:r w:rsidRPr="003B4778">
        <w:rPr>
          <w:rFonts w:ascii="Times New Roman" w:hAnsi="Times New Roman" w:cs="Times New Roman"/>
          <w:sz w:val="20"/>
          <w:szCs w:val="20"/>
        </w:rPr>
        <w:t xml:space="preserve">NASA. </w:t>
      </w:r>
      <w:r w:rsidRPr="003B4778">
        <w:rPr>
          <w:rStyle w:val="muibox-root"/>
          <w:rFonts w:ascii="Times New Roman" w:hAnsi="Times New Roman" w:cs="Times New Roman"/>
          <w:sz w:val="20"/>
          <w:szCs w:val="20"/>
        </w:rPr>
        <w:t xml:space="preserve">Skibba, R. (2021, October 13). NASA is preparing for the ravages of climate change. </w:t>
      </w:r>
      <w:r w:rsidRPr="003B4778">
        <w:rPr>
          <w:rStyle w:val="muibox-root"/>
          <w:rFonts w:ascii="Times New Roman" w:hAnsi="Times New Roman" w:cs="Times New Roman"/>
          <w:i/>
          <w:iCs/>
          <w:sz w:val="20"/>
          <w:szCs w:val="20"/>
        </w:rPr>
        <w:t>WIRED</w:t>
      </w:r>
      <w:r w:rsidRPr="003B4778">
        <w:rPr>
          <w:rStyle w:val="muibox-root"/>
          <w:rFonts w:ascii="Times New Roman" w:hAnsi="Times New Roman" w:cs="Times New Roman"/>
          <w:sz w:val="20"/>
          <w:szCs w:val="20"/>
        </w:rPr>
        <w:t xml:space="preserve">. </w:t>
      </w:r>
    </w:p>
    <w:p w14:paraId="40D448F5" w14:textId="05EBDA45" w:rsidR="003B4778" w:rsidRPr="003B4778" w:rsidRDefault="00C6102C" w:rsidP="00635819">
      <w:pPr>
        <w:spacing w:after="0" w:line="240" w:lineRule="auto"/>
        <w:jc w:val="both"/>
        <w:rPr>
          <w:rFonts w:ascii="Times New Roman" w:hAnsi="Times New Roman" w:cs="Times New Roman"/>
          <w:sz w:val="20"/>
          <w:szCs w:val="20"/>
        </w:rPr>
      </w:pPr>
      <w:hyperlink r:id="rId65" w:history="1">
        <w:r w:rsidR="003B4778" w:rsidRPr="00AC7F69">
          <w:rPr>
            <w:rStyle w:val="Hyperlink"/>
            <w:rFonts w:ascii="Times New Roman" w:hAnsi="Times New Roman" w:cs="Times New Roman"/>
            <w:sz w:val="20"/>
            <w:szCs w:val="20"/>
          </w:rPr>
          <w:t>https://www.wired.com/story/nasa-is-preparing-for-the-ravages-of-climate-change/</w:t>
        </w:r>
      </w:hyperlink>
      <w:r w:rsidR="003B4778" w:rsidRPr="003B4778">
        <w:rPr>
          <w:rStyle w:val="url"/>
          <w:rFonts w:ascii="Times New Roman" w:hAnsi="Times New Roman" w:cs="Times New Roman"/>
          <w:sz w:val="20"/>
          <w:szCs w:val="20"/>
        </w:rPr>
        <w:t xml:space="preserve"> </w:t>
      </w:r>
    </w:p>
    <w:p w14:paraId="76F4FA21" w14:textId="77777777" w:rsidR="00AA0EEF" w:rsidRPr="003B4778" w:rsidRDefault="00AA0EEF" w:rsidP="00635819">
      <w:pPr>
        <w:pStyle w:val="NormalWeb"/>
        <w:spacing w:before="0" w:beforeAutospacing="0" w:after="0" w:afterAutospacing="0"/>
        <w:jc w:val="both"/>
        <w:rPr>
          <w:sz w:val="20"/>
          <w:szCs w:val="20"/>
        </w:rPr>
      </w:pPr>
    </w:p>
    <w:p w14:paraId="2F2CB7E7" w14:textId="77777777" w:rsidR="00AA0EEF" w:rsidRPr="003B4778" w:rsidRDefault="00AA0EEF" w:rsidP="00635819">
      <w:pPr>
        <w:pStyle w:val="NormalWeb"/>
        <w:spacing w:before="0" w:beforeAutospacing="0" w:after="0" w:afterAutospacing="0"/>
        <w:jc w:val="both"/>
        <w:rPr>
          <w:sz w:val="20"/>
          <w:szCs w:val="20"/>
        </w:rPr>
      </w:pPr>
      <w:r w:rsidRPr="003B4778">
        <w:rPr>
          <w:sz w:val="20"/>
          <w:szCs w:val="20"/>
        </w:rPr>
        <w:t xml:space="preserve">OECD. (2023). OECD Economic Outlook, Volume 2023 Issue 2. </w:t>
      </w:r>
      <w:hyperlink r:id="rId66" w:history="1">
        <w:r w:rsidRPr="003B4778">
          <w:rPr>
            <w:rStyle w:val="Hyperlink"/>
            <w:sz w:val="20"/>
            <w:szCs w:val="20"/>
          </w:rPr>
          <w:t>https://www.oecd.org/en/publications/oecd-economic-outlook/volume-2023/issue-2_7a5f73ce-en.html</w:t>
        </w:r>
      </w:hyperlink>
      <w:r w:rsidRPr="003B4778">
        <w:rPr>
          <w:sz w:val="20"/>
          <w:szCs w:val="20"/>
        </w:rPr>
        <w:t xml:space="preserve"> </w:t>
      </w:r>
    </w:p>
    <w:p w14:paraId="6197F2C1" w14:textId="77777777" w:rsidR="00AA0EEF" w:rsidRPr="003B4778" w:rsidRDefault="00AA0EEF" w:rsidP="00635819">
      <w:pPr>
        <w:pStyle w:val="NormalWeb"/>
        <w:spacing w:before="0" w:beforeAutospacing="0" w:after="0" w:afterAutospacing="0"/>
        <w:jc w:val="both"/>
        <w:rPr>
          <w:sz w:val="20"/>
          <w:szCs w:val="20"/>
        </w:rPr>
      </w:pPr>
    </w:p>
    <w:p w14:paraId="3B4A6E02" w14:textId="77777777" w:rsidR="00DB317C" w:rsidRPr="003B4778" w:rsidRDefault="00AA0EEF" w:rsidP="00635819">
      <w:pPr>
        <w:pStyle w:val="NormalWeb"/>
        <w:spacing w:before="0" w:beforeAutospacing="0" w:after="0" w:afterAutospacing="0"/>
        <w:jc w:val="both"/>
        <w:rPr>
          <w:sz w:val="20"/>
          <w:szCs w:val="20"/>
        </w:rPr>
      </w:pPr>
      <w:r w:rsidRPr="003B4778">
        <w:rPr>
          <w:sz w:val="20"/>
          <w:szCs w:val="20"/>
        </w:rPr>
        <w:t xml:space="preserve">OECD. (2022). OECD Economic Outlook, Interim Report September 2022. </w:t>
      </w:r>
    </w:p>
    <w:p w14:paraId="1D48CE27" w14:textId="318AF715" w:rsidR="00AA0EEF" w:rsidRPr="003B4778" w:rsidRDefault="00C6102C" w:rsidP="00635819">
      <w:pPr>
        <w:pStyle w:val="NormalWeb"/>
        <w:spacing w:before="0" w:beforeAutospacing="0" w:after="0" w:afterAutospacing="0"/>
        <w:jc w:val="both"/>
        <w:rPr>
          <w:sz w:val="20"/>
          <w:szCs w:val="20"/>
        </w:rPr>
      </w:pPr>
      <w:hyperlink r:id="rId67" w:history="1">
        <w:r w:rsidR="00DB317C" w:rsidRPr="003B4778">
          <w:rPr>
            <w:rStyle w:val="Hyperlink"/>
            <w:sz w:val="20"/>
            <w:szCs w:val="20"/>
          </w:rPr>
          <w:t>https://www.oecd.org/en/publications/oecd-economic-outlook/volume-2022/issue-1_ae8c39ec-en.html</w:t>
        </w:r>
      </w:hyperlink>
      <w:r w:rsidR="00AA0EEF" w:rsidRPr="003B4778">
        <w:rPr>
          <w:sz w:val="20"/>
          <w:szCs w:val="20"/>
        </w:rPr>
        <w:t xml:space="preserve"> </w:t>
      </w:r>
    </w:p>
    <w:p w14:paraId="0D196133" w14:textId="77777777" w:rsidR="00AA0EEF" w:rsidRPr="003B4778" w:rsidRDefault="00AA0EEF" w:rsidP="00635819">
      <w:pPr>
        <w:pStyle w:val="NormalWeb"/>
        <w:spacing w:before="0" w:beforeAutospacing="0" w:after="0" w:afterAutospacing="0"/>
        <w:jc w:val="both"/>
        <w:rPr>
          <w:sz w:val="20"/>
          <w:szCs w:val="20"/>
        </w:rPr>
      </w:pPr>
    </w:p>
    <w:p w14:paraId="21B28964" w14:textId="77777777" w:rsidR="00AA0EEF" w:rsidRPr="003B4778" w:rsidRDefault="00AA0EEF" w:rsidP="00635819">
      <w:pPr>
        <w:pStyle w:val="NormalWeb"/>
        <w:spacing w:before="0" w:beforeAutospacing="0" w:after="0" w:afterAutospacing="0"/>
        <w:jc w:val="both"/>
        <w:rPr>
          <w:rStyle w:val="url"/>
          <w:sz w:val="20"/>
          <w:szCs w:val="20"/>
        </w:rPr>
      </w:pPr>
      <w:proofErr w:type="spellStart"/>
      <w:r w:rsidRPr="003B4778">
        <w:rPr>
          <w:rStyle w:val="muibox-root"/>
          <w:sz w:val="20"/>
          <w:szCs w:val="20"/>
        </w:rPr>
        <w:t>Olawade</w:t>
      </w:r>
      <w:proofErr w:type="spellEnd"/>
      <w:r w:rsidRPr="003B4778">
        <w:rPr>
          <w:rStyle w:val="muibox-root"/>
          <w:sz w:val="20"/>
          <w:szCs w:val="20"/>
        </w:rPr>
        <w:t xml:space="preserve">, D. B., </w:t>
      </w:r>
      <w:proofErr w:type="spellStart"/>
      <w:r w:rsidRPr="003B4778">
        <w:rPr>
          <w:rStyle w:val="muibox-root"/>
          <w:sz w:val="20"/>
          <w:szCs w:val="20"/>
        </w:rPr>
        <w:t>Fapohunda</w:t>
      </w:r>
      <w:proofErr w:type="spellEnd"/>
      <w:r w:rsidRPr="003B4778">
        <w:rPr>
          <w:rStyle w:val="muibox-root"/>
          <w:sz w:val="20"/>
          <w:szCs w:val="20"/>
        </w:rPr>
        <w:t xml:space="preserve">, O., Wada, O. Z., Usman, S. O., Ige, A. O., </w:t>
      </w:r>
      <w:proofErr w:type="spellStart"/>
      <w:r w:rsidRPr="003B4778">
        <w:rPr>
          <w:rStyle w:val="muibox-root"/>
          <w:sz w:val="20"/>
          <w:szCs w:val="20"/>
        </w:rPr>
        <w:t>Ajisafe</w:t>
      </w:r>
      <w:proofErr w:type="spellEnd"/>
      <w:r w:rsidRPr="003B4778">
        <w:rPr>
          <w:rStyle w:val="muibox-root"/>
          <w:sz w:val="20"/>
          <w:szCs w:val="20"/>
        </w:rPr>
        <w:t xml:space="preserve">, O., &amp; Oladapo, B. I. (2024). Smart waste management: A paradigm shift enabled by artificial intelligence. </w:t>
      </w:r>
      <w:r w:rsidRPr="003B4778">
        <w:rPr>
          <w:rStyle w:val="muibox-root"/>
          <w:i/>
          <w:iCs/>
          <w:sz w:val="20"/>
          <w:szCs w:val="20"/>
        </w:rPr>
        <w:t>Waste Management Bulletin</w:t>
      </w:r>
      <w:r w:rsidRPr="003B4778">
        <w:rPr>
          <w:rStyle w:val="muibox-root"/>
          <w:sz w:val="20"/>
          <w:szCs w:val="20"/>
        </w:rPr>
        <w:t xml:space="preserve">, </w:t>
      </w:r>
      <w:r w:rsidRPr="003B4778">
        <w:rPr>
          <w:rStyle w:val="muibox-root"/>
          <w:i/>
          <w:iCs/>
          <w:sz w:val="20"/>
          <w:szCs w:val="20"/>
        </w:rPr>
        <w:t>2</w:t>
      </w:r>
      <w:r w:rsidRPr="003B4778">
        <w:rPr>
          <w:rStyle w:val="muibox-root"/>
          <w:sz w:val="20"/>
          <w:szCs w:val="20"/>
        </w:rPr>
        <w:t xml:space="preserve">(2), 244–263. </w:t>
      </w:r>
      <w:hyperlink r:id="rId68" w:history="1">
        <w:r w:rsidRPr="003B4778">
          <w:rPr>
            <w:rStyle w:val="Hyperlink"/>
            <w:sz w:val="20"/>
            <w:szCs w:val="20"/>
          </w:rPr>
          <w:t>https://doi.org/10.1016/j.wmb.2024.05.001</w:t>
        </w:r>
      </w:hyperlink>
      <w:r w:rsidRPr="003B4778">
        <w:rPr>
          <w:rStyle w:val="url"/>
          <w:sz w:val="20"/>
          <w:szCs w:val="20"/>
        </w:rPr>
        <w:t xml:space="preserve"> </w:t>
      </w:r>
    </w:p>
    <w:p w14:paraId="594D8D14" w14:textId="77777777" w:rsidR="00AA0EEF" w:rsidRPr="00635819" w:rsidRDefault="00AA0EEF" w:rsidP="00635819">
      <w:pPr>
        <w:pStyle w:val="NormalWeb"/>
        <w:spacing w:before="0" w:beforeAutospacing="0" w:after="0" w:afterAutospacing="0"/>
        <w:jc w:val="both"/>
        <w:rPr>
          <w:rStyle w:val="url"/>
          <w:sz w:val="20"/>
          <w:szCs w:val="20"/>
        </w:rPr>
      </w:pPr>
    </w:p>
    <w:p w14:paraId="0F2A2A9C" w14:textId="77777777" w:rsidR="00AA0EEF" w:rsidRPr="00635819" w:rsidRDefault="00AA0EEF" w:rsidP="00635819">
      <w:pPr>
        <w:pStyle w:val="NormalWeb"/>
        <w:spacing w:before="0" w:beforeAutospacing="0" w:after="0" w:afterAutospacing="0"/>
        <w:jc w:val="both"/>
        <w:rPr>
          <w:sz w:val="20"/>
          <w:szCs w:val="20"/>
        </w:rPr>
      </w:pPr>
      <w:proofErr w:type="spellStart"/>
      <w:r w:rsidRPr="00635819">
        <w:rPr>
          <w:rStyle w:val="muibox-root"/>
          <w:sz w:val="20"/>
          <w:szCs w:val="20"/>
        </w:rPr>
        <w:t>Oluwafemidiakhoa</w:t>
      </w:r>
      <w:proofErr w:type="spellEnd"/>
      <w:r w:rsidRPr="00635819">
        <w:rPr>
          <w:rStyle w:val="muibox-root"/>
          <w:sz w:val="20"/>
          <w:szCs w:val="20"/>
        </w:rPr>
        <w:t xml:space="preserve">. (2024, November 21). Climate Guardians: AI’s role in addressing global environmental challenges. </w:t>
      </w:r>
      <w:r w:rsidRPr="00635819">
        <w:rPr>
          <w:rStyle w:val="muibox-root"/>
          <w:i/>
          <w:iCs/>
          <w:sz w:val="20"/>
          <w:szCs w:val="20"/>
        </w:rPr>
        <w:t>Medium</w:t>
      </w:r>
      <w:r w:rsidRPr="00635819">
        <w:rPr>
          <w:rStyle w:val="muibox-root"/>
          <w:sz w:val="20"/>
          <w:szCs w:val="20"/>
        </w:rPr>
        <w:t xml:space="preserve">. </w:t>
      </w:r>
      <w:hyperlink r:id="rId69" w:history="1">
        <w:r w:rsidRPr="00635819">
          <w:rPr>
            <w:rStyle w:val="Hyperlink"/>
            <w:sz w:val="20"/>
            <w:szCs w:val="20"/>
          </w:rPr>
          <w:t>https://medium.com/kinomoto-mag/climate-guardians-ais-role-in-addressing-global-environmental-challenges-5551f2dfd83d</w:t>
        </w:r>
      </w:hyperlink>
      <w:r w:rsidRPr="00635819">
        <w:rPr>
          <w:rStyle w:val="url"/>
          <w:sz w:val="20"/>
          <w:szCs w:val="20"/>
        </w:rPr>
        <w:t xml:space="preserve"> </w:t>
      </w:r>
    </w:p>
    <w:p w14:paraId="5FB15D30" w14:textId="77777777" w:rsidR="00AA0EEF" w:rsidRPr="00635819" w:rsidRDefault="00AA0EEF" w:rsidP="00635819">
      <w:pPr>
        <w:pStyle w:val="NormalWeb"/>
        <w:spacing w:before="0" w:beforeAutospacing="0" w:after="0" w:afterAutospacing="0"/>
        <w:jc w:val="both"/>
        <w:rPr>
          <w:sz w:val="20"/>
          <w:szCs w:val="20"/>
        </w:rPr>
      </w:pPr>
    </w:p>
    <w:p w14:paraId="4B4BFDC3" w14:textId="77777777" w:rsidR="00DB317C" w:rsidRDefault="00AA0EEF" w:rsidP="00635819">
      <w:pPr>
        <w:pStyle w:val="NormalWeb"/>
        <w:spacing w:before="0" w:beforeAutospacing="0" w:after="0" w:afterAutospacing="0"/>
        <w:jc w:val="both"/>
        <w:rPr>
          <w:rStyle w:val="relative"/>
          <w:sz w:val="20"/>
          <w:szCs w:val="20"/>
        </w:rPr>
      </w:pPr>
      <w:r w:rsidRPr="00635819">
        <w:rPr>
          <w:rStyle w:val="relative"/>
          <w:sz w:val="20"/>
          <w:szCs w:val="20"/>
        </w:rPr>
        <w:t>Pathways for Low</w:t>
      </w:r>
      <w:r w:rsidRPr="00635819">
        <w:rPr>
          <w:rStyle w:val="relative"/>
          <w:sz w:val="20"/>
          <w:szCs w:val="20"/>
        </w:rPr>
        <w:noBreakHyphen/>
        <w:t xml:space="preserve">Carbon Transition in Bangladesh 2025–2050. </w:t>
      </w:r>
      <w:r w:rsidRPr="00635819">
        <w:rPr>
          <w:rStyle w:val="Emphasis"/>
          <w:sz w:val="20"/>
          <w:szCs w:val="20"/>
        </w:rPr>
        <w:t>Asian Development Bank</w:t>
      </w:r>
      <w:r w:rsidRPr="00635819">
        <w:rPr>
          <w:rStyle w:val="relative"/>
          <w:sz w:val="20"/>
          <w:szCs w:val="20"/>
        </w:rPr>
        <w:t xml:space="preserve">. ADB. </w:t>
      </w:r>
    </w:p>
    <w:p w14:paraId="3250F552" w14:textId="6F31CCD8" w:rsidR="00AA0EEF" w:rsidRPr="00635819" w:rsidRDefault="00C6102C" w:rsidP="00635819">
      <w:pPr>
        <w:pStyle w:val="NormalWeb"/>
        <w:spacing w:before="0" w:beforeAutospacing="0" w:after="0" w:afterAutospacing="0"/>
        <w:jc w:val="both"/>
        <w:rPr>
          <w:rStyle w:val="relative"/>
          <w:sz w:val="20"/>
          <w:szCs w:val="20"/>
        </w:rPr>
      </w:pPr>
      <w:hyperlink r:id="rId70" w:history="1">
        <w:r w:rsidR="00DB317C" w:rsidRPr="009D473E">
          <w:rPr>
            <w:rStyle w:val="Hyperlink"/>
            <w:sz w:val="20"/>
            <w:szCs w:val="20"/>
          </w:rPr>
          <w:t>https://www.adb.org/publications/pathways-low-carbon-transition-bangladesh</w:t>
        </w:r>
      </w:hyperlink>
      <w:r w:rsidR="00AA0EEF" w:rsidRPr="00635819">
        <w:rPr>
          <w:rStyle w:val="relative"/>
          <w:sz w:val="20"/>
          <w:szCs w:val="20"/>
        </w:rPr>
        <w:t xml:space="preserve"> </w:t>
      </w:r>
    </w:p>
    <w:p w14:paraId="66E0206E" w14:textId="77777777" w:rsidR="00AA0EEF" w:rsidRPr="00635819" w:rsidRDefault="00AA0EEF" w:rsidP="00635819">
      <w:pPr>
        <w:pStyle w:val="NormalWeb"/>
        <w:spacing w:before="0" w:beforeAutospacing="0" w:after="0" w:afterAutospacing="0"/>
        <w:jc w:val="both"/>
        <w:rPr>
          <w:rStyle w:val="relative"/>
          <w:sz w:val="20"/>
          <w:szCs w:val="20"/>
        </w:rPr>
      </w:pPr>
    </w:p>
    <w:p w14:paraId="139BF6B2" w14:textId="77777777" w:rsidR="00DB317C" w:rsidRPr="00331679" w:rsidRDefault="00AA0EEF" w:rsidP="00635819">
      <w:pPr>
        <w:pStyle w:val="NormalWeb"/>
        <w:spacing w:before="0" w:beforeAutospacing="0" w:after="0" w:afterAutospacing="0"/>
        <w:jc w:val="both"/>
        <w:rPr>
          <w:rStyle w:val="muibox-root"/>
          <w:sz w:val="20"/>
          <w:szCs w:val="20"/>
        </w:rPr>
      </w:pPr>
      <w:r w:rsidRPr="00331679">
        <w:rPr>
          <w:rStyle w:val="muibox-root"/>
          <w:sz w:val="20"/>
          <w:szCs w:val="20"/>
        </w:rPr>
        <w:t xml:space="preserve">Quinto, S., Law, N., Fletcher, C., Le, J., Jose, S. A., &amp; Menezes, P. L. (2025). Exploring the E-Waste Crisis: Strategies for sustainable recycling and circular Economy integration. </w:t>
      </w:r>
      <w:r w:rsidRPr="00331679">
        <w:rPr>
          <w:rStyle w:val="muibox-root"/>
          <w:i/>
          <w:iCs/>
          <w:sz w:val="20"/>
          <w:szCs w:val="20"/>
        </w:rPr>
        <w:t>Recycling</w:t>
      </w:r>
      <w:r w:rsidRPr="00331679">
        <w:rPr>
          <w:rStyle w:val="muibox-root"/>
          <w:sz w:val="20"/>
          <w:szCs w:val="20"/>
        </w:rPr>
        <w:t xml:space="preserve">, </w:t>
      </w:r>
      <w:r w:rsidRPr="00331679">
        <w:rPr>
          <w:rStyle w:val="muibox-root"/>
          <w:i/>
          <w:iCs/>
          <w:sz w:val="20"/>
          <w:szCs w:val="20"/>
        </w:rPr>
        <w:t>10</w:t>
      </w:r>
      <w:r w:rsidRPr="00331679">
        <w:rPr>
          <w:rStyle w:val="muibox-root"/>
          <w:sz w:val="20"/>
          <w:szCs w:val="20"/>
        </w:rPr>
        <w:t xml:space="preserve">(2), 72. </w:t>
      </w:r>
    </w:p>
    <w:p w14:paraId="3F490D67" w14:textId="094B083F" w:rsidR="00AA0EEF" w:rsidRPr="00331679" w:rsidRDefault="00C6102C" w:rsidP="00635819">
      <w:pPr>
        <w:pStyle w:val="NormalWeb"/>
        <w:spacing w:before="0" w:beforeAutospacing="0" w:after="0" w:afterAutospacing="0"/>
        <w:jc w:val="both"/>
        <w:rPr>
          <w:rStyle w:val="url"/>
          <w:sz w:val="20"/>
          <w:szCs w:val="20"/>
        </w:rPr>
      </w:pPr>
      <w:hyperlink r:id="rId71" w:history="1">
        <w:r w:rsidR="00DB317C" w:rsidRPr="00331679">
          <w:rPr>
            <w:rStyle w:val="Hyperlink"/>
            <w:sz w:val="20"/>
            <w:szCs w:val="20"/>
          </w:rPr>
          <w:t>https://doi.org/10.3390/recycling10020072</w:t>
        </w:r>
      </w:hyperlink>
      <w:r w:rsidR="00AA0EEF" w:rsidRPr="00331679">
        <w:rPr>
          <w:rStyle w:val="url"/>
          <w:sz w:val="20"/>
          <w:szCs w:val="20"/>
        </w:rPr>
        <w:t xml:space="preserve"> </w:t>
      </w:r>
    </w:p>
    <w:p w14:paraId="1E880057" w14:textId="69801B3A" w:rsidR="00331679" w:rsidRPr="00331679" w:rsidRDefault="00331679" w:rsidP="00635819">
      <w:pPr>
        <w:pStyle w:val="NormalWeb"/>
        <w:spacing w:before="0" w:beforeAutospacing="0" w:after="0" w:afterAutospacing="0"/>
        <w:jc w:val="both"/>
        <w:rPr>
          <w:rStyle w:val="url"/>
          <w:sz w:val="20"/>
          <w:szCs w:val="20"/>
        </w:rPr>
      </w:pPr>
    </w:p>
    <w:p w14:paraId="72A16FDC" w14:textId="18DA43D3" w:rsidR="00331679" w:rsidRPr="00331679" w:rsidRDefault="00331679" w:rsidP="00635819">
      <w:pPr>
        <w:pStyle w:val="NormalWeb"/>
        <w:spacing w:before="0" w:beforeAutospacing="0" w:after="0" w:afterAutospacing="0"/>
        <w:jc w:val="both"/>
        <w:rPr>
          <w:rStyle w:val="relative"/>
          <w:sz w:val="20"/>
          <w:szCs w:val="20"/>
        </w:rPr>
      </w:pPr>
      <w:r w:rsidRPr="00331679">
        <w:rPr>
          <w:rStyle w:val="muibox-root"/>
          <w:sz w:val="20"/>
          <w:szCs w:val="20"/>
        </w:rPr>
        <w:t xml:space="preserve">Rolnick, D., Donti, P. L., </w:t>
      </w:r>
      <w:proofErr w:type="spellStart"/>
      <w:r w:rsidRPr="00331679">
        <w:rPr>
          <w:rStyle w:val="muibox-root"/>
          <w:sz w:val="20"/>
          <w:szCs w:val="20"/>
        </w:rPr>
        <w:t>Kaack</w:t>
      </w:r>
      <w:proofErr w:type="spellEnd"/>
      <w:r w:rsidRPr="00331679">
        <w:rPr>
          <w:rStyle w:val="muibox-root"/>
          <w:sz w:val="20"/>
          <w:szCs w:val="20"/>
        </w:rPr>
        <w:t xml:space="preserve">, L. H., Kochanski, K., Lacoste, A., Sankaran, K., Ross, A. S., Milojevic-Dupont, N., Jaques, N., Waldman-Brown, A., Luccioni, A., Maharaj, T., Sherwin, E. D., </w:t>
      </w:r>
      <w:proofErr w:type="spellStart"/>
      <w:r w:rsidRPr="00331679">
        <w:rPr>
          <w:rStyle w:val="muibox-root"/>
          <w:sz w:val="20"/>
          <w:szCs w:val="20"/>
        </w:rPr>
        <w:t>Mukkavilli</w:t>
      </w:r>
      <w:proofErr w:type="spellEnd"/>
      <w:r w:rsidRPr="00331679">
        <w:rPr>
          <w:rStyle w:val="muibox-root"/>
          <w:sz w:val="20"/>
          <w:szCs w:val="20"/>
        </w:rPr>
        <w:t xml:space="preserve">, S. K., </w:t>
      </w:r>
      <w:proofErr w:type="spellStart"/>
      <w:r w:rsidRPr="00331679">
        <w:rPr>
          <w:rStyle w:val="muibox-root"/>
          <w:sz w:val="20"/>
          <w:szCs w:val="20"/>
        </w:rPr>
        <w:t>Kording</w:t>
      </w:r>
      <w:proofErr w:type="spellEnd"/>
      <w:r w:rsidRPr="00331679">
        <w:rPr>
          <w:rStyle w:val="muibox-root"/>
          <w:sz w:val="20"/>
          <w:szCs w:val="20"/>
        </w:rPr>
        <w:t xml:space="preserve">, K. P., Gomes, C., Ng, A. Y., Hassabis, D., Platt, J. C., . . . Bengio, Y. (2019). Tackling Climate Change with Machine Learning. </w:t>
      </w:r>
      <w:proofErr w:type="spellStart"/>
      <w:r w:rsidRPr="00331679">
        <w:rPr>
          <w:rStyle w:val="muibox-root"/>
          <w:i/>
          <w:iCs/>
          <w:sz w:val="20"/>
          <w:szCs w:val="20"/>
        </w:rPr>
        <w:t>arXiv</w:t>
      </w:r>
      <w:proofErr w:type="spellEnd"/>
      <w:r w:rsidRPr="00331679">
        <w:rPr>
          <w:rStyle w:val="muibox-root"/>
          <w:i/>
          <w:iCs/>
          <w:sz w:val="20"/>
          <w:szCs w:val="20"/>
        </w:rPr>
        <w:t xml:space="preserve"> (Cornell University)</w:t>
      </w:r>
      <w:r w:rsidRPr="00331679">
        <w:rPr>
          <w:rStyle w:val="muibox-root"/>
          <w:sz w:val="20"/>
          <w:szCs w:val="20"/>
        </w:rPr>
        <w:t xml:space="preserve">. </w:t>
      </w:r>
      <w:hyperlink r:id="rId72" w:history="1">
        <w:r w:rsidRPr="00331679">
          <w:rPr>
            <w:rStyle w:val="Hyperlink"/>
            <w:sz w:val="20"/>
            <w:szCs w:val="20"/>
          </w:rPr>
          <w:t>https://doi.org/10.48550/arxiv.1906.05433</w:t>
        </w:r>
      </w:hyperlink>
      <w:r w:rsidRPr="00331679">
        <w:rPr>
          <w:rStyle w:val="url"/>
          <w:sz w:val="20"/>
          <w:szCs w:val="20"/>
        </w:rPr>
        <w:t xml:space="preserve"> </w:t>
      </w:r>
    </w:p>
    <w:p w14:paraId="70940267" w14:textId="77777777" w:rsidR="00AA0EEF" w:rsidRPr="00331679" w:rsidRDefault="00AA0EEF" w:rsidP="00635819">
      <w:pPr>
        <w:pStyle w:val="NormalWeb"/>
        <w:spacing w:before="0" w:beforeAutospacing="0" w:after="0" w:afterAutospacing="0"/>
        <w:jc w:val="both"/>
        <w:rPr>
          <w:sz w:val="20"/>
          <w:szCs w:val="20"/>
        </w:rPr>
      </w:pPr>
    </w:p>
    <w:p w14:paraId="792D2F63" w14:textId="77777777" w:rsidR="00AA0EEF" w:rsidRPr="00331679" w:rsidRDefault="00AA0EEF" w:rsidP="00635819">
      <w:pPr>
        <w:spacing w:after="0" w:line="240" w:lineRule="auto"/>
        <w:jc w:val="both"/>
        <w:rPr>
          <w:rFonts w:ascii="Times New Roman" w:eastAsia="Times New Roman" w:hAnsi="Times New Roman" w:cs="Times New Roman"/>
          <w:sz w:val="20"/>
          <w:szCs w:val="20"/>
        </w:rPr>
      </w:pPr>
      <w:r w:rsidRPr="00331679">
        <w:rPr>
          <w:rFonts w:ascii="Times New Roman" w:eastAsia="Times New Roman" w:hAnsi="Times New Roman" w:cs="Times New Roman"/>
          <w:sz w:val="20"/>
          <w:szCs w:val="20"/>
        </w:rPr>
        <w:t xml:space="preserve">RVO. (2024). Final Renewable Fuels Standards Rule for 2023, 2024, and 2025. </w:t>
      </w:r>
      <w:hyperlink r:id="rId73" w:history="1">
        <w:r w:rsidRPr="00331679">
          <w:rPr>
            <w:rStyle w:val="Hyperlink"/>
            <w:rFonts w:ascii="Times New Roman" w:eastAsia="Times New Roman" w:hAnsi="Times New Roman" w:cs="Times New Roman"/>
            <w:sz w:val="20"/>
            <w:szCs w:val="20"/>
          </w:rPr>
          <w:t>https://www.epa.gov/renewable-fuel-standard/final-renewable-fuels-standards-rule-2023-2024-and-2025</w:t>
        </w:r>
      </w:hyperlink>
      <w:r w:rsidRPr="00331679">
        <w:rPr>
          <w:rFonts w:ascii="Times New Roman" w:eastAsia="Times New Roman" w:hAnsi="Times New Roman" w:cs="Times New Roman"/>
          <w:sz w:val="20"/>
          <w:szCs w:val="20"/>
        </w:rPr>
        <w:t xml:space="preserve"> </w:t>
      </w:r>
    </w:p>
    <w:p w14:paraId="557FE079" w14:textId="77777777" w:rsidR="00AA0EEF" w:rsidRPr="00331679" w:rsidRDefault="00AA0EEF" w:rsidP="00635819">
      <w:pPr>
        <w:spacing w:after="0" w:line="240" w:lineRule="auto"/>
        <w:jc w:val="both"/>
        <w:rPr>
          <w:rFonts w:ascii="Times New Roman" w:eastAsia="Times New Roman" w:hAnsi="Times New Roman" w:cs="Times New Roman"/>
          <w:sz w:val="20"/>
          <w:szCs w:val="20"/>
        </w:rPr>
      </w:pPr>
    </w:p>
    <w:p w14:paraId="25D3775F" w14:textId="77777777" w:rsidR="00AA0EEF" w:rsidRPr="00331679" w:rsidRDefault="00AA0EEF" w:rsidP="00635819">
      <w:pPr>
        <w:spacing w:after="0" w:line="240" w:lineRule="auto"/>
        <w:jc w:val="both"/>
        <w:rPr>
          <w:rFonts w:ascii="Times New Roman" w:eastAsia="Times New Roman" w:hAnsi="Times New Roman" w:cs="Times New Roman"/>
          <w:sz w:val="20"/>
          <w:szCs w:val="20"/>
        </w:rPr>
      </w:pPr>
      <w:r w:rsidRPr="00331679">
        <w:rPr>
          <w:rFonts w:ascii="Times New Roman" w:hAnsi="Times New Roman" w:cs="Times New Roman"/>
          <w:sz w:val="20"/>
          <w:szCs w:val="20"/>
        </w:rPr>
        <w:t xml:space="preserve">Samiul Islam, F. A. (2023). Solid Waste Management System through 3R Strategy with Energy Analysis and Possibility of Electricity Generation in Dhaka City of Bangladesh. </w:t>
      </w:r>
      <w:r w:rsidRPr="00331679">
        <w:rPr>
          <w:rFonts w:ascii="Times New Roman" w:hAnsi="Times New Roman" w:cs="Times New Roman"/>
          <w:i/>
          <w:iCs/>
          <w:sz w:val="20"/>
          <w:szCs w:val="20"/>
        </w:rPr>
        <w:t>American Journal of Environment and Climate</w:t>
      </w:r>
      <w:r w:rsidRPr="00331679">
        <w:rPr>
          <w:rFonts w:ascii="Times New Roman" w:hAnsi="Times New Roman" w:cs="Times New Roman"/>
          <w:sz w:val="20"/>
          <w:szCs w:val="20"/>
        </w:rPr>
        <w:t xml:space="preserve">, </w:t>
      </w:r>
      <w:r w:rsidRPr="00331679">
        <w:rPr>
          <w:rFonts w:ascii="Times New Roman" w:hAnsi="Times New Roman" w:cs="Times New Roman"/>
          <w:i/>
          <w:iCs/>
          <w:sz w:val="20"/>
          <w:szCs w:val="20"/>
        </w:rPr>
        <w:t>2</w:t>
      </w:r>
      <w:r w:rsidRPr="00331679">
        <w:rPr>
          <w:rFonts w:ascii="Times New Roman" w:hAnsi="Times New Roman" w:cs="Times New Roman"/>
          <w:sz w:val="20"/>
          <w:szCs w:val="20"/>
        </w:rPr>
        <w:t xml:space="preserve">(2), 23–32. </w:t>
      </w:r>
      <w:hyperlink r:id="rId74" w:history="1">
        <w:r w:rsidRPr="00331679">
          <w:rPr>
            <w:rStyle w:val="Hyperlink"/>
            <w:rFonts w:ascii="Times New Roman" w:hAnsi="Times New Roman" w:cs="Times New Roman"/>
            <w:sz w:val="20"/>
            <w:szCs w:val="20"/>
          </w:rPr>
          <w:t>https://doi.org/10.54536/ajec.v2i2.1767</w:t>
        </w:r>
      </w:hyperlink>
      <w:r w:rsidRPr="00331679">
        <w:rPr>
          <w:rFonts w:ascii="Times New Roman" w:hAnsi="Times New Roman" w:cs="Times New Roman"/>
          <w:sz w:val="20"/>
          <w:szCs w:val="20"/>
        </w:rPr>
        <w:t xml:space="preserve"> </w:t>
      </w:r>
    </w:p>
    <w:p w14:paraId="3C974331"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11F973D0" w14:textId="77777777" w:rsidR="00AA0EEF" w:rsidRPr="00635819" w:rsidRDefault="00AA0EEF" w:rsidP="00635819">
      <w:pPr>
        <w:spacing w:after="0" w:line="240" w:lineRule="auto"/>
        <w:jc w:val="both"/>
        <w:rPr>
          <w:rStyle w:val="url"/>
          <w:rFonts w:ascii="Times New Roman" w:hAnsi="Times New Roman" w:cs="Times New Roman"/>
          <w:sz w:val="20"/>
          <w:szCs w:val="20"/>
        </w:rPr>
      </w:pPr>
      <w:r w:rsidRPr="00635819">
        <w:rPr>
          <w:rFonts w:ascii="Times New Roman" w:hAnsi="Times New Roman" w:cs="Times New Roman"/>
          <w:sz w:val="20"/>
          <w:szCs w:val="20"/>
        </w:rPr>
        <w:t xml:space="preserve">SDG 7.2 - Renewable energy. (n.d.). Sustainable Energy for All. </w:t>
      </w:r>
      <w:proofErr w:type="spellStart"/>
      <w:r w:rsidRPr="00635819">
        <w:rPr>
          <w:rFonts w:ascii="Times New Roman" w:hAnsi="Times New Roman" w:cs="Times New Roman"/>
          <w:sz w:val="20"/>
          <w:szCs w:val="20"/>
        </w:rPr>
        <w:t>SEforALL</w:t>
      </w:r>
      <w:proofErr w:type="spellEnd"/>
      <w:r w:rsidRPr="00635819">
        <w:rPr>
          <w:rFonts w:ascii="Times New Roman" w:hAnsi="Times New Roman" w:cs="Times New Roman"/>
          <w:sz w:val="20"/>
          <w:szCs w:val="20"/>
        </w:rPr>
        <w:t xml:space="preserve">. </w:t>
      </w:r>
      <w:hyperlink r:id="rId75" w:history="1">
        <w:r w:rsidRPr="00635819">
          <w:rPr>
            <w:rStyle w:val="Hyperlink"/>
            <w:rFonts w:ascii="Times New Roman" w:hAnsi="Times New Roman" w:cs="Times New Roman"/>
            <w:sz w:val="20"/>
            <w:szCs w:val="20"/>
          </w:rPr>
          <w:t>https://www.seforall.org/goal-7-targets/renewable-energy</w:t>
        </w:r>
      </w:hyperlink>
      <w:r w:rsidRPr="00635819">
        <w:rPr>
          <w:rStyle w:val="url"/>
          <w:rFonts w:ascii="Times New Roman" w:hAnsi="Times New Roman" w:cs="Times New Roman"/>
          <w:sz w:val="20"/>
          <w:szCs w:val="20"/>
        </w:rPr>
        <w:t xml:space="preserve"> </w:t>
      </w:r>
    </w:p>
    <w:p w14:paraId="29DCB134" w14:textId="77777777" w:rsidR="00AA0EEF" w:rsidRPr="00635819" w:rsidRDefault="00AA0EEF" w:rsidP="00635819">
      <w:pPr>
        <w:spacing w:after="0" w:line="240" w:lineRule="auto"/>
        <w:jc w:val="both"/>
        <w:rPr>
          <w:rStyle w:val="url"/>
          <w:rFonts w:ascii="Times New Roman" w:hAnsi="Times New Roman" w:cs="Times New Roman"/>
          <w:sz w:val="20"/>
          <w:szCs w:val="20"/>
        </w:rPr>
      </w:pPr>
    </w:p>
    <w:p w14:paraId="1286EC0A"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SDG 11.6: Reduce the Environmental Impact of Cities. ICCROM. Our Collections matter. (n.d.). </w:t>
      </w:r>
    </w:p>
    <w:p w14:paraId="5D19EE6F" w14:textId="77777777" w:rsidR="00AA0EEF" w:rsidRPr="00635819" w:rsidRDefault="00C6102C" w:rsidP="00635819">
      <w:pPr>
        <w:spacing w:after="0" w:line="240" w:lineRule="auto"/>
        <w:jc w:val="both"/>
        <w:rPr>
          <w:rStyle w:val="url"/>
          <w:rFonts w:ascii="Times New Roman" w:hAnsi="Times New Roman" w:cs="Times New Roman"/>
          <w:sz w:val="20"/>
          <w:szCs w:val="20"/>
        </w:rPr>
      </w:pPr>
      <w:hyperlink r:id="rId76" w:history="1">
        <w:r w:rsidR="00AA0EEF" w:rsidRPr="00635819">
          <w:rPr>
            <w:rStyle w:val="Hyperlink"/>
            <w:rFonts w:ascii="Times New Roman" w:hAnsi="Times New Roman" w:cs="Times New Roman"/>
            <w:sz w:val="20"/>
            <w:szCs w:val="20"/>
          </w:rPr>
          <w:t>https://ocm.iccrom.org/sdgs/sdg-11-sustainable-cities-and-communities/sdg-116-reduce-environmental-impact-cities</w:t>
        </w:r>
      </w:hyperlink>
      <w:r w:rsidR="00AA0EEF" w:rsidRPr="00635819">
        <w:rPr>
          <w:rStyle w:val="url"/>
          <w:rFonts w:ascii="Times New Roman" w:hAnsi="Times New Roman" w:cs="Times New Roman"/>
          <w:sz w:val="20"/>
          <w:szCs w:val="20"/>
        </w:rPr>
        <w:t xml:space="preserve"> </w:t>
      </w:r>
    </w:p>
    <w:p w14:paraId="46DCF802" w14:textId="77777777" w:rsidR="00AA0EEF" w:rsidRPr="00635819" w:rsidRDefault="00AA0EEF" w:rsidP="00635819">
      <w:pPr>
        <w:spacing w:after="0" w:line="240" w:lineRule="auto"/>
        <w:jc w:val="both"/>
        <w:rPr>
          <w:rStyle w:val="url"/>
          <w:rFonts w:ascii="Times New Roman" w:hAnsi="Times New Roman" w:cs="Times New Roman"/>
          <w:sz w:val="20"/>
          <w:szCs w:val="20"/>
        </w:rPr>
      </w:pPr>
    </w:p>
    <w:p w14:paraId="26233CD8" w14:textId="77777777" w:rsidR="00AA0EEF" w:rsidRPr="00635819" w:rsidRDefault="00AA0EEF" w:rsidP="00635819">
      <w:pPr>
        <w:spacing w:after="0" w:line="240" w:lineRule="auto"/>
        <w:jc w:val="both"/>
        <w:rPr>
          <w:rStyle w:val="url"/>
          <w:rFonts w:ascii="Times New Roman" w:hAnsi="Times New Roman" w:cs="Times New Roman"/>
          <w:sz w:val="20"/>
          <w:szCs w:val="20"/>
        </w:rPr>
      </w:pPr>
      <w:r w:rsidRPr="00635819">
        <w:rPr>
          <w:rFonts w:ascii="Times New Roman" w:hAnsi="Times New Roman" w:cs="Times New Roman"/>
          <w:sz w:val="20"/>
          <w:szCs w:val="20"/>
        </w:rPr>
        <w:t xml:space="preserve">SDG 13.1: Strengthen Resilience and Adaptive Capacity to climate related Disasters. ICCROM. Our collections matter. (n.d.). </w:t>
      </w:r>
      <w:hyperlink r:id="rId77" w:history="1">
        <w:r w:rsidRPr="00635819">
          <w:rPr>
            <w:rStyle w:val="Hyperlink"/>
            <w:rFonts w:ascii="Times New Roman" w:hAnsi="Times New Roman" w:cs="Times New Roman"/>
            <w:sz w:val="20"/>
            <w:szCs w:val="20"/>
          </w:rPr>
          <w:t>https://ocm.iccrom.org/sdgs/sdg-13-climate-action/sdg-131-strengthen-resilience-and-adaptive-capacity-climate-related</w:t>
        </w:r>
      </w:hyperlink>
      <w:r w:rsidRPr="00635819">
        <w:rPr>
          <w:rStyle w:val="url"/>
          <w:rFonts w:ascii="Times New Roman" w:hAnsi="Times New Roman" w:cs="Times New Roman"/>
          <w:sz w:val="20"/>
          <w:szCs w:val="20"/>
        </w:rPr>
        <w:t xml:space="preserve"> </w:t>
      </w:r>
    </w:p>
    <w:p w14:paraId="30E1F553" w14:textId="77777777" w:rsidR="00AA0EEF" w:rsidRPr="00635819" w:rsidRDefault="00AA0EEF" w:rsidP="00635819">
      <w:pPr>
        <w:spacing w:after="0" w:line="240" w:lineRule="auto"/>
        <w:jc w:val="both"/>
        <w:rPr>
          <w:rStyle w:val="url"/>
          <w:rFonts w:ascii="Times New Roman" w:hAnsi="Times New Roman" w:cs="Times New Roman"/>
          <w:sz w:val="20"/>
          <w:szCs w:val="20"/>
        </w:rPr>
      </w:pPr>
    </w:p>
    <w:p w14:paraId="34101AF8" w14:textId="77777777" w:rsidR="00DB317C"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i/>
          <w:iCs/>
          <w:sz w:val="20"/>
          <w:szCs w:val="20"/>
        </w:rPr>
        <w:t xml:space="preserve">Smart Waste Management: </w:t>
      </w:r>
      <w:proofErr w:type="spellStart"/>
      <w:r w:rsidRPr="00635819">
        <w:rPr>
          <w:rFonts w:ascii="Times New Roman" w:eastAsia="Times New Roman" w:hAnsi="Times New Roman" w:cs="Times New Roman"/>
          <w:i/>
          <w:iCs/>
          <w:sz w:val="20"/>
          <w:szCs w:val="20"/>
        </w:rPr>
        <w:t>WasteANT’s</w:t>
      </w:r>
      <w:proofErr w:type="spellEnd"/>
      <w:r w:rsidRPr="00635819">
        <w:rPr>
          <w:rFonts w:ascii="Times New Roman" w:eastAsia="Times New Roman" w:hAnsi="Times New Roman" w:cs="Times New Roman"/>
          <w:i/>
          <w:iCs/>
          <w:sz w:val="20"/>
          <w:szCs w:val="20"/>
        </w:rPr>
        <w:t xml:space="preserve"> AI solutions for energy generation</w:t>
      </w:r>
      <w:r w:rsidRPr="00635819">
        <w:rPr>
          <w:rFonts w:ascii="Times New Roman" w:eastAsia="Times New Roman" w:hAnsi="Times New Roman" w:cs="Times New Roman"/>
          <w:sz w:val="20"/>
          <w:szCs w:val="20"/>
        </w:rPr>
        <w:t xml:space="preserve">. (2024, November 22). </w:t>
      </w:r>
    </w:p>
    <w:p w14:paraId="678D363C" w14:textId="387B2AA9" w:rsidR="00AA0EEF" w:rsidRPr="00635819" w:rsidRDefault="00C6102C" w:rsidP="00635819">
      <w:pPr>
        <w:spacing w:after="0" w:line="240" w:lineRule="auto"/>
        <w:jc w:val="both"/>
        <w:rPr>
          <w:rFonts w:ascii="Times New Roman" w:eastAsia="Times New Roman" w:hAnsi="Times New Roman" w:cs="Times New Roman"/>
          <w:sz w:val="20"/>
          <w:szCs w:val="20"/>
        </w:rPr>
      </w:pPr>
      <w:hyperlink r:id="rId78" w:history="1">
        <w:r w:rsidR="00DB317C" w:rsidRPr="009D473E">
          <w:rPr>
            <w:rStyle w:val="Hyperlink"/>
            <w:rFonts w:ascii="Times New Roman" w:eastAsia="Times New Roman" w:hAnsi="Times New Roman" w:cs="Times New Roman"/>
            <w:sz w:val="20"/>
            <w:szCs w:val="20"/>
          </w:rPr>
          <w:t>https://community.intel.com/t5/Blogs/Tech-Innovation/Artificial-Intelligence-AI/Smart-Waste-Management-WasteAnt-s-AI-Solutions-for-Energy/post/1644275</w:t>
        </w:r>
      </w:hyperlink>
      <w:r w:rsidR="00AA0EEF" w:rsidRPr="00635819">
        <w:rPr>
          <w:rFonts w:ascii="Times New Roman" w:eastAsia="Times New Roman" w:hAnsi="Times New Roman" w:cs="Times New Roman"/>
          <w:sz w:val="20"/>
          <w:szCs w:val="20"/>
        </w:rPr>
        <w:t xml:space="preserve"> </w:t>
      </w:r>
    </w:p>
    <w:p w14:paraId="2F6687C5" w14:textId="77777777" w:rsidR="00AA0EEF" w:rsidRPr="00635819" w:rsidRDefault="00AA0EEF" w:rsidP="00635819">
      <w:pPr>
        <w:spacing w:after="0" w:line="240" w:lineRule="auto"/>
        <w:jc w:val="both"/>
        <w:rPr>
          <w:rStyle w:val="url"/>
          <w:rFonts w:ascii="Times New Roman" w:hAnsi="Times New Roman" w:cs="Times New Roman"/>
          <w:sz w:val="20"/>
          <w:szCs w:val="20"/>
        </w:rPr>
      </w:pPr>
    </w:p>
    <w:p w14:paraId="0B736098" w14:textId="77777777" w:rsidR="00AA0EEF" w:rsidRPr="00635819" w:rsidRDefault="00AA0EEF" w:rsidP="00635819">
      <w:pPr>
        <w:spacing w:after="0" w:line="240" w:lineRule="auto"/>
        <w:jc w:val="both"/>
        <w:rPr>
          <w:rFonts w:ascii="Times New Roman" w:hAnsi="Times New Roman" w:cs="Times New Roman"/>
          <w:sz w:val="20"/>
          <w:szCs w:val="20"/>
        </w:rPr>
      </w:pPr>
      <w:proofErr w:type="spellStart"/>
      <w:r w:rsidRPr="00635819">
        <w:rPr>
          <w:rFonts w:ascii="Times New Roman" w:hAnsi="Times New Roman" w:cs="Times New Roman"/>
          <w:sz w:val="20"/>
          <w:szCs w:val="20"/>
        </w:rPr>
        <w:t>Snoun</w:t>
      </w:r>
      <w:proofErr w:type="spellEnd"/>
      <w:r w:rsidRPr="00635819">
        <w:rPr>
          <w:rFonts w:ascii="Times New Roman" w:hAnsi="Times New Roman" w:cs="Times New Roman"/>
          <w:sz w:val="20"/>
          <w:szCs w:val="20"/>
        </w:rPr>
        <w:t xml:space="preserve">, A., Mufida, M. K., El-Cadi, A. A., &amp; Delot, T. (2025). AI-Driven Innovations in Waste Management: Catalyzing the Circular Economy. </w:t>
      </w:r>
      <w:r w:rsidRPr="00635819">
        <w:rPr>
          <w:rStyle w:val="Emphasis"/>
          <w:rFonts w:ascii="Times New Roman" w:hAnsi="Times New Roman" w:cs="Times New Roman"/>
          <w:sz w:val="20"/>
          <w:szCs w:val="20"/>
        </w:rPr>
        <w:t>Engineering Proceedings</w:t>
      </w:r>
      <w:r w:rsidRPr="00635819">
        <w:rPr>
          <w:rFonts w:ascii="Times New Roman" w:hAnsi="Times New Roman" w:cs="Times New Roman"/>
          <w:sz w:val="20"/>
          <w:szCs w:val="20"/>
        </w:rPr>
        <w:t xml:space="preserve">, </w:t>
      </w:r>
      <w:r w:rsidRPr="00635819">
        <w:rPr>
          <w:rStyle w:val="Emphasis"/>
          <w:rFonts w:ascii="Times New Roman" w:hAnsi="Times New Roman" w:cs="Times New Roman"/>
          <w:sz w:val="20"/>
          <w:szCs w:val="20"/>
        </w:rPr>
        <w:t>97</w:t>
      </w:r>
      <w:r w:rsidRPr="00635819">
        <w:rPr>
          <w:rFonts w:ascii="Times New Roman" w:hAnsi="Times New Roman" w:cs="Times New Roman"/>
          <w:sz w:val="20"/>
          <w:szCs w:val="20"/>
        </w:rPr>
        <w:t xml:space="preserve">(1), 12. </w:t>
      </w:r>
      <w:hyperlink r:id="rId79" w:history="1">
        <w:r w:rsidRPr="00635819">
          <w:rPr>
            <w:rStyle w:val="Hyperlink"/>
            <w:rFonts w:ascii="Times New Roman" w:hAnsi="Times New Roman" w:cs="Times New Roman"/>
            <w:sz w:val="20"/>
            <w:szCs w:val="20"/>
          </w:rPr>
          <w:t>https://doi.org/10.3390/engproc2025097012</w:t>
        </w:r>
      </w:hyperlink>
      <w:r w:rsidRPr="00635819">
        <w:rPr>
          <w:rFonts w:ascii="Times New Roman" w:hAnsi="Times New Roman" w:cs="Times New Roman"/>
          <w:sz w:val="20"/>
          <w:szCs w:val="20"/>
        </w:rPr>
        <w:t xml:space="preserve"> </w:t>
      </w:r>
    </w:p>
    <w:p w14:paraId="644D5A65"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0691B0DB"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Sustainable Development Solutions Network [SDSN]. (2023). </w:t>
      </w:r>
      <w:r w:rsidRPr="00635819">
        <w:rPr>
          <w:rStyle w:val="Emphasis"/>
          <w:sz w:val="20"/>
          <w:szCs w:val="20"/>
        </w:rPr>
        <w:t>Decarbonization Pathways: Best Practices and City Strategy</w:t>
      </w:r>
      <w:r w:rsidRPr="00635819">
        <w:rPr>
          <w:sz w:val="20"/>
          <w:szCs w:val="20"/>
        </w:rPr>
        <w:t xml:space="preserve">. UN SDSN. </w:t>
      </w:r>
      <w:hyperlink r:id="rId80" w:history="1">
        <w:r w:rsidRPr="00635819">
          <w:rPr>
            <w:rStyle w:val="Hyperlink"/>
            <w:sz w:val="20"/>
            <w:szCs w:val="20"/>
          </w:rPr>
          <w:t>https://www.unsdsn.org/our-work/decarbonization-pathways/</w:t>
        </w:r>
      </w:hyperlink>
      <w:r w:rsidRPr="00635819">
        <w:rPr>
          <w:sz w:val="20"/>
          <w:szCs w:val="20"/>
        </w:rPr>
        <w:t xml:space="preserve"> </w:t>
      </w:r>
    </w:p>
    <w:p w14:paraId="1E3A8512" w14:textId="77777777" w:rsidR="00AA0EEF" w:rsidRPr="00635819" w:rsidRDefault="00AA0EEF" w:rsidP="00635819">
      <w:pPr>
        <w:pStyle w:val="NormalWeb"/>
        <w:spacing w:before="0" w:beforeAutospacing="0" w:after="0" w:afterAutospacing="0"/>
        <w:jc w:val="both"/>
        <w:rPr>
          <w:sz w:val="20"/>
          <w:szCs w:val="20"/>
        </w:rPr>
      </w:pPr>
    </w:p>
    <w:p w14:paraId="460FD044" w14:textId="77777777" w:rsidR="00AA0EEF" w:rsidRPr="001940ED" w:rsidRDefault="00AA0EEF" w:rsidP="00635819">
      <w:pPr>
        <w:pStyle w:val="NormalWeb"/>
        <w:spacing w:before="0" w:beforeAutospacing="0" w:after="0" w:afterAutospacing="0"/>
        <w:jc w:val="both"/>
        <w:rPr>
          <w:sz w:val="20"/>
          <w:szCs w:val="20"/>
        </w:rPr>
      </w:pPr>
      <w:r w:rsidRPr="001940ED">
        <w:rPr>
          <w:rStyle w:val="muibox-root"/>
          <w:sz w:val="20"/>
          <w:szCs w:val="20"/>
        </w:rPr>
        <w:t xml:space="preserve">Team, D. (2023, March 28). </w:t>
      </w:r>
      <w:r w:rsidRPr="001940ED">
        <w:rPr>
          <w:rStyle w:val="muibox-root"/>
          <w:i/>
          <w:iCs/>
          <w:sz w:val="20"/>
          <w:szCs w:val="20"/>
        </w:rPr>
        <w:t>AI and IoT-Driven Smart Grid Technologies for Smart Energy Management</w:t>
      </w:r>
      <w:r w:rsidRPr="001940ED">
        <w:rPr>
          <w:rStyle w:val="muibox-root"/>
          <w:sz w:val="20"/>
          <w:szCs w:val="20"/>
        </w:rPr>
        <w:t xml:space="preserve">. Genus Power Infrastructures Ltd. </w:t>
      </w:r>
      <w:hyperlink r:id="rId81" w:history="1">
        <w:r w:rsidRPr="001940ED">
          <w:rPr>
            <w:rStyle w:val="Hyperlink"/>
            <w:sz w:val="20"/>
            <w:szCs w:val="20"/>
          </w:rPr>
          <w:t>https://genuspower.com/ai-and-iot-driven-smart-grid-technologies-for-smart-energy-management/</w:t>
        </w:r>
      </w:hyperlink>
      <w:r w:rsidRPr="001940ED">
        <w:rPr>
          <w:rStyle w:val="url"/>
          <w:sz w:val="20"/>
          <w:szCs w:val="20"/>
        </w:rPr>
        <w:t xml:space="preserve"> </w:t>
      </w:r>
    </w:p>
    <w:p w14:paraId="67B59A8A" w14:textId="2D6C173C" w:rsidR="00AA0EEF" w:rsidRPr="001940ED" w:rsidRDefault="00AA0EEF" w:rsidP="00635819">
      <w:pPr>
        <w:spacing w:after="0" w:line="240" w:lineRule="auto"/>
        <w:jc w:val="both"/>
        <w:rPr>
          <w:rFonts w:ascii="Times New Roman" w:eastAsia="Times New Roman" w:hAnsi="Times New Roman" w:cs="Times New Roman"/>
          <w:sz w:val="20"/>
          <w:szCs w:val="20"/>
        </w:rPr>
      </w:pPr>
    </w:p>
    <w:p w14:paraId="2F51B44E" w14:textId="77777777" w:rsidR="001940ED" w:rsidRDefault="001940ED" w:rsidP="00635819">
      <w:pPr>
        <w:spacing w:after="0" w:line="240" w:lineRule="auto"/>
        <w:jc w:val="both"/>
        <w:rPr>
          <w:rFonts w:ascii="Times New Roman" w:hAnsi="Times New Roman" w:cs="Times New Roman"/>
          <w:sz w:val="20"/>
          <w:szCs w:val="20"/>
        </w:rPr>
      </w:pPr>
      <w:r w:rsidRPr="001940ED">
        <w:rPr>
          <w:rFonts w:ascii="Times New Roman" w:eastAsia="Times New Roman" w:hAnsi="Times New Roman" w:cs="Times New Roman"/>
          <w:sz w:val="20"/>
          <w:szCs w:val="20"/>
        </w:rPr>
        <w:t xml:space="preserve">UNDRR. </w:t>
      </w:r>
      <w:r w:rsidRPr="001940ED">
        <w:rPr>
          <w:rFonts w:ascii="Times New Roman" w:hAnsi="Times New Roman" w:cs="Times New Roman"/>
          <w:sz w:val="20"/>
          <w:szCs w:val="20"/>
        </w:rPr>
        <w:t xml:space="preserve">United Nations Office for Disaster Risk Reduction. (2020, October 28). </w:t>
      </w:r>
      <w:r w:rsidRPr="001940ED">
        <w:rPr>
          <w:rFonts w:ascii="Times New Roman" w:hAnsi="Times New Roman" w:cs="Times New Roman"/>
          <w:i/>
          <w:iCs/>
          <w:sz w:val="20"/>
          <w:szCs w:val="20"/>
        </w:rPr>
        <w:t>Making Cities Resilient 2030</w:t>
      </w:r>
      <w:r w:rsidRPr="001940ED">
        <w:rPr>
          <w:rFonts w:ascii="Times New Roman" w:hAnsi="Times New Roman" w:cs="Times New Roman"/>
          <w:sz w:val="20"/>
          <w:szCs w:val="20"/>
        </w:rPr>
        <w:t xml:space="preserve">. </w:t>
      </w:r>
    </w:p>
    <w:p w14:paraId="26C4180A" w14:textId="5AB19CAC" w:rsidR="001940ED" w:rsidRPr="001940ED" w:rsidRDefault="00C6102C" w:rsidP="00635819">
      <w:pPr>
        <w:spacing w:after="0" w:line="240" w:lineRule="auto"/>
        <w:jc w:val="both"/>
        <w:rPr>
          <w:rFonts w:ascii="Times New Roman" w:hAnsi="Times New Roman" w:cs="Times New Roman"/>
          <w:sz w:val="20"/>
          <w:szCs w:val="20"/>
        </w:rPr>
      </w:pPr>
      <w:hyperlink r:id="rId82" w:history="1">
        <w:r w:rsidR="00412DBA" w:rsidRPr="00BF69E9">
          <w:rPr>
            <w:rStyle w:val="Hyperlink"/>
            <w:rFonts w:ascii="Times New Roman" w:hAnsi="Times New Roman" w:cs="Times New Roman"/>
            <w:sz w:val="20"/>
            <w:szCs w:val="20"/>
          </w:rPr>
          <w:t>https://mcr2030.undrr.org/</w:t>
        </w:r>
      </w:hyperlink>
      <w:r w:rsidR="001940ED" w:rsidRPr="001940ED">
        <w:rPr>
          <w:rFonts w:ascii="Times New Roman" w:hAnsi="Times New Roman" w:cs="Times New Roman"/>
          <w:sz w:val="20"/>
          <w:szCs w:val="20"/>
        </w:rPr>
        <w:t xml:space="preserve"> </w:t>
      </w:r>
    </w:p>
    <w:p w14:paraId="68FEFDFE" w14:textId="77777777" w:rsidR="001940ED" w:rsidRPr="001940ED" w:rsidRDefault="001940ED" w:rsidP="00635819">
      <w:pPr>
        <w:spacing w:after="0" w:line="240" w:lineRule="auto"/>
        <w:jc w:val="both"/>
        <w:rPr>
          <w:rFonts w:ascii="Times New Roman" w:eastAsia="Times New Roman" w:hAnsi="Times New Roman" w:cs="Times New Roman"/>
          <w:sz w:val="20"/>
          <w:szCs w:val="20"/>
        </w:rPr>
      </w:pPr>
    </w:p>
    <w:p w14:paraId="3CF6982B" w14:textId="77777777" w:rsidR="00AA0EEF" w:rsidRPr="001940ED" w:rsidRDefault="00AA0EEF" w:rsidP="00635819">
      <w:pPr>
        <w:pStyle w:val="NormalWeb"/>
        <w:spacing w:before="0" w:beforeAutospacing="0" w:after="0" w:afterAutospacing="0"/>
        <w:jc w:val="both"/>
        <w:rPr>
          <w:sz w:val="20"/>
          <w:szCs w:val="20"/>
        </w:rPr>
      </w:pPr>
      <w:r w:rsidRPr="001940ED">
        <w:rPr>
          <w:sz w:val="20"/>
          <w:szCs w:val="20"/>
        </w:rPr>
        <w:t xml:space="preserve">UNESCO. (2023). Education Data Release. </w:t>
      </w:r>
      <w:hyperlink r:id="rId83" w:history="1">
        <w:r w:rsidRPr="001940ED">
          <w:rPr>
            <w:rStyle w:val="Hyperlink"/>
            <w:sz w:val="20"/>
            <w:szCs w:val="20"/>
          </w:rPr>
          <w:t>https://uis.unesco.org/en/news/education-data-release</w:t>
        </w:r>
      </w:hyperlink>
      <w:r w:rsidRPr="001940ED">
        <w:rPr>
          <w:sz w:val="20"/>
          <w:szCs w:val="20"/>
        </w:rPr>
        <w:t xml:space="preserve"> </w:t>
      </w:r>
    </w:p>
    <w:p w14:paraId="5B388302" w14:textId="77777777" w:rsidR="00AA0EEF" w:rsidRPr="001940ED" w:rsidRDefault="00AA0EEF" w:rsidP="00635819">
      <w:pPr>
        <w:pStyle w:val="NormalWeb"/>
        <w:spacing w:before="0" w:beforeAutospacing="0" w:after="0" w:afterAutospacing="0"/>
        <w:jc w:val="both"/>
        <w:rPr>
          <w:sz w:val="20"/>
          <w:szCs w:val="20"/>
        </w:rPr>
      </w:pPr>
      <w:r w:rsidRPr="001940ED">
        <w:rPr>
          <w:sz w:val="20"/>
          <w:szCs w:val="20"/>
        </w:rPr>
        <w:t xml:space="preserve"> </w:t>
      </w:r>
    </w:p>
    <w:p w14:paraId="2206D851" w14:textId="77777777" w:rsidR="00AA0EEF" w:rsidRPr="001940ED" w:rsidRDefault="00AA0EEF" w:rsidP="00635819">
      <w:pPr>
        <w:spacing w:after="0" w:line="240" w:lineRule="auto"/>
        <w:jc w:val="both"/>
        <w:rPr>
          <w:rFonts w:ascii="Times New Roman" w:hAnsi="Times New Roman" w:cs="Times New Roman"/>
          <w:sz w:val="20"/>
          <w:szCs w:val="20"/>
        </w:rPr>
      </w:pPr>
      <w:r w:rsidRPr="001940ED">
        <w:rPr>
          <w:rFonts w:ascii="Times New Roman" w:eastAsia="Times New Roman" w:hAnsi="Times New Roman" w:cs="Times New Roman"/>
          <w:sz w:val="20"/>
          <w:szCs w:val="20"/>
        </w:rPr>
        <w:t xml:space="preserve">UNEP. (2024). World Environment Day 2024. </w:t>
      </w:r>
      <w:hyperlink r:id="rId84" w:history="1">
        <w:r w:rsidRPr="001940ED">
          <w:rPr>
            <w:rStyle w:val="Hyperlink"/>
            <w:rFonts w:ascii="Times New Roman" w:eastAsia="Times New Roman" w:hAnsi="Times New Roman" w:cs="Times New Roman"/>
            <w:sz w:val="20"/>
            <w:szCs w:val="20"/>
          </w:rPr>
          <w:t>https://www.unep.org/events/un-day/world-environment-day-2024</w:t>
        </w:r>
      </w:hyperlink>
      <w:r w:rsidRPr="001940ED">
        <w:rPr>
          <w:rFonts w:ascii="Times New Roman" w:eastAsia="Times New Roman" w:hAnsi="Times New Roman" w:cs="Times New Roman"/>
          <w:sz w:val="20"/>
          <w:szCs w:val="20"/>
        </w:rPr>
        <w:t xml:space="preserve"> </w:t>
      </w:r>
    </w:p>
    <w:p w14:paraId="7BA5672D" w14:textId="77777777" w:rsidR="00AA0EEF" w:rsidRPr="001940ED" w:rsidRDefault="00AA0EEF" w:rsidP="00635819">
      <w:pPr>
        <w:spacing w:after="0" w:line="240" w:lineRule="auto"/>
        <w:jc w:val="both"/>
        <w:rPr>
          <w:rFonts w:ascii="Times New Roman" w:eastAsia="Times New Roman" w:hAnsi="Times New Roman" w:cs="Times New Roman"/>
          <w:sz w:val="20"/>
          <w:szCs w:val="20"/>
        </w:rPr>
      </w:pPr>
    </w:p>
    <w:p w14:paraId="13741BB1" w14:textId="77777777" w:rsidR="00AA0EEF" w:rsidRPr="001940ED" w:rsidRDefault="00AA0EEF" w:rsidP="00635819">
      <w:pPr>
        <w:pStyle w:val="NormalWeb"/>
        <w:spacing w:before="0" w:beforeAutospacing="0" w:after="0" w:afterAutospacing="0"/>
        <w:jc w:val="both"/>
        <w:rPr>
          <w:sz w:val="20"/>
          <w:szCs w:val="20"/>
        </w:rPr>
      </w:pPr>
      <w:r w:rsidRPr="001940ED">
        <w:rPr>
          <w:sz w:val="20"/>
          <w:szCs w:val="20"/>
        </w:rPr>
        <w:t xml:space="preserve">UNEP. (2024). Safeguarding the environment for future generations. </w:t>
      </w:r>
      <w:hyperlink r:id="rId85" w:anchor=":~:text=The%20United%20Nations%20Environment%20Programme%20(UNEP)%20is%20the%20United%20Nations,crisis%20of%20pollution%20and%20waste" w:history="1">
        <w:r w:rsidRPr="001940ED">
          <w:rPr>
            <w:rStyle w:val="Hyperlink"/>
            <w:sz w:val="20"/>
            <w:szCs w:val="20"/>
          </w:rPr>
          <w:t>https://www.unep.org/who-we-are/about-us#:~:text=The%20United%20Nations%20Environment%20Programme%20(UNEP)%20is%20the%20United%20Nations,crisis%20of%20pollution%20and%20waste</w:t>
        </w:r>
      </w:hyperlink>
      <w:r w:rsidRPr="001940ED">
        <w:rPr>
          <w:sz w:val="20"/>
          <w:szCs w:val="20"/>
        </w:rPr>
        <w:t xml:space="preserve">. </w:t>
      </w:r>
    </w:p>
    <w:p w14:paraId="68570FF8" w14:textId="77777777" w:rsidR="00AA0EEF" w:rsidRPr="001940ED" w:rsidRDefault="00AA0EEF" w:rsidP="00635819">
      <w:pPr>
        <w:pStyle w:val="NormalWeb"/>
        <w:spacing w:before="0" w:beforeAutospacing="0" w:after="0" w:afterAutospacing="0"/>
        <w:jc w:val="both"/>
        <w:rPr>
          <w:sz w:val="20"/>
          <w:szCs w:val="20"/>
        </w:rPr>
      </w:pPr>
    </w:p>
    <w:p w14:paraId="6F0C7F8C" w14:textId="77777777" w:rsidR="00AA0EEF" w:rsidRPr="001940ED" w:rsidRDefault="00AA0EEF" w:rsidP="00635819">
      <w:pPr>
        <w:spacing w:after="0" w:line="240" w:lineRule="auto"/>
        <w:jc w:val="both"/>
        <w:rPr>
          <w:rStyle w:val="relative"/>
          <w:rFonts w:ascii="Times New Roman" w:hAnsi="Times New Roman" w:cs="Times New Roman"/>
          <w:sz w:val="20"/>
          <w:szCs w:val="20"/>
        </w:rPr>
      </w:pPr>
      <w:r w:rsidRPr="001940ED">
        <w:rPr>
          <w:rStyle w:val="relative"/>
          <w:rFonts w:ascii="Times New Roman" w:hAnsi="Times New Roman" w:cs="Times New Roman"/>
          <w:sz w:val="20"/>
          <w:szCs w:val="20"/>
        </w:rPr>
        <w:t xml:space="preserve">UNESCO. (2021). </w:t>
      </w:r>
      <w:r w:rsidRPr="001940ED">
        <w:rPr>
          <w:rStyle w:val="Emphasis"/>
          <w:rFonts w:ascii="Times New Roman" w:hAnsi="Times New Roman" w:cs="Times New Roman"/>
          <w:sz w:val="20"/>
          <w:szCs w:val="20"/>
        </w:rPr>
        <w:t>To be smart, the digital revolution will need to be inclusive</w:t>
      </w:r>
      <w:r w:rsidRPr="001940ED">
        <w:rPr>
          <w:rStyle w:val="relative"/>
          <w:rFonts w:ascii="Times New Roman" w:hAnsi="Times New Roman" w:cs="Times New Roman"/>
          <w:sz w:val="20"/>
          <w:szCs w:val="20"/>
        </w:rPr>
        <w:t>.</w:t>
      </w:r>
    </w:p>
    <w:p w14:paraId="4D8611A0" w14:textId="77777777" w:rsidR="00AA0EEF" w:rsidRPr="001940ED" w:rsidRDefault="00C6102C" w:rsidP="00635819">
      <w:pPr>
        <w:spacing w:after="0" w:line="240" w:lineRule="auto"/>
        <w:jc w:val="both"/>
        <w:rPr>
          <w:rStyle w:val="relative"/>
          <w:rFonts w:ascii="Times New Roman" w:hAnsi="Times New Roman" w:cs="Times New Roman"/>
          <w:sz w:val="20"/>
          <w:szCs w:val="20"/>
        </w:rPr>
      </w:pPr>
      <w:hyperlink r:id="rId86" w:history="1">
        <w:r w:rsidR="00AA0EEF" w:rsidRPr="001940ED">
          <w:rPr>
            <w:rStyle w:val="Hyperlink"/>
            <w:rFonts w:ascii="Times New Roman" w:hAnsi="Times New Roman" w:cs="Times New Roman"/>
            <w:sz w:val="20"/>
            <w:szCs w:val="20"/>
          </w:rPr>
          <w:t>https://unesdoc.unesco.org/ark:/48223/pf0000375429</w:t>
        </w:r>
      </w:hyperlink>
      <w:r w:rsidR="00AA0EEF" w:rsidRPr="001940ED">
        <w:rPr>
          <w:rStyle w:val="relative"/>
          <w:rFonts w:ascii="Times New Roman" w:hAnsi="Times New Roman" w:cs="Times New Roman"/>
          <w:sz w:val="20"/>
          <w:szCs w:val="20"/>
        </w:rPr>
        <w:t xml:space="preserve"> </w:t>
      </w:r>
    </w:p>
    <w:p w14:paraId="2B5EF307" w14:textId="77777777" w:rsidR="00AA0EEF" w:rsidRPr="001940ED" w:rsidRDefault="00AA0EEF" w:rsidP="00635819">
      <w:pPr>
        <w:spacing w:after="0" w:line="240" w:lineRule="auto"/>
        <w:jc w:val="both"/>
        <w:rPr>
          <w:rFonts w:ascii="Times New Roman" w:hAnsi="Times New Roman" w:cs="Times New Roman"/>
          <w:sz w:val="20"/>
          <w:szCs w:val="20"/>
        </w:rPr>
      </w:pPr>
    </w:p>
    <w:p w14:paraId="749E2D74"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UNESCO. (2024). </w:t>
      </w:r>
      <w:r w:rsidRPr="00635819">
        <w:rPr>
          <w:rStyle w:val="Emphasis"/>
          <w:rFonts w:ascii="Times New Roman" w:hAnsi="Times New Roman" w:cs="Times New Roman"/>
          <w:sz w:val="20"/>
          <w:szCs w:val="20"/>
        </w:rPr>
        <w:t>Empowering women through digital literacy: IFAP’s impact across marginalized communities</w:t>
      </w:r>
      <w:r w:rsidRPr="00635819">
        <w:rPr>
          <w:rFonts w:ascii="Times New Roman" w:hAnsi="Times New Roman" w:cs="Times New Roman"/>
          <w:sz w:val="20"/>
          <w:szCs w:val="20"/>
        </w:rPr>
        <w:t>.</w:t>
      </w:r>
    </w:p>
    <w:p w14:paraId="7342BA24" w14:textId="77777777" w:rsidR="00AA0EEF" w:rsidRPr="00635819" w:rsidRDefault="00C6102C" w:rsidP="00635819">
      <w:pPr>
        <w:spacing w:after="0" w:line="240" w:lineRule="auto"/>
        <w:jc w:val="both"/>
        <w:rPr>
          <w:rFonts w:ascii="Times New Roman" w:hAnsi="Times New Roman" w:cs="Times New Roman"/>
          <w:sz w:val="20"/>
          <w:szCs w:val="20"/>
        </w:rPr>
      </w:pPr>
      <w:hyperlink r:id="rId87" w:history="1">
        <w:r w:rsidR="00AA0EEF" w:rsidRPr="00635819">
          <w:rPr>
            <w:rStyle w:val="Hyperlink"/>
            <w:rFonts w:ascii="Times New Roman" w:hAnsi="Times New Roman" w:cs="Times New Roman"/>
            <w:sz w:val="20"/>
            <w:szCs w:val="20"/>
          </w:rPr>
          <w:t>https://www.unesco.org/en/articles/empowering-women-through-digital-literacy-ifaps-impact-across-marginalized-communities</w:t>
        </w:r>
      </w:hyperlink>
      <w:r w:rsidR="00AA0EEF" w:rsidRPr="00635819">
        <w:rPr>
          <w:rFonts w:ascii="Times New Roman" w:hAnsi="Times New Roman" w:cs="Times New Roman"/>
          <w:sz w:val="20"/>
          <w:szCs w:val="20"/>
        </w:rPr>
        <w:t xml:space="preserve"> </w:t>
      </w:r>
    </w:p>
    <w:p w14:paraId="61EBF2C8" w14:textId="77777777" w:rsidR="00AA0EEF" w:rsidRPr="00635819" w:rsidRDefault="00AA0EEF" w:rsidP="00635819">
      <w:pPr>
        <w:pStyle w:val="NormalWeb"/>
        <w:spacing w:before="0" w:beforeAutospacing="0" w:after="0" w:afterAutospacing="0"/>
        <w:jc w:val="both"/>
        <w:rPr>
          <w:sz w:val="20"/>
          <w:szCs w:val="20"/>
        </w:rPr>
      </w:pPr>
    </w:p>
    <w:p w14:paraId="33CDDEAA"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lastRenderedPageBreak/>
        <w:t xml:space="preserve">UN-Habitat. (2022). </w:t>
      </w:r>
      <w:r w:rsidRPr="00635819">
        <w:rPr>
          <w:rStyle w:val="Emphasis"/>
          <w:sz w:val="20"/>
          <w:szCs w:val="20"/>
        </w:rPr>
        <w:t>Waste Wise Cities: Tackling the Challenge of Urban Waste</w:t>
      </w:r>
      <w:r w:rsidRPr="00635819">
        <w:rPr>
          <w:sz w:val="20"/>
          <w:szCs w:val="20"/>
        </w:rPr>
        <w:t xml:space="preserve">. </w:t>
      </w:r>
      <w:hyperlink r:id="rId88" w:history="1">
        <w:r w:rsidRPr="00635819">
          <w:rPr>
            <w:rStyle w:val="Hyperlink"/>
            <w:sz w:val="20"/>
            <w:szCs w:val="20"/>
          </w:rPr>
          <w:t>https://unhabitat.org/waste-wise-challenge</w:t>
        </w:r>
      </w:hyperlink>
      <w:r w:rsidRPr="00635819">
        <w:rPr>
          <w:sz w:val="20"/>
          <w:szCs w:val="20"/>
        </w:rPr>
        <w:t xml:space="preserve"> </w:t>
      </w:r>
    </w:p>
    <w:p w14:paraId="7BE3EAD5" w14:textId="77777777" w:rsidR="00AA0EEF" w:rsidRPr="00635819" w:rsidRDefault="00AA0EEF" w:rsidP="00635819">
      <w:pPr>
        <w:pStyle w:val="NormalWeb"/>
        <w:spacing w:before="0" w:beforeAutospacing="0" w:after="0" w:afterAutospacing="0"/>
        <w:jc w:val="both"/>
        <w:rPr>
          <w:sz w:val="20"/>
          <w:szCs w:val="20"/>
        </w:rPr>
      </w:pPr>
    </w:p>
    <w:p w14:paraId="71B4EDBA" w14:textId="51CF9B82" w:rsidR="00AA0EEF" w:rsidRPr="00DB317C" w:rsidRDefault="00AA0EEF" w:rsidP="00635819">
      <w:pPr>
        <w:pStyle w:val="Heading1"/>
        <w:spacing w:before="0" w:line="240" w:lineRule="auto"/>
        <w:jc w:val="both"/>
        <w:rPr>
          <w:rFonts w:ascii="Times New Roman" w:hAnsi="Times New Roman" w:cs="Times New Roman"/>
          <w:sz w:val="20"/>
          <w:szCs w:val="20"/>
        </w:rPr>
      </w:pPr>
      <w:r w:rsidRPr="00DB317C">
        <w:rPr>
          <w:rFonts w:ascii="Times New Roman" w:hAnsi="Times New Roman" w:cs="Times New Roman"/>
          <w:color w:val="auto"/>
          <w:sz w:val="20"/>
          <w:szCs w:val="20"/>
        </w:rPr>
        <w:t>UN-Habitat. (2023). Annual Report 2023: Local action in a time of crises.</w:t>
      </w:r>
      <w:r w:rsidRPr="00635819">
        <w:rPr>
          <w:rFonts w:ascii="Times New Roman" w:hAnsi="Times New Roman" w:cs="Times New Roman"/>
          <w:sz w:val="20"/>
          <w:szCs w:val="20"/>
        </w:rPr>
        <w:t xml:space="preserve"> </w:t>
      </w:r>
      <w:hyperlink r:id="rId89" w:history="1">
        <w:r w:rsidR="00DB317C" w:rsidRPr="009D473E">
          <w:rPr>
            <w:rStyle w:val="Hyperlink"/>
            <w:rFonts w:ascii="Times New Roman" w:hAnsi="Times New Roman" w:cs="Times New Roman"/>
            <w:sz w:val="20"/>
            <w:szCs w:val="20"/>
          </w:rPr>
          <w:t>https://unhabitat.org/annual-report-2023</w:t>
        </w:r>
      </w:hyperlink>
      <w:r w:rsidRPr="00635819">
        <w:rPr>
          <w:rFonts w:ascii="Times New Roman" w:hAnsi="Times New Roman" w:cs="Times New Roman"/>
          <w:sz w:val="20"/>
          <w:szCs w:val="20"/>
        </w:rPr>
        <w:t xml:space="preserve"> </w:t>
      </w:r>
    </w:p>
    <w:p w14:paraId="4510FE9E"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3804CB97"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eastAsia="Times New Roman" w:hAnsi="Times New Roman" w:cs="Times New Roman"/>
          <w:sz w:val="20"/>
          <w:szCs w:val="20"/>
        </w:rPr>
        <w:t xml:space="preserve">United Nations Environment </w:t>
      </w:r>
      <w:proofErr w:type="spellStart"/>
      <w:r w:rsidRPr="00635819">
        <w:rPr>
          <w:rFonts w:ascii="Times New Roman" w:eastAsia="Times New Roman" w:hAnsi="Times New Roman" w:cs="Times New Roman"/>
          <w:sz w:val="20"/>
          <w:szCs w:val="20"/>
        </w:rPr>
        <w:t>Programme</w:t>
      </w:r>
      <w:proofErr w:type="spellEnd"/>
      <w:r w:rsidRPr="00635819">
        <w:rPr>
          <w:rFonts w:ascii="Times New Roman" w:eastAsia="Times New Roman" w:hAnsi="Times New Roman" w:cs="Times New Roman"/>
          <w:sz w:val="20"/>
          <w:szCs w:val="20"/>
        </w:rPr>
        <w:t xml:space="preserve"> (UNEP). (2023). </w:t>
      </w:r>
      <w:r w:rsidRPr="00635819">
        <w:rPr>
          <w:rFonts w:ascii="Times New Roman" w:hAnsi="Times New Roman" w:cs="Times New Roman"/>
          <w:sz w:val="20"/>
          <w:szCs w:val="20"/>
        </w:rPr>
        <w:t xml:space="preserve">The Circularity Gap Report: Latin America and the Caribbean. </w:t>
      </w:r>
      <w:hyperlink r:id="rId90" w:history="1">
        <w:r w:rsidRPr="00635819">
          <w:rPr>
            <w:rStyle w:val="Hyperlink"/>
            <w:rFonts w:ascii="Times New Roman" w:hAnsi="Times New Roman" w:cs="Times New Roman"/>
            <w:sz w:val="20"/>
            <w:szCs w:val="20"/>
          </w:rPr>
          <w:t>https://www.unep.org/resources/report/circularity-gap-report-latin-america-and-caribbean</w:t>
        </w:r>
      </w:hyperlink>
      <w:r w:rsidRPr="00635819">
        <w:rPr>
          <w:rFonts w:ascii="Times New Roman" w:hAnsi="Times New Roman" w:cs="Times New Roman"/>
          <w:sz w:val="20"/>
          <w:szCs w:val="20"/>
        </w:rPr>
        <w:t xml:space="preserve"> </w:t>
      </w:r>
    </w:p>
    <w:p w14:paraId="2B0331AE"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3495A12D"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United Nations Human Settlements </w:t>
      </w:r>
      <w:proofErr w:type="spellStart"/>
      <w:r w:rsidRPr="00635819">
        <w:rPr>
          <w:rFonts w:ascii="Times New Roman" w:eastAsia="Times New Roman" w:hAnsi="Times New Roman" w:cs="Times New Roman"/>
          <w:sz w:val="20"/>
          <w:szCs w:val="20"/>
        </w:rPr>
        <w:t>Programme</w:t>
      </w:r>
      <w:proofErr w:type="spellEnd"/>
      <w:r w:rsidRPr="00635819">
        <w:rPr>
          <w:rFonts w:ascii="Times New Roman" w:eastAsia="Times New Roman" w:hAnsi="Times New Roman" w:cs="Times New Roman"/>
          <w:sz w:val="20"/>
          <w:szCs w:val="20"/>
        </w:rPr>
        <w:t xml:space="preserve"> (UN-Habitat). (2022). </w:t>
      </w:r>
      <w:hyperlink r:id="rId91" w:history="1">
        <w:r w:rsidRPr="00635819">
          <w:rPr>
            <w:rStyle w:val="Hyperlink"/>
            <w:rFonts w:ascii="Times New Roman" w:eastAsia="Times New Roman" w:hAnsi="Times New Roman" w:cs="Times New Roman"/>
            <w:sz w:val="20"/>
            <w:szCs w:val="20"/>
          </w:rPr>
          <w:t>https://sdgs.un.org/un-system-sdg-implementation/united-nations-human-settlements-programme-un-habitat-54137</w:t>
        </w:r>
      </w:hyperlink>
      <w:r w:rsidRPr="00635819">
        <w:rPr>
          <w:rFonts w:ascii="Times New Roman" w:eastAsia="Times New Roman" w:hAnsi="Times New Roman" w:cs="Times New Roman"/>
          <w:sz w:val="20"/>
          <w:szCs w:val="20"/>
        </w:rPr>
        <w:t xml:space="preserve"> </w:t>
      </w:r>
    </w:p>
    <w:p w14:paraId="6B550154"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3720E662"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United Nations Development </w:t>
      </w:r>
      <w:proofErr w:type="spellStart"/>
      <w:r w:rsidRPr="00635819">
        <w:rPr>
          <w:sz w:val="20"/>
          <w:szCs w:val="20"/>
        </w:rPr>
        <w:t>Programme</w:t>
      </w:r>
      <w:proofErr w:type="spellEnd"/>
      <w:r w:rsidRPr="00635819">
        <w:rPr>
          <w:sz w:val="20"/>
          <w:szCs w:val="20"/>
        </w:rPr>
        <w:t xml:space="preserve">. (2022). The National Human Development Reports of Bangladesh. </w:t>
      </w:r>
      <w:hyperlink r:id="rId92" w:history="1">
        <w:r w:rsidRPr="00635819">
          <w:rPr>
            <w:rStyle w:val="Hyperlink"/>
            <w:sz w:val="20"/>
            <w:szCs w:val="20"/>
          </w:rPr>
          <w:t>https://www.undp.org/bangladesh/publications/national-human-development-reports-bangladesh</w:t>
        </w:r>
      </w:hyperlink>
      <w:r w:rsidRPr="00635819">
        <w:rPr>
          <w:sz w:val="20"/>
          <w:szCs w:val="20"/>
        </w:rPr>
        <w:t xml:space="preserve"> </w:t>
      </w:r>
    </w:p>
    <w:p w14:paraId="0433029D" w14:textId="77777777" w:rsidR="00AA0EEF" w:rsidRPr="00635819" w:rsidRDefault="00AA0EEF" w:rsidP="00635819">
      <w:pPr>
        <w:pStyle w:val="NormalWeb"/>
        <w:spacing w:before="0" w:beforeAutospacing="0" w:after="0" w:afterAutospacing="0"/>
        <w:jc w:val="both"/>
        <w:rPr>
          <w:sz w:val="20"/>
          <w:szCs w:val="20"/>
        </w:rPr>
      </w:pPr>
    </w:p>
    <w:p w14:paraId="1F97AF76" w14:textId="77777777" w:rsidR="00DB317C"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United Nations Environment </w:t>
      </w:r>
      <w:proofErr w:type="spellStart"/>
      <w:r w:rsidRPr="00635819">
        <w:rPr>
          <w:rFonts w:ascii="Times New Roman" w:hAnsi="Times New Roman" w:cs="Times New Roman"/>
          <w:sz w:val="20"/>
          <w:szCs w:val="20"/>
        </w:rPr>
        <w:t>Programme</w:t>
      </w:r>
      <w:proofErr w:type="spellEnd"/>
      <w:r w:rsidRPr="00635819">
        <w:rPr>
          <w:rFonts w:ascii="Times New Roman" w:hAnsi="Times New Roman" w:cs="Times New Roman"/>
          <w:sz w:val="20"/>
          <w:szCs w:val="20"/>
        </w:rPr>
        <w:t xml:space="preserve">. (2021). </w:t>
      </w:r>
      <w:r w:rsidRPr="00635819">
        <w:rPr>
          <w:rStyle w:val="Emphasis"/>
          <w:rFonts w:ascii="Times New Roman" w:hAnsi="Times New Roman" w:cs="Times New Roman"/>
          <w:sz w:val="20"/>
          <w:szCs w:val="20"/>
        </w:rPr>
        <w:t>From Pollution to Solution: A global assessment of marine litter and plastic pollution</w:t>
      </w:r>
      <w:r w:rsidRPr="00635819">
        <w:rPr>
          <w:rFonts w:ascii="Times New Roman" w:hAnsi="Times New Roman" w:cs="Times New Roman"/>
          <w:sz w:val="20"/>
          <w:szCs w:val="20"/>
        </w:rPr>
        <w:t xml:space="preserve">. </w:t>
      </w:r>
    </w:p>
    <w:p w14:paraId="4C1863FE" w14:textId="14DDA4C1" w:rsidR="00AA0EEF" w:rsidRPr="00635819" w:rsidRDefault="00C6102C" w:rsidP="00635819">
      <w:pPr>
        <w:spacing w:after="0" w:line="240" w:lineRule="auto"/>
        <w:jc w:val="both"/>
        <w:rPr>
          <w:rFonts w:ascii="Times New Roman" w:hAnsi="Times New Roman" w:cs="Times New Roman"/>
          <w:sz w:val="20"/>
          <w:szCs w:val="20"/>
        </w:rPr>
      </w:pPr>
      <w:hyperlink r:id="rId93" w:history="1">
        <w:r w:rsidR="00DB317C" w:rsidRPr="009D473E">
          <w:rPr>
            <w:rStyle w:val="Hyperlink"/>
            <w:rFonts w:ascii="Times New Roman" w:hAnsi="Times New Roman" w:cs="Times New Roman"/>
            <w:sz w:val="20"/>
            <w:szCs w:val="20"/>
          </w:rPr>
          <w:t>https://www.unep.org/resources/pollution-solution-global-assessment-marine-litter-and-plastic-pollution</w:t>
        </w:r>
      </w:hyperlink>
      <w:r w:rsidR="00AA0EEF" w:rsidRPr="00635819">
        <w:rPr>
          <w:rFonts w:ascii="Times New Roman" w:hAnsi="Times New Roman" w:cs="Times New Roman"/>
          <w:sz w:val="20"/>
          <w:szCs w:val="20"/>
        </w:rPr>
        <w:t xml:space="preserve"> </w:t>
      </w:r>
    </w:p>
    <w:p w14:paraId="5EC0E070" w14:textId="77777777" w:rsidR="00AA0EEF" w:rsidRPr="00635819" w:rsidRDefault="00AA0EEF" w:rsidP="00635819">
      <w:pPr>
        <w:spacing w:after="0" w:line="240" w:lineRule="auto"/>
        <w:jc w:val="both"/>
        <w:rPr>
          <w:rFonts w:ascii="Times New Roman" w:hAnsi="Times New Roman" w:cs="Times New Roman"/>
          <w:sz w:val="20"/>
          <w:szCs w:val="20"/>
        </w:rPr>
      </w:pPr>
    </w:p>
    <w:p w14:paraId="526C2248" w14:textId="77777777" w:rsidR="00DB317C"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UN SDSN. (2023). Sustainable Development Report 2023. </w:t>
      </w:r>
    </w:p>
    <w:p w14:paraId="286F085F" w14:textId="206593E4" w:rsidR="00AA0EEF" w:rsidRPr="00635819" w:rsidRDefault="00C6102C" w:rsidP="00635819">
      <w:pPr>
        <w:spacing w:after="0" w:line="240" w:lineRule="auto"/>
        <w:jc w:val="both"/>
        <w:rPr>
          <w:rFonts w:ascii="Times New Roman" w:hAnsi="Times New Roman" w:cs="Times New Roman"/>
          <w:sz w:val="20"/>
          <w:szCs w:val="20"/>
        </w:rPr>
      </w:pPr>
      <w:hyperlink r:id="rId94" w:history="1">
        <w:r w:rsidR="00DB317C" w:rsidRPr="009D473E">
          <w:rPr>
            <w:rStyle w:val="Hyperlink"/>
            <w:rFonts w:ascii="Times New Roman" w:eastAsia="Times New Roman" w:hAnsi="Times New Roman" w:cs="Times New Roman"/>
            <w:sz w:val="20"/>
            <w:szCs w:val="20"/>
          </w:rPr>
          <w:t>https://www.unsdsn.org/resources/sustainable-development-report-2023/</w:t>
        </w:r>
      </w:hyperlink>
      <w:r w:rsidR="00AA0EEF" w:rsidRPr="00635819">
        <w:rPr>
          <w:rFonts w:ascii="Times New Roman" w:eastAsia="Times New Roman" w:hAnsi="Times New Roman" w:cs="Times New Roman"/>
          <w:sz w:val="20"/>
          <w:szCs w:val="20"/>
        </w:rPr>
        <w:t xml:space="preserve"> </w:t>
      </w:r>
    </w:p>
    <w:p w14:paraId="46A0FCA1" w14:textId="77777777" w:rsidR="00AA0EEF" w:rsidRPr="00635819" w:rsidRDefault="00AA0EEF" w:rsidP="00635819">
      <w:pPr>
        <w:spacing w:after="0" w:line="240" w:lineRule="auto"/>
        <w:jc w:val="both"/>
        <w:rPr>
          <w:rFonts w:ascii="Times New Roman" w:hAnsi="Times New Roman" w:cs="Times New Roman"/>
          <w:sz w:val="20"/>
          <w:szCs w:val="20"/>
        </w:rPr>
      </w:pPr>
    </w:p>
    <w:p w14:paraId="187825D7" w14:textId="77777777" w:rsidR="00DB317C" w:rsidRDefault="00AA0EEF" w:rsidP="00635819">
      <w:pPr>
        <w:pStyle w:val="NormalWeb"/>
        <w:spacing w:before="0" w:beforeAutospacing="0" w:after="0" w:afterAutospacing="0"/>
        <w:jc w:val="both"/>
        <w:rPr>
          <w:sz w:val="20"/>
          <w:szCs w:val="20"/>
        </w:rPr>
      </w:pPr>
      <w:r w:rsidRPr="00635819">
        <w:rPr>
          <w:sz w:val="20"/>
          <w:szCs w:val="20"/>
        </w:rPr>
        <w:t xml:space="preserve">Verra. (2023). </w:t>
      </w:r>
      <w:r w:rsidRPr="00635819">
        <w:rPr>
          <w:rStyle w:val="Emphasis"/>
          <w:sz w:val="20"/>
          <w:szCs w:val="20"/>
        </w:rPr>
        <w:t>Verified Carbon Standard (VCS) Program Updates for Urban Projects</w:t>
      </w:r>
      <w:r w:rsidRPr="00635819">
        <w:rPr>
          <w:sz w:val="20"/>
          <w:szCs w:val="20"/>
        </w:rPr>
        <w:t xml:space="preserve">. Retrieved from </w:t>
      </w:r>
    </w:p>
    <w:p w14:paraId="29087758" w14:textId="29AD3186" w:rsidR="00AA0EEF" w:rsidRPr="00635819" w:rsidRDefault="00C6102C" w:rsidP="00635819">
      <w:pPr>
        <w:pStyle w:val="NormalWeb"/>
        <w:spacing w:before="0" w:beforeAutospacing="0" w:after="0" w:afterAutospacing="0"/>
        <w:jc w:val="both"/>
        <w:rPr>
          <w:sz w:val="20"/>
          <w:szCs w:val="20"/>
        </w:rPr>
      </w:pPr>
      <w:hyperlink r:id="rId95" w:history="1">
        <w:r w:rsidR="00DB317C" w:rsidRPr="009D473E">
          <w:rPr>
            <w:rStyle w:val="Hyperlink"/>
            <w:sz w:val="20"/>
            <w:szCs w:val="20"/>
          </w:rPr>
          <w:t>https://verra.org</w:t>
        </w:r>
      </w:hyperlink>
      <w:r w:rsidR="00AA0EEF" w:rsidRPr="00635819">
        <w:rPr>
          <w:sz w:val="20"/>
          <w:szCs w:val="20"/>
        </w:rPr>
        <w:t xml:space="preserve"> </w:t>
      </w:r>
    </w:p>
    <w:p w14:paraId="44D7300D" w14:textId="77777777" w:rsidR="00AA0EEF" w:rsidRPr="00635819" w:rsidRDefault="00AA0EEF" w:rsidP="00635819">
      <w:pPr>
        <w:pStyle w:val="NormalWeb"/>
        <w:spacing w:before="0" w:beforeAutospacing="0" w:after="0" w:afterAutospacing="0"/>
        <w:jc w:val="both"/>
        <w:rPr>
          <w:sz w:val="20"/>
          <w:szCs w:val="20"/>
        </w:rPr>
      </w:pPr>
    </w:p>
    <w:p w14:paraId="3D3F17FF" w14:textId="77777777" w:rsidR="00DB317C" w:rsidRDefault="00AA0EEF" w:rsidP="00635819">
      <w:pPr>
        <w:pStyle w:val="NormalWeb"/>
        <w:spacing w:before="0" w:beforeAutospacing="0" w:after="0" w:afterAutospacing="0"/>
        <w:jc w:val="both"/>
        <w:rPr>
          <w:sz w:val="20"/>
          <w:szCs w:val="20"/>
        </w:rPr>
      </w:pPr>
      <w:r w:rsidRPr="00635819">
        <w:rPr>
          <w:sz w:val="20"/>
          <w:szCs w:val="20"/>
        </w:rPr>
        <w:t xml:space="preserve">Verra. (2023). </w:t>
      </w:r>
      <w:r w:rsidRPr="00635819">
        <w:rPr>
          <w:rStyle w:val="Emphasis"/>
          <w:sz w:val="20"/>
          <w:szCs w:val="20"/>
        </w:rPr>
        <w:t>Verified Carbon Standard (VCS) Program Updates</w:t>
      </w:r>
      <w:r w:rsidRPr="00635819">
        <w:rPr>
          <w:sz w:val="20"/>
          <w:szCs w:val="20"/>
        </w:rPr>
        <w:t xml:space="preserve">. Retrieved from </w:t>
      </w:r>
    </w:p>
    <w:p w14:paraId="0E5B4EB3" w14:textId="518B34EF" w:rsidR="00AA0EEF" w:rsidRPr="00635819" w:rsidRDefault="00C6102C" w:rsidP="00635819">
      <w:pPr>
        <w:pStyle w:val="NormalWeb"/>
        <w:spacing w:before="0" w:beforeAutospacing="0" w:after="0" w:afterAutospacing="0"/>
        <w:jc w:val="both"/>
        <w:rPr>
          <w:sz w:val="20"/>
          <w:szCs w:val="20"/>
        </w:rPr>
      </w:pPr>
      <w:hyperlink r:id="rId96" w:history="1">
        <w:r w:rsidR="00397E9F" w:rsidRPr="009D473E">
          <w:rPr>
            <w:rStyle w:val="Hyperlink"/>
            <w:sz w:val="20"/>
            <w:szCs w:val="20"/>
          </w:rPr>
          <w:t>https://verra.org/project/vcs-program/</w:t>
        </w:r>
      </w:hyperlink>
      <w:r w:rsidR="00AA0EEF" w:rsidRPr="00635819">
        <w:rPr>
          <w:sz w:val="20"/>
          <w:szCs w:val="20"/>
        </w:rPr>
        <w:t xml:space="preserve"> </w:t>
      </w:r>
    </w:p>
    <w:p w14:paraId="5FE6D2B0" w14:textId="77777777" w:rsidR="00AA0EEF" w:rsidRPr="00635819" w:rsidRDefault="00AA0EEF" w:rsidP="00635819">
      <w:pPr>
        <w:pStyle w:val="NormalWeb"/>
        <w:spacing w:before="0" w:beforeAutospacing="0" w:after="0" w:afterAutospacing="0"/>
        <w:jc w:val="both"/>
        <w:rPr>
          <w:sz w:val="20"/>
          <w:szCs w:val="20"/>
        </w:rPr>
      </w:pPr>
    </w:p>
    <w:p w14:paraId="352D837A" w14:textId="78F9DAE4" w:rsidR="00AA0EEF" w:rsidRPr="00412DBA" w:rsidRDefault="00AA0EEF" w:rsidP="00635819">
      <w:pPr>
        <w:pStyle w:val="NormalWeb"/>
        <w:spacing w:before="0" w:beforeAutospacing="0" w:after="0" w:afterAutospacing="0"/>
        <w:jc w:val="both"/>
        <w:rPr>
          <w:rStyle w:val="Hyperlink"/>
          <w:sz w:val="20"/>
          <w:szCs w:val="20"/>
        </w:rPr>
      </w:pPr>
      <w:r w:rsidRPr="00412DBA">
        <w:rPr>
          <w:sz w:val="20"/>
          <w:szCs w:val="20"/>
        </w:rPr>
        <w:t xml:space="preserve">World Bank. (2018). </w:t>
      </w:r>
      <w:r w:rsidRPr="00412DBA">
        <w:rPr>
          <w:rStyle w:val="Emphasis"/>
          <w:sz w:val="20"/>
          <w:szCs w:val="20"/>
        </w:rPr>
        <w:t>What a waste 2.0: A global snapshot of solid waste management to 2050</w:t>
      </w:r>
      <w:r w:rsidRPr="00412DBA">
        <w:rPr>
          <w:sz w:val="20"/>
          <w:szCs w:val="20"/>
        </w:rPr>
        <w:t xml:space="preserve">. World Bank Publications. </w:t>
      </w:r>
      <w:hyperlink r:id="rId97" w:tgtFrame="_new" w:history="1">
        <w:r w:rsidRPr="00412DBA">
          <w:rPr>
            <w:rStyle w:val="Hyperlink"/>
            <w:sz w:val="20"/>
            <w:szCs w:val="20"/>
          </w:rPr>
          <w:t>https://openknowledge.worldbank.org/handle/10986/30317</w:t>
        </w:r>
      </w:hyperlink>
    </w:p>
    <w:p w14:paraId="244F5EC1" w14:textId="13F2EAC2" w:rsidR="00412DBA" w:rsidRPr="00412DBA" w:rsidRDefault="00412DBA" w:rsidP="00635819">
      <w:pPr>
        <w:pStyle w:val="NormalWeb"/>
        <w:spacing w:before="0" w:beforeAutospacing="0" w:after="0" w:afterAutospacing="0"/>
        <w:jc w:val="both"/>
        <w:rPr>
          <w:rStyle w:val="Hyperlink"/>
          <w:sz w:val="20"/>
          <w:szCs w:val="20"/>
        </w:rPr>
      </w:pPr>
    </w:p>
    <w:p w14:paraId="2735FD68" w14:textId="77777777" w:rsidR="00412DBA" w:rsidRDefault="00412DBA" w:rsidP="00635819">
      <w:pPr>
        <w:pStyle w:val="NormalWeb"/>
        <w:spacing w:before="0" w:beforeAutospacing="0" w:after="0" w:afterAutospacing="0"/>
        <w:jc w:val="both"/>
        <w:rPr>
          <w:rStyle w:val="muibox-root"/>
          <w:sz w:val="20"/>
          <w:szCs w:val="20"/>
        </w:rPr>
      </w:pPr>
      <w:r w:rsidRPr="00412DBA">
        <w:rPr>
          <w:rStyle w:val="muibox-root"/>
          <w:sz w:val="20"/>
          <w:szCs w:val="20"/>
        </w:rPr>
        <w:t xml:space="preserve">World Bank Group. (2013). Cities building resilience for a changing world. In </w:t>
      </w:r>
      <w:r w:rsidRPr="00412DBA">
        <w:rPr>
          <w:rStyle w:val="muibox-root"/>
          <w:i/>
          <w:iCs/>
          <w:sz w:val="20"/>
          <w:szCs w:val="20"/>
        </w:rPr>
        <w:t>World Bank</w:t>
      </w:r>
      <w:r w:rsidRPr="00412DBA">
        <w:rPr>
          <w:rStyle w:val="muibox-root"/>
          <w:sz w:val="20"/>
          <w:szCs w:val="20"/>
        </w:rPr>
        <w:t xml:space="preserve">. </w:t>
      </w:r>
    </w:p>
    <w:p w14:paraId="6924C361" w14:textId="14A86AFF" w:rsidR="00412DBA" w:rsidRPr="00412DBA" w:rsidRDefault="00C6102C" w:rsidP="00635819">
      <w:pPr>
        <w:pStyle w:val="NormalWeb"/>
        <w:spacing w:before="0" w:beforeAutospacing="0" w:after="0" w:afterAutospacing="0"/>
        <w:jc w:val="both"/>
        <w:rPr>
          <w:rStyle w:val="Hyperlink"/>
          <w:sz w:val="20"/>
          <w:szCs w:val="20"/>
        </w:rPr>
      </w:pPr>
      <w:hyperlink r:id="rId98" w:history="1">
        <w:r w:rsidR="00672545" w:rsidRPr="00BF69E9">
          <w:rPr>
            <w:rStyle w:val="Hyperlink"/>
            <w:sz w:val="20"/>
            <w:szCs w:val="20"/>
          </w:rPr>
          <w:t>https://www.worldbank.org/en/topic/urbandevelopment/publication/Cities-Building-Resilience-for-a-Changing-World</w:t>
        </w:r>
      </w:hyperlink>
      <w:r w:rsidR="00412DBA" w:rsidRPr="00412DBA">
        <w:rPr>
          <w:rStyle w:val="url"/>
          <w:sz w:val="20"/>
          <w:szCs w:val="20"/>
        </w:rPr>
        <w:t xml:space="preserve"> </w:t>
      </w:r>
    </w:p>
    <w:p w14:paraId="2E19BB7C" w14:textId="77777777" w:rsidR="00AA0EEF" w:rsidRPr="00412DBA" w:rsidRDefault="00AA0EEF" w:rsidP="00635819">
      <w:pPr>
        <w:pStyle w:val="NormalWeb"/>
        <w:spacing w:before="0" w:beforeAutospacing="0" w:after="0" w:afterAutospacing="0"/>
        <w:jc w:val="both"/>
        <w:rPr>
          <w:rStyle w:val="Hyperlink"/>
          <w:sz w:val="20"/>
          <w:szCs w:val="20"/>
        </w:rPr>
      </w:pPr>
    </w:p>
    <w:p w14:paraId="2C3A478F" w14:textId="77777777" w:rsidR="00AA0EEF" w:rsidRPr="00412DBA" w:rsidRDefault="00AA0EEF" w:rsidP="00635819">
      <w:pPr>
        <w:pStyle w:val="NormalWeb"/>
        <w:spacing w:before="0" w:beforeAutospacing="0" w:after="0" w:afterAutospacing="0"/>
        <w:jc w:val="both"/>
        <w:rPr>
          <w:sz w:val="20"/>
          <w:szCs w:val="20"/>
        </w:rPr>
      </w:pPr>
      <w:proofErr w:type="spellStart"/>
      <w:r w:rsidRPr="00412DBA">
        <w:rPr>
          <w:rStyle w:val="muibox-root"/>
          <w:sz w:val="20"/>
          <w:szCs w:val="20"/>
        </w:rPr>
        <w:t>Yevle</w:t>
      </w:r>
      <w:proofErr w:type="spellEnd"/>
      <w:r w:rsidRPr="00412DBA">
        <w:rPr>
          <w:rStyle w:val="muibox-root"/>
          <w:sz w:val="20"/>
          <w:szCs w:val="20"/>
        </w:rPr>
        <w:t xml:space="preserve">, D. V., &amp; Mann, P. S. (2025). Artificial Intelligence‐Based Waste Management: A review of classification, techniques, issues, and challenges. </w:t>
      </w:r>
      <w:r w:rsidRPr="00412DBA">
        <w:rPr>
          <w:rStyle w:val="muibox-root"/>
          <w:i/>
          <w:iCs/>
          <w:sz w:val="20"/>
          <w:szCs w:val="20"/>
        </w:rPr>
        <w:t>Wiley Interdisciplinary Reviews Data Mining and Knowledge Discovery</w:t>
      </w:r>
      <w:r w:rsidRPr="00412DBA">
        <w:rPr>
          <w:rStyle w:val="muibox-root"/>
          <w:sz w:val="20"/>
          <w:szCs w:val="20"/>
        </w:rPr>
        <w:t xml:space="preserve">, </w:t>
      </w:r>
      <w:r w:rsidRPr="00412DBA">
        <w:rPr>
          <w:rStyle w:val="muibox-root"/>
          <w:i/>
          <w:iCs/>
          <w:sz w:val="20"/>
          <w:szCs w:val="20"/>
        </w:rPr>
        <w:t>15</w:t>
      </w:r>
      <w:r w:rsidRPr="00412DBA">
        <w:rPr>
          <w:rStyle w:val="muibox-root"/>
          <w:sz w:val="20"/>
          <w:szCs w:val="20"/>
        </w:rPr>
        <w:t xml:space="preserve">(2). </w:t>
      </w:r>
      <w:hyperlink r:id="rId99" w:history="1">
        <w:r w:rsidRPr="00412DBA">
          <w:rPr>
            <w:rStyle w:val="Hyperlink"/>
            <w:sz w:val="20"/>
            <w:szCs w:val="20"/>
          </w:rPr>
          <w:t>https://doi.org/10.1002/widm.70025</w:t>
        </w:r>
      </w:hyperlink>
      <w:r w:rsidRPr="00412DBA">
        <w:rPr>
          <w:rStyle w:val="url"/>
          <w:sz w:val="20"/>
          <w:szCs w:val="20"/>
        </w:rPr>
        <w:t xml:space="preserve"> </w:t>
      </w:r>
    </w:p>
    <w:p w14:paraId="52D805AD" w14:textId="77777777" w:rsidR="00AA0EEF" w:rsidRPr="00635819" w:rsidRDefault="00AA0EEF" w:rsidP="00635819">
      <w:pPr>
        <w:pStyle w:val="NormalWeb"/>
        <w:spacing w:before="0" w:beforeAutospacing="0" w:after="0" w:afterAutospacing="0"/>
        <w:jc w:val="both"/>
        <w:rPr>
          <w:sz w:val="20"/>
          <w:szCs w:val="20"/>
        </w:rPr>
      </w:pPr>
    </w:p>
    <w:p w14:paraId="445E97B0" w14:textId="77777777" w:rsidR="00AA0EEF" w:rsidRPr="00635819" w:rsidRDefault="00AA0EEF" w:rsidP="00635819">
      <w:pPr>
        <w:pStyle w:val="NormalWeb"/>
        <w:spacing w:before="0" w:beforeAutospacing="0" w:after="0" w:afterAutospacing="0"/>
        <w:jc w:val="both"/>
        <w:rPr>
          <w:sz w:val="20"/>
          <w:szCs w:val="20"/>
        </w:rPr>
      </w:pPr>
      <w:r w:rsidRPr="00635819">
        <w:rPr>
          <w:rStyle w:val="muibox-root"/>
          <w:sz w:val="20"/>
          <w:szCs w:val="20"/>
        </w:rPr>
        <w:t xml:space="preserve">Zhou, Y. (2025). AI-driven Digital Circular Economy with Material and Energy Sustainability for Industry 4.0. </w:t>
      </w:r>
      <w:r w:rsidRPr="00635819">
        <w:rPr>
          <w:rStyle w:val="muibox-root"/>
          <w:i/>
          <w:iCs/>
          <w:sz w:val="20"/>
          <w:szCs w:val="20"/>
        </w:rPr>
        <w:t>Energy and AI</w:t>
      </w:r>
      <w:r w:rsidRPr="00635819">
        <w:rPr>
          <w:rStyle w:val="muibox-root"/>
          <w:sz w:val="20"/>
          <w:szCs w:val="20"/>
        </w:rPr>
        <w:t xml:space="preserve">, 100508. </w:t>
      </w:r>
      <w:hyperlink r:id="rId100" w:history="1">
        <w:r w:rsidRPr="00635819">
          <w:rPr>
            <w:rStyle w:val="Hyperlink"/>
            <w:sz w:val="20"/>
            <w:szCs w:val="20"/>
          </w:rPr>
          <w:t>https://doi.org/10.1016/j.egyai.2025.100508</w:t>
        </w:r>
      </w:hyperlink>
      <w:r w:rsidRPr="00635819">
        <w:rPr>
          <w:rStyle w:val="url"/>
          <w:sz w:val="20"/>
          <w:szCs w:val="20"/>
        </w:rPr>
        <w:t xml:space="preserve"> </w:t>
      </w:r>
    </w:p>
    <w:p w14:paraId="7BEE0C9B" w14:textId="77777777" w:rsidR="00AA0EEF" w:rsidRPr="00635819" w:rsidRDefault="00AA0EEF" w:rsidP="00635819">
      <w:pPr>
        <w:pStyle w:val="NormalWeb"/>
        <w:spacing w:before="0" w:beforeAutospacing="0" w:after="0" w:afterAutospacing="0"/>
        <w:jc w:val="both"/>
        <w:rPr>
          <w:sz w:val="20"/>
          <w:szCs w:val="20"/>
        </w:rPr>
      </w:pPr>
    </w:p>
    <w:p w14:paraId="7666960F" w14:textId="3999B525" w:rsidR="00AA0EEF" w:rsidRDefault="00AA0EEF" w:rsidP="00635819">
      <w:pPr>
        <w:spacing w:after="0" w:line="240" w:lineRule="auto"/>
        <w:jc w:val="both"/>
        <w:rPr>
          <w:rStyle w:val="url"/>
          <w:rFonts w:ascii="Times New Roman" w:hAnsi="Times New Roman" w:cs="Times New Roman"/>
          <w:sz w:val="20"/>
          <w:szCs w:val="20"/>
        </w:rPr>
      </w:pPr>
      <w:r w:rsidRPr="00635819">
        <w:rPr>
          <w:rFonts w:ascii="Times New Roman" w:hAnsi="Times New Roman" w:cs="Times New Roman"/>
          <w:sz w:val="20"/>
          <w:szCs w:val="20"/>
        </w:rPr>
        <w:t xml:space="preserve">12.5 Substantially reduce waste generation through prevention, reduction, recycling and reuse. SDG. (n.d.). </w:t>
      </w:r>
      <w:hyperlink r:id="rId101" w:history="1">
        <w:r w:rsidRPr="00635819">
          <w:rPr>
            <w:rStyle w:val="Hyperlink"/>
            <w:rFonts w:ascii="Times New Roman" w:hAnsi="Times New Roman" w:cs="Times New Roman"/>
            <w:sz w:val="20"/>
            <w:szCs w:val="20"/>
          </w:rPr>
          <w:t>https://sdg.esa.int/target/125-substantially-reduce-waste-generation-through-prevention-reduction-recycling-and-reuse</w:t>
        </w:r>
      </w:hyperlink>
      <w:r w:rsidRPr="00635819">
        <w:rPr>
          <w:rStyle w:val="url"/>
          <w:rFonts w:ascii="Times New Roman" w:hAnsi="Times New Roman" w:cs="Times New Roman"/>
          <w:sz w:val="20"/>
          <w:szCs w:val="20"/>
        </w:rPr>
        <w:t xml:space="preserve"> </w:t>
      </w:r>
    </w:p>
    <w:p w14:paraId="58C71053" w14:textId="67CA2FB8" w:rsidR="004B44AB" w:rsidRDefault="004B44AB" w:rsidP="00635819">
      <w:pPr>
        <w:spacing w:after="0" w:line="240" w:lineRule="auto"/>
        <w:jc w:val="both"/>
        <w:rPr>
          <w:rStyle w:val="url"/>
          <w:rFonts w:ascii="Times New Roman" w:hAnsi="Times New Roman" w:cs="Times New Roman"/>
          <w:sz w:val="20"/>
          <w:szCs w:val="20"/>
        </w:rPr>
      </w:pPr>
    </w:p>
    <w:p w14:paraId="52959171" w14:textId="77777777" w:rsidR="004B44AB" w:rsidRPr="00635819" w:rsidRDefault="004B44AB" w:rsidP="00635819">
      <w:pPr>
        <w:spacing w:after="0" w:line="240" w:lineRule="auto"/>
        <w:jc w:val="both"/>
        <w:rPr>
          <w:rFonts w:ascii="Times New Roman" w:hAnsi="Times New Roman" w:cs="Times New Roman"/>
          <w:sz w:val="20"/>
          <w:szCs w:val="20"/>
        </w:rPr>
      </w:pPr>
    </w:p>
    <w:sectPr w:rsidR="004B44AB" w:rsidRPr="00635819" w:rsidSect="00830DD4">
      <w:headerReference w:type="even" r:id="rId102"/>
      <w:headerReference w:type="default" r:id="rId103"/>
      <w:footerReference w:type="even" r:id="rId104"/>
      <w:footerReference w:type="default" r:id="rId105"/>
      <w:headerReference w:type="first" r:id="rId106"/>
      <w:footerReference w:type="first" r:id="rId107"/>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C39F1" w14:textId="77777777" w:rsidR="00C6102C" w:rsidRDefault="00C6102C" w:rsidP="00EF1066">
      <w:pPr>
        <w:spacing w:after="0" w:line="240" w:lineRule="auto"/>
      </w:pPr>
      <w:r>
        <w:separator/>
      </w:r>
    </w:p>
  </w:endnote>
  <w:endnote w:type="continuationSeparator" w:id="0">
    <w:p w14:paraId="0A996513" w14:textId="77777777" w:rsidR="00C6102C" w:rsidRDefault="00C6102C" w:rsidP="00EF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A850" w14:textId="77777777" w:rsidR="00EF1066" w:rsidRDefault="00EF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7F3B" w14:textId="77777777" w:rsidR="00EF1066" w:rsidRDefault="00EF1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8CCD" w14:textId="77777777" w:rsidR="00EF1066" w:rsidRDefault="00EF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4BBA" w14:textId="77777777" w:rsidR="00C6102C" w:rsidRDefault="00C6102C" w:rsidP="00EF1066">
      <w:pPr>
        <w:spacing w:after="0" w:line="240" w:lineRule="auto"/>
      </w:pPr>
      <w:r>
        <w:separator/>
      </w:r>
    </w:p>
  </w:footnote>
  <w:footnote w:type="continuationSeparator" w:id="0">
    <w:p w14:paraId="2D82A6CC" w14:textId="77777777" w:rsidR="00C6102C" w:rsidRDefault="00C6102C" w:rsidP="00EF1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E35D" w14:textId="691C7164" w:rsidR="00EF1066" w:rsidRDefault="00EF1066">
    <w:pPr>
      <w:pStyle w:val="Header"/>
    </w:pPr>
    <w:r>
      <w:rPr>
        <w:noProof/>
      </w:rPr>
      <w:pict w14:anchorId="5EE3E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751016" o:spid="_x0000_s2050"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EFCF" w14:textId="447617C7" w:rsidR="00EF1066" w:rsidRDefault="00EF1066">
    <w:pPr>
      <w:pStyle w:val="Header"/>
    </w:pPr>
    <w:r>
      <w:rPr>
        <w:noProof/>
      </w:rPr>
      <w:pict w14:anchorId="5F61C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751017" o:spid="_x0000_s2051"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2CD2" w14:textId="35A31B09" w:rsidR="00EF1066" w:rsidRDefault="00EF1066">
    <w:pPr>
      <w:pStyle w:val="Header"/>
    </w:pPr>
    <w:r>
      <w:rPr>
        <w:noProof/>
      </w:rPr>
      <w:pict w14:anchorId="67800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751015" o:spid="_x0000_s2049"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C54"/>
    <w:multiLevelType w:val="multilevel"/>
    <w:tmpl w:val="CD10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7C84"/>
    <w:multiLevelType w:val="hybridMultilevel"/>
    <w:tmpl w:val="74AC87EA"/>
    <w:lvl w:ilvl="0" w:tplc="7FB47E74">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66A1"/>
    <w:multiLevelType w:val="multilevel"/>
    <w:tmpl w:val="FCC6D69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03434"/>
    <w:multiLevelType w:val="multilevel"/>
    <w:tmpl w:val="1D84BD3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65146"/>
    <w:multiLevelType w:val="hybridMultilevel"/>
    <w:tmpl w:val="78BAF7E4"/>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284F49"/>
    <w:multiLevelType w:val="hybridMultilevel"/>
    <w:tmpl w:val="1B8C115C"/>
    <w:lvl w:ilvl="0" w:tplc="0409000B">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46FEB"/>
    <w:multiLevelType w:val="multilevel"/>
    <w:tmpl w:val="4CAA6DE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E3680"/>
    <w:multiLevelType w:val="multilevel"/>
    <w:tmpl w:val="31F86720"/>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E1954"/>
    <w:multiLevelType w:val="hybridMultilevel"/>
    <w:tmpl w:val="AB02F60E"/>
    <w:lvl w:ilvl="0" w:tplc="059226B8">
      <w:start w:val="1"/>
      <w:numFmt w:val="lowerRoman"/>
      <w:lvlText w:val="%1."/>
      <w:lvlJc w:val="righ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62EEB"/>
    <w:multiLevelType w:val="multilevel"/>
    <w:tmpl w:val="83DE485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06717"/>
    <w:multiLevelType w:val="hybridMultilevel"/>
    <w:tmpl w:val="1570EA26"/>
    <w:lvl w:ilvl="0" w:tplc="478ACAB4">
      <w:start w:val="1"/>
      <w:numFmt w:val="lowerRoman"/>
      <w:lvlText w:val="%1."/>
      <w:lvlJc w:val="right"/>
      <w:pPr>
        <w:ind w:left="360" w:hanging="360"/>
      </w:pPr>
      <w:rPr>
        <w:rFonts w:ascii="Times New Roman" w:hAnsi="Times New Roman" w:cs="Times New Roman"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0E51BE"/>
    <w:multiLevelType w:val="multilevel"/>
    <w:tmpl w:val="6116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C3E09"/>
    <w:multiLevelType w:val="hybridMultilevel"/>
    <w:tmpl w:val="31DC4C50"/>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2671B6"/>
    <w:multiLevelType w:val="hybridMultilevel"/>
    <w:tmpl w:val="7E88BB16"/>
    <w:lvl w:ilvl="0" w:tplc="7FB47E74">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91330"/>
    <w:multiLevelType w:val="multilevel"/>
    <w:tmpl w:val="52A6FFB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11576"/>
    <w:multiLevelType w:val="hybridMultilevel"/>
    <w:tmpl w:val="84E027F8"/>
    <w:lvl w:ilvl="0" w:tplc="B2A87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51AFA"/>
    <w:multiLevelType w:val="hybridMultilevel"/>
    <w:tmpl w:val="14AA0C18"/>
    <w:lvl w:ilvl="0" w:tplc="441679C0">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633C3"/>
    <w:multiLevelType w:val="multilevel"/>
    <w:tmpl w:val="825433D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981F83"/>
    <w:multiLevelType w:val="hybridMultilevel"/>
    <w:tmpl w:val="2042DDC4"/>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7E4BDD"/>
    <w:multiLevelType w:val="multilevel"/>
    <w:tmpl w:val="01CC3F7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AD86DB4"/>
    <w:multiLevelType w:val="hybridMultilevel"/>
    <w:tmpl w:val="3AC87DCA"/>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664A69"/>
    <w:multiLevelType w:val="multilevel"/>
    <w:tmpl w:val="AB38132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16333"/>
    <w:multiLevelType w:val="multilevel"/>
    <w:tmpl w:val="8FCE57F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AC4506"/>
    <w:multiLevelType w:val="multilevel"/>
    <w:tmpl w:val="278234B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45A88"/>
    <w:multiLevelType w:val="hybridMultilevel"/>
    <w:tmpl w:val="589837C0"/>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8E72D1"/>
    <w:multiLevelType w:val="multilevel"/>
    <w:tmpl w:val="B272615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A41B7A"/>
    <w:multiLevelType w:val="multilevel"/>
    <w:tmpl w:val="08E80C9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016837"/>
    <w:multiLevelType w:val="multilevel"/>
    <w:tmpl w:val="1108C65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7F0188"/>
    <w:multiLevelType w:val="hybridMultilevel"/>
    <w:tmpl w:val="759A204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A833EF"/>
    <w:multiLevelType w:val="multilevel"/>
    <w:tmpl w:val="285813A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C7A2F"/>
    <w:multiLevelType w:val="multilevel"/>
    <w:tmpl w:val="24485EFE"/>
    <w:lvl w:ilvl="0">
      <w:start w:val="1"/>
      <w:numFmt w:val="bullet"/>
      <w:lvlText w:val=""/>
      <w:lvlJc w:val="left"/>
      <w:pPr>
        <w:tabs>
          <w:tab w:val="num" w:pos="360"/>
        </w:tabs>
        <w:ind w:left="360" w:hanging="360"/>
      </w:pPr>
      <w:rPr>
        <w:rFonts w:ascii="Symbol" w:hAnsi="Symbol" w:hint="default"/>
        <w:b/>
        <w:bCs/>
        <w:sz w:val="20"/>
      </w:rPr>
    </w:lvl>
    <w:lvl w:ilvl="1">
      <w:start w:val="1"/>
      <w:numFmt w:val="bullet"/>
      <w:lvlText w:val=""/>
      <w:lvlJc w:val="left"/>
      <w:pPr>
        <w:tabs>
          <w:tab w:val="num" w:pos="785"/>
        </w:tabs>
        <w:ind w:left="785" w:hanging="360"/>
      </w:pPr>
      <w:rPr>
        <w:rFonts w:ascii="Wingdings" w:hAnsi="Wingdings"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BC09BA"/>
    <w:multiLevelType w:val="hybridMultilevel"/>
    <w:tmpl w:val="8CECCBCC"/>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15034D"/>
    <w:multiLevelType w:val="multilevel"/>
    <w:tmpl w:val="55DE794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C858D0"/>
    <w:multiLevelType w:val="multilevel"/>
    <w:tmpl w:val="32728F7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843B6D"/>
    <w:multiLevelType w:val="hybridMultilevel"/>
    <w:tmpl w:val="FB9AEDF4"/>
    <w:lvl w:ilvl="0" w:tplc="0409000B">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3769"/>
    <w:multiLevelType w:val="multilevel"/>
    <w:tmpl w:val="73D06AE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276C06"/>
    <w:multiLevelType w:val="multilevel"/>
    <w:tmpl w:val="97981F46"/>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184608"/>
    <w:multiLevelType w:val="multilevel"/>
    <w:tmpl w:val="BB90236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2435F8"/>
    <w:multiLevelType w:val="multilevel"/>
    <w:tmpl w:val="03F2B9E8"/>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026652"/>
    <w:multiLevelType w:val="multilevel"/>
    <w:tmpl w:val="9842C5D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814BE5"/>
    <w:multiLevelType w:val="multilevel"/>
    <w:tmpl w:val="CD10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A403AD"/>
    <w:multiLevelType w:val="multilevel"/>
    <w:tmpl w:val="F970C57E"/>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2C7CBE"/>
    <w:multiLevelType w:val="hybridMultilevel"/>
    <w:tmpl w:val="65E6A996"/>
    <w:lvl w:ilvl="0" w:tplc="912E3606">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2663AB"/>
    <w:multiLevelType w:val="hybridMultilevel"/>
    <w:tmpl w:val="F6108B30"/>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A845EA"/>
    <w:multiLevelType w:val="multilevel"/>
    <w:tmpl w:val="AC4EA56C"/>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870234"/>
    <w:multiLevelType w:val="hybridMultilevel"/>
    <w:tmpl w:val="9BC07B54"/>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FF873EE"/>
    <w:multiLevelType w:val="multilevel"/>
    <w:tmpl w:val="18D89C2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45030B"/>
    <w:multiLevelType w:val="multilevel"/>
    <w:tmpl w:val="6BE822AE"/>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A93F7C"/>
    <w:multiLevelType w:val="hybridMultilevel"/>
    <w:tmpl w:val="41B2D9F2"/>
    <w:lvl w:ilvl="0" w:tplc="2604CAB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CB47E6"/>
    <w:multiLevelType w:val="hybridMultilevel"/>
    <w:tmpl w:val="5B12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90467B"/>
    <w:multiLevelType w:val="multilevel"/>
    <w:tmpl w:val="5C9E94B6"/>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3873F4"/>
    <w:multiLevelType w:val="multilevel"/>
    <w:tmpl w:val="005E638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777E74"/>
    <w:multiLevelType w:val="multilevel"/>
    <w:tmpl w:val="CDB67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A065A0"/>
    <w:multiLevelType w:val="hybridMultilevel"/>
    <w:tmpl w:val="449A2F1E"/>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6B61F21"/>
    <w:multiLevelType w:val="hybridMultilevel"/>
    <w:tmpl w:val="3A0A0B6E"/>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606B62"/>
    <w:multiLevelType w:val="multilevel"/>
    <w:tmpl w:val="99D409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2D1F1A"/>
    <w:multiLevelType w:val="multilevel"/>
    <w:tmpl w:val="B67A1BD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E37C65"/>
    <w:multiLevelType w:val="hybridMultilevel"/>
    <w:tmpl w:val="265E347E"/>
    <w:lvl w:ilvl="0" w:tplc="059226B8">
      <w:start w:val="1"/>
      <w:numFmt w:val="lowerRoman"/>
      <w:lvlText w:val="%1."/>
      <w:lvlJc w:val="right"/>
      <w:pPr>
        <w:ind w:left="36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5A4C60"/>
    <w:multiLevelType w:val="multilevel"/>
    <w:tmpl w:val="F0B4E97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46129E"/>
    <w:multiLevelType w:val="multilevel"/>
    <w:tmpl w:val="9E44017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822D32"/>
    <w:multiLevelType w:val="multilevel"/>
    <w:tmpl w:val="34DAE8F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FD6C11"/>
    <w:multiLevelType w:val="multilevel"/>
    <w:tmpl w:val="F1E2357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5978B1"/>
    <w:multiLevelType w:val="multilevel"/>
    <w:tmpl w:val="D904178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AB4880"/>
    <w:multiLevelType w:val="multilevel"/>
    <w:tmpl w:val="0D0A88A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D208B7"/>
    <w:multiLevelType w:val="multilevel"/>
    <w:tmpl w:val="53C886E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F72BC7"/>
    <w:multiLevelType w:val="multilevel"/>
    <w:tmpl w:val="47D40E60"/>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D477D0"/>
    <w:multiLevelType w:val="multilevel"/>
    <w:tmpl w:val="9910958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873E45"/>
    <w:multiLevelType w:val="hybridMultilevel"/>
    <w:tmpl w:val="C3063A4C"/>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7E5DD3"/>
    <w:multiLevelType w:val="multilevel"/>
    <w:tmpl w:val="B680C59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9D4D0A"/>
    <w:multiLevelType w:val="hybridMultilevel"/>
    <w:tmpl w:val="992EED96"/>
    <w:lvl w:ilvl="0" w:tplc="2604CAB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B2053C"/>
    <w:multiLevelType w:val="multilevel"/>
    <w:tmpl w:val="2362B57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0D27C1"/>
    <w:multiLevelType w:val="hybridMultilevel"/>
    <w:tmpl w:val="A91ADE32"/>
    <w:lvl w:ilvl="0" w:tplc="DE9A505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E5C5B0D"/>
    <w:multiLevelType w:val="multilevel"/>
    <w:tmpl w:val="E720444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EC3587C"/>
    <w:multiLevelType w:val="multilevel"/>
    <w:tmpl w:val="CD10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3F61C0"/>
    <w:multiLevelType w:val="multilevel"/>
    <w:tmpl w:val="71DC654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E11F85"/>
    <w:multiLevelType w:val="multilevel"/>
    <w:tmpl w:val="E2FC752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15"/>
  </w:num>
  <w:num w:numId="3">
    <w:abstractNumId w:val="16"/>
  </w:num>
  <w:num w:numId="4">
    <w:abstractNumId w:val="64"/>
  </w:num>
  <w:num w:numId="5">
    <w:abstractNumId w:val="57"/>
  </w:num>
  <w:num w:numId="6">
    <w:abstractNumId w:val="29"/>
  </w:num>
  <w:num w:numId="7">
    <w:abstractNumId w:val="60"/>
  </w:num>
  <w:num w:numId="8">
    <w:abstractNumId w:val="74"/>
  </w:num>
  <w:num w:numId="9">
    <w:abstractNumId w:val="27"/>
  </w:num>
  <w:num w:numId="10">
    <w:abstractNumId w:val="3"/>
  </w:num>
  <w:num w:numId="11">
    <w:abstractNumId w:val="10"/>
  </w:num>
  <w:num w:numId="12">
    <w:abstractNumId w:val="19"/>
  </w:num>
  <w:num w:numId="13">
    <w:abstractNumId w:val="9"/>
  </w:num>
  <w:num w:numId="14">
    <w:abstractNumId w:val="59"/>
  </w:num>
  <w:num w:numId="15">
    <w:abstractNumId w:val="65"/>
  </w:num>
  <w:num w:numId="16">
    <w:abstractNumId w:val="24"/>
  </w:num>
  <w:num w:numId="17">
    <w:abstractNumId w:val="42"/>
  </w:num>
  <w:num w:numId="18">
    <w:abstractNumId w:val="21"/>
  </w:num>
  <w:num w:numId="19">
    <w:abstractNumId w:val="39"/>
  </w:num>
  <w:num w:numId="20">
    <w:abstractNumId w:val="43"/>
  </w:num>
  <w:num w:numId="21">
    <w:abstractNumId w:val="11"/>
  </w:num>
  <w:num w:numId="22">
    <w:abstractNumId w:val="54"/>
  </w:num>
  <w:num w:numId="23">
    <w:abstractNumId w:val="36"/>
  </w:num>
  <w:num w:numId="24">
    <w:abstractNumId w:val="32"/>
  </w:num>
  <w:num w:numId="25">
    <w:abstractNumId w:val="44"/>
  </w:num>
  <w:num w:numId="26">
    <w:abstractNumId w:val="2"/>
  </w:num>
  <w:num w:numId="27">
    <w:abstractNumId w:val="38"/>
  </w:num>
  <w:num w:numId="28">
    <w:abstractNumId w:val="34"/>
  </w:num>
  <w:num w:numId="29">
    <w:abstractNumId w:val="5"/>
  </w:num>
  <w:num w:numId="30">
    <w:abstractNumId w:val="26"/>
  </w:num>
  <w:num w:numId="31">
    <w:abstractNumId w:val="31"/>
  </w:num>
  <w:num w:numId="32">
    <w:abstractNumId w:val="25"/>
  </w:num>
  <w:num w:numId="33">
    <w:abstractNumId w:val="67"/>
  </w:num>
  <w:num w:numId="34">
    <w:abstractNumId w:val="47"/>
  </w:num>
  <w:num w:numId="35">
    <w:abstractNumId w:val="51"/>
  </w:num>
  <w:num w:numId="36">
    <w:abstractNumId w:val="50"/>
  </w:num>
  <w:num w:numId="37">
    <w:abstractNumId w:val="18"/>
  </w:num>
  <w:num w:numId="38">
    <w:abstractNumId w:val="56"/>
  </w:num>
  <w:num w:numId="39">
    <w:abstractNumId w:val="41"/>
  </w:num>
  <w:num w:numId="40">
    <w:abstractNumId w:val="33"/>
  </w:num>
  <w:num w:numId="41">
    <w:abstractNumId w:val="20"/>
  </w:num>
  <w:num w:numId="42">
    <w:abstractNumId w:val="4"/>
  </w:num>
  <w:num w:numId="43">
    <w:abstractNumId w:val="49"/>
  </w:num>
  <w:num w:numId="44">
    <w:abstractNumId w:val="22"/>
  </w:num>
  <w:num w:numId="45">
    <w:abstractNumId w:val="66"/>
  </w:num>
  <w:num w:numId="46">
    <w:abstractNumId w:val="17"/>
  </w:num>
  <w:num w:numId="47">
    <w:abstractNumId w:val="75"/>
  </w:num>
  <w:num w:numId="48">
    <w:abstractNumId w:val="62"/>
  </w:num>
  <w:num w:numId="49">
    <w:abstractNumId w:val="8"/>
  </w:num>
  <w:num w:numId="50">
    <w:abstractNumId w:val="71"/>
  </w:num>
  <w:num w:numId="51">
    <w:abstractNumId w:val="23"/>
  </w:num>
  <w:num w:numId="52">
    <w:abstractNumId w:val="58"/>
  </w:num>
  <w:num w:numId="53">
    <w:abstractNumId w:val="0"/>
  </w:num>
  <w:num w:numId="54">
    <w:abstractNumId w:val="40"/>
  </w:num>
  <w:num w:numId="55">
    <w:abstractNumId w:val="52"/>
  </w:num>
  <w:num w:numId="56">
    <w:abstractNumId w:val="73"/>
  </w:num>
  <w:num w:numId="57">
    <w:abstractNumId w:val="46"/>
  </w:num>
  <w:num w:numId="58">
    <w:abstractNumId w:val="63"/>
  </w:num>
  <w:num w:numId="59">
    <w:abstractNumId w:val="72"/>
  </w:num>
  <w:num w:numId="60">
    <w:abstractNumId w:val="48"/>
  </w:num>
  <w:num w:numId="61">
    <w:abstractNumId w:val="35"/>
  </w:num>
  <w:num w:numId="62">
    <w:abstractNumId w:val="68"/>
  </w:num>
  <w:num w:numId="63">
    <w:abstractNumId w:val="7"/>
  </w:num>
  <w:num w:numId="64">
    <w:abstractNumId w:val="14"/>
  </w:num>
  <w:num w:numId="65">
    <w:abstractNumId w:val="53"/>
  </w:num>
  <w:num w:numId="66">
    <w:abstractNumId w:val="37"/>
  </w:num>
  <w:num w:numId="67">
    <w:abstractNumId w:val="1"/>
  </w:num>
  <w:num w:numId="68">
    <w:abstractNumId w:val="70"/>
  </w:num>
  <w:num w:numId="69">
    <w:abstractNumId w:val="55"/>
  </w:num>
  <w:num w:numId="70">
    <w:abstractNumId w:val="61"/>
  </w:num>
  <w:num w:numId="71">
    <w:abstractNumId w:val="30"/>
  </w:num>
  <w:num w:numId="72">
    <w:abstractNumId w:val="6"/>
  </w:num>
  <w:num w:numId="73">
    <w:abstractNumId w:val="45"/>
  </w:num>
  <w:num w:numId="74">
    <w:abstractNumId w:val="12"/>
  </w:num>
  <w:num w:numId="75">
    <w:abstractNumId w:val="28"/>
  </w:num>
  <w:num w:numId="76">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CA"/>
    <w:rsid w:val="00022323"/>
    <w:rsid w:val="00040ABE"/>
    <w:rsid w:val="00051083"/>
    <w:rsid w:val="00055867"/>
    <w:rsid w:val="0007519D"/>
    <w:rsid w:val="00076DBD"/>
    <w:rsid w:val="00077F4F"/>
    <w:rsid w:val="00095ED5"/>
    <w:rsid w:val="00096719"/>
    <w:rsid w:val="0009763D"/>
    <w:rsid w:val="000A16F1"/>
    <w:rsid w:val="000A27AC"/>
    <w:rsid w:val="000D1D17"/>
    <w:rsid w:val="000D383D"/>
    <w:rsid w:val="000F20C0"/>
    <w:rsid w:val="000F700C"/>
    <w:rsid w:val="001029CC"/>
    <w:rsid w:val="00113BD5"/>
    <w:rsid w:val="0011763B"/>
    <w:rsid w:val="0013733B"/>
    <w:rsid w:val="00142DEF"/>
    <w:rsid w:val="00143AEB"/>
    <w:rsid w:val="001901DE"/>
    <w:rsid w:val="001940ED"/>
    <w:rsid w:val="00196D5F"/>
    <w:rsid w:val="001A0318"/>
    <w:rsid w:val="001A3892"/>
    <w:rsid w:val="001B0A0C"/>
    <w:rsid w:val="001B22E6"/>
    <w:rsid w:val="001B56E8"/>
    <w:rsid w:val="001D3D7E"/>
    <w:rsid w:val="001D491B"/>
    <w:rsid w:val="001D494A"/>
    <w:rsid w:val="001E27B8"/>
    <w:rsid w:val="001F1452"/>
    <w:rsid w:val="001F1AAC"/>
    <w:rsid w:val="001F314D"/>
    <w:rsid w:val="00202034"/>
    <w:rsid w:val="00202778"/>
    <w:rsid w:val="0020750A"/>
    <w:rsid w:val="00210FE6"/>
    <w:rsid w:val="00217A32"/>
    <w:rsid w:val="00222B94"/>
    <w:rsid w:val="00237089"/>
    <w:rsid w:val="002501A6"/>
    <w:rsid w:val="00296565"/>
    <w:rsid w:val="002A7358"/>
    <w:rsid w:val="002A7D34"/>
    <w:rsid w:val="002B4EF2"/>
    <w:rsid w:val="002B737B"/>
    <w:rsid w:val="002C0626"/>
    <w:rsid w:val="002D3469"/>
    <w:rsid w:val="002E1319"/>
    <w:rsid w:val="002F4623"/>
    <w:rsid w:val="00322FBF"/>
    <w:rsid w:val="003238FE"/>
    <w:rsid w:val="0032646E"/>
    <w:rsid w:val="00331679"/>
    <w:rsid w:val="0034461E"/>
    <w:rsid w:val="00363650"/>
    <w:rsid w:val="00364510"/>
    <w:rsid w:val="003663D9"/>
    <w:rsid w:val="003726EF"/>
    <w:rsid w:val="00383640"/>
    <w:rsid w:val="00385220"/>
    <w:rsid w:val="00397E9F"/>
    <w:rsid w:val="003B0513"/>
    <w:rsid w:val="003B2422"/>
    <w:rsid w:val="003B291D"/>
    <w:rsid w:val="003B4778"/>
    <w:rsid w:val="003C50B7"/>
    <w:rsid w:val="003C659A"/>
    <w:rsid w:val="003C7895"/>
    <w:rsid w:val="003D2AAD"/>
    <w:rsid w:val="003E2FB1"/>
    <w:rsid w:val="003E6351"/>
    <w:rsid w:val="004043A4"/>
    <w:rsid w:val="00412DBA"/>
    <w:rsid w:val="00435993"/>
    <w:rsid w:val="004405DD"/>
    <w:rsid w:val="00450374"/>
    <w:rsid w:val="00450910"/>
    <w:rsid w:val="00450D7F"/>
    <w:rsid w:val="00452B9F"/>
    <w:rsid w:val="004B44AB"/>
    <w:rsid w:val="004C06FF"/>
    <w:rsid w:val="004C0A0D"/>
    <w:rsid w:val="004D777F"/>
    <w:rsid w:val="004E02EC"/>
    <w:rsid w:val="004E0729"/>
    <w:rsid w:val="004E5D52"/>
    <w:rsid w:val="005027A2"/>
    <w:rsid w:val="00502D8F"/>
    <w:rsid w:val="00510F5D"/>
    <w:rsid w:val="00522565"/>
    <w:rsid w:val="005266EB"/>
    <w:rsid w:val="00526E8D"/>
    <w:rsid w:val="00530EEC"/>
    <w:rsid w:val="00531E22"/>
    <w:rsid w:val="00550CCE"/>
    <w:rsid w:val="005537ED"/>
    <w:rsid w:val="00556652"/>
    <w:rsid w:val="00574E52"/>
    <w:rsid w:val="0057674F"/>
    <w:rsid w:val="0059533B"/>
    <w:rsid w:val="005B3482"/>
    <w:rsid w:val="005C3B8F"/>
    <w:rsid w:val="005D23AA"/>
    <w:rsid w:val="005E04A2"/>
    <w:rsid w:val="005F5A91"/>
    <w:rsid w:val="00612CD3"/>
    <w:rsid w:val="00617576"/>
    <w:rsid w:val="00623253"/>
    <w:rsid w:val="0063133D"/>
    <w:rsid w:val="00634DA4"/>
    <w:rsid w:val="00635819"/>
    <w:rsid w:val="0064512E"/>
    <w:rsid w:val="00647646"/>
    <w:rsid w:val="006554E4"/>
    <w:rsid w:val="00656F98"/>
    <w:rsid w:val="0066301A"/>
    <w:rsid w:val="00672545"/>
    <w:rsid w:val="00673D3D"/>
    <w:rsid w:val="0067661B"/>
    <w:rsid w:val="00683C39"/>
    <w:rsid w:val="00691BD7"/>
    <w:rsid w:val="006921D2"/>
    <w:rsid w:val="006C0B77"/>
    <w:rsid w:val="0070255B"/>
    <w:rsid w:val="00702FFA"/>
    <w:rsid w:val="00724A2D"/>
    <w:rsid w:val="00742720"/>
    <w:rsid w:val="007653CF"/>
    <w:rsid w:val="007758AE"/>
    <w:rsid w:val="0077612A"/>
    <w:rsid w:val="00780B7A"/>
    <w:rsid w:val="00781AD0"/>
    <w:rsid w:val="007A1122"/>
    <w:rsid w:val="007A7B4E"/>
    <w:rsid w:val="007C2FAF"/>
    <w:rsid w:val="007D7156"/>
    <w:rsid w:val="007E4683"/>
    <w:rsid w:val="007E4B4E"/>
    <w:rsid w:val="007F016E"/>
    <w:rsid w:val="007F1E38"/>
    <w:rsid w:val="007F2FA0"/>
    <w:rsid w:val="008057E1"/>
    <w:rsid w:val="00817677"/>
    <w:rsid w:val="008226A9"/>
    <w:rsid w:val="008242FF"/>
    <w:rsid w:val="00826CC8"/>
    <w:rsid w:val="00830DD4"/>
    <w:rsid w:val="00836305"/>
    <w:rsid w:val="00840F78"/>
    <w:rsid w:val="00856E16"/>
    <w:rsid w:val="0086104A"/>
    <w:rsid w:val="00870751"/>
    <w:rsid w:val="0087248D"/>
    <w:rsid w:val="008849F2"/>
    <w:rsid w:val="008879CB"/>
    <w:rsid w:val="00896A32"/>
    <w:rsid w:val="008A0EA9"/>
    <w:rsid w:val="008A4826"/>
    <w:rsid w:val="008A60FB"/>
    <w:rsid w:val="008B1028"/>
    <w:rsid w:val="008C60A1"/>
    <w:rsid w:val="008C68FB"/>
    <w:rsid w:val="008C6AD5"/>
    <w:rsid w:val="008D17CA"/>
    <w:rsid w:val="008E0DBA"/>
    <w:rsid w:val="008E14D5"/>
    <w:rsid w:val="008E3BCB"/>
    <w:rsid w:val="008F3036"/>
    <w:rsid w:val="008F3ECC"/>
    <w:rsid w:val="008F555B"/>
    <w:rsid w:val="009003BC"/>
    <w:rsid w:val="00912BDD"/>
    <w:rsid w:val="00922C48"/>
    <w:rsid w:val="00934EE0"/>
    <w:rsid w:val="00976C05"/>
    <w:rsid w:val="00976DC1"/>
    <w:rsid w:val="009C24A2"/>
    <w:rsid w:val="009C33EF"/>
    <w:rsid w:val="009C7CE9"/>
    <w:rsid w:val="009D1D5B"/>
    <w:rsid w:val="009E17DD"/>
    <w:rsid w:val="009F3C34"/>
    <w:rsid w:val="009F6C92"/>
    <w:rsid w:val="009F702F"/>
    <w:rsid w:val="00A06FB6"/>
    <w:rsid w:val="00A511D4"/>
    <w:rsid w:val="00A653B1"/>
    <w:rsid w:val="00A73311"/>
    <w:rsid w:val="00A74274"/>
    <w:rsid w:val="00A779FD"/>
    <w:rsid w:val="00A77AD3"/>
    <w:rsid w:val="00A80C32"/>
    <w:rsid w:val="00A8452C"/>
    <w:rsid w:val="00A8519F"/>
    <w:rsid w:val="00A86150"/>
    <w:rsid w:val="00A931BD"/>
    <w:rsid w:val="00A949FD"/>
    <w:rsid w:val="00AA0EEF"/>
    <w:rsid w:val="00AA1892"/>
    <w:rsid w:val="00AA6BB7"/>
    <w:rsid w:val="00AB61E8"/>
    <w:rsid w:val="00AB755B"/>
    <w:rsid w:val="00AC254C"/>
    <w:rsid w:val="00AC2AC5"/>
    <w:rsid w:val="00AD03DA"/>
    <w:rsid w:val="00AE0AB5"/>
    <w:rsid w:val="00AE26BC"/>
    <w:rsid w:val="00B1194F"/>
    <w:rsid w:val="00B164BA"/>
    <w:rsid w:val="00B36759"/>
    <w:rsid w:val="00B41F30"/>
    <w:rsid w:val="00B5253A"/>
    <w:rsid w:val="00B53E06"/>
    <w:rsid w:val="00B66996"/>
    <w:rsid w:val="00B915B7"/>
    <w:rsid w:val="00B971DA"/>
    <w:rsid w:val="00BA4409"/>
    <w:rsid w:val="00BC1ED8"/>
    <w:rsid w:val="00BE0E44"/>
    <w:rsid w:val="00BE2FCE"/>
    <w:rsid w:val="00C02B4A"/>
    <w:rsid w:val="00C11FBB"/>
    <w:rsid w:val="00C20150"/>
    <w:rsid w:val="00C22178"/>
    <w:rsid w:val="00C2367A"/>
    <w:rsid w:val="00C40F3B"/>
    <w:rsid w:val="00C41AD2"/>
    <w:rsid w:val="00C566DE"/>
    <w:rsid w:val="00C6102C"/>
    <w:rsid w:val="00C63426"/>
    <w:rsid w:val="00C77782"/>
    <w:rsid w:val="00CB6F55"/>
    <w:rsid w:val="00CD1863"/>
    <w:rsid w:val="00CD67C5"/>
    <w:rsid w:val="00CD6D82"/>
    <w:rsid w:val="00CD768E"/>
    <w:rsid w:val="00CE38D5"/>
    <w:rsid w:val="00CE4675"/>
    <w:rsid w:val="00CE4F68"/>
    <w:rsid w:val="00CE75E7"/>
    <w:rsid w:val="00D0463C"/>
    <w:rsid w:val="00D1522F"/>
    <w:rsid w:val="00D50A85"/>
    <w:rsid w:val="00D5508E"/>
    <w:rsid w:val="00D65CF8"/>
    <w:rsid w:val="00D82961"/>
    <w:rsid w:val="00D847CA"/>
    <w:rsid w:val="00DA076A"/>
    <w:rsid w:val="00DB24CF"/>
    <w:rsid w:val="00DB317C"/>
    <w:rsid w:val="00DB3A4D"/>
    <w:rsid w:val="00DB6B24"/>
    <w:rsid w:val="00DC0182"/>
    <w:rsid w:val="00DC5BF6"/>
    <w:rsid w:val="00DD076F"/>
    <w:rsid w:val="00DD2B4C"/>
    <w:rsid w:val="00DD78B8"/>
    <w:rsid w:val="00DE0FD0"/>
    <w:rsid w:val="00DE18DD"/>
    <w:rsid w:val="00DF04F0"/>
    <w:rsid w:val="00E0379B"/>
    <w:rsid w:val="00E07D17"/>
    <w:rsid w:val="00E15D1D"/>
    <w:rsid w:val="00E324BB"/>
    <w:rsid w:val="00E40576"/>
    <w:rsid w:val="00E41226"/>
    <w:rsid w:val="00E413B9"/>
    <w:rsid w:val="00E4546E"/>
    <w:rsid w:val="00E47A66"/>
    <w:rsid w:val="00E51893"/>
    <w:rsid w:val="00E72FA8"/>
    <w:rsid w:val="00E733C8"/>
    <w:rsid w:val="00E745F3"/>
    <w:rsid w:val="00E747E2"/>
    <w:rsid w:val="00E870F2"/>
    <w:rsid w:val="00E966A4"/>
    <w:rsid w:val="00EA0F80"/>
    <w:rsid w:val="00EA59DF"/>
    <w:rsid w:val="00EA603B"/>
    <w:rsid w:val="00EB5EEA"/>
    <w:rsid w:val="00EC715E"/>
    <w:rsid w:val="00EE22D9"/>
    <w:rsid w:val="00EE4070"/>
    <w:rsid w:val="00EF00EF"/>
    <w:rsid w:val="00EF1066"/>
    <w:rsid w:val="00EF309D"/>
    <w:rsid w:val="00EF6A02"/>
    <w:rsid w:val="00EF7BD7"/>
    <w:rsid w:val="00F0714A"/>
    <w:rsid w:val="00F12C76"/>
    <w:rsid w:val="00F23AE9"/>
    <w:rsid w:val="00F25FAF"/>
    <w:rsid w:val="00F31B41"/>
    <w:rsid w:val="00F614EA"/>
    <w:rsid w:val="00F67357"/>
    <w:rsid w:val="00F969D4"/>
    <w:rsid w:val="00FA41C8"/>
    <w:rsid w:val="00FA638A"/>
    <w:rsid w:val="00FB32D4"/>
    <w:rsid w:val="00FE48E4"/>
    <w:rsid w:val="00FF26B4"/>
    <w:rsid w:val="00FF4D2F"/>
    <w:rsid w:val="00FF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2CE892"/>
  <w15:chartTrackingRefBased/>
  <w15:docId w15:val="{B9715304-EFBB-4AA4-9FAC-41265EAB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91B"/>
    <w:pPr>
      <w:spacing w:line="254" w:lineRule="auto"/>
    </w:pPr>
    <w:rPr>
      <w:lang w:val="en-US"/>
    </w:rPr>
  </w:style>
  <w:style w:type="paragraph" w:styleId="Heading1">
    <w:name w:val="heading 1"/>
    <w:basedOn w:val="Normal"/>
    <w:next w:val="Normal"/>
    <w:link w:val="Heading1Char"/>
    <w:uiPriority w:val="9"/>
    <w:qFormat/>
    <w:rsid w:val="00AA0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38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870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634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91B"/>
    <w:rPr>
      <w:color w:val="0563C1" w:themeColor="hyperlink"/>
      <w:u w:val="single"/>
    </w:rPr>
  </w:style>
  <w:style w:type="paragraph" w:styleId="HTMLPreformatted">
    <w:name w:val="HTML Preformatted"/>
    <w:basedOn w:val="Normal"/>
    <w:link w:val="HTMLPreformattedChar"/>
    <w:uiPriority w:val="99"/>
    <w:semiHidden/>
    <w:unhideWhenUsed/>
    <w:rsid w:val="001D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491B"/>
    <w:rPr>
      <w:rFonts w:ascii="Courier New" w:eastAsia="Times New Roman" w:hAnsi="Courier New" w:cs="Courier New"/>
      <w:sz w:val="20"/>
      <w:szCs w:val="20"/>
      <w:lang w:val="en-US"/>
    </w:rPr>
  </w:style>
  <w:style w:type="paragraph" w:customStyle="1" w:styleId="14PESDcorrespondence">
    <w:name w:val="1.4.PESD_correspondence"/>
    <w:basedOn w:val="Normal"/>
    <w:next w:val="Normal"/>
    <w:qFormat/>
    <w:rsid w:val="001D491B"/>
    <w:pPr>
      <w:adjustRightInd w:val="0"/>
      <w:snapToGrid w:val="0"/>
      <w:spacing w:before="240" w:after="0" w:line="260" w:lineRule="atLeast"/>
      <w:ind w:left="113"/>
    </w:pPr>
    <w:rPr>
      <w:rFonts w:ascii="Verdana" w:eastAsia="Times New Roman" w:hAnsi="Verdana" w:cs="Times New Roman"/>
      <w:color w:val="000000"/>
      <w:sz w:val="18"/>
      <w:lang w:eastAsia="de-DE" w:bidi="en-US"/>
    </w:rPr>
  </w:style>
  <w:style w:type="character" w:customStyle="1" w:styleId="name">
    <w:name w:val="name"/>
    <w:basedOn w:val="DefaultParagraphFont"/>
    <w:rsid w:val="001D491B"/>
  </w:style>
  <w:style w:type="character" w:customStyle="1" w:styleId="affiliation">
    <w:name w:val="affiliation"/>
    <w:basedOn w:val="DefaultParagraphFont"/>
    <w:rsid w:val="001D491B"/>
  </w:style>
  <w:style w:type="paragraph" w:styleId="NormalWeb">
    <w:name w:val="Normal (Web)"/>
    <w:basedOn w:val="Normal"/>
    <w:uiPriority w:val="99"/>
    <w:unhideWhenUsed/>
    <w:rsid w:val="006921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319"/>
    <w:rPr>
      <w:b/>
      <w:bCs/>
    </w:rPr>
  </w:style>
  <w:style w:type="paragraph" w:styleId="ListParagraph">
    <w:name w:val="List Paragraph"/>
    <w:basedOn w:val="Normal"/>
    <w:uiPriority w:val="34"/>
    <w:qFormat/>
    <w:rsid w:val="00CD768E"/>
    <w:pPr>
      <w:ind w:left="720"/>
      <w:contextualSpacing/>
    </w:pPr>
  </w:style>
  <w:style w:type="character" w:customStyle="1" w:styleId="Heading3Char">
    <w:name w:val="Heading 3 Char"/>
    <w:basedOn w:val="DefaultParagraphFont"/>
    <w:link w:val="Heading3"/>
    <w:uiPriority w:val="9"/>
    <w:rsid w:val="00E870F2"/>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3238FE"/>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C63426"/>
    <w:rPr>
      <w:rFonts w:asciiTheme="majorHAnsi" w:eastAsiaTheme="majorEastAsia" w:hAnsiTheme="majorHAnsi" w:cstheme="majorBidi"/>
      <w:i/>
      <w:iCs/>
      <w:color w:val="2E74B5" w:themeColor="accent1" w:themeShade="BF"/>
      <w:lang w:val="en-US"/>
    </w:rPr>
  </w:style>
  <w:style w:type="character" w:styleId="Emphasis">
    <w:name w:val="Emphasis"/>
    <w:basedOn w:val="DefaultParagraphFont"/>
    <w:uiPriority w:val="20"/>
    <w:qFormat/>
    <w:rsid w:val="00452B9F"/>
    <w:rPr>
      <w:i/>
      <w:iCs/>
    </w:rPr>
  </w:style>
  <w:style w:type="table" w:styleId="TableGrid">
    <w:name w:val="Table Grid"/>
    <w:basedOn w:val="TableNormal"/>
    <w:uiPriority w:val="39"/>
    <w:rsid w:val="0005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lative">
    <w:name w:val="relative"/>
    <w:basedOn w:val="DefaultParagraphFont"/>
    <w:rsid w:val="001F1AAC"/>
  </w:style>
  <w:style w:type="character" w:customStyle="1" w:styleId="muibox-root">
    <w:name w:val="muibox-root"/>
    <w:basedOn w:val="DefaultParagraphFont"/>
    <w:rsid w:val="00DD076F"/>
  </w:style>
  <w:style w:type="character" w:customStyle="1" w:styleId="muitypography-root">
    <w:name w:val="muitypography-root"/>
    <w:basedOn w:val="DefaultParagraphFont"/>
    <w:rsid w:val="008879CB"/>
  </w:style>
  <w:style w:type="character" w:customStyle="1" w:styleId="Heading1Char">
    <w:name w:val="Heading 1 Char"/>
    <w:basedOn w:val="DefaultParagraphFont"/>
    <w:link w:val="Heading1"/>
    <w:uiPriority w:val="9"/>
    <w:rsid w:val="00AA0EEF"/>
    <w:rPr>
      <w:rFonts w:asciiTheme="majorHAnsi" w:eastAsiaTheme="majorEastAsia" w:hAnsiTheme="majorHAnsi" w:cstheme="majorBidi"/>
      <w:color w:val="2E74B5" w:themeColor="accent1" w:themeShade="BF"/>
      <w:sz w:val="32"/>
      <w:szCs w:val="32"/>
      <w:lang w:val="en-US"/>
    </w:rPr>
  </w:style>
  <w:style w:type="character" w:customStyle="1" w:styleId="ms-1">
    <w:name w:val="ms-1"/>
    <w:basedOn w:val="DefaultParagraphFont"/>
    <w:rsid w:val="00AA0EEF"/>
  </w:style>
  <w:style w:type="character" w:customStyle="1" w:styleId="url">
    <w:name w:val="url"/>
    <w:basedOn w:val="DefaultParagraphFont"/>
    <w:rsid w:val="00AA0EEF"/>
  </w:style>
  <w:style w:type="character" w:styleId="UnresolvedMention">
    <w:name w:val="Unresolved Mention"/>
    <w:basedOn w:val="DefaultParagraphFont"/>
    <w:uiPriority w:val="99"/>
    <w:semiHidden/>
    <w:unhideWhenUsed/>
    <w:rsid w:val="00DB317C"/>
    <w:rPr>
      <w:color w:val="605E5C"/>
      <w:shd w:val="clear" w:color="auto" w:fill="E1DFDD"/>
    </w:rPr>
  </w:style>
  <w:style w:type="paragraph" w:styleId="Header">
    <w:name w:val="header"/>
    <w:basedOn w:val="Normal"/>
    <w:link w:val="HeaderChar"/>
    <w:uiPriority w:val="99"/>
    <w:unhideWhenUsed/>
    <w:rsid w:val="00EF1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066"/>
    <w:rPr>
      <w:lang w:val="en-US"/>
    </w:rPr>
  </w:style>
  <w:style w:type="paragraph" w:styleId="Footer">
    <w:name w:val="footer"/>
    <w:basedOn w:val="Normal"/>
    <w:link w:val="FooterChar"/>
    <w:uiPriority w:val="99"/>
    <w:unhideWhenUsed/>
    <w:rsid w:val="00EF1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06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797">
      <w:bodyDiv w:val="1"/>
      <w:marLeft w:val="0"/>
      <w:marRight w:val="0"/>
      <w:marTop w:val="0"/>
      <w:marBottom w:val="0"/>
      <w:divBdr>
        <w:top w:val="none" w:sz="0" w:space="0" w:color="auto"/>
        <w:left w:val="none" w:sz="0" w:space="0" w:color="auto"/>
        <w:bottom w:val="none" w:sz="0" w:space="0" w:color="auto"/>
        <w:right w:val="none" w:sz="0" w:space="0" w:color="auto"/>
      </w:divBdr>
    </w:div>
    <w:div w:id="36702790">
      <w:bodyDiv w:val="1"/>
      <w:marLeft w:val="0"/>
      <w:marRight w:val="0"/>
      <w:marTop w:val="0"/>
      <w:marBottom w:val="0"/>
      <w:divBdr>
        <w:top w:val="none" w:sz="0" w:space="0" w:color="auto"/>
        <w:left w:val="none" w:sz="0" w:space="0" w:color="auto"/>
        <w:bottom w:val="none" w:sz="0" w:space="0" w:color="auto"/>
        <w:right w:val="none" w:sz="0" w:space="0" w:color="auto"/>
      </w:divBdr>
    </w:div>
    <w:div w:id="55931337">
      <w:bodyDiv w:val="1"/>
      <w:marLeft w:val="0"/>
      <w:marRight w:val="0"/>
      <w:marTop w:val="0"/>
      <w:marBottom w:val="0"/>
      <w:divBdr>
        <w:top w:val="none" w:sz="0" w:space="0" w:color="auto"/>
        <w:left w:val="none" w:sz="0" w:space="0" w:color="auto"/>
        <w:bottom w:val="none" w:sz="0" w:space="0" w:color="auto"/>
        <w:right w:val="none" w:sz="0" w:space="0" w:color="auto"/>
      </w:divBdr>
    </w:div>
    <w:div w:id="80833943">
      <w:bodyDiv w:val="1"/>
      <w:marLeft w:val="0"/>
      <w:marRight w:val="0"/>
      <w:marTop w:val="0"/>
      <w:marBottom w:val="0"/>
      <w:divBdr>
        <w:top w:val="none" w:sz="0" w:space="0" w:color="auto"/>
        <w:left w:val="none" w:sz="0" w:space="0" w:color="auto"/>
        <w:bottom w:val="none" w:sz="0" w:space="0" w:color="auto"/>
        <w:right w:val="none" w:sz="0" w:space="0" w:color="auto"/>
      </w:divBdr>
    </w:div>
    <w:div w:id="89354873">
      <w:bodyDiv w:val="1"/>
      <w:marLeft w:val="0"/>
      <w:marRight w:val="0"/>
      <w:marTop w:val="0"/>
      <w:marBottom w:val="0"/>
      <w:divBdr>
        <w:top w:val="none" w:sz="0" w:space="0" w:color="auto"/>
        <w:left w:val="none" w:sz="0" w:space="0" w:color="auto"/>
        <w:bottom w:val="none" w:sz="0" w:space="0" w:color="auto"/>
        <w:right w:val="none" w:sz="0" w:space="0" w:color="auto"/>
      </w:divBdr>
    </w:div>
    <w:div w:id="182479727">
      <w:bodyDiv w:val="1"/>
      <w:marLeft w:val="0"/>
      <w:marRight w:val="0"/>
      <w:marTop w:val="0"/>
      <w:marBottom w:val="0"/>
      <w:divBdr>
        <w:top w:val="none" w:sz="0" w:space="0" w:color="auto"/>
        <w:left w:val="none" w:sz="0" w:space="0" w:color="auto"/>
        <w:bottom w:val="none" w:sz="0" w:space="0" w:color="auto"/>
        <w:right w:val="none" w:sz="0" w:space="0" w:color="auto"/>
      </w:divBdr>
    </w:div>
    <w:div w:id="325323541">
      <w:bodyDiv w:val="1"/>
      <w:marLeft w:val="0"/>
      <w:marRight w:val="0"/>
      <w:marTop w:val="0"/>
      <w:marBottom w:val="0"/>
      <w:divBdr>
        <w:top w:val="none" w:sz="0" w:space="0" w:color="auto"/>
        <w:left w:val="none" w:sz="0" w:space="0" w:color="auto"/>
        <w:bottom w:val="none" w:sz="0" w:space="0" w:color="auto"/>
        <w:right w:val="none" w:sz="0" w:space="0" w:color="auto"/>
      </w:divBdr>
    </w:div>
    <w:div w:id="372390230">
      <w:bodyDiv w:val="1"/>
      <w:marLeft w:val="0"/>
      <w:marRight w:val="0"/>
      <w:marTop w:val="0"/>
      <w:marBottom w:val="0"/>
      <w:divBdr>
        <w:top w:val="none" w:sz="0" w:space="0" w:color="auto"/>
        <w:left w:val="none" w:sz="0" w:space="0" w:color="auto"/>
        <w:bottom w:val="none" w:sz="0" w:space="0" w:color="auto"/>
        <w:right w:val="none" w:sz="0" w:space="0" w:color="auto"/>
      </w:divBdr>
    </w:div>
    <w:div w:id="374741044">
      <w:bodyDiv w:val="1"/>
      <w:marLeft w:val="0"/>
      <w:marRight w:val="0"/>
      <w:marTop w:val="0"/>
      <w:marBottom w:val="0"/>
      <w:divBdr>
        <w:top w:val="none" w:sz="0" w:space="0" w:color="auto"/>
        <w:left w:val="none" w:sz="0" w:space="0" w:color="auto"/>
        <w:bottom w:val="none" w:sz="0" w:space="0" w:color="auto"/>
        <w:right w:val="none" w:sz="0" w:space="0" w:color="auto"/>
      </w:divBdr>
    </w:div>
    <w:div w:id="376855042">
      <w:bodyDiv w:val="1"/>
      <w:marLeft w:val="0"/>
      <w:marRight w:val="0"/>
      <w:marTop w:val="0"/>
      <w:marBottom w:val="0"/>
      <w:divBdr>
        <w:top w:val="none" w:sz="0" w:space="0" w:color="auto"/>
        <w:left w:val="none" w:sz="0" w:space="0" w:color="auto"/>
        <w:bottom w:val="none" w:sz="0" w:space="0" w:color="auto"/>
        <w:right w:val="none" w:sz="0" w:space="0" w:color="auto"/>
      </w:divBdr>
    </w:div>
    <w:div w:id="385878559">
      <w:bodyDiv w:val="1"/>
      <w:marLeft w:val="0"/>
      <w:marRight w:val="0"/>
      <w:marTop w:val="0"/>
      <w:marBottom w:val="0"/>
      <w:divBdr>
        <w:top w:val="none" w:sz="0" w:space="0" w:color="auto"/>
        <w:left w:val="none" w:sz="0" w:space="0" w:color="auto"/>
        <w:bottom w:val="none" w:sz="0" w:space="0" w:color="auto"/>
        <w:right w:val="none" w:sz="0" w:space="0" w:color="auto"/>
      </w:divBdr>
    </w:div>
    <w:div w:id="390422235">
      <w:bodyDiv w:val="1"/>
      <w:marLeft w:val="0"/>
      <w:marRight w:val="0"/>
      <w:marTop w:val="0"/>
      <w:marBottom w:val="0"/>
      <w:divBdr>
        <w:top w:val="none" w:sz="0" w:space="0" w:color="auto"/>
        <w:left w:val="none" w:sz="0" w:space="0" w:color="auto"/>
        <w:bottom w:val="none" w:sz="0" w:space="0" w:color="auto"/>
        <w:right w:val="none" w:sz="0" w:space="0" w:color="auto"/>
      </w:divBdr>
    </w:div>
    <w:div w:id="444469438">
      <w:bodyDiv w:val="1"/>
      <w:marLeft w:val="0"/>
      <w:marRight w:val="0"/>
      <w:marTop w:val="0"/>
      <w:marBottom w:val="0"/>
      <w:divBdr>
        <w:top w:val="none" w:sz="0" w:space="0" w:color="auto"/>
        <w:left w:val="none" w:sz="0" w:space="0" w:color="auto"/>
        <w:bottom w:val="none" w:sz="0" w:space="0" w:color="auto"/>
        <w:right w:val="none" w:sz="0" w:space="0" w:color="auto"/>
      </w:divBdr>
    </w:div>
    <w:div w:id="628316639">
      <w:bodyDiv w:val="1"/>
      <w:marLeft w:val="0"/>
      <w:marRight w:val="0"/>
      <w:marTop w:val="0"/>
      <w:marBottom w:val="0"/>
      <w:divBdr>
        <w:top w:val="none" w:sz="0" w:space="0" w:color="auto"/>
        <w:left w:val="none" w:sz="0" w:space="0" w:color="auto"/>
        <w:bottom w:val="none" w:sz="0" w:space="0" w:color="auto"/>
        <w:right w:val="none" w:sz="0" w:space="0" w:color="auto"/>
      </w:divBdr>
      <w:divsChild>
        <w:div w:id="1934632937">
          <w:marLeft w:val="0"/>
          <w:marRight w:val="0"/>
          <w:marTop w:val="0"/>
          <w:marBottom w:val="0"/>
          <w:divBdr>
            <w:top w:val="none" w:sz="0" w:space="0" w:color="auto"/>
            <w:left w:val="none" w:sz="0" w:space="0" w:color="auto"/>
            <w:bottom w:val="none" w:sz="0" w:space="0" w:color="auto"/>
            <w:right w:val="none" w:sz="0" w:space="0" w:color="auto"/>
          </w:divBdr>
          <w:divsChild>
            <w:div w:id="12498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6934">
      <w:bodyDiv w:val="1"/>
      <w:marLeft w:val="0"/>
      <w:marRight w:val="0"/>
      <w:marTop w:val="0"/>
      <w:marBottom w:val="0"/>
      <w:divBdr>
        <w:top w:val="none" w:sz="0" w:space="0" w:color="auto"/>
        <w:left w:val="none" w:sz="0" w:space="0" w:color="auto"/>
        <w:bottom w:val="none" w:sz="0" w:space="0" w:color="auto"/>
        <w:right w:val="none" w:sz="0" w:space="0" w:color="auto"/>
      </w:divBdr>
    </w:div>
    <w:div w:id="733166874">
      <w:bodyDiv w:val="1"/>
      <w:marLeft w:val="0"/>
      <w:marRight w:val="0"/>
      <w:marTop w:val="0"/>
      <w:marBottom w:val="0"/>
      <w:divBdr>
        <w:top w:val="none" w:sz="0" w:space="0" w:color="auto"/>
        <w:left w:val="none" w:sz="0" w:space="0" w:color="auto"/>
        <w:bottom w:val="none" w:sz="0" w:space="0" w:color="auto"/>
        <w:right w:val="none" w:sz="0" w:space="0" w:color="auto"/>
      </w:divBdr>
    </w:div>
    <w:div w:id="820779230">
      <w:bodyDiv w:val="1"/>
      <w:marLeft w:val="0"/>
      <w:marRight w:val="0"/>
      <w:marTop w:val="0"/>
      <w:marBottom w:val="0"/>
      <w:divBdr>
        <w:top w:val="none" w:sz="0" w:space="0" w:color="auto"/>
        <w:left w:val="none" w:sz="0" w:space="0" w:color="auto"/>
        <w:bottom w:val="none" w:sz="0" w:space="0" w:color="auto"/>
        <w:right w:val="none" w:sz="0" w:space="0" w:color="auto"/>
      </w:divBdr>
    </w:div>
    <w:div w:id="823159584">
      <w:bodyDiv w:val="1"/>
      <w:marLeft w:val="0"/>
      <w:marRight w:val="0"/>
      <w:marTop w:val="0"/>
      <w:marBottom w:val="0"/>
      <w:divBdr>
        <w:top w:val="none" w:sz="0" w:space="0" w:color="auto"/>
        <w:left w:val="none" w:sz="0" w:space="0" w:color="auto"/>
        <w:bottom w:val="none" w:sz="0" w:space="0" w:color="auto"/>
        <w:right w:val="none" w:sz="0" w:space="0" w:color="auto"/>
      </w:divBdr>
      <w:divsChild>
        <w:div w:id="7486619">
          <w:marLeft w:val="0"/>
          <w:marRight w:val="0"/>
          <w:marTop w:val="0"/>
          <w:marBottom w:val="0"/>
          <w:divBdr>
            <w:top w:val="none" w:sz="0" w:space="0" w:color="auto"/>
            <w:left w:val="none" w:sz="0" w:space="0" w:color="auto"/>
            <w:bottom w:val="none" w:sz="0" w:space="0" w:color="auto"/>
            <w:right w:val="none" w:sz="0" w:space="0" w:color="auto"/>
          </w:divBdr>
          <w:divsChild>
            <w:div w:id="11453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09998">
      <w:bodyDiv w:val="1"/>
      <w:marLeft w:val="0"/>
      <w:marRight w:val="0"/>
      <w:marTop w:val="0"/>
      <w:marBottom w:val="0"/>
      <w:divBdr>
        <w:top w:val="none" w:sz="0" w:space="0" w:color="auto"/>
        <w:left w:val="none" w:sz="0" w:space="0" w:color="auto"/>
        <w:bottom w:val="none" w:sz="0" w:space="0" w:color="auto"/>
        <w:right w:val="none" w:sz="0" w:space="0" w:color="auto"/>
      </w:divBdr>
      <w:divsChild>
        <w:div w:id="2046447299">
          <w:marLeft w:val="0"/>
          <w:marRight w:val="0"/>
          <w:marTop w:val="0"/>
          <w:marBottom w:val="0"/>
          <w:divBdr>
            <w:top w:val="none" w:sz="0" w:space="0" w:color="auto"/>
            <w:left w:val="none" w:sz="0" w:space="0" w:color="auto"/>
            <w:bottom w:val="none" w:sz="0" w:space="0" w:color="auto"/>
            <w:right w:val="none" w:sz="0" w:space="0" w:color="auto"/>
          </w:divBdr>
          <w:divsChild>
            <w:div w:id="19093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6369">
      <w:bodyDiv w:val="1"/>
      <w:marLeft w:val="0"/>
      <w:marRight w:val="0"/>
      <w:marTop w:val="0"/>
      <w:marBottom w:val="0"/>
      <w:divBdr>
        <w:top w:val="none" w:sz="0" w:space="0" w:color="auto"/>
        <w:left w:val="none" w:sz="0" w:space="0" w:color="auto"/>
        <w:bottom w:val="none" w:sz="0" w:space="0" w:color="auto"/>
        <w:right w:val="none" w:sz="0" w:space="0" w:color="auto"/>
      </w:divBdr>
    </w:div>
    <w:div w:id="894513666">
      <w:bodyDiv w:val="1"/>
      <w:marLeft w:val="0"/>
      <w:marRight w:val="0"/>
      <w:marTop w:val="0"/>
      <w:marBottom w:val="0"/>
      <w:divBdr>
        <w:top w:val="none" w:sz="0" w:space="0" w:color="auto"/>
        <w:left w:val="none" w:sz="0" w:space="0" w:color="auto"/>
        <w:bottom w:val="none" w:sz="0" w:space="0" w:color="auto"/>
        <w:right w:val="none" w:sz="0" w:space="0" w:color="auto"/>
      </w:divBdr>
    </w:div>
    <w:div w:id="937636197">
      <w:bodyDiv w:val="1"/>
      <w:marLeft w:val="0"/>
      <w:marRight w:val="0"/>
      <w:marTop w:val="0"/>
      <w:marBottom w:val="0"/>
      <w:divBdr>
        <w:top w:val="none" w:sz="0" w:space="0" w:color="auto"/>
        <w:left w:val="none" w:sz="0" w:space="0" w:color="auto"/>
        <w:bottom w:val="none" w:sz="0" w:space="0" w:color="auto"/>
        <w:right w:val="none" w:sz="0" w:space="0" w:color="auto"/>
      </w:divBdr>
    </w:div>
    <w:div w:id="958027907">
      <w:bodyDiv w:val="1"/>
      <w:marLeft w:val="0"/>
      <w:marRight w:val="0"/>
      <w:marTop w:val="0"/>
      <w:marBottom w:val="0"/>
      <w:divBdr>
        <w:top w:val="none" w:sz="0" w:space="0" w:color="auto"/>
        <w:left w:val="none" w:sz="0" w:space="0" w:color="auto"/>
        <w:bottom w:val="none" w:sz="0" w:space="0" w:color="auto"/>
        <w:right w:val="none" w:sz="0" w:space="0" w:color="auto"/>
      </w:divBdr>
    </w:div>
    <w:div w:id="987897405">
      <w:bodyDiv w:val="1"/>
      <w:marLeft w:val="0"/>
      <w:marRight w:val="0"/>
      <w:marTop w:val="0"/>
      <w:marBottom w:val="0"/>
      <w:divBdr>
        <w:top w:val="none" w:sz="0" w:space="0" w:color="auto"/>
        <w:left w:val="none" w:sz="0" w:space="0" w:color="auto"/>
        <w:bottom w:val="none" w:sz="0" w:space="0" w:color="auto"/>
        <w:right w:val="none" w:sz="0" w:space="0" w:color="auto"/>
      </w:divBdr>
    </w:div>
    <w:div w:id="1160468470">
      <w:bodyDiv w:val="1"/>
      <w:marLeft w:val="0"/>
      <w:marRight w:val="0"/>
      <w:marTop w:val="0"/>
      <w:marBottom w:val="0"/>
      <w:divBdr>
        <w:top w:val="none" w:sz="0" w:space="0" w:color="auto"/>
        <w:left w:val="none" w:sz="0" w:space="0" w:color="auto"/>
        <w:bottom w:val="none" w:sz="0" w:space="0" w:color="auto"/>
        <w:right w:val="none" w:sz="0" w:space="0" w:color="auto"/>
      </w:divBdr>
    </w:div>
    <w:div w:id="1184633017">
      <w:bodyDiv w:val="1"/>
      <w:marLeft w:val="0"/>
      <w:marRight w:val="0"/>
      <w:marTop w:val="0"/>
      <w:marBottom w:val="0"/>
      <w:divBdr>
        <w:top w:val="none" w:sz="0" w:space="0" w:color="auto"/>
        <w:left w:val="none" w:sz="0" w:space="0" w:color="auto"/>
        <w:bottom w:val="none" w:sz="0" w:space="0" w:color="auto"/>
        <w:right w:val="none" w:sz="0" w:space="0" w:color="auto"/>
      </w:divBdr>
    </w:div>
    <w:div w:id="1203397843">
      <w:bodyDiv w:val="1"/>
      <w:marLeft w:val="0"/>
      <w:marRight w:val="0"/>
      <w:marTop w:val="0"/>
      <w:marBottom w:val="0"/>
      <w:divBdr>
        <w:top w:val="none" w:sz="0" w:space="0" w:color="auto"/>
        <w:left w:val="none" w:sz="0" w:space="0" w:color="auto"/>
        <w:bottom w:val="none" w:sz="0" w:space="0" w:color="auto"/>
        <w:right w:val="none" w:sz="0" w:space="0" w:color="auto"/>
      </w:divBdr>
    </w:div>
    <w:div w:id="1225141036">
      <w:bodyDiv w:val="1"/>
      <w:marLeft w:val="0"/>
      <w:marRight w:val="0"/>
      <w:marTop w:val="0"/>
      <w:marBottom w:val="0"/>
      <w:divBdr>
        <w:top w:val="none" w:sz="0" w:space="0" w:color="auto"/>
        <w:left w:val="none" w:sz="0" w:space="0" w:color="auto"/>
        <w:bottom w:val="none" w:sz="0" w:space="0" w:color="auto"/>
        <w:right w:val="none" w:sz="0" w:space="0" w:color="auto"/>
      </w:divBdr>
    </w:div>
    <w:div w:id="1231303650">
      <w:bodyDiv w:val="1"/>
      <w:marLeft w:val="0"/>
      <w:marRight w:val="0"/>
      <w:marTop w:val="0"/>
      <w:marBottom w:val="0"/>
      <w:divBdr>
        <w:top w:val="none" w:sz="0" w:space="0" w:color="auto"/>
        <w:left w:val="none" w:sz="0" w:space="0" w:color="auto"/>
        <w:bottom w:val="none" w:sz="0" w:space="0" w:color="auto"/>
        <w:right w:val="none" w:sz="0" w:space="0" w:color="auto"/>
      </w:divBdr>
    </w:div>
    <w:div w:id="1238709846">
      <w:bodyDiv w:val="1"/>
      <w:marLeft w:val="0"/>
      <w:marRight w:val="0"/>
      <w:marTop w:val="0"/>
      <w:marBottom w:val="0"/>
      <w:divBdr>
        <w:top w:val="none" w:sz="0" w:space="0" w:color="auto"/>
        <w:left w:val="none" w:sz="0" w:space="0" w:color="auto"/>
        <w:bottom w:val="none" w:sz="0" w:space="0" w:color="auto"/>
        <w:right w:val="none" w:sz="0" w:space="0" w:color="auto"/>
      </w:divBdr>
    </w:div>
    <w:div w:id="1280529591">
      <w:bodyDiv w:val="1"/>
      <w:marLeft w:val="0"/>
      <w:marRight w:val="0"/>
      <w:marTop w:val="0"/>
      <w:marBottom w:val="0"/>
      <w:divBdr>
        <w:top w:val="none" w:sz="0" w:space="0" w:color="auto"/>
        <w:left w:val="none" w:sz="0" w:space="0" w:color="auto"/>
        <w:bottom w:val="none" w:sz="0" w:space="0" w:color="auto"/>
        <w:right w:val="none" w:sz="0" w:space="0" w:color="auto"/>
      </w:divBdr>
    </w:div>
    <w:div w:id="1318269650">
      <w:bodyDiv w:val="1"/>
      <w:marLeft w:val="0"/>
      <w:marRight w:val="0"/>
      <w:marTop w:val="0"/>
      <w:marBottom w:val="0"/>
      <w:divBdr>
        <w:top w:val="none" w:sz="0" w:space="0" w:color="auto"/>
        <w:left w:val="none" w:sz="0" w:space="0" w:color="auto"/>
        <w:bottom w:val="none" w:sz="0" w:space="0" w:color="auto"/>
        <w:right w:val="none" w:sz="0" w:space="0" w:color="auto"/>
      </w:divBdr>
    </w:div>
    <w:div w:id="1440638772">
      <w:bodyDiv w:val="1"/>
      <w:marLeft w:val="0"/>
      <w:marRight w:val="0"/>
      <w:marTop w:val="0"/>
      <w:marBottom w:val="0"/>
      <w:divBdr>
        <w:top w:val="none" w:sz="0" w:space="0" w:color="auto"/>
        <w:left w:val="none" w:sz="0" w:space="0" w:color="auto"/>
        <w:bottom w:val="none" w:sz="0" w:space="0" w:color="auto"/>
        <w:right w:val="none" w:sz="0" w:space="0" w:color="auto"/>
      </w:divBdr>
    </w:div>
    <w:div w:id="1466586637">
      <w:bodyDiv w:val="1"/>
      <w:marLeft w:val="0"/>
      <w:marRight w:val="0"/>
      <w:marTop w:val="0"/>
      <w:marBottom w:val="0"/>
      <w:divBdr>
        <w:top w:val="none" w:sz="0" w:space="0" w:color="auto"/>
        <w:left w:val="none" w:sz="0" w:space="0" w:color="auto"/>
        <w:bottom w:val="none" w:sz="0" w:space="0" w:color="auto"/>
        <w:right w:val="none" w:sz="0" w:space="0" w:color="auto"/>
      </w:divBdr>
    </w:div>
    <w:div w:id="1490976647">
      <w:bodyDiv w:val="1"/>
      <w:marLeft w:val="0"/>
      <w:marRight w:val="0"/>
      <w:marTop w:val="0"/>
      <w:marBottom w:val="0"/>
      <w:divBdr>
        <w:top w:val="none" w:sz="0" w:space="0" w:color="auto"/>
        <w:left w:val="none" w:sz="0" w:space="0" w:color="auto"/>
        <w:bottom w:val="none" w:sz="0" w:space="0" w:color="auto"/>
        <w:right w:val="none" w:sz="0" w:space="0" w:color="auto"/>
      </w:divBdr>
    </w:div>
    <w:div w:id="1520895266">
      <w:bodyDiv w:val="1"/>
      <w:marLeft w:val="0"/>
      <w:marRight w:val="0"/>
      <w:marTop w:val="0"/>
      <w:marBottom w:val="0"/>
      <w:divBdr>
        <w:top w:val="none" w:sz="0" w:space="0" w:color="auto"/>
        <w:left w:val="none" w:sz="0" w:space="0" w:color="auto"/>
        <w:bottom w:val="none" w:sz="0" w:space="0" w:color="auto"/>
        <w:right w:val="none" w:sz="0" w:space="0" w:color="auto"/>
      </w:divBdr>
    </w:div>
    <w:div w:id="1531071876">
      <w:bodyDiv w:val="1"/>
      <w:marLeft w:val="0"/>
      <w:marRight w:val="0"/>
      <w:marTop w:val="0"/>
      <w:marBottom w:val="0"/>
      <w:divBdr>
        <w:top w:val="none" w:sz="0" w:space="0" w:color="auto"/>
        <w:left w:val="none" w:sz="0" w:space="0" w:color="auto"/>
        <w:bottom w:val="none" w:sz="0" w:space="0" w:color="auto"/>
        <w:right w:val="none" w:sz="0" w:space="0" w:color="auto"/>
      </w:divBdr>
    </w:div>
    <w:div w:id="1539852588">
      <w:bodyDiv w:val="1"/>
      <w:marLeft w:val="0"/>
      <w:marRight w:val="0"/>
      <w:marTop w:val="0"/>
      <w:marBottom w:val="0"/>
      <w:divBdr>
        <w:top w:val="none" w:sz="0" w:space="0" w:color="auto"/>
        <w:left w:val="none" w:sz="0" w:space="0" w:color="auto"/>
        <w:bottom w:val="none" w:sz="0" w:space="0" w:color="auto"/>
        <w:right w:val="none" w:sz="0" w:space="0" w:color="auto"/>
      </w:divBdr>
    </w:div>
    <w:div w:id="1619797129">
      <w:bodyDiv w:val="1"/>
      <w:marLeft w:val="0"/>
      <w:marRight w:val="0"/>
      <w:marTop w:val="0"/>
      <w:marBottom w:val="0"/>
      <w:divBdr>
        <w:top w:val="none" w:sz="0" w:space="0" w:color="auto"/>
        <w:left w:val="none" w:sz="0" w:space="0" w:color="auto"/>
        <w:bottom w:val="none" w:sz="0" w:space="0" w:color="auto"/>
        <w:right w:val="none" w:sz="0" w:space="0" w:color="auto"/>
      </w:divBdr>
      <w:divsChild>
        <w:div w:id="116604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013137">
      <w:bodyDiv w:val="1"/>
      <w:marLeft w:val="0"/>
      <w:marRight w:val="0"/>
      <w:marTop w:val="0"/>
      <w:marBottom w:val="0"/>
      <w:divBdr>
        <w:top w:val="none" w:sz="0" w:space="0" w:color="auto"/>
        <w:left w:val="none" w:sz="0" w:space="0" w:color="auto"/>
        <w:bottom w:val="none" w:sz="0" w:space="0" w:color="auto"/>
        <w:right w:val="none" w:sz="0" w:space="0" w:color="auto"/>
      </w:divBdr>
    </w:div>
    <w:div w:id="1679191375">
      <w:bodyDiv w:val="1"/>
      <w:marLeft w:val="0"/>
      <w:marRight w:val="0"/>
      <w:marTop w:val="0"/>
      <w:marBottom w:val="0"/>
      <w:divBdr>
        <w:top w:val="none" w:sz="0" w:space="0" w:color="auto"/>
        <w:left w:val="none" w:sz="0" w:space="0" w:color="auto"/>
        <w:bottom w:val="none" w:sz="0" w:space="0" w:color="auto"/>
        <w:right w:val="none" w:sz="0" w:space="0" w:color="auto"/>
      </w:divBdr>
    </w:div>
    <w:div w:id="1692337475">
      <w:bodyDiv w:val="1"/>
      <w:marLeft w:val="0"/>
      <w:marRight w:val="0"/>
      <w:marTop w:val="0"/>
      <w:marBottom w:val="0"/>
      <w:divBdr>
        <w:top w:val="none" w:sz="0" w:space="0" w:color="auto"/>
        <w:left w:val="none" w:sz="0" w:space="0" w:color="auto"/>
        <w:bottom w:val="none" w:sz="0" w:space="0" w:color="auto"/>
        <w:right w:val="none" w:sz="0" w:space="0" w:color="auto"/>
      </w:divBdr>
    </w:div>
    <w:div w:id="1770852837">
      <w:bodyDiv w:val="1"/>
      <w:marLeft w:val="0"/>
      <w:marRight w:val="0"/>
      <w:marTop w:val="0"/>
      <w:marBottom w:val="0"/>
      <w:divBdr>
        <w:top w:val="none" w:sz="0" w:space="0" w:color="auto"/>
        <w:left w:val="none" w:sz="0" w:space="0" w:color="auto"/>
        <w:bottom w:val="none" w:sz="0" w:space="0" w:color="auto"/>
        <w:right w:val="none" w:sz="0" w:space="0" w:color="auto"/>
      </w:divBdr>
    </w:div>
    <w:div w:id="1791319916">
      <w:bodyDiv w:val="1"/>
      <w:marLeft w:val="0"/>
      <w:marRight w:val="0"/>
      <w:marTop w:val="0"/>
      <w:marBottom w:val="0"/>
      <w:divBdr>
        <w:top w:val="none" w:sz="0" w:space="0" w:color="auto"/>
        <w:left w:val="none" w:sz="0" w:space="0" w:color="auto"/>
        <w:bottom w:val="none" w:sz="0" w:space="0" w:color="auto"/>
        <w:right w:val="none" w:sz="0" w:space="0" w:color="auto"/>
      </w:divBdr>
    </w:div>
    <w:div w:id="1828668753">
      <w:bodyDiv w:val="1"/>
      <w:marLeft w:val="0"/>
      <w:marRight w:val="0"/>
      <w:marTop w:val="0"/>
      <w:marBottom w:val="0"/>
      <w:divBdr>
        <w:top w:val="none" w:sz="0" w:space="0" w:color="auto"/>
        <w:left w:val="none" w:sz="0" w:space="0" w:color="auto"/>
        <w:bottom w:val="none" w:sz="0" w:space="0" w:color="auto"/>
        <w:right w:val="none" w:sz="0" w:space="0" w:color="auto"/>
      </w:divBdr>
    </w:div>
    <w:div w:id="1840584688">
      <w:bodyDiv w:val="1"/>
      <w:marLeft w:val="0"/>
      <w:marRight w:val="0"/>
      <w:marTop w:val="0"/>
      <w:marBottom w:val="0"/>
      <w:divBdr>
        <w:top w:val="none" w:sz="0" w:space="0" w:color="auto"/>
        <w:left w:val="none" w:sz="0" w:space="0" w:color="auto"/>
        <w:bottom w:val="none" w:sz="0" w:space="0" w:color="auto"/>
        <w:right w:val="none" w:sz="0" w:space="0" w:color="auto"/>
      </w:divBdr>
    </w:div>
    <w:div w:id="1871724542">
      <w:bodyDiv w:val="1"/>
      <w:marLeft w:val="0"/>
      <w:marRight w:val="0"/>
      <w:marTop w:val="0"/>
      <w:marBottom w:val="0"/>
      <w:divBdr>
        <w:top w:val="none" w:sz="0" w:space="0" w:color="auto"/>
        <w:left w:val="none" w:sz="0" w:space="0" w:color="auto"/>
        <w:bottom w:val="none" w:sz="0" w:space="0" w:color="auto"/>
        <w:right w:val="none" w:sz="0" w:space="0" w:color="auto"/>
      </w:divBdr>
    </w:div>
    <w:div w:id="1901205659">
      <w:bodyDiv w:val="1"/>
      <w:marLeft w:val="0"/>
      <w:marRight w:val="0"/>
      <w:marTop w:val="0"/>
      <w:marBottom w:val="0"/>
      <w:divBdr>
        <w:top w:val="none" w:sz="0" w:space="0" w:color="auto"/>
        <w:left w:val="none" w:sz="0" w:space="0" w:color="auto"/>
        <w:bottom w:val="none" w:sz="0" w:space="0" w:color="auto"/>
        <w:right w:val="none" w:sz="0" w:space="0" w:color="auto"/>
      </w:divBdr>
    </w:div>
    <w:div w:id="1935355411">
      <w:bodyDiv w:val="1"/>
      <w:marLeft w:val="0"/>
      <w:marRight w:val="0"/>
      <w:marTop w:val="0"/>
      <w:marBottom w:val="0"/>
      <w:divBdr>
        <w:top w:val="none" w:sz="0" w:space="0" w:color="auto"/>
        <w:left w:val="none" w:sz="0" w:space="0" w:color="auto"/>
        <w:bottom w:val="none" w:sz="0" w:space="0" w:color="auto"/>
        <w:right w:val="none" w:sz="0" w:space="0" w:color="auto"/>
      </w:divBdr>
    </w:div>
    <w:div w:id="1941449440">
      <w:bodyDiv w:val="1"/>
      <w:marLeft w:val="0"/>
      <w:marRight w:val="0"/>
      <w:marTop w:val="0"/>
      <w:marBottom w:val="0"/>
      <w:divBdr>
        <w:top w:val="none" w:sz="0" w:space="0" w:color="auto"/>
        <w:left w:val="none" w:sz="0" w:space="0" w:color="auto"/>
        <w:bottom w:val="none" w:sz="0" w:space="0" w:color="auto"/>
        <w:right w:val="none" w:sz="0" w:space="0" w:color="auto"/>
      </w:divBdr>
    </w:div>
    <w:div w:id="1951163044">
      <w:bodyDiv w:val="1"/>
      <w:marLeft w:val="0"/>
      <w:marRight w:val="0"/>
      <w:marTop w:val="0"/>
      <w:marBottom w:val="0"/>
      <w:divBdr>
        <w:top w:val="none" w:sz="0" w:space="0" w:color="auto"/>
        <w:left w:val="none" w:sz="0" w:space="0" w:color="auto"/>
        <w:bottom w:val="none" w:sz="0" w:space="0" w:color="auto"/>
        <w:right w:val="none" w:sz="0" w:space="0" w:color="auto"/>
      </w:divBdr>
    </w:div>
    <w:div w:id="1952083544">
      <w:bodyDiv w:val="1"/>
      <w:marLeft w:val="0"/>
      <w:marRight w:val="0"/>
      <w:marTop w:val="0"/>
      <w:marBottom w:val="0"/>
      <w:divBdr>
        <w:top w:val="none" w:sz="0" w:space="0" w:color="auto"/>
        <w:left w:val="none" w:sz="0" w:space="0" w:color="auto"/>
        <w:bottom w:val="none" w:sz="0" w:space="0" w:color="auto"/>
        <w:right w:val="none" w:sz="0" w:space="0" w:color="auto"/>
      </w:divBdr>
    </w:div>
    <w:div w:id="1964192319">
      <w:bodyDiv w:val="1"/>
      <w:marLeft w:val="0"/>
      <w:marRight w:val="0"/>
      <w:marTop w:val="0"/>
      <w:marBottom w:val="0"/>
      <w:divBdr>
        <w:top w:val="none" w:sz="0" w:space="0" w:color="auto"/>
        <w:left w:val="none" w:sz="0" w:space="0" w:color="auto"/>
        <w:bottom w:val="none" w:sz="0" w:space="0" w:color="auto"/>
        <w:right w:val="none" w:sz="0" w:space="0" w:color="auto"/>
      </w:divBdr>
    </w:div>
    <w:div w:id="2012178132">
      <w:bodyDiv w:val="1"/>
      <w:marLeft w:val="0"/>
      <w:marRight w:val="0"/>
      <w:marTop w:val="0"/>
      <w:marBottom w:val="0"/>
      <w:divBdr>
        <w:top w:val="none" w:sz="0" w:space="0" w:color="auto"/>
        <w:left w:val="none" w:sz="0" w:space="0" w:color="auto"/>
        <w:bottom w:val="none" w:sz="0" w:space="0" w:color="auto"/>
        <w:right w:val="none" w:sz="0" w:space="0" w:color="auto"/>
      </w:divBdr>
    </w:div>
    <w:div w:id="2036884611">
      <w:bodyDiv w:val="1"/>
      <w:marLeft w:val="0"/>
      <w:marRight w:val="0"/>
      <w:marTop w:val="0"/>
      <w:marBottom w:val="0"/>
      <w:divBdr>
        <w:top w:val="none" w:sz="0" w:space="0" w:color="auto"/>
        <w:left w:val="none" w:sz="0" w:space="0" w:color="auto"/>
        <w:bottom w:val="none" w:sz="0" w:space="0" w:color="auto"/>
        <w:right w:val="none" w:sz="0" w:space="0" w:color="auto"/>
      </w:divBdr>
    </w:div>
    <w:div w:id="2121029443">
      <w:bodyDiv w:val="1"/>
      <w:marLeft w:val="0"/>
      <w:marRight w:val="0"/>
      <w:marTop w:val="0"/>
      <w:marBottom w:val="0"/>
      <w:divBdr>
        <w:top w:val="none" w:sz="0" w:space="0" w:color="auto"/>
        <w:left w:val="none" w:sz="0" w:space="0" w:color="auto"/>
        <w:bottom w:val="none" w:sz="0" w:space="0" w:color="auto"/>
        <w:right w:val="none" w:sz="0" w:space="0" w:color="auto"/>
      </w:divBdr>
    </w:div>
    <w:div w:id="2133865938">
      <w:bodyDiv w:val="1"/>
      <w:marLeft w:val="0"/>
      <w:marRight w:val="0"/>
      <w:marTop w:val="0"/>
      <w:marBottom w:val="0"/>
      <w:divBdr>
        <w:top w:val="none" w:sz="0" w:space="0" w:color="auto"/>
        <w:left w:val="none" w:sz="0" w:space="0" w:color="auto"/>
        <w:bottom w:val="none" w:sz="0" w:space="0" w:color="auto"/>
        <w:right w:val="none" w:sz="0" w:space="0" w:color="auto"/>
      </w:divBdr>
    </w:div>
    <w:div w:id="21410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ncc.portal.gov.bd/sites/default/files/files/dncc.portal.gov.bd/project/15c19c7b_3028_45cf_84d1_f8096e95eabd/2022-03-02-09-56-054bad8bb2b11fce6560d9cc181babe3.pdf" TargetMode="External"/><Relationship Id="rId21" Type="http://schemas.openxmlformats.org/officeDocument/2006/relationships/hyperlink" Target="https://doi.org/10.3390/su17115148" TargetMode="External"/><Relationship Id="rId42" Type="http://schemas.openxmlformats.org/officeDocument/2006/relationships/hyperlink" Target="https://www.iea.org/reports/energy-technology-perspectives-2022" TargetMode="External"/><Relationship Id="rId47" Type="http://schemas.openxmlformats.org/officeDocument/2006/relationships/hyperlink" Target="https://www.ipcc.ch/report/ar6/wg3/" TargetMode="External"/><Relationship Id="rId63" Type="http://schemas.openxmlformats.org/officeDocument/2006/relationships/hyperlink" Target="https://www.nasa.gov/news-release/nasa-seeks-innovators-for-lunar-waste-competition/" TargetMode="External"/><Relationship Id="rId68" Type="http://schemas.openxmlformats.org/officeDocument/2006/relationships/hyperlink" Target="https://doi.org/10.1016/j.wmb.2024.05.001" TargetMode="External"/><Relationship Id="rId84" Type="http://schemas.openxmlformats.org/officeDocument/2006/relationships/hyperlink" Target="https://www.unep.org/events/un-day/world-environment-day-2024" TargetMode="External"/><Relationship Id="rId89" Type="http://schemas.openxmlformats.org/officeDocument/2006/relationships/hyperlink" Target="https://unhabitat.org/annual-report-2023" TargetMode="External"/><Relationship Id="rId16" Type="http://schemas.openxmlformats.org/officeDocument/2006/relationships/hyperlink" Target="https://doi.org/10.3389/frai.2025.1551661" TargetMode="External"/><Relationship Id="rId107" Type="http://schemas.openxmlformats.org/officeDocument/2006/relationships/footer" Target="footer3.xml"/><Relationship Id="rId11" Type="http://schemas.openxmlformats.org/officeDocument/2006/relationships/image" Target="media/image4.png"/><Relationship Id="rId32" Type="http://schemas.openxmlformats.org/officeDocument/2006/relationships/hyperlink" Target="https://www.greenclimate.fund/annual-report-2023" TargetMode="External"/><Relationship Id="rId37" Type="http://schemas.openxmlformats.org/officeDocument/2006/relationships/hyperlink" Target="https://doi.org/10.1016/j.seta.2021.101426" TargetMode="External"/><Relationship Id="rId53" Type="http://schemas.openxmlformats.org/officeDocument/2006/relationships/hyperlink" Target="https://doi.org/10.9734/jerr/2025/v27i61558" TargetMode="External"/><Relationship Id="rId58" Type="http://schemas.openxmlformats.org/officeDocument/2006/relationships/hyperlink" Target="https://www.newagebd.net/post/opinion/267800/women-waste-pickers-and-circular-economy?utm" TargetMode="External"/><Relationship Id="rId74" Type="http://schemas.openxmlformats.org/officeDocument/2006/relationships/hyperlink" Target="https://doi.org/10.54536/ajec.v2i2.1767" TargetMode="External"/><Relationship Id="rId79" Type="http://schemas.openxmlformats.org/officeDocument/2006/relationships/hyperlink" Target="https://doi.org/10.3390/engproc2025097012"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unep.org/resources/report/circularity-gap-report-latin-america-and-caribbean" TargetMode="External"/><Relationship Id="rId95" Type="http://schemas.openxmlformats.org/officeDocument/2006/relationships/hyperlink" Target="https://verra.org" TargetMode="External"/><Relationship Id="rId22" Type="http://schemas.openxmlformats.org/officeDocument/2006/relationships/hyperlink" Target="https://www.c40.org/news/dhaka-launches-first-climate-action-plan/" TargetMode="External"/><Relationship Id="rId27" Type="http://schemas.openxmlformats.org/officeDocument/2006/relationships/hyperlink" Target="https://en.wikipedia.org/wiki/Dhaka_South_City_Corporation" TargetMode="External"/><Relationship Id="rId43" Type="http://schemas.openxmlformats.org/officeDocument/2006/relationships/hyperlink" Target="https://www.iea.org/reports/renewables-2023" TargetMode="External"/><Relationship Id="rId48" Type="http://schemas.openxmlformats.org/officeDocument/2006/relationships/hyperlink" Target="https://www.researchgate.net/profile/F-A-Samiul-Islam/publication/309790226_Solid_Waste_Management_System_in_Dhaka_City_of_Bangladesh/links/582393b108aeb45b58896084/Solid-Waste-Management-System-in-Dhaka-City-of-Bangladesh.pdf" TargetMode="External"/><Relationship Id="rId64" Type="http://schemas.openxmlformats.org/officeDocument/2006/relationships/hyperlink" Target="https://www.nasa.gov/wp-content/uploads/2023/04/advancing-nasas-climate-strategy-2023.pdf" TargetMode="External"/><Relationship Id="rId69" Type="http://schemas.openxmlformats.org/officeDocument/2006/relationships/hyperlink" Target="https://medium.com/kinomoto-mag/climate-guardians-ais-role-in-addressing-global-environmental-challenges-5551f2dfd83d" TargetMode="External"/><Relationship Id="rId80" Type="http://schemas.openxmlformats.org/officeDocument/2006/relationships/hyperlink" Target="https://www.unsdsn.org/our-work/decarbonization-pathways/" TargetMode="External"/><Relationship Id="rId85" Type="http://schemas.openxmlformats.org/officeDocument/2006/relationships/hyperlink" Target="https://www.unep.org/who-we-are/about-us" TargetMode="External"/><Relationship Id="rId12" Type="http://schemas.openxmlformats.org/officeDocument/2006/relationships/hyperlink" Target="https://www.afdb.org/sites/default/files/documents/publications/2024_bank_group_publications_catalogue_eng.pdf" TargetMode="External"/><Relationship Id="rId17" Type="http://schemas.openxmlformats.org/officeDocument/2006/relationships/hyperlink" Target="http://bbs.portal.gov.bd" TargetMode="External"/><Relationship Id="rId33" Type="http://schemas.openxmlformats.org/officeDocument/2006/relationships/hyperlink" Target="https://www.greenclimate.fund/event/redd-results-based-payments-rbps-workshop" TargetMode="External"/><Relationship Id="rId38" Type="http://schemas.openxmlformats.org/officeDocument/2006/relationships/hyperlink" Target="https://www.ilo.org/resource/article/formalization-key-shared-prosperity-workers-bangladeshs-informal-sector" TargetMode="External"/><Relationship Id="rId59" Type="http://schemas.openxmlformats.org/officeDocument/2006/relationships/hyperlink" Target="https://doi.org/10.3390/en17235984"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doi.org/10.1596/978-1-4648-1329-0" TargetMode="External"/><Relationship Id="rId70" Type="http://schemas.openxmlformats.org/officeDocument/2006/relationships/hyperlink" Target="https://www.adb.org/publications/pathways-low-carbon-transition-bangladesh" TargetMode="External"/><Relationship Id="rId75" Type="http://schemas.openxmlformats.org/officeDocument/2006/relationships/hyperlink" Target="https://www.seforall.org/goal-7-targets/renewable-energy" TargetMode="External"/><Relationship Id="rId91" Type="http://schemas.openxmlformats.org/officeDocument/2006/relationships/hyperlink" Target="https://sdgs.un.org/un-system-sdg-implementation/united-nations-human-settlements-programme-un-habitat-54137" TargetMode="External"/><Relationship Id="rId96" Type="http://schemas.openxmlformats.org/officeDocument/2006/relationships/hyperlink" Target="https://verra.org/project/vcs-progr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db.org/publications/series/asian-cities-21st-century-contemporary-approaches-municipal-management" TargetMode="External"/><Relationship Id="rId23" Type="http://schemas.openxmlformats.org/officeDocument/2006/relationships/hyperlink" Target="https://doi.org/10.3389/fsoil.2024.1501368" TargetMode="External"/><Relationship Id="rId28" Type="http://schemas.openxmlformats.org/officeDocument/2006/relationships/hyperlink" Target="https://www.eeas.europa.eu/delegations/bangladesh/dignifying-lives-inclusive-approach-socio-economic-empowerment-informal-waste-and-sanitation-workers_und_en?utm" TargetMode="External"/><Relationship Id="rId36" Type="http://schemas.openxmlformats.org/officeDocument/2006/relationships/hyperlink" Target="https://www.goldstandard.org/" TargetMode="External"/><Relationship Id="rId49" Type="http://schemas.openxmlformats.org/officeDocument/2006/relationships/hyperlink" Target="https://doi.org/10.56557/jogee/2025/v21i29272" TargetMode="External"/><Relationship Id="rId57" Type="http://schemas.openxmlformats.org/officeDocument/2006/relationships/hyperlink" Target="https://moef.portal.gov.bd/sites/default/files/files/moef.portal.gov.bd/npfblock/903c6d55_3fa3_4d24_a4e1_0611eaa3cb69/National%20Adaptation%20Plan%20of%20Bangladesh%20%282023-2050%29%20%281%29.pdf" TargetMode="External"/><Relationship Id="rId106"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hyperlink" Target="https://www.greenclimate.fund/projects/investment-framework" TargetMode="External"/><Relationship Id="rId44" Type="http://schemas.openxmlformats.org/officeDocument/2006/relationships/hyperlink" Target="https://www.ipcc.ch/ar6-syr/" TargetMode="External"/><Relationship Id="rId52" Type="http://schemas.openxmlformats.org/officeDocument/2006/relationships/hyperlink" Target="https://doi.org/10.61424/ijans.v3i2.315" TargetMode="External"/><Relationship Id="rId60" Type="http://schemas.openxmlformats.org/officeDocument/2006/relationships/hyperlink" Target="https://doi.org/10.3389/frsc.2025.1569362" TargetMode="External"/><Relationship Id="rId65" Type="http://schemas.openxmlformats.org/officeDocument/2006/relationships/hyperlink" Target="https://www.wired.com/story/nasa-is-preparing-for-the-ravages-of-climate-change/" TargetMode="External"/><Relationship Id="rId73" Type="http://schemas.openxmlformats.org/officeDocument/2006/relationships/hyperlink" Target="https://www.epa.gov/renewable-fuel-standard/final-renewable-fuels-standards-rule-2023-2024-and-2025" TargetMode="External"/><Relationship Id="rId78" Type="http://schemas.openxmlformats.org/officeDocument/2006/relationships/hyperlink" Target="https://community.intel.com/t5/Blogs/Tech-Innovation/Artificial-Intelligence-AI/Smart-Waste-Management-WasteAnt-s-AI-Solutions-for-Energy/post/1644275" TargetMode="External"/><Relationship Id="rId81" Type="http://schemas.openxmlformats.org/officeDocument/2006/relationships/hyperlink" Target="https://genuspower.com/ai-and-iot-driven-smart-grid-technologies-for-smart-energy-management/" TargetMode="External"/><Relationship Id="rId86" Type="http://schemas.openxmlformats.org/officeDocument/2006/relationships/hyperlink" Target="https://unesdoc.unesco.org/ark:/48223/pf0000375429" TargetMode="External"/><Relationship Id="rId94" Type="http://schemas.openxmlformats.org/officeDocument/2006/relationships/hyperlink" Target="https://www.unsdsn.org/resources/sustainable-development-report-2023/" TargetMode="External"/><Relationship Id="rId99" Type="http://schemas.openxmlformats.org/officeDocument/2006/relationships/hyperlink" Target="https://doi.org/10.1002/widm.70025" TargetMode="External"/><Relationship Id="rId101" Type="http://schemas.openxmlformats.org/officeDocument/2006/relationships/hyperlink" Target="https://sdg.esa.int/target/125-substantially-reduce-waste-generation-through-prevention-reduction-recycling-and-reuse"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doi.org/10.1038/s41598-025-97030-2" TargetMode="External"/><Relationship Id="rId18" Type="http://schemas.openxmlformats.org/officeDocument/2006/relationships/hyperlink" Target="http://bmd.gov.bd" TargetMode="External"/><Relationship Id="rId39" Type="http://schemas.openxmlformats.org/officeDocument/2006/relationships/hyperlink" Target="https://sdg6data.org/en/indicator/6.3.1" TargetMode="External"/><Relationship Id="rId109" Type="http://schemas.openxmlformats.org/officeDocument/2006/relationships/theme" Target="theme/theme1.xml"/><Relationship Id="rId34" Type="http://schemas.openxmlformats.org/officeDocument/2006/relationships/hyperlink" Target="https://sdgs.un.org/goals/goal12" TargetMode="External"/><Relationship Id="rId50" Type="http://schemas.openxmlformats.org/officeDocument/2006/relationships/hyperlink" Target="https://doi.org/10.61424/ijans.v3i1.296" TargetMode="External"/><Relationship Id="rId55" Type="http://schemas.openxmlformats.org/officeDocument/2006/relationships/hyperlink" Target="https://doi.org/10.3389/frsus.2025.1479452" TargetMode="External"/><Relationship Id="rId76" Type="http://schemas.openxmlformats.org/officeDocument/2006/relationships/hyperlink" Target="https://ocm.iccrom.org/sdgs/sdg-11-sustainable-cities-and-communities/sdg-116-reduce-environmental-impact-cities" TargetMode="External"/><Relationship Id="rId97" Type="http://schemas.openxmlformats.org/officeDocument/2006/relationships/hyperlink" Target="https://openknowledge.worldbank.org/handle/10986/30317"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org/10.3390/recycling10020072" TargetMode="External"/><Relationship Id="rId92" Type="http://schemas.openxmlformats.org/officeDocument/2006/relationships/hyperlink" Target="https://www.undp.org/bangladesh/publications/national-human-development-reports-bangladesh" TargetMode="External"/><Relationship Id="rId2" Type="http://schemas.openxmlformats.org/officeDocument/2006/relationships/numbering" Target="numbering.xml"/><Relationship Id="rId29" Type="http://schemas.openxmlformats.org/officeDocument/2006/relationships/hyperlink" Target="https://ec.europa.eu/environment/circular-economy" TargetMode="External"/><Relationship Id="rId24" Type="http://schemas.openxmlformats.org/officeDocument/2006/relationships/hyperlink" Target="https://dscc.portal.gov.bd" TargetMode="External"/><Relationship Id="rId40" Type="http://schemas.openxmlformats.org/officeDocument/2006/relationships/hyperlink" Target="https://www.ipcc.ch/report/ar5/wg3/" TargetMode="External"/><Relationship Id="rId45" Type="http://schemas.openxmlformats.org/officeDocument/2006/relationships/hyperlink" Target="https://www.ipcc.ch/report/2019-refinement-to-the-2006-ipcc-guidelines-for-national-greenhouse-gas-inventories/" TargetMode="External"/><Relationship Id="rId66" Type="http://schemas.openxmlformats.org/officeDocument/2006/relationships/hyperlink" Target="https://www.oecd.org/en/publications/oecd-economic-outlook/volume-2023/issue-2_7a5f73ce-en.html" TargetMode="External"/><Relationship Id="rId87" Type="http://schemas.openxmlformats.org/officeDocument/2006/relationships/hyperlink" Target="https://www.unesco.org/en/articles/empowering-women-through-digital-literacy-ifaps-impact-across-marginalized-communities" TargetMode="External"/><Relationship Id="rId61" Type="http://schemas.openxmlformats.org/officeDocument/2006/relationships/hyperlink" Target="https://www.nasa.gov/directorates/stmd/prizes-challenges-crowdsourcing-program/center-of-excellence-for-collaborative-innovation-coeci/coeci-news/nasa-seeks-ideas-for-handling-waste-on-future-human-missions-to-mars/" TargetMode="External"/><Relationship Id="rId82" Type="http://schemas.openxmlformats.org/officeDocument/2006/relationships/hyperlink" Target="https://mcr2030.undrr.org/" TargetMode="External"/><Relationship Id="rId19" Type="http://schemas.openxmlformats.org/officeDocument/2006/relationships/hyperlink" Target="https://doi.org/10.1140/epjst/e2012-01703-3" TargetMode="External"/><Relationship Id="rId14" Type="http://schemas.openxmlformats.org/officeDocument/2006/relationships/hyperlink" Target="https://dx.doi.org/10.22617/FLS250100" TargetMode="External"/><Relationship Id="rId30" Type="http://schemas.openxmlformats.org/officeDocument/2006/relationships/hyperlink" Target="https://doi.org/10.1007/s10311-023-01604-3" TargetMode="External"/><Relationship Id="rId35" Type="http://schemas.openxmlformats.org/officeDocument/2006/relationships/hyperlink" Target="https://doi.org/10.3390/su162411079" TargetMode="External"/><Relationship Id="rId56" Type="http://schemas.openxmlformats.org/officeDocument/2006/relationships/hyperlink" Target="https://www.ierek.com/news/artificial-intelligence-powered-smart-cities-shaping-the-urban-future/" TargetMode="External"/><Relationship Id="rId77" Type="http://schemas.openxmlformats.org/officeDocument/2006/relationships/hyperlink" Target="https://ocm.iccrom.org/sdgs/sdg-13-climate-action/sdg-131-strengthen-resilience-and-adaptive-capacity-climate-related" TargetMode="External"/><Relationship Id="rId100" Type="http://schemas.openxmlformats.org/officeDocument/2006/relationships/hyperlink" Target="https://doi.org/10.1016/j.egyai.2025.100508" TargetMode="External"/><Relationship Id="rId105"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doi.org/10.56557/jobari/2025/v31i39353" TargetMode="External"/><Relationship Id="rId72" Type="http://schemas.openxmlformats.org/officeDocument/2006/relationships/hyperlink" Target="https://doi.org/10.48550/arxiv.1906.05433" TargetMode="External"/><Relationship Id="rId93" Type="http://schemas.openxmlformats.org/officeDocument/2006/relationships/hyperlink" Target="https://www.unep.org/resources/pollution-solution-global-assessment-marine-litter-and-plastic-pollution" TargetMode="External"/><Relationship Id="rId98" Type="http://schemas.openxmlformats.org/officeDocument/2006/relationships/hyperlink" Target="https://www.worldbank.org/en/topic/urbandevelopment/publication/Cities-Building-Resilience-for-a-Changing-World" TargetMode="External"/><Relationship Id="rId3" Type="http://schemas.openxmlformats.org/officeDocument/2006/relationships/styles" Target="styles.xml"/><Relationship Id="rId25" Type="http://schemas.openxmlformats.org/officeDocument/2006/relationships/hyperlink" Target="https://doe.portal.gov.bd/sites/default/files/files/doe.portal.gov.bd/page/b79395c3_3aed_4c8b_83cd_c4179208fa78/2024-11-04-05-36-ecdb0dad773597ff2c596611dc099697.pdf" TargetMode="External"/><Relationship Id="rId46" Type="http://schemas.openxmlformats.org/officeDocument/2006/relationships/hyperlink" Target="https://www.ipcc.ch/report/ar6/wg2" TargetMode="External"/><Relationship Id="rId67" Type="http://schemas.openxmlformats.org/officeDocument/2006/relationships/hyperlink" Target="https://www.oecd.org/en/publications/oecd-economic-outlook/volume-2022/issue-1_ae8c39ec-en.html" TargetMode="External"/><Relationship Id="rId20" Type="http://schemas.openxmlformats.org/officeDocument/2006/relationships/hyperlink" Target="https://www.tbsnews.net/thoughts/we-need-clear-strategy-circular-economy-631494" TargetMode="External"/><Relationship Id="rId41" Type="http://schemas.openxmlformats.org/officeDocument/2006/relationships/hyperlink" Target="https://www.ipcc-nggip.iges.or.jp/public/2019rf/index.html" TargetMode="External"/><Relationship Id="rId62" Type="http://schemas.openxmlformats.org/officeDocument/2006/relationships/hyperlink" Target="https://ntrs.nasa.gov/api/citations/20240004481/downloads/ICES2024-LR_Overview%20final.pdf" TargetMode="External"/><Relationship Id="rId83" Type="http://schemas.openxmlformats.org/officeDocument/2006/relationships/hyperlink" Target="https://uis.unesco.org/en/news/education-data-release" TargetMode="External"/><Relationship Id="rId88" Type="http://schemas.openxmlformats.org/officeDocument/2006/relationships/hyperlink" Target="https://unhabitat.org/waste-wise-challen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9C36-8187-4F53-8C6D-AC35A5C0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35</Pages>
  <Words>17780</Words>
  <Characters>101351</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 Islam Samir</dc:creator>
  <cp:keywords/>
  <dc:description/>
  <cp:lastModifiedBy>SDI 1180</cp:lastModifiedBy>
  <cp:revision>411</cp:revision>
  <dcterms:created xsi:type="dcterms:W3CDTF">2025-06-30T00:10:00Z</dcterms:created>
  <dcterms:modified xsi:type="dcterms:W3CDTF">2025-07-10T10:17:00Z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da02e76f-d4c1-44f0-bf9f-245f74d68504</vt:lpwstr>
  </property>
</Properties>
</file>