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4A957" w14:textId="77777777" w:rsidR="00A258C3" w:rsidRPr="00E23435" w:rsidRDefault="004D3766" w:rsidP="00E23435">
      <w:pPr>
        <w:spacing w:before="100" w:beforeAutospacing="1" w:after="100" w:afterAutospacing="1"/>
        <w:jc w:val="center"/>
        <w:rPr>
          <w:rFonts w:ascii="Times New Roman" w:hAnsi="Times New Roman"/>
          <w:b/>
          <w:sz w:val="32"/>
          <w:szCs w:val="24"/>
          <w:lang w:eastAsia="fr-FR"/>
        </w:rPr>
      </w:pPr>
      <w:r w:rsidRPr="00814812">
        <w:rPr>
          <w:rFonts w:ascii="Times New Roman" w:hAnsi="Times New Roman"/>
          <w:b/>
          <w:sz w:val="32"/>
          <w:szCs w:val="24"/>
          <w:lang w:eastAsia="fr-FR"/>
        </w:rPr>
        <w:t>An Ethnonutritional Investigation of Galactagogue Plants and Foods Used During the Postpartum Period by Women in Tabligbo, Southern Togo.</w:t>
      </w:r>
    </w:p>
    <w:p w14:paraId="7F951E5F" w14:textId="77777777" w:rsidR="00025551" w:rsidRPr="00FB3A86" w:rsidRDefault="00025551" w:rsidP="00441B6F">
      <w:pPr>
        <w:pStyle w:val="Affiliation"/>
        <w:spacing w:after="0" w:line="240" w:lineRule="auto"/>
        <w:jc w:val="both"/>
        <w:rPr>
          <w:rFonts w:ascii="Arial" w:hAnsi="Arial" w:cs="Arial"/>
        </w:rPr>
      </w:pPr>
    </w:p>
    <w:p w14:paraId="40B85262" w14:textId="77777777" w:rsidR="00B01FCD" w:rsidRPr="00FB3A86" w:rsidRDefault="00F516C0" w:rsidP="00441B6F">
      <w:pPr>
        <w:pStyle w:val="Copyright"/>
        <w:spacing w:after="0" w:line="240" w:lineRule="auto"/>
        <w:jc w:val="both"/>
        <w:rPr>
          <w:rFonts w:ascii="Arial" w:hAnsi="Arial" w:cs="Arial"/>
        </w:rPr>
        <w:sectPr w:rsidR="00B01FCD" w:rsidRPr="00FB3A86" w:rsidSect="00746F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4894B191" wp14:editId="0B6CF23A">
                <wp:extent cx="5303520" cy="635"/>
                <wp:effectExtent l="9525" t="17780" r="11430"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0DA18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A3D6306" w14:textId="77777777" w:rsidR="00790ADA" w:rsidRPr="00FB3A86" w:rsidRDefault="00B01FCD" w:rsidP="00E23435">
      <w:pPr>
        <w:pStyle w:val="AbstHead"/>
        <w:spacing w:after="0"/>
        <w:jc w:val="right"/>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36ECD25" w14:textId="77777777" w:rsidTr="001E44FE">
        <w:tc>
          <w:tcPr>
            <w:tcW w:w="9576" w:type="dxa"/>
            <w:shd w:val="clear" w:color="auto" w:fill="F2F2F2"/>
          </w:tcPr>
          <w:p w14:paraId="200CCCD3" w14:textId="77777777" w:rsidR="004D3766" w:rsidRPr="00814812" w:rsidRDefault="004D3766" w:rsidP="004D3766">
            <w:pPr>
              <w:spacing w:before="100" w:beforeAutospacing="1" w:after="100" w:afterAutospacing="1"/>
              <w:jc w:val="both"/>
              <w:rPr>
                <w:rFonts w:ascii="Arial" w:hAnsi="Arial" w:cs="Arial"/>
                <w:szCs w:val="24"/>
                <w:lang w:eastAsia="fr-FR"/>
              </w:rPr>
            </w:pPr>
            <w:r w:rsidRPr="004D3766">
              <w:rPr>
                <w:rFonts w:ascii="Arial" w:hAnsi="Arial" w:cs="Arial"/>
                <w:b/>
                <w:bCs/>
                <w:szCs w:val="24"/>
                <w:lang w:eastAsia="fr-FR"/>
              </w:rPr>
              <w:t>Introduction:</w:t>
            </w:r>
            <w:r w:rsidRPr="00814812">
              <w:rPr>
                <w:rFonts w:ascii="Arial" w:hAnsi="Arial" w:cs="Arial"/>
                <w:szCs w:val="24"/>
                <w:lang w:eastAsia="fr-FR"/>
              </w:rPr>
              <w:t xml:space="preserve"> Breastfeeding is fundamental to maternal and infant health; however, many women experience perceived insufficient milk supply (PIMS). In response, the use of traditional galactagogue foods and plants is a widespread practice, particularly in Tabligbo, Southern Togo. Yet, this practice remains poorly documented in scientific literature. This study, therefore, aimed to conduct an ethnobotanical survey to catalogue this indigenous knowledge, identify the substances used and their methods of administration, and thereby establish a foundation for future scientific validation.</w:t>
            </w:r>
          </w:p>
          <w:p w14:paraId="261A8702" w14:textId="77777777" w:rsidR="004D3766" w:rsidRPr="00814812" w:rsidRDefault="004D3766" w:rsidP="004D3766">
            <w:pPr>
              <w:spacing w:before="100" w:beforeAutospacing="1" w:after="100" w:afterAutospacing="1"/>
              <w:jc w:val="both"/>
              <w:rPr>
                <w:rFonts w:ascii="Arial" w:hAnsi="Arial" w:cs="Arial"/>
                <w:szCs w:val="24"/>
                <w:lang w:eastAsia="fr-FR"/>
              </w:rPr>
            </w:pPr>
            <w:r w:rsidRPr="004D3766">
              <w:rPr>
                <w:rFonts w:ascii="Arial" w:hAnsi="Arial" w:cs="Arial"/>
                <w:b/>
                <w:bCs/>
                <w:szCs w:val="24"/>
                <w:lang w:eastAsia="fr-FR"/>
              </w:rPr>
              <w:t>Materials and Methods:</w:t>
            </w:r>
            <w:r w:rsidRPr="00814812">
              <w:rPr>
                <w:rFonts w:ascii="Arial" w:hAnsi="Arial" w:cs="Arial"/>
                <w:szCs w:val="24"/>
                <w:lang w:eastAsia="fr-FR"/>
              </w:rPr>
              <w:t xml:space="preserve"> A cross-sectional, descriptive study was conducted in the city of Tabligbo</w:t>
            </w:r>
            <w:r w:rsidRPr="004D3766">
              <w:rPr>
                <w:rFonts w:ascii="Arial" w:hAnsi="Arial" w:cs="Arial"/>
                <w:szCs w:val="24"/>
                <w:lang w:eastAsia="fr-FR"/>
              </w:rPr>
              <w:t xml:space="preserve"> from January 2023 to April 2024</w:t>
            </w:r>
            <w:r w:rsidRPr="00814812">
              <w:rPr>
                <w:rFonts w:ascii="Arial" w:hAnsi="Arial" w:cs="Arial"/>
                <w:szCs w:val="24"/>
                <w:lang w:eastAsia="fr-FR"/>
              </w:rPr>
              <w:t>. A sample of 350 mothers with breastfeeding experience was recruited using the non-probability snowball sampling method. Data were collected via semi-structured interviews guided by a structured questionnaire covering sociodemographic characteristics, breastfeeding history, and the use of galactagogues.</w:t>
            </w:r>
          </w:p>
          <w:p w14:paraId="62BA0EB9" w14:textId="77777777" w:rsidR="004D3766" w:rsidRPr="00814812" w:rsidRDefault="004D3766" w:rsidP="004D3766">
            <w:pPr>
              <w:spacing w:before="100" w:beforeAutospacing="1" w:after="100" w:afterAutospacing="1"/>
              <w:jc w:val="both"/>
              <w:rPr>
                <w:rFonts w:ascii="Arial" w:hAnsi="Arial" w:cs="Arial"/>
                <w:szCs w:val="24"/>
                <w:lang w:eastAsia="fr-FR"/>
              </w:rPr>
            </w:pPr>
            <w:r w:rsidRPr="004D3766">
              <w:rPr>
                <w:rFonts w:ascii="Arial" w:hAnsi="Arial" w:cs="Arial"/>
                <w:b/>
                <w:bCs/>
                <w:szCs w:val="24"/>
                <w:lang w:eastAsia="fr-FR"/>
              </w:rPr>
              <w:t>Results:</w:t>
            </w:r>
            <w:r w:rsidRPr="00814812">
              <w:rPr>
                <w:rFonts w:ascii="Arial" w:hAnsi="Arial" w:cs="Arial"/>
                <w:szCs w:val="24"/>
                <w:lang w:eastAsia="fr-FR"/>
              </w:rPr>
              <w:t xml:space="preserve"> A high proportion of the mothers surveyed (71.4%) reported experiencing a decrease in lactation, primarily within the initial postpartum weeks. The vast majority (98.3%) were aware of and utilized traditional remedies, with a total of 18 different substances being recorded. </w:t>
            </w:r>
            <w:r w:rsidRPr="004D3766">
              <w:rPr>
                <w:rFonts w:ascii="Arial" w:hAnsi="Arial" w:cs="Arial"/>
                <w:szCs w:val="24"/>
                <w:lang w:eastAsia="fr-FR"/>
              </w:rPr>
              <w:t>The most frequently cited galactagogues were sorghum or millet porridge (93.3%), peanuts (</w:t>
            </w:r>
            <w:r w:rsidRPr="004D3766">
              <w:rPr>
                <w:rFonts w:ascii="Arial" w:hAnsi="Arial" w:cs="Arial"/>
                <w:i/>
                <w:iCs/>
                <w:szCs w:val="24"/>
                <w:lang w:eastAsia="fr-FR"/>
              </w:rPr>
              <w:t>Arachis hypogaea</w:t>
            </w:r>
            <w:r w:rsidRPr="004D3766">
              <w:rPr>
                <w:rFonts w:ascii="Arial" w:hAnsi="Arial" w:cs="Arial"/>
                <w:szCs w:val="24"/>
                <w:lang w:eastAsia="fr-FR"/>
              </w:rPr>
              <w:t xml:space="preserve">, 84.0%), leaves of </w:t>
            </w:r>
            <w:r w:rsidRPr="004D3766">
              <w:rPr>
                <w:rFonts w:ascii="Arial" w:hAnsi="Arial" w:cs="Arial"/>
                <w:i/>
                <w:iCs/>
                <w:szCs w:val="24"/>
                <w:lang w:eastAsia="fr-FR"/>
              </w:rPr>
              <w:t>Vernonia amygdalina</w:t>
            </w:r>
            <w:r w:rsidRPr="004D3766">
              <w:rPr>
                <w:rFonts w:ascii="Arial" w:hAnsi="Arial" w:cs="Arial"/>
                <w:szCs w:val="24"/>
                <w:lang w:eastAsia="fr-FR"/>
              </w:rPr>
              <w:t xml:space="preserve"> (45.1%), sesame (</w:t>
            </w:r>
            <w:r w:rsidRPr="004D3766">
              <w:rPr>
                <w:rFonts w:ascii="Arial" w:hAnsi="Arial" w:cs="Arial"/>
                <w:i/>
                <w:iCs/>
                <w:szCs w:val="24"/>
                <w:lang w:eastAsia="fr-FR"/>
              </w:rPr>
              <w:t>Sesamum indicum</w:t>
            </w:r>
            <w:r w:rsidRPr="004D3766">
              <w:rPr>
                <w:rFonts w:ascii="Arial" w:hAnsi="Arial" w:cs="Arial"/>
                <w:szCs w:val="24"/>
                <w:lang w:eastAsia="fr-FR"/>
              </w:rPr>
              <w:t xml:space="preserve">, 35.2%), and leaves of </w:t>
            </w:r>
            <w:r w:rsidRPr="004D3766">
              <w:rPr>
                <w:rFonts w:ascii="Arial" w:hAnsi="Arial" w:cs="Arial"/>
                <w:i/>
                <w:iCs/>
                <w:szCs w:val="24"/>
                <w:lang w:eastAsia="fr-FR"/>
              </w:rPr>
              <w:t>Moringa oleifera</w:t>
            </w:r>
            <w:r w:rsidRPr="004D3766">
              <w:rPr>
                <w:rFonts w:ascii="Arial" w:hAnsi="Arial" w:cs="Arial"/>
                <w:szCs w:val="24"/>
                <w:lang w:eastAsia="fr-FR"/>
              </w:rPr>
              <w:t xml:space="preserve"> (22.28%).</w:t>
            </w:r>
            <w:r w:rsidRPr="00814812">
              <w:rPr>
                <w:rFonts w:ascii="Arial" w:hAnsi="Arial" w:cs="Arial"/>
                <w:szCs w:val="24"/>
                <w:lang w:eastAsia="fr-FR"/>
              </w:rPr>
              <w:t xml:space="preserve"> The preparation methods, dosages, and perceived effects were documented for each substance.</w:t>
            </w:r>
          </w:p>
          <w:p w14:paraId="16D3B57D" w14:textId="77777777" w:rsidR="00E23435" w:rsidRDefault="004D3766" w:rsidP="004D3766">
            <w:pPr>
              <w:spacing w:before="100" w:beforeAutospacing="1" w:after="100" w:afterAutospacing="1"/>
              <w:jc w:val="both"/>
              <w:rPr>
                <w:rFonts w:ascii="Arial" w:hAnsi="Arial" w:cs="Arial"/>
                <w:szCs w:val="24"/>
                <w:lang w:eastAsia="fr-FR"/>
              </w:rPr>
            </w:pPr>
            <w:r w:rsidRPr="004D3766">
              <w:rPr>
                <w:rFonts w:ascii="Arial" w:hAnsi="Arial" w:cs="Arial"/>
                <w:b/>
                <w:bCs/>
                <w:szCs w:val="24"/>
                <w:lang w:eastAsia="fr-FR"/>
              </w:rPr>
              <w:t>Conclusion:</w:t>
            </w:r>
            <w:r w:rsidRPr="00814812">
              <w:rPr>
                <w:rFonts w:ascii="Arial" w:hAnsi="Arial" w:cs="Arial"/>
                <w:szCs w:val="24"/>
                <w:lang w:eastAsia="fr-FR"/>
              </w:rPr>
              <w:t xml:space="preserve"> The reliance on traditional galactagogues is a deeply rooted sociocultural practice in Tabligbo, constituting a first-line response to perceived lactation insufficiency. This study underscores the urgent need for comprehensive phytochemical, toxicological, and clinical research to validate the efficacy and safety of the most promising remedies, particularly </w:t>
            </w:r>
            <w:r w:rsidRPr="004D3766">
              <w:rPr>
                <w:rFonts w:ascii="Arial" w:hAnsi="Arial" w:cs="Arial"/>
                <w:i/>
                <w:iCs/>
                <w:szCs w:val="24"/>
                <w:lang w:eastAsia="fr-FR"/>
              </w:rPr>
              <w:t>Moringa oleifera</w:t>
            </w:r>
            <w:r w:rsidRPr="00814812">
              <w:rPr>
                <w:rFonts w:ascii="Arial" w:hAnsi="Arial" w:cs="Arial"/>
                <w:szCs w:val="24"/>
                <w:lang w:eastAsia="fr-FR"/>
              </w:rPr>
              <w:t>. Such an evidence-based approach would enable the integration of validated, safe, and beneficial practices into public health programs to effectively promote and support breastfeeding.</w:t>
            </w:r>
          </w:p>
          <w:p w14:paraId="52E62D90" w14:textId="77777777" w:rsidR="00505F06" w:rsidRPr="00E23435" w:rsidRDefault="00505F06" w:rsidP="00E23435">
            <w:pPr>
              <w:rPr>
                <w:rFonts w:ascii="Arial" w:hAnsi="Arial" w:cs="Arial"/>
                <w:szCs w:val="24"/>
                <w:lang w:eastAsia="fr-FR"/>
              </w:rPr>
            </w:pPr>
          </w:p>
        </w:tc>
      </w:tr>
    </w:tbl>
    <w:p w14:paraId="2CC0EA7F" w14:textId="77777777" w:rsidR="00636EB2" w:rsidRDefault="00636EB2" w:rsidP="00441B6F">
      <w:pPr>
        <w:pStyle w:val="Body"/>
        <w:spacing w:after="0"/>
        <w:rPr>
          <w:rFonts w:ascii="Arial" w:hAnsi="Arial" w:cs="Arial"/>
          <w:i/>
        </w:rPr>
      </w:pPr>
    </w:p>
    <w:p w14:paraId="7FF0CCBF" w14:textId="04C91B62" w:rsidR="00A24E7E" w:rsidRDefault="00A24E7E" w:rsidP="00441B6F">
      <w:pPr>
        <w:pStyle w:val="Body"/>
        <w:spacing w:after="0"/>
        <w:rPr>
          <w:rFonts w:ascii="Arial" w:hAnsi="Arial" w:cs="Arial"/>
          <w:i/>
        </w:rPr>
      </w:pPr>
      <w:r>
        <w:rPr>
          <w:rFonts w:ascii="Arial" w:hAnsi="Arial" w:cs="Arial"/>
          <w:i/>
        </w:rPr>
        <w:t>Keywords: [</w:t>
      </w:r>
      <w:r w:rsidR="004D3766" w:rsidRPr="00814812">
        <w:rPr>
          <w:rFonts w:ascii="Arial" w:hAnsi="Arial" w:cs="Arial"/>
          <w:szCs w:val="24"/>
          <w:lang w:eastAsia="fr-FR"/>
        </w:rPr>
        <w:t xml:space="preserve">Galactagogues, Breastfeeding, </w:t>
      </w:r>
      <w:r w:rsidR="004D3766" w:rsidRPr="004D3766">
        <w:rPr>
          <w:rFonts w:ascii="Arial" w:hAnsi="Arial" w:cs="Arial"/>
          <w:szCs w:val="24"/>
          <w:lang w:eastAsia="fr-FR"/>
        </w:rPr>
        <w:t>Traditional Knowledge</w:t>
      </w:r>
      <w:r w:rsidR="004D3766" w:rsidRPr="00814812">
        <w:rPr>
          <w:rFonts w:ascii="Arial" w:hAnsi="Arial" w:cs="Arial"/>
          <w:szCs w:val="24"/>
          <w:lang w:eastAsia="fr-FR"/>
        </w:rPr>
        <w:t xml:space="preserve">, </w:t>
      </w:r>
      <w:r w:rsidR="004D3766" w:rsidRPr="004D3766">
        <w:rPr>
          <w:rFonts w:ascii="Arial" w:hAnsi="Arial" w:cs="Arial"/>
          <w:i/>
          <w:iCs/>
          <w:szCs w:val="24"/>
          <w:lang w:eastAsia="fr-FR"/>
        </w:rPr>
        <w:t>Moringa oleifera</w:t>
      </w:r>
      <w:r w:rsidR="004D3766" w:rsidRPr="00814812">
        <w:rPr>
          <w:rFonts w:ascii="Arial" w:hAnsi="Arial" w:cs="Arial"/>
          <w:szCs w:val="24"/>
          <w:lang w:eastAsia="fr-FR"/>
        </w:rPr>
        <w:t xml:space="preserve">, </w:t>
      </w:r>
      <w:r w:rsidR="004D3766" w:rsidRPr="004D3766">
        <w:rPr>
          <w:rFonts w:ascii="Arial" w:hAnsi="Arial" w:cs="Arial"/>
          <w:i/>
          <w:iCs/>
          <w:szCs w:val="24"/>
          <w:lang w:eastAsia="fr-FR"/>
        </w:rPr>
        <w:t>Vernonia amygdalina</w:t>
      </w:r>
      <w:r w:rsidR="004D3766" w:rsidRPr="00814812">
        <w:rPr>
          <w:rFonts w:ascii="Arial" w:hAnsi="Arial" w:cs="Arial"/>
          <w:szCs w:val="24"/>
          <w:lang w:eastAsia="fr-FR"/>
        </w:rPr>
        <w:t xml:space="preserve">, </w:t>
      </w:r>
      <w:proofErr w:type="gramStart"/>
      <w:r w:rsidR="004D3766" w:rsidRPr="00814812">
        <w:rPr>
          <w:rFonts w:ascii="Arial" w:hAnsi="Arial" w:cs="Arial"/>
          <w:szCs w:val="24"/>
          <w:lang w:eastAsia="fr-FR"/>
        </w:rPr>
        <w:t>Tabligbo</w:t>
      </w:r>
      <w:r w:rsidR="004D3766">
        <w:rPr>
          <w:rFonts w:ascii="Arial" w:hAnsi="Arial" w:cs="Arial"/>
          <w:i/>
        </w:rPr>
        <w:t xml:space="preserve"> </w:t>
      </w:r>
      <w:r>
        <w:rPr>
          <w:rFonts w:ascii="Arial" w:hAnsi="Arial" w:cs="Arial"/>
          <w:i/>
        </w:rPr>
        <w:t>}</w:t>
      </w:r>
      <w:proofErr w:type="gramEnd"/>
      <w:r w:rsidR="0066510A">
        <w:rPr>
          <w:rFonts w:ascii="Arial" w:hAnsi="Arial" w:cs="Arial"/>
          <w:i/>
        </w:rPr>
        <w:t xml:space="preserve"> </w:t>
      </w:r>
    </w:p>
    <w:p w14:paraId="322C20C5" w14:textId="61F1F8CF" w:rsidR="00746F5B" w:rsidRDefault="00746F5B" w:rsidP="00441B6F">
      <w:pPr>
        <w:pStyle w:val="Body"/>
        <w:spacing w:after="0"/>
        <w:rPr>
          <w:rFonts w:ascii="Arial" w:hAnsi="Arial" w:cs="Arial"/>
          <w:i/>
        </w:rPr>
      </w:pPr>
    </w:p>
    <w:p w14:paraId="1AE315D6" w14:textId="14C97728" w:rsidR="00746F5B" w:rsidRDefault="00746F5B" w:rsidP="00441B6F">
      <w:pPr>
        <w:pStyle w:val="Body"/>
        <w:spacing w:after="0"/>
        <w:rPr>
          <w:rFonts w:ascii="Arial" w:hAnsi="Arial" w:cs="Arial"/>
          <w:i/>
        </w:rPr>
      </w:pPr>
    </w:p>
    <w:p w14:paraId="0FECE6CB" w14:textId="0E5EA223" w:rsidR="00746F5B" w:rsidRDefault="00746F5B" w:rsidP="00441B6F">
      <w:pPr>
        <w:pStyle w:val="Body"/>
        <w:spacing w:after="0"/>
        <w:rPr>
          <w:rFonts w:ascii="Arial" w:hAnsi="Arial" w:cs="Arial"/>
          <w:i/>
        </w:rPr>
      </w:pPr>
    </w:p>
    <w:p w14:paraId="5F7EC884" w14:textId="1DDF6BD0" w:rsidR="00746F5B" w:rsidRDefault="00746F5B" w:rsidP="00441B6F">
      <w:pPr>
        <w:pStyle w:val="Body"/>
        <w:spacing w:after="0"/>
        <w:rPr>
          <w:rFonts w:ascii="Arial" w:hAnsi="Arial" w:cs="Arial"/>
          <w:i/>
        </w:rPr>
      </w:pPr>
    </w:p>
    <w:p w14:paraId="1F37C7B5" w14:textId="77777777" w:rsidR="00746F5B" w:rsidRDefault="00746F5B" w:rsidP="00441B6F">
      <w:pPr>
        <w:pStyle w:val="Body"/>
        <w:spacing w:after="0"/>
        <w:rPr>
          <w:rFonts w:ascii="Arial" w:hAnsi="Arial" w:cs="Arial"/>
          <w:i/>
        </w:rPr>
      </w:pPr>
    </w:p>
    <w:p w14:paraId="53EBA795" w14:textId="77777777" w:rsidR="00790ADA" w:rsidRDefault="00790ADA" w:rsidP="00441B6F">
      <w:pPr>
        <w:pStyle w:val="Body"/>
        <w:spacing w:after="0"/>
        <w:rPr>
          <w:rFonts w:ascii="Arial" w:hAnsi="Arial" w:cs="Arial"/>
          <w:i/>
        </w:rPr>
      </w:pPr>
    </w:p>
    <w:p w14:paraId="1288E40F" w14:textId="77777777" w:rsidR="00790ADA" w:rsidRPr="00FB3A86" w:rsidRDefault="00902823" w:rsidP="004D3766">
      <w:pPr>
        <w:pStyle w:val="AbstHead"/>
        <w:spacing w:after="0"/>
        <w:jc w:val="right"/>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8A1E0A1" w14:textId="77777777" w:rsidR="004D3766" w:rsidRPr="004D3766" w:rsidRDefault="004D3766" w:rsidP="004D3766">
      <w:pPr>
        <w:pStyle w:val="NormalWeb"/>
        <w:jc w:val="both"/>
        <w:rPr>
          <w:rFonts w:ascii="Arial" w:hAnsi="Arial" w:cs="Arial"/>
          <w:sz w:val="20"/>
        </w:rPr>
      </w:pPr>
      <w:r w:rsidRPr="004D3766">
        <w:rPr>
          <w:rFonts w:ascii="Arial" w:hAnsi="Arial" w:cs="Arial"/>
          <w:sz w:val="20"/>
        </w:rPr>
        <w:t xml:space="preserve">Breastfeeding constitutes the cornerstone of child survival, health, and development, as well as maternal health. The World Health Organization (WHO) and UNICEF recommend exclusive breastfeeding for the first six months of life, followed by the introduction of nutritionally adequate and safe complementary foods while continuing breastfeeding for up to two years or beyond [Victora et al., </w:t>
      </w:r>
      <w:proofErr w:type="gramStart"/>
      <w:r w:rsidRPr="004D3766">
        <w:rPr>
          <w:rFonts w:ascii="Arial" w:hAnsi="Arial" w:cs="Arial"/>
          <w:sz w:val="20"/>
        </w:rPr>
        <w:t>2016;</w:t>
      </w:r>
      <w:proofErr w:type="gramEnd"/>
      <w:r w:rsidRPr="004D3766">
        <w:rPr>
          <w:rFonts w:ascii="Arial" w:hAnsi="Arial" w:cs="Arial"/>
          <w:sz w:val="20"/>
        </w:rPr>
        <w:t xml:space="preserve"> Mukuria</w:t>
      </w:r>
      <w:r w:rsidRPr="004D3766">
        <w:rPr>
          <w:rFonts w:ascii="Cambria Math" w:hAnsi="Cambria Math" w:cs="Cambria Math"/>
          <w:sz w:val="20"/>
        </w:rPr>
        <w:t>‐</w:t>
      </w:r>
      <w:r w:rsidRPr="004D3766">
        <w:rPr>
          <w:rFonts w:ascii="Arial" w:hAnsi="Arial" w:cs="Arial"/>
          <w:sz w:val="20"/>
        </w:rPr>
        <w:t xml:space="preserve">Ashe et al., 2023]. However, many mothers encounter challenges related to </w:t>
      </w:r>
      <w:r w:rsidRPr="004D3766">
        <w:rPr>
          <w:rFonts w:ascii="Arial" w:hAnsi="Arial" w:cs="Arial"/>
          <w:bCs/>
          <w:sz w:val="20"/>
        </w:rPr>
        <w:t>perceived insufficient milk supply</w:t>
      </w:r>
      <w:r w:rsidRPr="004D3766">
        <w:rPr>
          <w:rFonts w:ascii="Arial" w:hAnsi="Arial" w:cs="Arial"/>
          <w:sz w:val="20"/>
        </w:rPr>
        <w:t>, a major concern that can lead to premature weaning or the unnecessary introduction of infant formula [Floyd, 2021].</w:t>
      </w:r>
    </w:p>
    <w:p w14:paraId="65333769" w14:textId="77777777" w:rsidR="004D3766" w:rsidRPr="004D3766" w:rsidRDefault="004D3766" w:rsidP="004D3766">
      <w:pPr>
        <w:pStyle w:val="NormalWeb"/>
        <w:jc w:val="both"/>
        <w:rPr>
          <w:rFonts w:ascii="Arial" w:hAnsi="Arial" w:cs="Arial"/>
          <w:sz w:val="20"/>
        </w:rPr>
      </w:pPr>
      <w:r w:rsidRPr="004D3766">
        <w:rPr>
          <w:rFonts w:ascii="Arial" w:hAnsi="Arial" w:cs="Arial"/>
          <w:sz w:val="20"/>
        </w:rPr>
        <w:t xml:space="preserve">In response to this challenge, the use of natural substances, known as </w:t>
      </w:r>
      <w:r w:rsidRPr="004D3766">
        <w:rPr>
          <w:rFonts w:ascii="Arial" w:hAnsi="Arial" w:cs="Arial"/>
          <w:bCs/>
          <w:sz w:val="20"/>
        </w:rPr>
        <w:t>galactagogues</w:t>
      </w:r>
      <w:r w:rsidRPr="004D3766">
        <w:rPr>
          <w:rFonts w:ascii="Arial" w:hAnsi="Arial" w:cs="Arial"/>
          <w:sz w:val="20"/>
        </w:rPr>
        <w:t xml:space="preserve">, to stimulate lactation is an ancient and globally widespread practice [Kwan &amp; Abdul-Rahman, </w:t>
      </w:r>
      <w:proofErr w:type="gramStart"/>
      <w:r w:rsidRPr="004D3766">
        <w:rPr>
          <w:rFonts w:ascii="Arial" w:hAnsi="Arial" w:cs="Arial"/>
          <w:sz w:val="20"/>
        </w:rPr>
        <w:t>2021;</w:t>
      </w:r>
      <w:proofErr w:type="gramEnd"/>
      <w:r w:rsidRPr="004D3766">
        <w:rPr>
          <w:rFonts w:ascii="Arial" w:hAnsi="Arial" w:cs="Arial"/>
          <w:sz w:val="20"/>
        </w:rPr>
        <w:t xml:space="preserve"> Ryan, 2022]. In West Africa, particularly in Togo, traditional knowledge regarding the use of specific plants and foods to enhance milk production during the </w:t>
      </w:r>
      <w:r w:rsidRPr="004D3766">
        <w:rPr>
          <w:rFonts w:ascii="Arial" w:hAnsi="Arial" w:cs="Arial"/>
          <w:bCs/>
          <w:sz w:val="20"/>
        </w:rPr>
        <w:t>postpartum period</w:t>
      </w:r>
      <w:r w:rsidRPr="004D3766">
        <w:rPr>
          <w:rFonts w:ascii="Arial" w:hAnsi="Arial" w:cs="Arial"/>
          <w:sz w:val="20"/>
        </w:rPr>
        <w:t xml:space="preserve"> represents a vital cultural heritage and a primary resource for infant nutritional security. These practices, transmitted across generations, are founded on the use of local, accessible, and culturally integrated resources.</w:t>
      </w:r>
    </w:p>
    <w:p w14:paraId="78E19673" w14:textId="77777777" w:rsidR="004D3766" w:rsidRPr="004D3766" w:rsidRDefault="004D3766" w:rsidP="004D3766">
      <w:pPr>
        <w:pStyle w:val="NormalWeb"/>
        <w:jc w:val="both"/>
        <w:rPr>
          <w:rFonts w:ascii="Arial" w:hAnsi="Arial" w:cs="Arial"/>
          <w:sz w:val="20"/>
        </w:rPr>
      </w:pPr>
      <w:r w:rsidRPr="004D3766">
        <w:rPr>
          <w:rFonts w:ascii="Arial" w:hAnsi="Arial" w:cs="Arial"/>
          <w:sz w:val="20"/>
        </w:rPr>
        <w:t xml:space="preserve">The city of Tabligbo, in southern Togo, is no exception. Women in this region utilize a variety of foods and herbal remedies to support lactation. Nevertheless, despite their deep sociocultural roots, these practices remain largely undocumented and unstudied from a scientific perspective. The purported efficacy of these traditional galactagogues, their safety for both mother and infant, and their potential </w:t>
      </w:r>
      <w:r w:rsidRPr="004D3766">
        <w:rPr>
          <w:rFonts w:ascii="Arial" w:hAnsi="Arial" w:cs="Arial"/>
          <w:bCs/>
          <w:sz w:val="20"/>
        </w:rPr>
        <w:t>mechanisms of action</w:t>
      </w:r>
      <w:r w:rsidRPr="004D3766">
        <w:rPr>
          <w:rFonts w:ascii="Arial" w:hAnsi="Arial" w:cs="Arial"/>
          <w:sz w:val="20"/>
        </w:rPr>
        <w:t xml:space="preserve"> remain largely empirical. Scientific studies have already highlighted the properties of some of these resources, such as </w:t>
      </w:r>
      <w:r w:rsidRPr="004D3766">
        <w:rPr>
          <w:rFonts w:ascii="Arial" w:hAnsi="Arial" w:cs="Arial"/>
          <w:bCs/>
          <w:i/>
          <w:iCs/>
          <w:sz w:val="20"/>
        </w:rPr>
        <w:t>Moringa oleifera</w:t>
      </w:r>
      <w:r w:rsidRPr="004D3766">
        <w:rPr>
          <w:rFonts w:ascii="Arial" w:hAnsi="Arial" w:cs="Arial"/>
          <w:sz w:val="20"/>
        </w:rPr>
        <w:t xml:space="preserve">, recognized for its nutritional virtues and lactogenic potential [Estrella et al., </w:t>
      </w:r>
      <w:proofErr w:type="gramStart"/>
      <w:r w:rsidRPr="004D3766">
        <w:rPr>
          <w:rFonts w:ascii="Arial" w:hAnsi="Arial" w:cs="Arial"/>
          <w:sz w:val="20"/>
        </w:rPr>
        <w:t>2000;</w:t>
      </w:r>
      <w:proofErr w:type="gramEnd"/>
      <w:r w:rsidRPr="004D3766">
        <w:rPr>
          <w:rFonts w:ascii="Arial" w:hAnsi="Arial" w:cs="Arial"/>
          <w:sz w:val="20"/>
        </w:rPr>
        <w:t xml:space="preserve"> Espinosa-Kuo, 2005; King et al., 2013], and </w:t>
      </w:r>
      <w:r w:rsidRPr="004D3766">
        <w:rPr>
          <w:rFonts w:ascii="Arial" w:hAnsi="Arial" w:cs="Arial"/>
          <w:bCs/>
          <w:i/>
          <w:iCs/>
          <w:sz w:val="20"/>
        </w:rPr>
        <w:t>Vernonia amygdalina</w:t>
      </w:r>
      <w:r w:rsidRPr="004D3766">
        <w:rPr>
          <w:rFonts w:ascii="Arial" w:hAnsi="Arial" w:cs="Arial"/>
          <w:sz w:val="20"/>
        </w:rPr>
        <w:t>, a plant commonly used in traditional pharmacopeia for various ailments [Ijeh &amp; Ejike, 2011; Alara et al., 2017].</w:t>
      </w:r>
    </w:p>
    <w:p w14:paraId="0155BBC8" w14:textId="77777777" w:rsidR="00B01FCD" w:rsidRPr="004D3766" w:rsidRDefault="004D3766" w:rsidP="004D3766">
      <w:pPr>
        <w:pStyle w:val="NormalWeb"/>
        <w:jc w:val="both"/>
      </w:pPr>
      <w:r w:rsidRPr="004D3766">
        <w:rPr>
          <w:rFonts w:ascii="Arial" w:hAnsi="Arial" w:cs="Arial"/>
          <w:sz w:val="20"/>
        </w:rPr>
        <w:t xml:space="preserve">This article presents an in-depth </w:t>
      </w:r>
      <w:r w:rsidRPr="004D3766">
        <w:rPr>
          <w:rFonts w:ascii="Arial" w:hAnsi="Arial" w:cs="Arial"/>
          <w:bCs/>
          <w:sz w:val="20"/>
        </w:rPr>
        <w:t>ethnobotanical survey</w:t>
      </w:r>
      <w:r w:rsidRPr="004D3766">
        <w:rPr>
          <w:rFonts w:ascii="Arial" w:hAnsi="Arial" w:cs="Arial"/>
          <w:sz w:val="20"/>
        </w:rPr>
        <w:t xml:space="preserve"> of the galactogenic plants and foods used by postpartum women in the city of Tabligbo. Its objective is to systematically document this local knowledge by identifying the relevant plant species and foods, along with their methods of preparation and administration, to lay the groundwork for future scientific validation. By comparing traditional knowledge with the existing scientific literature, this study aims to validate beneficial and safe practices that could be integrated into public health programs promoting breastfeeding, and to identify potential risks to improve maternal and infant healthcare outcomes</w:t>
      </w:r>
      <w:r w:rsidR="006B57D0" w:rsidRPr="006B57D0">
        <w:rPr>
          <w:rFonts w:ascii="Arial" w:hAnsi="Arial" w:cs="Arial"/>
        </w:rPr>
        <w:t>.</w:t>
      </w:r>
      <w:r w:rsidR="006B57D0">
        <w:rPr>
          <w:rFonts w:ascii="Arial" w:hAnsi="Arial" w:cs="Arial"/>
        </w:rPr>
        <w:t>]</w:t>
      </w:r>
    </w:p>
    <w:p w14:paraId="5111A0D3" w14:textId="77777777" w:rsidR="00790ADA" w:rsidRPr="00FB3A86" w:rsidRDefault="00902823" w:rsidP="00F4486A">
      <w:pPr>
        <w:pStyle w:val="AbstHead"/>
        <w:spacing w:after="0"/>
        <w:jc w:val="right"/>
        <w:rPr>
          <w:rFonts w:ascii="Arial" w:hAnsi="Arial" w:cs="Arial"/>
        </w:rPr>
      </w:pPr>
      <w:r>
        <w:rPr>
          <w:rFonts w:ascii="Arial" w:hAnsi="Arial" w:cs="Arial"/>
        </w:rPr>
        <w:t>2. material and method</w:t>
      </w:r>
      <w:r w:rsidR="00000F8F">
        <w:rPr>
          <w:rFonts w:ascii="Arial" w:hAnsi="Arial" w:cs="Arial"/>
        </w:rPr>
        <w:t xml:space="preserve">s </w:t>
      </w:r>
    </w:p>
    <w:p w14:paraId="2C53AF33" w14:textId="77777777" w:rsidR="004D3766" w:rsidRPr="00F4486A" w:rsidRDefault="00F4486A" w:rsidP="00F4486A">
      <w:pPr>
        <w:pStyle w:val="Heading3"/>
        <w:jc w:val="right"/>
        <w:rPr>
          <w:rFonts w:ascii="Arial" w:hAnsi="Arial" w:cs="Arial"/>
          <w:b/>
          <w:color w:val="auto"/>
          <w:sz w:val="20"/>
          <w:szCs w:val="20"/>
        </w:rPr>
      </w:pPr>
      <w:r w:rsidRPr="00F4486A">
        <w:rPr>
          <w:rFonts w:ascii="Arial" w:eastAsia="Calibri" w:hAnsi="Arial" w:cs="Arial"/>
          <w:color w:val="auto"/>
          <w:sz w:val="20"/>
          <w:szCs w:val="20"/>
        </w:rPr>
        <w:t xml:space="preserve"> </w:t>
      </w:r>
      <w:r w:rsidR="004D3766" w:rsidRPr="00F4486A">
        <w:rPr>
          <w:rFonts w:ascii="Arial" w:hAnsi="Arial" w:cs="Arial"/>
          <w:b/>
          <w:color w:val="auto"/>
          <w:sz w:val="22"/>
          <w:szCs w:val="20"/>
        </w:rPr>
        <w:t>Study setting and design</w:t>
      </w:r>
    </w:p>
    <w:p w14:paraId="2174EFBA" w14:textId="77777777" w:rsidR="004D3766" w:rsidRPr="00552773" w:rsidRDefault="004D3766" w:rsidP="004D3766">
      <w:pPr>
        <w:pStyle w:val="NormalWeb"/>
        <w:jc w:val="both"/>
        <w:rPr>
          <w:rFonts w:ascii="Arial" w:hAnsi="Arial" w:cs="Arial"/>
          <w:sz w:val="18"/>
          <w:szCs w:val="20"/>
        </w:rPr>
      </w:pPr>
      <w:r w:rsidRPr="00F4486A">
        <w:rPr>
          <w:rFonts w:ascii="Arial" w:hAnsi="Arial" w:cs="Arial"/>
          <w:sz w:val="20"/>
          <w:szCs w:val="20"/>
        </w:rPr>
        <w:t xml:space="preserve">This study was conducted in the town of Tabligbo from January 2023 to April 2024. Tabligbo is located in the Yoto prefecture of southern Togo. It was a </w:t>
      </w:r>
      <w:r w:rsidRPr="00F4486A">
        <w:rPr>
          <w:rFonts w:ascii="Arial" w:hAnsi="Arial" w:cs="Arial"/>
          <w:bCs/>
          <w:sz w:val="20"/>
          <w:szCs w:val="20"/>
        </w:rPr>
        <w:t>descriptive cross-sectional study</w:t>
      </w:r>
      <w:r w:rsidRPr="00F4486A">
        <w:rPr>
          <w:rFonts w:ascii="Arial" w:hAnsi="Arial" w:cs="Arial"/>
          <w:sz w:val="20"/>
          <w:szCs w:val="20"/>
        </w:rPr>
        <w:t xml:space="preserve"> employing a combined </w:t>
      </w:r>
      <w:r w:rsidRPr="00F4486A">
        <w:rPr>
          <w:rFonts w:ascii="Arial" w:hAnsi="Arial" w:cs="Arial"/>
          <w:bCs/>
          <w:sz w:val="20"/>
          <w:szCs w:val="20"/>
        </w:rPr>
        <w:t>ethnobotanical</w:t>
      </w:r>
      <w:r w:rsidRPr="00F4486A">
        <w:rPr>
          <w:rFonts w:ascii="Arial" w:hAnsi="Arial" w:cs="Arial"/>
          <w:sz w:val="20"/>
          <w:szCs w:val="20"/>
        </w:rPr>
        <w:t xml:space="preserve"> and </w:t>
      </w:r>
      <w:r w:rsidRPr="00F4486A">
        <w:rPr>
          <w:rFonts w:ascii="Arial" w:hAnsi="Arial" w:cs="Arial"/>
          <w:bCs/>
          <w:sz w:val="20"/>
          <w:szCs w:val="20"/>
        </w:rPr>
        <w:t>ethnonutritional</w:t>
      </w:r>
      <w:r w:rsidRPr="00F4486A">
        <w:rPr>
          <w:rFonts w:ascii="Arial" w:hAnsi="Arial" w:cs="Arial"/>
          <w:sz w:val="20"/>
          <w:szCs w:val="20"/>
        </w:rPr>
        <w:t xml:space="preserve"> approach. The primary objective was to document traditional knowledge concerning the foods, plants, and preparations used by women to stimulate and maintain lactation during the postpartum period. These substances are commonly known as </w:t>
      </w:r>
      <w:r w:rsidRPr="00F4486A">
        <w:rPr>
          <w:rFonts w:ascii="Arial" w:hAnsi="Arial" w:cs="Arial"/>
          <w:bCs/>
          <w:sz w:val="20"/>
          <w:szCs w:val="20"/>
        </w:rPr>
        <w:t>galactagogues</w:t>
      </w:r>
      <w:r w:rsidRPr="00F4486A">
        <w:rPr>
          <w:rFonts w:ascii="Arial" w:hAnsi="Arial" w:cs="Arial"/>
          <w:sz w:val="20"/>
          <w:szCs w:val="20"/>
        </w:rPr>
        <w:t>.</w:t>
      </w:r>
    </w:p>
    <w:p w14:paraId="1E1D6EE4" w14:textId="77777777" w:rsidR="004D3766" w:rsidRPr="00552773" w:rsidRDefault="004D3766" w:rsidP="00F4486A">
      <w:pPr>
        <w:pStyle w:val="Heading3"/>
        <w:jc w:val="right"/>
        <w:rPr>
          <w:rFonts w:ascii="Arial" w:hAnsi="Arial" w:cs="Arial"/>
          <w:b/>
          <w:color w:val="auto"/>
          <w:sz w:val="20"/>
          <w:szCs w:val="20"/>
        </w:rPr>
      </w:pPr>
      <w:r w:rsidRPr="00552773">
        <w:rPr>
          <w:rFonts w:ascii="Arial" w:hAnsi="Arial" w:cs="Arial"/>
          <w:b/>
          <w:color w:val="auto"/>
          <w:sz w:val="20"/>
          <w:szCs w:val="20"/>
        </w:rPr>
        <w:t>Study population and sampling</w:t>
      </w:r>
    </w:p>
    <w:p w14:paraId="6A33DCC5" w14:textId="77777777" w:rsidR="004D3766" w:rsidRPr="00F4486A" w:rsidRDefault="004D3766" w:rsidP="004D3766">
      <w:pPr>
        <w:pStyle w:val="NormalWeb"/>
        <w:jc w:val="both"/>
        <w:rPr>
          <w:rFonts w:ascii="Arial" w:hAnsi="Arial" w:cs="Arial"/>
          <w:sz w:val="20"/>
          <w:szCs w:val="20"/>
        </w:rPr>
      </w:pPr>
      <w:r w:rsidRPr="00F4486A">
        <w:rPr>
          <w:rFonts w:ascii="Arial" w:hAnsi="Arial" w:cs="Arial"/>
          <w:sz w:val="20"/>
          <w:szCs w:val="20"/>
        </w:rPr>
        <w:t xml:space="preserve">The target population consisted of women of reproductive age residing in Tabligbo who had breastfed at least one child. To enrich the data collection, individuals recognized for their </w:t>
      </w:r>
      <w:r w:rsidRPr="00F4486A">
        <w:rPr>
          <w:rFonts w:ascii="Arial" w:hAnsi="Arial" w:cs="Arial"/>
          <w:sz w:val="20"/>
          <w:szCs w:val="20"/>
        </w:rPr>
        <w:lastRenderedPageBreak/>
        <w:t>traditional knowledge, such as traditional birth attendants and elderly women, were also included.</w:t>
      </w:r>
    </w:p>
    <w:p w14:paraId="62A95764" w14:textId="77777777" w:rsidR="004D3766" w:rsidRPr="00F4486A" w:rsidRDefault="004D3766" w:rsidP="004D3766">
      <w:pPr>
        <w:pStyle w:val="NormalWeb"/>
        <w:jc w:val="both"/>
        <w:rPr>
          <w:rFonts w:ascii="Arial" w:hAnsi="Arial" w:cs="Arial"/>
          <w:sz w:val="20"/>
          <w:szCs w:val="20"/>
        </w:rPr>
      </w:pPr>
      <w:r w:rsidRPr="00F4486A">
        <w:rPr>
          <w:rFonts w:ascii="Arial" w:hAnsi="Arial" w:cs="Arial"/>
          <w:sz w:val="20"/>
          <w:szCs w:val="20"/>
        </w:rPr>
        <w:t xml:space="preserve">A </w:t>
      </w:r>
      <w:r w:rsidRPr="00F4486A">
        <w:rPr>
          <w:rFonts w:ascii="Arial" w:hAnsi="Arial" w:cs="Arial"/>
          <w:bCs/>
          <w:sz w:val="20"/>
          <w:szCs w:val="20"/>
        </w:rPr>
        <w:t>non-probabilistic</w:t>
      </w:r>
      <w:r w:rsidRPr="00F4486A">
        <w:rPr>
          <w:rFonts w:ascii="Arial" w:hAnsi="Arial" w:cs="Arial"/>
          <w:sz w:val="20"/>
          <w:szCs w:val="20"/>
        </w:rPr>
        <w:t xml:space="preserve">, </w:t>
      </w:r>
      <w:r w:rsidRPr="00F4486A">
        <w:rPr>
          <w:rFonts w:ascii="Arial" w:hAnsi="Arial" w:cs="Arial"/>
          <w:bCs/>
          <w:sz w:val="20"/>
          <w:szCs w:val="20"/>
        </w:rPr>
        <w:t>purposive and "snowball"</w:t>
      </w:r>
      <w:r w:rsidRPr="00F4486A">
        <w:rPr>
          <w:rFonts w:ascii="Arial" w:hAnsi="Arial" w:cs="Arial"/>
          <w:b/>
          <w:bCs/>
          <w:sz w:val="20"/>
          <w:szCs w:val="20"/>
        </w:rPr>
        <w:t xml:space="preserve"> </w:t>
      </w:r>
      <w:r w:rsidRPr="00F4486A">
        <w:rPr>
          <w:rFonts w:ascii="Arial" w:hAnsi="Arial" w:cs="Arial"/>
          <w:bCs/>
          <w:sz w:val="20"/>
          <w:szCs w:val="20"/>
        </w:rPr>
        <w:t>sampling</w:t>
      </w:r>
      <w:r w:rsidRPr="00F4486A">
        <w:rPr>
          <w:rFonts w:ascii="Arial" w:hAnsi="Arial" w:cs="Arial"/>
          <w:sz w:val="20"/>
          <w:szCs w:val="20"/>
        </w:rPr>
        <w:t xml:space="preserve"> method was implemented. This methodology is particularly well-suited for ethnobotanical studies as it allows for the effective identification and recruitment of individuals holding specific knowledge within the community [Bernard, 2017]. The study involved a final sample of 350 mothers who consented to participate. The inclusion criteria </w:t>
      </w:r>
      <w:proofErr w:type="gramStart"/>
      <w:r w:rsidRPr="00F4486A">
        <w:rPr>
          <w:rFonts w:ascii="Arial" w:hAnsi="Arial" w:cs="Arial"/>
          <w:sz w:val="20"/>
          <w:szCs w:val="20"/>
        </w:rPr>
        <w:t>were:</w:t>
      </w:r>
      <w:proofErr w:type="gramEnd"/>
      <w:r w:rsidRPr="00F4486A">
        <w:rPr>
          <w:rFonts w:ascii="Arial" w:hAnsi="Arial" w:cs="Arial"/>
          <w:sz w:val="20"/>
          <w:szCs w:val="20"/>
        </w:rPr>
        <w:t xml:space="preserve"> being a mother, residing in Tabligbo, having breastfeeding experience, and providing informed consent to participate in the survey.</w:t>
      </w:r>
    </w:p>
    <w:p w14:paraId="158A91C4" w14:textId="77777777" w:rsidR="004D3766" w:rsidRPr="00F4486A" w:rsidRDefault="004D3766" w:rsidP="00F4486A">
      <w:pPr>
        <w:pStyle w:val="Heading3"/>
        <w:jc w:val="right"/>
        <w:rPr>
          <w:rFonts w:ascii="Arial" w:hAnsi="Arial" w:cs="Arial"/>
          <w:b/>
          <w:color w:val="auto"/>
          <w:sz w:val="20"/>
          <w:szCs w:val="20"/>
        </w:rPr>
      </w:pPr>
      <w:r w:rsidRPr="00F4486A">
        <w:rPr>
          <w:rFonts w:ascii="Arial" w:hAnsi="Arial" w:cs="Arial"/>
          <w:b/>
          <w:color w:val="auto"/>
          <w:sz w:val="20"/>
          <w:szCs w:val="20"/>
        </w:rPr>
        <w:t>Data collection</w:t>
      </w:r>
    </w:p>
    <w:p w14:paraId="0006B80A" w14:textId="77777777" w:rsidR="004D3766" w:rsidRPr="00F4486A" w:rsidRDefault="004D3766" w:rsidP="004D3766">
      <w:pPr>
        <w:pStyle w:val="NormalWeb"/>
        <w:jc w:val="both"/>
        <w:rPr>
          <w:rFonts w:ascii="Arial" w:hAnsi="Arial" w:cs="Arial"/>
          <w:sz w:val="20"/>
          <w:szCs w:val="20"/>
        </w:rPr>
      </w:pPr>
      <w:r w:rsidRPr="00F4486A">
        <w:rPr>
          <w:rFonts w:ascii="Arial" w:hAnsi="Arial" w:cs="Arial"/>
          <w:sz w:val="20"/>
          <w:szCs w:val="20"/>
        </w:rPr>
        <w:t xml:space="preserve">Data were collected through individual </w:t>
      </w:r>
      <w:r w:rsidRPr="00F4486A">
        <w:rPr>
          <w:rFonts w:ascii="Arial" w:hAnsi="Arial" w:cs="Arial"/>
          <w:bCs/>
          <w:sz w:val="20"/>
          <w:szCs w:val="20"/>
        </w:rPr>
        <w:t>semi-structured interviews</w:t>
      </w:r>
      <w:r w:rsidRPr="00F4486A">
        <w:rPr>
          <w:rFonts w:ascii="Arial" w:hAnsi="Arial" w:cs="Arial"/>
          <w:sz w:val="20"/>
          <w:szCs w:val="20"/>
        </w:rPr>
        <w:t>, guided by a pre-established, structured questionnaire. The collection tool was developed based on the standards of ethnobotanical surveys and Knowledge, Attitudes, and Practices (</w:t>
      </w:r>
      <w:r w:rsidRPr="00F4486A">
        <w:rPr>
          <w:rFonts w:ascii="Arial" w:hAnsi="Arial" w:cs="Arial"/>
          <w:b/>
          <w:bCs/>
          <w:sz w:val="20"/>
          <w:szCs w:val="20"/>
        </w:rPr>
        <w:t>KAP</w:t>
      </w:r>
      <w:r w:rsidRPr="00F4486A">
        <w:rPr>
          <w:rFonts w:ascii="Arial" w:hAnsi="Arial" w:cs="Arial"/>
          <w:sz w:val="20"/>
          <w:szCs w:val="20"/>
        </w:rPr>
        <w:t xml:space="preserve">) studies. The questionnaire was divided into several distinct </w:t>
      </w:r>
      <w:proofErr w:type="gramStart"/>
      <w:r w:rsidRPr="00F4486A">
        <w:rPr>
          <w:rFonts w:ascii="Arial" w:hAnsi="Arial" w:cs="Arial"/>
          <w:sz w:val="20"/>
          <w:szCs w:val="20"/>
        </w:rPr>
        <w:t>sections:</w:t>
      </w:r>
      <w:proofErr w:type="gramEnd"/>
    </w:p>
    <w:p w14:paraId="1CCF1514" w14:textId="77777777" w:rsidR="004D3766" w:rsidRPr="00F4486A" w:rsidRDefault="004D3766" w:rsidP="004D3766">
      <w:pPr>
        <w:pStyle w:val="NormalWeb"/>
        <w:ind w:left="360"/>
        <w:jc w:val="both"/>
        <w:rPr>
          <w:rFonts w:ascii="Arial" w:hAnsi="Arial" w:cs="Arial"/>
          <w:sz w:val="20"/>
          <w:szCs w:val="20"/>
        </w:rPr>
      </w:pPr>
      <w:r w:rsidRPr="00F4486A">
        <w:rPr>
          <w:rFonts w:ascii="Arial" w:hAnsi="Arial" w:cs="Arial"/>
          <w:b/>
          <w:bCs/>
          <w:sz w:val="20"/>
          <w:szCs w:val="20"/>
        </w:rPr>
        <w:t xml:space="preserve">Informed </w:t>
      </w:r>
      <w:proofErr w:type="gramStart"/>
      <w:r w:rsidRPr="00F4486A">
        <w:rPr>
          <w:rFonts w:ascii="Arial" w:hAnsi="Arial" w:cs="Arial"/>
          <w:b/>
          <w:bCs/>
          <w:sz w:val="20"/>
          <w:szCs w:val="20"/>
        </w:rPr>
        <w:t>consent</w:t>
      </w:r>
      <w:r w:rsidRPr="00F4486A">
        <w:rPr>
          <w:rFonts w:ascii="Arial" w:hAnsi="Arial" w:cs="Arial"/>
          <w:sz w:val="20"/>
          <w:szCs w:val="20"/>
        </w:rPr>
        <w:t>:</w:t>
      </w:r>
      <w:proofErr w:type="gramEnd"/>
      <w:r w:rsidRPr="00F4486A">
        <w:rPr>
          <w:rFonts w:ascii="Arial" w:hAnsi="Arial" w:cs="Arial"/>
          <w:sz w:val="20"/>
          <w:szCs w:val="20"/>
        </w:rPr>
        <w:t xml:space="preserve"> A detailed presentation of the study, its objectives, its voluntary nature, and guarantees of confidentiality and anonymity was provided to each participant before obtaining her agreement.</w:t>
      </w:r>
    </w:p>
    <w:p w14:paraId="4F6851A5" w14:textId="77777777" w:rsidR="004D3766" w:rsidRPr="00F4486A" w:rsidRDefault="004D3766" w:rsidP="004D3766">
      <w:pPr>
        <w:pStyle w:val="NormalWeb"/>
        <w:ind w:left="360"/>
        <w:jc w:val="both"/>
        <w:rPr>
          <w:rFonts w:ascii="Arial" w:hAnsi="Arial" w:cs="Arial"/>
          <w:sz w:val="20"/>
          <w:szCs w:val="20"/>
        </w:rPr>
      </w:pPr>
      <w:r w:rsidRPr="00F4486A">
        <w:rPr>
          <w:rFonts w:ascii="Arial" w:hAnsi="Arial" w:cs="Arial"/>
          <w:b/>
          <w:bCs/>
          <w:sz w:val="20"/>
          <w:szCs w:val="20"/>
        </w:rPr>
        <w:t xml:space="preserve">Sociodemographic </w:t>
      </w:r>
      <w:proofErr w:type="gramStart"/>
      <w:r w:rsidRPr="00F4486A">
        <w:rPr>
          <w:rFonts w:ascii="Arial" w:hAnsi="Arial" w:cs="Arial"/>
          <w:b/>
          <w:bCs/>
          <w:sz w:val="20"/>
          <w:szCs w:val="20"/>
        </w:rPr>
        <w:t>information</w:t>
      </w:r>
      <w:r w:rsidRPr="00F4486A">
        <w:rPr>
          <w:rFonts w:ascii="Arial" w:hAnsi="Arial" w:cs="Arial"/>
          <w:sz w:val="20"/>
          <w:szCs w:val="20"/>
        </w:rPr>
        <w:t>:</w:t>
      </w:r>
      <w:proofErr w:type="gramEnd"/>
      <w:r w:rsidRPr="00F4486A">
        <w:rPr>
          <w:rFonts w:ascii="Arial" w:hAnsi="Arial" w:cs="Arial"/>
          <w:sz w:val="20"/>
          <w:szCs w:val="20"/>
        </w:rPr>
        <w:t xml:space="preserve"> Collection of data on age, ethnicity, educational level, professional activity, and origin of the participants.</w:t>
      </w:r>
    </w:p>
    <w:p w14:paraId="701102F3" w14:textId="77777777" w:rsidR="004D3766" w:rsidRPr="00F4486A" w:rsidRDefault="004D3766" w:rsidP="004D3766">
      <w:pPr>
        <w:pStyle w:val="NormalWeb"/>
        <w:ind w:left="360"/>
        <w:jc w:val="both"/>
        <w:rPr>
          <w:rFonts w:ascii="Arial" w:hAnsi="Arial" w:cs="Arial"/>
          <w:sz w:val="20"/>
          <w:szCs w:val="20"/>
        </w:rPr>
      </w:pPr>
      <w:r w:rsidRPr="00F4486A">
        <w:rPr>
          <w:rFonts w:ascii="Arial" w:hAnsi="Arial" w:cs="Arial"/>
          <w:b/>
          <w:bCs/>
          <w:sz w:val="20"/>
          <w:szCs w:val="20"/>
        </w:rPr>
        <w:t>Breastfeeding history</w:t>
      </w:r>
      <w:r w:rsidRPr="00F4486A">
        <w:rPr>
          <w:rFonts w:ascii="Arial" w:hAnsi="Arial" w:cs="Arial"/>
          <w:sz w:val="20"/>
          <w:szCs w:val="20"/>
        </w:rPr>
        <w:t xml:space="preserve"> : Information on the number of children breastfed, duration of exclusive breastfeeding, and the perception of any decrease in milk supply.</w:t>
      </w:r>
    </w:p>
    <w:p w14:paraId="57AB2694" w14:textId="77777777" w:rsidR="004D3766" w:rsidRPr="00F4486A" w:rsidRDefault="004D3766" w:rsidP="004D3766">
      <w:pPr>
        <w:pStyle w:val="NormalWeb"/>
        <w:ind w:left="360"/>
        <w:jc w:val="both"/>
        <w:rPr>
          <w:rFonts w:ascii="Arial" w:hAnsi="Arial" w:cs="Arial"/>
          <w:sz w:val="20"/>
          <w:szCs w:val="20"/>
        </w:rPr>
      </w:pPr>
      <w:r w:rsidRPr="00F4486A">
        <w:rPr>
          <w:rFonts w:ascii="Arial" w:hAnsi="Arial" w:cs="Arial"/>
          <w:b/>
          <w:bCs/>
          <w:sz w:val="20"/>
          <w:szCs w:val="20"/>
        </w:rPr>
        <w:t xml:space="preserve">Knowledge and use of </w:t>
      </w:r>
      <w:proofErr w:type="gramStart"/>
      <w:r w:rsidRPr="00F4486A">
        <w:rPr>
          <w:rFonts w:ascii="Arial" w:hAnsi="Arial" w:cs="Arial"/>
          <w:b/>
          <w:bCs/>
          <w:sz w:val="20"/>
          <w:szCs w:val="20"/>
        </w:rPr>
        <w:t>galactagogues</w:t>
      </w:r>
      <w:r w:rsidRPr="00F4486A">
        <w:rPr>
          <w:rFonts w:ascii="Arial" w:hAnsi="Arial" w:cs="Arial"/>
          <w:sz w:val="20"/>
          <w:szCs w:val="20"/>
        </w:rPr>
        <w:t>:</w:t>
      </w:r>
      <w:proofErr w:type="gramEnd"/>
      <w:r w:rsidRPr="00F4486A">
        <w:rPr>
          <w:rFonts w:ascii="Arial" w:hAnsi="Arial" w:cs="Arial"/>
          <w:sz w:val="20"/>
          <w:szCs w:val="20"/>
        </w:rPr>
        <w:t xml:space="preserve"> This section aimed to comprehensively inventory the cited foods and plants. For each item mentioned, precise information was </w:t>
      </w:r>
      <w:proofErr w:type="gramStart"/>
      <w:r w:rsidRPr="00F4486A">
        <w:rPr>
          <w:rFonts w:ascii="Arial" w:hAnsi="Arial" w:cs="Arial"/>
          <w:sz w:val="20"/>
          <w:szCs w:val="20"/>
        </w:rPr>
        <w:t>collected:</w:t>
      </w:r>
      <w:proofErr w:type="gramEnd"/>
      <w:r w:rsidRPr="00F4486A">
        <w:rPr>
          <w:rFonts w:ascii="Arial" w:hAnsi="Arial" w:cs="Arial"/>
          <w:sz w:val="20"/>
          <w:szCs w:val="20"/>
        </w:rPr>
        <w:t xml:space="preserve"> </w:t>
      </w:r>
      <w:r w:rsidRPr="00F4486A">
        <w:rPr>
          <w:rFonts w:ascii="Arial" w:hAnsi="Arial" w:cs="Arial"/>
          <w:b/>
          <w:bCs/>
          <w:sz w:val="20"/>
          <w:szCs w:val="20"/>
        </w:rPr>
        <w:t>vernacular name</w:t>
      </w:r>
      <w:r w:rsidRPr="00F4486A">
        <w:rPr>
          <w:rFonts w:ascii="Arial" w:hAnsi="Arial" w:cs="Arial"/>
          <w:sz w:val="20"/>
          <w:szCs w:val="20"/>
        </w:rPr>
        <w:t xml:space="preserve">, plant part or product type, </w:t>
      </w:r>
      <w:r w:rsidRPr="00F4486A">
        <w:rPr>
          <w:rFonts w:ascii="Arial" w:hAnsi="Arial" w:cs="Arial"/>
          <w:bCs/>
          <w:sz w:val="20"/>
          <w:szCs w:val="20"/>
        </w:rPr>
        <w:t>culinary or galenic preparation method</w:t>
      </w:r>
      <w:r w:rsidRPr="00F4486A">
        <w:rPr>
          <w:rFonts w:ascii="Arial" w:hAnsi="Arial" w:cs="Arial"/>
          <w:sz w:val="20"/>
          <w:szCs w:val="20"/>
        </w:rPr>
        <w:t xml:space="preserve"> (decoction, infusion, etc.), </w:t>
      </w:r>
      <w:r w:rsidRPr="00F4486A">
        <w:rPr>
          <w:rFonts w:ascii="Arial" w:hAnsi="Arial" w:cs="Arial"/>
          <w:bCs/>
          <w:sz w:val="20"/>
          <w:szCs w:val="20"/>
        </w:rPr>
        <w:t>posology</w:t>
      </w:r>
      <w:r w:rsidRPr="00F4486A">
        <w:rPr>
          <w:rFonts w:ascii="Arial" w:hAnsi="Arial" w:cs="Arial"/>
          <w:sz w:val="20"/>
          <w:szCs w:val="20"/>
        </w:rPr>
        <w:t xml:space="preserve"> (frequency, quantity, duration), timing of administration, mode of acquisition, perceived signs of efficacy, potential adverse effects, and the source of knowledge transmission.</w:t>
      </w:r>
    </w:p>
    <w:p w14:paraId="5BF3D0CF" w14:textId="77777777" w:rsidR="004D3766" w:rsidRPr="00F4486A" w:rsidRDefault="004D3766" w:rsidP="004D3766">
      <w:pPr>
        <w:pStyle w:val="NormalWeb"/>
        <w:jc w:val="both"/>
        <w:rPr>
          <w:rFonts w:ascii="Arial" w:hAnsi="Arial" w:cs="Arial"/>
          <w:sz w:val="20"/>
          <w:szCs w:val="20"/>
        </w:rPr>
      </w:pPr>
      <w:r w:rsidRPr="00F4486A">
        <w:rPr>
          <w:rFonts w:ascii="Arial" w:hAnsi="Arial" w:cs="Arial"/>
          <w:sz w:val="20"/>
          <w:szCs w:val="20"/>
        </w:rPr>
        <w:t>The use of such interviews is a reference method in ethnopharmacology for obtaining rich and detailed qualitative information [Martin, 2010].</w:t>
      </w:r>
    </w:p>
    <w:p w14:paraId="339E7542" w14:textId="77777777" w:rsidR="004D3766" w:rsidRPr="00F4486A" w:rsidRDefault="004D3766" w:rsidP="00F4486A">
      <w:pPr>
        <w:pStyle w:val="Heading3"/>
        <w:jc w:val="right"/>
        <w:rPr>
          <w:rFonts w:ascii="Arial" w:hAnsi="Arial" w:cs="Arial"/>
          <w:b/>
          <w:color w:val="auto"/>
          <w:sz w:val="20"/>
          <w:szCs w:val="20"/>
        </w:rPr>
      </w:pPr>
      <w:r w:rsidRPr="00F4486A">
        <w:rPr>
          <w:rFonts w:ascii="Arial" w:hAnsi="Arial" w:cs="Arial"/>
          <w:b/>
          <w:color w:val="auto"/>
          <w:sz w:val="20"/>
          <w:szCs w:val="20"/>
        </w:rPr>
        <w:t>Botanical identification</w:t>
      </w:r>
    </w:p>
    <w:p w14:paraId="61053992" w14:textId="77777777" w:rsidR="004D3766" w:rsidRPr="00F4486A" w:rsidRDefault="004D3766" w:rsidP="004D3766">
      <w:pPr>
        <w:pStyle w:val="NormalWeb"/>
        <w:jc w:val="both"/>
        <w:rPr>
          <w:rFonts w:ascii="Arial" w:hAnsi="Arial" w:cs="Arial"/>
          <w:sz w:val="20"/>
          <w:szCs w:val="20"/>
        </w:rPr>
      </w:pPr>
      <w:r w:rsidRPr="00F4486A">
        <w:rPr>
          <w:rFonts w:ascii="Arial" w:hAnsi="Arial" w:cs="Arial"/>
          <w:sz w:val="20"/>
          <w:szCs w:val="20"/>
        </w:rPr>
        <w:t>Samples of the plants cited by participants were collected. Rigorous scientific identification of these specimens was performed by a botanist in collaboration with the National Herbarium of the University of Lomé to ensure the accuracy of the scientific names and avoid any taxonomic ambiguity.</w:t>
      </w:r>
    </w:p>
    <w:p w14:paraId="207E72A7" w14:textId="77777777" w:rsidR="004D3766" w:rsidRPr="00F4486A" w:rsidRDefault="004D3766" w:rsidP="00F4486A">
      <w:pPr>
        <w:pStyle w:val="Heading3"/>
        <w:jc w:val="right"/>
        <w:rPr>
          <w:rFonts w:ascii="Arial" w:hAnsi="Arial" w:cs="Arial"/>
          <w:b/>
          <w:color w:val="auto"/>
          <w:sz w:val="20"/>
          <w:szCs w:val="20"/>
        </w:rPr>
      </w:pPr>
      <w:r w:rsidRPr="00F4486A">
        <w:rPr>
          <w:rFonts w:ascii="Arial" w:hAnsi="Arial" w:cs="Arial"/>
          <w:b/>
          <w:color w:val="auto"/>
          <w:sz w:val="20"/>
          <w:szCs w:val="20"/>
        </w:rPr>
        <w:t>Data analysis</w:t>
      </w:r>
    </w:p>
    <w:p w14:paraId="2E0137A0" w14:textId="77777777" w:rsidR="004D3766" w:rsidRPr="00F4486A" w:rsidRDefault="004D3766" w:rsidP="004D3766">
      <w:pPr>
        <w:pStyle w:val="NormalWeb"/>
        <w:jc w:val="both"/>
        <w:rPr>
          <w:rFonts w:ascii="Arial" w:hAnsi="Arial" w:cs="Arial"/>
          <w:sz w:val="20"/>
          <w:szCs w:val="20"/>
        </w:rPr>
      </w:pPr>
      <w:r w:rsidRPr="00F4486A">
        <w:rPr>
          <w:rFonts w:ascii="Arial" w:hAnsi="Arial" w:cs="Arial"/>
          <w:sz w:val="20"/>
          <w:szCs w:val="20"/>
        </w:rPr>
        <w:t xml:space="preserve">Quantitative data from the questionnaires were entered using Microsoft Office 2016 and processed using GraphPad Prism 8 statistical software. The data were analyzed using </w:t>
      </w:r>
      <w:r w:rsidRPr="00F4486A">
        <w:rPr>
          <w:rFonts w:ascii="Arial" w:hAnsi="Arial" w:cs="Arial"/>
          <w:bCs/>
          <w:sz w:val="20"/>
          <w:szCs w:val="20"/>
        </w:rPr>
        <w:t>descriptive statistics</w:t>
      </w:r>
      <w:r w:rsidRPr="00F4486A">
        <w:rPr>
          <w:rFonts w:ascii="Arial" w:hAnsi="Arial" w:cs="Arial"/>
          <w:sz w:val="20"/>
          <w:szCs w:val="20"/>
        </w:rPr>
        <w:t xml:space="preserve">, calculating </w:t>
      </w:r>
      <w:r w:rsidRPr="00F4486A">
        <w:rPr>
          <w:rFonts w:ascii="Arial" w:hAnsi="Arial" w:cs="Arial"/>
          <w:bCs/>
          <w:sz w:val="20"/>
          <w:szCs w:val="20"/>
        </w:rPr>
        <w:t>frequencies and percentages</w:t>
      </w:r>
      <w:r w:rsidRPr="00F4486A">
        <w:rPr>
          <w:rFonts w:ascii="Arial" w:hAnsi="Arial" w:cs="Arial"/>
          <w:sz w:val="20"/>
          <w:szCs w:val="20"/>
        </w:rPr>
        <w:t xml:space="preserve"> for qualitative variables (sociodemographic characteristics, prevalence of knowledge and use of galactagogues, etc.) </w:t>
      </w:r>
      <w:r w:rsidRPr="00F4486A">
        <w:rPr>
          <w:rFonts w:ascii="Arial" w:hAnsi="Arial" w:cs="Arial"/>
          <w:sz w:val="20"/>
          <w:szCs w:val="20"/>
        </w:rPr>
        <w:lastRenderedPageBreak/>
        <w:t xml:space="preserve">and </w:t>
      </w:r>
      <w:r w:rsidRPr="00F4486A">
        <w:rPr>
          <w:rFonts w:ascii="Arial" w:hAnsi="Arial" w:cs="Arial"/>
          <w:bCs/>
          <w:sz w:val="20"/>
          <w:szCs w:val="20"/>
        </w:rPr>
        <w:t>means</w:t>
      </w:r>
      <w:r w:rsidRPr="00F4486A">
        <w:rPr>
          <w:rFonts w:ascii="Arial" w:hAnsi="Arial" w:cs="Arial"/>
          <w:sz w:val="20"/>
          <w:szCs w:val="20"/>
        </w:rPr>
        <w:t xml:space="preserve"> for quantitative variables (age, number of children, etc.). The results are presented in summary tables.</w:t>
      </w:r>
    </w:p>
    <w:p w14:paraId="7FBFCF7C" w14:textId="77777777" w:rsidR="004D3766" w:rsidRPr="00F4486A" w:rsidRDefault="004D3766" w:rsidP="00F4486A">
      <w:pPr>
        <w:pStyle w:val="Heading3"/>
        <w:jc w:val="right"/>
        <w:rPr>
          <w:rFonts w:ascii="Arial" w:hAnsi="Arial" w:cs="Arial"/>
          <w:b/>
          <w:color w:val="auto"/>
          <w:sz w:val="20"/>
          <w:szCs w:val="20"/>
        </w:rPr>
      </w:pPr>
      <w:r w:rsidRPr="00F4486A">
        <w:rPr>
          <w:rFonts w:ascii="Arial" w:hAnsi="Arial" w:cs="Arial"/>
          <w:b/>
          <w:color w:val="auto"/>
          <w:sz w:val="20"/>
          <w:szCs w:val="20"/>
        </w:rPr>
        <w:t>Ethical considerations</w:t>
      </w:r>
    </w:p>
    <w:p w14:paraId="7C87CA7E" w14:textId="77777777" w:rsidR="00AA74E0" w:rsidRDefault="004D3766" w:rsidP="004D3766">
      <w:pPr>
        <w:pStyle w:val="Body"/>
        <w:spacing w:after="0"/>
        <w:rPr>
          <w:rFonts w:ascii="Arial" w:hAnsi="Arial" w:cs="Arial"/>
        </w:rPr>
      </w:pPr>
      <w:r w:rsidRPr="00F4486A">
        <w:rPr>
          <w:rFonts w:ascii="Arial" w:hAnsi="Arial" w:cs="Arial"/>
        </w:rPr>
        <w:t xml:space="preserve">The study protocol adhered to the ethical principles of research involving human subjects. Free and </w:t>
      </w:r>
      <w:r w:rsidRPr="00F4486A">
        <w:rPr>
          <w:rFonts w:ascii="Arial" w:hAnsi="Arial" w:cs="Arial"/>
          <w:bCs/>
        </w:rPr>
        <w:t>informed consent</w:t>
      </w:r>
      <w:r w:rsidRPr="00F4486A">
        <w:rPr>
          <w:rFonts w:ascii="Arial" w:hAnsi="Arial" w:cs="Arial"/>
        </w:rPr>
        <w:t xml:space="preserve"> was obtained from each participant after a clear explanation of the survey's objectives and procedures. The confidentiality of the data and the anonymity of the informants were strictly guaranteed. Participation was voluntary, and the women were informed of their right to withdraw from the study at any time without prejudice</w:t>
      </w:r>
      <w:r w:rsidR="00AA74E0" w:rsidRPr="00FB3A86">
        <w:rPr>
          <w:rFonts w:ascii="Arial" w:hAnsi="Arial" w:cs="Arial"/>
        </w:rPr>
        <w:t xml:space="preserve">  </w:t>
      </w:r>
    </w:p>
    <w:p w14:paraId="00704D1F" w14:textId="77777777" w:rsidR="00790ADA" w:rsidRPr="00FB3A86" w:rsidRDefault="00790ADA" w:rsidP="00441B6F">
      <w:pPr>
        <w:pStyle w:val="Body"/>
        <w:spacing w:after="0"/>
        <w:rPr>
          <w:rFonts w:ascii="Arial" w:hAnsi="Arial" w:cs="Arial"/>
        </w:rPr>
      </w:pPr>
    </w:p>
    <w:p w14:paraId="6F4B4FC9" w14:textId="77777777" w:rsidR="00902823" w:rsidRPr="00552773" w:rsidRDefault="00000F8F" w:rsidP="00552773">
      <w:pPr>
        <w:pStyle w:val="Head1"/>
        <w:spacing w:after="0"/>
        <w:jc w:val="right"/>
        <w:rPr>
          <w:rFonts w:ascii="Arial" w:hAnsi="Arial" w:cs="Arial"/>
          <w:szCs w:val="22"/>
        </w:rPr>
      </w:pPr>
      <w:r w:rsidRPr="00552773">
        <w:rPr>
          <w:rFonts w:ascii="Arial" w:hAnsi="Arial" w:cs="Arial"/>
          <w:szCs w:val="22"/>
        </w:rPr>
        <w:t>3</w:t>
      </w:r>
      <w:r w:rsidR="00902823" w:rsidRPr="00552773">
        <w:rPr>
          <w:rFonts w:ascii="Arial" w:hAnsi="Arial" w:cs="Arial"/>
          <w:szCs w:val="22"/>
        </w:rPr>
        <w:t xml:space="preserve">. </w:t>
      </w:r>
      <w:r w:rsidRPr="00552773">
        <w:rPr>
          <w:rFonts w:ascii="Arial" w:hAnsi="Arial" w:cs="Arial"/>
          <w:szCs w:val="22"/>
        </w:rPr>
        <w:t>results and discussion</w:t>
      </w:r>
    </w:p>
    <w:p w14:paraId="3740D4B2" w14:textId="77777777" w:rsidR="00552773" w:rsidRPr="00552773" w:rsidRDefault="00552773" w:rsidP="00552773">
      <w:pPr>
        <w:pStyle w:val="Heading3"/>
        <w:jc w:val="right"/>
        <w:rPr>
          <w:rFonts w:ascii="Arial" w:hAnsi="Arial" w:cs="Arial"/>
          <w:b/>
          <w:color w:val="auto"/>
          <w:sz w:val="22"/>
          <w:szCs w:val="22"/>
        </w:rPr>
      </w:pPr>
      <w:r w:rsidRPr="00552773">
        <w:rPr>
          <w:rFonts w:ascii="Arial" w:hAnsi="Arial" w:cs="Arial"/>
          <w:b/>
          <w:color w:val="auto"/>
          <w:sz w:val="22"/>
          <w:szCs w:val="22"/>
        </w:rPr>
        <w:t>3.1-RESULTS</w:t>
      </w:r>
    </w:p>
    <w:p w14:paraId="4D2C8DA6"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1. Sociodemographic characteristics of the study population</w:t>
      </w:r>
    </w:p>
    <w:p w14:paraId="4143031B"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The survey was conducted among 350 mothers in the city of Tabligbo. The mean age of the participants was 31.2 years, with an age range of 17 to 48 years. The ethnic composition of the sample was predominantly Ewe/Ouatchi, accounting for 75.4% of the respondents. Regarding educational attainment, a preponderant proportion of the women had completed primary education (44.9%), whereas 15.1% had received no formal schooling. The most common professional activity was trade and resale, practiced by 52.3% of the mothers surveyed. A significant demographic mixing was also noted, as 40% of the women were not originally from Tabligbo, although they had been residing there for an average of 11.5 years. Table 1 details the distribution of the sample according to the main sociodemographic parameters.</w:t>
      </w:r>
    </w:p>
    <w:p w14:paraId="42DAE891"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 xml:space="preserve">Table </w:t>
      </w:r>
      <w:proofErr w:type="gramStart"/>
      <w:r w:rsidRPr="00552773">
        <w:rPr>
          <w:rFonts w:ascii="Arial" w:hAnsi="Arial" w:cs="Arial"/>
          <w:b/>
          <w:bCs/>
          <w:sz w:val="20"/>
          <w:szCs w:val="20"/>
        </w:rPr>
        <w:t>1:</w:t>
      </w:r>
      <w:proofErr w:type="gramEnd"/>
      <w:r w:rsidRPr="00552773">
        <w:rPr>
          <w:rFonts w:ascii="Arial" w:hAnsi="Arial" w:cs="Arial"/>
          <w:b/>
          <w:bCs/>
          <w:sz w:val="20"/>
          <w:szCs w:val="20"/>
        </w:rPr>
        <w:t xml:space="preserve"> Distribution of Mothers by Sociodemographic Parameters (N=350)</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12"/>
        <w:gridCol w:w="3702"/>
        <w:gridCol w:w="1181"/>
        <w:gridCol w:w="1313"/>
      </w:tblGrid>
      <w:tr w:rsidR="00552773" w:rsidRPr="00552773" w14:paraId="2767B7C3" w14:textId="77777777" w:rsidTr="0070216A">
        <w:trPr>
          <w:tblHeader/>
          <w:tblCellSpacing w:w="15" w:type="dxa"/>
        </w:trPr>
        <w:tc>
          <w:tcPr>
            <w:tcW w:w="0" w:type="auto"/>
            <w:vAlign w:val="center"/>
            <w:hideMark/>
          </w:tcPr>
          <w:p w14:paraId="6318E0A2"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Parameter</w:t>
            </w:r>
          </w:p>
        </w:tc>
        <w:tc>
          <w:tcPr>
            <w:tcW w:w="0" w:type="auto"/>
            <w:vAlign w:val="center"/>
            <w:hideMark/>
          </w:tcPr>
          <w:p w14:paraId="4C6E9E83"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Category</w:t>
            </w:r>
          </w:p>
        </w:tc>
        <w:tc>
          <w:tcPr>
            <w:tcW w:w="0" w:type="auto"/>
            <w:vAlign w:val="center"/>
            <w:hideMark/>
          </w:tcPr>
          <w:p w14:paraId="4AC3E480"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Frequency (n)</w:t>
            </w:r>
          </w:p>
        </w:tc>
        <w:tc>
          <w:tcPr>
            <w:tcW w:w="0" w:type="auto"/>
            <w:vAlign w:val="center"/>
            <w:hideMark/>
          </w:tcPr>
          <w:p w14:paraId="5821E554"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Percentage (%)</w:t>
            </w:r>
          </w:p>
        </w:tc>
      </w:tr>
      <w:tr w:rsidR="00552773" w:rsidRPr="00552773" w14:paraId="49154F47" w14:textId="77777777" w:rsidTr="0070216A">
        <w:trPr>
          <w:tblCellSpacing w:w="15" w:type="dxa"/>
        </w:trPr>
        <w:tc>
          <w:tcPr>
            <w:tcW w:w="0" w:type="auto"/>
            <w:vAlign w:val="center"/>
            <w:hideMark/>
          </w:tcPr>
          <w:p w14:paraId="51016B10" w14:textId="77777777" w:rsidR="00552773" w:rsidRPr="00552773" w:rsidRDefault="00552773" w:rsidP="0070216A">
            <w:pPr>
              <w:pStyle w:val="NormalWeb"/>
              <w:jc w:val="both"/>
              <w:rPr>
                <w:rFonts w:ascii="Arial" w:hAnsi="Arial" w:cs="Arial"/>
                <w:sz w:val="20"/>
                <w:szCs w:val="20"/>
              </w:rPr>
            </w:pPr>
            <w:r w:rsidRPr="00552773">
              <w:rPr>
                <w:rFonts w:ascii="Arial" w:hAnsi="Arial" w:cs="Arial"/>
                <w:b/>
                <w:bCs/>
                <w:sz w:val="20"/>
                <w:szCs w:val="20"/>
              </w:rPr>
              <w:t>Age Group</w:t>
            </w:r>
          </w:p>
        </w:tc>
        <w:tc>
          <w:tcPr>
            <w:tcW w:w="0" w:type="auto"/>
            <w:vAlign w:val="center"/>
            <w:hideMark/>
          </w:tcPr>
          <w:p w14:paraId="3E7519A2"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&lt; 20 years</w:t>
            </w:r>
          </w:p>
        </w:tc>
        <w:tc>
          <w:tcPr>
            <w:tcW w:w="0" w:type="auto"/>
            <w:vAlign w:val="center"/>
            <w:hideMark/>
          </w:tcPr>
          <w:p w14:paraId="2D652702"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35</w:t>
            </w:r>
          </w:p>
        </w:tc>
        <w:tc>
          <w:tcPr>
            <w:tcW w:w="0" w:type="auto"/>
            <w:vAlign w:val="center"/>
            <w:hideMark/>
          </w:tcPr>
          <w:p w14:paraId="1C963253"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10.0</w:t>
            </w:r>
          </w:p>
        </w:tc>
      </w:tr>
      <w:tr w:rsidR="00552773" w:rsidRPr="00552773" w14:paraId="08548EBE" w14:textId="77777777" w:rsidTr="0070216A">
        <w:trPr>
          <w:tblCellSpacing w:w="15" w:type="dxa"/>
        </w:trPr>
        <w:tc>
          <w:tcPr>
            <w:tcW w:w="0" w:type="auto"/>
            <w:vAlign w:val="center"/>
            <w:hideMark/>
          </w:tcPr>
          <w:p w14:paraId="518F2850" w14:textId="77777777" w:rsidR="00552773" w:rsidRPr="00552773" w:rsidRDefault="00552773" w:rsidP="0070216A">
            <w:pPr>
              <w:jc w:val="both"/>
              <w:rPr>
                <w:rFonts w:ascii="Arial" w:hAnsi="Arial" w:cs="Arial"/>
              </w:rPr>
            </w:pPr>
          </w:p>
        </w:tc>
        <w:tc>
          <w:tcPr>
            <w:tcW w:w="0" w:type="auto"/>
            <w:vAlign w:val="center"/>
            <w:hideMark/>
          </w:tcPr>
          <w:p w14:paraId="7C0A76E0"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20-29 years</w:t>
            </w:r>
          </w:p>
        </w:tc>
        <w:tc>
          <w:tcPr>
            <w:tcW w:w="0" w:type="auto"/>
            <w:vAlign w:val="center"/>
            <w:hideMark/>
          </w:tcPr>
          <w:p w14:paraId="387F6C35"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140</w:t>
            </w:r>
          </w:p>
        </w:tc>
        <w:tc>
          <w:tcPr>
            <w:tcW w:w="0" w:type="auto"/>
            <w:vAlign w:val="center"/>
            <w:hideMark/>
          </w:tcPr>
          <w:p w14:paraId="0B66F869"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40.0</w:t>
            </w:r>
          </w:p>
        </w:tc>
      </w:tr>
      <w:tr w:rsidR="00552773" w:rsidRPr="00552773" w14:paraId="123DFB44" w14:textId="77777777" w:rsidTr="0070216A">
        <w:trPr>
          <w:tblCellSpacing w:w="15" w:type="dxa"/>
        </w:trPr>
        <w:tc>
          <w:tcPr>
            <w:tcW w:w="0" w:type="auto"/>
            <w:vAlign w:val="center"/>
            <w:hideMark/>
          </w:tcPr>
          <w:p w14:paraId="2EF4C426" w14:textId="77777777" w:rsidR="00552773" w:rsidRPr="00552773" w:rsidRDefault="00552773" w:rsidP="0070216A">
            <w:pPr>
              <w:jc w:val="both"/>
              <w:rPr>
                <w:rFonts w:ascii="Arial" w:hAnsi="Arial" w:cs="Arial"/>
              </w:rPr>
            </w:pPr>
          </w:p>
        </w:tc>
        <w:tc>
          <w:tcPr>
            <w:tcW w:w="0" w:type="auto"/>
            <w:vAlign w:val="center"/>
            <w:hideMark/>
          </w:tcPr>
          <w:p w14:paraId="7F15B753"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30-39 years</w:t>
            </w:r>
          </w:p>
        </w:tc>
        <w:tc>
          <w:tcPr>
            <w:tcW w:w="0" w:type="auto"/>
            <w:vAlign w:val="center"/>
            <w:hideMark/>
          </w:tcPr>
          <w:p w14:paraId="7F26DCF7"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123</w:t>
            </w:r>
          </w:p>
        </w:tc>
        <w:tc>
          <w:tcPr>
            <w:tcW w:w="0" w:type="auto"/>
            <w:vAlign w:val="center"/>
            <w:hideMark/>
          </w:tcPr>
          <w:p w14:paraId="10F7ECA4"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35.1</w:t>
            </w:r>
          </w:p>
        </w:tc>
      </w:tr>
      <w:tr w:rsidR="00552773" w:rsidRPr="00552773" w14:paraId="71424C95" w14:textId="77777777" w:rsidTr="0070216A">
        <w:trPr>
          <w:tblCellSpacing w:w="15" w:type="dxa"/>
        </w:trPr>
        <w:tc>
          <w:tcPr>
            <w:tcW w:w="0" w:type="auto"/>
            <w:vAlign w:val="center"/>
            <w:hideMark/>
          </w:tcPr>
          <w:p w14:paraId="6EDD0F35" w14:textId="77777777" w:rsidR="00552773" w:rsidRPr="00552773" w:rsidRDefault="00552773" w:rsidP="0070216A">
            <w:pPr>
              <w:jc w:val="both"/>
              <w:rPr>
                <w:rFonts w:ascii="Arial" w:hAnsi="Arial" w:cs="Arial"/>
              </w:rPr>
            </w:pPr>
          </w:p>
        </w:tc>
        <w:tc>
          <w:tcPr>
            <w:tcW w:w="0" w:type="auto"/>
            <w:vAlign w:val="center"/>
            <w:hideMark/>
          </w:tcPr>
          <w:p w14:paraId="319D443D"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 40 years</w:t>
            </w:r>
          </w:p>
        </w:tc>
        <w:tc>
          <w:tcPr>
            <w:tcW w:w="0" w:type="auto"/>
            <w:vAlign w:val="center"/>
            <w:hideMark/>
          </w:tcPr>
          <w:p w14:paraId="794FA5DC"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52</w:t>
            </w:r>
          </w:p>
        </w:tc>
        <w:tc>
          <w:tcPr>
            <w:tcW w:w="0" w:type="auto"/>
            <w:vAlign w:val="center"/>
            <w:hideMark/>
          </w:tcPr>
          <w:p w14:paraId="7F9AD09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14.9</w:t>
            </w:r>
          </w:p>
        </w:tc>
      </w:tr>
      <w:tr w:rsidR="00552773" w:rsidRPr="00552773" w14:paraId="6F69816F" w14:textId="77777777" w:rsidTr="0070216A">
        <w:trPr>
          <w:tblCellSpacing w:w="15" w:type="dxa"/>
        </w:trPr>
        <w:tc>
          <w:tcPr>
            <w:tcW w:w="0" w:type="auto"/>
            <w:vAlign w:val="center"/>
            <w:hideMark/>
          </w:tcPr>
          <w:p w14:paraId="1780F4D4" w14:textId="77777777" w:rsidR="00552773" w:rsidRPr="00552773" w:rsidRDefault="00552773" w:rsidP="0070216A">
            <w:pPr>
              <w:pStyle w:val="NormalWeb"/>
              <w:jc w:val="both"/>
              <w:rPr>
                <w:rFonts w:ascii="Arial" w:hAnsi="Arial" w:cs="Arial"/>
                <w:sz w:val="20"/>
                <w:szCs w:val="20"/>
              </w:rPr>
            </w:pPr>
            <w:r w:rsidRPr="00552773">
              <w:rPr>
                <w:rFonts w:ascii="Arial" w:hAnsi="Arial" w:cs="Arial"/>
                <w:b/>
                <w:bCs/>
                <w:sz w:val="20"/>
                <w:szCs w:val="20"/>
              </w:rPr>
              <w:t>Ethnicity</w:t>
            </w:r>
          </w:p>
        </w:tc>
        <w:tc>
          <w:tcPr>
            <w:tcW w:w="0" w:type="auto"/>
            <w:vAlign w:val="center"/>
            <w:hideMark/>
          </w:tcPr>
          <w:p w14:paraId="493D36D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Ewe / Ouatchi</w:t>
            </w:r>
          </w:p>
        </w:tc>
        <w:tc>
          <w:tcPr>
            <w:tcW w:w="0" w:type="auto"/>
            <w:vAlign w:val="center"/>
            <w:hideMark/>
          </w:tcPr>
          <w:p w14:paraId="4C6EB1EC"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264</w:t>
            </w:r>
          </w:p>
        </w:tc>
        <w:tc>
          <w:tcPr>
            <w:tcW w:w="0" w:type="auto"/>
            <w:vAlign w:val="center"/>
            <w:hideMark/>
          </w:tcPr>
          <w:p w14:paraId="4DAC8B51"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75.4</w:t>
            </w:r>
          </w:p>
        </w:tc>
      </w:tr>
      <w:tr w:rsidR="00552773" w:rsidRPr="00552773" w14:paraId="3A600886" w14:textId="77777777" w:rsidTr="0070216A">
        <w:trPr>
          <w:tblCellSpacing w:w="15" w:type="dxa"/>
        </w:trPr>
        <w:tc>
          <w:tcPr>
            <w:tcW w:w="0" w:type="auto"/>
            <w:vAlign w:val="center"/>
            <w:hideMark/>
          </w:tcPr>
          <w:p w14:paraId="3D976574" w14:textId="77777777" w:rsidR="00552773" w:rsidRPr="00552773" w:rsidRDefault="00552773" w:rsidP="0070216A">
            <w:pPr>
              <w:jc w:val="both"/>
              <w:rPr>
                <w:rFonts w:ascii="Arial" w:hAnsi="Arial" w:cs="Arial"/>
              </w:rPr>
            </w:pPr>
          </w:p>
        </w:tc>
        <w:tc>
          <w:tcPr>
            <w:tcW w:w="0" w:type="auto"/>
            <w:vAlign w:val="center"/>
            <w:hideMark/>
          </w:tcPr>
          <w:p w14:paraId="741BDCCB"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Adja / Fon</w:t>
            </w:r>
          </w:p>
        </w:tc>
        <w:tc>
          <w:tcPr>
            <w:tcW w:w="0" w:type="auto"/>
            <w:vAlign w:val="center"/>
            <w:hideMark/>
          </w:tcPr>
          <w:p w14:paraId="6BF246C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35</w:t>
            </w:r>
          </w:p>
        </w:tc>
        <w:tc>
          <w:tcPr>
            <w:tcW w:w="0" w:type="auto"/>
            <w:vAlign w:val="center"/>
            <w:hideMark/>
          </w:tcPr>
          <w:p w14:paraId="489294B7"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10.0</w:t>
            </w:r>
          </w:p>
        </w:tc>
      </w:tr>
      <w:tr w:rsidR="00552773" w:rsidRPr="00552773" w14:paraId="7BFF7529" w14:textId="77777777" w:rsidTr="0070216A">
        <w:trPr>
          <w:tblCellSpacing w:w="15" w:type="dxa"/>
        </w:trPr>
        <w:tc>
          <w:tcPr>
            <w:tcW w:w="0" w:type="auto"/>
            <w:vAlign w:val="center"/>
            <w:hideMark/>
          </w:tcPr>
          <w:p w14:paraId="1133C091" w14:textId="77777777" w:rsidR="00552773" w:rsidRPr="00552773" w:rsidRDefault="00552773" w:rsidP="0070216A">
            <w:pPr>
              <w:jc w:val="both"/>
              <w:rPr>
                <w:rFonts w:ascii="Arial" w:hAnsi="Arial" w:cs="Arial"/>
              </w:rPr>
            </w:pPr>
          </w:p>
        </w:tc>
        <w:tc>
          <w:tcPr>
            <w:tcW w:w="0" w:type="auto"/>
            <w:vAlign w:val="center"/>
            <w:hideMark/>
          </w:tcPr>
          <w:p w14:paraId="096F43E2"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Kotokoli / Tchamba</w:t>
            </w:r>
          </w:p>
        </w:tc>
        <w:tc>
          <w:tcPr>
            <w:tcW w:w="0" w:type="auto"/>
            <w:vAlign w:val="center"/>
            <w:hideMark/>
          </w:tcPr>
          <w:p w14:paraId="0C8BFA57"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30</w:t>
            </w:r>
          </w:p>
        </w:tc>
        <w:tc>
          <w:tcPr>
            <w:tcW w:w="0" w:type="auto"/>
            <w:vAlign w:val="center"/>
            <w:hideMark/>
          </w:tcPr>
          <w:p w14:paraId="710F88C9"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8.6</w:t>
            </w:r>
          </w:p>
        </w:tc>
      </w:tr>
      <w:tr w:rsidR="00552773" w:rsidRPr="00552773" w14:paraId="1A410344" w14:textId="77777777" w:rsidTr="0070216A">
        <w:trPr>
          <w:tblCellSpacing w:w="15" w:type="dxa"/>
        </w:trPr>
        <w:tc>
          <w:tcPr>
            <w:tcW w:w="0" w:type="auto"/>
            <w:vAlign w:val="center"/>
            <w:hideMark/>
          </w:tcPr>
          <w:p w14:paraId="123EA6B3" w14:textId="77777777" w:rsidR="00552773" w:rsidRPr="00552773" w:rsidRDefault="00552773" w:rsidP="0070216A">
            <w:pPr>
              <w:jc w:val="both"/>
              <w:rPr>
                <w:rFonts w:ascii="Arial" w:hAnsi="Arial" w:cs="Arial"/>
              </w:rPr>
            </w:pPr>
          </w:p>
        </w:tc>
        <w:tc>
          <w:tcPr>
            <w:tcW w:w="0" w:type="auto"/>
            <w:vAlign w:val="center"/>
            <w:hideMark/>
          </w:tcPr>
          <w:p w14:paraId="088DDDCC"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Kabye / Losso</w:t>
            </w:r>
          </w:p>
        </w:tc>
        <w:tc>
          <w:tcPr>
            <w:tcW w:w="0" w:type="auto"/>
            <w:vAlign w:val="center"/>
            <w:hideMark/>
          </w:tcPr>
          <w:p w14:paraId="45829A80"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15</w:t>
            </w:r>
          </w:p>
        </w:tc>
        <w:tc>
          <w:tcPr>
            <w:tcW w:w="0" w:type="auto"/>
            <w:vAlign w:val="center"/>
            <w:hideMark/>
          </w:tcPr>
          <w:p w14:paraId="3E6DED9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4.3</w:t>
            </w:r>
          </w:p>
        </w:tc>
      </w:tr>
      <w:tr w:rsidR="00552773" w:rsidRPr="00552773" w14:paraId="4762907C" w14:textId="77777777" w:rsidTr="0070216A">
        <w:trPr>
          <w:tblCellSpacing w:w="15" w:type="dxa"/>
        </w:trPr>
        <w:tc>
          <w:tcPr>
            <w:tcW w:w="0" w:type="auto"/>
            <w:vAlign w:val="center"/>
            <w:hideMark/>
          </w:tcPr>
          <w:p w14:paraId="4B2704C5" w14:textId="77777777" w:rsidR="00552773" w:rsidRPr="00552773" w:rsidRDefault="00552773" w:rsidP="0070216A">
            <w:pPr>
              <w:jc w:val="both"/>
              <w:rPr>
                <w:rFonts w:ascii="Arial" w:hAnsi="Arial" w:cs="Arial"/>
              </w:rPr>
            </w:pPr>
          </w:p>
        </w:tc>
        <w:tc>
          <w:tcPr>
            <w:tcW w:w="0" w:type="auto"/>
            <w:vAlign w:val="center"/>
            <w:hideMark/>
          </w:tcPr>
          <w:p w14:paraId="32EED4D5"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Other</w:t>
            </w:r>
          </w:p>
        </w:tc>
        <w:tc>
          <w:tcPr>
            <w:tcW w:w="0" w:type="auto"/>
            <w:vAlign w:val="center"/>
            <w:hideMark/>
          </w:tcPr>
          <w:p w14:paraId="0F67AC00"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6</w:t>
            </w:r>
          </w:p>
        </w:tc>
        <w:tc>
          <w:tcPr>
            <w:tcW w:w="0" w:type="auto"/>
            <w:vAlign w:val="center"/>
            <w:hideMark/>
          </w:tcPr>
          <w:p w14:paraId="173E2D75"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1.7</w:t>
            </w:r>
          </w:p>
        </w:tc>
      </w:tr>
      <w:tr w:rsidR="00552773" w:rsidRPr="00552773" w14:paraId="5EAA86FD" w14:textId="77777777" w:rsidTr="0070216A">
        <w:trPr>
          <w:tblCellSpacing w:w="15" w:type="dxa"/>
        </w:trPr>
        <w:tc>
          <w:tcPr>
            <w:tcW w:w="0" w:type="auto"/>
            <w:vAlign w:val="center"/>
            <w:hideMark/>
          </w:tcPr>
          <w:p w14:paraId="2B4DBA9E" w14:textId="77777777" w:rsidR="00552773" w:rsidRPr="00552773" w:rsidRDefault="00552773" w:rsidP="0070216A">
            <w:pPr>
              <w:pStyle w:val="NormalWeb"/>
              <w:jc w:val="both"/>
              <w:rPr>
                <w:rFonts w:ascii="Arial" w:hAnsi="Arial" w:cs="Arial"/>
                <w:sz w:val="20"/>
                <w:szCs w:val="20"/>
              </w:rPr>
            </w:pPr>
            <w:r w:rsidRPr="00552773">
              <w:rPr>
                <w:rFonts w:ascii="Arial" w:hAnsi="Arial" w:cs="Arial"/>
                <w:b/>
                <w:bCs/>
                <w:sz w:val="20"/>
                <w:szCs w:val="20"/>
              </w:rPr>
              <w:t>Educational Level</w:t>
            </w:r>
          </w:p>
        </w:tc>
        <w:tc>
          <w:tcPr>
            <w:tcW w:w="0" w:type="auto"/>
            <w:vAlign w:val="center"/>
            <w:hideMark/>
          </w:tcPr>
          <w:p w14:paraId="5FFD0382"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None</w:t>
            </w:r>
          </w:p>
        </w:tc>
        <w:tc>
          <w:tcPr>
            <w:tcW w:w="0" w:type="auto"/>
            <w:vAlign w:val="center"/>
            <w:hideMark/>
          </w:tcPr>
          <w:p w14:paraId="087C7057"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53</w:t>
            </w:r>
          </w:p>
        </w:tc>
        <w:tc>
          <w:tcPr>
            <w:tcW w:w="0" w:type="auto"/>
            <w:vAlign w:val="center"/>
            <w:hideMark/>
          </w:tcPr>
          <w:p w14:paraId="28EE727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15.1</w:t>
            </w:r>
          </w:p>
        </w:tc>
      </w:tr>
      <w:tr w:rsidR="00552773" w:rsidRPr="00552773" w14:paraId="697BCA91" w14:textId="77777777" w:rsidTr="0070216A">
        <w:trPr>
          <w:tblCellSpacing w:w="15" w:type="dxa"/>
        </w:trPr>
        <w:tc>
          <w:tcPr>
            <w:tcW w:w="0" w:type="auto"/>
            <w:vAlign w:val="center"/>
            <w:hideMark/>
          </w:tcPr>
          <w:p w14:paraId="4F097B7D" w14:textId="77777777" w:rsidR="00552773" w:rsidRPr="00552773" w:rsidRDefault="00552773" w:rsidP="0070216A">
            <w:pPr>
              <w:jc w:val="both"/>
              <w:rPr>
                <w:rFonts w:ascii="Arial" w:hAnsi="Arial" w:cs="Arial"/>
              </w:rPr>
            </w:pPr>
          </w:p>
        </w:tc>
        <w:tc>
          <w:tcPr>
            <w:tcW w:w="0" w:type="auto"/>
            <w:vAlign w:val="center"/>
            <w:hideMark/>
          </w:tcPr>
          <w:p w14:paraId="39D3539C"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Primary</w:t>
            </w:r>
          </w:p>
        </w:tc>
        <w:tc>
          <w:tcPr>
            <w:tcW w:w="0" w:type="auto"/>
            <w:vAlign w:val="center"/>
            <w:hideMark/>
          </w:tcPr>
          <w:p w14:paraId="7B3B6268"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157</w:t>
            </w:r>
          </w:p>
        </w:tc>
        <w:tc>
          <w:tcPr>
            <w:tcW w:w="0" w:type="auto"/>
            <w:vAlign w:val="center"/>
            <w:hideMark/>
          </w:tcPr>
          <w:p w14:paraId="303B2EB6"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44.9</w:t>
            </w:r>
          </w:p>
        </w:tc>
      </w:tr>
      <w:tr w:rsidR="00552773" w:rsidRPr="00552773" w14:paraId="1AEF3B0B" w14:textId="77777777" w:rsidTr="0070216A">
        <w:trPr>
          <w:tblCellSpacing w:w="15" w:type="dxa"/>
        </w:trPr>
        <w:tc>
          <w:tcPr>
            <w:tcW w:w="0" w:type="auto"/>
            <w:vAlign w:val="center"/>
            <w:hideMark/>
          </w:tcPr>
          <w:p w14:paraId="4D16FD55" w14:textId="77777777" w:rsidR="00552773" w:rsidRPr="00552773" w:rsidRDefault="00552773" w:rsidP="0070216A">
            <w:pPr>
              <w:jc w:val="both"/>
              <w:rPr>
                <w:rFonts w:ascii="Arial" w:hAnsi="Arial" w:cs="Arial"/>
              </w:rPr>
            </w:pPr>
          </w:p>
        </w:tc>
        <w:tc>
          <w:tcPr>
            <w:tcW w:w="0" w:type="auto"/>
            <w:vAlign w:val="center"/>
            <w:hideMark/>
          </w:tcPr>
          <w:p w14:paraId="06018BDC"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Secondary</w:t>
            </w:r>
          </w:p>
        </w:tc>
        <w:tc>
          <w:tcPr>
            <w:tcW w:w="0" w:type="auto"/>
            <w:vAlign w:val="center"/>
            <w:hideMark/>
          </w:tcPr>
          <w:p w14:paraId="045F3292"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105</w:t>
            </w:r>
          </w:p>
        </w:tc>
        <w:tc>
          <w:tcPr>
            <w:tcW w:w="0" w:type="auto"/>
            <w:vAlign w:val="center"/>
            <w:hideMark/>
          </w:tcPr>
          <w:p w14:paraId="5323AEA1"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30.0</w:t>
            </w:r>
          </w:p>
        </w:tc>
      </w:tr>
      <w:tr w:rsidR="00552773" w:rsidRPr="00552773" w14:paraId="1280C265" w14:textId="77777777" w:rsidTr="0070216A">
        <w:trPr>
          <w:tblCellSpacing w:w="15" w:type="dxa"/>
        </w:trPr>
        <w:tc>
          <w:tcPr>
            <w:tcW w:w="0" w:type="auto"/>
            <w:vAlign w:val="center"/>
            <w:hideMark/>
          </w:tcPr>
          <w:p w14:paraId="66B8E5B1" w14:textId="77777777" w:rsidR="00552773" w:rsidRPr="00552773" w:rsidRDefault="00552773" w:rsidP="0070216A">
            <w:pPr>
              <w:jc w:val="both"/>
              <w:rPr>
                <w:rFonts w:ascii="Arial" w:hAnsi="Arial" w:cs="Arial"/>
              </w:rPr>
            </w:pPr>
          </w:p>
        </w:tc>
        <w:tc>
          <w:tcPr>
            <w:tcW w:w="0" w:type="auto"/>
            <w:vAlign w:val="center"/>
            <w:hideMark/>
          </w:tcPr>
          <w:p w14:paraId="5E50A931"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Higher / Professional</w:t>
            </w:r>
          </w:p>
        </w:tc>
        <w:tc>
          <w:tcPr>
            <w:tcW w:w="0" w:type="auto"/>
            <w:vAlign w:val="center"/>
            <w:hideMark/>
          </w:tcPr>
          <w:p w14:paraId="57779A3C"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35</w:t>
            </w:r>
          </w:p>
        </w:tc>
        <w:tc>
          <w:tcPr>
            <w:tcW w:w="0" w:type="auto"/>
            <w:vAlign w:val="center"/>
            <w:hideMark/>
          </w:tcPr>
          <w:p w14:paraId="2264DD0B"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10.0</w:t>
            </w:r>
          </w:p>
        </w:tc>
      </w:tr>
      <w:tr w:rsidR="00552773" w:rsidRPr="00552773" w14:paraId="0575DAEF" w14:textId="77777777" w:rsidTr="0070216A">
        <w:trPr>
          <w:tblCellSpacing w:w="15" w:type="dxa"/>
        </w:trPr>
        <w:tc>
          <w:tcPr>
            <w:tcW w:w="0" w:type="auto"/>
            <w:vAlign w:val="center"/>
            <w:hideMark/>
          </w:tcPr>
          <w:p w14:paraId="70AE5689" w14:textId="77777777" w:rsidR="00552773" w:rsidRPr="00552773" w:rsidRDefault="00552773" w:rsidP="0070216A">
            <w:pPr>
              <w:pStyle w:val="NormalWeb"/>
              <w:jc w:val="both"/>
              <w:rPr>
                <w:rFonts w:ascii="Arial" w:hAnsi="Arial" w:cs="Arial"/>
                <w:sz w:val="20"/>
                <w:szCs w:val="20"/>
              </w:rPr>
            </w:pPr>
            <w:r w:rsidRPr="00552773">
              <w:rPr>
                <w:rFonts w:ascii="Arial" w:hAnsi="Arial" w:cs="Arial"/>
                <w:b/>
                <w:bCs/>
                <w:sz w:val="20"/>
                <w:szCs w:val="20"/>
              </w:rPr>
              <w:t>Professional Activity</w:t>
            </w:r>
          </w:p>
        </w:tc>
        <w:tc>
          <w:tcPr>
            <w:tcW w:w="0" w:type="auto"/>
            <w:vAlign w:val="center"/>
            <w:hideMark/>
          </w:tcPr>
          <w:p w14:paraId="6B3AA84C"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Trader/Reseller</w:t>
            </w:r>
          </w:p>
        </w:tc>
        <w:tc>
          <w:tcPr>
            <w:tcW w:w="0" w:type="auto"/>
            <w:vAlign w:val="center"/>
            <w:hideMark/>
          </w:tcPr>
          <w:p w14:paraId="4457666B"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183</w:t>
            </w:r>
          </w:p>
        </w:tc>
        <w:tc>
          <w:tcPr>
            <w:tcW w:w="0" w:type="auto"/>
            <w:vAlign w:val="center"/>
            <w:hideMark/>
          </w:tcPr>
          <w:p w14:paraId="6800E59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52.3</w:t>
            </w:r>
          </w:p>
        </w:tc>
      </w:tr>
      <w:tr w:rsidR="00552773" w:rsidRPr="00552773" w14:paraId="060D532A" w14:textId="77777777" w:rsidTr="0070216A">
        <w:trPr>
          <w:tblCellSpacing w:w="15" w:type="dxa"/>
        </w:trPr>
        <w:tc>
          <w:tcPr>
            <w:tcW w:w="0" w:type="auto"/>
            <w:vAlign w:val="center"/>
            <w:hideMark/>
          </w:tcPr>
          <w:p w14:paraId="155CB1F5" w14:textId="77777777" w:rsidR="00552773" w:rsidRPr="00552773" w:rsidRDefault="00552773" w:rsidP="0070216A">
            <w:pPr>
              <w:jc w:val="both"/>
              <w:rPr>
                <w:rFonts w:ascii="Arial" w:hAnsi="Arial" w:cs="Arial"/>
              </w:rPr>
            </w:pPr>
          </w:p>
        </w:tc>
        <w:tc>
          <w:tcPr>
            <w:tcW w:w="0" w:type="auto"/>
            <w:vAlign w:val="center"/>
            <w:hideMark/>
          </w:tcPr>
          <w:p w14:paraId="2023C126"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Homemaker</w:t>
            </w:r>
          </w:p>
        </w:tc>
        <w:tc>
          <w:tcPr>
            <w:tcW w:w="0" w:type="auto"/>
            <w:vAlign w:val="center"/>
            <w:hideMark/>
          </w:tcPr>
          <w:p w14:paraId="16B58AAD"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88</w:t>
            </w:r>
          </w:p>
        </w:tc>
        <w:tc>
          <w:tcPr>
            <w:tcW w:w="0" w:type="auto"/>
            <w:vAlign w:val="center"/>
            <w:hideMark/>
          </w:tcPr>
          <w:p w14:paraId="4D95C758"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25.1</w:t>
            </w:r>
          </w:p>
        </w:tc>
      </w:tr>
      <w:tr w:rsidR="00552773" w:rsidRPr="00552773" w14:paraId="3CE3BCB3" w14:textId="77777777" w:rsidTr="0070216A">
        <w:trPr>
          <w:tblCellSpacing w:w="15" w:type="dxa"/>
        </w:trPr>
        <w:tc>
          <w:tcPr>
            <w:tcW w:w="0" w:type="auto"/>
            <w:vAlign w:val="center"/>
            <w:hideMark/>
          </w:tcPr>
          <w:p w14:paraId="483C1DB7" w14:textId="77777777" w:rsidR="00552773" w:rsidRPr="00552773" w:rsidRDefault="00552773" w:rsidP="0070216A">
            <w:pPr>
              <w:jc w:val="both"/>
              <w:rPr>
                <w:rFonts w:ascii="Arial" w:hAnsi="Arial" w:cs="Arial"/>
              </w:rPr>
            </w:pPr>
          </w:p>
        </w:tc>
        <w:tc>
          <w:tcPr>
            <w:tcW w:w="0" w:type="auto"/>
            <w:vAlign w:val="center"/>
            <w:hideMark/>
          </w:tcPr>
          <w:p w14:paraId="454CDCC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Farmer</w:t>
            </w:r>
          </w:p>
        </w:tc>
        <w:tc>
          <w:tcPr>
            <w:tcW w:w="0" w:type="auto"/>
            <w:vAlign w:val="center"/>
            <w:hideMark/>
          </w:tcPr>
          <w:p w14:paraId="30BFB72F"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31</w:t>
            </w:r>
          </w:p>
        </w:tc>
        <w:tc>
          <w:tcPr>
            <w:tcW w:w="0" w:type="auto"/>
            <w:vAlign w:val="center"/>
            <w:hideMark/>
          </w:tcPr>
          <w:p w14:paraId="45E35293"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8.9</w:t>
            </w:r>
          </w:p>
        </w:tc>
      </w:tr>
      <w:tr w:rsidR="00552773" w:rsidRPr="00552773" w14:paraId="7519EA9A" w14:textId="77777777" w:rsidTr="0070216A">
        <w:trPr>
          <w:tblCellSpacing w:w="15" w:type="dxa"/>
        </w:trPr>
        <w:tc>
          <w:tcPr>
            <w:tcW w:w="0" w:type="auto"/>
            <w:vAlign w:val="center"/>
            <w:hideMark/>
          </w:tcPr>
          <w:p w14:paraId="07CAFD11" w14:textId="77777777" w:rsidR="00552773" w:rsidRPr="00552773" w:rsidRDefault="00552773" w:rsidP="0070216A">
            <w:pPr>
              <w:jc w:val="both"/>
              <w:rPr>
                <w:rFonts w:ascii="Arial" w:hAnsi="Arial" w:cs="Arial"/>
              </w:rPr>
            </w:pPr>
          </w:p>
        </w:tc>
        <w:tc>
          <w:tcPr>
            <w:tcW w:w="0" w:type="auto"/>
            <w:vAlign w:val="center"/>
            <w:hideMark/>
          </w:tcPr>
          <w:p w14:paraId="115B2715"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Artisan</w:t>
            </w:r>
          </w:p>
        </w:tc>
        <w:tc>
          <w:tcPr>
            <w:tcW w:w="0" w:type="auto"/>
            <w:vAlign w:val="center"/>
            <w:hideMark/>
          </w:tcPr>
          <w:p w14:paraId="70F7030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18</w:t>
            </w:r>
          </w:p>
        </w:tc>
        <w:tc>
          <w:tcPr>
            <w:tcW w:w="0" w:type="auto"/>
            <w:vAlign w:val="center"/>
            <w:hideMark/>
          </w:tcPr>
          <w:p w14:paraId="4F3D134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5.1</w:t>
            </w:r>
          </w:p>
        </w:tc>
      </w:tr>
      <w:tr w:rsidR="00552773" w:rsidRPr="00552773" w14:paraId="12FE4DDE" w14:textId="77777777" w:rsidTr="0070216A">
        <w:trPr>
          <w:tblCellSpacing w:w="15" w:type="dxa"/>
        </w:trPr>
        <w:tc>
          <w:tcPr>
            <w:tcW w:w="0" w:type="auto"/>
            <w:vAlign w:val="center"/>
            <w:hideMark/>
          </w:tcPr>
          <w:p w14:paraId="7E4A0549" w14:textId="77777777" w:rsidR="00552773" w:rsidRPr="00552773" w:rsidRDefault="00552773" w:rsidP="0070216A">
            <w:pPr>
              <w:jc w:val="both"/>
              <w:rPr>
                <w:rFonts w:ascii="Arial" w:hAnsi="Arial" w:cs="Arial"/>
              </w:rPr>
            </w:pPr>
          </w:p>
        </w:tc>
        <w:tc>
          <w:tcPr>
            <w:tcW w:w="0" w:type="auto"/>
            <w:vAlign w:val="center"/>
            <w:hideMark/>
          </w:tcPr>
          <w:p w14:paraId="78B9BEB9"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Salaried (Private/Public)</w:t>
            </w:r>
          </w:p>
        </w:tc>
        <w:tc>
          <w:tcPr>
            <w:tcW w:w="0" w:type="auto"/>
            <w:vAlign w:val="center"/>
            <w:hideMark/>
          </w:tcPr>
          <w:p w14:paraId="08D6AD21"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15</w:t>
            </w:r>
          </w:p>
        </w:tc>
        <w:tc>
          <w:tcPr>
            <w:tcW w:w="0" w:type="auto"/>
            <w:vAlign w:val="center"/>
            <w:hideMark/>
          </w:tcPr>
          <w:p w14:paraId="2EBC9073"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4.3</w:t>
            </w:r>
          </w:p>
        </w:tc>
      </w:tr>
      <w:tr w:rsidR="00552773" w:rsidRPr="00552773" w14:paraId="4E4336F0" w14:textId="77777777" w:rsidTr="0070216A">
        <w:trPr>
          <w:tblCellSpacing w:w="15" w:type="dxa"/>
        </w:trPr>
        <w:tc>
          <w:tcPr>
            <w:tcW w:w="0" w:type="auto"/>
            <w:vAlign w:val="center"/>
            <w:hideMark/>
          </w:tcPr>
          <w:p w14:paraId="40FDF911" w14:textId="77777777" w:rsidR="00552773" w:rsidRPr="00552773" w:rsidRDefault="00552773" w:rsidP="0070216A">
            <w:pPr>
              <w:jc w:val="both"/>
              <w:rPr>
                <w:rFonts w:ascii="Arial" w:hAnsi="Arial" w:cs="Arial"/>
              </w:rPr>
            </w:pPr>
          </w:p>
        </w:tc>
        <w:tc>
          <w:tcPr>
            <w:tcW w:w="0" w:type="auto"/>
            <w:vAlign w:val="center"/>
            <w:hideMark/>
          </w:tcPr>
          <w:p w14:paraId="6A48DC96"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Other / Unemployed</w:t>
            </w:r>
          </w:p>
        </w:tc>
        <w:tc>
          <w:tcPr>
            <w:tcW w:w="0" w:type="auto"/>
            <w:vAlign w:val="center"/>
            <w:hideMark/>
          </w:tcPr>
          <w:p w14:paraId="0843576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15</w:t>
            </w:r>
          </w:p>
        </w:tc>
        <w:tc>
          <w:tcPr>
            <w:tcW w:w="0" w:type="auto"/>
            <w:vAlign w:val="center"/>
            <w:hideMark/>
          </w:tcPr>
          <w:p w14:paraId="1A7D26B9"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4.3</w:t>
            </w:r>
          </w:p>
        </w:tc>
      </w:tr>
      <w:tr w:rsidR="00552773" w:rsidRPr="00552773" w14:paraId="5EAABBB1" w14:textId="77777777" w:rsidTr="0070216A">
        <w:trPr>
          <w:tblCellSpacing w:w="15" w:type="dxa"/>
        </w:trPr>
        <w:tc>
          <w:tcPr>
            <w:tcW w:w="0" w:type="auto"/>
            <w:vAlign w:val="center"/>
            <w:hideMark/>
          </w:tcPr>
          <w:p w14:paraId="039F63B7" w14:textId="77777777" w:rsidR="00552773" w:rsidRPr="00552773" w:rsidRDefault="00552773" w:rsidP="0070216A">
            <w:pPr>
              <w:pStyle w:val="NormalWeb"/>
              <w:jc w:val="both"/>
              <w:rPr>
                <w:rFonts w:ascii="Arial" w:hAnsi="Arial" w:cs="Arial"/>
                <w:sz w:val="20"/>
                <w:szCs w:val="20"/>
              </w:rPr>
            </w:pPr>
            <w:r w:rsidRPr="00552773">
              <w:rPr>
                <w:rFonts w:ascii="Arial" w:hAnsi="Arial" w:cs="Arial"/>
                <w:b/>
                <w:bCs/>
                <w:sz w:val="20"/>
                <w:szCs w:val="20"/>
              </w:rPr>
              <w:t>Originating from Tabligbo</w:t>
            </w:r>
          </w:p>
        </w:tc>
        <w:tc>
          <w:tcPr>
            <w:tcW w:w="0" w:type="auto"/>
            <w:vAlign w:val="center"/>
            <w:hideMark/>
          </w:tcPr>
          <w:p w14:paraId="14C124BF"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Yes</w:t>
            </w:r>
          </w:p>
        </w:tc>
        <w:tc>
          <w:tcPr>
            <w:tcW w:w="0" w:type="auto"/>
            <w:vAlign w:val="center"/>
            <w:hideMark/>
          </w:tcPr>
          <w:p w14:paraId="50AB6EE1"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210</w:t>
            </w:r>
          </w:p>
        </w:tc>
        <w:tc>
          <w:tcPr>
            <w:tcW w:w="0" w:type="auto"/>
            <w:vAlign w:val="center"/>
            <w:hideMark/>
          </w:tcPr>
          <w:p w14:paraId="5BC9901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60.0</w:t>
            </w:r>
          </w:p>
        </w:tc>
      </w:tr>
      <w:tr w:rsidR="00552773" w:rsidRPr="00552773" w14:paraId="0FCB174F" w14:textId="77777777" w:rsidTr="0070216A">
        <w:trPr>
          <w:tblCellSpacing w:w="15" w:type="dxa"/>
        </w:trPr>
        <w:tc>
          <w:tcPr>
            <w:tcW w:w="0" w:type="auto"/>
            <w:vAlign w:val="center"/>
            <w:hideMark/>
          </w:tcPr>
          <w:p w14:paraId="56EF6B9D" w14:textId="77777777" w:rsidR="00552773" w:rsidRPr="00552773" w:rsidRDefault="00552773" w:rsidP="0070216A">
            <w:pPr>
              <w:jc w:val="both"/>
              <w:rPr>
                <w:rFonts w:ascii="Arial" w:hAnsi="Arial" w:cs="Arial"/>
              </w:rPr>
            </w:pPr>
          </w:p>
        </w:tc>
        <w:tc>
          <w:tcPr>
            <w:tcW w:w="0" w:type="auto"/>
            <w:vAlign w:val="center"/>
            <w:hideMark/>
          </w:tcPr>
          <w:p w14:paraId="3A00389B"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No</w:t>
            </w:r>
          </w:p>
        </w:tc>
        <w:tc>
          <w:tcPr>
            <w:tcW w:w="0" w:type="auto"/>
            <w:vAlign w:val="center"/>
            <w:hideMark/>
          </w:tcPr>
          <w:p w14:paraId="35887298"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140</w:t>
            </w:r>
          </w:p>
        </w:tc>
        <w:tc>
          <w:tcPr>
            <w:tcW w:w="0" w:type="auto"/>
            <w:vAlign w:val="center"/>
            <w:hideMark/>
          </w:tcPr>
          <w:p w14:paraId="4EA0F45B"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40.0</w:t>
            </w:r>
          </w:p>
        </w:tc>
      </w:tr>
      <w:tr w:rsidR="00552773" w:rsidRPr="00552773" w14:paraId="260B47CD" w14:textId="77777777" w:rsidTr="0070216A">
        <w:trPr>
          <w:tblCellSpacing w:w="15" w:type="dxa"/>
        </w:trPr>
        <w:tc>
          <w:tcPr>
            <w:tcW w:w="0" w:type="auto"/>
            <w:vAlign w:val="center"/>
            <w:hideMark/>
          </w:tcPr>
          <w:p w14:paraId="7D49F9C7" w14:textId="77777777" w:rsidR="00552773" w:rsidRPr="00552773" w:rsidRDefault="00552773" w:rsidP="0070216A">
            <w:pPr>
              <w:jc w:val="both"/>
              <w:rPr>
                <w:rFonts w:ascii="Arial" w:hAnsi="Arial" w:cs="Arial"/>
              </w:rPr>
            </w:pPr>
          </w:p>
        </w:tc>
        <w:tc>
          <w:tcPr>
            <w:tcW w:w="0" w:type="auto"/>
            <w:vAlign w:val="center"/>
            <w:hideMark/>
          </w:tcPr>
          <w:p w14:paraId="1A003D75"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(Duration of residence for non-</w:t>
            </w:r>
            <w:proofErr w:type="gramStart"/>
            <w:r w:rsidRPr="00552773">
              <w:rPr>
                <w:rFonts w:ascii="Arial" w:hAnsi="Arial" w:cs="Arial"/>
                <w:i/>
                <w:iCs/>
                <w:sz w:val="20"/>
                <w:szCs w:val="20"/>
              </w:rPr>
              <w:t>natives:</w:t>
            </w:r>
            <w:proofErr w:type="gramEnd"/>
            <w:r w:rsidRPr="00552773">
              <w:rPr>
                <w:rFonts w:ascii="Arial" w:hAnsi="Arial" w:cs="Arial"/>
                <w:i/>
                <w:iCs/>
                <w:sz w:val="20"/>
                <w:szCs w:val="20"/>
              </w:rPr>
              <w:t xml:space="preserve"> mean of 11.5 years)</w:t>
            </w:r>
          </w:p>
        </w:tc>
        <w:tc>
          <w:tcPr>
            <w:tcW w:w="0" w:type="auto"/>
            <w:vAlign w:val="center"/>
            <w:hideMark/>
          </w:tcPr>
          <w:p w14:paraId="16427637" w14:textId="77777777" w:rsidR="00552773" w:rsidRPr="00552773" w:rsidRDefault="00552773" w:rsidP="0070216A">
            <w:pPr>
              <w:jc w:val="both"/>
              <w:rPr>
                <w:rFonts w:ascii="Arial" w:hAnsi="Arial" w:cs="Arial"/>
              </w:rPr>
            </w:pPr>
          </w:p>
        </w:tc>
        <w:tc>
          <w:tcPr>
            <w:tcW w:w="0" w:type="auto"/>
            <w:vAlign w:val="center"/>
            <w:hideMark/>
          </w:tcPr>
          <w:p w14:paraId="0EBDE51D" w14:textId="77777777" w:rsidR="00552773" w:rsidRPr="00552773" w:rsidRDefault="00552773" w:rsidP="0070216A">
            <w:pPr>
              <w:jc w:val="both"/>
              <w:rPr>
                <w:rFonts w:ascii="Arial" w:hAnsi="Arial" w:cs="Arial"/>
              </w:rPr>
            </w:pPr>
          </w:p>
        </w:tc>
      </w:tr>
    </w:tbl>
    <w:p w14:paraId="19CE5B24"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2. Breastfeeding history and perceptions</w:t>
      </w:r>
    </w:p>
    <w:p w14:paraId="1C8B3B7D"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The mothers interviewed had breastfed an average of 3.6 children. Regarding exclusive breastfeeding practices for their most recent infant, only a minority of 21.1% (n=74) reported adhering to this recommendation for the first six months. A significant majority of 71.4% (n=250) reported having experienced a perceived decrease or insufficiency in their milk supply. For these women, the periods considered most critical were the first few weeks postpartum (54.0%), followed closely by the period immediately succeeding delivery (38.8%).</w:t>
      </w:r>
    </w:p>
    <w:p w14:paraId="2475E1DC"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3. Knowledge and use of galactagogues</w:t>
      </w:r>
    </w:p>
    <w:p w14:paraId="59667848"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Nearly all participants (98.3%, n=344) affirmed their knowledge of the existence of foods, beverages, or plants reputed to stimulate lactation. A total of 18 different substances, including foods and plants, were inventoried. Table 2 summarizes the galactagogues most frequently mentioned by the mothers. Sorghum or millet porridge emerged as the most popular item (93.3%), followed by peanuts (84.0%) and the leaves of </w:t>
      </w:r>
      <w:r w:rsidRPr="00552773">
        <w:rPr>
          <w:rFonts w:ascii="Arial" w:hAnsi="Arial" w:cs="Arial"/>
          <w:i/>
          <w:iCs/>
          <w:sz w:val="20"/>
          <w:szCs w:val="20"/>
        </w:rPr>
        <w:t>Vernonia amygdalina</w:t>
      </w:r>
      <w:r w:rsidRPr="00552773">
        <w:rPr>
          <w:rFonts w:ascii="Arial" w:hAnsi="Arial" w:cs="Arial"/>
          <w:sz w:val="20"/>
          <w:szCs w:val="20"/>
        </w:rPr>
        <w:t xml:space="preserve"> (45.1%).</w:t>
      </w:r>
    </w:p>
    <w:p w14:paraId="4B21474F"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 xml:space="preserve">Table </w:t>
      </w:r>
      <w:proofErr w:type="gramStart"/>
      <w:r w:rsidRPr="00552773">
        <w:rPr>
          <w:rFonts w:ascii="Arial" w:hAnsi="Arial" w:cs="Arial"/>
          <w:b/>
          <w:bCs/>
          <w:sz w:val="20"/>
          <w:szCs w:val="20"/>
        </w:rPr>
        <w:t>2:</w:t>
      </w:r>
      <w:proofErr w:type="gramEnd"/>
      <w:r w:rsidRPr="00552773">
        <w:rPr>
          <w:rFonts w:ascii="Arial" w:hAnsi="Arial" w:cs="Arial"/>
          <w:b/>
          <w:bCs/>
          <w:sz w:val="20"/>
          <w:szCs w:val="20"/>
        </w:rPr>
        <w:t xml:space="preserve"> Frequency of mention of principal galactagogues (N=344)</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31"/>
        <w:gridCol w:w="2073"/>
        <w:gridCol w:w="1375"/>
        <w:gridCol w:w="1229"/>
      </w:tblGrid>
      <w:tr w:rsidR="00552773" w:rsidRPr="00552773" w14:paraId="0DD33AF4" w14:textId="77777777" w:rsidTr="0070216A">
        <w:trPr>
          <w:tblHeader/>
          <w:tblCellSpacing w:w="15" w:type="dxa"/>
        </w:trPr>
        <w:tc>
          <w:tcPr>
            <w:tcW w:w="0" w:type="auto"/>
            <w:vAlign w:val="center"/>
            <w:hideMark/>
          </w:tcPr>
          <w:p w14:paraId="56B983C7"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Food / Plant (Local Name)</w:t>
            </w:r>
          </w:p>
        </w:tc>
        <w:tc>
          <w:tcPr>
            <w:tcW w:w="0" w:type="auto"/>
            <w:vAlign w:val="center"/>
            <w:hideMark/>
          </w:tcPr>
          <w:p w14:paraId="26016095"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Scientific / Common Name</w:t>
            </w:r>
          </w:p>
        </w:tc>
        <w:tc>
          <w:tcPr>
            <w:tcW w:w="0" w:type="auto"/>
            <w:vAlign w:val="center"/>
            <w:hideMark/>
          </w:tcPr>
          <w:p w14:paraId="1DE2EE33"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Citation Frequency (n)</w:t>
            </w:r>
          </w:p>
        </w:tc>
        <w:tc>
          <w:tcPr>
            <w:tcW w:w="0" w:type="auto"/>
            <w:vAlign w:val="center"/>
            <w:hideMark/>
          </w:tcPr>
          <w:p w14:paraId="25D8EB9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Percentage (%)</w:t>
            </w:r>
          </w:p>
        </w:tc>
      </w:tr>
      <w:tr w:rsidR="00552773" w:rsidRPr="00552773" w14:paraId="2F2FDD3F" w14:textId="77777777" w:rsidTr="0070216A">
        <w:trPr>
          <w:tblCellSpacing w:w="15" w:type="dxa"/>
        </w:trPr>
        <w:tc>
          <w:tcPr>
            <w:tcW w:w="0" w:type="auto"/>
            <w:vAlign w:val="center"/>
            <w:hideMark/>
          </w:tcPr>
          <w:p w14:paraId="7B896B78"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Porridge ("Koko")</w:t>
            </w:r>
          </w:p>
        </w:tc>
        <w:tc>
          <w:tcPr>
            <w:tcW w:w="0" w:type="auto"/>
            <w:vAlign w:val="center"/>
            <w:hideMark/>
          </w:tcPr>
          <w:p w14:paraId="61ECC9B6"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Pennisetum glaucum</w:t>
            </w:r>
            <w:r w:rsidRPr="00552773">
              <w:rPr>
                <w:rFonts w:ascii="Arial" w:hAnsi="Arial" w:cs="Arial"/>
                <w:sz w:val="20"/>
                <w:szCs w:val="20"/>
              </w:rPr>
              <w:t xml:space="preserve"> / </w:t>
            </w:r>
            <w:r w:rsidRPr="00552773">
              <w:rPr>
                <w:rFonts w:ascii="Arial" w:hAnsi="Arial" w:cs="Arial"/>
                <w:i/>
                <w:iCs/>
                <w:sz w:val="20"/>
                <w:szCs w:val="20"/>
              </w:rPr>
              <w:t>Sorghum bicolor</w:t>
            </w:r>
          </w:p>
        </w:tc>
        <w:tc>
          <w:tcPr>
            <w:tcW w:w="0" w:type="auto"/>
            <w:vAlign w:val="center"/>
            <w:hideMark/>
          </w:tcPr>
          <w:p w14:paraId="54033357"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321</w:t>
            </w:r>
          </w:p>
        </w:tc>
        <w:tc>
          <w:tcPr>
            <w:tcW w:w="0" w:type="auto"/>
            <w:vAlign w:val="center"/>
            <w:hideMark/>
          </w:tcPr>
          <w:p w14:paraId="19D583D9"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93.3</w:t>
            </w:r>
          </w:p>
        </w:tc>
      </w:tr>
      <w:tr w:rsidR="00552773" w:rsidRPr="00552773" w14:paraId="39DB81BD" w14:textId="77777777" w:rsidTr="0070216A">
        <w:trPr>
          <w:tblCellSpacing w:w="15" w:type="dxa"/>
        </w:trPr>
        <w:tc>
          <w:tcPr>
            <w:tcW w:w="0" w:type="auto"/>
            <w:vAlign w:val="center"/>
            <w:hideMark/>
          </w:tcPr>
          <w:p w14:paraId="5A478351"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Peanuts ("Azíŋ")</w:t>
            </w:r>
          </w:p>
        </w:tc>
        <w:tc>
          <w:tcPr>
            <w:tcW w:w="0" w:type="auto"/>
            <w:vAlign w:val="center"/>
            <w:hideMark/>
          </w:tcPr>
          <w:p w14:paraId="04859492"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Arachis hypogaea</w:t>
            </w:r>
          </w:p>
        </w:tc>
        <w:tc>
          <w:tcPr>
            <w:tcW w:w="0" w:type="auto"/>
            <w:vAlign w:val="center"/>
            <w:hideMark/>
          </w:tcPr>
          <w:p w14:paraId="13A145DC"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289</w:t>
            </w:r>
          </w:p>
        </w:tc>
        <w:tc>
          <w:tcPr>
            <w:tcW w:w="0" w:type="auto"/>
            <w:vAlign w:val="center"/>
            <w:hideMark/>
          </w:tcPr>
          <w:p w14:paraId="2D01D1D4"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84.0</w:t>
            </w:r>
          </w:p>
        </w:tc>
      </w:tr>
      <w:tr w:rsidR="00552773" w:rsidRPr="00552773" w14:paraId="243DFA62" w14:textId="77777777" w:rsidTr="0070216A">
        <w:trPr>
          <w:tblCellSpacing w:w="15" w:type="dxa"/>
        </w:trPr>
        <w:tc>
          <w:tcPr>
            <w:tcW w:w="0" w:type="auto"/>
            <w:vAlign w:val="center"/>
            <w:hideMark/>
          </w:tcPr>
          <w:p w14:paraId="350D13B1"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"Aloma" Leaves</w:t>
            </w:r>
          </w:p>
        </w:tc>
        <w:tc>
          <w:tcPr>
            <w:tcW w:w="0" w:type="auto"/>
            <w:vAlign w:val="center"/>
            <w:hideMark/>
          </w:tcPr>
          <w:p w14:paraId="51B93395"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Vernonia amygdalina</w:t>
            </w:r>
          </w:p>
        </w:tc>
        <w:tc>
          <w:tcPr>
            <w:tcW w:w="0" w:type="auto"/>
            <w:vAlign w:val="center"/>
            <w:hideMark/>
          </w:tcPr>
          <w:p w14:paraId="48FCC381"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155</w:t>
            </w:r>
          </w:p>
        </w:tc>
        <w:tc>
          <w:tcPr>
            <w:tcW w:w="0" w:type="auto"/>
            <w:vAlign w:val="center"/>
            <w:hideMark/>
          </w:tcPr>
          <w:p w14:paraId="23E506A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45.1</w:t>
            </w:r>
          </w:p>
        </w:tc>
      </w:tr>
      <w:tr w:rsidR="00552773" w:rsidRPr="00552773" w14:paraId="56AB02B9" w14:textId="77777777" w:rsidTr="0070216A">
        <w:trPr>
          <w:tblCellSpacing w:w="15" w:type="dxa"/>
        </w:trPr>
        <w:tc>
          <w:tcPr>
            <w:tcW w:w="0" w:type="auto"/>
            <w:vAlign w:val="center"/>
            <w:hideMark/>
          </w:tcPr>
          <w:p w14:paraId="78BB4BC7"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Sesame ("Goussi")</w:t>
            </w:r>
          </w:p>
        </w:tc>
        <w:tc>
          <w:tcPr>
            <w:tcW w:w="0" w:type="auto"/>
            <w:vAlign w:val="center"/>
            <w:hideMark/>
          </w:tcPr>
          <w:p w14:paraId="44570AC0"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Sesamum indicum</w:t>
            </w:r>
          </w:p>
        </w:tc>
        <w:tc>
          <w:tcPr>
            <w:tcW w:w="0" w:type="auto"/>
            <w:vAlign w:val="center"/>
            <w:hideMark/>
          </w:tcPr>
          <w:p w14:paraId="5A445286"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121</w:t>
            </w:r>
          </w:p>
        </w:tc>
        <w:tc>
          <w:tcPr>
            <w:tcW w:w="0" w:type="auto"/>
            <w:vAlign w:val="center"/>
            <w:hideMark/>
          </w:tcPr>
          <w:p w14:paraId="0A1EB24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35.2</w:t>
            </w:r>
          </w:p>
        </w:tc>
      </w:tr>
      <w:tr w:rsidR="00552773" w:rsidRPr="00552773" w14:paraId="7E643A4D" w14:textId="77777777" w:rsidTr="0070216A">
        <w:trPr>
          <w:tblCellSpacing w:w="15" w:type="dxa"/>
        </w:trPr>
        <w:tc>
          <w:tcPr>
            <w:tcW w:w="0" w:type="auto"/>
            <w:vAlign w:val="center"/>
            <w:hideMark/>
          </w:tcPr>
          <w:p w14:paraId="7994495F"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Lemongrass Infusion</w:t>
            </w:r>
          </w:p>
        </w:tc>
        <w:tc>
          <w:tcPr>
            <w:tcW w:w="0" w:type="auto"/>
            <w:vAlign w:val="center"/>
            <w:hideMark/>
          </w:tcPr>
          <w:p w14:paraId="48CFBD5E"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Cymbopogon citratus</w:t>
            </w:r>
          </w:p>
        </w:tc>
        <w:tc>
          <w:tcPr>
            <w:tcW w:w="0" w:type="auto"/>
            <w:vAlign w:val="center"/>
            <w:hideMark/>
          </w:tcPr>
          <w:p w14:paraId="64A0A2B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98</w:t>
            </w:r>
          </w:p>
        </w:tc>
        <w:tc>
          <w:tcPr>
            <w:tcW w:w="0" w:type="auto"/>
            <w:vAlign w:val="center"/>
            <w:hideMark/>
          </w:tcPr>
          <w:p w14:paraId="018FA2C6"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28.5</w:t>
            </w:r>
          </w:p>
        </w:tc>
      </w:tr>
      <w:tr w:rsidR="00552773" w:rsidRPr="00552773" w14:paraId="47B0DC77" w14:textId="77777777" w:rsidTr="0070216A">
        <w:trPr>
          <w:tblCellSpacing w:w="15" w:type="dxa"/>
        </w:trPr>
        <w:tc>
          <w:tcPr>
            <w:tcW w:w="0" w:type="auto"/>
            <w:vAlign w:val="center"/>
            <w:hideMark/>
          </w:tcPr>
          <w:p w14:paraId="661D9AE6"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Moringa Leaves</w:t>
            </w:r>
          </w:p>
        </w:tc>
        <w:tc>
          <w:tcPr>
            <w:tcW w:w="0" w:type="auto"/>
            <w:vAlign w:val="center"/>
            <w:hideMark/>
          </w:tcPr>
          <w:p w14:paraId="18CC69C2"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Moringa oleifera</w:t>
            </w:r>
          </w:p>
        </w:tc>
        <w:tc>
          <w:tcPr>
            <w:tcW w:w="0" w:type="auto"/>
            <w:vAlign w:val="center"/>
            <w:hideMark/>
          </w:tcPr>
          <w:p w14:paraId="75020925"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97</w:t>
            </w:r>
          </w:p>
        </w:tc>
        <w:tc>
          <w:tcPr>
            <w:tcW w:w="0" w:type="auto"/>
            <w:vAlign w:val="center"/>
            <w:hideMark/>
          </w:tcPr>
          <w:p w14:paraId="6A25D031"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22.28</w:t>
            </w:r>
          </w:p>
        </w:tc>
      </w:tr>
      <w:tr w:rsidR="00552773" w:rsidRPr="00552773" w14:paraId="0AAD5158" w14:textId="77777777" w:rsidTr="0070216A">
        <w:trPr>
          <w:tblCellSpacing w:w="15" w:type="dxa"/>
        </w:trPr>
        <w:tc>
          <w:tcPr>
            <w:tcW w:w="0" w:type="auto"/>
            <w:vAlign w:val="center"/>
            <w:hideMark/>
          </w:tcPr>
          <w:p w14:paraId="670693F3"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Baobab leaves and seeds</w:t>
            </w:r>
          </w:p>
        </w:tc>
        <w:tc>
          <w:tcPr>
            <w:tcW w:w="0" w:type="auto"/>
            <w:vAlign w:val="center"/>
            <w:hideMark/>
          </w:tcPr>
          <w:p w14:paraId="0266BF80"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Adansonia digitata</w:t>
            </w:r>
          </w:p>
        </w:tc>
        <w:tc>
          <w:tcPr>
            <w:tcW w:w="0" w:type="auto"/>
            <w:vAlign w:val="center"/>
            <w:hideMark/>
          </w:tcPr>
          <w:p w14:paraId="3ACD4C65"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78</w:t>
            </w:r>
          </w:p>
        </w:tc>
        <w:tc>
          <w:tcPr>
            <w:tcW w:w="0" w:type="auto"/>
            <w:vAlign w:val="center"/>
            <w:hideMark/>
          </w:tcPr>
          <w:p w14:paraId="70F88FB0"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22.67</w:t>
            </w:r>
          </w:p>
        </w:tc>
      </w:tr>
      <w:tr w:rsidR="00552773" w:rsidRPr="00552773" w14:paraId="6C62EEF2" w14:textId="77777777" w:rsidTr="0070216A">
        <w:trPr>
          <w:tblCellSpacing w:w="15" w:type="dxa"/>
        </w:trPr>
        <w:tc>
          <w:tcPr>
            <w:tcW w:w="0" w:type="auto"/>
            <w:vAlign w:val="center"/>
            <w:hideMark/>
          </w:tcPr>
          <w:p w14:paraId="361660E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Oil palm kernel</w:t>
            </w:r>
          </w:p>
        </w:tc>
        <w:tc>
          <w:tcPr>
            <w:tcW w:w="0" w:type="auto"/>
            <w:vAlign w:val="center"/>
            <w:hideMark/>
          </w:tcPr>
          <w:p w14:paraId="13915AA3"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Elaeis guineensis</w:t>
            </w:r>
          </w:p>
        </w:tc>
        <w:tc>
          <w:tcPr>
            <w:tcW w:w="0" w:type="auto"/>
            <w:vAlign w:val="center"/>
            <w:hideMark/>
          </w:tcPr>
          <w:p w14:paraId="4A4EE054"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65</w:t>
            </w:r>
          </w:p>
        </w:tc>
        <w:tc>
          <w:tcPr>
            <w:tcW w:w="0" w:type="auto"/>
            <w:vAlign w:val="center"/>
            <w:hideMark/>
          </w:tcPr>
          <w:p w14:paraId="4F00CA6F"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18.9</w:t>
            </w:r>
          </w:p>
        </w:tc>
      </w:tr>
      <w:tr w:rsidR="00552773" w:rsidRPr="00552773" w14:paraId="5AAF6513" w14:textId="77777777" w:rsidTr="0070216A">
        <w:trPr>
          <w:tblCellSpacing w:w="15" w:type="dxa"/>
        </w:trPr>
        <w:tc>
          <w:tcPr>
            <w:tcW w:w="0" w:type="auto"/>
            <w:vAlign w:val="center"/>
            <w:hideMark/>
          </w:tcPr>
          <w:p w14:paraId="2A75A5F6"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Maize</w:t>
            </w:r>
          </w:p>
        </w:tc>
        <w:tc>
          <w:tcPr>
            <w:tcW w:w="0" w:type="auto"/>
            <w:vAlign w:val="center"/>
            <w:hideMark/>
          </w:tcPr>
          <w:p w14:paraId="7E6CA581"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Zea mays</w:t>
            </w:r>
          </w:p>
        </w:tc>
        <w:tc>
          <w:tcPr>
            <w:tcW w:w="0" w:type="auto"/>
            <w:vAlign w:val="center"/>
            <w:hideMark/>
          </w:tcPr>
          <w:p w14:paraId="29164F95"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64</w:t>
            </w:r>
          </w:p>
        </w:tc>
        <w:tc>
          <w:tcPr>
            <w:tcW w:w="0" w:type="auto"/>
            <w:vAlign w:val="center"/>
            <w:hideMark/>
          </w:tcPr>
          <w:p w14:paraId="57F7DB92"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18.6</w:t>
            </w:r>
          </w:p>
        </w:tc>
      </w:tr>
      <w:tr w:rsidR="00552773" w:rsidRPr="00552773" w14:paraId="0CD37559" w14:textId="77777777" w:rsidTr="0070216A">
        <w:trPr>
          <w:tblCellSpacing w:w="15" w:type="dxa"/>
        </w:trPr>
        <w:tc>
          <w:tcPr>
            <w:tcW w:w="0" w:type="auto"/>
            <w:vAlign w:val="center"/>
            <w:hideMark/>
          </w:tcPr>
          <w:p w14:paraId="15C57F78"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Ginger</w:t>
            </w:r>
          </w:p>
        </w:tc>
        <w:tc>
          <w:tcPr>
            <w:tcW w:w="0" w:type="auto"/>
            <w:vAlign w:val="center"/>
            <w:hideMark/>
          </w:tcPr>
          <w:p w14:paraId="54B7D1D8"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Zingiber officinale</w:t>
            </w:r>
          </w:p>
        </w:tc>
        <w:tc>
          <w:tcPr>
            <w:tcW w:w="0" w:type="auto"/>
            <w:vAlign w:val="center"/>
            <w:hideMark/>
          </w:tcPr>
          <w:p w14:paraId="2AFA2E9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62</w:t>
            </w:r>
          </w:p>
        </w:tc>
        <w:tc>
          <w:tcPr>
            <w:tcW w:w="0" w:type="auto"/>
            <w:vAlign w:val="center"/>
            <w:hideMark/>
          </w:tcPr>
          <w:p w14:paraId="5ADA8955"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18.02</w:t>
            </w:r>
          </w:p>
        </w:tc>
      </w:tr>
      <w:tr w:rsidR="00552773" w:rsidRPr="00552773" w14:paraId="3C10605A" w14:textId="77777777" w:rsidTr="0070216A">
        <w:trPr>
          <w:tblCellSpacing w:w="15" w:type="dxa"/>
        </w:trPr>
        <w:tc>
          <w:tcPr>
            <w:tcW w:w="0" w:type="auto"/>
            <w:vAlign w:val="center"/>
            <w:hideMark/>
          </w:tcPr>
          <w:p w14:paraId="2749874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Garlic</w:t>
            </w:r>
          </w:p>
        </w:tc>
        <w:tc>
          <w:tcPr>
            <w:tcW w:w="0" w:type="auto"/>
            <w:vAlign w:val="center"/>
            <w:hideMark/>
          </w:tcPr>
          <w:p w14:paraId="4AD7DEF3"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Allium sativum</w:t>
            </w:r>
          </w:p>
        </w:tc>
        <w:tc>
          <w:tcPr>
            <w:tcW w:w="0" w:type="auto"/>
            <w:vAlign w:val="center"/>
            <w:hideMark/>
          </w:tcPr>
          <w:p w14:paraId="5690EB8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61</w:t>
            </w:r>
          </w:p>
        </w:tc>
        <w:tc>
          <w:tcPr>
            <w:tcW w:w="0" w:type="auto"/>
            <w:vAlign w:val="center"/>
            <w:hideMark/>
          </w:tcPr>
          <w:p w14:paraId="10A8F01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17.73</w:t>
            </w:r>
          </w:p>
        </w:tc>
      </w:tr>
      <w:tr w:rsidR="00552773" w:rsidRPr="00552773" w14:paraId="1B3C7969" w14:textId="77777777" w:rsidTr="0070216A">
        <w:trPr>
          <w:tblCellSpacing w:w="15" w:type="dxa"/>
        </w:trPr>
        <w:tc>
          <w:tcPr>
            <w:tcW w:w="0" w:type="auto"/>
            <w:vAlign w:val="center"/>
            <w:hideMark/>
          </w:tcPr>
          <w:p w14:paraId="5B4D320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Onion</w:t>
            </w:r>
          </w:p>
        </w:tc>
        <w:tc>
          <w:tcPr>
            <w:tcW w:w="0" w:type="auto"/>
            <w:vAlign w:val="center"/>
            <w:hideMark/>
          </w:tcPr>
          <w:p w14:paraId="3B857F34"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Allium cepa</w:t>
            </w:r>
          </w:p>
        </w:tc>
        <w:tc>
          <w:tcPr>
            <w:tcW w:w="0" w:type="auto"/>
            <w:vAlign w:val="center"/>
            <w:hideMark/>
          </w:tcPr>
          <w:p w14:paraId="0B6DB201"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61</w:t>
            </w:r>
          </w:p>
        </w:tc>
        <w:tc>
          <w:tcPr>
            <w:tcW w:w="0" w:type="auto"/>
            <w:vAlign w:val="center"/>
            <w:hideMark/>
          </w:tcPr>
          <w:p w14:paraId="0A52881D"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17.73</w:t>
            </w:r>
          </w:p>
        </w:tc>
      </w:tr>
      <w:tr w:rsidR="00552773" w:rsidRPr="00552773" w14:paraId="619BAACE" w14:textId="77777777" w:rsidTr="0070216A">
        <w:trPr>
          <w:tblCellSpacing w:w="15" w:type="dxa"/>
        </w:trPr>
        <w:tc>
          <w:tcPr>
            <w:tcW w:w="0" w:type="auto"/>
            <w:vAlign w:val="center"/>
            <w:hideMark/>
          </w:tcPr>
          <w:p w14:paraId="7A0A5F72"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Small fish (Anchovies)</w:t>
            </w:r>
          </w:p>
        </w:tc>
        <w:tc>
          <w:tcPr>
            <w:tcW w:w="0" w:type="auto"/>
            <w:vAlign w:val="center"/>
            <w:hideMark/>
          </w:tcPr>
          <w:p w14:paraId="7AFCA25B"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Engraulis encrasicolus</w:t>
            </w:r>
          </w:p>
        </w:tc>
        <w:tc>
          <w:tcPr>
            <w:tcW w:w="0" w:type="auto"/>
            <w:vAlign w:val="center"/>
            <w:hideMark/>
          </w:tcPr>
          <w:p w14:paraId="48ED6655"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57</w:t>
            </w:r>
          </w:p>
        </w:tc>
        <w:tc>
          <w:tcPr>
            <w:tcW w:w="0" w:type="auto"/>
            <w:vAlign w:val="center"/>
            <w:hideMark/>
          </w:tcPr>
          <w:p w14:paraId="567BACA9"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16.57</w:t>
            </w:r>
          </w:p>
        </w:tc>
      </w:tr>
      <w:tr w:rsidR="00552773" w:rsidRPr="00552773" w14:paraId="3DEB2E96" w14:textId="77777777" w:rsidTr="0070216A">
        <w:trPr>
          <w:tblCellSpacing w:w="15" w:type="dxa"/>
        </w:trPr>
        <w:tc>
          <w:tcPr>
            <w:tcW w:w="0" w:type="auto"/>
            <w:vAlign w:val="center"/>
            <w:hideMark/>
          </w:tcPr>
          <w:p w14:paraId="2BF491C1"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lastRenderedPageBreak/>
              <w:t>Dates</w:t>
            </w:r>
          </w:p>
        </w:tc>
        <w:tc>
          <w:tcPr>
            <w:tcW w:w="0" w:type="auto"/>
            <w:vAlign w:val="center"/>
            <w:hideMark/>
          </w:tcPr>
          <w:p w14:paraId="608868AF"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Phoenix dactylifera</w:t>
            </w:r>
          </w:p>
        </w:tc>
        <w:tc>
          <w:tcPr>
            <w:tcW w:w="0" w:type="auto"/>
            <w:vAlign w:val="center"/>
            <w:hideMark/>
          </w:tcPr>
          <w:p w14:paraId="6C24FE07"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39</w:t>
            </w:r>
          </w:p>
        </w:tc>
        <w:tc>
          <w:tcPr>
            <w:tcW w:w="0" w:type="auto"/>
            <w:vAlign w:val="center"/>
            <w:hideMark/>
          </w:tcPr>
          <w:p w14:paraId="6232476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11.33</w:t>
            </w:r>
          </w:p>
        </w:tc>
      </w:tr>
      <w:tr w:rsidR="00552773" w:rsidRPr="00552773" w14:paraId="41686DDF" w14:textId="77777777" w:rsidTr="0070216A">
        <w:trPr>
          <w:tblCellSpacing w:w="15" w:type="dxa"/>
        </w:trPr>
        <w:tc>
          <w:tcPr>
            <w:tcW w:w="0" w:type="auto"/>
            <w:vAlign w:val="center"/>
            <w:hideMark/>
          </w:tcPr>
          <w:p w14:paraId="0267125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Fufu (pounded yam)</w:t>
            </w:r>
          </w:p>
        </w:tc>
        <w:tc>
          <w:tcPr>
            <w:tcW w:w="0" w:type="auto"/>
            <w:vAlign w:val="center"/>
            <w:hideMark/>
          </w:tcPr>
          <w:p w14:paraId="4737C2B6"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Dioscorea rotundata</w:t>
            </w:r>
          </w:p>
        </w:tc>
        <w:tc>
          <w:tcPr>
            <w:tcW w:w="0" w:type="auto"/>
            <w:vAlign w:val="center"/>
            <w:hideMark/>
          </w:tcPr>
          <w:p w14:paraId="4135ACEA"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32</w:t>
            </w:r>
          </w:p>
        </w:tc>
        <w:tc>
          <w:tcPr>
            <w:tcW w:w="0" w:type="auto"/>
            <w:vAlign w:val="center"/>
            <w:hideMark/>
          </w:tcPr>
          <w:p w14:paraId="433773F6"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9.46</w:t>
            </w:r>
          </w:p>
        </w:tc>
      </w:tr>
      <w:tr w:rsidR="00552773" w:rsidRPr="00552773" w14:paraId="3DB8BE8B" w14:textId="77777777" w:rsidTr="0070216A">
        <w:trPr>
          <w:tblCellSpacing w:w="15" w:type="dxa"/>
        </w:trPr>
        <w:tc>
          <w:tcPr>
            <w:tcW w:w="0" w:type="auto"/>
            <w:vAlign w:val="center"/>
            <w:hideMark/>
          </w:tcPr>
          <w:p w14:paraId="5E4BE51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Non-chilled beer</w:t>
            </w:r>
          </w:p>
        </w:tc>
        <w:tc>
          <w:tcPr>
            <w:tcW w:w="0" w:type="auto"/>
            <w:vAlign w:val="center"/>
            <w:hideMark/>
          </w:tcPr>
          <w:p w14:paraId="20A19953"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w:t>
            </w:r>
          </w:p>
        </w:tc>
        <w:tc>
          <w:tcPr>
            <w:tcW w:w="0" w:type="auto"/>
            <w:vAlign w:val="center"/>
            <w:hideMark/>
          </w:tcPr>
          <w:p w14:paraId="7283CE6E"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32</w:t>
            </w:r>
          </w:p>
        </w:tc>
        <w:tc>
          <w:tcPr>
            <w:tcW w:w="0" w:type="auto"/>
            <w:vAlign w:val="center"/>
            <w:hideMark/>
          </w:tcPr>
          <w:p w14:paraId="45934487" w14:textId="77777777" w:rsidR="00552773" w:rsidRPr="00552773" w:rsidRDefault="00552773" w:rsidP="0070216A">
            <w:pPr>
              <w:pStyle w:val="NormalWeb"/>
              <w:jc w:val="both"/>
              <w:rPr>
                <w:rFonts w:ascii="Arial" w:hAnsi="Arial" w:cs="Arial"/>
                <w:sz w:val="20"/>
                <w:szCs w:val="20"/>
              </w:rPr>
            </w:pPr>
            <w:r w:rsidRPr="00552773">
              <w:rPr>
                <w:rFonts w:ascii="Arial" w:hAnsi="Arial" w:cs="Arial"/>
                <w:sz w:val="20"/>
                <w:szCs w:val="20"/>
              </w:rPr>
              <w:t>9.3</w:t>
            </w:r>
          </w:p>
        </w:tc>
      </w:tr>
      <w:tr w:rsidR="00552773" w:rsidRPr="00552773" w14:paraId="07B63F09" w14:textId="77777777" w:rsidTr="0070216A">
        <w:trPr>
          <w:tblCellSpacing w:w="15" w:type="dxa"/>
        </w:trPr>
        <w:tc>
          <w:tcPr>
            <w:tcW w:w="0" w:type="auto"/>
            <w:vAlign w:val="center"/>
            <w:hideMark/>
          </w:tcPr>
          <w:p w14:paraId="7372A99E" w14:textId="77777777" w:rsidR="00552773" w:rsidRPr="00552773" w:rsidRDefault="00552773" w:rsidP="0070216A">
            <w:pPr>
              <w:pStyle w:val="NormalWeb"/>
              <w:jc w:val="both"/>
              <w:rPr>
                <w:rFonts w:ascii="Arial" w:hAnsi="Arial" w:cs="Arial"/>
                <w:sz w:val="20"/>
                <w:szCs w:val="20"/>
              </w:rPr>
            </w:pPr>
            <w:r w:rsidRPr="00552773">
              <w:rPr>
                <w:rFonts w:ascii="Arial" w:hAnsi="Arial" w:cs="Arial"/>
                <w:i/>
                <w:iCs/>
                <w:sz w:val="20"/>
                <w:szCs w:val="20"/>
              </w:rPr>
              <w:t>Data from the survey (N=344, women with knowledge of at least one galactagogue)</w:t>
            </w:r>
          </w:p>
        </w:tc>
        <w:tc>
          <w:tcPr>
            <w:tcW w:w="0" w:type="auto"/>
            <w:vAlign w:val="center"/>
            <w:hideMark/>
          </w:tcPr>
          <w:p w14:paraId="10E20B69" w14:textId="77777777" w:rsidR="00552773" w:rsidRPr="00552773" w:rsidRDefault="00552773" w:rsidP="0070216A">
            <w:pPr>
              <w:jc w:val="both"/>
              <w:rPr>
                <w:rFonts w:ascii="Arial" w:hAnsi="Arial" w:cs="Arial"/>
              </w:rPr>
            </w:pPr>
          </w:p>
        </w:tc>
        <w:tc>
          <w:tcPr>
            <w:tcW w:w="0" w:type="auto"/>
            <w:vAlign w:val="center"/>
            <w:hideMark/>
          </w:tcPr>
          <w:p w14:paraId="4ADC7C1B" w14:textId="77777777" w:rsidR="00552773" w:rsidRPr="00552773" w:rsidRDefault="00552773" w:rsidP="0070216A">
            <w:pPr>
              <w:jc w:val="both"/>
              <w:rPr>
                <w:rFonts w:ascii="Arial" w:hAnsi="Arial" w:cs="Arial"/>
              </w:rPr>
            </w:pPr>
          </w:p>
        </w:tc>
        <w:tc>
          <w:tcPr>
            <w:tcW w:w="0" w:type="auto"/>
            <w:vAlign w:val="center"/>
            <w:hideMark/>
          </w:tcPr>
          <w:p w14:paraId="07920429" w14:textId="77777777" w:rsidR="00552773" w:rsidRPr="00552773" w:rsidRDefault="00552773" w:rsidP="0070216A">
            <w:pPr>
              <w:jc w:val="both"/>
              <w:rPr>
                <w:rFonts w:ascii="Arial" w:hAnsi="Arial" w:cs="Arial"/>
              </w:rPr>
            </w:pPr>
          </w:p>
        </w:tc>
      </w:tr>
    </w:tbl>
    <w:p w14:paraId="759D0133" w14:textId="77777777" w:rsidR="00552773" w:rsidRPr="00552773" w:rsidRDefault="00552773" w:rsidP="00552773">
      <w:pPr>
        <w:jc w:val="both"/>
        <w:rPr>
          <w:rFonts w:ascii="Arial" w:hAnsi="Arial" w:cs="Arial"/>
        </w:rPr>
      </w:pPr>
    </w:p>
    <w:p w14:paraId="234405ED" w14:textId="77777777" w:rsidR="00552773" w:rsidRPr="00552773" w:rsidRDefault="00552773" w:rsidP="00552773">
      <w:pPr>
        <w:pStyle w:val="Heading3"/>
        <w:jc w:val="right"/>
        <w:rPr>
          <w:rFonts w:ascii="Arial" w:hAnsi="Arial" w:cs="Arial"/>
          <w:b/>
          <w:color w:val="auto"/>
          <w:sz w:val="22"/>
          <w:szCs w:val="20"/>
        </w:rPr>
      </w:pPr>
      <w:r w:rsidRPr="00552773">
        <w:rPr>
          <w:rFonts w:ascii="Arial" w:hAnsi="Arial" w:cs="Arial"/>
          <w:b/>
          <w:color w:val="auto"/>
          <w:sz w:val="22"/>
          <w:szCs w:val="20"/>
        </w:rPr>
        <w:t>4. Modalities of use for principal reported galactagogues</w:t>
      </w:r>
    </w:p>
    <w:p w14:paraId="03A42D71"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a) Sorghum or millet porridge ('koko')</w:t>
      </w:r>
    </w:p>
    <w:p w14:paraId="4C700172"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This foodstuff is a light porridge prepared from the fermented flour of either sorghum (</w:t>
      </w:r>
      <w:r w:rsidRPr="00552773">
        <w:rPr>
          <w:rFonts w:ascii="Arial" w:hAnsi="Arial" w:cs="Arial"/>
          <w:i/>
          <w:iCs/>
          <w:sz w:val="20"/>
          <w:szCs w:val="20"/>
        </w:rPr>
        <w:t>Sorghum bicolor</w:t>
      </w:r>
      <w:r w:rsidRPr="00552773">
        <w:rPr>
          <w:rFonts w:ascii="Arial" w:hAnsi="Arial" w:cs="Arial"/>
          <w:sz w:val="20"/>
          <w:szCs w:val="20"/>
        </w:rPr>
        <w:t>) or millet (</w:t>
      </w:r>
      <w:r w:rsidRPr="00552773">
        <w:rPr>
          <w:rFonts w:ascii="Arial" w:hAnsi="Arial" w:cs="Arial"/>
          <w:i/>
          <w:iCs/>
          <w:sz w:val="20"/>
          <w:szCs w:val="20"/>
        </w:rPr>
        <w:t>Pennisetum glaucum</w:t>
      </w:r>
      <w:r w:rsidRPr="00552773">
        <w:rPr>
          <w:rFonts w:ascii="Arial" w:hAnsi="Arial" w:cs="Arial"/>
          <w:sz w:val="20"/>
          <w:szCs w:val="20"/>
        </w:rPr>
        <w:t xml:space="preserve">). Its consumption is initiated almost systematically immediately following childbirth (95% of reports). The reported intake is high, typically consisting of one bowl in the morning and another in the evening during the initial postpartum weeks. The flour is predominantly acquired through market purchase (88%). The perceived efficacy is </w:t>
      </w:r>
      <w:proofErr w:type="gramStart"/>
      <w:r w:rsidRPr="00552773">
        <w:rPr>
          <w:rFonts w:ascii="Arial" w:hAnsi="Arial" w:cs="Arial"/>
          <w:sz w:val="20"/>
          <w:szCs w:val="20"/>
        </w:rPr>
        <w:t>multifaceted:</w:t>
      </w:r>
      <w:proofErr w:type="gramEnd"/>
      <w:r w:rsidRPr="00552773">
        <w:rPr>
          <w:rFonts w:ascii="Arial" w:hAnsi="Arial" w:cs="Arial"/>
          <w:sz w:val="20"/>
          <w:szCs w:val="20"/>
        </w:rPr>
        <w:t xml:space="preserve"> a rapid onset of lactation (75%), restoration of maternal strength (65%), and increased infant satiety (40%). No adverse effects were reported. This ethnobotanical knowledge is transmitted almost exclusively along matrilineal lines, from mother or grandmother to daughter (96%).</w:t>
      </w:r>
    </w:p>
    <w:p w14:paraId="7FF4517F"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 xml:space="preserve">b) Peanuts ('Azíŋ', </w:t>
      </w:r>
      <w:r w:rsidRPr="00552773">
        <w:rPr>
          <w:rFonts w:ascii="Arial" w:hAnsi="Arial" w:cs="Arial"/>
          <w:b/>
          <w:bCs/>
          <w:i/>
          <w:iCs/>
          <w:sz w:val="20"/>
          <w:szCs w:val="20"/>
        </w:rPr>
        <w:t>Arachis hypogaea</w:t>
      </w:r>
      <w:r w:rsidRPr="00552773">
        <w:rPr>
          <w:rFonts w:ascii="Arial" w:hAnsi="Arial" w:cs="Arial"/>
          <w:b/>
          <w:bCs/>
          <w:sz w:val="20"/>
          <w:szCs w:val="20"/>
        </w:rPr>
        <w:t>)</w:t>
      </w:r>
    </w:p>
    <w:p w14:paraId="5AE7623B"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Peanuts are principally consumed as </w:t>
      </w:r>
      <w:proofErr w:type="gramStart"/>
      <w:r w:rsidRPr="00552773">
        <w:rPr>
          <w:rFonts w:ascii="Arial" w:hAnsi="Arial" w:cs="Arial"/>
          <w:sz w:val="20"/>
          <w:szCs w:val="20"/>
        </w:rPr>
        <w:t>a</w:t>
      </w:r>
      <w:proofErr w:type="gramEnd"/>
      <w:r w:rsidRPr="00552773">
        <w:rPr>
          <w:rFonts w:ascii="Arial" w:hAnsi="Arial" w:cs="Arial"/>
          <w:sz w:val="20"/>
          <w:szCs w:val="20"/>
        </w:rPr>
        <w:t xml:space="preserve"> paste incorporated into light sauces or in their roasted form. Their use as </w:t>
      </w:r>
      <w:proofErr w:type="gramStart"/>
      <w:r w:rsidRPr="00552773">
        <w:rPr>
          <w:rFonts w:ascii="Arial" w:hAnsi="Arial" w:cs="Arial"/>
          <w:sz w:val="20"/>
          <w:szCs w:val="20"/>
        </w:rPr>
        <w:t>a</w:t>
      </w:r>
      <w:proofErr w:type="gramEnd"/>
      <w:r w:rsidRPr="00552773">
        <w:rPr>
          <w:rFonts w:ascii="Arial" w:hAnsi="Arial" w:cs="Arial"/>
          <w:sz w:val="20"/>
          <w:szCs w:val="20"/>
        </w:rPr>
        <w:t xml:space="preserve"> galactagogue typically commences a few days after birth (80% of reports), with a consumption frequency of three to four times per week. They are almost exclusively sourced from local markets (99%). The perceived effect is qualitative in nature, with mothers reporting that their breast milk becomes "richer and more nourishing" (82%). A belief reported by 15% of mothers suggests that excessive consumption may induce colic in the infant, and a few instances of allergic reactions were mentioned. The transmission of this knowledge occurs via the family (70%) and broader social networks, including neighbors and friends (30%).</w:t>
      </w:r>
    </w:p>
    <w:p w14:paraId="79B05D41"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c) Bitter Leaf (</w:t>
      </w:r>
      <w:r w:rsidRPr="00552773">
        <w:rPr>
          <w:rFonts w:ascii="Arial" w:hAnsi="Arial" w:cs="Arial"/>
          <w:b/>
          <w:bCs/>
          <w:i/>
          <w:iCs/>
          <w:sz w:val="20"/>
          <w:szCs w:val="20"/>
        </w:rPr>
        <w:t>Vernonia amygdalina</w:t>
      </w:r>
      <w:r w:rsidRPr="00552773">
        <w:rPr>
          <w:rFonts w:ascii="Arial" w:hAnsi="Arial" w:cs="Arial"/>
          <w:b/>
          <w:bCs/>
          <w:sz w:val="20"/>
          <w:szCs w:val="20"/>
        </w:rPr>
        <w:t>)</w:t>
      </w:r>
    </w:p>
    <w:p w14:paraId="7DF66F0F"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Locally known as 'Aloma', this plant is utilized in two primary </w:t>
      </w:r>
      <w:proofErr w:type="gramStart"/>
      <w:r w:rsidRPr="00552773">
        <w:rPr>
          <w:rFonts w:ascii="Arial" w:hAnsi="Arial" w:cs="Arial"/>
          <w:sz w:val="20"/>
          <w:szCs w:val="20"/>
        </w:rPr>
        <w:t>ways:</w:t>
      </w:r>
      <w:proofErr w:type="gramEnd"/>
      <w:r w:rsidRPr="00552773">
        <w:rPr>
          <w:rFonts w:ascii="Arial" w:hAnsi="Arial" w:cs="Arial"/>
          <w:sz w:val="20"/>
          <w:szCs w:val="20"/>
        </w:rPr>
        <w:t xml:space="preserve"> as a bitter juice extracted from triturated fresh leaves (60% of use cases), or integrated into a sauce following a lixiviation process to reduce its bitterness (40%). Its use is not routine but remedial, triggered by a perceived decrease in lactation or insufficient milk supply. The posology for the juice is strictly </w:t>
      </w:r>
      <w:proofErr w:type="gramStart"/>
      <w:r w:rsidRPr="00552773">
        <w:rPr>
          <w:rFonts w:ascii="Arial" w:hAnsi="Arial" w:cs="Arial"/>
          <w:sz w:val="20"/>
          <w:szCs w:val="20"/>
        </w:rPr>
        <w:t>defined:</w:t>
      </w:r>
      <w:proofErr w:type="gramEnd"/>
      <w:r w:rsidRPr="00552773">
        <w:rPr>
          <w:rFonts w:ascii="Arial" w:hAnsi="Arial" w:cs="Arial"/>
          <w:sz w:val="20"/>
          <w:szCs w:val="20"/>
        </w:rPr>
        <w:t xml:space="preserve"> one small glass (a 'sodabi' glass, approximately 30 ml) per day, for a maximum duration of two to three days. This plant is predominantly sourced from family gardens (55%) or through wild harvesting (30%). Its perceived effect is described as potent and rapid, with the plant believed to "cleanse the blood and promote abundant milk flow" (78%). The pronounced bitterness of the juice is unanimously cited as a significant drawback, and 8% of mothers reported a risk of diarrhea associated with excessive intake. This specialized knowledge is primarily transmitted by elder women, such as grandmothers (65%), and traditional birth attendants (25%).</w:t>
      </w:r>
    </w:p>
    <w:p w14:paraId="720F9ABE"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lastRenderedPageBreak/>
        <w:t>d) Moringa Leaves (</w:t>
      </w:r>
      <w:r w:rsidRPr="00552773">
        <w:rPr>
          <w:rFonts w:ascii="Arial" w:hAnsi="Arial" w:cs="Arial"/>
          <w:b/>
          <w:bCs/>
          <w:i/>
          <w:iCs/>
          <w:sz w:val="20"/>
          <w:szCs w:val="20"/>
        </w:rPr>
        <w:t>Moringa oleifera</w:t>
      </w:r>
      <w:r w:rsidRPr="00552773">
        <w:rPr>
          <w:rFonts w:ascii="Arial" w:hAnsi="Arial" w:cs="Arial"/>
          <w:b/>
          <w:bCs/>
          <w:sz w:val="20"/>
          <w:szCs w:val="20"/>
        </w:rPr>
        <w:t>)</w:t>
      </w:r>
    </w:p>
    <w:p w14:paraId="5BB05472"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Referred to as 'Yovoviti' in the Ewe language, moringa leaves are mainly integrated into the diet as </w:t>
      </w:r>
      <w:proofErr w:type="gramStart"/>
      <w:r w:rsidRPr="00552773">
        <w:rPr>
          <w:rFonts w:ascii="Arial" w:hAnsi="Arial" w:cs="Arial"/>
          <w:sz w:val="20"/>
          <w:szCs w:val="20"/>
        </w:rPr>
        <w:t>a</w:t>
      </w:r>
      <w:proofErr w:type="gramEnd"/>
      <w:r w:rsidRPr="00552773">
        <w:rPr>
          <w:rFonts w:ascii="Arial" w:hAnsi="Arial" w:cs="Arial"/>
          <w:sz w:val="20"/>
          <w:szCs w:val="20"/>
        </w:rPr>
        <w:t xml:space="preserve"> component of a sauce. The fresh leaves are washed and cooked with base ingredients such as onion, garlic, oil, and smoked fish. Less frequently, they are consumed as an infusion. The use of moringa is often initiated several weeks postpartum in response to maternal fatigue or stagnating milk production. According to the mothers, consuming this sauce helps to "regain strength" and enhances the nutritional quality of the breast milk. The transmission of this knowledge is mixed, originating from both the family circle and advice from the wider community.</w:t>
      </w:r>
    </w:p>
    <w:p w14:paraId="16A48923"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e) Baobab Leaves and Seeds (</w:t>
      </w:r>
      <w:r w:rsidRPr="00552773">
        <w:rPr>
          <w:rFonts w:ascii="Arial" w:hAnsi="Arial" w:cs="Arial"/>
          <w:b/>
          <w:bCs/>
          <w:i/>
          <w:iCs/>
          <w:sz w:val="20"/>
          <w:szCs w:val="20"/>
        </w:rPr>
        <w:t>Adansonia digitata</w:t>
      </w:r>
      <w:r w:rsidRPr="00552773">
        <w:rPr>
          <w:rFonts w:ascii="Arial" w:hAnsi="Arial" w:cs="Arial"/>
          <w:b/>
          <w:bCs/>
          <w:sz w:val="20"/>
          <w:szCs w:val="20"/>
        </w:rPr>
        <w:t>)</w:t>
      </w:r>
    </w:p>
    <w:p w14:paraId="412DB086"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Commonly known as 'Adidoti', the baobab tree is utilized for both its leaves and seeds. The leaves, when dried and powdered ('Lalo'), are used to prepare a mucilaginous and highly nutritious sauce, which is consumed with maize or millet paste. The seed ('alagbaku') is also often prepared in </w:t>
      </w:r>
      <w:proofErr w:type="gramStart"/>
      <w:r w:rsidRPr="00552773">
        <w:rPr>
          <w:rFonts w:ascii="Arial" w:hAnsi="Arial" w:cs="Arial"/>
          <w:sz w:val="20"/>
          <w:szCs w:val="20"/>
        </w:rPr>
        <w:t>a</w:t>
      </w:r>
      <w:proofErr w:type="gramEnd"/>
      <w:r w:rsidRPr="00552773">
        <w:rPr>
          <w:rFonts w:ascii="Arial" w:hAnsi="Arial" w:cs="Arial"/>
          <w:sz w:val="20"/>
          <w:szCs w:val="20"/>
        </w:rPr>
        <w:t xml:space="preserve"> sauce. Consumption of these preparations is recommended in cases of maternal fatigue or when the infant appears insufficiently satiated after breastfeeding. Mothers report that these dishes make the milk "more substantial." Knowledge related to the use of baobab is often transmitted by older women recognized for their expertise in bush products.</w:t>
      </w:r>
    </w:p>
    <w:p w14:paraId="10D9CFFC"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f) Maize (</w:t>
      </w:r>
      <w:r w:rsidRPr="00552773">
        <w:rPr>
          <w:rFonts w:ascii="Arial" w:hAnsi="Arial" w:cs="Arial"/>
          <w:b/>
          <w:bCs/>
          <w:i/>
          <w:iCs/>
          <w:sz w:val="20"/>
          <w:szCs w:val="20"/>
        </w:rPr>
        <w:t>Zea mays</w:t>
      </w:r>
      <w:r w:rsidRPr="00552773">
        <w:rPr>
          <w:rFonts w:ascii="Arial" w:hAnsi="Arial" w:cs="Arial"/>
          <w:b/>
          <w:bCs/>
          <w:sz w:val="20"/>
          <w:szCs w:val="20"/>
        </w:rPr>
        <w:t>)</w:t>
      </w:r>
    </w:p>
    <w:p w14:paraId="0F0CBF15"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Maize, or 'Ebli' in Ewe, is a staple food whose use is indirectly linked to lactation. It is primarily consumed as </w:t>
      </w:r>
      <w:proofErr w:type="gramStart"/>
      <w:r w:rsidRPr="00552773">
        <w:rPr>
          <w:rFonts w:ascii="Arial" w:hAnsi="Arial" w:cs="Arial"/>
          <w:sz w:val="20"/>
          <w:szCs w:val="20"/>
        </w:rPr>
        <w:t>a</w:t>
      </w:r>
      <w:proofErr w:type="gramEnd"/>
      <w:r w:rsidRPr="00552773">
        <w:rPr>
          <w:rFonts w:ascii="Arial" w:hAnsi="Arial" w:cs="Arial"/>
          <w:sz w:val="20"/>
          <w:szCs w:val="20"/>
        </w:rPr>
        <w:t xml:space="preserve"> paste ('Akoumé'), which serves as a vehicle for galactogenic sauces such as those made from peanuts or moringa, or as a fermented porridge ('Akassan'). Another preparation, 'Abora', consists of boiled maize kernels. The consumption of these dishes is perceived as essential for providing the mother with the requisite energy for milk synthesis.</w:t>
      </w:r>
    </w:p>
    <w:p w14:paraId="770B3582"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g) Ginger (</w:t>
      </w:r>
      <w:r w:rsidRPr="00552773">
        <w:rPr>
          <w:rFonts w:ascii="Arial" w:hAnsi="Arial" w:cs="Arial"/>
          <w:b/>
          <w:bCs/>
          <w:i/>
          <w:iCs/>
          <w:sz w:val="20"/>
          <w:szCs w:val="20"/>
        </w:rPr>
        <w:t>Zingiber officinale</w:t>
      </w:r>
      <w:r w:rsidRPr="00552773">
        <w:rPr>
          <w:rFonts w:ascii="Arial" w:hAnsi="Arial" w:cs="Arial"/>
          <w:b/>
          <w:bCs/>
          <w:sz w:val="20"/>
          <w:szCs w:val="20"/>
        </w:rPr>
        <w:t>)</w:t>
      </w:r>
    </w:p>
    <w:p w14:paraId="0410B4DD"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Known as 'dotè', ginger is primarily valued for its stimulating properties. It is consumed as a juice or infusion but is also widely used as a seasoning in numerous dishes. Its use is not directly cited as galactogenic but rather as a general tonic for the breastfeeding mother, intended to combat postpartum fatigue and thereby indirectly support lactation.</w:t>
      </w:r>
    </w:p>
    <w:p w14:paraId="0FF746D9"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h) Garlic (</w:t>
      </w:r>
      <w:r w:rsidRPr="00552773">
        <w:rPr>
          <w:rFonts w:ascii="Arial" w:hAnsi="Arial" w:cs="Arial"/>
          <w:b/>
          <w:bCs/>
          <w:i/>
          <w:iCs/>
          <w:sz w:val="20"/>
          <w:szCs w:val="20"/>
        </w:rPr>
        <w:t>Allium sativum</w:t>
      </w:r>
      <w:r w:rsidRPr="00552773">
        <w:rPr>
          <w:rFonts w:ascii="Arial" w:hAnsi="Arial" w:cs="Arial"/>
          <w:b/>
          <w:bCs/>
          <w:sz w:val="20"/>
          <w:szCs w:val="20"/>
        </w:rPr>
        <w:t>) and Onion (</w:t>
      </w:r>
      <w:r w:rsidRPr="00552773">
        <w:rPr>
          <w:rFonts w:ascii="Arial" w:hAnsi="Arial" w:cs="Arial"/>
          <w:b/>
          <w:bCs/>
          <w:i/>
          <w:iCs/>
          <w:sz w:val="20"/>
          <w:szCs w:val="20"/>
        </w:rPr>
        <w:t>Allium cepa</w:t>
      </w:r>
      <w:r w:rsidRPr="00552773">
        <w:rPr>
          <w:rFonts w:ascii="Arial" w:hAnsi="Arial" w:cs="Arial"/>
          <w:b/>
          <w:bCs/>
          <w:sz w:val="20"/>
          <w:szCs w:val="20"/>
        </w:rPr>
        <w:t>)</w:t>
      </w:r>
    </w:p>
    <w:p w14:paraId="1C65AE07"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Garlic ('Ayo') and onion ('Saboulè') are ubiquitous condiments in the cuisine of the Tabligbo region. They are systematically integrated into the preparation of sauces. Although not identified as direct galactagogues, mothers believe their regular consumption contributes to overall "good health" and "blood purification"—conditions deemed indispensable for ensuring adequate lactation.</w:t>
      </w:r>
    </w:p>
    <w:p w14:paraId="03D2090E"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i) Oil Palm Fruit (</w:t>
      </w:r>
      <w:r w:rsidRPr="00552773">
        <w:rPr>
          <w:rFonts w:ascii="Arial" w:hAnsi="Arial" w:cs="Arial"/>
          <w:b/>
          <w:bCs/>
          <w:i/>
          <w:iCs/>
          <w:sz w:val="20"/>
          <w:szCs w:val="20"/>
        </w:rPr>
        <w:t>Elaeis guineensis</w:t>
      </w:r>
      <w:r w:rsidRPr="00552773">
        <w:rPr>
          <w:rFonts w:ascii="Arial" w:hAnsi="Arial" w:cs="Arial"/>
          <w:b/>
          <w:bCs/>
          <w:sz w:val="20"/>
          <w:szCs w:val="20"/>
        </w:rPr>
        <w:t>)</w:t>
      </w:r>
    </w:p>
    <w:p w14:paraId="2BB20EA4"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The oil palm nut, called 'Dékou', is used in two ways. The mesocarp (pulp) is used to prepare palm nut soup ('dékoudessi'), while the kernel is consumed whole, often accompanying boiled maize ('Abora'). The consumption of the soup is perceived as a means to produce richer, more unctuous breast milk, attributed to its high lipid content.</w:t>
      </w:r>
    </w:p>
    <w:p w14:paraId="68E87807"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lastRenderedPageBreak/>
        <w:t>j) Commercial Beer</w:t>
      </w:r>
    </w:p>
    <w:p w14:paraId="39518534"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A significant number of mothers reported the use of beer, often consumed warm ('bière chaude'), immediately after delivery to stimulate the onset of lactation (milk let-down). Although opinions diverged on the most effective brand, the consumption of beer, in general, was perceived as a facilitator for lactogenesis.</w:t>
      </w:r>
    </w:p>
    <w:p w14:paraId="076FDB82" w14:textId="77777777" w:rsidR="00552773" w:rsidRPr="00552773" w:rsidRDefault="00552773" w:rsidP="00552773">
      <w:pPr>
        <w:pStyle w:val="NormalWeb"/>
        <w:jc w:val="right"/>
        <w:rPr>
          <w:rFonts w:ascii="Arial" w:hAnsi="Arial" w:cs="Arial"/>
          <w:sz w:val="20"/>
          <w:szCs w:val="20"/>
        </w:rPr>
      </w:pPr>
      <w:r w:rsidRPr="00552773">
        <w:rPr>
          <w:rFonts w:ascii="Arial" w:hAnsi="Arial" w:cs="Arial"/>
          <w:b/>
          <w:bCs/>
          <w:sz w:val="20"/>
          <w:szCs w:val="20"/>
        </w:rPr>
        <w:t>k) Anchovies or Small Fish ('doèvi')</w:t>
      </w:r>
    </w:p>
    <w:p w14:paraId="6944C5DE"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Small forage fish, commonly known as 'doèvi' in Ewe, are valued for their contribution to milk production in lactating mothers. Whether smoked or dried, anchovies are among the most widely consumed fish in Togo. Some mothers specified their use within the palm nut soup.</w:t>
      </w:r>
    </w:p>
    <w:p w14:paraId="0E67C5F8" w14:textId="77777777" w:rsidR="00552773" w:rsidRPr="00552773" w:rsidRDefault="00552773" w:rsidP="00552773">
      <w:pPr>
        <w:pStyle w:val="Heading2"/>
        <w:jc w:val="right"/>
        <w:rPr>
          <w:rFonts w:ascii="Arial" w:hAnsi="Arial" w:cs="Arial"/>
          <w:color w:val="auto"/>
          <w:sz w:val="20"/>
          <w:szCs w:val="20"/>
        </w:rPr>
      </w:pPr>
      <w:r>
        <w:rPr>
          <w:rStyle w:val="Strong"/>
          <w:rFonts w:ascii="Arial" w:hAnsi="Arial" w:cs="Arial"/>
          <w:bCs w:val="0"/>
          <w:color w:val="auto"/>
          <w:sz w:val="20"/>
          <w:szCs w:val="20"/>
        </w:rPr>
        <w:t>3.2-</w:t>
      </w:r>
      <w:r w:rsidRPr="00552773">
        <w:rPr>
          <w:rStyle w:val="Strong"/>
          <w:rFonts w:ascii="Arial" w:hAnsi="Arial" w:cs="Arial"/>
          <w:bCs w:val="0"/>
          <w:color w:val="auto"/>
          <w:sz w:val="20"/>
          <w:szCs w:val="20"/>
        </w:rPr>
        <w:t>DISCUSSION</w:t>
      </w:r>
    </w:p>
    <w:p w14:paraId="3E227949"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This ethnobotanical and ethnonutritional study, conducted in Tabligbo, highlights the traditional knowledge and use of specific plants and foods to support lactation during the postpartum period. These practices, rooted in a rich cultural context, represent a first-line response to a universal maternal </w:t>
      </w:r>
      <w:proofErr w:type="gramStart"/>
      <w:r w:rsidRPr="00552773">
        <w:rPr>
          <w:rFonts w:ascii="Arial" w:hAnsi="Arial" w:cs="Arial"/>
          <w:sz w:val="20"/>
          <w:szCs w:val="20"/>
        </w:rPr>
        <w:t>concern:</w:t>
      </w:r>
      <w:proofErr w:type="gramEnd"/>
      <w:r w:rsidRPr="00552773">
        <w:rPr>
          <w:rFonts w:ascii="Arial" w:hAnsi="Arial" w:cs="Arial"/>
          <w:sz w:val="20"/>
          <w:szCs w:val="20"/>
        </w:rPr>
        <w:t xml:space="preserve"> perceived insufficient milk supply. Analyzing these practices against the backdrop of current scientific literature not only allows for the contextualization of this empirical knowledge but also helps in evaluating its public health relevance.</w:t>
      </w:r>
    </w:p>
    <w:p w14:paraId="4B93B638"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The ethnic diversity observed in this study is explained, on one hand, by the history of Tabligbo </w:t>
      </w:r>
      <w:proofErr w:type="gramStart"/>
      <w:r w:rsidRPr="00552773">
        <w:rPr>
          <w:rFonts w:ascii="Arial" w:hAnsi="Arial" w:cs="Arial"/>
          <w:sz w:val="20"/>
          <w:szCs w:val="20"/>
        </w:rPr>
        <w:t>as a</w:t>
      </w:r>
      <w:proofErr w:type="gramEnd"/>
      <w:r w:rsidRPr="00552773">
        <w:rPr>
          <w:rFonts w:ascii="Arial" w:hAnsi="Arial" w:cs="Arial"/>
          <w:sz w:val="20"/>
          <w:szCs w:val="20"/>
        </w:rPr>
        <w:t xml:space="preserve"> crossroads for several ethnic groups due to commerce (the large Tabligbo market being a major trading point for food products, especially cereals from this highly agricultural area) and, on the other hand, by its industrial significance. </w:t>
      </w:r>
      <w:r w:rsidRPr="00552773">
        <w:rPr>
          <w:rStyle w:val="citation-6"/>
          <w:rFonts w:ascii="Arial" w:hAnsi="Arial" w:cs="Arial"/>
          <w:sz w:val="20"/>
          <w:szCs w:val="20"/>
        </w:rPr>
        <w:t>Indeed, the city of Tabligbo is home to industrial extractive firms such as WACEM (West Africa Cement), Fortia, SCAN-TOGO, and others, which attract populations from other regions of Togo, West Africa, and even beyond.</w:t>
      </w:r>
      <w:r w:rsidRPr="00552773">
        <w:rPr>
          <w:rFonts w:ascii="Arial" w:hAnsi="Arial" w:cs="Arial"/>
          <w:sz w:val="20"/>
          <w:szCs w:val="20"/>
        </w:rPr>
        <w:t xml:space="preserve"> These factors make Tabligbo a melting pot of ethnonutritional knowledge from various ethnic groups.</w:t>
      </w:r>
    </w:p>
    <w:p w14:paraId="7CC24DDE"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Before analyzing specific </w:t>
      </w:r>
      <w:r w:rsidRPr="00552773">
        <w:rPr>
          <w:rStyle w:val="Strong"/>
          <w:rFonts w:ascii="Arial" w:hAnsi="Arial" w:cs="Arial"/>
          <w:b w:val="0"/>
          <w:sz w:val="20"/>
          <w:szCs w:val="20"/>
        </w:rPr>
        <w:t>galactagogues</w:t>
      </w:r>
      <w:r w:rsidRPr="00552773">
        <w:rPr>
          <w:rFonts w:ascii="Arial" w:hAnsi="Arial" w:cs="Arial"/>
          <w:sz w:val="20"/>
          <w:szCs w:val="20"/>
        </w:rPr>
        <w:t xml:space="preserve">, it is essential to recall the physiological mechanism of lactation. </w:t>
      </w:r>
      <w:r w:rsidRPr="00552773">
        <w:rPr>
          <w:rStyle w:val="citation-5"/>
          <w:rFonts w:ascii="Arial" w:hAnsi="Arial" w:cs="Arial"/>
          <w:sz w:val="20"/>
          <w:szCs w:val="20"/>
        </w:rPr>
        <w:t xml:space="preserve">The production of breast milk is a complex neuro-hormonal process, primarily regulated by two </w:t>
      </w:r>
      <w:proofErr w:type="gramStart"/>
      <w:r w:rsidRPr="00552773">
        <w:rPr>
          <w:rStyle w:val="citation-5"/>
          <w:rFonts w:ascii="Arial" w:hAnsi="Arial" w:cs="Arial"/>
          <w:sz w:val="20"/>
          <w:szCs w:val="20"/>
        </w:rPr>
        <w:t>hormones:</w:t>
      </w:r>
      <w:proofErr w:type="gramEnd"/>
      <w:r w:rsidRPr="00552773">
        <w:rPr>
          <w:rStyle w:val="citation-5"/>
          <w:rFonts w:ascii="Arial" w:hAnsi="Arial" w:cs="Arial"/>
          <w:sz w:val="20"/>
          <w:szCs w:val="20"/>
        </w:rPr>
        <w:t xml:space="preserve"> </w:t>
      </w:r>
      <w:r w:rsidRPr="00552773">
        <w:rPr>
          <w:rStyle w:val="citation-5"/>
          <w:rFonts w:ascii="Arial" w:hAnsi="Arial" w:cs="Arial"/>
          <w:bCs/>
          <w:sz w:val="20"/>
          <w:szCs w:val="20"/>
        </w:rPr>
        <w:t>prolactin</w:t>
      </w:r>
      <w:r w:rsidRPr="00552773">
        <w:rPr>
          <w:rStyle w:val="citation-5"/>
          <w:rFonts w:ascii="Arial" w:hAnsi="Arial" w:cs="Arial"/>
          <w:sz w:val="20"/>
          <w:szCs w:val="20"/>
        </w:rPr>
        <w:t xml:space="preserve"> and </w:t>
      </w:r>
      <w:r w:rsidRPr="00552773">
        <w:rPr>
          <w:rStyle w:val="citation-5"/>
          <w:rFonts w:ascii="Arial" w:hAnsi="Arial" w:cs="Arial"/>
          <w:bCs/>
          <w:sz w:val="20"/>
          <w:szCs w:val="20"/>
        </w:rPr>
        <w:t>oxytocin</w:t>
      </w:r>
      <w:r w:rsidRPr="00552773">
        <w:rPr>
          <w:rStyle w:val="citation-5"/>
          <w:rFonts w:ascii="Arial" w:hAnsi="Arial" w:cs="Arial"/>
          <w:sz w:val="20"/>
          <w:szCs w:val="20"/>
        </w:rPr>
        <w:t>.</w:t>
      </w:r>
      <w:r w:rsidRPr="00552773">
        <w:rPr>
          <w:rFonts w:ascii="Arial" w:hAnsi="Arial" w:cs="Arial"/>
          <w:sz w:val="20"/>
          <w:szCs w:val="20"/>
        </w:rPr>
        <w:t xml:space="preserve"> The infant's suckling at the nipple stimulates nerve endings that send a signal to the mother's pituitary gland. </w:t>
      </w:r>
      <w:r w:rsidRPr="00552773">
        <w:rPr>
          <w:rStyle w:val="citation-4"/>
          <w:rFonts w:ascii="Arial" w:hAnsi="Arial" w:cs="Arial"/>
          <w:sz w:val="20"/>
          <w:szCs w:val="20"/>
        </w:rPr>
        <w:t>In response, it releases prolactin, which acts on the alveolar cells of the mammary glands to synthesize milk, and oxytocin, which causes the contraction of the myoepithelial cells surrounding these alveoli, leading to milk ejection.</w:t>
      </w:r>
      <w:r w:rsidRPr="00552773">
        <w:rPr>
          <w:rFonts w:ascii="Arial" w:hAnsi="Arial" w:cs="Arial"/>
          <w:sz w:val="20"/>
          <w:szCs w:val="20"/>
        </w:rPr>
        <w:t xml:space="preserve"> This is known as the milk ejection reflex [Moberg &amp; Prime, 2013]. The frequency and effectiveness of suckling are therefore the most powerful stimulants of milk production : the more the baby nurses, the more milk the mother produces.</w:t>
      </w:r>
    </w:p>
    <w:p w14:paraId="45324173"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The importance of this process is paramount. </w:t>
      </w:r>
      <w:r w:rsidRPr="00552773">
        <w:rPr>
          <w:rStyle w:val="citation-3"/>
          <w:rFonts w:ascii="Arial" w:hAnsi="Arial" w:cs="Arial"/>
          <w:sz w:val="20"/>
          <w:szCs w:val="20"/>
        </w:rPr>
        <w:t xml:space="preserve">As recommended by the WHO and UNICEF, </w:t>
      </w:r>
      <w:r w:rsidRPr="00552773">
        <w:rPr>
          <w:rStyle w:val="citation-3"/>
          <w:rFonts w:ascii="Arial" w:hAnsi="Arial" w:cs="Arial"/>
          <w:bCs/>
          <w:sz w:val="20"/>
          <w:szCs w:val="20"/>
        </w:rPr>
        <w:t>exclusive breastfeeding</w:t>
      </w:r>
      <w:r w:rsidRPr="00552773">
        <w:rPr>
          <w:rStyle w:val="citation-3"/>
          <w:rFonts w:ascii="Arial" w:hAnsi="Arial" w:cs="Arial"/>
          <w:sz w:val="20"/>
          <w:szCs w:val="20"/>
        </w:rPr>
        <w:t xml:space="preserve"> for the first six months provides complete and perfectly adapted nutrition, immunological protection against numerous infections, and promotes optimal sensory and cognitive development for the child.</w:t>
      </w:r>
    </w:p>
    <w:p w14:paraId="34059FBC" w14:textId="77777777" w:rsidR="00552773" w:rsidRPr="00552773" w:rsidRDefault="00552773" w:rsidP="00552773">
      <w:pPr>
        <w:jc w:val="both"/>
        <w:rPr>
          <w:rFonts w:ascii="Arial" w:hAnsi="Arial" w:cs="Arial"/>
        </w:rPr>
      </w:pPr>
      <w:r w:rsidRPr="00552773">
        <w:rPr>
          <w:rFonts w:ascii="Arial" w:hAnsi="Arial" w:cs="Arial"/>
        </w:rPr>
        <w:t>For the mother, it accelerates postpartum uterine involution, reduces the risks of certain cancers (breast, ovarian), and strengthens the emotional bond with her child [Victora et al., 2016].</w:t>
      </w:r>
    </w:p>
    <w:p w14:paraId="56CDC9A9"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lastRenderedPageBreak/>
        <w:t xml:space="preserve">The findings of this survey in Tabligbo, though not detailed here, align with a trend observed across West Africa. The use of plants such as </w:t>
      </w:r>
      <w:r w:rsidRPr="00552773">
        <w:rPr>
          <w:rStyle w:val="Emphasis"/>
          <w:rFonts w:ascii="Arial" w:hAnsi="Arial" w:cs="Arial"/>
          <w:sz w:val="20"/>
          <w:szCs w:val="20"/>
        </w:rPr>
        <w:t>Moringa oleifera</w:t>
      </w:r>
      <w:r w:rsidRPr="00552773">
        <w:rPr>
          <w:rFonts w:ascii="Arial" w:hAnsi="Arial" w:cs="Arial"/>
          <w:sz w:val="20"/>
          <w:szCs w:val="20"/>
        </w:rPr>
        <w:t xml:space="preserve"> and </w:t>
      </w:r>
      <w:r w:rsidRPr="00552773">
        <w:rPr>
          <w:rStyle w:val="Emphasis"/>
          <w:rFonts w:ascii="Arial" w:hAnsi="Arial" w:cs="Arial"/>
          <w:sz w:val="20"/>
          <w:szCs w:val="20"/>
        </w:rPr>
        <w:t>Vernonia amygdalina</w:t>
      </w:r>
      <w:r w:rsidRPr="00552773">
        <w:rPr>
          <w:rFonts w:ascii="Arial" w:hAnsi="Arial" w:cs="Arial"/>
          <w:sz w:val="20"/>
          <w:szCs w:val="20"/>
        </w:rPr>
        <w:t xml:space="preserve"> is frequently reported, in addition to foods like porridge.</w:t>
      </w:r>
    </w:p>
    <w:p w14:paraId="2FBE347C"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Regarding the millet or sorghum </w:t>
      </w:r>
      <w:r w:rsidRPr="00552773">
        <w:rPr>
          <w:rStyle w:val="Strong"/>
          <w:rFonts w:ascii="Arial" w:hAnsi="Arial" w:cs="Arial"/>
          <w:b w:val="0"/>
          <w:sz w:val="20"/>
          <w:szCs w:val="20"/>
        </w:rPr>
        <w:t>'</w:t>
      </w:r>
      <w:r w:rsidRPr="00552773">
        <w:rPr>
          <w:rStyle w:val="Strong"/>
          <w:rFonts w:ascii="Arial" w:hAnsi="Arial" w:cs="Arial"/>
          <w:b w:val="0"/>
          <w:i/>
          <w:sz w:val="20"/>
          <w:szCs w:val="20"/>
        </w:rPr>
        <w:t>koko'</w:t>
      </w:r>
      <w:r w:rsidRPr="00552773">
        <w:rPr>
          <w:rStyle w:val="Strong"/>
          <w:rFonts w:ascii="Arial" w:hAnsi="Arial" w:cs="Arial"/>
          <w:b w:val="0"/>
          <w:sz w:val="20"/>
          <w:szCs w:val="20"/>
        </w:rPr>
        <w:t xml:space="preserve"> porridge</w:t>
      </w:r>
      <w:r w:rsidRPr="00552773">
        <w:rPr>
          <w:rFonts w:ascii="Arial" w:hAnsi="Arial" w:cs="Arial"/>
          <w:b/>
          <w:sz w:val="20"/>
          <w:szCs w:val="20"/>
        </w:rPr>
        <w:t>,</w:t>
      </w:r>
      <w:r w:rsidRPr="00552773">
        <w:rPr>
          <w:rFonts w:ascii="Arial" w:hAnsi="Arial" w:cs="Arial"/>
          <w:sz w:val="20"/>
          <w:szCs w:val="20"/>
        </w:rPr>
        <w:t xml:space="preserve"> which is highly favored by mothers, its perceived effectiveness can be logically explained by a dual, fundamental contribution to lactation.</w:t>
      </w:r>
    </w:p>
    <w:p w14:paraId="2EF03597" w14:textId="77777777" w:rsidR="00552773" w:rsidRPr="00552773" w:rsidRDefault="00552773" w:rsidP="00552773">
      <w:pPr>
        <w:spacing w:before="100" w:beforeAutospacing="1" w:after="100" w:afterAutospacing="1"/>
        <w:ind w:left="360"/>
        <w:jc w:val="both"/>
        <w:rPr>
          <w:rFonts w:ascii="Arial" w:hAnsi="Arial" w:cs="Arial"/>
        </w:rPr>
      </w:pPr>
      <w:r w:rsidRPr="00552773">
        <w:rPr>
          <w:rStyle w:val="citation-2"/>
          <w:rFonts w:ascii="Arial" w:hAnsi="Arial" w:cs="Arial"/>
          <w:b/>
          <w:bCs/>
        </w:rPr>
        <w:t>Hydration:</w:t>
      </w:r>
      <w:r w:rsidRPr="00552773">
        <w:rPr>
          <w:rStyle w:val="citation-2"/>
          <w:rFonts w:ascii="Arial" w:hAnsi="Arial" w:cs="Arial"/>
        </w:rPr>
        <w:t xml:space="preserve"> It provides a major fluid intake, as a porridge is primarily composed of water, and adequate maternal hydration is recognized as an essential condition for optimal milk production [Standing Committee on the Scientific Evaluation of Dietary Reference Intakes, 2005].</w:t>
      </w:r>
    </w:p>
    <w:p w14:paraId="5044B2B4" w14:textId="77777777" w:rsidR="00552773" w:rsidRPr="00552773" w:rsidRDefault="00552773" w:rsidP="00552773">
      <w:pPr>
        <w:spacing w:before="100" w:beforeAutospacing="1" w:after="100" w:afterAutospacing="1"/>
        <w:ind w:left="360"/>
        <w:jc w:val="both"/>
        <w:rPr>
          <w:rFonts w:ascii="Arial" w:hAnsi="Arial" w:cs="Arial"/>
        </w:rPr>
      </w:pPr>
      <w:r w:rsidRPr="00552773">
        <w:rPr>
          <w:rStyle w:val="citation-1"/>
          <w:rFonts w:ascii="Arial" w:hAnsi="Arial" w:cs="Arial"/>
          <w:b/>
          <w:bCs/>
        </w:rPr>
        <w:t>Energy and Nutrients:</w:t>
      </w:r>
      <w:r w:rsidRPr="00552773">
        <w:rPr>
          <w:rStyle w:val="citation-1"/>
          <w:rFonts w:ascii="Arial" w:hAnsi="Arial" w:cs="Arial"/>
        </w:rPr>
        <w:t xml:space="preserve"> 'Koko' porridge offers a substantial caloric and carbohydrate intake to support the energetic cost of lactation, estimated at approximately 500 kcal/day [Kominiarek &amp; Rajan, 2016].</w:t>
      </w:r>
      <w:r w:rsidRPr="00552773">
        <w:rPr>
          <w:rFonts w:ascii="Arial" w:hAnsi="Arial" w:cs="Arial"/>
        </w:rPr>
        <w:t xml:space="preserve"> </w:t>
      </w:r>
      <w:r w:rsidRPr="00552773">
        <w:rPr>
          <w:rStyle w:val="citation-0"/>
          <w:rFonts w:ascii="Arial" w:hAnsi="Arial" w:cs="Arial"/>
        </w:rPr>
        <w:t>Indeed, millet and sorghum are cereals rich in carbohydrates but also provide significant amounts of trace elements like iron and magnesium [Dykes &amp; Rooney, 2006].</w:t>
      </w:r>
    </w:p>
    <w:p w14:paraId="76887CDA" w14:textId="77777777" w:rsidR="00552773" w:rsidRPr="00552773" w:rsidRDefault="00552773" w:rsidP="00552773">
      <w:pPr>
        <w:spacing w:before="100" w:beforeAutospacing="1" w:after="100" w:afterAutospacing="1"/>
        <w:ind w:left="360"/>
        <w:jc w:val="both"/>
        <w:rPr>
          <w:rFonts w:ascii="Arial" w:hAnsi="Arial" w:cs="Arial"/>
        </w:rPr>
      </w:pPr>
      <w:r w:rsidRPr="00552773">
        <w:rPr>
          <w:rStyle w:val="Strong"/>
          <w:rFonts w:ascii="Arial" w:hAnsi="Arial" w:cs="Arial"/>
        </w:rPr>
        <w:t>Psychological Comfort:</w:t>
      </w:r>
      <w:r w:rsidRPr="00552773">
        <w:rPr>
          <w:rFonts w:ascii="Arial" w:hAnsi="Arial" w:cs="Arial"/>
        </w:rPr>
        <w:t xml:space="preserve"> Lastly, it can be a source of comfort and warmth ("comfort food"), which may promote a state of relaxation and the release of oxytocin, the hormone that facilitates the milk ejection reflex [Moberg &amp; Prime, 2013].</w:t>
      </w:r>
    </w:p>
    <w:p w14:paraId="6D2AB2C0"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Regarding peanuts (</w:t>
      </w:r>
      <w:r w:rsidRPr="00552773">
        <w:rPr>
          <w:rFonts w:ascii="Arial" w:hAnsi="Arial" w:cs="Arial"/>
          <w:i/>
          <w:iCs/>
          <w:sz w:val="20"/>
          <w:szCs w:val="20"/>
        </w:rPr>
        <w:t>Arachis hypogaea</w:t>
      </w:r>
      <w:r w:rsidRPr="00552773">
        <w:rPr>
          <w:rFonts w:ascii="Arial" w:hAnsi="Arial" w:cs="Arial"/>
          <w:sz w:val="20"/>
          <w:szCs w:val="20"/>
        </w:rPr>
        <w:t>), the perception reported by many mothers of "heavier and more nourishing" milk finds a plausible explanation in the biochemical composition of this legume. On one hand, the nutritional richness of peanuts, an oleaginous seed endowed with numerous fatty acids, directly influences the lipid composition of breast milk [Bravi et al., 2016]. It is these lipids, whose profile varies according to the maternal diet, that likely create the perception of "heavier and more nourishing milk." On the other hand, peanuts contain several essential amino acids [Arya et al., 2016]. These lipids and proteins directly provide the necessary precursors for the synthesis of more energy-dense breast milk, which can indeed increase infant satiety [Bravi et al., 2016].</w:t>
      </w:r>
    </w:p>
    <w:p w14:paraId="1A185DD3"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 xml:space="preserve">As a plant of interest mentioned in our introduction, </w:t>
      </w:r>
      <w:r w:rsidRPr="00552773">
        <w:rPr>
          <w:rFonts w:ascii="Arial" w:hAnsi="Arial" w:cs="Arial"/>
          <w:i/>
          <w:iCs/>
          <w:sz w:val="20"/>
          <w:szCs w:val="20"/>
        </w:rPr>
        <w:t>Moringa oleifera</w:t>
      </w:r>
      <w:r w:rsidRPr="00552773">
        <w:rPr>
          <w:rFonts w:ascii="Arial" w:hAnsi="Arial" w:cs="Arial"/>
          <w:sz w:val="20"/>
          <w:szCs w:val="20"/>
        </w:rPr>
        <w:t xml:space="preserve"> (often called the "tree of life") is arguably one of the most thoroughly studied traditional galactagogues. Several clinical studies have demonstrated its efficacy. A meta-analysis concluded that consumption of </w:t>
      </w:r>
      <w:r w:rsidRPr="00552773">
        <w:rPr>
          <w:rFonts w:ascii="Arial" w:hAnsi="Arial" w:cs="Arial"/>
          <w:i/>
          <w:iCs/>
          <w:sz w:val="20"/>
          <w:szCs w:val="20"/>
        </w:rPr>
        <w:t>Moringa</w:t>
      </w:r>
      <w:r w:rsidRPr="00552773">
        <w:rPr>
          <w:rFonts w:ascii="Arial" w:hAnsi="Arial" w:cs="Arial"/>
          <w:sz w:val="20"/>
          <w:szCs w:val="20"/>
        </w:rPr>
        <w:t xml:space="preserve"> by lactating mothers significantly increases breast milk volume, particularly during the early postpartum days, with no reported adverse effects for the mother or child [King et al., 2013]. Its effects may be attributed not only to its exceptional nutritional profile (protein, vitamins A and C, calcium, iron), which supports the mother's nutritional status, but also to a possible direct pharmacological action on elevating prolactin levels [Bazzano et al., 2016].</w:t>
      </w:r>
    </w:p>
    <w:p w14:paraId="33D414AF" w14:textId="77777777" w:rsidR="00552773" w:rsidRPr="00552773" w:rsidRDefault="00552773" w:rsidP="00552773">
      <w:pPr>
        <w:pStyle w:val="NormalWeb"/>
        <w:jc w:val="both"/>
        <w:rPr>
          <w:rFonts w:ascii="Arial" w:hAnsi="Arial" w:cs="Arial"/>
          <w:sz w:val="20"/>
          <w:szCs w:val="20"/>
        </w:rPr>
      </w:pPr>
      <w:r w:rsidRPr="00552773">
        <w:rPr>
          <w:rFonts w:ascii="Arial" w:hAnsi="Arial" w:cs="Arial"/>
          <w:i/>
          <w:iCs/>
          <w:sz w:val="20"/>
          <w:szCs w:val="20"/>
        </w:rPr>
        <w:t>Vernonia amygdalina</w:t>
      </w:r>
      <w:r w:rsidRPr="00552773">
        <w:rPr>
          <w:rFonts w:ascii="Arial" w:hAnsi="Arial" w:cs="Arial"/>
          <w:sz w:val="20"/>
          <w:szCs w:val="20"/>
        </w:rPr>
        <w:t xml:space="preserve">, a plant known for its bitterness and widespread use in traditional pharmacopoeia, is also cited for its galactogenic properties. However, the direct scientific evidence for this property is less robust than that for </w:t>
      </w:r>
      <w:r w:rsidRPr="00552773">
        <w:rPr>
          <w:rFonts w:ascii="Arial" w:hAnsi="Arial" w:cs="Arial"/>
          <w:i/>
          <w:iCs/>
          <w:sz w:val="20"/>
          <w:szCs w:val="20"/>
        </w:rPr>
        <w:t>Moringa</w:t>
      </w:r>
      <w:r w:rsidRPr="00552773">
        <w:rPr>
          <w:rFonts w:ascii="Arial" w:hAnsi="Arial" w:cs="Arial"/>
          <w:sz w:val="20"/>
          <w:szCs w:val="20"/>
        </w:rPr>
        <w:t xml:space="preserve">. Studies in animal models suggest that </w:t>
      </w:r>
      <w:r w:rsidRPr="00552773">
        <w:rPr>
          <w:rFonts w:ascii="Arial" w:hAnsi="Arial" w:cs="Arial"/>
          <w:i/>
          <w:iCs/>
          <w:sz w:val="20"/>
          <w:szCs w:val="20"/>
        </w:rPr>
        <w:t>Vernonia amygdalina</w:t>
      </w:r>
      <w:r w:rsidRPr="00552773">
        <w:rPr>
          <w:rFonts w:ascii="Arial" w:hAnsi="Arial" w:cs="Arial"/>
          <w:sz w:val="20"/>
          <w:szCs w:val="20"/>
        </w:rPr>
        <w:t xml:space="preserve"> extracts could positively influence hormonal parameters related to lactation [Chike et al., 2018]. The plant's phytochemical compounds, particularly saponins and flavonoids, may play a role in hormonal modulation. Nevertheless, its action could be indirect, improving the mother's general health status through its well-documented antioxidant and anti-inflammatory properties [Alara &amp; Abdurahman, 2021].</w:t>
      </w:r>
    </w:p>
    <w:p w14:paraId="6A2A5DC8"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lastRenderedPageBreak/>
        <w:t>Baobab (</w:t>
      </w:r>
      <w:r w:rsidRPr="00552773">
        <w:rPr>
          <w:rFonts w:ascii="Arial" w:hAnsi="Arial" w:cs="Arial"/>
          <w:i/>
          <w:iCs/>
          <w:sz w:val="20"/>
          <w:szCs w:val="20"/>
        </w:rPr>
        <w:t>Adansonia digitata</w:t>
      </w:r>
      <w:r w:rsidRPr="00552773">
        <w:rPr>
          <w:rFonts w:ascii="Arial" w:hAnsi="Arial" w:cs="Arial"/>
          <w:sz w:val="20"/>
          <w:szCs w:val="20"/>
        </w:rPr>
        <w:t xml:space="preserve">) leaves and seeds, cited by 22.7% of the women, make a remarkable contribution due to their high micronutrient density. The fruit pulp is exceptionally rich in vitamin C, calcium, and potassium, and the leaves are a good source of protein and minerals [Chadare et al., 2008]. Although there is no direct evidence of its galactogenic effect, such a nutritional intake robustly supports maternal health, a </w:t>
      </w:r>
      <w:r w:rsidRPr="00552773">
        <w:rPr>
          <w:rFonts w:ascii="Arial" w:hAnsi="Arial" w:cs="Arial"/>
          <w:i/>
          <w:iCs/>
          <w:sz w:val="20"/>
          <w:szCs w:val="20"/>
        </w:rPr>
        <w:t>sine qua non</w:t>
      </w:r>
      <w:r w:rsidRPr="00552773">
        <w:rPr>
          <w:rFonts w:ascii="Arial" w:hAnsi="Arial" w:cs="Arial"/>
          <w:sz w:val="20"/>
          <w:szCs w:val="20"/>
        </w:rPr>
        <w:t xml:space="preserve"> for effective lactation.</w:t>
      </w:r>
    </w:p>
    <w:p w14:paraId="765CA42F"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Condiments such as garlic (</w:t>
      </w:r>
      <w:r w:rsidRPr="00552773">
        <w:rPr>
          <w:rFonts w:ascii="Arial" w:hAnsi="Arial" w:cs="Arial"/>
          <w:i/>
          <w:iCs/>
          <w:sz w:val="20"/>
          <w:szCs w:val="20"/>
        </w:rPr>
        <w:t>Allium sativum</w:t>
      </w:r>
      <w:r w:rsidRPr="00552773">
        <w:rPr>
          <w:rFonts w:ascii="Arial" w:hAnsi="Arial" w:cs="Arial"/>
          <w:sz w:val="20"/>
          <w:szCs w:val="20"/>
        </w:rPr>
        <w:t>) and ginger (</w:t>
      </w:r>
      <w:r w:rsidRPr="00552773">
        <w:rPr>
          <w:rFonts w:ascii="Arial" w:hAnsi="Arial" w:cs="Arial"/>
          <w:i/>
          <w:iCs/>
          <w:sz w:val="20"/>
          <w:szCs w:val="20"/>
        </w:rPr>
        <w:t>Zingiber officinale</w:t>
      </w:r>
      <w:r w:rsidRPr="00552773">
        <w:rPr>
          <w:rFonts w:ascii="Arial" w:hAnsi="Arial" w:cs="Arial"/>
          <w:sz w:val="20"/>
          <w:szCs w:val="20"/>
        </w:rPr>
        <w:t xml:space="preserve">) are used as general tonics. For garlic, science proposes a fascinating </w:t>
      </w:r>
      <w:r w:rsidR="00D06180" w:rsidRPr="00552773">
        <w:rPr>
          <w:rFonts w:ascii="Arial" w:hAnsi="Arial" w:cs="Arial"/>
          <w:sz w:val="20"/>
          <w:szCs w:val="20"/>
        </w:rPr>
        <w:t>mechanism :</w:t>
      </w:r>
      <w:r w:rsidRPr="00552773">
        <w:rPr>
          <w:rFonts w:ascii="Arial" w:hAnsi="Arial" w:cs="Arial"/>
          <w:sz w:val="20"/>
          <w:szCs w:val="20"/>
        </w:rPr>
        <w:t xml:space="preserve"> studies have shown that the odor of garlic can transfer into breast milk and encourage the infant to nurse longer and more vigorously [Mennella &amp; Beauchamp, 1991]. This increased nipple stimulation is the most potent signal for boosting prolactin production and, consequently, milk volume. Ginger, for its part, is renowned for its anti-inflammatory and toning properties. Although evidence for its direct galactogenic action is mixed, some studies suggest an increase in milk volume in the early postpartum days [Paritakul et al., 2016]. Its role may be to enhance the mother's overall well-being, reducing fatigue and thereby promoting lactation.</w:t>
      </w:r>
    </w:p>
    <w:p w14:paraId="5B1399CE"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Lipid sources such as maize (</w:t>
      </w:r>
      <w:r w:rsidRPr="00552773">
        <w:rPr>
          <w:rFonts w:ascii="Arial" w:hAnsi="Arial" w:cs="Arial"/>
          <w:i/>
          <w:iCs/>
          <w:sz w:val="20"/>
          <w:szCs w:val="20"/>
        </w:rPr>
        <w:t>Zea mays</w:t>
      </w:r>
      <w:r w:rsidRPr="00552773">
        <w:rPr>
          <w:rFonts w:ascii="Arial" w:hAnsi="Arial" w:cs="Arial"/>
          <w:sz w:val="20"/>
          <w:szCs w:val="20"/>
        </w:rPr>
        <w:t>) and palm nuts (</w:t>
      </w:r>
      <w:r w:rsidRPr="00552773">
        <w:rPr>
          <w:rFonts w:ascii="Arial" w:hAnsi="Arial" w:cs="Arial"/>
          <w:i/>
          <w:iCs/>
          <w:sz w:val="20"/>
          <w:szCs w:val="20"/>
        </w:rPr>
        <w:t xml:space="preserve">Elaeis </w:t>
      </w:r>
      <w:r w:rsidR="00D06180" w:rsidRPr="00552773">
        <w:rPr>
          <w:rFonts w:ascii="Arial" w:hAnsi="Arial" w:cs="Arial"/>
          <w:i/>
          <w:iCs/>
          <w:sz w:val="20"/>
          <w:szCs w:val="20"/>
        </w:rPr>
        <w:t>guineensis</w:t>
      </w:r>
      <w:r w:rsidR="00D06180" w:rsidRPr="00552773">
        <w:rPr>
          <w:rFonts w:ascii="Arial" w:hAnsi="Arial" w:cs="Arial"/>
          <w:sz w:val="20"/>
          <w:szCs w:val="20"/>
        </w:rPr>
        <w:t>) —</w:t>
      </w:r>
      <w:r w:rsidRPr="00552773">
        <w:rPr>
          <w:rFonts w:ascii="Arial" w:hAnsi="Arial" w:cs="Arial"/>
          <w:sz w:val="20"/>
          <w:szCs w:val="20"/>
        </w:rPr>
        <w:t xml:space="preserve">with maize consumed as </w:t>
      </w:r>
      <w:proofErr w:type="gramStart"/>
      <w:r w:rsidRPr="00552773">
        <w:rPr>
          <w:rFonts w:ascii="Arial" w:hAnsi="Arial" w:cs="Arial"/>
          <w:sz w:val="20"/>
          <w:szCs w:val="20"/>
        </w:rPr>
        <w:t>a</w:t>
      </w:r>
      <w:proofErr w:type="gramEnd"/>
      <w:r w:rsidRPr="00552773">
        <w:rPr>
          <w:rFonts w:ascii="Arial" w:hAnsi="Arial" w:cs="Arial"/>
          <w:sz w:val="20"/>
          <w:szCs w:val="20"/>
        </w:rPr>
        <w:t xml:space="preserve"> paste (Akoumé), porridge, or abora, and palm nut-based sauce—are perceived as sources of energy and "richness" for the milk. The palm nut, being very rich in lipids and vitamin E, directly contributes to the caloric content of breast milk, corroborating the mothers' perception of a "creamier" milk [Bravi et al., 2016]. Maize, as a staple cereal, provides the essential carbohydrate energy required to support the metabolic demands of lactation.</w:t>
      </w:r>
    </w:p>
    <w:p w14:paraId="1A00620F" w14:textId="77777777" w:rsidR="00552773" w:rsidRPr="00552773" w:rsidRDefault="00552773" w:rsidP="00552773">
      <w:pPr>
        <w:pStyle w:val="NormalWeb"/>
        <w:jc w:val="both"/>
        <w:rPr>
          <w:rFonts w:ascii="Arial" w:hAnsi="Arial" w:cs="Arial"/>
          <w:sz w:val="20"/>
          <w:szCs w:val="20"/>
        </w:rPr>
      </w:pPr>
      <w:r w:rsidRPr="00552773">
        <w:rPr>
          <w:rFonts w:ascii="Arial" w:hAnsi="Arial" w:cs="Arial"/>
          <w:sz w:val="20"/>
          <w:szCs w:val="20"/>
        </w:rPr>
        <w:t>Other potential galactagogues were reported, such as dates (</w:t>
      </w:r>
      <w:r w:rsidRPr="00552773">
        <w:rPr>
          <w:rFonts w:ascii="Arial" w:hAnsi="Arial" w:cs="Arial"/>
          <w:i/>
          <w:iCs/>
          <w:sz w:val="20"/>
          <w:szCs w:val="20"/>
        </w:rPr>
        <w:t>Phoenix dactylifera</w:t>
      </w:r>
      <w:r w:rsidRPr="00552773">
        <w:rPr>
          <w:rFonts w:ascii="Arial" w:hAnsi="Arial" w:cs="Arial"/>
          <w:sz w:val="20"/>
          <w:szCs w:val="20"/>
        </w:rPr>
        <w:t>), fenugreek (</w:t>
      </w:r>
      <w:r w:rsidRPr="00552773">
        <w:rPr>
          <w:rFonts w:ascii="Arial" w:hAnsi="Arial" w:cs="Arial"/>
          <w:i/>
          <w:iCs/>
          <w:sz w:val="20"/>
          <w:szCs w:val="20"/>
        </w:rPr>
        <w:t>Trigonella foenum-graecum</w:t>
      </w:r>
      <w:r w:rsidRPr="00552773">
        <w:rPr>
          <w:rFonts w:ascii="Arial" w:hAnsi="Arial" w:cs="Arial"/>
          <w:sz w:val="20"/>
          <w:szCs w:val="20"/>
        </w:rPr>
        <w:t xml:space="preserve">), and certain yam varieties, which are recognized as galactagogues in various cultures. The date fruit, for example, has demonstrated in some studies its ability to enhance milk production, potentially by acting on prolactin levels and providing a source of energy and essential nutrients [Al-Shahib &amp; Marshall, 2003]. These foods often share a common </w:t>
      </w:r>
      <w:r w:rsidR="00D06180" w:rsidRPr="00552773">
        <w:rPr>
          <w:rFonts w:ascii="Arial" w:hAnsi="Arial" w:cs="Arial"/>
          <w:sz w:val="20"/>
          <w:szCs w:val="20"/>
        </w:rPr>
        <w:t>characteristic :</w:t>
      </w:r>
      <w:r w:rsidRPr="00552773">
        <w:rPr>
          <w:rFonts w:ascii="Arial" w:hAnsi="Arial" w:cs="Arial"/>
          <w:sz w:val="20"/>
          <w:szCs w:val="20"/>
        </w:rPr>
        <w:t xml:space="preserve"> they are dense in nutrients, calories, and fluids—fundamental elements for supporting the high energy expenditure of lactation.</w:t>
      </w:r>
    </w:p>
    <w:p w14:paraId="1BBE9458" w14:textId="77777777" w:rsidR="00552773" w:rsidRPr="00F90DB8" w:rsidRDefault="00552773" w:rsidP="00552773">
      <w:pPr>
        <w:spacing w:before="100" w:beforeAutospacing="1" w:after="100" w:afterAutospacing="1"/>
        <w:jc w:val="both"/>
        <w:rPr>
          <w:rFonts w:ascii="Arial" w:hAnsi="Arial" w:cs="Arial"/>
          <w:lang w:eastAsia="fr-FR"/>
        </w:rPr>
      </w:pPr>
      <w:r w:rsidRPr="00F90DB8">
        <w:rPr>
          <w:rFonts w:ascii="Arial" w:hAnsi="Arial" w:cs="Arial"/>
          <w:lang w:eastAsia="fr-FR"/>
        </w:rPr>
        <w:t>Human milk synthesis is a remarkable biochemical process orchestrated by complex mechanisms within the mammary gland, utilizing nutrients derived from the maternal diet. The primary constituents of milk—water, carbohydrates (predominantly lactose), lipids, and proteins—are synthesized from precursors absorbed in the maternal intestine and transported via the bloodstream [Neville, 2001]. Amino acids are assembled to form specific milk proteins (caseins, α-lactalbumin, immunoglobulins), while fatty acids are converted into triglycerides to form the lipid component. Lactose, the milk-specific disaccharide, is synthesized from glucose and galactose by the enzyme lactose synthase [Ballard et al., 2013]. This process is considerably energy-intensive, increasing the mother's caloric requirements by approximately 500 kcal/day [Kominiarek et al., 2016].</w:t>
      </w:r>
    </w:p>
    <w:p w14:paraId="794DC4F7" w14:textId="77777777" w:rsidR="00552773" w:rsidRPr="00F90DB8" w:rsidRDefault="00552773" w:rsidP="00552773">
      <w:pPr>
        <w:spacing w:before="100" w:beforeAutospacing="1" w:after="100" w:afterAutospacing="1"/>
        <w:jc w:val="both"/>
        <w:rPr>
          <w:rFonts w:ascii="Arial" w:hAnsi="Arial" w:cs="Arial"/>
          <w:lang w:eastAsia="fr-FR"/>
        </w:rPr>
      </w:pPr>
      <w:r w:rsidRPr="00F90DB8">
        <w:rPr>
          <w:rFonts w:ascii="Arial" w:hAnsi="Arial" w:cs="Arial"/>
          <w:lang w:eastAsia="fr-FR"/>
        </w:rPr>
        <w:t xml:space="preserve">The link between so-called "galactogenic" foods (galactagogues) and increased milk production in lactating mothers lies in their capacity to influence these biochemical and hormonal mechanisms [Bazzano et al., 2016]. These foods (such as millet, maize, moringa [Estrella et al., 2000; Espinosa-Kuo, 2005], baobab leaves, and anchovies) are reputed to stimulate the production of prolactin, the key hormone for lactation, by acting on specific receptors or by supplying precursors that enhance its activity. Some may also contain phytoestrogens that mimic the action of estrogen, playing a role in stimulating lactation, although their precise mechanism of action is still under investigation [Bazzano et al., 2016; Estrella et al., 2000]. More simply, they may provide essential nutrients (vitamins, minerals, </w:t>
      </w:r>
      <w:r w:rsidRPr="00F90DB8">
        <w:rPr>
          <w:rFonts w:ascii="Arial" w:hAnsi="Arial" w:cs="Arial"/>
          <w:lang w:eastAsia="fr-FR"/>
        </w:rPr>
        <w:lastRenderedPageBreak/>
        <w:t>calories) that support the mother's overall nutritional status, an indispensable condition for efficient milk production [Kominiarek et al., 2016]. Thus, by supplying the necessary building blocks and positively influencing hormonal regulation, these foods can indirectly contribute to a more abundant milk synthesis.</w:t>
      </w:r>
    </w:p>
    <w:p w14:paraId="378A1F22" w14:textId="77777777" w:rsidR="00552773" w:rsidRPr="00F90DB8" w:rsidRDefault="00552773" w:rsidP="00552773">
      <w:pPr>
        <w:spacing w:before="100" w:beforeAutospacing="1" w:after="100" w:afterAutospacing="1"/>
        <w:jc w:val="both"/>
        <w:rPr>
          <w:rFonts w:ascii="Arial" w:hAnsi="Arial" w:cs="Arial"/>
          <w:lang w:eastAsia="fr-FR"/>
        </w:rPr>
      </w:pPr>
      <w:r w:rsidRPr="00F90DB8">
        <w:rPr>
          <w:rFonts w:ascii="Arial" w:hAnsi="Arial" w:cs="Arial"/>
          <w:lang w:eastAsia="fr-FR"/>
        </w:rPr>
        <w:t>The survey conducted in Tabligbo reveals deep-rooted practices and a strong confidence among women in these traditional remedies. However, as highlighted in our introduction, this knowledge remains largely empirical, and its oral transmission can lead to variations in dosages, preparation methods, and the species used, raising questions of efficacy and safety.</w:t>
      </w:r>
    </w:p>
    <w:p w14:paraId="48D9284D" w14:textId="77777777" w:rsidR="00552773" w:rsidRPr="00F90DB8" w:rsidRDefault="00552773" w:rsidP="00552773">
      <w:pPr>
        <w:spacing w:before="100" w:beforeAutospacing="1" w:after="100" w:afterAutospacing="1"/>
        <w:jc w:val="both"/>
        <w:rPr>
          <w:rFonts w:ascii="Arial" w:hAnsi="Arial" w:cs="Arial"/>
          <w:lang w:eastAsia="fr-FR"/>
        </w:rPr>
      </w:pPr>
      <w:r w:rsidRPr="00F90DB8">
        <w:rPr>
          <w:rFonts w:ascii="Arial" w:hAnsi="Arial" w:cs="Arial"/>
          <w:lang w:eastAsia="fr-FR"/>
        </w:rPr>
        <w:t>Therefore, bridging the gap between local knowledge and scientific evidence is a crucial step. This approach allows for the identification of potentially beneficial practices that warrant more in-depth study. The scientific validation of the efficacy and safety of these traditional galactagogues could enable their safe integration into nutritional counseling for new mothers. Such an approach, which values local cultural heritage while ensuring health safety, would be a major asset for breastfeeding promotion programs in Togo. It would meet the needs of mothers seeking solutions to overcome breastfeeding challenges, while preventing the premature and unwarranted use of breast-milk substitutes.</w:t>
      </w:r>
    </w:p>
    <w:p w14:paraId="4DEC00B7" w14:textId="77777777" w:rsidR="00552773" w:rsidRPr="00F90DB8" w:rsidRDefault="00552773" w:rsidP="00552773">
      <w:pPr>
        <w:spacing w:before="100" w:beforeAutospacing="1" w:after="100" w:afterAutospacing="1"/>
        <w:jc w:val="both"/>
        <w:rPr>
          <w:rFonts w:ascii="Arial" w:hAnsi="Arial" w:cs="Arial"/>
          <w:lang w:eastAsia="fr-FR"/>
        </w:rPr>
      </w:pPr>
      <w:r w:rsidRPr="00F90DB8">
        <w:rPr>
          <w:rFonts w:ascii="Arial" w:hAnsi="Arial" w:cs="Arial"/>
          <w:lang w:eastAsia="fr-FR"/>
        </w:rPr>
        <w:t xml:space="preserve">In conclusion, while neuro-hormonal stimulation from suckling remains the cornerstone of lactation, the traditional approach of using galactogenic foods and plants in Tabligbo finds favorable support in the scientific literature for certain species such as </w:t>
      </w:r>
      <w:r w:rsidRPr="00F90DB8">
        <w:rPr>
          <w:rFonts w:ascii="Arial" w:hAnsi="Arial" w:cs="Arial"/>
          <w:i/>
          <w:iCs/>
          <w:lang w:eastAsia="fr-FR"/>
        </w:rPr>
        <w:t>Moringa oleifera</w:t>
      </w:r>
      <w:r w:rsidRPr="00F90DB8">
        <w:rPr>
          <w:rFonts w:ascii="Arial" w:hAnsi="Arial" w:cs="Arial"/>
          <w:lang w:eastAsia="fr-FR"/>
        </w:rPr>
        <w:t xml:space="preserve">, </w:t>
      </w:r>
      <w:r w:rsidRPr="00F90DB8">
        <w:rPr>
          <w:rFonts w:ascii="Arial" w:hAnsi="Arial" w:cs="Arial"/>
          <w:i/>
          <w:iCs/>
          <w:lang w:eastAsia="fr-FR"/>
        </w:rPr>
        <w:t>Vernonia amygdalina</w:t>
      </w:r>
      <w:r w:rsidRPr="00F90DB8">
        <w:rPr>
          <w:rFonts w:ascii="Arial" w:hAnsi="Arial" w:cs="Arial"/>
          <w:lang w:eastAsia="fr-FR"/>
        </w:rPr>
        <w:t xml:space="preserve">, </w:t>
      </w:r>
      <w:r w:rsidRPr="00F90DB8">
        <w:rPr>
          <w:rFonts w:ascii="Arial" w:hAnsi="Arial" w:cs="Arial"/>
          <w:i/>
          <w:iCs/>
          <w:lang w:eastAsia="fr-FR"/>
        </w:rPr>
        <w:t>Zea mays</w:t>
      </w:r>
      <w:r w:rsidRPr="00F90DB8">
        <w:rPr>
          <w:rFonts w:ascii="Arial" w:hAnsi="Arial" w:cs="Arial"/>
          <w:lang w:eastAsia="fr-FR"/>
        </w:rPr>
        <w:t xml:space="preserve">, </w:t>
      </w:r>
      <w:r w:rsidRPr="00F90DB8">
        <w:rPr>
          <w:rFonts w:ascii="Arial" w:hAnsi="Arial" w:cs="Arial"/>
          <w:i/>
          <w:iCs/>
          <w:lang w:eastAsia="fr-FR"/>
        </w:rPr>
        <w:t>Adansonia digitata</w:t>
      </w:r>
      <w:r w:rsidRPr="00F90DB8">
        <w:rPr>
          <w:rFonts w:ascii="Arial" w:hAnsi="Arial" w:cs="Arial"/>
          <w:lang w:eastAsia="fr-FR"/>
        </w:rPr>
        <w:t xml:space="preserve">, </w:t>
      </w:r>
      <w:r w:rsidRPr="00F90DB8">
        <w:rPr>
          <w:rFonts w:ascii="Arial" w:hAnsi="Arial" w:cs="Arial"/>
          <w:i/>
          <w:iCs/>
          <w:lang w:eastAsia="fr-FR"/>
        </w:rPr>
        <w:t>Arachis hypogaea</w:t>
      </w:r>
      <w:r w:rsidRPr="00F90DB8">
        <w:rPr>
          <w:rFonts w:ascii="Arial" w:hAnsi="Arial" w:cs="Arial"/>
          <w:lang w:eastAsia="fr-FR"/>
        </w:rPr>
        <w:t xml:space="preserve">, </w:t>
      </w:r>
      <w:r w:rsidRPr="00F90DB8">
        <w:rPr>
          <w:rFonts w:ascii="Arial" w:hAnsi="Arial" w:cs="Arial"/>
          <w:i/>
          <w:iCs/>
          <w:lang w:eastAsia="fr-FR"/>
        </w:rPr>
        <w:t>Sesamum indicum</w:t>
      </w:r>
      <w:r w:rsidRPr="00F90DB8">
        <w:rPr>
          <w:rFonts w:ascii="Arial" w:hAnsi="Arial" w:cs="Arial"/>
          <w:lang w:eastAsia="fr-FR"/>
        </w:rPr>
        <w:t xml:space="preserve">, </w:t>
      </w:r>
      <w:r w:rsidRPr="00F90DB8">
        <w:rPr>
          <w:rFonts w:ascii="Arial" w:hAnsi="Arial" w:cs="Arial"/>
          <w:i/>
          <w:iCs/>
          <w:lang w:eastAsia="fr-FR"/>
        </w:rPr>
        <w:t>Elaeis guineensis</w:t>
      </w:r>
      <w:r w:rsidRPr="00F90DB8">
        <w:rPr>
          <w:rFonts w:ascii="Arial" w:hAnsi="Arial" w:cs="Arial"/>
          <w:lang w:eastAsia="fr-FR"/>
        </w:rPr>
        <w:t>, and many others.</w:t>
      </w:r>
    </w:p>
    <w:p w14:paraId="71E45826" w14:textId="77777777" w:rsidR="00552773" w:rsidRPr="00F90DB8" w:rsidRDefault="00552773" w:rsidP="00552773">
      <w:pPr>
        <w:spacing w:before="100" w:beforeAutospacing="1" w:after="100" w:afterAutospacing="1"/>
        <w:jc w:val="both"/>
        <w:rPr>
          <w:rFonts w:ascii="Arial" w:hAnsi="Arial" w:cs="Arial"/>
          <w:lang w:eastAsia="fr-FR"/>
        </w:rPr>
      </w:pPr>
      <w:r w:rsidRPr="00F90DB8">
        <w:rPr>
          <w:rFonts w:ascii="Arial" w:hAnsi="Arial" w:cs="Arial"/>
          <w:lang w:eastAsia="fr-FR"/>
        </w:rPr>
        <w:t>This study is not without its limitations, some of which were beyond the authors' control. Thus, the non-probabilistic "snowball" sampling method, although justified for this context, does not permit the generalization of the observed frequencies (e.g., 93.3% for sorghum) to the entire population of Tabligbo. It should be noted that these percentages are representative only of the sample studied. Furthermore, the data are based on maternal self-reporting, which may introduce recall bias (for past breastfeeding experiences) or social desirability bias, where responses are tailored to meet the perceived expectations of the interviewer. Moreover, this study is descriptive in nature and does not establish a causal link between the consumption of a food and increased milk production. The efficacy reported is "perceived" by the mothers.</w:t>
      </w:r>
    </w:p>
    <w:p w14:paraId="6016AAAE" w14:textId="77777777" w:rsidR="00552773" w:rsidRPr="00F90DB8" w:rsidRDefault="00552773" w:rsidP="00552773">
      <w:pPr>
        <w:spacing w:before="100" w:beforeAutospacing="1" w:after="100" w:afterAutospacing="1"/>
        <w:jc w:val="both"/>
        <w:rPr>
          <w:rFonts w:ascii="Times New Roman" w:hAnsi="Times New Roman"/>
          <w:sz w:val="24"/>
          <w:szCs w:val="24"/>
          <w:lang w:eastAsia="fr-FR"/>
        </w:rPr>
      </w:pPr>
      <w:r w:rsidRPr="00F90DB8">
        <w:rPr>
          <w:rFonts w:ascii="Arial" w:hAnsi="Arial" w:cs="Arial"/>
          <w:lang w:eastAsia="fr-FR"/>
        </w:rPr>
        <w:t>This study highlights the urgent need to pursue phytochemical and clinical research to validate these traditional uses, in order to equip healthcare professionals and communities with complementary tools that are culturally acceptable and scientifically validated for the promotion of optimal breastfeeding</w:t>
      </w:r>
      <w:r w:rsidRPr="00F90DB8">
        <w:rPr>
          <w:rFonts w:ascii="Times New Roman" w:hAnsi="Times New Roman"/>
          <w:sz w:val="24"/>
          <w:szCs w:val="24"/>
          <w:lang w:eastAsia="fr-FR"/>
        </w:rPr>
        <w:t>.</w:t>
      </w:r>
    </w:p>
    <w:p w14:paraId="609EBF3C" w14:textId="77777777" w:rsidR="00B01FCD" w:rsidRDefault="00000F8F" w:rsidP="00552773">
      <w:pPr>
        <w:pStyle w:val="ConcHead"/>
        <w:spacing w:after="0"/>
        <w:jc w:val="right"/>
        <w:rPr>
          <w:rFonts w:ascii="Arial" w:hAnsi="Arial" w:cs="Arial"/>
        </w:rPr>
      </w:pPr>
      <w:r>
        <w:rPr>
          <w:rFonts w:ascii="Arial" w:hAnsi="Arial" w:cs="Arial"/>
        </w:rPr>
        <w:t xml:space="preserve">4. </w:t>
      </w:r>
      <w:r w:rsidR="00B01FCD" w:rsidRPr="00FB3A86">
        <w:rPr>
          <w:rFonts w:ascii="Arial" w:hAnsi="Arial" w:cs="Arial"/>
        </w:rPr>
        <w:t>Conclusion</w:t>
      </w:r>
    </w:p>
    <w:p w14:paraId="451B3B76" w14:textId="77777777" w:rsidR="00552773" w:rsidRPr="00F90DB8" w:rsidRDefault="00552773" w:rsidP="00552773">
      <w:pPr>
        <w:spacing w:before="100" w:beforeAutospacing="1" w:after="100" w:afterAutospacing="1"/>
        <w:jc w:val="both"/>
        <w:rPr>
          <w:rFonts w:ascii="Arial" w:hAnsi="Arial" w:cs="Arial"/>
          <w:szCs w:val="24"/>
          <w:lang w:eastAsia="fr-FR"/>
        </w:rPr>
      </w:pPr>
      <w:r w:rsidRPr="00F90DB8">
        <w:rPr>
          <w:rFonts w:ascii="Arial" w:hAnsi="Arial" w:cs="Arial"/>
          <w:szCs w:val="24"/>
          <w:lang w:eastAsia="fr-FR"/>
        </w:rPr>
        <w:t>This study concludes that the use of galactagogue plants and foods by postpartum women in Tabligbo is a deeply rooted sociocultural practice, representing a direct response to the significant concern of Perceived Insufficient Milk Supply (PIMS). Given the public health imperative to promote exclusive breastfeeding, as recommended by the WHO and UNICEF, the understanding and valorization of this traditional knowledge are of paramount importance. The principal contribution of this work is bridging a knowledge gap by systematically documenting practices that have, until now, been largely understudied and not scientifically formalized.</w:t>
      </w:r>
    </w:p>
    <w:p w14:paraId="40C4EF77" w14:textId="77777777" w:rsidR="00552773" w:rsidRPr="00F90DB8" w:rsidRDefault="00552773" w:rsidP="00552773">
      <w:pPr>
        <w:spacing w:before="100" w:beforeAutospacing="1" w:after="100" w:afterAutospacing="1"/>
        <w:jc w:val="both"/>
        <w:rPr>
          <w:rFonts w:ascii="Arial" w:hAnsi="Arial" w:cs="Arial"/>
          <w:szCs w:val="24"/>
          <w:lang w:eastAsia="fr-FR"/>
        </w:rPr>
      </w:pPr>
      <w:r w:rsidRPr="00F90DB8">
        <w:rPr>
          <w:rFonts w:ascii="Arial" w:hAnsi="Arial" w:cs="Arial"/>
          <w:szCs w:val="24"/>
          <w:lang w:eastAsia="fr-FR"/>
        </w:rPr>
        <w:lastRenderedPageBreak/>
        <w:t xml:space="preserve">Through a comprehensive ethnonutritional investigation, this study has successfully identified the specific plant species and food items utilized, along with their methods of preparation and administration. It thereby provides a first structured inventory of traditional galactagogues in the Tabligbo region, laying the essential evidentiary foundation for future scientific evaluation. By juxtaposing this empirical knowledge with the existing scientific literature, particularly concerning species such as </w:t>
      </w:r>
      <w:r w:rsidRPr="00F90DB8">
        <w:rPr>
          <w:rFonts w:ascii="Arial" w:hAnsi="Arial" w:cs="Arial"/>
          <w:i/>
          <w:iCs/>
          <w:szCs w:val="24"/>
          <w:lang w:eastAsia="fr-FR"/>
        </w:rPr>
        <w:t>Moringa oleifera</w:t>
      </w:r>
      <w:r w:rsidRPr="00F90DB8">
        <w:rPr>
          <w:rFonts w:ascii="Arial" w:hAnsi="Arial" w:cs="Arial"/>
          <w:szCs w:val="24"/>
          <w:lang w:eastAsia="fr-FR"/>
        </w:rPr>
        <w:t xml:space="preserve"> or </w:t>
      </w:r>
      <w:r w:rsidRPr="00F90DB8">
        <w:rPr>
          <w:rFonts w:ascii="Arial" w:hAnsi="Arial" w:cs="Arial"/>
          <w:i/>
          <w:iCs/>
          <w:szCs w:val="24"/>
          <w:lang w:eastAsia="fr-FR"/>
        </w:rPr>
        <w:t>Vernonia amygdalina</w:t>
      </w:r>
      <w:r w:rsidRPr="00F90DB8">
        <w:rPr>
          <w:rFonts w:ascii="Arial" w:hAnsi="Arial" w:cs="Arial"/>
          <w:szCs w:val="24"/>
          <w:lang w:eastAsia="fr-FR"/>
        </w:rPr>
        <w:t>, our research initiates the critical dialogue required between tradition and science.</w:t>
      </w:r>
    </w:p>
    <w:p w14:paraId="5E237AA6" w14:textId="77777777" w:rsidR="00552773" w:rsidRPr="00F90DB8" w:rsidRDefault="00552773" w:rsidP="00552773">
      <w:pPr>
        <w:spacing w:before="100" w:beforeAutospacing="1" w:after="100" w:afterAutospacing="1"/>
        <w:jc w:val="both"/>
        <w:rPr>
          <w:rFonts w:ascii="Arial" w:hAnsi="Arial" w:cs="Arial"/>
          <w:szCs w:val="24"/>
          <w:lang w:eastAsia="fr-FR"/>
        </w:rPr>
      </w:pPr>
      <w:r w:rsidRPr="00F90DB8">
        <w:rPr>
          <w:rFonts w:ascii="Arial" w:hAnsi="Arial" w:cs="Arial"/>
          <w:szCs w:val="24"/>
          <w:lang w:eastAsia="fr-FR"/>
        </w:rPr>
        <w:t>It is pertinent to acknowledge the inherent limitations of this study. Its ethnonutritional approach is primarily descriptive; it catalogues the practices and perceptions of women without providing clinical evidence of the pharmacological efficacy or the safety of the remedies used. At this stage, the purported efficacy of these galactagogues remains largely empirical. Furthermore, the data collected are specific to the context of Tabligbo and, although they align with a broader West African trend, their generalizability must be approached with caution.</w:t>
      </w:r>
    </w:p>
    <w:p w14:paraId="12252B04" w14:textId="77777777" w:rsidR="00552773" w:rsidRPr="00F90DB8" w:rsidRDefault="00552773" w:rsidP="00552773">
      <w:pPr>
        <w:spacing w:before="100" w:beforeAutospacing="1" w:after="100" w:afterAutospacing="1"/>
        <w:jc w:val="both"/>
        <w:rPr>
          <w:rFonts w:ascii="Arial" w:hAnsi="Arial" w:cs="Arial"/>
          <w:szCs w:val="24"/>
          <w:lang w:eastAsia="fr-FR"/>
        </w:rPr>
      </w:pPr>
      <w:r w:rsidRPr="00F90DB8">
        <w:rPr>
          <w:rFonts w:ascii="Arial" w:hAnsi="Arial" w:cs="Arial"/>
          <w:szCs w:val="24"/>
          <w:lang w:eastAsia="fr-FR"/>
        </w:rPr>
        <w:t>The findings of this study open promising and necessary avenues for future research. The subsequent step must involve the rigorous scientific validation of the most frequently cited plants. Phytochemical analyses should be conducted to identify potential active compounds, followed by toxicological studies to ensure the safety of these preparations for both mother and infant. Ultimately, controlled clinical trials could objectively measure the effect of these galactagogues on milk production volume. The final objective is to distinguish beneficial and safe practices, to valorize them, and to potentially integrate them into public health policies and programs aimed at promoting breastfeeding. Such an approach would not only enhance infant nutritional security but also legitimize and preserve a valuable cultural heritage in the service of maternal and child health.</w:t>
      </w:r>
    </w:p>
    <w:p w14:paraId="5AF24341" w14:textId="77777777" w:rsidR="002B685A" w:rsidRDefault="002B685A" w:rsidP="00441B6F">
      <w:pPr>
        <w:pStyle w:val="ReferHead"/>
        <w:spacing w:after="0"/>
        <w:jc w:val="both"/>
        <w:rPr>
          <w:rFonts w:ascii="Arial" w:hAnsi="Arial" w:cs="Arial"/>
          <w:b w:val="0"/>
          <w:caps w:val="0"/>
          <w:sz w:val="20"/>
        </w:rPr>
      </w:pPr>
    </w:p>
    <w:p w14:paraId="1B0AF619" w14:textId="77777777" w:rsidR="00B01FCD" w:rsidRDefault="00B01FCD" w:rsidP="00D06180">
      <w:pPr>
        <w:pStyle w:val="ReferHead"/>
        <w:spacing w:after="0"/>
        <w:jc w:val="right"/>
        <w:rPr>
          <w:rFonts w:ascii="Arial" w:hAnsi="Arial" w:cs="Arial"/>
        </w:rPr>
      </w:pPr>
      <w:r w:rsidRPr="00FB3A86">
        <w:rPr>
          <w:rFonts w:ascii="Arial" w:hAnsi="Arial" w:cs="Arial"/>
        </w:rPr>
        <w:t>References</w:t>
      </w:r>
    </w:p>
    <w:p w14:paraId="0E8FDCA0"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Alara, O. R., &amp; Abdurahman, N. H. (2021). Vernonia amygdalina leaf and antioxidant potential. In </w:t>
      </w:r>
      <w:r w:rsidRPr="00D06180">
        <w:rPr>
          <w:rFonts w:ascii="Arial" w:hAnsi="Arial" w:cs="Arial"/>
          <w:i/>
          <w:iCs/>
          <w:color w:val="222222"/>
          <w:shd w:val="clear" w:color="auto" w:fill="FFFFFF"/>
        </w:rPr>
        <w:t>Toxicology</w:t>
      </w:r>
      <w:r w:rsidRPr="00D06180">
        <w:rPr>
          <w:rFonts w:ascii="Arial" w:hAnsi="Arial" w:cs="Arial"/>
          <w:color w:val="222222"/>
          <w:shd w:val="clear" w:color="auto" w:fill="FFFFFF"/>
        </w:rPr>
        <w:t xml:space="preserve"> (pp. 347-353). Academic </w:t>
      </w:r>
      <w:proofErr w:type="gramStart"/>
      <w:r w:rsidRPr="00D06180">
        <w:rPr>
          <w:rFonts w:ascii="Arial" w:hAnsi="Arial" w:cs="Arial"/>
          <w:color w:val="222222"/>
          <w:shd w:val="clear" w:color="auto" w:fill="FFFFFF"/>
        </w:rPr>
        <w:t>Press.</w:t>
      </w:r>
      <w:r w:rsidRPr="00D06180">
        <w:rPr>
          <w:rFonts w:ascii="Arial" w:hAnsi="Arial" w:cs="Arial"/>
          <w:lang w:eastAsia="fr-FR"/>
        </w:rPr>
        <w:t>.</w:t>
      </w:r>
      <w:proofErr w:type="gramEnd"/>
    </w:p>
    <w:p w14:paraId="400F9ACD"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Alara, O. R., Abdurahman, N. H., Mudalip, S. K. A., &amp; Olalere, O. A. (2017). Phytochemical and pharmacological properties of Vernonia amygdalina: a review. </w:t>
      </w:r>
      <w:r w:rsidRPr="00D06180">
        <w:rPr>
          <w:rFonts w:ascii="Arial" w:hAnsi="Arial" w:cs="Arial"/>
          <w:i/>
          <w:iCs/>
          <w:color w:val="222222"/>
          <w:shd w:val="clear" w:color="auto" w:fill="FFFFFF"/>
        </w:rPr>
        <w:t>Journal of Chemical Engineering and Industrial Biotechnology</w:t>
      </w:r>
      <w:r w:rsidRPr="00D06180">
        <w:rPr>
          <w:rFonts w:ascii="Arial" w:hAnsi="Arial" w:cs="Arial"/>
          <w:color w:val="222222"/>
          <w:shd w:val="clear" w:color="auto" w:fill="FFFFFF"/>
        </w:rPr>
        <w:t>, </w:t>
      </w:r>
      <w:r w:rsidRPr="00D06180">
        <w:rPr>
          <w:rFonts w:ascii="Arial" w:hAnsi="Arial" w:cs="Arial"/>
          <w:i/>
          <w:iCs/>
          <w:color w:val="222222"/>
          <w:shd w:val="clear" w:color="auto" w:fill="FFFFFF"/>
        </w:rPr>
        <w:t>2</w:t>
      </w:r>
      <w:r w:rsidRPr="00D06180">
        <w:rPr>
          <w:rFonts w:ascii="Arial" w:hAnsi="Arial" w:cs="Arial"/>
          <w:color w:val="222222"/>
          <w:shd w:val="clear" w:color="auto" w:fill="FFFFFF"/>
        </w:rPr>
        <w:t>(1), 80-96.</w:t>
      </w:r>
    </w:p>
    <w:p w14:paraId="31B2788D" w14:textId="77777777" w:rsidR="006F4B84" w:rsidRPr="00D06180" w:rsidRDefault="006F4B84" w:rsidP="006F4B84">
      <w:pPr>
        <w:pStyle w:val="NormalWeb"/>
        <w:ind w:left="360"/>
        <w:jc w:val="both"/>
        <w:rPr>
          <w:rFonts w:ascii="Arial" w:hAnsi="Arial" w:cs="Arial"/>
          <w:sz w:val="20"/>
          <w:szCs w:val="20"/>
        </w:rPr>
      </w:pPr>
      <w:r w:rsidRPr="00D06180">
        <w:rPr>
          <w:rFonts w:ascii="Arial" w:hAnsi="Arial" w:cs="Arial"/>
          <w:sz w:val="20"/>
          <w:szCs w:val="20"/>
          <w:shd w:val="clear" w:color="auto" w:fill="FFFFFF"/>
        </w:rPr>
        <w:t xml:space="preserve">Al-Shahib, W., &amp; Marshall, R. J. (2003). The fruit of the date </w:t>
      </w:r>
      <w:proofErr w:type="gramStart"/>
      <w:r w:rsidRPr="00D06180">
        <w:rPr>
          <w:rFonts w:ascii="Arial" w:hAnsi="Arial" w:cs="Arial"/>
          <w:sz w:val="20"/>
          <w:szCs w:val="20"/>
          <w:shd w:val="clear" w:color="auto" w:fill="FFFFFF"/>
        </w:rPr>
        <w:t>palm:</w:t>
      </w:r>
      <w:proofErr w:type="gramEnd"/>
      <w:r w:rsidRPr="00D06180">
        <w:rPr>
          <w:rFonts w:ascii="Arial" w:hAnsi="Arial" w:cs="Arial"/>
          <w:sz w:val="20"/>
          <w:szCs w:val="20"/>
          <w:shd w:val="clear" w:color="auto" w:fill="FFFFFF"/>
        </w:rPr>
        <w:t xml:space="preserve"> its possible use as the best food for the future?. </w:t>
      </w:r>
      <w:r w:rsidRPr="00D06180">
        <w:rPr>
          <w:rFonts w:ascii="Arial" w:hAnsi="Arial" w:cs="Arial"/>
          <w:i/>
          <w:iCs/>
          <w:sz w:val="20"/>
          <w:szCs w:val="20"/>
          <w:shd w:val="clear" w:color="auto" w:fill="FFFFFF"/>
        </w:rPr>
        <w:t>International journal of food sciences and nutrition</w:t>
      </w:r>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54</w:t>
      </w:r>
      <w:r w:rsidRPr="00D06180">
        <w:rPr>
          <w:rFonts w:ascii="Arial" w:hAnsi="Arial" w:cs="Arial"/>
          <w:sz w:val="20"/>
          <w:szCs w:val="20"/>
          <w:shd w:val="clear" w:color="auto" w:fill="FFFFFF"/>
        </w:rPr>
        <w:t>(4), 247-259</w:t>
      </w:r>
      <w:r w:rsidRPr="00D06180">
        <w:rPr>
          <w:rFonts w:ascii="Arial" w:hAnsi="Arial" w:cs="Arial"/>
          <w:sz w:val="20"/>
          <w:szCs w:val="20"/>
        </w:rPr>
        <w:t>.</w:t>
      </w:r>
    </w:p>
    <w:p w14:paraId="26C7770A" w14:textId="77777777" w:rsidR="006F4B84" w:rsidRPr="00D06180" w:rsidRDefault="006F4B84" w:rsidP="006F4B84">
      <w:pPr>
        <w:pStyle w:val="NormalWeb"/>
        <w:ind w:left="360"/>
        <w:jc w:val="both"/>
        <w:rPr>
          <w:rFonts w:ascii="Arial" w:hAnsi="Arial" w:cs="Arial"/>
          <w:sz w:val="20"/>
          <w:szCs w:val="20"/>
        </w:rPr>
      </w:pPr>
      <w:r w:rsidRPr="00D06180">
        <w:rPr>
          <w:rFonts w:ascii="Arial" w:hAnsi="Arial" w:cs="Arial"/>
          <w:color w:val="222222"/>
          <w:sz w:val="20"/>
          <w:szCs w:val="20"/>
          <w:shd w:val="clear" w:color="auto" w:fill="FFFFFF"/>
        </w:rPr>
        <w:t xml:space="preserve">Arya, S. S., Salve, A. R., &amp; Chauhan, S. (2016). Peanuts as functional </w:t>
      </w:r>
      <w:proofErr w:type="gramStart"/>
      <w:r w:rsidRPr="00D06180">
        <w:rPr>
          <w:rFonts w:ascii="Arial" w:hAnsi="Arial" w:cs="Arial"/>
          <w:color w:val="222222"/>
          <w:sz w:val="20"/>
          <w:szCs w:val="20"/>
          <w:shd w:val="clear" w:color="auto" w:fill="FFFFFF"/>
        </w:rPr>
        <w:t>food:</w:t>
      </w:r>
      <w:proofErr w:type="gramEnd"/>
      <w:r w:rsidRPr="00D06180">
        <w:rPr>
          <w:rFonts w:ascii="Arial" w:hAnsi="Arial" w:cs="Arial"/>
          <w:color w:val="222222"/>
          <w:sz w:val="20"/>
          <w:szCs w:val="20"/>
          <w:shd w:val="clear" w:color="auto" w:fill="FFFFFF"/>
        </w:rPr>
        <w:t xml:space="preserve"> a review. </w:t>
      </w:r>
      <w:r w:rsidRPr="00D06180">
        <w:rPr>
          <w:rFonts w:ascii="Arial" w:hAnsi="Arial" w:cs="Arial"/>
          <w:i/>
          <w:iCs/>
          <w:color w:val="222222"/>
          <w:sz w:val="20"/>
          <w:szCs w:val="20"/>
          <w:shd w:val="clear" w:color="auto" w:fill="FFFFFF"/>
        </w:rPr>
        <w:t>Journal of food science and technology</w:t>
      </w:r>
      <w:r w:rsidRPr="00D06180">
        <w:rPr>
          <w:rFonts w:ascii="Arial" w:hAnsi="Arial" w:cs="Arial"/>
          <w:color w:val="222222"/>
          <w:sz w:val="20"/>
          <w:szCs w:val="20"/>
          <w:shd w:val="clear" w:color="auto" w:fill="FFFFFF"/>
        </w:rPr>
        <w:t>, </w:t>
      </w:r>
      <w:r w:rsidRPr="00D06180">
        <w:rPr>
          <w:rFonts w:ascii="Arial" w:hAnsi="Arial" w:cs="Arial"/>
          <w:i/>
          <w:iCs/>
          <w:color w:val="222222"/>
          <w:sz w:val="20"/>
          <w:szCs w:val="20"/>
          <w:shd w:val="clear" w:color="auto" w:fill="FFFFFF"/>
        </w:rPr>
        <w:t>53</w:t>
      </w:r>
      <w:r w:rsidRPr="00D06180">
        <w:rPr>
          <w:rFonts w:ascii="Arial" w:hAnsi="Arial" w:cs="Arial"/>
          <w:color w:val="222222"/>
          <w:sz w:val="20"/>
          <w:szCs w:val="20"/>
          <w:shd w:val="clear" w:color="auto" w:fill="FFFFFF"/>
        </w:rPr>
        <w:t>, 31-41.</w:t>
      </w:r>
    </w:p>
    <w:p w14:paraId="4D2E8EDA"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Ballard, O., &amp; Morrow, A. L. (2013). Human milk composition: nutrients and bioactive factors. </w:t>
      </w:r>
      <w:r w:rsidRPr="00D06180">
        <w:rPr>
          <w:rFonts w:ascii="Arial" w:hAnsi="Arial" w:cs="Arial"/>
          <w:i/>
          <w:iCs/>
          <w:color w:val="222222"/>
          <w:shd w:val="clear" w:color="auto" w:fill="FFFFFF"/>
        </w:rPr>
        <w:t>Pediatric Clinics</w:t>
      </w:r>
      <w:r w:rsidRPr="00D06180">
        <w:rPr>
          <w:rFonts w:ascii="Arial" w:hAnsi="Arial" w:cs="Arial"/>
          <w:color w:val="222222"/>
          <w:shd w:val="clear" w:color="auto" w:fill="FFFFFF"/>
        </w:rPr>
        <w:t>, </w:t>
      </w:r>
      <w:r w:rsidRPr="00D06180">
        <w:rPr>
          <w:rFonts w:ascii="Arial" w:hAnsi="Arial" w:cs="Arial"/>
          <w:i/>
          <w:iCs/>
          <w:color w:val="222222"/>
          <w:shd w:val="clear" w:color="auto" w:fill="FFFFFF"/>
        </w:rPr>
        <w:t>60</w:t>
      </w:r>
      <w:r w:rsidRPr="00D06180">
        <w:rPr>
          <w:rFonts w:ascii="Arial" w:hAnsi="Arial" w:cs="Arial"/>
          <w:color w:val="222222"/>
          <w:shd w:val="clear" w:color="auto" w:fill="FFFFFF"/>
        </w:rPr>
        <w:t>(1), 49-74</w:t>
      </w:r>
      <w:r w:rsidRPr="00D06180">
        <w:rPr>
          <w:rFonts w:ascii="Arial" w:hAnsi="Arial" w:cs="Arial"/>
          <w:i/>
          <w:iCs/>
          <w:color w:val="4BACC6" w:themeColor="accent5"/>
        </w:rPr>
        <w:t>.</w:t>
      </w:r>
    </w:p>
    <w:p w14:paraId="0E2B2155" w14:textId="77777777" w:rsidR="006F4B84" w:rsidRPr="00D06180" w:rsidRDefault="006F4B84" w:rsidP="006F4B84">
      <w:pPr>
        <w:pStyle w:val="NormalWeb"/>
        <w:ind w:left="360"/>
        <w:jc w:val="both"/>
        <w:rPr>
          <w:rFonts w:ascii="Arial" w:hAnsi="Arial" w:cs="Arial"/>
          <w:sz w:val="20"/>
          <w:szCs w:val="20"/>
        </w:rPr>
      </w:pPr>
      <w:r w:rsidRPr="00D06180">
        <w:rPr>
          <w:rFonts w:ascii="Arial" w:hAnsi="Arial" w:cs="Arial"/>
          <w:sz w:val="20"/>
          <w:szCs w:val="20"/>
          <w:shd w:val="clear" w:color="auto" w:fill="FFFFFF"/>
        </w:rPr>
        <w:t>Bazzano, A. N., Hofer, R., Thibeau, S., Gillispie, V., Jacobs, M., &amp; Theall, K. P. (2016). A review of herbal and pharmaceutical galactagogues for breast-feeding. </w:t>
      </w:r>
      <w:r w:rsidRPr="00D06180">
        <w:rPr>
          <w:rFonts w:ascii="Arial" w:hAnsi="Arial" w:cs="Arial"/>
          <w:i/>
          <w:iCs/>
          <w:sz w:val="20"/>
          <w:szCs w:val="20"/>
          <w:shd w:val="clear" w:color="auto" w:fill="FFFFFF"/>
        </w:rPr>
        <w:t>Ochsner Journal</w:t>
      </w:r>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16</w:t>
      </w:r>
      <w:r w:rsidRPr="00D06180">
        <w:rPr>
          <w:rFonts w:ascii="Arial" w:hAnsi="Arial" w:cs="Arial"/>
          <w:sz w:val="20"/>
          <w:szCs w:val="20"/>
          <w:shd w:val="clear" w:color="auto" w:fill="FFFFFF"/>
        </w:rPr>
        <w:t>(4), 511-524</w:t>
      </w:r>
      <w:r w:rsidRPr="00D06180">
        <w:rPr>
          <w:rFonts w:ascii="Arial" w:hAnsi="Arial" w:cs="Arial"/>
          <w:i/>
          <w:iCs/>
          <w:sz w:val="20"/>
          <w:szCs w:val="20"/>
        </w:rPr>
        <w:t>.</w:t>
      </w:r>
    </w:p>
    <w:p w14:paraId="27AA6F14"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lastRenderedPageBreak/>
        <w:t>Bernard, H. R. (2017). </w:t>
      </w:r>
      <w:r w:rsidRPr="00D06180">
        <w:rPr>
          <w:rFonts w:ascii="Arial" w:hAnsi="Arial" w:cs="Arial"/>
          <w:i/>
          <w:iCs/>
          <w:color w:val="222222"/>
          <w:shd w:val="clear" w:color="auto" w:fill="FFFFFF"/>
        </w:rPr>
        <w:t>Research methods in anthropology: Qualitative and quantitative approaches</w:t>
      </w:r>
      <w:r w:rsidRPr="00D06180">
        <w:rPr>
          <w:rFonts w:ascii="Arial" w:hAnsi="Arial" w:cs="Arial"/>
          <w:color w:val="222222"/>
          <w:shd w:val="clear" w:color="auto" w:fill="FFFFFF"/>
        </w:rPr>
        <w:t xml:space="preserve">. Rowman &amp; </w:t>
      </w:r>
      <w:proofErr w:type="gramStart"/>
      <w:r w:rsidRPr="00D06180">
        <w:rPr>
          <w:rFonts w:ascii="Arial" w:hAnsi="Arial" w:cs="Arial"/>
          <w:color w:val="222222"/>
          <w:shd w:val="clear" w:color="auto" w:fill="FFFFFF"/>
        </w:rPr>
        <w:t>Littlefield.</w:t>
      </w:r>
      <w:r w:rsidRPr="00D06180">
        <w:rPr>
          <w:rFonts w:ascii="Arial" w:hAnsi="Arial" w:cs="Arial"/>
          <w:lang w:eastAsia="fr-FR"/>
        </w:rPr>
        <w:t>.</w:t>
      </w:r>
      <w:proofErr w:type="gramEnd"/>
      <w:r w:rsidRPr="00D06180">
        <w:rPr>
          <w:rFonts w:ascii="Arial" w:hAnsi="Arial" w:cs="Arial"/>
          <w:lang w:eastAsia="fr-FR"/>
        </w:rPr>
        <w:t xml:space="preserve"> </w:t>
      </w:r>
    </w:p>
    <w:p w14:paraId="50742AC1" w14:textId="77777777" w:rsidR="006F4B84" w:rsidRPr="00D06180" w:rsidRDefault="006F4B84" w:rsidP="006F4B84">
      <w:pPr>
        <w:pStyle w:val="NormalWeb"/>
        <w:ind w:left="360"/>
        <w:jc w:val="both"/>
        <w:rPr>
          <w:rFonts w:ascii="Arial" w:hAnsi="Arial" w:cs="Arial"/>
          <w:sz w:val="20"/>
          <w:szCs w:val="20"/>
        </w:rPr>
      </w:pPr>
      <w:r w:rsidRPr="00D06180">
        <w:rPr>
          <w:rFonts w:ascii="Arial" w:hAnsi="Arial" w:cs="Arial"/>
          <w:sz w:val="20"/>
          <w:szCs w:val="20"/>
          <w:shd w:val="clear" w:color="auto" w:fill="FFFFFF"/>
        </w:rPr>
        <w:t xml:space="preserve">Bravi, F., Wiens, F., Decarli, A., Dal Pont, A., Agostoni, C., &amp; Ferraroni, M. (2016). Impact of maternal nutrition on breast-milk </w:t>
      </w:r>
      <w:proofErr w:type="gramStart"/>
      <w:r w:rsidRPr="00D06180">
        <w:rPr>
          <w:rFonts w:ascii="Arial" w:hAnsi="Arial" w:cs="Arial"/>
          <w:sz w:val="20"/>
          <w:szCs w:val="20"/>
          <w:shd w:val="clear" w:color="auto" w:fill="FFFFFF"/>
        </w:rPr>
        <w:t>composition:</w:t>
      </w:r>
      <w:proofErr w:type="gramEnd"/>
      <w:r w:rsidRPr="00D06180">
        <w:rPr>
          <w:rFonts w:ascii="Arial" w:hAnsi="Arial" w:cs="Arial"/>
          <w:sz w:val="20"/>
          <w:szCs w:val="20"/>
          <w:shd w:val="clear" w:color="auto" w:fill="FFFFFF"/>
        </w:rPr>
        <w:t xml:space="preserve"> a systematic review. </w:t>
      </w:r>
      <w:r w:rsidRPr="00D06180">
        <w:rPr>
          <w:rFonts w:ascii="Arial" w:hAnsi="Arial" w:cs="Arial"/>
          <w:i/>
          <w:iCs/>
          <w:sz w:val="20"/>
          <w:szCs w:val="20"/>
          <w:shd w:val="clear" w:color="auto" w:fill="FFFFFF"/>
        </w:rPr>
        <w:t>The American journal of clinical nutrition</w:t>
      </w:r>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104</w:t>
      </w:r>
      <w:r w:rsidRPr="00D06180">
        <w:rPr>
          <w:rFonts w:ascii="Arial" w:hAnsi="Arial" w:cs="Arial"/>
          <w:sz w:val="20"/>
          <w:szCs w:val="20"/>
          <w:shd w:val="clear" w:color="auto" w:fill="FFFFFF"/>
        </w:rPr>
        <w:t>(3), 646-662</w:t>
      </w:r>
      <w:r w:rsidRPr="00D06180">
        <w:rPr>
          <w:rFonts w:ascii="Arial" w:hAnsi="Arial" w:cs="Arial"/>
          <w:sz w:val="20"/>
          <w:szCs w:val="20"/>
        </w:rPr>
        <w:t>.</w:t>
      </w:r>
    </w:p>
    <w:p w14:paraId="13991BD0" w14:textId="77777777" w:rsidR="006F4B84" w:rsidRPr="00D06180" w:rsidRDefault="006F4B84" w:rsidP="006F4B84">
      <w:pPr>
        <w:pStyle w:val="NormalWeb"/>
        <w:ind w:left="360"/>
        <w:jc w:val="both"/>
        <w:rPr>
          <w:rFonts w:ascii="Arial" w:hAnsi="Arial" w:cs="Arial"/>
          <w:sz w:val="20"/>
          <w:szCs w:val="20"/>
        </w:rPr>
      </w:pPr>
      <w:r w:rsidRPr="00D06180">
        <w:rPr>
          <w:rFonts w:ascii="Arial" w:hAnsi="Arial" w:cs="Arial"/>
          <w:sz w:val="20"/>
          <w:szCs w:val="20"/>
          <w:shd w:val="clear" w:color="auto" w:fill="FFFFFF"/>
        </w:rPr>
        <w:t xml:space="preserve">Chadare, F. J., Linnemann, A. R., Hounhouigan, J. D., Nout, M. J. R., &amp; Van Boekel, M. A. J. S. (2008). Baobab food </w:t>
      </w:r>
      <w:proofErr w:type="gramStart"/>
      <w:r w:rsidRPr="00D06180">
        <w:rPr>
          <w:rFonts w:ascii="Arial" w:hAnsi="Arial" w:cs="Arial"/>
          <w:sz w:val="20"/>
          <w:szCs w:val="20"/>
          <w:shd w:val="clear" w:color="auto" w:fill="FFFFFF"/>
        </w:rPr>
        <w:t>products:</w:t>
      </w:r>
      <w:proofErr w:type="gramEnd"/>
      <w:r w:rsidRPr="00D06180">
        <w:rPr>
          <w:rFonts w:ascii="Arial" w:hAnsi="Arial" w:cs="Arial"/>
          <w:sz w:val="20"/>
          <w:szCs w:val="20"/>
          <w:shd w:val="clear" w:color="auto" w:fill="FFFFFF"/>
        </w:rPr>
        <w:t xml:space="preserve"> a review on their composition and nutritional value. </w:t>
      </w:r>
      <w:r w:rsidRPr="00D06180">
        <w:rPr>
          <w:rFonts w:ascii="Arial" w:hAnsi="Arial" w:cs="Arial"/>
          <w:i/>
          <w:iCs/>
          <w:sz w:val="20"/>
          <w:szCs w:val="20"/>
          <w:shd w:val="clear" w:color="auto" w:fill="FFFFFF"/>
        </w:rPr>
        <w:t>Critical reviews in food science and nutrition</w:t>
      </w:r>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49</w:t>
      </w:r>
      <w:r w:rsidRPr="00D06180">
        <w:rPr>
          <w:rFonts w:ascii="Arial" w:hAnsi="Arial" w:cs="Arial"/>
          <w:sz w:val="20"/>
          <w:szCs w:val="20"/>
          <w:shd w:val="clear" w:color="auto" w:fill="FFFFFF"/>
        </w:rPr>
        <w:t>(3), 254-</w:t>
      </w:r>
      <w:proofErr w:type="gramStart"/>
      <w:r w:rsidRPr="00D06180">
        <w:rPr>
          <w:rFonts w:ascii="Arial" w:hAnsi="Arial" w:cs="Arial"/>
          <w:sz w:val="20"/>
          <w:szCs w:val="20"/>
          <w:shd w:val="clear" w:color="auto" w:fill="FFFFFF"/>
        </w:rPr>
        <w:t>274.</w:t>
      </w:r>
      <w:r w:rsidRPr="00D06180">
        <w:rPr>
          <w:rFonts w:ascii="Arial" w:hAnsi="Arial" w:cs="Arial"/>
          <w:sz w:val="20"/>
          <w:szCs w:val="20"/>
        </w:rPr>
        <w:t>.</w:t>
      </w:r>
      <w:proofErr w:type="gramEnd"/>
    </w:p>
    <w:p w14:paraId="73CCAB0A"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Chike, C. P. R., Njoku, B., Green, K., Akpojotor, P. I., Onyebuenyi, M. O., &amp; Numbara, D. (2018). Effect of ethanolic leaf extract of Vernonia amygdalina (bitter leaf) extract on some of the haematological parameters in wistar rats. </w:t>
      </w:r>
      <w:r w:rsidRPr="00D06180">
        <w:rPr>
          <w:rFonts w:ascii="Arial" w:hAnsi="Arial" w:cs="Arial"/>
          <w:i/>
          <w:iCs/>
          <w:color w:val="222222"/>
          <w:shd w:val="clear" w:color="auto" w:fill="FFFFFF"/>
        </w:rPr>
        <w:t>Journal of Complementary and Alternative Medical Research</w:t>
      </w:r>
      <w:r w:rsidRPr="00D06180">
        <w:rPr>
          <w:rFonts w:ascii="Arial" w:hAnsi="Arial" w:cs="Arial"/>
          <w:color w:val="222222"/>
          <w:shd w:val="clear" w:color="auto" w:fill="FFFFFF"/>
        </w:rPr>
        <w:t>, </w:t>
      </w:r>
      <w:r w:rsidRPr="00D06180">
        <w:rPr>
          <w:rFonts w:ascii="Arial" w:hAnsi="Arial" w:cs="Arial"/>
          <w:i/>
          <w:iCs/>
          <w:color w:val="222222"/>
          <w:shd w:val="clear" w:color="auto" w:fill="FFFFFF"/>
        </w:rPr>
        <w:t>5</w:t>
      </w:r>
      <w:r w:rsidRPr="00D06180">
        <w:rPr>
          <w:rFonts w:ascii="Arial" w:hAnsi="Arial" w:cs="Arial"/>
          <w:color w:val="222222"/>
          <w:shd w:val="clear" w:color="auto" w:fill="FFFFFF"/>
        </w:rPr>
        <w:t>(1), 1-7</w:t>
      </w:r>
      <w:r w:rsidRPr="00D06180">
        <w:rPr>
          <w:rFonts w:ascii="Arial" w:hAnsi="Arial" w:cs="Arial"/>
          <w:lang w:eastAsia="fr-FR"/>
        </w:rPr>
        <w:t>.</w:t>
      </w:r>
    </w:p>
    <w:p w14:paraId="0DCA8C7B" w14:textId="77777777" w:rsidR="006F4B84" w:rsidRPr="00D06180" w:rsidRDefault="006F4B84" w:rsidP="006F4B84">
      <w:pPr>
        <w:pStyle w:val="NormalWeb"/>
        <w:ind w:left="360"/>
        <w:jc w:val="both"/>
        <w:rPr>
          <w:rFonts w:ascii="Arial" w:hAnsi="Arial" w:cs="Arial"/>
          <w:sz w:val="20"/>
          <w:szCs w:val="20"/>
        </w:rPr>
      </w:pPr>
      <w:r w:rsidRPr="00D06180">
        <w:rPr>
          <w:rFonts w:ascii="Arial" w:hAnsi="Arial" w:cs="Arial"/>
          <w:color w:val="222222"/>
          <w:sz w:val="20"/>
          <w:szCs w:val="20"/>
          <w:shd w:val="clear" w:color="auto" w:fill="FFFFFF"/>
        </w:rPr>
        <w:t>Dykes, L., &amp; Rooney, L. W. (2006). Sorghum and millet phenols and antioxidants. </w:t>
      </w:r>
      <w:r w:rsidRPr="00D06180">
        <w:rPr>
          <w:rFonts w:ascii="Arial" w:hAnsi="Arial" w:cs="Arial"/>
          <w:i/>
          <w:iCs/>
          <w:color w:val="222222"/>
          <w:sz w:val="20"/>
          <w:szCs w:val="20"/>
          <w:shd w:val="clear" w:color="auto" w:fill="FFFFFF"/>
        </w:rPr>
        <w:t>Journal of cereal science</w:t>
      </w:r>
      <w:r w:rsidRPr="00D06180">
        <w:rPr>
          <w:rFonts w:ascii="Arial" w:hAnsi="Arial" w:cs="Arial"/>
          <w:color w:val="222222"/>
          <w:sz w:val="20"/>
          <w:szCs w:val="20"/>
          <w:shd w:val="clear" w:color="auto" w:fill="FFFFFF"/>
        </w:rPr>
        <w:t>, </w:t>
      </w:r>
      <w:r w:rsidRPr="00D06180">
        <w:rPr>
          <w:rFonts w:ascii="Arial" w:hAnsi="Arial" w:cs="Arial"/>
          <w:i/>
          <w:iCs/>
          <w:color w:val="222222"/>
          <w:sz w:val="20"/>
          <w:szCs w:val="20"/>
          <w:shd w:val="clear" w:color="auto" w:fill="FFFFFF"/>
        </w:rPr>
        <w:t>44</w:t>
      </w:r>
      <w:r w:rsidRPr="00D06180">
        <w:rPr>
          <w:rFonts w:ascii="Arial" w:hAnsi="Arial" w:cs="Arial"/>
          <w:color w:val="222222"/>
          <w:sz w:val="20"/>
          <w:szCs w:val="20"/>
          <w:shd w:val="clear" w:color="auto" w:fill="FFFFFF"/>
        </w:rPr>
        <w:t>(3), 236-251.</w:t>
      </w:r>
    </w:p>
    <w:p w14:paraId="2E7C0940"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shd w:val="clear" w:color="auto" w:fill="FFFFFF"/>
        </w:rPr>
        <w:t xml:space="preserve">Espinosa-Kuo, C. L. (2005). A randomized-controlled trial on the use of malunggay (Moringa </w:t>
      </w:r>
      <w:r w:rsidRPr="00D06180">
        <w:rPr>
          <w:rFonts w:ascii="Arial" w:hAnsi="Arial" w:cs="Arial"/>
          <w:color w:val="222222"/>
          <w:shd w:val="clear" w:color="auto" w:fill="FFFFFF"/>
        </w:rPr>
        <w:t>oleifera) for augmentation of the volume of breastmilk among mothers of term infants. </w:t>
      </w:r>
      <w:r w:rsidRPr="00D06180">
        <w:rPr>
          <w:rFonts w:ascii="Arial" w:hAnsi="Arial" w:cs="Arial"/>
          <w:i/>
          <w:iCs/>
          <w:color w:val="222222"/>
          <w:shd w:val="clear" w:color="auto" w:fill="FFFFFF"/>
        </w:rPr>
        <w:t>Filipino Fam Physician</w:t>
      </w:r>
      <w:r w:rsidRPr="00D06180">
        <w:rPr>
          <w:rFonts w:ascii="Arial" w:hAnsi="Arial" w:cs="Arial"/>
          <w:color w:val="222222"/>
          <w:shd w:val="clear" w:color="auto" w:fill="FFFFFF"/>
        </w:rPr>
        <w:t>, </w:t>
      </w:r>
      <w:r w:rsidRPr="00D06180">
        <w:rPr>
          <w:rFonts w:ascii="Arial" w:hAnsi="Arial" w:cs="Arial"/>
          <w:i/>
          <w:iCs/>
          <w:color w:val="222222"/>
          <w:shd w:val="clear" w:color="auto" w:fill="FFFFFF"/>
        </w:rPr>
        <w:t>43</w:t>
      </w:r>
      <w:r w:rsidRPr="00D06180">
        <w:rPr>
          <w:rFonts w:ascii="Arial" w:hAnsi="Arial" w:cs="Arial"/>
          <w:color w:val="222222"/>
          <w:shd w:val="clear" w:color="auto" w:fill="FFFFFF"/>
        </w:rPr>
        <w:t>(1), 26-33.</w:t>
      </w:r>
    </w:p>
    <w:p w14:paraId="677BA96D" w14:textId="77777777" w:rsidR="006F4B84" w:rsidRPr="00D06180" w:rsidRDefault="006F4B84" w:rsidP="006F4B84">
      <w:pPr>
        <w:pStyle w:val="NormalWeb"/>
        <w:ind w:left="360"/>
        <w:jc w:val="both"/>
        <w:rPr>
          <w:rFonts w:ascii="Arial" w:hAnsi="Arial" w:cs="Arial"/>
          <w:sz w:val="20"/>
          <w:szCs w:val="20"/>
        </w:rPr>
      </w:pPr>
      <w:r w:rsidRPr="00D06180">
        <w:rPr>
          <w:rFonts w:ascii="Arial" w:hAnsi="Arial" w:cs="Arial"/>
          <w:sz w:val="20"/>
          <w:szCs w:val="20"/>
        </w:rPr>
        <w:t xml:space="preserve"> </w:t>
      </w:r>
      <w:r w:rsidRPr="00D06180">
        <w:rPr>
          <w:rFonts w:ascii="Arial" w:hAnsi="Arial" w:cs="Arial"/>
          <w:sz w:val="20"/>
          <w:szCs w:val="20"/>
          <w:shd w:val="clear" w:color="auto" w:fill="FFFFFF"/>
        </w:rPr>
        <w:t>Estrella, M. C. P., Mantaring, J. B. V., &amp; David, G. (2000). A double-blind, randomized controlled trial on the use of malunggay (Moringa oleifera) for augmentation of the volume ofbreastmilk among non-nursing mothers of preterm infants. </w:t>
      </w:r>
      <w:r w:rsidRPr="00D06180">
        <w:rPr>
          <w:rFonts w:ascii="Arial" w:hAnsi="Arial" w:cs="Arial"/>
          <w:i/>
          <w:iCs/>
          <w:sz w:val="20"/>
          <w:szCs w:val="20"/>
          <w:shd w:val="clear" w:color="auto" w:fill="FFFFFF"/>
        </w:rPr>
        <w:t>Phillipp J Pediatr</w:t>
      </w:r>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49</w:t>
      </w:r>
      <w:r w:rsidRPr="00D06180">
        <w:rPr>
          <w:rFonts w:ascii="Arial" w:hAnsi="Arial" w:cs="Arial"/>
          <w:sz w:val="20"/>
          <w:szCs w:val="20"/>
          <w:shd w:val="clear" w:color="auto" w:fill="FFFFFF"/>
        </w:rPr>
        <w:t>(1), 3-</w:t>
      </w:r>
      <w:proofErr w:type="gramStart"/>
      <w:r w:rsidRPr="00D06180">
        <w:rPr>
          <w:rFonts w:ascii="Arial" w:hAnsi="Arial" w:cs="Arial"/>
          <w:sz w:val="20"/>
          <w:szCs w:val="20"/>
          <w:shd w:val="clear" w:color="auto" w:fill="FFFFFF"/>
        </w:rPr>
        <w:t>6.</w:t>
      </w:r>
      <w:r w:rsidRPr="00D06180">
        <w:rPr>
          <w:rFonts w:ascii="Arial" w:hAnsi="Arial" w:cs="Arial"/>
          <w:sz w:val="20"/>
          <w:szCs w:val="20"/>
        </w:rPr>
        <w:t>.</w:t>
      </w:r>
      <w:proofErr w:type="gramEnd"/>
      <w:r w:rsidRPr="00D06180">
        <w:rPr>
          <w:rFonts w:ascii="Arial" w:hAnsi="Arial" w:cs="Arial"/>
          <w:sz w:val="20"/>
          <w:szCs w:val="20"/>
        </w:rPr>
        <w:t xml:space="preserve"> </w:t>
      </w:r>
    </w:p>
    <w:p w14:paraId="0E1F97E3"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Floyd, K. N. (2021). </w:t>
      </w:r>
      <w:r w:rsidRPr="00D06180">
        <w:rPr>
          <w:rFonts w:ascii="Arial" w:hAnsi="Arial" w:cs="Arial"/>
          <w:i/>
          <w:iCs/>
          <w:color w:val="222222"/>
          <w:shd w:val="clear" w:color="auto" w:fill="FFFFFF"/>
        </w:rPr>
        <w:t>Systematic Review of the Barriers to Breastfeeding for Non-Hispanic Black Women</w:t>
      </w:r>
      <w:r w:rsidRPr="00D06180">
        <w:rPr>
          <w:rFonts w:ascii="Arial" w:hAnsi="Arial" w:cs="Arial"/>
          <w:color w:val="222222"/>
          <w:shd w:val="clear" w:color="auto" w:fill="FFFFFF"/>
        </w:rPr>
        <w:t> (Doctoral dissertation, Walden University)</w:t>
      </w:r>
      <w:r w:rsidRPr="00D06180">
        <w:rPr>
          <w:rFonts w:ascii="Arial" w:hAnsi="Arial" w:cs="Arial"/>
          <w:lang w:eastAsia="fr-FR"/>
        </w:rPr>
        <w:t>.</w:t>
      </w:r>
    </w:p>
    <w:p w14:paraId="6D129868"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Ijeh, I. I., &amp; Ejike, C. E. C. C. (2011). Current perspectives on the medicinal potentials of Vernonia amygdalina Del. </w:t>
      </w:r>
      <w:r w:rsidRPr="00D06180">
        <w:rPr>
          <w:rFonts w:ascii="Arial" w:hAnsi="Arial" w:cs="Arial"/>
          <w:i/>
          <w:iCs/>
          <w:color w:val="222222"/>
          <w:shd w:val="clear" w:color="auto" w:fill="FFFFFF"/>
        </w:rPr>
        <w:t>Journal of medicinal plants research</w:t>
      </w:r>
      <w:r w:rsidRPr="00D06180">
        <w:rPr>
          <w:rFonts w:ascii="Arial" w:hAnsi="Arial" w:cs="Arial"/>
          <w:color w:val="222222"/>
          <w:shd w:val="clear" w:color="auto" w:fill="FFFFFF"/>
        </w:rPr>
        <w:t>, </w:t>
      </w:r>
      <w:r w:rsidRPr="00D06180">
        <w:rPr>
          <w:rFonts w:ascii="Arial" w:hAnsi="Arial" w:cs="Arial"/>
          <w:i/>
          <w:iCs/>
          <w:color w:val="222222"/>
          <w:shd w:val="clear" w:color="auto" w:fill="FFFFFF"/>
        </w:rPr>
        <w:t>5</w:t>
      </w:r>
      <w:r w:rsidRPr="00D06180">
        <w:rPr>
          <w:rFonts w:ascii="Arial" w:hAnsi="Arial" w:cs="Arial"/>
          <w:color w:val="222222"/>
          <w:shd w:val="clear" w:color="auto" w:fill="FFFFFF"/>
        </w:rPr>
        <w:t>(7), 1051-</w:t>
      </w:r>
      <w:proofErr w:type="gramStart"/>
      <w:r w:rsidRPr="00D06180">
        <w:rPr>
          <w:rFonts w:ascii="Arial" w:hAnsi="Arial" w:cs="Arial"/>
          <w:color w:val="222222"/>
          <w:shd w:val="clear" w:color="auto" w:fill="FFFFFF"/>
        </w:rPr>
        <w:t>1061.</w:t>
      </w:r>
      <w:r w:rsidRPr="00D06180">
        <w:rPr>
          <w:rFonts w:ascii="Arial" w:hAnsi="Arial" w:cs="Arial"/>
          <w:lang w:eastAsia="fr-FR"/>
        </w:rPr>
        <w:t>.</w:t>
      </w:r>
      <w:proofErr w:type="gramEnd"/>
    </w:p>
    <w:p w14:paraId="7D6DCFC7"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King, J., Raguindin, P. F., &amp; Dans, L. F. (2013). Moringa oleifera (Malunggay) as a galactagogue for breastfeeding mothers: a systematic review and meta-analysis of randomized controlled trials. </w:t>
      </w:r>
      <w:r w:rsidRPr="00D06180">
        <w:rPr>
          <w:rFonts w:ascii="Arial" w:hAnsi="Arial" w:cs="Arial"/>
          <w:i/>
          <w:iCs/>
          <w:color w:val="222222"/>
          <w:shd w:val="clear" w:color="auto" w:fill="FFFFFF"/>
        </w:rPr>
        <w:t>Philipp J Pediatr</w:t>
      </w:r>
      <w:r w:rsidRPr="00D06180">
        <w:rPr>
          <w:rFonts w:ascii="Arial" w:hAnsi="Arial" w:cs="Arial"/>
          <w:color w:val="222222"/>
          <w:shd w:val="clear" w:color="auto" w:fill="FFFFFF"/>
        </w:rPr>
        <w:t>, </w:t>
      </w:r>
      <w:r w:rsidRPr="00D06180">
        <w:rPr>
          <w:rFonts w:ascii="Arial" w:hAnsi="Arial" w:cs="Arial"/>
          <w:i/>
          <w:iCs/>
          <w:color w:val="222222"/>
          <w:shd w:val="clear" w:color="auto" w:fill="FFFFFF"/>
        </w:rPr>
        <w:t>61</w:t>
      </w:r>
      <w:r w:rsidRPr="00D06180">
        <w:rPr>
          <w:rFonts w:ascii="Arial" w:hAnsi="Arial" w:cs="Arial"/>
          <w:color w:val="222222"/>
          <w:shd w:val="clear" w:color="auto" w:fill="FFFFFF"/>
        </w:rPr>
        <w:t>(2), 34-</w:t>
      </w:r>
      <w:proofErr w:type="gramStart"/>
      <w:r w:rsidRPr="00D06180">
        <w:rPr>
          <w:rFonts w:ascii="Arial" w:hAnsi="Arial" w:cs="Arial"/>
          <w:color w:val="222222"/>
          <w:shd w:val="clear" w:color="auto" w:fill="FFFFFF"/>
        </w:rPr>
        <w:t>42.</w:t>
      </w:r>
      <w:r w:rsidRPr="00D06180">
        <w:rPr>
          <w:rFonts w:ascii="Arial" w:hAnsi="Arial" w:cs="Arial"/>
          <w:lang w:eastAsia="fr-FR"/>
        </w:rPr>
        <w:t>.</w:t>
      </w:r>
      <w:proofErr w:type="gramEnd"/>
    </w:p>
    <w:p w14:paraId="78C90B30" w14:textId="77777777" w:rsidR="006F4B84" w:rsidRPr="00D06180" w:rsidRDefault="006F4B84" w:rsidP="006F4B84">
      <w:pPr>
        <w:pStyle w:val="NormalWeb"/>
        <w:ind w:left="360"/>
        <w:jc w:val="both"/>
        <w:rPr>
          <w:rFonts w:ascii="Arial" w:hAnsi="Arial" w:cs="Arial"/>
          <w:sz w:val="20"/>
          <w:szCs w:val="20"/>
        </w:rPr>
      </w:pPr>
      <w:r w:rsidRPr="00D06180">
        <w:rPr>
          <w:rFonts w:ascii="Arial" w:hAnsi="Arial" w:cs="Arial"/>
          <w:color w:val="222222"/>
          <w:sz w:val="20"/>
          <w:szCs w:val="20"/>
          <w:shd w:val="clear" w:color="auto" w:fill="FFFFFF"/>
        </w:rPr>
        <w:t>Kominiarek, M. A., &amp; Rajan, P. (2016). Nutrition recommendations in pregnancy and lactation. </w:t>
      </w:r>
      <w:r w:rsidRPr="00D06180">
        <w:rPr>
          <w:rFonts w:ascii="Arial" w:hAnsi="Arial" w:cs="Arial"/>
          <w:i/>
          <w:iCs/>
          <w:color w:val="222222"/>
          <w:sz w:val="20"/>
          <w:szCs w:val="20"/>
          <w:shd w:val="clear" w:color="auto" w:fill="FFFFFF"/>
        </w:rPr>
        <w:t>The Medical Clinics of North America</w:t>
      </w:r>
      <w:r w:rsidRPr="00D06180">
        <w:rPr>
          <w:rFonts w:ascii="Arial" w:hAnsi="Arial" w:cs="Arial"/>
          <w:color w:val="222222"/>
          <w:sz w:val="20"/>
          <w:szCs w:val="20"/>
          <w:shd w:val="clear" w:color="auto" w:fill="FFFFFF"/>
        </w:rPr>
        <w:t>, </w:t>
      </w:r>
      <w:r w:rsidRPr="00D06180">
        <w:rPr>
          <w:rFonts w:ascii="Arial" w:hAnsi="Arial" w:cs="Arial"/>
          <w:i/>
          <w:iCs/>
          <w:color w:val="222222"/>
          <w:sz w:val="20"/>
          <w:szCs w:val="20"/>
          <w:shd w:val="clear" w:color="auto" w:fill="FFFFFF"/>
        </w:rPr>
        <w:t>100</w:t>
      </w:r>
      <w:r w:rsidRPr="00D06180">
        <w:rPr>
          <w:rFonts w:ascii="Arial" w:hAnsi="Arial" w:cs="Arial"/>
          <w:color w:val="222222"/>
          <w:sz w:val="20"/>
          <w:szCs w:val="20"/>
          <w:shd w:val="clear" w:color="auto" w:fill="FFFFFF"/>
        </w:rPr>
        <w:t>(6), 1199</w:t>
      </w:r>
      <w:proofErr w:type="gramStart"/>
      <w:r w:rsidRPr="00D06180">
        <w:rPr>
          <w:rFonts w:ascii="Arial" w:hAnsi="Arial" w:cs="Arial"/>
          <w:color w:val="222222"/>
          <w:sz w:val="20"/>
          <w:szCs w:val="20"/>
          <w:shd w:val="clear" w:color="auto" w:fill="FFFFFF"/>
        </w:rPr>
        <w:t>.</w:t>
      </w:r>
      <w:r w:rsidRPr="00D06180">
        <w:rPr>
          <w:rFonts w:ascii="Arial" w:hAnsi="Arial" w:cs="Arial"/>
          <w:b/>
          <w:bCs/>
          <w:sz w:val="20"/>
          <w:szCs w:val="20"/>
        </w:rPr>
        <w:t xml:space="preserve"> </w:t>
      </w:r>
      <w:r w:rsidRPr="00D06180">
        <w:rPr>
          <w:rFonts w:ascii="Arial" w:hAnsi="Arial" w:cs="Arial"/>
          <w:i/>
          <w:iCs/>
          <w:sz w:val="20"/>
          <w:szCs w:val="20"/>
        </w:rPr>
        <w:t>.</w:t>
      </w:r>
      <w:proofErr w:type="gramEnd"/>
    </w:p>
    <w:p w14:paraId="53BF210E"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shd w:val="clear" w:color="auto" w:fill="FFFFFF"/>
        </w:rPr>
        <w:t>Kominiarek, M. A., &amp; Rajan, P. (2016). Nutrition recommendations in pregnancy and lactation. </w:t>
      </w:r>
      <w:r w:rsidRPr="00D06180">
        <w:rPr>
          <w:rFonts w:ascii="Arial" w:hAnsi="Arial" w:cs="Arial"/>
          <w:i/>
          <w:iCs/>
          <w:shd w:val="clear" w:color="auto" w:fill="FFFFFF"/>
        </w:rPr>
        <w:t>The Medical Clinics of North America</w:t>
      </w:r>
      <w:r w:rsidRPr="00D06180">
        <w:rPr>
          <w:rFonts w:ascii="Arial" w:hAnsi="Arial" w:cs="Arial"/>
          <w:shd w:val="clear" w:color="auto" w:fill="FFFFFF"/>
        </w:rPr>
        <w:t>, </w:t>
      </w:r>
      <w:r w:rsidRPr="00D06180">
        <w:rPr>
          <w:rFonts w:ascii="Arial" w:hAnsi="Arial" w:cs="Arial"/>
          <w:i/>
          <w:iCs/>
          <w:shd w:val="clear" w:color="auto" w:fill="FFFFFF"/>
        </w:rPr>
        <w:t>100</w:t>
      </w:r>
      <w:r w:rsidRPr="00D06180">
        <w:rPr>
          <w:rFonts w:ascii="Arial" w:hAnsi="Arial" w:cs="Arial"/>
          <w:shd w:val="clear" w:color="auto" w:fill="FFFFFF"/>
        </w:rPr>
        <w:t xml:space="preserve">(6), </w:t>
      </w:r>
      <w:proofErr w:type="gramStart"/>
      <w:r w:rsidRPr="00D06180">
        <w:rPr>
          <w:rFonts w:ascii="Arial" w:hAnsi="Arial" w:cs="Arial"/>
          <w:shd w:val="clear" w:color="auto" w:fill="FFFFFF"/>
        </w:rPr>
        <w:t>1199.</w:t>
      </w:r>
      <w:r w:rsidRPr="00D06180">
        <w:rPr>
          <w:rFonts w:ascii="Arial" w:hAnsi="Arial" w:cs="Arial"/>
        </w:rPr>
        <w:t>.</w:t>
      </w:r>
      <w:proofErr w:type="gramEnd"/>
      <w:r w:rsidRPr="00D06180">
        <w:rPr>
          <w:rFonts w:ascii="Arial" w:hAnsi="Arial" w:cs="Arial"/>
        </w:rPr>
        <w:t xml:space="preserve"> </w:t>
      </w:r>
    </w:p>
    <w:p w14:paraId="6663F039"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Kwan, S. H., &amp; Abdul-Rahman, P. S. (2021). Clinical study on plant Galactagogue worldwide in promoting women’s lactation: A scoping review. </w:t>
      </w:r>
      <w:r w:rsidRPr="00D06180">
        <w:rPr>
          <w:rFonts w:ascii="Arial" w:hAnsi="Arial" w:cs="Arial"/>
          <w:i/>
          <w:iCs/>
          <w:color w:val="222222"/>
          <w:shd w:val="clear" w:color="auto" w:fill="FFFFFF"/>
        </w:rPr>
        <w:t>Plant Foods for Human Nutrition</w:t>
      </w:r>
      <w:r w:rsidRPr="00D06180">
        <w:rPr>
          <w:rFonts w:ascii="Arial" w:hAnsi="Arial" w:cs="Arial"/>
          <w:color w:val="222222"/>
          <w:shd w:val="clear" w:color="auto" w:fill="FFFFFF"/>
        </w:rPr>
        <w:t>, </w:t>
      </w:r>
      <w:r w:rsidRPr="00D06180">
        <w:rPr>
          <w:rFonts w:ascii="Arial" w:hAnsi="Arial" w:cs="Arial"/>
          <w:i/>
          <w:iCs/>
          <w:color w:val="222222"/>
          <w:shd w:val="clear" w:color="auto" w:fill="FFFFFF"/>
        </w:rPr>
        <w:t>76</w:t>
      </w:r>
      <w:r w:rsidRPr="00D06180">
        <w:rPr>
          <w:rFonts w:ascii="Arial" w:hAnsi="Arial" w:cs="Arial"/>
          <w:color w:val="222222"/>
          <w:shd w:val="clear" w:color="auto" w:fill="FFFFFF"/>
        </w:rPr>
        <w:t>(3), 257-269</w:t>
      </w:r>
      <w:r w:rsidRPr="00D06180">
        <w:rPr>
          <w:rFonts w:ascii="Arial" w:hAnsi="Arial" w:cs="Arial"/>
          <w:lang w:eastAsia="fr-FR"/>
        </w:rPr>
        <w:t>.</w:t>
      </w:r>
    </w:p>
    <w:p w14:paraId="2303A841"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Martin, G. J. (2010). </w:t>
      </w:r>
      <w:r w:rsidRPr="00D06180">
        <w:rPr>
          <w:rFonts w:ascii="Arial" w:hAnsi="Arial" w:cs="Arial"/>
          <w:i/>
          <w:iCs/>
          <w:color w:val="222222"/>
          <w:shd w:val="clear" w:color="auto" w:fill="FFFFFF"/>
        </w:rPr>
        <w:t>Ethnobotany: a methods manual</w:t>
      </w:r>
      <w:r w:rsidRPr="00D06180">
        <w:rPr>
          <w:rFonts w:ascii="Arial" w:hAnsi="Arial" w:cs="Arial"/>
          <w:color w:val="222222"/>
          <w:shd w:val="clear" w:color="auto" w:fill="FFFFFF"/>
        </w:rPr>
        <w:t>. Routledge</w:t>
      </w:r>
      <w:r w:rsidRPr="00D06180">
        <w:rPr>
          <w:rFonts w:ascii="Arial" w:hAnsi="Arial" w:cs="Arial"/>
          <w:lang w:eastAsia="fr-FR"/>
        </w:rPr>
        <w:t xml:space="preserve">. </w:t>
      </w:r>
    </w:p>
    <w:p w14:paraId="5E5A8E84" w14:textId="77777777" w:rsidR="006F4B84" w:rsidRPr="00D06180" w:rsidRDefault="006F4B84" w:rsidP="006F4B84">
      <w:pPr>
        <w:pStyle w:val="NormalWeb"/>
        <w:ind w:left="360"/>
        <w:jc w:val="both"/>
        <w:rPr>
          <w:rFonts w:ascii="Arial" w:hAnsi="Arial" w:cs="Arial"/>
          <w:sz w:val="20"/>
          <w:szCs w:val="20"/>
        </w:rPr>
      </w:pPr>
      <w:r w:rsidRPr="00D06180">
        <w:rPr>
          <w:rFonts w:ascii="Arial" w:hAnsi="Arial" w:cs="Arial"/>
          <w:sz w:val="20"/>
          <w:szCs w:val="20"/>
          <w:shd w:val="clear" w:color="auto" w:fill="FFFFFF"/>
        </w:rPr>
        <w:lastRenderedPageBreak/>
        <w:t>Mennella, J. A., &amp; Beauchamp, G. K. (1991). Maternal diet alters the sensory qualities of human milk and the nursling's behavior. </w:t>
      </w:r>
      <w:r w:rsidRPr="00D06180">
        <w:rPr>
          <w:rFonts w:ascii="Arial" w:hAnsi="Arial" w:cs="Arial"/>
          <w:i/>
          <w:iCs/>
          <w:sz w:val="20"/>
          <w:szCs w:val="20"/>
          <w:shd w:val="clear" w:color="auto" w:fill="FFFFFF"/>
        </w:rPr>
        <w:t>Pediatrics</w:t>
      </w:r>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88</w:t>
      </w:r>
      <w:r w:rsidRPr="00D06180">
        <w:rPr>
          <w:rFonts w:ascii="Arial" w:hAnsi="Arial" w:cs="Arial"/>
          <w:sz w:val="20"/>
          <w:szCs w:val="20"/>
          <w:shd w:val="clear" w:color="auto" w:fill="FFFFFF"/>
        </w:rPr>
        <w:t>(4), 737-</w:t>
      </w:r>
      <w:proofErr w:type="gramStart"/>
      <w:r w:rsidRPr="00D06180">
        <w:rPr>
          <w:rFonts w:ascii="Arial" w:hAnsi="Arial" w:cs="Arial"/>
          <w:sz w:val="20"/>
          <w:szCs w:val="20"/>
          <w:shd w:val="clear" w:color="auto" w:fill="FFFFFF"/>
        </w:rPr>
        <w:t>744.</w:t>
      </w:r>
      <w:r w:rsidRPr="00D06180">
        <w:rPr>
          <w:rFonts w:ascii="Arial" w:hAnsi="Arial" w:cs="Arial"/>
          <w:sz w:val="20"/>
          <w:szCs w:val="20"/>
        </w:rPr>
        <w:t>.</w:t>
      </w:r>
      <w:proofErr w:type="gramEnd"/>
    </w:p>
    <w:p w14:paraId="531A540A" w14:textId="77777777" w:rsidR="006F4B84" w:rsidRPr="00D06180" w:rsidRDefault="006F4B84" w:rsidP="006F4B84">
      <w:pPr>
        <w:pStyle w:val="NormalWeb"/>
        <w:ind w:left="360"/>
        <w:jc w:val="both"/>
        <w:rPr>
          <w:rFonts w:ascii="Arial" w:hAnsi="Arial" w:cs="Arial"/>
          <w:sz w:val="20"/>
          <w:szCs w:val="20"/>
        </w:rPr>
      </w:pPr>
      <w:r w:rsidRPr="00D06180">
        <w:rPr>
          <w:rFonts w:ascii="Arial" w:hAnsi="Arial" w:cs="Arial"/>
          <w:color w:val="222222"/>
          <w:sz w:val="20"/>
          <w:szCs w:val="20"/>
          <w:shd w:val="clear" w:color="auto" w:fill="FFFFFF"/>
        </w:rPr>
        <w:t>Moberg, K. U., &amp; Prime, D. K. (2013). Oxytocin effects in mothers and infants during breastfeeding. </w:t>
      </w:r>
      <w:r w:rsidRPr="00D06180">
        <w:rPr>
          <w:rFonts w:ascii="Arial" w:hAnsi="Arial" w:cs="Arial"/>
          <w:i/>
          <w:iCs/>
          <w:color w:val="222222"/>
          <w:sz w:val="20"/>
          <w:szCs w:val="20"/>
          <w:shd w:val="clear" w:color="auto" w:fill="FFFFFF"/>
        </w:rPr>
        <w:t>Infant</w:t>
      </w:r>
      <w:r w:rsidRPr="00D06180">
        <w:rPr>
          <w:rFonts w:ascii="Arial" w:hAnsi="Arial" w:cs="Arial"/>
          <w:color w:val="222222"/>
          <w:sz w:val="20"/>
          <w:szCs w:val="20"/>
          <w:shd w:val="clear" w:color="auto" w:fill="FFFFFF"/>
        </w:rPr>
        <w:t>, </w:t>
      </w:r>
      <w:r w:rsidRPr="00D06180">
        <w:rPr>
          <w:rFonts w:ascii="Arial" w:hAnsi="Arial" w:cs="Arial"/>
          <w:i/>
          <w:iCs/>
          <w:color w:val="222222"/>
          <w:sz w:val="20"/>
          <w:szCs w:val="20"/>
          <w:shd w:val="clear" w:color="auto" w:fill="FFFFFF"/>
        </w:rPr>
        <w:t>9</w:t>
      </w:r>
      <w:r w:rsidRPr="00D06180">
        <w:rPr>
          <w:rFonts w:ascii="Arial" w:hAnsi="Arial" w:cs="Arial"/>
          <w:color w:val="222222"/>
          <w:sz w:val="20"/>
          <w:szCs w:val="20"/>
          <w:shd w:val="clear" w:color="auto" w:fill="FFFFFF"/>
        </w:rPr>
        <w:t>(6), 201-</w:t>
      </w:r>
      <w:proofErr w:type="gramStart"/>
      <w:r w:rsidRPr="00D06180">
        <w:rPr>
          <w:rFonts w:ascii="Arial" w:hAnsi="Arial" w:cs="Arial"/>
          <w:color w:val="222222"/>
          <w:sz w:val="20"/>
          <w:szCs w:val="20"/>
          <w:shd w:val="clear" w:color="auto" w:fill="FFFFFF"/>
        </w:rPr>
        <w:t>206.</w:t>
      </w:r>
      <w:r w:rsidRPr="00D06180">
        <w:rPr>
          <w:rFonts w:ascii="Arial" w:hAnsi="Arial" w:cs="Arial"/>
          <w:b/>
          <w:bCs/>
          <w:sz w:val="20"/>
          <w:szCs w:val="20"/>
        </w:rPr>
        <w:t>.</w:t>
      </w:r>
      <w:proofErr w:type="gramEnd"/>
    </w:p>
    <w:p w14:paraId="3416E7AA"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Mukuria</w:t>
      </w:r>
      <w:r w:rsidRPr="00D06180">
        <w:rPr>
          <w:rFonts w:ascii="Cambria Math" w:hAnsi="Cambria Math" w:cs="Cambria Math"/>
          <w:color w:val="222222"/>
          <w:shd w:val="clear" w:color="auto" w:fill="FFFFFF"/>
        </w:rPr>
        <w:t>‐</w:t>
      </w:r>
      <w:r w:rsidRPr="00D06180">
        <w:rPr>
          <w:rFonts w:ascii="Arial" w:hAnsi="Arial" w:cs="Arial"/>
          <w:color w:val="222222"/>
          <w:shd w:val="clear" w:color="auto" w:fill="FFFFFF"/>
        </w:rPr>
        <w:t>Ashe, A., Klein, A., Block, C., Nyambo, K., Uyehara, M., Mtengowadula, G., ... &amp; Alvey, J. (2023). Implementing two national responsibilities of the revised UNICEF/WHO Baby</w:t>
      </w:r>
      <w:r w:rsidRPr="00D06180">
        <w:rPr>
          <w:rFonts w:ascii="Cambria Math" w:hAnsi="Cambria Math" w:cs="Cambria Math"/>
          <w:color w:val="222222"/>
          <w:shd w:val="clear" w:color="auto" w:fill="FFFFFF"/>
        </w:rPr>
        <w:t>‐</w:t>
      </w:r>
      <w:r w:rsidRPr="00D06180">
        <w:rPr>
          <w:rFonts w:ascii="Arial" w:hAnsi="Arial" w:cs="Arial"/>
          <w:color w:val="222222"/>
          <w:shd w:val="clear" w:color="auto" w:fill="FFFFFF"/>
        </w:rPr>
        <w:t>Friendly Hospital Initiative: A two</w:t>
      </w:r>
      <w:r w:rsidRPr="00D06180">
        <w:rPr>
          <w:rFonts w:ascii="Cambria Math" w:hAnsi="Cambria Math" w:cs="Cambria Math"/>
          <w:color w:val="222222"/>
          <w:shd w:val="clear" w:color="auto" w:fill="FFFFFF"/>
        </w:rPr>
        <w:t>‐</w:t>
      </w:r>
      <w:r w:rsidRPr="00D06180">
        <w:rPr>
          <w:rFonts w:ascii="Arial" w:hAnsi="Arial" w:cs="Arial"/>
          <w:color w:val="222222"/>
          <w:shd w:val="clear" w:color="auto" w:fill="FFFFFF"/>
        </w:rPr>
        <w:t>country case study. </w:t>
      </w:r>
      <w:r w:rsidRPr="00D06180">
        <w:rPr>
          <w:rFonts w:ascii="Arial" w:hAnsi="Arial" w:cs="Arial"/>
          <w:i/>
          <w:iCs/>
          <w:color w:val="222222"/>
          <w:shd w:val="clear" w:color="auto" w:fill="FFFFFF"/>
        </w:rPr>
        <w:t>Maternal &amp; Child Nutrition</w:t>
      </w:r>
      <w:r w:rsidRPr="00D06180">
        <w:rPr>
          <w:rFonts w:ascii="Arial" w:hAnsi="Arial" w:cs="Arial"/>
          <w:color w:val="222222"/>
          <w:shd w:val="clear" w:color="auto" w:fill="FFFFFF"/>
        </w:rPr>
        <w:t>, </w:t>
      </w:r>
      <w:r w:rsidRPr="00D06180">
        <w:rPr>
          <w:rFonts w:ascii="Arial" w:hAnsi="Arial" w:cs="Arial"/>
          <w:i/>
          <w:iCs/>
          <w:color w:val="222222"/>
          <w:shd w:val="clear" w:color="auto" w:fill="FFFFFF"/>
        </w:rPr>
        <w:t>19</w:t>
      </w:r>
      <w:r w:rsidRPr="00D06180">
        <w:rPr>
          <w:rFonts w:ascii="Arial" w:hAnsi="Arial" w:cs="Arial"/>
          <w:color w:val="222222"/>
          <w:shd w:val="clear" w:color="auto" w:fill="FFFFFF"/>
        </w:rPr>
        <w:t>(1), e13422</w:t>
      </w:r>
      <w:r w:rsidRPr="00D06180">
        <w:rPr>
          <w:rFonts w:ascii="Arial" w:hAnsi="Arial" w:cs="Arial"/>
          <w:lang w:eastAsia="fr-FR"/>
        </w:rPr>
        <w:t>.</w:t>
      </w:r>
    </w:p>
    <w:p w14:paraId="6DC22B0A"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shd w:val="clear" w:color="auto" w:fill="FFFFFF"/>
        </w:rPr>
        <w:t>Neville, M. C. (2001). Anatomy and physiology of lactation. </w:t>
      </w:r>
      <w:r w:rsidRPr="00D06180">
        <w:rPr>
          <w:rFonts w:ascii="Arial" w:hAnsi="Arial" w:cs="Arial"/>
          <w:i/>
          <w:iCs/>
          <w:shd w:val="clear" w:color="auto" w:fill="FFFFFF"/>
        </w:rPr>
        <w:t>Pediatric Clinics of North America</w:t>
      </w:r>
      <w:r w:rsidRPr="00D06180">
        <w:rPr>
          <w:rFonts w:ascii="Arial" w:hAnsi="Arial" w:cs="Arial"/>
          <w:shd w:val="clear" w:color="auto" w:fill="FFFFFF"/>
        </w:rPr>
        <w:t>, </w:t>
      </w:r>
      <w:r w:rsidRPr="00D06180">
        <w:rPr>
          <w:rFonts w:ascii="Arial" w:hAnsi="Arial" w:cs="Arial"/>
          <w:i/>
          <w:iCs/>
          <w:shd w:val="clear" w:color="auto" w:fill="FFFFFF"/>
        </w:rPr>
        <w:t>48</w:t>
      </w:r>
      <w:r w:rsidRPr="00D06180">
        <w:rPr>
          <w:rFonts w:ascii="Arial" w:hAnsi="Arial" w:cs="Arial"/>
          <w:shd w:val="clear" w:color="auto" w:fill="FFFFFF"/>
        </w:rPr>
        <w:t>(1), 13-34</w:t>
      </w:r>
      <w:r w:rsidRPr="00D06180">
        <w:rPr>
          <w:rFonts w:ascii="Arial" w:hAnsi="Arial" w:cs="Arial"/>
          <w:i/>
          <w:iCs/>
        </w:rPr>
        <w:t>.</w:t>
      </w:r>
    </w:p>
    <w:p w14:paraId="4CFA0702" w14:textId="77777777" w:rsidR="006F4B84" w:rsidRPr="00D06180" w:rsidRDefault="006F4B84" w:rsidP="006F4B84">
      <w:pPr>
        <w:pStyle w:val="NormalWeb"/>
        <w:ind w:left="360"/>
        <w:jc w:val="both"/>
        <w:rPr>
          <w:rFonts w:ascii="Arial" w:hAnsi="Arial" w:cs="Arial"/>
          <w:sz w:val="20"/>
          <w:szCs w:val="20"/>
        </w:rPr>
      </w:pPr>
      <w:r w:rsidRPr="00D06180">
        <w:rPr>
          <w:rFonts w:ascii="Arial" w:hAnsi="Arial" w:cs="Arial"/>
          <w:sz w:val="20"/>
          <w:szCs w:val="20"/>
          <w:shd w:val="clear" w:color="auto" w:fill="FFFFFF"/>
        </w:rPr>
        <w:t xml:space="preserve">Paritakul, P., Ruangrongmorakot, K., Laosooksathit, W., Suksamarnwong, M., &amp; Puapornpong, P. (2016). The effect of ginger on breast milk volume in the early postpartum </w:t>
      </w:r>
      <w:proofErr w:type="gramStart"/>
      <w:r w:rsidRPr="00D06180">
        <w:rPr>
          <w:rFonts w:ascii="Arial" w:hAnsi="Arial" w:cs="Arial"/>
          <w:sz w:val="20"/>
          <w:szCs w:val="20"/>
          <w:shd w:val="clear" w:color="auto" w:fill="FFFFFF"/>
        </w:rPr>
        <w:t>period:</w:t>
      </w:r>
      <w:proofErr w:type="gramEnd"/>
      <w:r w:rsidRPr="00D06180">
        <w:rPr>
          <w:rFonts w:ascii="Arial" w:hAnsi="Arial" w:cs="Arial"/>
          <w:sz w:val="20"/>
          <w:szCs w:val="20"/>
          <w:shd w:val="clear" w:color="auto" w:fill="FFFFFF"/>
        </w:rPr>
        <w:t xml:space="preserve"> A randomized, double-blind controlled trial. </w:t>
      </w:r>
      <w:r w:rsidRPr="00D06180">
        <w:rPr>
          <w:rFonts w:ascii="Arial" w:hAnsi="Arial" w:cs="Arial"/>
          <w:i/>
          <w:iCs/>
          <w:sz w:val="20"/>
          <w:szCs w:val="20"/>
          <w:shd w:val="clear" w:color="auto" w:fill="FFFFFF"/>
        </w:rPr>
        <w:t>Breastfeeding Medicine</w:t>
      </w:r>
      <w:r w:rsidRPr="00D06180">
        <w:rPr>
          <w:rFonts w:ascii="Arial" w:hAnsi="Arial" w:cs="Arial"/>
          <w:sz w:val="20"/>
          <w:szCs w:val="20"/>
          <w:shd w:val="clear" w:color="auto" w:fill="FFFFFF"/>
        </w:rPr>
        <w:t>, </w:t>
      </w:r>
      <w:r w:rsidRPr="00D06180">
        <w:rPr>
          <w:rFonts w:ascii="Arial" w:hAnsi="Arial" w:cs="Arial"/>
          <w:i/>
          <w:iCs/>
          <w:sz w:val="20"/>
          <w:szCs w:val="20"/>
          <w:shd w:val="clear" w:color="auto" w:fill="FFFFFF"/>
        </w:rPr>
        <w:t>11</w:t>
      </w:r>
      <w:r w:rsidRPr="00D06180">
        <w:rPr>
          <w:rFonts w:ascii="Arial" w:hAnsi="Arial" w:cs="Arial"/>
          <w:sz w:val="20"/>
          <w:szCs w:val="20"/>
          <w:shd w:val="clear" w:color="auto" w:fill="FFFFFF"/>
        </w:rPr>
        <w:t>(7), 361-365</w:t>
      </w:r>
      <w:r w:rsidRPr="00D06180">
        <w:rPr>
          <w:rFonts w:ascii="Arial" w:hAnsi="Arial" w:cs="Arial"/>
          <w:sz w:val="20"/>
          <w:szCs w:val="20"/>
        </w:rPr>
        <w:t>.</w:t>
      </w:r>
    </w:p>
    <w:p w14:paraId="2EEBB29E"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Ryan, R. A. (2022). </w:t>
      </w:r>
      <w:r w:rsidRPr="00D06180">
        <w:rPr>
          <w:rFonts w:ascii="Arial" w:hAnsi="Arial" w:cs="Arial"/>
          <w:i/>
          <w:iCs/>
          <w:color w:val="222222"/>
          <w:shd w:val="clear" w:color="auto" w:fill="FFFFFF"/>
        </w:rPr>
        <w:t>A Multi-Method Investigation of Galactagogue Use among Breastfeeding Mothers</w:t>
      </w:r>
      <w:r w:rsidRPr="00D06180">
        <w:rPr>
          <w:rFonts w:ascii="Arial" w:hAnsi="Arial" w:cs="Arial"/>
          <w:color w:val="222222"/>
          <w:shd w:val="clear" w:color="auto" w:fill="FFFFFF"/>
        </w:rPr>
        <w:t> (Doctoral dissertation, New York University</w:t>
      </w:r>
      <w:proofErr w:type="gramStart"/>
      <w:r w:rsidRPr="00D06180">
        <w:rPr>
          <w:rFonts w:ascii="Arial" w:hAnsi="Arial" w:cs="Arial"/>
          <w:color w:val="222222"/>
          <w:shd w:val="clear" w:color="auto" w:fill="FFFFFF"/>
        </w:rPr>
        <w:t>).</w:t>
      </w:r>
      <w:r w:rsidRPr="00D06180">
        <w:rPr>
          <w:rFonts w:ascii="Arial" w:hAnsi="Arial" w:cs="Arial"/>
          <w:lang w:eastAsia="fr-FR"/>
        </w:rPr>
        <w:t>.</w:t>
      </w:r>
      <w:proofErr w:type="gramEnd"/>
    </w:p>
    <w:p w14:paraId="2330178A" w14:textId="77777777" w:rsidR="006F4B84" w:rsidRPr="00D06180" w:rsidRDefault="006F4B84" w:rsidP="006F4B84">
      <w:pPr>
        <w:pStyle w:val="NormalWeb"/>
        <w:ind w:left="360"/>
        <w:jc w:val="both"/>
        <w:rPr>
          <w:rFonts w:ascii="Arial" w:hAnsi="Arial" w:cs="Arial"/>
          <w:sz w:val="20"/>
          <w:szCs w:val="20"/>
        </w:rPr>
      </w:pPr>
      <w:r w:rsidRPr="00D06180">
        <w:rPr>
          <w:rFonts w:ascii="Arial" w:hAnsi="Arial" w:cs="Arial"/>
          <w:color w:val="222222"/>
          <w:sz w:val="20"/>
          <w:szCs w:val="20"/>
          <w:shd w:val="clear" w:color="auto" w:fill="FFFFFF"/>
        </w:rPr>
        <w:t>Standing Committee on the Scientific Evaluation of Dietary Reference Intakes, Panel on Dietary Reference Intakes for Electrolytes, &amp; Water. (2005). </w:t>
      </w:r>
      <w:r w:rsidRPr="00D06180">
        <w:rPr>
          <w:rFonts w:ascii="Arial" w:hAnsi="Arial" w:cs="Arial"/>
          <w:i/>
          <w:iCs/>
          <w:color w:val="222222"/>
          <w:sz w:val="20"/>
          <w:szCs w:val="20"/>
          <w:shd w:val="clear" w:color="auto" w:fill="FFFFFF"/>
        </w:rPr>
        <w:t>Dietary reference intakes for water, potassium, sodium, chloride, and sulfate</w:t>
      </w:r>
      <w:r w:rsidRPr="00D06180">
        <w:rPr>
          <w:rFonts w:ascii="Arial" w:hAnsi="Arial" w:cs="Arial"/>
          <w:color w:val="222222"/>
          <w:sz w:val="20"/>
          <w:szCs w:val="20"/>
          <w:shd w:val="clear" w:color="auto" w:fill="FFFFFF"/>
        </w:rPr>
        <w:t xml:space="preserve">. National Academies </w:t>
      </w:r>
      <w:proofErr w:type="gramStart"/>
      <w:r w:rsidRPr="00D06180">
        <w:rPr>
          <w:rFonts w:ascii="Arial" w:hAnsi="Arial" w:cs="Arial"/>
          <w:color w:val="222222"/>
          <w:sz w:val="20"/>
          <w:szCs w:val="20"/>
          <w:shd w:val="clear" w:color="auto" w:fill="FFFFFF"/>
        </w:rPr>
        <w:t>Press.</w:t>
      </w:r>
      <w:r w:rsidRPr="00D06180">
        <w:rPr>
          <w:rFonts w:ascii="Arial" w:hAnsi="Arial" w:cs="Arial"/>
          <w:b/>
          <w:bCs/>
          <w:sz w:val="20"/>
          <w:szCs w:val="20"/>
        </w:rPr>
        <w:t>.</w:t>
      </w:r>
      <w:proofErr w:type="gramEnd"/>
      <w:r w:rsidRPr="00D06180">
        <w:rPr>
          <w:rFonts w:ascii="Arial" w:hAnsi="Arial" w:cs="Arial"/>
          <w:sz w:val="20"/>
          <w:szCs w:val="20"/>
        </w:rPr>
        <w:t xml:space="preserve"> </w:t>
      </w:r>
    </w:p>
    <w:p w14:paraId="0703CF32" w14:textId="77777777" w:rsidR="006F4B84" w:rsidRPr="00D06180" w:rsidRDefault="006F4B84" w:rsidP="006F4B84">
      <w:pPr>
        <w:spacing w:before="100" w:beforeAutospacing="1" w:after="100" w:afterAutospacing="1"/>
        <w:ind w:left="360"/>
        <w:jc w:val="both"/>
        <w:rPr>
          <w:rFonts w:ascii="Arial" w:hAnsi="Arial" w:cs="Arial"/>
          <w:lang w:eastAsia="fr-FR"/>
        </w:rPr>
      </w:pPr>
      <w:r w:rsidRPr="00D06180">
        <w:rPr>
          <w:rFonts w:ascii="Arial" w:hAnsi="Arial" w:cs="Arial"/>
          <w:color w:val="222222"/>
          <w:shd w:val="clear" w:color="auto" w:fill="FFFFFF"/>
        </w:rPr>
        <w:t>Victora, C. G., Bahl, R., Barros, A. J., França, G. V., Horton, S., Krasevec, J., ... &amp; Rollins, N. C. (2016). Breastfeeding in the 21st century: epidemiology, mechanisms, and lifelong effect. </w:t>
      </w:r>
      <w:r w:rsidRPr="00D06180">
        <w:rPr>
          <w:rFonts w:ascii="Arial" w:hAnsi="Arial" w:cs="Arial"/>
          <w:i/>
          <w:iCs/>
          <w:color w:val="222222"/>
          <w:shd w:val="clear" w:color="auto" w:fill="FFFFFF"/>
        </w:rPr>
        <w:t>The lancet</w:t>
      </w:r>
      <w:r w:rsidRPr="00D06180">
        <w:rPr>
          <w:rFonts w:ascii="Arial" w:hAnsi="Arial" w:cs="Arial"/>
          <w:color w:val="222222"/>
          <w:shd w:val="clear" w:color="auto" w:fill="FFFFFF"/>
        </w:rPr>
        <w:t>, </w:t>
      </w:r>
      <w:r w:rsidRPr="00D06180">
        <w:rPr>
          <w:rFonts w:ascii="Arial" w:hAnsi="Arial" w:cs="Arial"/>
          <w:i/>
          <w:iCs/>
          <w:color w:val="222222"/>
          <w:shd w:val="clear" w:color="auto" w:fill="FFFFFF"/>
        </w:rPr>
        <w:t>387</w:t>
      </w:r>
      <w:r w:rsidRPr="00D06180">
        <w:rPr>
          <w:rFonts w:ascii="Arial" w:hAnsi="Arial" w:cs="Arial"/>
          <w:color w:val="222222"/>
          <w:shd w:val="clear" w:color="auto" w:fill="FFFFFF"/>
        </w:rPr>
        <w:t>(10017), 475-</w:t>
      </w:r>
      <w:proofErr w:type="gramStart"/>
      <w:r w:rsidRPr="00D06180">
        <w:rPr>
          <w:rFonts w:ascii="Arial" w:hAnsi="Arial" w:cs="Arial"/>
          <w:color w:val="222222"/>
          <w:shd w:val="clear" w:color="auto" w:fill="FFFFFF"/>
        </w:rPr>
        <w:t>490.</w:t>
      </w:r>
      <w:r w:rsidRPr="00D06180">
        <w:rPr>
          <w:rFonts w:ascii="Arial" w:hAnsi="Arial" w:cs="Arial"/>
          <w:lang w:eastAsia="fr-FR"/>
        </w:rPr>
        <w:t>.</w:t>
      </w:r>
      <w:proofErr w:type="gramEnd"/>
    </w:p>
    <w:p w14:paraId="38305E46" w14:textId="77777777" w:rsidR="004D4277" w:rsidRDefault="004D4277" w:rsidP="00441B6F">
      <w:pPr>
        <w:pStyle w:val="Appendix"/>
        <w:spacing w:after="0"/>
        <w:jc w:val="both"/>
        <w:rPr>
          <w:rFonts w:ascii="Arial" w:hAnsi="Arial" w:cs="Arial"/>
          <w:b w:val="0"/>
        </w:rPr>
      </w:pPr>
    </w:p>
    <w:p w14:paraId="329D643E" w14:textId="77777777" w:rsidR="006F4B84" w:rsidRPr="00FB3A86" w:rsidRDefault="006F4B84" w:rsidP="00441B6F">
      <w:pPr>
        <w:pStyle w:val="Appendix"/>
        <w:spacing w:after="0"/>
        <w:jc w:val="both"/>
        <w:rPr>
          <w:rFonts w:ascii="Arial" w:hAnsi="Arial" w:cs="Arial"/>
          <w:b w:val="0"/>
        </w:rPr>
        <w:sectPr w:rsidR="006F4B84" w:rsidRPr="00FB3A86" w:rsidSect="00746F5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B1B7CEF" w14:textId="77777777" w:rsidR="00B01FCD" w:rsidRPr="00FB3A86" w:rsidRDefault="00B01FCD" w:rsidP="006F4B84">
      <w:pPr>
        <w:pStyle w:val="Appendix"/>
        <w:spacing w:after="0"/>
        <w:jc w:val="both"/>
        <w:rPr>
          <w:rFonts w:ascii="Arial" w:hAnsi="Arial" w:cs="Arial"/>
          <w:b w:val="0"/>
        </w:rPr>
      </w:pPr>
    </w:p>
    <w:sectPr w:rsidR="00B01FCD" w:rsidRPr="00FB3A86" w:rsidSect="00746F5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82F95" w14:textId="77777777" w:rsidR="003F0F82" w:rsidRDefault="003F0F82" w:rsidP="00C37E61">
      <w:r>
        <w:separator/>
      </w:r>
    </w:p>
  </w:endnote>
  <w:endnote w:type="continuationSeparator" w:id="0">
    <w:p w14:paraId="43853572" w14:textId="77777777" w:rsidR="003F0F82" w:rsidRDefault="003F0F8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F8BB3" w14:textId="77777777" w:rsidR="00746F5B" w:rsidRDefault="00746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575FB" w14:textId="77777777" w:rsidR="00746F5B" w:rsidRDefault="00746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0EFD" w14:textId="4654DE02" w:rsidR="00754C9A" w:rsidRPr="00746F5B" w:rsidRDefault="00754C9A" w:rsidP="00746F5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B2A0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75C5F" w14:textId="77777777" w:rsidR="003F0F82" w:rsidRDefault="003F0F82" w:rsidP="00C37E61">
      <w:r>
        <w:separator/>
      </w:r>
    </w:p>
  </w:footnote>
  <w:footnote w:type="continuationSeparator" w:id="0">
    <w:p w14:paraId="075EF627" w14:textId="77777777" w:rsidR="003F0F82" w:rsidRDefault="003F0F8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9AFF4" w14:textId="141ADEA0" w:rsidR="00746F5B" w:rsidRDefault="00746F5B">
    <w:pPr>
      <w:pStyle w:val="Header"/>
    </w:pPr>
    <w:r>
      <w:rPr>
        <w:noProof/>
      </w:rPr>
      <w:pict w14:anchorId="69A25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4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DC3ED" w14:textId="2361E532" w:rsidR="00746F5B" w:rsidRDefault="00746F5B">
    <w:pPr>
      <w:pStyle w:val="Header"/>
    </w:pPr>
    <w:r>
      <w:rPr>
        <w:noProof/>
      </w:rPr>
      <w:pict w14:anchorId="03565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4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84E8A" w14:textId="447209BD" w:rsidR="00296529" w:rsidRPr="00296529" w:rsidRDefault="00746F5B" w:rsidP="00296529">
    <w:pPr>
      <w:ind w:left="2160"/>
      <w:jc w:val="center"/>
      <w:rPr>
        <w:rFonts w:ascii="Times New Roman" w:eastAsia="Calibri" w:hAnsi="Times New Roman"/>
        <w:i/>
        <w:sz w:val="18"/>
        <w:szCs w:val="22"/>
      </w:rPr>
    </w:pPr>
    <w:r>
      <w:rPr>
        <w:noProof/>
      </w:rPr>
      <w:pict w14:anchorId="07222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4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439F22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E0AA85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E8EEF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24600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8404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A39E5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3EE2E" w14:textId="18D1A62E" w:rsidR="00746F5B" w:rsidRDefault="00746F5B">
    <w:pPr>
      <w:pStyle w:val="Header"/>
    </w:pPr>
    <w:r>
      <w:rPr>
        <w:noProof/>
      </w:rPr>
      <w:pict w14:anchorId="46893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40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0B983" w14:textId="0ADC4F37" w:rsidR="00746F5B" w:rsidRDefault="00746F5B">
    <w:pPr>
      <w:pStyle w:val="Header"/>
    </w:pPr>
    <w:r>
      <w:rPr>
        <w:noProof/>
      </w:rPr>
      <w:pict w14:anchorId="41CDA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40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84B00" w14:textId="5A03E8AA" w:rsidR="00746F5B" w:rsidRDefault="00746F5B">
    <w:pPr>
      <w:pStyle w:val="Header"/>
    </w:pPr>
    <w:r>
      <w:rPr>
        <w:noProof/>
      </w:rPr>
      <w:pict w14:anchorId="042D5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40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5551"/>
    <w:rsid w:val="00030174"/>
    <w:rsid w:val="00043B8C"/>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78FB"/>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126C"/>
    <w:rsid w:val="00315186"/>
    <w:rsid w:val="0033343E"/>
    <w:rsid w:val="003512C2"/>
    <w:rsid w:val="00371FB6"/>
    <w:rsid w:val="003763C1"/>
    <w:rsid w:val="00376BBE"/>
    <w:rsid w:val="0039224F"/>
    <w:rsid w:val="003A43A4"/>
    <w:rsid w:val="003A7E18"/>
    <w:rsid w:val="003C4C86"/>
    <w:rsid w:val="003C6258"/>
    <w:rsid w:val="003E2904"/>
    <w:rsid w:val="003F0F82"/>
    <w:rsid w:val="00401927"/>
    <w:rsid w:val="0041027F"/>
    <w:rsid w:val="00412475"/>
    <w:rsid w:val="00423789"/>
    <w:rsid w:val="00440F43"/>
    <w:rsid w:val="00441B6F"/>
    <w:rsid w:val="00446221"/>
    <w:rsid w:val="00450E62"/>
    <w:rsid w:val="004539DB"/>
    <w:rsid w:val="00471A80"/>
    <w:rsid w:val="004D305E"/>
    <w:rsid w:val="004D3766"/>
    <w:rsid w:val="004D4277"/>
    <w:rsid w:val="00502516"/>
    <w:rsid w:val="00505F06"/>
    <w:rsid w:val="00506828"/>
    <w:rsid w:val="0053056E"/>
    <w:rsid w:val="00552773"/>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3FD7"/>
    <w:rsid w:val="006F4B84"/>
    <w:rsid w:val="0070082C"/>
    <w:rsid w:val="0072529A"/>
    <w:rsid w:val="007369E6"/>
    <w:rsid w:val="00746E59"/>
    <w:rsid w:val="00746F5B"/>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6180"/>
    <w:rsid w:val="00D173F1"/>
    <w:rsid w:val="00D74CB0"/>
    <w:rsid w:val="00D8295D"/>
    <w:rsid w:val="00DC2A65"/>
    <w:rsid w:val="00DE15F0"/>
    <w:rsid w:val="00DE5663"/>
    <w:rsid w:val="00DE78AA"/>
    <w:rsid w:val="00E053D0"/>
    <w:rsid w:val="00E15994"/>
    <w:rsid w:val="00E23435"/>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486A"/>
    <w:rsid w:val="00F469F0"/>
    <w:rsid w:val="00F516C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203B22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552773"/>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fr-FR"/>
    </w:rPr>
  </w:style>
  <w:style w:type="paragraph" w:styleId="Heading3">
    <w:name w:val="heading 3"/>
    <w:basedOn w:val="Normal"/>
    <w:next w:val="Normal"/>
    <w:link w:val="Heading3Char"/>
    <w:semiHidden/>
    <w:unhideWhenUsed/>
    <w:qFormat/>
    <w:rsid w:val="004D376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D3766"/>
    <w:pPr>
      <w:spacing w:before="100" w:beforeAutospacing="1" w:after="100" w:afterAutospacing="1"/>
    </w:pPr>
    <w:rPr>
      <w:rFonts w:ascii="Times New Roman" w:hAnsi="Times New Roman"/>
      <w:sz w:val="24"/>
      <w:szCs w:val="24"/>
      <w:lang w:val="fr-FR" w:eastAsia="fr-FR"/>
    </w:rPr>
  </w:style>
  <w:style w:type="character" w:customStyle="1" w:styleId="Heading3Char">
    <w:name w:val="Heading 3 Char"/>
    <w:basedOn w:val="DefaultParagraphFont"/>
    <w:link w:val="Heading3"/>
    <w:semiHidden/>
    <w:rsid w:val="004D3766"/>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4D3766"/>
    <w:rPr>
      <w:b/>
      <w:bCs/>
    </w:rPr>
  </w:style>
  <w:style w:type="character" w:customStyle="1" w:styleId="Heading2Char">
    <w:name w:val="Heading 2 Char"/>
    <w:basedOn w:val="DefaultParagraphFont"/>
    <w:link w:val="Heading2"/>
    <w:uiPriority w:val="9"/>
    <w:semiHidden/>
    <w:rsid w:val="00552773"/>
    <w:rPr>
      <w:rFonts w:asciiTheme="majorHAnsi" w:eastAsiaTheme="majorEastAsia" w:hAnsiTheme="majorHAnsi" w:cstheme="majorBidi"/>
      <w:color w:val="365F91" w:themeColor="accent1" w:themeShade="BF"/>
      <w:sz w:val="26"/>
      <w:szCs w:val="26"/>
      <w:lang w:val="fr-FR"/>
    </w:rPr>
  </w:style>
  <w:style w:type="character" w:customStyle="1" w:styleId="citation-0">
    <w:name w:val="citation-0"/>
    <w:basedOn w:val="DefaultParagraphFont"/>
    <w:rsid w:val="00552773"/>
  </w:style>
  <w:style w:type="character" w:customStyle="1" w:styleId="citation-6">
    <w:name w:val="citation-6"/>
    <w:basedOn w:val="DefaultParagraphFont"/>
    <w:rsid w:val="00552773"/>
  </w:style>
  <w:style w:type="character" w:customStyle="1" w:styleId="citation-5">
    <w:name w:val="citation-5"/>
    <w:basedOn w:val="DefaultParagraphFont"/>
    <w:rsid w:val="00552773"/>
  </w:style>
  <w:style w:type="character" w:customStyle="1" w:styleId="citation-4">
    <w:name w:val="citation-4"/>
    <w:basedOn w:val="DefaultParagraphFont"/>
    <w:rsid w:val="00552773"/>
  </w:style>
  <w:style w:type="character" w:customStyle="1" w:styleId="citation-3">
    <w:name w:val="citation-3"/>
    <w:basedOn w:val="DefaultParagraphFont"/>
    <w:rsid w:val="00552773"/>
  </w:style>
  <w:style w:type="character" w:customStyle="1" w:styleId="citation-2">
    <w:name w:val="citation-2"/>
    <w:basedOn w:val="DefaultParagraphFont"/>
    <w:rsid w:val="00552773"/>
  </w:style>
  <w:style w:type="character" w:customStyle="1" w:styleId="citation-1">
    <w:name w:val="citation-1"/>
    <w:basedOn w:val="DefaultParagraphFont"/>
    <w:rsid w:val="00552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1679038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D25F7-79C2-4D3F-9C8B-FC4CB8E69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14</Pages>
  <Words>6042</Words>
  <Characters>34441</Characters>
  <Application>Microsoft Office Word</Application>
  <DocSecurity>0</DocSecurity>
  <Lines>287</Lines>
  <Paragraphs>80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40403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9</cp:revision>
  <cp:lastPrinted>1999-07-06T11:00:00Z</cp:lastPrinted>
  <dcterms:created xsi:type="dcterms:W3CDTF">2025-07-05T20:25:00Z</dcterms:created>
  <dcterms:modified xsi:type="dcterms:W3CDTF">2025-07-07T08:26:00Z</dcterms:modified>
</cp:coreProperties>
</file>