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Author"/>
        <w:rPr>
          <w:rFonts w:ascii="Times New Roman" w:eastAsiaTheme="minorHAnsi" w:hAnsi="Times New Roman" w:cstheme="minorBidi"/>
          <w:bCs/>
          <w:i/>
          <w:iCs/>
          <w:szCs w:val="22"/>
          <w:u w:val="single"/>
        </w:rPr>
      </w:pPr>
      <w:r>
        <w:rPr>
          <w:rFonts w:ascii="Times New Roman" w:eastAsiaTheme="minorHAnsi" w:hAnsi="Times New Roman" w:cstheme="minorBidi"/>
          <w:bCs/>
          <w:i/>
          <w:iCs/>
          <w:szCs w:val="22"/>
          <w:u w:val="single"/>
        </w:rPr>
        <w:t>Review Article</w:t>
      </w:r>
    </w:p>
    <w:p>
      <w:pPr>
        <w:pStyle w:val="Author"/>
        <w:spacing w:line="240" w:lineRule="auto"/>
        <w:rPr>
          <w:rFonts w:ascii="Arial" w:hAnsi="Arial" w:cs="Arial"/>
          <w:bCs/>
          <w:iCs/>
          <w:kern w:val="28"/>
          <w:sz w:val="36"/>
        </w:rPr>
      </w:pPr>
      <w:r>
        <w:rPr>
          <w:rFonts w:ascii="Times New Roman" w:eastAsiaTheme="minorHAnsi" w:hAnsi="Times New Roman" w:cstheme="minorBidi"/>
          <w:b w:val="0"/>
          <w:bCs/>
          <w:szCs w:val="22"/>
        </w:rPr>
        <w:t xml:space="preserve"> </w:t>
      </w:r>
      <w:r>
        <w:rPr>
          <w:rFonts w:ascii="Arial" w:hAnsi="Arial" w:cs="Arial"/>
          <w:bCs/>
          <w:iCs/>
          <w:kern w:val="28"/>
          <w:sz w:val="36"/>
        </w:rPr>
        <w:t>Overview of the Anti-Inflammatory and Anticancer Properties of Five Medicinal Plants Used in Burkina Faso by Traditional Healers in the Formulation of Herbal Remedies for Inflammatory Diseases – A Review</w:t>
      </w:r>
    </w:p>
    <w:p>
      <w:pPr>
        <w:pStyle w:val="Copyright"/>
        <w:spacing w:after="0" w:line="240" w:lineRule="auto"/>
        <w:jc w:val="both"/>
        <w:rPr>
          <w:rFonts w:ascii="Arial" w:hAnsi="Arial" w:cs="Arial"/>
        </w:rPr>
        <w:sectPr>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p>
    <w:p>
      <w:pPr>
        <w:pStyle w:val="AbstHead"/>
        <w:spacing w:after="0"/>
        <w:jc w:val="both"/>
        <w:rPr>
          <w:rFonts w:ascii="Arial" w:hAnsi="Arial" w:cs="Arial"/>
        </w:rPr>
      </w:pPr>
      <w:r>
        <w:rPr>
          <w:rFonts w:ascii="Arial" w:hAnsi="Arial" w:cs="Arial"/>
        </w:rPr>
        <w:t xml:space="preserve">ABSTRACT </w:t>
      </w:r>
    </w:p>
    <w:p>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tc>
          <w:tcPr>
            <w:tcW w:w="9576" w:type="dxa"/>
            <w:shd w:val="clear" w:color="auto" w:fill="F2F2F2"/>
          </w:tcPr>
          <w:p>
            <w:pPr>
              <w:pStyle w:val="Body"/>
              <w:spacing w:after="0"/>
              <w:rPr>
                <w:rFonts w:ascii="Arial" w:eastAsia="Calibri" w:hAnsi="Arial" w:cs="Arial"/>
                <w:szCs w:val="22"/>
              </w:rPr>
            </w:pPr>
          </w:p>
          <w:p>
            <w:pPr>
              <w:jc w:val="both"/>
              <w:rPr>
                <w:rFonts w:ascii="Arial" w:hAnsi="Arial" w:cs="Arial"/>
              </w:rPr>
            </w:pPr>
            <w:r>
              <w:rPr>
                <w:rFonts w:ascii="Arial" w:hAnsi="Arial" w:cs="Arial"/>
                <w:b/>
                <w:bCs/>
              </w:rPr>
              <w:t>Background:</w:t>
            </w:r>
            <w:r>
              <w:rPr>
                <w:rFonts w:ascii="Arial" w:hAnsi="Arial" w:cs="Arial"/>
              </w:rPr>
              <w:t xml:space="preserve"> Inflammation, this physiological process, is a natural defense mechanism that plays an essential role in tissue repair. However, if it is not properly regulated, it is possible that it can contribute to the development of chronic diseases, including cancers. Inflammatory diseases are a major public health issue because of their impact on patients' lives. In sub-Saharan Africa, limited access to conventional anti-inflammatory treatments, combined with the rise in inflammatory diseases, reinforces the use of medicinal plants. In Burkina Faso, traditional healers use several mixtures of medicinal plants to formulate recipes used in the management of certain pathologies. This review focuses on five plants, </w:t>
            </w:r>
            <w:proofErr w:type="spellStart"/>
            <w:r>
              <w:rPr>
                <w:rFonts w:ascii="Arial" w:hAnsi="Arial" w:cs="Arial"/>
                <w:i/>
                <w:iCs/>
              </w:rPr>
              <w:t>Guiera</w:t>
            </w:r>
            <w:proofErr w:type="spellEnd"/>
            <w:r>
              <w:rPr>
                <w:rFonts w:ascii="Arial" w:hAnsi="Arial" w:cs="Arial"/>
                <w:i/>
                <w:iCs/>
              </w:rPr>
              <w:t xml:space="preserve"> senegalensis, Acacia </w:t>
            </w:r>
            <w:proofErr w:type="spellStart"/>
            <w:r>
              <w:rPr>
                <w:rFonts w:ascii="Arial" w:hAnsi="Arial" w:cs="Arial"/>
                <w:i/>
                <w:iCs/>
              </w:rPr>
              <w:t>nilotica</w:t>
            </w:r>
            <w:proofErr w:type="spellEnd"/>
            <w:r>
              <w:rPr>
                <w:rFonts w:ascii="Arial" w:hAnsi="Arial" w:cs="Arial"/>
                <w:i/>
                <w:iCs/>
              </w:rPr>
              <w:t xml:space="preserve">, </w:t>
            </w:r>
            <w:proofErr w:type="spellStart"/>
            <w:r>
              <w:rPr>
                <w:rFonts w:ascii="Arial" w:hAnsi="Arial" w:cs="Arial"/>
                <w:i/>
                <w:iCs/>
              </w:rPr>
              <w:t>Faidherbia</w:t>
            </w:r>
            <w:proofErr w:type="spellEnd"/>
            <w:r>
              <w:rPr>
                <w:rFonts w:ascii="Arial" w:hAnsi="Arial" w:cs="Arial"/>
                <w:i/>
                <w:iCs/>
              </w:rPr>
              <w:t xml:space="preserve"> </w:t>
            </w:r>
            <w:proofErr w:type="spellStart"/>
            <w:r>
              <w:rPr>
                <w:rFonts w:ascii="Arial" w:hAnsi="Arial" w:cs="Arial"/>
                <w:i/>
                <w:iCs/>
              </w:rPr>
              <w:t>albida</w:t>
            </w:r>
            <w:proofErr w:type="spellEnd"/>
            <w:r>
              <w:rPr>
                <w:rFonts w:ascii="Arial" w:hAnsi="Arial" w:cs="Arial"/>
                <w:i/>
                <w:iCs/>
              </w:rPr>
              <w:t xml:space="preserve">, </w:t>
            </w:r>
            <w:proofErr w:type="spellStart"/>
            <w:r>
              <w:rPr>
                <w:rFonts w:ascii="Arial" w:hAnsi="Arial" w:cs="Arial"/>
                <w:i/>
                <w:iCs/>
              </w:rPr>
              <w:t>Zanthosxylum</w:t>
            </w:r>
            <w:proofErr w:type="spellEnd"/>
            <w:r>
              <w:rPr>
                <w:rFonts w:ascii="Arial" w:hAnsi="Arial" w:cs="Arial"/>
                <w:i/>
                <w:iCs/>
              </w:rPr>
              <w:t xml:space="preserve"> </w:t>
            </w:r>
            <w:proofErr w:type="spellStart"/>
            <w:r>
              <w:rPr>
                <w:rFonts w:ascii="Arial" w:hAnsi="Arial" w:cs="Arial"/>
                <w:i/>
                <w:iCs/>
              </w:rPr>
              <w:t>zanthoxyloides</w:t>
            </w:r>
            <w:proofErr w:type="spellEnd"/>
            <w:r>
              <w:rPr>
                <w:rFonts w:ascii="Arial" w:hAnsi="Arial" w:cs="Arial"/>
                <w:i/>
                <w:iCs/>
              </w:rPr>
              <w:t xml:space="preserve"> and Zingiber officinale</w:t>
            </w:r>
            <w:r>
              <w:rPr>
                <w:rFonts w:ascii="Arial" w:hAnsi="Arial" w:cs="Arial"/>
              </w:rPr>
              <w:t xml:space="preserve"> belonging to different botanical families and traditionally used in Burkina Faso to treat inflammatory conditions. </w:t>
            </w:r>
          </w:p>
          <w:p>
            <w:pPr>
              <w:jc w:val="both"/>
              <w:rPr>
                <w:rFonts w:ascii="Arial" w:hAnsi="Arial" w:cs="Arial"/>
              </w:rPr>
            </w:pPr>
            <w:r>
              <w:rPr>
                <w:rFonts w:ascii="Arial" w:hAnsi="Arial" w:cs="Arial"/>
                <w:b/>
                <w:bCs/>
              </w:rPr>
              <w:t>Objectives:</w:t>
            </w:r>
            <w:r>
              <w:rPr>
                <w:rFonts w:ascii="Arial" w:hAnsi="Arial" w:cs="Arial"/>
              </w:rPr>
              <w:t xml:space="preserve"> The aim of this paper is to provide an overview of the available scientific data and the ethnopharmacological use of these plant species.</w:t>
            </w:r>
          </w:p>
          <w:p>
            <w:pPr>
              <w:jc w:val="both"/>
              <w:rPr>
                <w:rFonts w:ascii="Arial" w:hAnsi="Arial" w:cs="Arial"/>
              </w:rPr>
            </w:pPr>
            <w:r>
              <w:rPr>
                <w:rFonts w:ascii="Arial" w:hAnsi="Arial" w:cs="Arial"/>
                <w:b/>
                <w:bCs/>
              </w:rPr>
              <w:t>Method:</w:t>
            </w:r>
            <w:r>
              <w:rPr>
                <w:rFonts w:ascii="Arial" w:hAnsi="Arial" w:cs="Arial"/>
              </w:rPr>
              <w:t xml:space="preserve"> Bibliographic research was carried out using PubMed Central and Google Scholar databases. </w:t>
            </w:r>
          </w:p>
          <w:p>
            <w:pPr>
              <w:jc w:val="both"/>
              <w:rPr>
                <w:rFonts w:ascii="Arial" w:hAnsi="Arial" w:cs="Arial"/>
              </w:rPr>
            </w:pPr>
            <w:r>
              <w:rPr>
                <w:rFonts w:ascii="Arial" w:hAnsi="Arial" w:cs="Arial"/>
                <w:b/>
                <w:bCs/>
              </w:rPr>
              <w:t>Results:</w:t>
            </w:r>
            <w:r>
              <w:rPr>
                <w:rFonts w:ascii="Arial" w:hAnsi="Arial" w:cs="Arial"/>
              </w:rPr>
              <w:t xml:space="preserve"> Phytochemical studies performed on these plants revealed the presence of various groups of bioactive compounds, such as polyphenols and flavonoids, which could explain their listed antioxidant, anti-inflammatory and cytotoxic properties.</w:t>
            </w:r>
          </w:p>
          <w:p>
            <w:pPr>
              <w:jc w:val="both"/>
            </w:pPr>
            <w:r>
              <w:rPr>
                <w:rFonts w:ascii="Arial" w:hAnsi="Arial" w:cs="Arial"/>
                <w:b/>
                <w:bCs/>
              </w:rPr>
              <w:t>Conclusion:</w:t>
            </w:r>
            <w:r>
              <w:rPr>
                <w:rFonts w:ascii="Arial" w:hAnsi="Arial" w:cs="Arial"/>
              </w:rPr>
              <w:t xml:space="preserve"> These results suggest an interesting therapeutic potential for these plants studied. It could be an accessible and culturally accepted alternative for the prevention and management of inflammatory diseases and conditions related to oxidative stress.</w:t>
            </w:r>
          </w:p>
        </w:tc>
      </w:tr>
    </w:tbl>
    <w:p>
      <w:pPr>
        <w:pStyle w:val="Body"/>
        <w:spacing w:after="0"/>
        <w:rPr>
          <w:rFonts w:ascii="Arial" w:hAnsi="Arial" w:cs="Arial"/>
          <w:i/>
        </w:rPr>
      </w:pPr>
      <w:r>
        <w:rPr>
          <w:rFonts w:ascii="Arial" w:hAnsi="Arial" w:cs="Arial"/>
          <w:i/>
        </w:rPr>
        <w:t xml:space="preserve">Keywords: </w:t>
      </w:r>
      <w:r>
        <w:rPr>
          <w:i/>
          <w:iCs/>
        </w:rPr>
        <w:t>Plants, phytochemistry screening, antioxidants, anti-inflammatory, cytotoxicity</w:t>
      </w:r>
      <w:r>
        <w:rPr>
          <w:rFonts w:ascii="Arial" w:hAnsi="Arial" w:cs="Arial"/>
          <w:i/>
        </w:rPr>
        <w:t xml:space="preserve"> </w:t>
      </w:r>
    </w:p>
    <w:p>
      <w:pPr>
        <w:pStyle w:val="Body"/>
        <w:spacing w:after="0"/>
        <w:rPr>
          <w:rFonts w:ascii="Arial" w:hAnsi="Arial" w:cs="Arial"/>
          <w:i/>
        </w:rPr>
      </w:pPr>
    </w:p>
    <w:p>
      <w:pPr>
        <w:pStyle w:val="AbstHead"/>
        <w:spacing w:after="0"/>
        <w:jc w:val="both"/>
        <w:rPr>
          <w:rFonts w:ascii="Arial" w:hAnsi="Arial" w:cs="Arial"/>
        </w:rPr>
      </w:pPr>
      <w:r>
        <w:rPr>
          <w:rFonts w:ascii="Arial" w:hAnsi="Arial" w:cs="Arial"/>
        </w:rPr>
        <w:t>1. INTRODUCTION</w:t>
      </w:r>
    </w:p>
    <w:p>
      <w:pPr>
        <w:pStyle w:val="AbstHead"/>
        <w:spacing w:after="0"/>
        <w:jc w:val="both"/>
        <w:rPr>
          <w:rFonts w:ascii="Arial" w:hAnsi="Arial" w:cs="Arial"/>
        </w:rPr>
      </w:pPr>
    </w:p>
    <w:p>
      <w:pPr>
        <w:jc w:val="both"/>
        <w:rPr>
          <w:rFonts w:ascii="Arial" w:hAnsi="Arial" w:cs="Arial"/>
          <w:szCs w:val="24"/>
        </w:rPr>
      </w:pPr>
      <w:r>
        <w:rPr>
          <w:rFonts w:ascii="Arial" w:hAnsi="Arial" w:cs="Arial"/>
        </w:rPr>
        <w:t xml:space="preserve">Inflammation is a physiological response of the body to an attack of infectious, traumatic or chemical origin.   It involves a cascade of reactions aimed at restoring tissue integrity. However, when this response becomes chronic or poorly regulated, it can promote the emergence and progression of various pathologies, including cancers </w:t>
      </w:r>
      <w:r>
        <w:rPr>
          <w:rFonts w:ascii="Arial" w:hAnsi="Arial" w:cs="Arial"/>
        </w:rPr>
        <w:fldChar w:fldCharType="begin"/>
      </w:r>
      <w:r>
        <w:rPr>
          <w:rFonts w:ascii="Arial" w:hAnsi="Arial" w:cs="Arial"/>
        </w:rPr>
        <w:instrText xml:space="preserve"> ADDIN ZOTERO_ITEM CSL_CITATION {"citationID":"a6LHphLZ","properties":{"formattedCitation":"(Medzhitov, 2008)","plainCitation":"(Medzhitov, 2008)","noteIndex":0},"citationItems":[{"id":1417,"uris":["http://zotero.org/users/9368380/items/DCVK8PFV"],"itemData":{"id":1417,"type":"article-journal","abstract":"Inflammation underlies a wide variety of physiological and pathological processes. Although the pathological aspects of many types of inflammation are well appreciated, their physiological functions are mostly unknown. The classic instigators of inflammation — infection and tissue injury — are at one end of a large range of adverse conditions that induce inflammation, and they trigger the recruitment of leukocytes and plasma proteins to the affected tissue site. Tissue stress or malfunction similarly induces an adaptive response, which is referred to here as para-inflammation. This response relies mainly on tissue-resident macrophages and is intermediate between the basal homeostatic state and a classic inflammatory response. Para-inflammation is probably responsible for the chronic inflammatory conditions that are associated with modern human diseases.","container-title":"Nature","DOI":"10.1038/nature07201","ISSN":"1476-4687","issue":"7203","language":"en","license":"2008 Springer Nature Limited","note":"publisher: Nature Publishing Group","page":"428-435","source":"www.nature.com","title":"Origin and physiological roles of inflammation","volume":"454","author":[{"family":"Medzhitov","given":"Ruslan"}],"issued":{"date-parts":[["2008",7]]}}}],"schema":"https://github.com/citation-style-language/schema/raw/master/csl-citation.json"} </w:instrText>
      </w:r>
      <w:r>
        <w:rPr>
          <w:rFonts w:ascii="Arial" w:hAnsi="Arial" w:cs="Arial"/>
        </w:rPr>
        <w:fldChar w:fldCharType="separate"/>
      </w:r>
      <w:r>
        <w:rPr>
          <w:rFonts w:ascii="Arial" w:hAnsi="Arial" w:cs="Arial"/>
        </w:rPr>
        <w:t>(Medzhitov, 2008)</w:t>
      </w:r>
      <w:r>
        <w:rPr>
          <w:rFonts w:ascii="Arial" w:hAnsi="Arial" w:cs="Arial"/>
        </w:rPr>
        <w:fldChar w:fldCharType="end"/>
      </w:r>
      <w:r>
        <w:rPr>
          <w:rFonts w:ascii="Arial" w:hAnsi="Arial" w:cs="Arial"/>
        </w:rPr>
        <w:t xml:space="preserve">. This is because chronic inflammation creates an environment conducive to the development and spread of cancer cells </w:t>
      </w:r>
      <w:r>
        <w:rPr>
          <w:rFonts w:ascii="Arial" w:hAnsi="Arial" w:cs="Arial"/>
        </w:rPr>
        <w:fldChar w:fldCharType="begin"/>
      </w:r>
      <w:r>
        <w:rPr>
          <w:rFonts w:ascii="Arial" w:hAnsi="Arial" w:cs="Arial"/>
        </w:rPr>
        <w:instrText xml:space="preserve"> ADDIN ZOTERO_ITEM CSL_CITATION {"citationID":"iwH4iDsp","properties":{"formattedCitation":"(Greten &amp; Grivennikov, 2019)","plainCitation":"(Greten &amp; Grivennikov, 2019)","noteIndex":0},"citationItems":[{"id":1418,"uris":["http://zotero.org/users/9368380/items/KS59TKTT"],"itemData":{"id":1418,"type":"article-journal","abstract":"&lt;p&gt;Inflammation predisposes to the development of cancer and promotes all stages of tumorigenesis. Cancer cells, as well as surrounding stromal and inflammatory cells, engage in well-orchestrated reciprocal interactions to form an inflammatory tumor microenvironment (TME). Cells within the TME are highly plastic, continuously changing their phenotypic and functional characteristics. Here, we review the origins of inflammation in tumors, and the mechanisms whereby inflammation drives tumor initiation, growth, progression, and metastasis. We discuss how tumor-promoting inflammation closely resembles inflammatory processes typically found during development, immunity, maintenance of tissue homeostasis, or tissue repair and illuminate the distinctions between tissue-protective and pro-tumorigenic inflammation, including spatiotemporal considerations. Defining the cornerstone rules of engagement governing molecular and cellular mechanisms of tumor-promoting inflammation will be essential for further development of anti-cancer therapies.&lt;/p&gt;","container-title":"Immunity","DOI":"10.1016/j.immuni.2019.06.025","ISSN":"1074-7613","issue":"1","journalAbbreviation":"Immunity","language":"English","note":"publisher: Elsevier\nPMID: 31315034","page":"27-41","source":"www.cell.com","title":"Inflammation and Cancer: Triggers, Mechanisms, and Consequences","title-short":"Inflammation and Cancer","volume":"51","author":[{"family":"Greten","given":"Florian R."},{"family":"Grivennikov","given":"Sergei I."}],"issued":{"date-parts":[["2019",7,16]]}}}],"schema":"https://github.com/citation-style-language/schema/raw/master/csl-citation.json"} </w:instrText>
      </w:r>
      <w:r>
        <w:rPr>
          <w:rFonts w:ascii="Arial" w:hAnsi="Arial" w:cs="Arial"/>
        </w:rPr>
        <w:fldChar w:fldCharType="separate"/>
      </w:r>
      <w:r>
        <w:rPr>
          <w:rFonts w:ascii="Arial" w:hAnsi="Arial" w:cs="Arial"/>
        </w:rPr>
        <w:t>(Greten &amp; Grivennikov, 2019)</w:t>
      </w:r>
      <w:r>
        <w:rPr>
          <w:rFonts w:ascii="Arial" w:hAnsi="Arial" w:cs="Arial"/>
        </w:rPr>
        <w:fldChar w:fldCharType="end"/>
      </w:r>
      <w:r>
        <w:rPr>
          <w:rFonts w:ascii="Arial" w:hAnsi="Arial" w:cs="Arial"/>
        </w:rPr>
        <w:t xml:space="preserve">. In Africa, although epidemiological data is insufficient, it is recognized that inflammatory and autoimmune diseases are on the rise, mainly due to rapid urbanization and lifestyle changes. In Burkina Faso, a few studies conducted in hospitals have highlighted an upsurge in cases of chronic inflammatory diseases, particularly among young adults </w:t>
      </w:r>
      <w:r>
        <w:rPr>
          <w:rFonts w:ascii="Arial" w:hAnsi="Arial" w:cs="Arial"/>
        </w:rPr>
        <w:fldChar w:fldCharType="begin"/>
      </w:r>
      <w:r>
        <w:rPr>
          <w:rFonts w:ascii="Arial" w:hAnsi="Arial" w:cs="Arial"/>
        </w:rPr>
        <w:instrText xml:space="preserve"> ADDIN ZOTERO_ITEM CSL_CITATION {"citationID":"CUvCYjJO","properties":{"formattedCitation":"(Dd et al. 2014; Kabor\\uc0\\u233{} 2021)","plainCitation":"(Dd et al. 2014; Kaboré 2021)","dontUpdate":true,"noteIndex":0},"citationItems":[{"id":1432,"uris":["http://zotero.org/users/9368380/items/I4HIL6E6"],"itemData":{"id":1432,"type":"article-journal","abstract":"The aim of this study is to review over a period of 5 years the clinical spectrum of rheumatic diseases seen in a tertiary hospital in Ouagadougou, Burkina Faso. A retrospective study of case records was conducted from March 1, 2006 to March 30, 2011 in the Rheumatology service, Department of Intern …","container-title":"Clinical rheumatology","DOI":"10.1007/s10067-013-2455-4","ISSN":"1434-9949","issue":"3","language":"fr","note":"publisher: Clin Rheumatol\nPMID: 24716217","source":"pubmed.ncbi.nlm.nih.gov","title":"Clinical spectrum of rheumatologic diseases in a department of rheumatology in Ouagadougou (Burkina Faso)","URL":"https://pubmed.ncbi.nlm.nih.gov/24716217/","volume":"33","author":[{"family":"Dd","given":"Ouédraogo"},{"family":"H","given":"Ntsiba"},{"family":"J","given":"Tiendrébéogo Zabsonré"},{"family":"H","given":"Tiéno"},{"family":"Li","given":"Bokossa"},{"family":"F","given":"Kaboré"},{"family":"J","given":"Drabo"}],"accessed":{"date-parts":[["2025",6,3]]},"issued":{"date-parts":[["2014",3]]}}},{"id":1425,"uris":["http://zotero.org/users/9368380/items/5LRBDW34"],"itemData":{"id":1425,"type":"webpage","abstract":"Panorama des rhumatismes inflammatoires chroniques au Burkina Faso : bilan de 14 ans de pratique de la rhumatologie","container-title":"EM-Consulte","language":"fr","title":"Panorama des rhumatismes inflammatoires chroniques au Burkina Faso : bilan de 14 ans de pratique de la rhumatologie","title-short":"Panorama des rhumatismes inflammatoires chroniques au Burkina Faso","URL":"https://www.em-consulte.com/article/1487761/article/panorama-des-rhumatismes-inflammatoires-chroniques","author":[{"family":"Kaboré","given":"F."}],"accessed":{"date-parts":[["2025",6,3]]},"issued":{"date-parts":[["2021"]]}}}],"schema":"https://github.com/citation-style-language/schema/raw/master/csl-citation.json"} </w:instrText>
      </w:r>
      <w:r>
        <w:rPr>
          <w:rFonts w:ascii="Arial" w:hAnsi="Arial" w:cs="Arial"/>
        </w:rPr>
        <w:fldChar w:fldCharType="separate"/>
      </w:r>
      <w:r>
        <w:rPr>
          <w:rFonts w:ascii="Arial" w:hAnsi="Arial" w:cs="Arial"/>
        </w:rPr>
        <w:t>(Dd et al. 2014; Kaboré, 2021)</w:t>
      </w:r>
      <w:r>
        <w:rPr>
          <w:rFonts w:ascii="Arial" w:hAnsi="Arial" w:cs="Arial"/>
        </w:rPr>
        <w:fldChar w:fldCharType="end"/>
      </w:r>
      <w:r>
        <w:rPr>
          <w:rFonts w:ascii="Arial" w:hAnsi="Arial" w:cs="Arial"/>
        </w:rPr>
        <w:t xml:space="preserve">. The conventional management of inflammatory diseases is based on anti-inflammatory and immunosuppressive drugs, which are often expensive and sometimes responsible for significant side effects, which limits their accessibility in low-income countries </w:t>
      </w:r>
      <w:r>
        <w:rPr>
          <w:rFonts w:ascii="Arial" w:hAnsi="Arial" w:cs="Arial"/>
        </w:rPr>
        <w:fldChar w:fldCharType="begin"/>
      </w:r>
      <w:r>
        <w:rPr>
          <w:rFonts w:ascii="Arial" w:hAnsi="Arial" w:cs="Arial"/>
        </w:rPr>
        <w:instrText xml:space="preserve"> ADDIN ZOTERO_ITEM CSL_CITATION {"citationID":"wZw79hhU","properties":{"formattedCitation":"(Zhang &amp; An, 2007)","plainCitation":"(Zhang &amp; An, 2007)","noteIndex":0},"citationItems":[{"id":1436,"uris":["http://zotero.org/users/9368380/items/CNEESDWM"],"itemData":{"id":1436,"type":"article-journal","abstract":"Cytokines are small secreted proteins released by cells have a specific effect on the interactions and communications between cells. Cytokine is a general name; other names include lymphokine (cytokines made by lymphocytes), monokine (cytokines made by monocytes), chemokine (cytokines with chemotactic activities), and interleukin (cytokines made by one leukocyte and acting on other leukocytes). Cytokines may act on the cells that secrete them (autocrine action), on nearby cells (paracrine action), or in some instances on distant cells (endocrine action). There are both pro-inflammatory cytokines and anti-inflammatory cytokines. There is significant evidence showing that certain cytokines/chemokines are involved in not only the initiation but also the persistence of pathologic pain by directly activating nociceptive sensory neurons. Certain inflammatory cytokines are also involved in nerve-injury/inflammation-induced central sensitization, and are related to the development of contralateral hyperalgesia/allodynia. The discussion presented in this chapter describes several key pro-inflammatory cytokines/chemokines and anti-inflammatory cytokines, their relation with pathological pain in animals and human patients, and possible underlying mechanisms.","container-title":"International Anesthesiology Clinics","DOI":"10.1097/AIA.0b013e318034194e","ISSN":"0020-5907","issue":"2","journalAbbreviation":"Int Anesthesiol Clin","language":"eng","note":"PMID: 17426506\nPMCID: PMC2785020","page":"27-37","source":"PubMed","title":"Cytokines, inflammation, and pain","volume":"45","author":[{"family":"Zhang","given":"Jun-Ming"},{"family":"An","given":"Jianxiong"}],"issued":{"date-parts":[["2007"]]}}}],"schema":"https://github.com/citation-style-language/schema/raw/master/csl-citation.json"} </w:instrText>
      </w:r>
      <w:r>
        <w:rPr>
          <w:rFonts w:ascii="Arial" w:hAnsi="Arial" w:cs="Arial"/>
        </w:rPr>
        <w:fldChar w:fldCharType="separate"/>
      </w:r>
      <w:r>
        <w:rPr>
          <w:rFonts w:ascii="Arial" w:hAnsi="Arial" w:cs="Arial"/>
        </w:rPr>
        <w:t>(Zhang &amp; An, 2007)</w:t>
      </w:r>
      <w:r>
        <w:rPr>
          <w:rFonts w:ascii="Arial" w:hAnsi="Arial" w:cs="Arial"/>
        </w:rPr>
        <w:fldChar w:fldCharType="end"/>
      </w:r>
      <w:r>
        <w:rPr>
          <w:rFonts w:ascii="Arial" w:hAnsi="Arial" w:cs="Arial"/>
        </w:rPr>
        <w:t xml:space="preserve">. In this context, many populations, particularly in sub-Saharan Africa, are turning to traditional medicine and the use of medicinal plants to prevent or relieve inflammatory diseases, including certain cancers. The </w:t>
      </w:r>
      <w:r>
        <w:rPr>
          <w:rFonts w:ascii="Arial" w:hAnsi="Arial" w:cs="Arial"/>
        </w:rPr>
        <w:lastRenderedPageBreak/>
        <w:t xml:space="preserve">World Health Organization (WHO) estimates that 80% of African populations use traditional medicine or plants to meet their primary health needs </w:t>
      </w:r>
      <w:r>
        <w:rPr>
          <w:rFonts w:ascii="Arial" w:hAnsi="Arial" w:cs="Arial"/>
        </w:rPr>
        <w:fldChar w:fldCharType="begin"/>
      </w:r>
      <w:r>
        <w:rPr>
          <w:rFonts w:ascii="Arial" w:hAnsi="Arial" w:cs="Arial"/>
        </w:rPr>
        <w:instrText xml:space="preserve"> ADDIN ZOTERO_ITEM CSL_CITATION {"citationID":"fwcgUuji","properties":{"formattedCitation":"(OMS, 2022)","plainCitation":"(OMS, 2022)","noteIndex":0},"citationItems":[{"id":1298,"uris":["http://zotero.org/users/9368380/items/IL3B9YJ7"],"itemData":{"id":1298,"type":"webpage","abstract":"The World Health Organization (WHO) is building a better future for people everywhere. Health lays the foundation for vibrant and productive communities, stronger economies, safer nations and a better world. Our work touches lives around the world every day – often in invisible ways. As the lead health authority within the United Nations (UN) system, we help ensure the safety of the air we breathe, the food we eat, the water we drink and the medicines and vaccines that treat and protect us. The Organization aims to provide every child, woman and man with the best chance to lead a healthier, longer life.","language":"fr","title":"Journée africaine de la médecine traditionnelle 2022 | OMS | Bureau régional pour l'Afrique","URL":"https://www.afro.who.int/fr/regional-director/speeches-messages/journee-africaine-de-la-medecine-traditionnelle-2022","author":[{"family":"OMS","given":""}],"accessed":{"date-parts":[["2025",4,8]]},"issued":{"date-parts":[["2022"]]}}}],"schema":"https://github.com/citation-style-language/schema/raw/master/csl-citation.json"} </w:instrText>
      </w:r>
      <w:r>
        <w:rPr>
          <w:rFonts w:ascii="Arial" w:hAnsi="Arial" w:cs="Arial"/>
        </w:rPr>
        <w:fldChar w:fldCharType="separate"/>
      </w:r>
      <w:r>
        <w:rPr>
          <w:rFonts w:ascii="Arial" w:hAnsi="Arial" w:cs="Arial"/>
        </w:rPr>
        <w:t>(OMS, 2022)</w:t>
      </w:r>
      <w:r>
        <w:rPr>
          <w:rFonts w:ascii="Arial" w:hAnsi="Arial" w:cs="Arial"/>
        </w:rPr>
        <w:fldChar w:fldCharType="end"/>
      </w:r>
      <w:r>
        <w:rPr>
          <w:rFonts w:ascii="Arial" w:hAnsi="Arial" w:cs="Arial"/>
        </w:rPr>
        <w:t xml:space="preserve">. Several ethnobotanical surveys and pharmacological studies have highlighted the therapeutic potential of various plant species rich in natural antioxidant compounds, such as flavonoids, tannins and saponins </w:t>
      </w:r>
      <w:r>
        <w:rPr>
          <w:rFonts w:ascii="Arial" w:hAnsi="Arial" w:cs="Arial"/>
        </w:rPr>
        <w:fldChar w:fldCharType="begin"/>
      </w:r>
      <w:r>
        <w:rPr>
          <w:rFonts w:ascii="Arial" w:hAnsi="Arial" w:cs="Arial"/>
        </w:rPr>
        <w:instrText xml:space="preserve"> ADDIN ZOTERO_ITEM CSL_CITATION {"citationID":"bQ5v9duf","properties":{"formattedCitation":"(Belete &amp; Beyna, 2025)","plainCitation":"(Belete &amp; Beyna, 2025)","noteIndex":0},"citationItems":[{"id":1439,"uris":["http://zotero.org/users/9368380/items/7NWXK2Z3"],"itemData":{"id":1439,"type":"article-journal","abstract":"AbstraitLa médecine traditionnelle a joué un rôle clé dans le traitement du cancer, en particulier dans les pays en développement où les remèdes à base de plantes sont largement utilisés. Les connaissances ethnopharmacologiques ont mis en évidence plusieurs plantes médicinales traditionnellement utilisées pour traiter les cancers. Cependant, seule une fraction de ces plantes a fait l'objet d'une évaluation scientifique pour valider leur potentiel anticancéreux. Cette revue résume l'utilisation ethnopharmacologique, les études précliniques et les données d'essais cliniques de composés dérivés de plantes aux propriétés anticancéreuses. Les études précliniques ont démontré une activité cytotoxique importante d'extraits de plantes et de fractions isolées contre diverses lignées cellulaires cancéreuses humaines. Par exemple, des extraits d' Acokanthera schimperi, de Clematis simensis, d'Euphorbia schimperiana, de Kalanchoe petitiana et de Plumbago zeylanicum ont démontré une activité puissante contre divers types de cancer, avec des valeurs de CI50 comprises entre 0,086 et 6,37 μg/mL. Forts de ces résultats précliniques, plusieurs composés dérivés de plantes ont progressé vers les essais cliniques. La curcumine issue de Curcuma longa fait l'objet d'un essai de phase II pour le traitement du cancer du pancréas avancé. Les polyphénols du thé et l'indole-3-carbinol/3,3-diindolylméthane ont démontré leur efficacité lors d'essais de phase II pour le myélome multiple et le cancer du sein, respectivement. De plus, l'épigallocatéchine, le lycopène, le resvératrol (Polygonum), le sulforaphane ( Brassica oleracea ), la roscovitine/séliciclib, la thymoquinone, la pipérine, la berbérine et la génistéine font l'objet d'essais de phase I à III. Cette revue intègre les connaissances ethnopharmacologiques, les données précliniques et les preuves cliniques, démontrant le rôle clé des plantes médicinales dans la découverte de médicaments anticancéreux. Bien que des progrès significatifs aient été réalisés, des études supplémentaires sont nécessaires pour isoler, caractériser et élucider les mécanismes d'action des composés bioactifs. L'alliance de la médecine traditionnelle et de la recherche contemporaine offre des perspectives prometteuses pour le développement de nouveaux agents chimiothérapeutiques et chimiopréventifs, faisant progresser la lutte contre le cancer.","container-title":"Natural Product Communications","DOI":"10.1177/1934578X251333027","ISSN":"1934-578X","issue":"4","language":"EN","note":"publisher: SAGE Publications Inc","page":"1934578X251333027","source":"SAGE Journals","title":"Review on the Ethnopharmacological Use of Medicinal Plants and Their Anticancer Activity from Preclinical to Clinical Trial","volume":"20","author":[{"family":"Belete","given":"Tafere Mulaw"},{"family":"Beyna","given":"Alemante Tafese"}],"issued":{"date-parts":[["2025",4,1]]}}}],"schema":"https://github.com/citation-style-language/schema/raw/master/csl-citation.json"} </w:instrText>
      </w:r>
      <w:r>
        <w:rPr>
          <w:rFonts w:ascii="Arial" w:hAnsi="Arial" w:cs="Arial"/>
        </w:rPr>
        <w:fldChar w:fldCharType="separate"/>
      </w:r>
      <w:r>
        <w:rPr>
          <w:rFonts w:ascii="Arial" w:hAnsi="Arial" w:cs="Arial"/>
        </w:rPr>
        <w:t>(Belete, 2025; Agyare et al., 2018)</w:t>
      </w:r>
      <w:r>
        <w:rPr>
          <w:rFonts w:ascii="Arial" w:hAnsi="Arial" w:cs="Arial"/>
        </w:rPr>
        <w:fldChar w:fldCharType="end"/>
      </w:r>
      <w:r>
        <w:rPr>
          <w:rFonts w:ascii="Arial" w:hAnsi="Arial" w:cs="Arial"/>
        </w:rPr>
        <w:t xml:space="preserve">. These secondary metabolites play a key role in the neutralization of reactive oxygen species (ROS), the regulation of pro-inflammatory cytokine expression, and the inhibition of oncogenic signaling pathways </w:t>
      </w:r>
      <w:r>
        <w:rPr>
          <w:rFonts w:ascii="Arial" w:hAnsi="Arial" w:cs="Arial"/>
        </w:rPr>
        <w:fldChar w:fldCharType="begin"/>
      </w:r>
      <w:r>
        <w:rPr>
          <w:rFonts w:ascii="Arial" w:hAnsi="Arial" w:cs="Arial"/>
        </w:rPr>
        <w:instrText xml:space="preserve"> ADDIN ZOTERO_ITEM CSL_CITATION {"citationID":"2QMiLhOl","properties":{"formattedCitation":"(Hassan et al., 2025; Mahomoodally et al., 2022)","plainCitation":"(Hassan et al., 2025; Mahomoodally et al., 2022)","noteIndex":0},"citationItems":[{"id":1376,"uris":["http://zotero.org/users/9368380/items/G5M7QV6L"],"itemData":{"id":1376,"type":"article-journal","abstract":"Pain and inflammation are global public health challenges, often requiring safer and more effective treatments. Medicinal plants like Guiera senegalensis have been traditionally used for pain and inflammatory conditions, but scientific validation of their therapeutic potential is limited. This study aimed to evaluate the analgesic and anti-inflammatory properties of ethanol leaf extract of G. senegalensis in murine models. Fresh G. senegalensis leaves were collected, authenticated, and subjected to ethanol extraction. Phytochemical analysis was conducted to identify bioactive compounds. Acute toxicity studies were performed following OECD guidelines. Analgesic effects were evaluated using the acetic acid-induced writhing test and the hot plate test, while the anti-inflammatory activity was assessed using the formalin-induced paw edema model. Phytochemical analysis revealed the presence of tannins, saponins, and flavonoids. Acute toxicity tests showed no mortality or severe adverse effects at 2000 mg/kg. The extract demonstrated dose-dependent analgesic activity, with 84% inhibition of writhing at doses of 25 mg/kg and 50 mg/kg, outperforming Diclofenac (59%). In the hot plate test, moderate central analgesic effects were observed. Anti-inflammatory tests showed significant reductions in paw edema at doses of 12.5 and 25 mg/kg, comparable to Diclofenac. Ethanol leaf extract of G. senegalensis exhibits significant analgesic and anti-inflammatory activities, likely mediated by its flavonoid, saponin, and tannin content. These findings support its traditional use and highlight its potential as a natural alternative for managing pain and inflammation.","container-title":"Sciences of Phytochemistry","ISSN":"2962-553X","issue":"1","journalAbbreviation":"sciphy","language":"en","license":"Copyright (c) 2025 Umar Abdulkadir Hassan, Jalilah Ibrahim Tahir, Comfort Foluwake Akanji, Abdulmutalib Adamu, Albashir Tahir","note":"number: 1\npublisher: ETFLIN","page":"49-54","source":"etflin.com","title":"Analgesic and Anti-Inflammatory Effects of Ethanol Leaf Extract of Guiera Senegalensis in Murine Models","volume":"4","author":[{"family":"Hassan","given":"Umar Abdulkadir"},{"family":"Tahir","given":"Jalilah Ibrahim"},{"family":"Akanji","given":"Comfort Foluwake"},{"family":"Adamu","given":"Abdulmutalib"},{"family":"Tahir","given":"Albashir"}],"issued":{"date-parts":[["2025",4,25]]}}},{"id":1444,"uris":["http://zotero.org/users/9368380/items/AZX3EF2S"],"itemData":{"id":1444,"type":"article-journal","abstract":"Sepsis is a severe inflammatory response to systemic infection and is a threatening cause of death in intensive care units. In recent years, a number of studies have been conducted on the protective effect of natural products against sepsis-induced ...","container-title":"Frontiers in Pharmacology","DOI":"10.3389/fphar.2022.1046523","language":"fr","note":"PMID: 36588685","page":"1046523","source":"pmc.ncbi.nlm.nih.gov","title":"Plants’ bioactive secondary metabolites in the management of sepsis: Recent findings on their mechanism of action","title-short":"Plants’ bioactive secondary metabolites in the management of sepsis","volume":"13","author":[{"family":"Mahomoodally","given":"Mohamad Fawzi"},{"family":"Aumeeruddy","given":"Muhammad Zakariyyah"},{"family":"Legoabe","given":"Lesetja Jan"},{"family":"Dall’Acqua","given":"Stefano"},{"family":"Zengin","given":"Gokhan"}],"issued":{"date-parts":[["2022",12,16]]}}}],"schema":"https://github.com/citation-style-language/schema/raw/master/csl-citation.json"} </w:instrText>
      </w:r>
      <w:r>
        <w:rPr>
          <w:rFonts w:ascii="Arial" w:hAnsi="Arial" w:cs="Arial"/>
        </w:rPr>
        <w:fldChar w:fldCharType="separate"/>
      </w:r>
      <w:r>
        <w:rPr>
          <w:rFonts w:ascii="Arial" w:hAnsi="Arial" w:cs="Arial"/>
        </w:rPr>
        <w:t>(Hassan et al., 2025; Mahomoodally et al., 2022)</w:t>
      </w:r>
      <w:r>
        <w:rPr>
          <w:rFonts w:ascii="Arial" w:hAnsi="Arial" w:cs="Arial"/>
        </w:rPr>
        <w:fldChar w:fldCharType="end"/>
      </w:r>
      <w:r>
        <w:rPr>
          <w:rFonts w:ascii="Arial" w:hAnsi="Arial" w:cs="Arial"/>
        </w:rPr>
        <w:t xml:space="preserve">. The strategy for the WHO African Region, adopted in 2000, promotes the integration into health systems of medical practices and traditional medicines that have been shown to be safe, effective and of good </w:t>
      </w:r>
      <w:r>
        <w:rPr>
          <w:rFonts w:ascii="Arial" w:hAnsi="Arial" w:cs="Arial"/>
        </w:rPr>
        <w:fldChar w:fldCharType="begin"/>
      </w:r>
      <w:r>
        <w:rPr>
          <w:rFonts w:ascii="Arial" w:hAnsi="Arial" w:cs="Arial"/>
        </w:rPr>
        <w:instrText xml:space="preserve"> ADDIN ZOTERO_ITEM CSL_CITATION {"citationID":"73fZujZw","properties":{"formattedCitation":"(Haidara et al., 2024)","plainCitation":"(Haidara et al., 2024)","noteIndex":0},"citationItems":[{"id":1175,"uris":["http://zotero.org/users/9368380/items/XJU3I6IW"],"itemData":{"id":1175,"type":"article-journal","abstract":"Terminalia macroptera leaves and roots frequently used in Malian ethnomedicine showed some biological activities against liver diseases. The present study aimed to control the quality of powdered leaves and roots, and to evaluate the anti-hepatocarcinoma activity of their extracts. The quality control focused on the determination of the botanical and physicochemical parameters. The free radical scavenging activity of the ethanolic extracts of the leaves or roots was evaluated by the DPPH radical reduction method. The anti-hepatocarcinoma activity of the ethanolic extracts of the leaves or roots was evaluated in vitro on the human hepatocarcinoma (HepG2) cell line using the MTT test. The organoleptic and microscopic characters coupled physicochemical parameters for the identification of good samples of the powdered leaves and roots were established. The best free radical scavenging and antihepatocarcinoma activities were obtained with the ethanolic extract of the leaves with an EC50 of 6.1 ± 0.3 µg / mL of 15 μg / mL respectively. These findings will help more to prepare a monograph and to validate the use of Terminalia macroptera for liver diseases.","container-title":"Journal of Pharmacognosy and Phytochemistry","DOI":"10.22271/phyto.2024.v13.i2d.14908","ISSN":"23498234, 22784136","issue":"2","journalAbbreviation":"J Pharmacogn Phytochem","language":"en","page":"657-661","source":"DOI.org (Crossref)","title":"Pharmacognosic study and anti-hepatocarcinoma activity of extracts from leaves and roots of Terminalia macroptera Guill. &amp; Perr. (Combretaceae)","volume":"13","author":[{"family":"Haidara","given":"M"},{"family":"A","given":"Denou"},{"family":"M","given":"Haddad"},{"family":"Bourdy","given":"Geneviève"},{"family":"Sanogo","given":"Rokia"}],"issued":{"date-parts":[["2024",1,1]]}}}],"schema":"https://github.com/citation-style-language/schema/raw/master/csl-citation.json"} </w:instrText>
      </w:r>
      <w:r>
        <w:rPr>
          <w:rFonts w:ascii="Arial" w:hAnsi="Arial" w:cs="Arial"/>
        </w:rPr>
        <w:fldChar w:fldCharType="separate"/>
      </w:r>
      <w:r>
        <w:rPr>
          <w:rFonts w:ascii="Arial" w:hAnsi="Arial" w:cs="Arial"/>
        </w:rPr>
        <w:t>(Haidara et al., 2024)</w:t>
      </w:r>
      <w:r>
        <w:rPr>
          <w:rFonts w:ascii="Arial" w:hAnsi="Arial" w:cs="Arial"/>
        </w:rPr>
        <w:fldChar w:fldCharType="end"/>
      </w:r>
      <w:r>
        <w:rPr>
          <w:rFonts w:ascii="Arial" w:hAnsi="Arial" w:cs="Arial"/>
        </w:rPr>
        <w:t xml:space="preserve">. </w:t>
      </w:r>
      <w:r>
        <w:rPr>
          <w:rFonts w:ascii="Arial" w:hAnsi="Arial" w:cs="Arial"/>
          <w:szCs w:val="24"/>
        </w:rPr>
        <w:t>However, the available scientific data on their pharmacological properties remain insufficiently documented. This gap hinders their integration into evidence-based therapeutic strategies and hinders their valorization in a modern biomedical framework.</w:t>
      </w:r>
    </w:p>
    <w:p>
      <w:pPr>
        <w:jc w:val="both"/>
        <w:rPr>
          <w:rFonts w:ascii="Arial" w:hAnsi="Arial" w:cs="Arial"/>
          <w:szCs w:val="24"/>
        </w:rPr>
      </w:pPr>
      <w:r>
        <w:rPr>
          <w:rFonts w:ascii="Arial" w:hAnsi="Arial" w:cs="Arial"/>
          <w:szCs w:val="24"/>
        </w:rPr>
        <w:t xml:space="preserve">This review highlights five plants commonly used in Burkina Faso: </w:t>
      </w:r>
      <w:proofErr w:type="spellStart"/>
      <w:r>
        <w:rPr>
          <w:rFonts w:ascii="Arial" w:hAnsi="Arial" w:cs="Arial"/>
          <w:i/>
          <w:iCs/>
          <w:szCs w:val="24"/>
        </w:rPr>
        <w:t>Guiera</w:t>
      </w:r>
      <w:proofErr w:type="spellEnd"/>
      <w:r>
        <w:rPr>
          <w:rFonts w:ascii="Arial" w:hAnsi="Arial" w:cs="Arial"/>
          <w:i/>
          <w:iCs/>
          <w:szCs w:val="24"/>
        </w:rPr>
        <w:t xml:space="preserve"> senegalensis, Acacia </w:t>
      </w:r>
      <w:proofErr w:type="spellStart"/>
      <w:r>
        <w:rPr>
          <w:rFonts w:ascii="Arial" w:hAnsi="Arial" w:cs="Arial"/>
          <w:i/>
          <w:iCs/>
          <w:szCs w:val="24"/>
        </w:rPr>
        <w:t>nilotica</w:t>
      </w:r>
      <w:proofErr w:type="spellEnd"/>
      <w:r>
        <w:rPr>
          <w:rFonts w:ascii="Arial" w:hAnsi="Arial" w:cs="Arial"/>
          <w:i/>
          <w:iCs/>
          <w:szCs w:val="24"/>
        </w:rPr>
        <w:t xml:space="preserve">, </w:t>
      </w:r>
      <w:proofErr w:type="spellStart"/>
      <w:r>
        <w:rPr>
          <w:rFonts w:ascii="Arial" w:hAnsi="Arial" w:cs="Arial"/>
          <w:i/>
          <w:iCs/>
          <w:szCs w:val="24"/>
        </w:rPr>
        <w:t>Faidherbia</w:t>
      </w:r>
      <w:proofErr w:type="spellEnd"/>
      <w:r>
        <w:rPr>
          <w:rFonts w:ascii="Arial" w:hAnsi="Arial" w:cs="Arial"/>
          <w:i/>
          <w:iCs/>
          <w:szCs w:val="24"/>
        </w:rPr>
        <w:t xml:space="preserve"> </w:t>
      </w:r>
      <w:proofErr w:type="spellStart"/>
      <w:r>
        <w:rPr>
          <w:rFonts w:ascii="Arial" w:hAnsi="Arial" w:cs="Arial"/>
          <w:i/>
          <w:iCs/>
          <w:szCs w:val="24"/>
        </w:rPr>
        <w:t>albida</w:t>
      </w:r>
      <w:proofErr w:type="spellEnd"/>
      <w:r>
        <w:rPr>
          <w:rFonts w:ascii="Arial" w:hAnsi="Arial" w:cs="Arial"/>
          <w:i/>
          <w:iCs/>
          <w:szCs w:val="24"/>
        </w:rPr>
        <w:t xml:space="preserve">, </w:t>
      </w:r>
      <w:proofErr w:type="spellStart"/>
      <w:r>
        <w:rPr>
          <w:rFonts w:ascii="Arial" w:hAnsi="Arial" w:cs="Arial"/>
          <w:i/>
          <w:iCs/>
          <w:szCs w:val="24"/>
        </w:rPr>
        <w:t>Zanthoxylum</w:t>
      </w:r>
      <w:proofErr w:type="spellEnd"/>
      <w:r>
        <w:rPr>
          <w:rFonts w:ascii="Arial" w:hAnsi="Arial" w:cs="Arial"/>
          <w:i/>
          <w:iCs/>
          <w:szCs w:val="24"/>
        </w:rPr>
        <w:t xml:space="preserve"> </w:t>
      </w:r>
      <w:proofErr w:type="spellStart"/>
      <w:r>
        <w:rPr>
          <w:rFonts w:ascii="Arial" w:hAnsi="Arial" w:cs="Arial"/>
          <w:i/>
          <w:iCs/>
          <w:szCs w:val="24"/>
        </w:rPr>
        <w:t>zanthoxyloides</w:t>
      </w:r>
      <w:proofErr w:type="spellEnd"/>
      <w:r>
        <w:rPr>
          <w:rFonts w:ascii="Arial" w:hAnsi="Arial" w:cs="Arial"/>
          <w:i/>
          <w:iCs/>
          <w:szCs w:val="24"/>
        </w:rPr>
        <w:t xml:space="preserve"> and Zingiber officinale</w:t>
      </w:r>
      <w:r>
        <w:rPr>
          <w:rFonts w:ascii="Arial" w:hAnsi="Arial" w:cs="Arial"/>
          <w:szCs w:val="24"/>
        </w:rPr>
        <w:t xml:space="preserve"> by presenting their traditional uses, chemical composition and biological effects. The objective is to bring together the available knowledge to encourage its development as accessible, effective and safe therapeutic alternatives against inflammatory diseases and certain cancers.</w:t>
      </w:r>
    </w:p>
    <w:p>
      <w:pPr>
        <w:pStyle w:val="Body"/>
        <w:spacing w:after="0"/>
        <w:rPr>
          <w:rFonts w:ascii="Arial" w:hAnsi="Arial" w:cs="Arial"/>
        </w:rPr>
      </w:pPr>
    </w:p>
    <w:p>
      <w:pPr>
        <w:pStyle w:val="AbstHead"/>
        <w:spacing w:after="0"/>
        <w:jc w:val="both"/>
        <w:rPr>
          <w:rFonts w:ascii="Arial" w:hAnsi="Arial" w:cs="Arial"/>
        </w:rPr>
      </w:pPr>
      <w:r>
        <w:rPr>
          <w:rFonts w:ascii="Arial" w:hAnsi="Arial" w:cs="Arial"/>
        </w:rPr>
        <w:t xml:space="preserve">2. methodology </w:t>
      </w:r>
    </w:p>
    <w:p>
      <w:pPr>
        <w:pStyle w:val="AbstHead"/>
        <w:spacing w:after="0"/>
        <w:jc w:val="both"/>
        <w:rPr>
          <w:rFonts w:ascii="Arial" w:hAnsi="Arial" w:cs="Arial"/>
        </w:rPr>
      </w:pPr>
    </w:p>
    <w:p>
      <w:pPr>
        <w:pStyle w:val="Body"/>
        <w:spacing w:after="0"/>
        <w:rPr>
          <w:rFonts w:ascii="Arial" w:hAnsi="Arial" w:cs="Arial"/>
        </w:rPr>
      </w:pPr>
      <w:r>
        <w:rPr>
          <w:rFonts w:ascii="Arial" w:hAnsi="Arial" w:cs="Arial"/>
        </w:rPr>
        <w:t xml:space="preserve">A literature review was carried out using Google </w:t>
      </w:r>
      <w:proofErr w:type="spellStart"/>
      <w:r>
        <w:rPr>
          <w:rFonts w:ascii="Arial" w:hAnsi="Arial" w:cs="Arial"/>
        </w:rPr>
        <w:t>sholar</w:t>
      </w:r>
      <w:proofErr w:type="spellEnd"/>
      <w:r>
        <w:rPr>
          <w:rFonts w:ascii="Arial" w:hAnsi="Arial" w:cs="Arial"/>
        </w:rPr>
        <w:t xml:space="preserve">, </w:t>
      </w:r>
      <w:proofErr w:type="spellStart"/>
      <w:r>
        <w:rPr>
          <w:rFonts w:ascii="Arial" w:hAnsi="Arial" w:cs="Arial"/>
        </w:rPr>
        <w:t>Pubmed</w:t>
      </w:r>
      <w:proofErr w:type="spellEnd"/>
      <w:r>
        <w:rPr>
          <w:rFonts w:ascii="Arial" w:hAnsi="Arial" w:cs="Arial"/>
        </w:rPr>
        <w:t xml:space="preserve"> central. Keywords used included “anti-inflammatory”, “analgesic”, “antipyretic”, “antioxidant”, “phytochemical”, ‘cytotoxic’ and “sub-Saharan Africa”. The scientific name of each plant was then combined separately with the preceding terms and synonyms used.  Sources used in this review included articles in French and English, covering academic research as well as journal articles. Exclusion criteria were studies published before 2012 and those not from sub-Saharan Africa. </w:t>
      </w:r>
    </w:p>
    <w:p>
      <w:pPr>
        <w:pStyle w:val="Body"/>
        <w:spacing w:after="0"/>
        <w:rPr>
          <w:rFonts w:ascii="Arial" w:hAnsi="Arial" w:cs="Arial"/>
        </w:rPr>
      </w:pPr>
    </w:p>
    <w:p>
      <w:pPr>
        <w:pStyle w:val="Head1"/>
        <w:jc w:val="both"/>
        <w:rPr>
          <w:rFonts w:ascii="Arial" w:hAnsi="Arial" w:cs="Arial"/>
        </w:rPr>
      </w:pPr>
      <w:r>
        <w:rPr>
          <w:rFonts w:ascii="Arial" w:hAnsi="Arial" w:cs="Arial"/>
        </w:rPr>
        <w:t xml:space="preserve">3. results </w:t>
      </w:r>
    </w:p>
    <w:p>
      <w:pPr>
        <w:pStyle w:val="Body"/>
        <w:rPr>
          <w:rFonts w:ascii="Arial" w:hAnsi="Arial" w:cs="Arial"/>
          <w:b/>
          <w:bCs/>
          <w:i/>
          <w:iCs/>
        </w:rPr>
      </w:pPr>
      <w:r>
        <w:rPr>
          <w:rFonts w:ascii="Arial" w:hAnsi="Arial" w:cs="Arial"/>
          <w:b/>
          <w:bCs/>
        </w:rPr>
        <w:t xml:space="preserve">3.1 </w:t>
      </w:r>
      <w:proofErr w:type="spellStart"/>
      <w:r>
        <w:rPr>
          <w:rFonts w:ascii="Arial" w:hAnsi="Arial" w:cs="Arial"/>
          <w:b/>
          <w:bCs/>
          <w:i/>
          <w:iCs/>
        </w:rPr>
        <w:t>Guiera</w:t>
      </w:r>
      <w:proofErr w:type="spellEnd"/>
      <w:r>
        <w:rPr>
          <w:rFonts w:ascii="Arial" w:hAnsi="Arial" w:cs="Arial"/>
          <w:b/>
          <w:bCs/>
          <w:i/>
          <w:iCs/>
        </w:rPr>
        <w:t xml:space="preserve"> senegalensis</w:t>
      </w:r>
    </w:p>
    <w:p>
      <w:pPr>
        <w:pStyle w:val="Body"/>
        <w:rPr>
          <w:rFonts w:ascii="Arial" w:hAnsi="Arial" w:cs="Arial"/>
        </w:rPr>
      </w:pPr>
      <w:r>
        <w:rPr>
          <w:rFonts w:ascii="Arial" w:hAnsi="Arial" w:cs="Arial"/>
          <w:b/>
          <w:bCs/>
        </w:rPr>
        <w:t>3.1.1 Traditional use</w:t>
      </w:r>
      <w:r>
        <w:rPr>
          <w:rFonts w:ascii="Arial" w:hAnsi="Arial" w:cs="Arial"/>
        </w:rPr>
        <w:t>:</w:t>
      </w:r>
    </w:p>
    <w:p>
      <w:pPr>
        <w:pStyle w:val="Body"/>
        <w:rPr>
          <w:rFonts w:ascii="Arial" w:hAnsi="Arial" w:cs="Arial"/>
        </w:rPr>
      </w:pP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J.F. </w:t>
      </w:r>
      <w:proofErr w:type="spellStart"/>
      <w:r>
        <w:rPr>
          <w:rFonts w:ascii="Arial" w:hAnsi="Arial" w:cs="Arial"/>
        </w:rPr>
        <w:t>Gmel</w:t>
      </w:r>
      <w:proofErr w:type="spellEnd"/>
      <w:r>
        <w:rPr>
          <w:rFonts w:ascii="Arial" w:hAnsi="Arial" w:cs="Arial"/>
        </w:rPr>
        <w:t xml:space="preserve">, belonging to the </w:t>
      </w:r>
      <w:proofErr w:type="spellStart"/>
      <w:r>
        <w:rPr>
          <w:rFonts w:ascii="Arial" w:hAnsi="Arial" w:cs="Arial"/>
        </w:rPr>
        <w:t>Combretaceae</w:t>
      </w:r>
      <w:proofErr w:type="spellEnd"/>
      <w:r>
        <w:rPr>
          <w:rFonts w:ascii="Arial" w:hAnsi="Arial" w:cs="Arial"/>
        </w:rPr>
        <w:t xml:space="preserve"> family (Figure 1.A), is regarded by traditional health practitioners of Burkina Faso, Senegal, and Mali as a "miracle remedy" due to its notable and diverse medicinal properties. The most common form of preparation for internal use is decoction, or incorporation into food preparations. Traditionally, it is used to treat a wide range of ailments including malaria, dysentery, diarrhea, cough, common cold, abdominal pain, leprosy, hypertension, diabetes, hemorrhoids, eczema, impotence, epilepsy, breast cancer, jaundice, and depression </w:t>
      </w:r>
      <w:r>
        <w:rPr>
          <w:rFonts w:ascii="Arial" w:hAnsi="Arial" w:cs="Arial"/>
        </w:rPr>
        <w:fldChar w:fldCharType="begin"/>
      </w:r>
      <w:r>
        <w:rPr>
          <w:rFonts w:ascii="Arial" w:hAnsi="Arial" w:cs="Arial"/>
        </w:rPr>
        <w:instrText xml:space="preserve"> ADDIN ZOTERO_ITEM CSL_CITATION {"citationID":"WZ5tfNbc","properties":{"formattedCitation":"(Fadimu, 2014)","plainCitation":"(Fadimu, 2014)","dontUpdate":true,"noteIndex":0},"citationItems":[{"id":875,"uris":["http://zotero.org/users/9368380/items/NB78TUVM"],"itemData":{"id":875,"type":"article-journal","abstract":"This study investigated the ethnomedicinal survey of plants used for the treatment of typhoid fever in Ijebu Ode Local\nGovernment Area of Ogun State Nigeria. A total of 450 respondents (herbalists, herb sellers, farmers and traditional\nmedical practitioners) were interviewed from various notable markets and communities within Ijebu Ode environs.\nDescriptive analysis such as frequency tables and percentages were used for the analysis. Forty plants belonging to twenty\n–six different families were collected. The plants’ families represented in the collection include Annonaceae, Asteraceae,\nApocynaceae, Bromeliaceae, Combretaceae, Caesalpinaceae, Euphorbiaceae, Liliaceae, Rutaceae, Zingibaraceae and\nothers. Most of the recipes are used in combination for proper treatment of the typhoid fever. Methods of the\nadministration of the phytomedicines were concoction, decoction, infusions and powdered residue. Therefore more\npharmaceutical research work should be financed by the Federal Government on the active ingredients of these plant\nspecies to determine their dosage level and to conserve and improve their genetic constituents.","container-title":"International Journal of Science and Nature","journalAbbreviation":"International Journal of Science and Nature","page":"332-336","source":"ResearchGate","title":"ETHNOMEDICINAL SURVEY OF ANTI-TYPHOID PLANTS IN IJEBU ODE LOCAL GOVERNMENT AREA OF OGUN STATE, NIGERIA","volume":"Volume 5","author":[{"family":"Fadimu","given":"Olanrewaju"}],"issued":{"date-parts":[["2014",4,1]]}}}],"schema":"https://github.com/citation-style-language/schema/raw/master/csl-citation.json"} </w:instrText>
      </w:r>
      <w:r>
        <w:rPr>
          <w:rFonts w:ascii="Arial" w:hAnsi="Arial" w:cs="Arial"/>
        </w:rPr>
        <w:fldChar w:fldCharType="separate"/>
      </w:r>
      <w:r>
        <w:rPr>
          <w:rFonts w:ascii="Arial" w:hAnsi="Arial" w:cs="Arial"/>
        </w:rPr>
        <w:t>(Fadimu, 2014</w:t>
      </w:r>
      <w:r>
        <w:rPr>
          <w:rFonts w:ascii="Arial" w:hAnsi="Arial" w:cs="Arial"/>
        </w:rPr>
        <w:fldChar w:fldCharType="begin"/>
      </w:r>
      <w:r>
        <w:rPr>
          <w:rFonts w:ascii="Arial" w:hAnsi="Arial" w:cs="Arial"/>
        </w:rPr>
        <w:instrText xml:space="preserve"> ADDIN ZOTERO_ITEM CSL_CITATION {"citationID":"BWmgUGp5","properties":{"formattedCitation":"(Ibrahim et al., 2022)","plainCitation":"(Ibrahim et al., 2022)","dontUpdate":true,"noteIndex":0},"citationItems":[{"id":910,"uris":["http://zotero.org/users/9368380/items/MGKYC8AW"],"itemData":{"id":910,"type":"article-journal","abstract":"The emergence of COVID-19 (SARS-COV-2) has resulted in millions of deaths worldwide. Nigeria has recorded over 2000 deaths due to the disease. Development of alternative medicine from plants against SARS-COV-2 can be a potential therapy for treatment of secondary complications. To investigate plants with potential to manage respiratory tract infections. The plants were extracted and screened for phytochemical constituents; their acute and subacute toxicity profile was evaluated. The plant extracts were tested against clinical microbial isolates associated with respiratory tract infection. All the plants extract were found to have acute toxicity dose above 5000 mg per kg body weight. Among the four tested medicinal plants Guiera senegalensis was found to have significant zone of inhibition against Klebsiella pneumonia and Moraxella catarrhalis more than the standard drug (Gentamicin). Guiera senegalensis has been used in traditional medicine to treat bacterial infections without any report of toxicity. The preclinical study indicated that Guiera senegalensis can be used in the management of respiratory infections associated with symptoms of COVID 19. Guiera senegalensis can therefore be used as a potential medicinal plant for management of secondary bacterial infections in Covid19 patients.","container-title":"Journal of Phytomedicine and Therapeutics","DOI":"10.4314/jopat.v21i2.10","ISSN":"1118-1028","issue":"2","language":"en","license":"Copyright (c) 0","note":"number: 2","page":"883-890","source":"www.ajol.info","title":"Screening and identification of candidate therapeutic drugs from plants for the management of patients infected bacterial infection associated with SARS COV-2","volume":"21","author":[{"family":"Ibrahim","given":"S. I."},{"family":"Mukhtar","given":"F. B."},{"family":"Abdulkarim","given":"S."},{"family":"Yarima","given":"M. B."},{"family":"Ali","given":"A."},{"family":"Chifu","given":"E."},{"family":"Yamuna","given":"K."},{"family":"Mohammad","given":"A. B."},{"family":"Nafisatu","given":"K."},{"family":"Balogun","given":"J. B."},{"family":"Bashir","given":"M."},{"family":"Saifullahi","given":"U."}],"issued":{"date-parts":[["2022",12,5]]}}}],"schema":"https://github.com/citation-style-language/schema/raw/master/csl-citation.json"} </w:instrText>
      </w:r>
      <w:r>
        <w:rPr>
          <w:rFonts w:ascii="Arial" w:hAnsi="Arial" w:cs="Arial"/>
        </w:rPr>
        <w:fldChar w:fldCharType="separate"/>
      </w:r>
      <w:r>
        <w:rPr>
          <w:rFonts w:ascii="Arial" w:hAnsi="Arial" w:cs="Arial"/>
        </w:rPr>
        <w:t xml:space="preserve">; Ibrahim et </w:t>
      </w:r>
      <w:r>
        <w:rPr>
          <w:rFonts w:ascii="Arial" w:hAnsi="Arial" w:cs="Arial"/>
          <w:i/>
          <w:iCs/>
        </w:rPr>
        <w:t>al,</w:t>
      </w:r>
      <w:r>
        <w:rPr>
          <w:rFonts w:ascii="Arial" w:hAnsi="Arial" w:cs="Arial"/>
        </w:rPr>
        <w:t xml:space="preserve"> 2022;</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{"citationID":"xjxkRJMs","properties":{"formattedCitation":"(Momoh et al., 2021)","plainCitation":"(Momoh et al., 2021)","dontUpdate":true,"noteIndex":0},"citationItems":[{"id":878,"uris":["http://zotero.org/users/9368380/items/NV7KW4GS"],"itemData":{"id":878,"type":"article-journal","abstract":"The leaves of Guiera senegalensis extracts were extracted using solvents of increasing polarity in order to investigate preliminary phytochemical constituents, antimicrobial activity and cytotoxic effect of the crude extracts. The results of the phytochemical screening indicated the presence of cardiac glycosides, saponins, flavonoids, tannins, steroids, terpenoids and alkaloids. While the antimicrobial activity of the extracts against ten pathogenic organisms revealed moderate to good inhibition of six of the ten bacterial and fungal species. Generally, the ethyl acetate extract appeared to have the highest zone of inhibition (24 mm) and best minimum inhibitory concentration (2.5mg/ml) against Staphylococcus aureus. The cytotoxicity effects revealed that the chloroform extracts exhibited the highest lethality on brine shrimp larvae at LC50 value of 58.908µg/ml.","container-title":"ChemSearch Journal","ISSN":"2384-6208","issue":"2","language":"en","license":"Copyright (c) 0","note":"number: 2","page":"88-93","source":"www.ajol.info","title":"Pytochemical Screening, Antimicrobial Activity and Cytotoxicity Effects of Extract of Guiera senegalensis Leaves","volume":"12","author":[{"family":"Momoh","given":"H."},{"family":"Olaleye","given":"A. A."},{"family":"Sadiq","given":"I. S."},{"family":"Mohammad","given":"A."}],"issued":{"date-parts":[["2021"]]}}}],"schema":"https://github.com/citation-style-language/schema/raw/master/csl-citation.json"} </w:instrText>
      </w:r>
      <w:r>
        <w:rPr>
          <w:rFonts w:ascii="Arial" w:hAnsi="Arial" w:cs="Arial"/>
        </w:rPr>
        <w:fldChar w:fldCharType="separate"/>
      </w:r>
      <w:r>
        <w:rPr>
          <w:rFonts w:ascii="Arial" w:hAnsi="Arial" w:cs="Arial"/>
        </w:rPr>
        <w:t xml:space="preserve">Momoh et </w:t>
      </w:r>
      <w:r>
        <w:rPr>
          <w:rFonts w:ascii="Arial" w:hAnsi="Arial" w:cs="Arial"/>
          <w:i/>
          <w:iCs/>
        </w:rPr>
        <w:t>al</w:t>
      </w:r>
      <w:r>
        <w:rPr>
          <w:rFonts w:ascii="Arial" w:hAnsi="Arial" w:cs="Arial"/>
        </w:rPr>
        <w:t>, 2021;</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{"citationID":"mmnnRiQU","properties":{"formattedCitation":"(Traore et al., 2017)","plainCitation":"(Traore et al., 2017)","dontUpdate":true,"noteIndex":0},"citationItems":[{"id":941,"uris":["http://zotero.org/users/9368380/items/FKMQWFIY"],"itemData":{"id":941,"type":"article-journal","abstract":"Cassia sieberiana DC. (Caesalpiniaceae), Guiera senegalensis JF. Gmel (Combretaceae) and Excoecaria grahamii (Hochst) Pax. (Euphorbiaceae) are used in traditional medicine in Burkina Faso to treat gastro-intestinal parasites. Standard methods were used for phytochemical screening and to evaluate the in vitro anthelmintic activity of the aqueous extracts of the three (3) plants using the egg hatch test against Haemonchus contortus eggs. The phytochemical analysis revealed the presence of anthocyanosides, tannins, saponosides, reducing compounds, carbohydrates, flavonoids and triterpenic steroids in the extracts of the root bark of C. sieberiana and the leaves of C. sieberiana, G. senegalensis and E. grahamii. All extracts inhibited significantly (p&amp;lt; 0.05) the eggs hatch of H. contortus. At the concentration of 14.25 mg/mL, the percentages of inhibition varied from 60.33 &amp;plusmn; 8.43 to 76.6 &amp;plusmn; 4.91%. These results indicate that the studied plants possess anthelminthic activities and thus justify their use for the treatment of gastrointestinal parasites infections.\n\n\t&amp;nbsp;\n\n\tKey words: Anthelmintic activity, medicinal plants, phytochemical, in vitro, Haemonchus contortus, Burkina Faso.\n\n\t&amp;nbsp;","container-title":"African Journal of Pharmacy and Pharmacology","DOI":"10.5897/AJPP2017.4837","ISSN":"1996-0816","issue":"44","journalAbbreviation":"AJPP","language":"en","note":"publisher: Academic Journals","page":"554-560","source":"academicjournals.org","title":"Phytochemical analysis and ovicidal activity of Cassia sieberiana, Guiera senegalensis and Excoecaria grahamii extracts","volume":"11","author":[{"family":"Traore","given":"Aristide"},{"family":"Ouedraogo","given":"Sylvin"},{"family":"Belemlilga","given":"Mohamed Bonewende"},{"family":"Kabore","given":"Adama"},{"family":"Guissou","given":"Innocent Pierre"}],"issued":{"date-parts":[["2017",11,29]]}}}],"schema":"https://github.com/citation-style-language/schema/raw/master/csl-citation.json"} </w:instrText>
      </w:r>
      <w:r>
        <w:rPr>
          <w:rFonts w:ascii="Arial" w:hAnsi="Arial" w:cs="Arial"/>
        </w:rPr>
        <w:fldChar w:fldCharType="separate"/>
      </w:r>
      <w:r>
        <w:rPr>
          <w:rFonts w:ascii="Arial" w:hAnsi="Arial" w:cs="Arial"/>
        </w:rPr>
        <w:t xml:space="preserve">Traore et </w:t>
      </w:r>
      <w:r>
        <w:rPr>
          <w:rFonts w:ascii="Arial" w:hAnsi="Arial" w:cs="Arial"/>
          <w:i/>
          <w:iCs/>
        </w:rPr>
        <w:t>al,</w:t>
      </w:r>
      <w:r>
        <w:rPr>
          <w:rFonts w:ascii="Arial" w:hAnsi="Arial" w:cs="Arial"/>
        </w:rPr>
        <w:t xml:space="preserve"> 2017</w:t>
      </w:r>
      <w:r>
        <w:rPr>
          <w:rFonts w:ascii="Arial" w:hAnsi="Arial" w:cs="Arial"/>
        </w:rPr>
        <w:fldChar w:fldCharType="end"/>
      </w:r>
      <w:r>
        <w:rPr>
          <w:rFonts w:ascii="Arial" w:hAnsi="Arial" w:cs="Arial"/>
        </w:rPr>
        <w:t>)</w:t>
      </w:r>
      <w:r>
        <w:rPr>
          <w:rFonts w:ascii="Arial" w:hAnsi="Arial" w:cs="Arial"/>
        </w:rPr>
        <w:fldChar w:fldCharType="end"/>
      </w:r>
      <w:r>
        <w:rPr>
          <w:rFonts w:ascii="Arial" w:hAnsi="Arial" w:cs="Arial"/>
        </w:rPr>
        <w:t xml:space="preserve">. </w:t>
      </w:r>
    </w:p>
    <w:p>
      <w:pPr>
        <w:pStyle w:val="Body"/>
        <w:rPr>
          <w:rFonts w:ascii="Arial" w:hAnsi="Arial" w:cs="Arial"/>
          <w:b/>
          <w:bCs/>
        </w:rPr>
      </w:pPr>
      <w:r>
        <w:rPr>
          <w:rFonts w:ascii="Arial" w:hAnsi="Arial" w:cs="Arial"/>
          <w:b/>
          <w:bCs/>
        </w:rPr>
        <w:t xml:space="preserve">3.1.2 Phytochemistry </w:t>
      </w:r>
    </w:p>
    <w:p>
      <w:pPr>
        <w:pStyle w:val="Body"/>
        <w:rPr>
          <w:rFonts w:ascii="Arial" w:hAnsi="Arial" w:cs="Arial"/>
        </w:rPr>
      </w:pPr>
      <w:r>
        <w:rPr>
          <w:rFonts w:ascii="Arial" w:hAnsi="Arial" w:cs="Arial"/>
        </w:rPr>
        <w:t xml:space="preserve">Several studies report that the plant's leaves contain alkaloids, carbohydrates, flavonoids, steroids, terpenoids, saponins, tannins, proteins and carbohydrates </w:t>
      </w:r>
      <w:r>
        <w:rPr>
          <w:rFonts w:ascii="Arial" w:hAnsi="Arial" w:cs="Arial"/>
        </w:rPr>
        <w:fldChar w:fldCharType="begin"/>
      </w:r>
      <w:r>
        <w:rPr>
          <w:rFonts w:ascii="Arial" w:hAnsi="Arial" w:cs="Arial"/>
        </w:rPr>
        <w:instrText xml:space="preserve"> ADDIN ZOTERO_ITEM CSL_CITATION {"citationID":"BV0QAQH2","properties":{"formattedCitation":"(Bulakarima et al., 2022)","plainCitation":"(Bulakarima et al., 2022)","noteIndex":0},"citationItems":[{"id":916,"uris":["http://zotero.org/users/9368380/items/9AT7CW3M"],"itemData":{"id":916,"type":"article-journal","DOI":"10.20959/wjpps20229-23079","source":"ResearchGate","title":"ANTIFUNGAL AND PHYTOCHEMICAL ANALYSIS OF BIOACTIVE COMPOUNDS OF GUIERA SENEGALENSIS LEAVES","author":[{"family":"Bulakarima","given":"Adamu"},{"family":"Dudha","given":"Namrata"},{"family":"Kumar","given":"Subodh"}],"issued":{"date-parts":[["2022",9,6]]}}}],"schema":"https://github.com/citation-style-language/schema/raw/master/csl-citation.json"} </w:instrText>
      </w:r>
      <w:r>
        <w:rPr>
          <w:rFonts w:ascii="Arial" w:hAnsi="Arial" w:cs="Arial"/>
        </w:rPr>
        <w:fldChar w:fldCharType="separate"/>
      </w:r>
      <w:r>
        <w:rPr>
          <w:rFonts w:ascii="Arial" w:hAnsi="Arial" w:cs="Arial"/>
        </w:rPr>
        <w:t>(Bulakarima et al., 2022)</w:t>
      </w:r>
      <w:r>
        <w:rPr>
          <w:rFonts w:ascii="Arial" w:hAnsi="Arial" w:cs="Arial"/>
        </w:rPr>
        <w:fldChar w:fldCharType="end"/>
      </w:r>
      <w:r>
        <w:rPr>
          <w:rFonts w:ascii="Arial" w:hAnsi="Arial" w:cs="Arial"/>
        </w:rPr>
        <w:t xml:space="preserve">. In galls, alkaloids, polyphenols and saponins have been detected. </w:t>
      </w:r>
      <w:r>
        <w:rPr>
          <w:rFonts w:ascii="Arial" w:hAnsi="Arial" w:cs="Arial"/>
        </w:rPr>
        <w:fldChar w:fldCharType="begin"/>
      </w:r>
      <w:r>
        <w:rPr>
          <w:rFonts w:ascii="Arial" w:hAnsi="Arial" w:cs="Arial"/>
        </w:rPr>
        <w:instrText xml:space="preserve"> ADDIN ZOTERO_ITEM CSL_CITATION {"citationID":"nxVVPOvB","properties":{"formattedCitation":"(Denou et al., 2016; Jigam et al., 2011)","plainCitation":"(Denou et al., 2016; Jigam et al., 2011)","dontUpdate":true,"noteIndex":0},"citationItems":[{"id":894,"uris":["http://zotero.org/users/9368380/items/PT2ZGFQY"],"itemData":{"id":894,"type":"article-journal","abstract":"Guiera senegalensis Gmel (combretaceae) is a common herbal antipyretic and antimalarial among some tribal groups in northern Nigeria. Leaf extracts of the plant were thus tested for antiplasmodial, analgesic and anti-inflammatory effects in vivo. Phytochemical screening indicated the presence of alkaloids, glycosides, tannins and flavonoids. The extracts had no adverse effects at 600 mg/kg body weight (bw) with LD50 of 2800 mg/kg body weight. G. senegalensis extract significantly (p &amp;lt; 0.05) suppressed the parasites in mice but exhibited no prophylactic activity. It also exhibited analgesic activity with no anti inflammatory effect.","container-title":"Nigerian Journal of Biochemistry and Molecular Biology","ISSN":"2659-0042","issue":"1","language":"en","license":"Copyright (c) 2023 the Nigerian Society of Biochemistry and Molecular Biology","note":"number: 1","page":"33-38","source":"www.ajol.info","title":"Antiplasmodial, analgesic and anti-inflammatory effects of crude Guiera senegalensis leaf extracts in mice infected with Plasmodium berghei","volume":"26","author":[{"family":"Jigam","given":"A. A."},{"family":"Akanya","given":"H. O."},{"family":"Dauda","given":"B. E. N."},{"family":"Ogbadoyi","given":"E. O."}],"issued":{"date-parts":[["2011"]]}}},{"id":1202,"uris":["http://zotero.org/users/9368380/items/NLV7AP8T"],"itemData":{"id":1202,"type":"article-journal","container-title":"International Journal of New Technology and Research","issue":"3","note":"publisher: Nextgen Research Publication","page":"263586","source":"Google Scholar","title":"Review on phytochemistry and pharmacological aspects of Guiera senegalensis JF Gmel (Combretaceae)","volume":"2","author":[{"family":"Denou","given":"Adama"},{"family":"Togola","given":"Adiaratou"},{"family":"Haïdara","given":"Mahamane"},{"family":"Sanogo","given":"Rokia"},{"family":"Diallo","given":"Drissa"},{"family":"Koumaré","given":"Mamadou"}],"issued":{"date-parts":[["2016"]]}}}],"schema":"https://github.com/citation-style-language/schema/raw/master/csl-citation.json"} </w:instrText>
      </w:r>
      <w:r>
        <w:rPr>
          <w:rFonts w:ascii="Arial" w:hAnsi="Arial" w:cs="Arial"/>
        </w:rPr>
        <w:fldChar w:fldCharType="separate"/>
      </w:r>
      <w:r>
        <w:rPr>
          <w:rFonts w:ascii="Arial" w:hAnsi="Arial" w:cs="Arial"/>
        </w:rPr>
        <w:t xml:space="preserve">(Denou et </w:t>
      </w:r>
      <w:r>
        <w:rPr>
          <w:rFonts w:ascii="Arial" w:hAnsi="Arial" w:cs="Arial"/>
          <w:i/>
          <w:iCs/>
        </w:rPr>
        <w:t>al</w:t>
      </w:r>
      <w:r>
        <w:rPr>
          <w:rFonts w:ascii="Arial" w:hAnsi="Arial" w:cs="Arial"/>
        </w:rPr>
        <w:t xml:space="preserve">., 2016; Jigam et </w:t>
      </w:r>
      <w:r>
        <w:rPr>
          <w:rFonts w:ascii="Arial" w:hAnsi="Arial" w:cs="Arial"/>
          <w:i/>
          <w:iCs/>
        </w:rPr>
        <w:t>al.</w:t>
      </w:r>
      <w:r>
        <w:rPr>
          <w:rFonts w:ascii="Arial" w:hAnsi="Arial" w:cs="Arial"/>
        </w:rPr>
        <w:t>, 2011)</w:t>
      </w:r>
      <w:r>
        <w:rPr>
          <w:rFonts w:ascii="Arial" w:hAnsi="Arial" w:cs="Arial"/>
        </w:rPr>
        <w:fldChar w:fldCharType="end"/>
      </w:r>
      <w:r>
        <w:rPr>
          <w:rFonts w:ascii="Arial" w:hAnsi="Arial" w:cs="Arial"/>
        </w:rPr>
        <w:t xml:space="preserve">. These compounds confer the biological properties attributed to it </w:t>
      </w:r>
      <w:r>
        <w:rPr>
          <w:rFonts w:ascii="Arial" w:hAnsi="Arial" w:cs="Arial"/>
        </w:rPr>
        <w:fldChar w:fldCharType="begin"/>
      </w:r>
      <w:r>
        <w:rPr>
          <w:rFonts w:ascii="Arial" w:hAnsi="Arial" w:cs="Arial"/>
        </w:rPr>
        <w:instrText xml:space="preserve"> ADDIN ZOTERO_ITEM CSL_CITATION {"citationID":"PhVGKyeO","properties":{"formattedCitation":"(Abigail et al., 2024)","plainCitation":"(Abigail et al., 2024)","noteIndex":0},"citationItems":[{"id":934,"uris":["http://zotero.org/users/9368380/items/6QMMXXS3"],"itemData":{"id":934,"type":"article-journal","abstract":"Medicinal plants are widely used by the populace for their everyday health needs. The presence of phytochemical compounds is believed to be the basis of the observed pharmacological propertiesof medicinal plants. The aim of this research is to investigate the phytochemical constituents, antioxidants and antimicrobial activities of Guiera senegalensis (whole plant) plant. Phytochemical analysis (qualitative and quantitative) was carried out by following standard procedures. Free radical scavenging activity (DPPH) and ferric reducing antioxidant power(FRAP) were employed to determine the antioxidant activities of the methanol extracts of theplants, while paper disc agar diffusion method was used to determine the antimicrobial activityofthe extracts. The result from the phytochemcal analysis revealed that the plant extract contains alkaloids, flavonoids, steroids, saponins, terpenoids, anthraquinones and tannins. Glycosides werenot detected. The quantitative analysis results showed that, the plant extracts have appreciable amounts of phytocompounds with the highest value of 286.22 mgGAE/100 g total phenol. Extract showed high antioxidant activity of 84.15 %&amp;nbsp; scavenging activity using DPPHand 13.05%reducing power with FRAP. Results from the antimicrobial activity showed that, the&amp;nbsp; plantsextracts can inhibit bacteria growth of Escherichia coli, Shigella spp, Staphylococcus aureus, Staphylococcus epidermis, Streptococcus&amp;nbsp; spp, Klebsiella pneumonia and Salmonella typhi. Thehighest inhibition zone of 43 mm at 500 µg/mL was observed for Streptococcus spp. and&amp;nbsp; Shigella spp. Extracts exhibited lower zones of inhibition for antifungal activity. Consequently this studylends support to the&amp;nbsp; therapeutic use of Guiera senegalensis in traditional medicine.","container-title":"Bima Journal of Science and Technology","ISSN":"2536-6041","issue":"2B","language":"en","license":"Copyright (c) 2024 FACULTY OF SCIENCE, GOMBE STATE UNIVERSITY","note":"number: 2B","page":"249-257","source":"www.ajol.info","title":"Phytochemical Analysis, Antioxidant and Antimicrobial Activities of Guiera senegalensis Methanol Extract","volume":"8","author":[{"family":"Abigail","given":"J. M."},{"family":"Adamu","given":"H. M."},{"family":"Boryo","given":"D. E. A."},{"family":"Mahmoud","given":"A. A."},{"family":"Kwaji","given":"A."}],"issued":{"date-parts":[["2024",9,3]]}}}],"schema":"https://github.com/citation-style-language/schema/raw/master/csl-citation.json"} </w:instrText>
      </w:r>
      <w:r>
        <w:rPr>
          <w:rFonts w:ascii="Arial" w:hAnsi="Arial" w:cs="Arial"/>
        </w:rPr>
        <w:fldChar w:fldCharType="separate"/>
      </w:r>
      <w:r>
        <w:rPr>
          <w:rFonts w:ascii="Arial" w:hAnsi="Arial" w:cs="Arial"/>
        </w:rPr>
        <w:t>(Abigail et al., 2024)</w:t>
      </w:r>
      <w:r>
        <w:rPr>
          <w:rFonts w:ascii="Arial" w:hAnsi="Arial" w:cs="Arial"/>
        </w:rPr>
        <w:fldChar w:fldCharType="end"/>
      </w:r>
      <w:r>
        <w:rPr>
          <w:rFonts w:ascii="Arial" w:hAnsi="Arial" w:cs="Arial"/>
        </w:rPr>
        <w:t xml:space="preserve">, such as </w:t>
      </w:r>
      <w:proofErr w:type="spellStart"/>
      <w:r>
        <w:rPr>
          <w:rFonts w:ascii="Arial" w:hAnsi="Arial" w:cs="Arial"/>
        </w:rPr>
        <w:t>antituberculosis</w:t>
      </w:r>
      <w:proofErr w:type="spellEnd"/>
      <w:r>
        <w:rPr>
          <w:rFonts w:ascii="Arial" w:hAnsi="Arial" w:cs="Arial"/>
        </w:rPr>
        <w:t xml:space="preserve">, antidiarrheal, </w:t>
      </w:r>
      <w:proofErr w:type="spellStart"/>
      <w:r>
        <w:rPr>
          <w:rFonts w:ascii="Arial" w:hAnsi="Arial" w:cs="Arial"/>
        </w:rPr>
        <w:t>antiplasmodium</w:t>
      </w:r>
      <w:proofErr w:type="spellEnd"/>
      <w:r>
        <w:rPr>
          <w:rFonts w:ascii="Arial" w:hAnsi="Arial" w:cs="Arial"/>
        </w:rPr>
        <w:t xml:space="preserve">, analgesic, antifungal, antioxidant, antimalarial, anti-acetylcholinesterase, lipid </w:t>
      </w:r>
      <w:proofErr w:type="spellStart"/>
      <w:r>
        <w:rPr>
          <w:rFonts w:ascii="Arial" w:hAnsi="Arial" w:cs="Arial"/>
        </w:rPr>
        <w:t>antiperoxidation</w:t>
      </w:r>
      <w:proofErr w:type="spellEnd"/>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{"citationID":"J7nwbKXk","properties":{"formattedCitation":"(Abdullahi MS &amp; Ga, 2019)","plainCitation":"(Abdullahi MS &amp; Ga, 2019)","dontUpdate":true,"noteIndex":0},"citationItems":[{"id":915,"uris":["http://zotero.org/users/9368380/items/6WSRN9HD"],"itemData":{"id":915,"type":"article-journal","abstract":"The present study investigated the phytochemical constituents and levels of heavy metals in some commonly used medicinal plants; Securidaca longipedunculata (root bark), Guiera senegalensis (leaves) and Boswellia dalzielii (stem bark). The phytochemical analysis showed that saponins, carbohydrates, cardiac glycosides, steroids, terpenoids, alkaloids and flavonoids were present in all the three plant species. On the other hand, the heavy metals analysis showed that chromium and arsenic were not detected in all the three plant species, while lead was detected in the stem bark of Boswellia dalzielii (0.0010 ± 0.00 mg/kg). Also, trace amounts of cadmium were detected in the root bark of Securidaca longipedunculata (0.0002 ± 0.00 mg/kg) and leaves of Guiera senegalensis (0.0004 ± 0.00 mg/kg). The study has shown that the common toxic metals (lead, chromium and arsenic) were not detected in the root bark of Securidaca longipedunculata and leaves of Guiera senegalensis. Also, the level of lead detected in the stem bark of Boswellia dalzielii and level of cadmium detected in the root bark of Securidaca longipedunculata and leaves of Guiera senegalensis were below the recommended limits.","language":"en","source":"Zotero","title":"Phytochemical analysis and accumulation of heavy metals in some common medicinal plants","author":[{"family":"Abdullahi MS","given":"Abubakar"},{"family":"Ga","given":"Jamila"}],"issued":{"date-parts":[["2019"]]}}}],"schema":"https://github.com/citation-style-language/schema/raw/master/csl-citation.json"} </w:instrText>
      </w:r>
      <w:r>
        <w:rPr>
          <w:rFonts w:ascii="Arial" w:hAnsi="Arial" w:cs="Arial"/>
        </w:rPr>
        <w:fldChar w:fldCharType="separate"/>
      </w:r>
      <w:r>
        <w:rPr>
          <w:rFonts w:ascii="Arial" w:hAnsi="Arial" w:cs="Arial"/>
        </w:rPr>
        <w:t>(Abdullahi, 2019;</w:t>
      </w:r>
      <w:r>
        <w:rPr>
          <w:rFonts w:ascii="Arial" w:hAnsi="Arial" w:cs="Arial"/>
        </w:rPr>
        <w:fldChar w:fldCharType="end"/>
      </w:r>
      <w:r>
        <w:rPr>
          <w:rFonts w:ascii="Arial" w:hAnsi="Arial" w:cs="Arial"/>
        </w:rPr>
        <w:t xml:space="preserve"> </w:t>
      </w:r>
      <w:r>
        <w:rPr>
          <w:rFonts w:ascii="Arial" w:hAnsi="Arial" w:cs="Arial"/>
        </w:rPr>
        <w:fldChar w:fldCharType="begin"/>
      </w:r>
      <w:r>
        <w:rPr>
          <w:rFonts w:ascii="Arial" w:hAnsi="Arial" w:cs="Arial"/>
        </w:rPr>
        <w:instrText xml:space="preserve"> ADDIN ZOTERO_ITEM CSL_CITATION {"citationID":"uTsxopkj","properties":{"formattedCitation":"(Bulakarima et al., 2022)","plainCitation":"(Bulakarima et al., 2022)","dontUpdate":true,"noteIndex":0},"citationItems":[{"id":916,"uris":["http://zotero.org/users/9368380/items/9AT7CW3M"],"itemData":{"id":916,"type":"article-journal","DOI":"10.20959/wjpps20229-23079","source":"ResearchGate","title":"ANTIFUNGAL AND PHYTOCHEMICAL ANALYSIS OF BIOACTIVE COMPOUNDS OF GUIERA SENEGALENSIS LEAVES","author":[{"family":"Bulakarima","given":"Adamu"},{"family":"Dudha","given":"Namrata"},{"family":"Kumar","given":"Subodh"}],"issued":{"date-parts":[["2022",9,6]]}}}],"schema":"https://github.com/citation-style-language/schema/raw/master/csl-citation.json"} </w:instrText>
      </w:r>
      <w:r>
        <w:rPr>
          <w:rFonts w:ascii="Arial" w:hAnsi="Arial" w:cs="Arial"/>
        </w:rPr>
        <w:fldChar w:fldCharType="separate"/>
      </w:r>
      <w:proofErr w:type="spellStart"/>
      <w:r>
        <w:rPr>
          <w:rFonts w:ascii="Arial" w:hAnsi="Arial" w:cs="Arial"/>
        </w:rPr>
        <w:t>Bulakarima</w:t>
      </w:r>
      <w:proofErr w:type="spellEnd"/>
      <w:r>
        <w:rPr>
          <w:rFonts w:ascii="Arial" w:hAnsi="Arial" w:cs="Arial"/>
        </w:rPr>
        <w:t xml:space="preserve"> et </w:t>
      </w:r>
      <w:r>
        <w:rPr>
          <w:rFonts w:ascii="Arial" w:hAnsi="Arial" w:cs="Arial"/>
          <w:i/>
          <w:iCs/>
        </w:rPr>
        <w:t>al.</w:t>
      </w:r>
      <w:r>
        <w:rPr>
          <w:rFonts w:ascii="Arial" w:hAnsi="Arial" w:cs="Arial"/>
        </w:rPr>
        <w:t>, 2022)</w:t>
      </w:r>
      <w:r>
        <w:rPr>
          <w:rFonts w:ascii="Arial" w:hAnsi="Arial" w:cs="Arial"/>
        </w:rPr>
        <w:fldChar w:fldCharType="end"/>
      </w:r>
      <w:r>
        <w:rPr>
          <w:rFonts w:ascii="Arial" w:hAnsi="Arial" w:cs="Arial"/>
        </w:rPr>
        <w:t xml:space="preserve">. </w:t>
      </w:r>
    </w:p>
    <w:p>
      <w:pPr>
        <w:pStyle w:val="Body"/>
        <w:rPr>
          <w:rFonts w:ascii="Arial" w:hAnsi="Arial" w:cs="Arial"/>
          <w:b/>
          <w:bCs/>
        </w:rPr>
      </w:pPr>
      <w:r>
        <w:rPr>
          <w:rFonts w:ascii="Arial" w:hAnsi="Arial" w:cs="Arial"/>
          <w:b/>
          <w:bCs/>
        </w:rPr>
        <w:lastRenderedPageBreak/>
        <w:t>3.1.3 Antioxidant and Anti-Inflammatory Properties</w:t>
      </w:r>
    </w:p>
    <w:p>
      <w:pPr>
        <w:pStyle w:val="Body"/>
        <w:rPr>
          <w:rFonts w:ascii="Arial" w:hAnsi="Arial" w:cs="Arial"/>
        </w:rPr>
      </w:pPr>
      <w:r>
        <w:rPr>
          <w:rFonts w:ascii="Arial" w:hAnsi="Arial" w:cs="Arial"/>
        </w:rPr>
        <w:t xml:space="preserve">Shehu et al. reported in their study the DPPH radical scavenging potential of different G. senegalensis leaf extracts, which ranged from 47,748 to 66,154% </w:t>
      </w:r>
      <w:r>
        <w:rPr>
          <w:rFonts w:ascii="Arial" w:hAnsi="Arial" w:cs="Arial"/>
        </w:rPr>
        <w:fldChar w:fldCharType="begin"/>
      </w:r>
      <w:r>
        <w:rPr>
          <w:rFonts w:ascii="Arial" w:hAnsi="Arial" w:cs="Arial"/>
        </w:rPr>
        <w:instrText xml:space="preserve"> ADDIN ZOTERO_ITEM CSL_CITATION {"citationID":"nHe1CBZF","properties":{"formattedCitation":"(Shehu et al., 2019)","plainCitation":"(Shehu et al., 2019)","noteIndex":0},"citationItems":[{"id":920,"uris":["http://zotero.org/users/9368380/items/KAWIERWV"],"itemData":{"id":920,"type":"article-journal","abstract":"In the present study, the research is concerned with the extraction using soxhlet extraction technique in solvent with increasing polarity. The phytochemical constituents of Senna occidentalis and Guiera senegalensis were identified using various test methods and evaluates the antioxidant activity of methanolic extract of the plants leaves. The antioxidant activity of methanolic extract of both Senna occidentalis and Guiera senegalensis leaves were determined by DPPH (2,2-diphenyl-1-picrylhydrazine) free radical scavenging capacity with varying concetration. The antioxidant activity of the methanolic extract for both plants showed significantly potential in the DPPH radical reaction system. The radical scavenging potential, expressed as percentage inhibition of Senna occidentalis (leaves) and Guiera senegalensis (leaves) with respect to DPPH radical was found to be between 43.468 – 72.564% and 47.748 – 66.154% respectively. The percentage scavenging activities of the samples were express in 50% minimum inhibitory concentration (IC50). The 50% inhibitory concentration (IC50) of Guiera senegalensis was found to be 58.550 μg/ml which was significantly lower than the IC50 in Senna occidentalis (77.565 μg/ml).","source":"ResearchGate","title":"CODEN(USA): CRJHA5 Phytochemical Analysis and Antioxidant Evaluation of Methanolic Extract of Senna occidentalis and Guiera senegalensis leaves","title-short":"CODEN(USA)","author":[{"family":"Shehu","given":"Abdulmalik"},{"family":"Tahir","given":"Tahir"},{"family":"Sule","given":"Suleiman Yusif"},{"family":"Aliyu Bashir","given":"Iliyasu"},{"family":"Mohammed","given":"Abubakar Lawal"}],"issued":{"date-parts":[["2019",1,1]]}}}],"schema":"https://github.com/citation-style-language/schema/raw/master/csl-citation.json"} </w:instrText>
      </w:r>
      <w:r>
        <w:rPr>
          <w:rFonts w:ascii="Arial" w:hAnsi="Arial" w:cs="Arial"/>
        </w:rPr>
        <w:fldChar w:fldCharType="separate"/>
      </w:r>
      <w:r>
        <w:rPr>
          <w:rFonts w:ascii="Arial" w:hAnsi="Arial" w:cs="Arial"/>
        </w:rPr>
        <w:t>(Shehu et al., 2019)</w:t>
      </w:r>
      <w:r>
        <w:rPr>
          <w:rFonts w:ascii="Arial" w:hAnsi="Arial" w:cs="Arial"/>
        </w:rPr>
        <w:fldChar w:fldCharType="end"/>
      </w:r>
      <w:r>
        <w:rPr>
          <w:rFonts w:ascii="Arial" w:hAnsi="Arial" w:cs="Arial"/>
        </w:rPr>
        <w:t xml:space="preserve"> . Oladimeji et </w:t>
      </w:r>
      <w:r>
        <w:rPr>
          <w:rFonts w:ascii="Arial" w:hAnsi="Arial" w:cs="Arial"/>
          <w:i/>
          <w:iCs/>
        </w:rPr>
        <w:t>al.</w:t>
      </w:r>
      <w:r>
        <w:rPr>
          <w:rFonts w:ascii="Arial" w:hAnsi="Arial" w:cs="Arial"/>
        </w:rPr>
        <w:t xml:space="preserve"> in their study evaluated the antioxidant activity of the crude, hexane, ethyl acetate and methanol fractions of G. senegalensis leaves by the hydrogen peroxide and hydroxyl radical scavenging method. All fractions showed a percentage of inhibition between 78,23% and 88,32% at a concentration of 1 mg/mL </w:t>
      </w:r>
      <w:r>
        <w:rPr>
          <w:rFonts w:ascii="Arial" w:hAnsi="Arial" w:cs="Arial"/>
        </w:rPr>
        <w:fldChar w:fldCharType="begin"/>
      </w:r>
      <w:r>
        <w:rPr>
          <w:rFonts w:ascii="Arial" w:hAnsi="Arial" w:cs="Arial"/>
        </w:rPr>
        <w:instrText xml:space="preserve"> ADDIN ZOTERO_ITEM CSL_CITATION {"citationID":"882FjDVd","properties":{"formattedCitation":"(Oladimeji et al., 2019)","plainCitation":"(Oladimeji et al., 2019)","noteIndex":0},"citationItems":[{"id":922,"uris":["http://zotero.org/users/9368380/items/Y6HT8PVA"],"itemData":{"id":922,"type":"article-journal","abstract":"Guiera senegalensis J. F. Gmel (Combretaceae) is a shrub commonly found in West Africa. It is well known in folklore medicine for the treatment of various ailments. In this study, the antioxidant activities and phytochemical constituent of crude, hexane, ethyl acetate and methanol fractions of G. senegalensis were investigated. The method of Hydrogen peroxide, Hydroxyl radical scavenging and reducing power studies in vitro were employed to assess the antioxidant efficacy. Phytochemical assay was conducted using standard protocols.The scavenging effect of the plant fractions and standard (L-ascorbic acid) on H2O2Â and OH radicals decreases in the following order: L-ascorbic acid &amp;gt; Ethyl acetate &amp;gt; Crude &amp;gt; Methanol &amp;gt; Hexane and it was found to be 90.48%, 88.32%, 82.52%, 79.15% and 78.23% at concentration of 1 mg/mL, respectively. All the tested plant fractions showed the presence of various secondary metabolites such as alkaloids, flavonoids, glycosides, saponins, and sterols. The plant revealed promising antioxidant activity, and require further studies to throw more light on its chemical composition that could be responsible for the activity.Â Keywords: Antioxidant, phytochemical, Guiera senegalensis, reducing power, hydroxyl radical","container-title":"Journal of Chemical Society of Nigeria","ISSN":"0795-2066","issue":"1","language":"en","license":"Copyright (c) 2019 Journal of Chemical Society of Nigeria","note":"number: 1","source":"journals.chemsociety.org.ng","title":"Comparative stuadies of the antioxidant activities of Guiera senegalensis J. F. Gmel leaves extracts from different solvents.","URL":"https://journals.chemsociety.org.ng/index.php/jcsn/article/view/248","volume":"44","author":[{"family":"Oladimeji","given":"A. O."},{"family":"Babatunde","given":"O."},{"family":"Kareem","given":"M. M."}],"accessed":{"date-parts":[["2024",10,17]]},"issued":{"date-parts":[["2019",1,20]]}}}],"schema":"https://github.com/citation-style-language/schema/raw/master/csl-citation.json"} </w:instrText>
      </w:r>
      <w:r>
        <w:rPr>
          <w:rFonts w:ascii="Arial" w:hAnsi="Arial" w:cs="Arial"/>
        </w:rPr>
        <w:fldChar w:fldCharType="separate"/>
      </w:r>
      <w:r>
        <w:rPr>
          <w:rFonts w:ascii="Arial" w:hAnsi="Arial" w:cs="Arial"/>
        </w:rPr>
        <w:t>(Oladimeji et al., 2019)</w:t>
      </w:r>
      <w:r>
        <w:rPr>
          <w:rFonts w:ascii="Arial" w:hAnsi="Arial" w:cs="Arial"/>
        </w:rPr>
        <w:fldChar w:fldCharType="end"/>
      </w:r>
      <w:r>
        <w:rPr>
          <w:rFonts w:ascii="Arial" w:hAnsi="Arial" w:cs="Arial"/>
        </w:rPr>
        <w:t xml:space="preserve">. In Nigeria, the in vivo study of methanolic leaf extract showed a significant increase in antioxidant enzymes (SOD, CAT, GSH, </w:t>
      </w:r>
      <w:proofErr w:type="spellStart"/>
      <w:r>
        <w:rPr>
          <w:rFonts w:ascii="Arial" w:hAnsi="Arial" w:cs="Arial"/>
        </w:rPr>
        <w:t>GPx</w:t>
      </w:r>
      <w:proofErr w:type="spellEnd"/>
      <w:r>
        <w:rPr>
          <w:rFonts w:ascii="Arial" w:hAnsi="Arial" w:cs="Arial"/>
        </w:rPr>
        <w:t xml:space="preserve">) and a decrease in MDA (p &lt; 0.05) in plasma, liver and kidney, indicating a scavenging effect compared with the control </w:t>
      </w:r>
      <w:r>
        <w:rPr>
          <w:rFonts w:ascii="Arial" w:hAnsi="Arial" w:cs="Arial"/>
        </w:rPr>
        <w:fldChar w:fldCharType="begin"/>
      </w:r>
      <w:r>
        <w:rPr>
          <w:rFonts w:ascii="Arial" w:hAnsi="Arial" w:cs="Arial"/>
        </w:rPr>
        <w:instrText xml:space="preserve"> ADDIN ZOTERO_ITEM CSL_CITATION {"citationID":"dbsOSwEM","properties":{"formattedCitation":"(Gabriel et al., 2020)","plainCitation":"(Gabriel et al., 2020)","noteIndex":0},"citationItems":[{"id":836,"uris":["http://zotero.org/users/9368380/items/TR5XQUYJ"],"itemData":{"id":836,"type":"article-journal","abstract":"This study evaluated the in vitro and in vivo antioxidant effect of methanol extract of leaves of Guiera senegalensis. In vitro antioxidant assay of Guiera senegalensis was carried out using standard protocol. Acute toxicity of Guiera senegalensis using Wistar rats were investigated for adverse effect and mortality rate using Lorke method. Twenty five albino rats were apportioned into groups of five (n=5). Untreated control received 40% ethanol to induced-oxidative stress for 14 days. Normal control and graded doses at 50, 100 and 200 mg/kg/day of Guiera senegalensis extract were pretreated for 14 days. After being pre-administered with 40% ethanol given at 1 ml/kg/day to induced-oxidative stress for 14 days. Animals were sacrificed in a mild chloroform anaesthetic, and blood samples and organs were isolated for analysis. The in vitro antioxidant study showed a significant increase in the level of scavenging free radicals effect of methanol extracts on DPPH and hydroxyl free radical elicited scavenging property of the extract when compared with ascorbic acid, showed a better scavenging effect at 86.77% and 88.93%. The radical scavenging effect of ferric reducing antioxidant power, exhibited scavenging property of the extract via decreasing antioxidant power at 41%. No observable behavioral change with absent adverse effect and lethality at 10 to 5000 mg/kg of Guiera senegalensis. In vivo antioxidant study of extract indicated significant increase in SOD, catalase, reduced glutathione and glutathione peroxidase (p &lt; 0.05) with significant decreased in MDA of antioxidant indexes in plasma, liver and kidney samples showed scavenging effect when compared with untreated control. In conclusion, Guiera senegalensis exhibited bio-protective and therapeutic benefits.","container-title":"Journal of Basic Pharmacology and Toxicology","ISSN":"0000-0000","issue":"2","language":"en","license":"Copyright (c) 2020 Benjamin Ogunma Gabriel,  Kelly Osayi Otakhor,  Edehia Owen – Obaseki","note":"number: 2","page":"6-12","source":"scigreen.com","title":"In vitro and in vivo antioxidant evaluation of Guiera senegalensis methanol leaves extract","volume":"4","author":[{"family":"Gabriel","given":"Benjamin Ogunma"},{"family":"Otakhor","given":"Kelly Osayi"},{"family":"Obaseki","given":"Edehia Owen-"}],"issued":{"date-parts":[["2020",12,16]]}}}],"schema":"https://github.com/citation-style-language/schema/raw/master/csl-citation.json"} </w:instrText>
      </w:r>
      <w:r>
        <w:rPr>
          <w:rFonts w:ascii="Arial" w:hAnsi="Arial" w:cs="Arial"/>
        </w:rPr>
        <w:fldChar w:fldCharType="separate"/>
      </w:r>
      <w:r>
        <w:rPr>
          <w:rFonts w:ascii="Arial" w:hAnsi="Arial" w:cs="Arial"/>
        </w:rPr>
        <w:t>(Gabriel et al., 2020)</w:t>
      </w:r>
      <w:r>
        <w:rPr>
          <w:rFonts w:ascii="Arial" w:hAnsi="Arial" w:cs="Arial"/>
        </w:rPr>
        <w:fldChar w:fldCharType="end"/>
      </w:r>
      <w:r>
        <w:rPr>
          <w:rFonts w:ascii="Arial" w:hAnsi="Arial" w:cs="Arial"/>
        </w:rPr>
        <w:t xml:space="preserve">. The decocted, ethanolic and hydroethanolic extracts of the leaves showed an inhibitory effect on 15-lipoxygenase activity (74,46 to 95,99% at 100 µg/mL) </w:t>
      </w:r>
      <w:r>
        <w:rPr>
          <w:rFonts w:ascii="Arial" w:hAnsi="Arial" w:cs="Arial"/>
        </w:rPr>
        <w:fldChar w:fldCharType="begin"/>
      </w:r>
      <w:r>
        <w:rPr>
          <w:rFonts w:ascii="Arial" w:hAnsi="Arial" w:cs="Arial"/>
        </w:rPr>
        <w:instrText xml:space="preserve"> ADDIN ZOTERO_ITEM CSL_CITATION {"citationID":"xbD1fltc","properties":{"formattedCitation":"(Lema et al., 2024)","plainCitation":"(Lema et al., 2024)","noteIndex":0},"citationItems":[{"id":885,"uris":["http://zotero.org/users/9368380/items/J26C465H"],"itemData":{"id":885,"type":"article-journal","abstract":"The aim of this study was to perform phytochemical investigations of three medicinal plants oriented against antioxidant and anti-inflammatory activities. The spectrophotometer was used for quantification tests. The antioxidant activity was evaluated by ABTS●+, DPPH● and FRAP method. The acute toxicity (OECD 423) and the anti-edematous activity were performed on NMRI mice. Phytochemical screening allowed the identification of some chemical groups. Ethanolic extracts of Guiera senegalensis showed the best total phenolic contents (97.77±0.30 g EAA/100 g extract) and the best antioxidant activity with ABTS●+ (IC50: 3.86±0.17 μg/mL), DPPH● (IC50: 12.20±0.02 μg/mL) and FRAP (32.80±0.55 mmol EAA/g) methods. The extracts showed an inhibitory effect on 15-lipoxygenase activity (14.67 to 99.49% at 100 µg/mL). The aqueous decoction (68.10%) and the ethanolic macerate (74.21%) of the recipe showed a good percentage of inhibition of edema from the 5th hour at a dose of 400 mg/kg b.w. These results could constitute a solid scientific basis justifying the traditional uses of these plants.","container-title":"Journal of Pharmacognosy and Phytochemistry","DOI":"10.22271/phyto.2024.v13.i5a.15054","ISSN":"23498234, 22784136","issue":"5","journalAbbreviation":"J Pharmacogn Phytochem","language":"en","page":"22-31","source":"DOI.org (Crossref)","title":"Phytochemical investigation of three medicinal plants oriented against antioxidant, anti-inflammatory (in vitro and in vivo) activities and acute toxicity","volume":"13","author":[{"family":"Lema","given":"Armandine"},{"family":"Zongo","given":"Koudbi Jacob"},{"family":"Belem-Kabre","given":"Wendkouni Leila Marie Esther"},{"family":"Sawadogo","given":"Mamadou"},{"family":"Ouoba","given":"Hermann Yempabou"},{"family":"Sombie","given":"Pierre Alexandre Eric Djifaby"},{"family":"Ouedraogo","given":"Noufou"},{"family":"Bangou","given":"Mindiédiba Jean"}],"issued":{"date-parts":[["2024",1,1]]}}}],"schema":"https://github.com/citation-style-language/schema/raw/master/csl-citation.json"} </w:instrText>
      </w:r>
      <w:r>
        <w:rPr>
          <w:rFonts w:ascii="Arial" w:hAnsi="Arial" w:cs="Arial"/>
        </w:rPr>
        <w:fldChar w:fldCharType="separate"/>
      </w:r>
      <w:r>
        <w:rPr>
          <w:rFonts w:ascii="Arial" w:hAnsi="Arial" w:cs="Arial"/>
        </w:rPr>
        <w:t>(Lema et al., 2024)</w:t>
      </w:r>
      <w:r>
        <w:rPr>
          <w:rFonts w:ascii="Arial" w:hAnsi="Arial" w:cs="Arial"/>
        </w:rPr>
        <w:fldChar w:fldCharType="end"/>
      </w:r>
      <w:r>
        <w:rPr>
          <w:rFonts w:ascii="Arial" w:hAnsi="Arial" w:cs="Arial"/>
        </w:rPr>
        <w:t xml:space="preserve">. Methanolic extract of G. senegalensis stem was found to inhibit abdominal contortions (5,60 ± 2,45 at a concentration of 1500mg/kg) induced in mice in a dose-dependent manner compared with the positive control group (2,80 ±3,51) </w:t>
      </w:r>
      <w:r>
        <w:rPr>
          <w:rFonts w:ascii="Arial" w:hAnsi="Arial" w:cs="Arial"/>
        </w:rPr>
        <w:fldChar w:fldCharType="begin"/>
      </w:r>
      <w:r>
        <w:rPr>
          <w:rFonts w:ascii="Arial" w:hAnsi="Arial" w:cs="Arial"/>
        </w:rPr>
        <w:instrText xml:space="preserve"> ADDIN ZOTERO_ITEM CSL_CITATION {"citationID":"9WkzK2Kt","properties":{"formattedCitation":"(Yakubu et al., 2016)","plainCitation":"(Yakubu et al., 2016)","noteIndex":0},"citationItems":[{"id":1201,"uris":["http://zotero.org/users/9368380/items/FST9YJWF"],"itemData":{"id":1201,"type":"article-journal","ISSN":"2321-5496","source":"Google Scholar","title":"PHARMACOGNOSTIC, ACUTE TOXICITY, AND ANALGESIC STUDIES OF THE STEM OF GUIERA SENEGALENSIS JF GMEL (COMBRETACEAE)","URL":"https://www.researchgate.net/profile/Naruka-Yakubu/publication/333311968_PHARMACOGNOSTIC_ACUTE_TOXICITY_AND_ANALGESIC_STUDIES_OF_THE_STEM_OF_GUIERA_SENEGALENSIS_JF_GMEL_COMBRETACEAE/links/5ce6869292851c4eabb7c36d/PHARMACOGNOSTIC-ACUTE-TOXICITY-AND-ANALGESIC-STUDIES-OF-THE-STEM-OF-GUIERA-SENEGALENSIS-JF-GMEL-COMBRETACEAE.pdf?origin=journalDetail&amp;_tp=eyJwYWdlIjoiam91cm5hbERldGFpbCJ9","author":[{"family":"Yakubu","given":"NARUKA S."},{"family":"Gadzama","given":"Chinda J."},{"family":"Pn","given":"Olotu"}],"accessed":{"date-parts":[["2024",12,1]]},"issued":{"date-parts":[["2016"]]}}}],"schema":"https://github.com/citation-style-language/schema/raw/master/csl-citation.json"} </w:instrText>
      </w:r>
      <w:r>
        <w:rPr>
          <w:rFonts w:ascii="Arial" w:hAnsi="Arial" w:cs="Arial"/>
        </w:rPr>
        <w:fldChar w:fldCharType="separate"/>
      </w:r>
      <w:r>
        <w:rPr>
          <w:rFonts w:ascii="Arial" w:hAnsi="Arial" w:cs="Arial"/>
        </w:rPr>
        <w:t>(Yakubu et al., 2016)</w:t>
      </w:r>
      <w:r>
        <w:rPr>
          <w:rFonts w:ascii="Arial" w:hAnsi="Arial" w:cs="Arial"/>
        </w:rPr>
        <w:fldChar w:fldCharType="end"/>
      </w:r>
      <w:r>
        <w:rPr>
          <w:rFonts w:ascii="Arial" w:hAnsi="Arial" w:cs="Arial"/>
        </w:rPr>
        <w:t xml:space="preserve">. Olutu et </w:t>
      </w:r>
      <w:r>
        <w:rPr>
          <w:rFonts w:ascii="Arial" w:hAnsi="Arial" w:cs="Arial"/>
          <w:i/>
          <w:iCs/>
        </w:rPr>
        <w:t>al</w:t>
      </w:r>
      <w:r>
        <w:rPr>
          <w:rFonts w:ascii="Arial" w:hAnsi="Arial" w:cs="Arial"/>
        </w:rPr>
        <w:t xml:space="preserve"> in 2016 reached the same conclusion with methanolic stem extract </w:t>
      </w:r>
      <w:r>
        <w:rPr>
          <w:rFonts w:ascii="Arial" w:hAnsi="Arial" w:cs="Arial"/>
        </w:rPr>
        <w:fldChar w:fldCharType="begin"/>
      </w:r>
      <w:r>
        <w:rPr>
          <w:rFonts w:ascii="Arial" w:hAnsi="Arial" w:cs="Arial"/>
        </w:rPr>
        <w:instrText xml:space="preserve"> ADDIN ZOTERO_ITEM CSL_CITATION {"citationID":"rPIxbprb","properties":{"formattedCitation":"(Olotu et al., 2016)","plainCitation":"(Olotu et al., 2016)","noteIndex":0},"citationItems":[{"id":1200,"uris":["http://zotero.org/users/9368380/items/LLLEEKLV"],"itemData":{"id":1200,"type":"article-journal","note":"publisher: Journal of Pharmacognosy and Phytochemistry (JPP)","source":"Google Scholar","title":"Pharmacognostic, acute toxicity and analgesic studies of the methanolic stem extract of Guiera senegalensis JF Gmel (Combretaceae)","URL":"https://irepos.unijos.edu.ng/jspui/handle/123456789/1963","author":[{"family":"Olotu","given":"P. N."},{"family":"Oluto","given":"I. A."},{"family":"Kambasha","given":"M. B."},{"family":"Ahmed","given":"A."},{"family":"Ajima","given":"U."},{"family":"Ior","given":"L. D."},{"family":"David","given":"J."},{"family":"Chinda","given":"J. G."},{"family":"Onche","given":"E. U."}],"accessed":{"date-parts":[["2024",12,1]]},"issued":{"date-parts":[["2016"]]}}}],"schema":"https://github.com/citation-style-language/schema/raw/master/csl-citation.json"} </w:instrText>
      </w:r>
      <w:r>
        <w:rPr>
          <w:rFonts w:ascii="Arial" w:hAnsi="Arial" w:cs="Arial"/>
        </w:rPr>
        <w:fldChar w:fldCharType="separate"/>
      </w:r>
      <w:r>
        <w:rPr>
          <w:rFonts w:ascii="Arial" w:hAnsi="Arial" w:cs="Arial"/>
        </w:rPr>
        <w:t>(Olotu et al., 2016)</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b/>
          <w:bCs/>
        </w:rPr>
        <w:t xml:space="preserve">3.1.4 Cytotoxicity </w:t>
      </w:r>
    </w:p>
    <w:p>
      <w:pPr>
        <w:pStyle w:val="Body"/>
        <w:rPr>
          <w:rFonts w:ascii="Arial" w:hAnsi="Arial" w:cs="Arial"/>
        </w:rPr>
      </w:pPr>
      <w:r>
        <w:rPr>
          <w:rFonts w:ascii="Arial" w:hAnsi="Arial" w:cs="Arial"/>
        </w:rPr>
        <w:t xml:space="preserve">Ethanolic extract at a concentration of 13 µg/mL induced 100% inhibition of Ehrlich Ascites carcinoma (EACC) cell growth </w:t>
      </w:r>
      <w:r>
        <w:rPr>
          <w:rFonts w:ascii="Arial" w:hAnsi="Arial" w:cs="Arial"/>
        </w:rPr>
        <w:fldChar w:fldCharType="begin"/>
      </w:r>
      <w:r>
        <w:rPr>
          <w:rFonts w:ascii="Arial" w:hAnsi="Arial" w:cs="Arial"/>
        </w:rPr>
        <w:instrText xml:space="preserve"> ADDIN ZOTERO_ITEM CSL_CITATION {"citationID":"aoyN3AGY","properties":{"formattedCitation":"(Abubakr et al., 2013)","plainCitation":"(Abubakr et al., 2013)","noteIndex":0},"citationItems":[{"id":1302,"uris":["http://zotero.org/users/9368380/items/QUXULJVW"],"itemData":{"id":1302,"type":"article-journal","abstract":"Background: Medicinal plants contain physiologically active principles that over the years have been exploited in traditional medicine for the treatment of various ailments.Objectives: The ethanolic extract of Guiera senegalensis was tested in vitro as anticancer and antioxidant agent as well as for its phenolic and flavonoidal contents.Methods: The trypan blue technique was used for the anticancer activity against Ehrlich Ascites Carcinoma Cells (EACC) while the antioxidant activity of the plant extract was determined by 2, 2 diphenyl-1-picrylhydrazyl (DPPH) assay. The total phenolic and flavonoidal contents were estimated using colorimetric methods.Results: The ethanolic extract at a concentration of 13 μg/ml caused 100% cytotoxic effect against EACC. Moreover, it possessed a considerable antioxidant activity against DPPH radical. Guiera senegalensis extract was found to contain appreciable amounts of phenolic and flavonoidal compounds.Conclusion: It can be concluded that Guiera senegalensis possesses sufficient in vitro anticancer and antioxidant activities to warrant further detailed study of its pharm acology and phytochemistry.Key words: Anticancer, antioxidant, phenolic content, flavonoidal content, Guiera senegalensis","container-title":"Sudan Journal of Medical Sciences","ISSN":"1858-5051","issue":"3","language":"en","license":"Copyright (c)","note":"number: 3","page":"135-140","source":"www.ajol.info","title":"Anticancer and antioxidant activities of Guiera senegalensis","volume":"8","author":[{"family":"Abubakr","given":"M."},{"family":"Sirag","given":"N."},{"family":"Osman","given":"I."},{"family":"Osman","given":"M."},{"family":"Abakar","given":"S."},{"family":"Aboul-Enein","given":"A. M."}],"issued":{"date-parts":[["2013"]]}}}],"schema":"https://github.com/citation-style-language/schema/raw/master/csl-citation.json"} </w:instrText>
      </w:r>
      <w:r>
        <w:rPr>
          <w:rFonts w:ascii="Arial" w:hAnsi="Arial" w:cs="Arial"/>
        </w:rPr>
        <w:fldChar w:fldCharType="separate"/>
      </w:r>
      <w:r>
        <w:rPr>
          <w:rFonts w:ascii="Arial" w:hAnsi="Arial" w:cs="Arial"/>
        </w:rPr>
        <w:t>(Abubakr et al., 2013)</w:t>
      </w:r>
      <w:r>
        <w:rPr>
          <w:rFonts w:ascii="Arial" w:hAnsi="Arial" w:cs="Arial"/>
        </w:rPr>
        <w:fldChar w:fldCharType="end"/>
      </w:r>
      <w:r>
        <w:rPr>
          <w:rFonts w:ascii="Arial" w:hAnsi="Arial" w:cs="Arial"/>
        </w:rPr>
        <w:t>, and marked cytotoxic activity against the human lung fibroblast cell line (MRC-5) (IC</w:t>
      </w:r>
      <w:r>
        <w:rPr>
          <w:rFonts w:ascii="Cambria Math" w:hAnsi="Cambria Math" w:cs="Cambria Math"/>
        </w:rPr>
        <w:t>₅₀</w:t>
      </w:r>
      <w:r>
        <w:rPr>
          <w:rFonts w:ascii="Arial" w:hAnsi="Arial" w:cs="Arial"/>
        </w:rPr>
        <w:t xml:space="preserve"> &lt; 5 µg/mL) </w:t>
      </w:r>
      <w:r>
        <w:rPr>
          <w:rFonts w:ascii="Arial" w:hAnsi="Arial" w:cs="Arial"/>
        </w:rPr>
        <w:fldChar w:fldCharType="begin"/>
      </w:r>
      <w:r>
        <w:rPr>
          <w:rFonts w:ascii="Arial" w:hAnsi="Arial" w:cs="Arial"/>
        </w:rPr>
        <w:instrText xml:space="preserve"> ADDIN ZOTERO_ITEM CSL_CITATION {"citationID":"GHLzG58i","properties":{"formattedCitation":"(Dirar &amp; Devkota, 2021)","plainCitation":"(Dirar &amp; Devkota, 2021)","noteIndex":0},"citationItems":[{"id":946,"uris":["http://zotero.org/users/9368380/items/E6NP7BQJ"],"itemData":{"id":946,"type":"article-journal","container-title":"Journal of Ethnopharmacology","DOI":"10.1016/j.jep.2020.113433","ISSN":"03788741","journalAbbreviation":"Journal of Ethnopharmacology","language":"en","page":"113433","source":"DOI.org (Crossref)","title":"Ethnopharmacological uses, phytochemistry and pharmacological activities of Guiera senegalensis J.F. Gmel. (Combretaceae)","volume":"267","author":[{"family":"Dirar","given":"Amina Ibrahim"},{"family":"Devkota","given":"Hari Prasad"}],"issued":{"date-parts":[["2021",3]]}}}],"schema":"https://github.com/citation-style-language/schema/raw/master/csl-citation.json"} </w:instrText>
      </w:r>
      <w:r>
        <w:rPr>
          <w:rFonts w:ascii="Arial" w:hAnsi="Arial" w:cs="Arial"/>
        </w:rPr>
        <w:fldChar w:fldCharType="separate"/>
      </w:r>
      <w:r>
        <w:rPr>
          <w:rFonts w:ascii="Arial" w:hAnsi="Arial" w:cs="Arial"/>
        </w:rPr>
        <w:t>(Dirar &amp; Devkota, 2021)</w:t>
      </w:r>
      <w:r>
        <w:rPr>
          <w:rFonts w:ascii="Arial" w:hAnsi="Arial" w:cs="Arial"/>
        </w:rPr>
        <w:fldChar w:fldCharType="end"/>
      </w:r>
      <w:r>
        <w:rPr>
          <w:rFonts w:ascii="Arial" w:hAnsi="Arial" w:cs="Arial"/>
        </w:rPr>
        <w:t>. Investigation of the antiproliferative effect of silver nanoparticles (</w:t>
      </w:r>
      <w:proofErr w:type="spellStart"/>
      <w:r>
        <w:rPr>
          <w:rFonts w:ascii="Arial" w:hAnsi="Arial" w:cs="Arial"/>
        </w:rPr>
        <w:t>AgNPs</w:t>
      </w:r>
      <w:proofErr w:type="spellEnd"/>
      <w:r>
        <w:rPr>
          <w:rFonts w:ascii="Arial" w:hAnsi="Arial" w:cs="Arial"/>
        </w:rPr>
        <w:t xml:space="preserve">) synthesized from </w:t>
      </w: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leaf extract shows that the effect is cell-line dependent and varies with concentration. The results revealed a more marked efficacy of </w:t>
      </w:r>
      <w:proofErr w:type="spellStart"/>
      <w:r>
        <w:rPr>
          <w:rFonts w:ascii="Arial" w:hAnsi="Arial" w:cs="Arial"/>
        </w:rPr>
        <w:t>AgNPs</w:t>
      </w:r>
      <w:proofErr w:type="spellEnd"/>
      <w:r>
        <w:rPr>
          <w:rFonts w:ascii="Arial" w:hAnsi="Arial" w:cs="Arial"/>
        </w:rPr>
        <w:t xml:space="preserve"> on PC3 cells (IC</w:t>
      </w:r>
      <w:r>
        <w:rPr>
          <w:rFonts w:ascii="Cambria Math" w:hAnsi="Cambria Math" w:cs="Cambria Math"/>
        </w:rPr>
        <w:t>₅₀</w:t>
      </w:r>
      <w:r>
        <w:rPr>
          <w:rFonts w:ascii="Arial" w:hAnsi="Arial" w:cs="Arial"/>
        </w:rPr>
        <w:t xml:space="preserve"> = 23,48 </w:t>
      </w:r>
      <w:proofErr w:type="spellStart"/>
      <w:r>
        <w:rPr>
          <w:rFonts w:ascii="Arial" w:hAnsi="Arial" w:cs="Arial"/>
        </w:rPr>
        <w:t>μg</w:t>
      </w:r>
      <w:proofErr w:type="spellEnd"/>
      <w:r>
        <w:rPr>
          <w:rFonts w:ascii="Arial" w:hAnsi="Arial" w:cs="Arial"/>
        </w:rPr>
        <w:t>/mL), compared with MCF7 lines (IC</w:t>
      </w:r>
      <w:r>
        <w:rPr>
          <w:rFonts w:ascii="Cambria Math" w:hAnsi="Cambria Math" w:cs="Cambria Math"/>
        </w:rPr>
        <w:t>₅₀</w:t>
      </w:r>
      <w:r>
        <w:rPr>
          <w:rFonts w:ascii="Arial" w:hAnsi="Arial" w:cs="Arial"/>
        </w:rPr>
        <w:t xml:space="preserve"> = 29, 25 </w:t>
      </w:r>
      <w:proofErr w:type="spellStart"/>
      <w:r>
        <w:rPr>
          <w:rFonts w:ascii="Arial" w:hAnsi="Arial" w:cs="Arial"/>
        </w:rPr>
        <w:t>μg</w:t>
      </w:r>
      <w:proofErr w:type="spellEnd"/>
      <w:r>
        <w:rPr>
          <w:rFonts w:ascii="Arial" w:hAnsi="Arial" w:cs="Arial"/>
        </w:rPr>
        <w:t>/mL) and HepG2 (IC</w:t>
      </w:r>
      <w:r>
        <w:rPr>
          <w:rFonts w:ascii="Cambria Math" w:hAnsi="Cambria Math" w:cs="Cambria Math"/>
        </w:rPr>
        <w:t>₅₀</w:t>
      </w:r>
      <w:r>
        <w:rPr>
          <w:rFonts w:ascii="Arial" w:hAnsi="Arial" w:cs="Arial"/>
        </w:rPr>
        <w:t xml:space="preserve"> = 33,25 </w:t>
      </w:r>
      <w:proofErr w:type="spellStart"/>
      <w:r>
        <w:rPr>
          <w:rFonts w:ascii="Arial" w:hAnsi="Arial" w:cs="Arial"/>
        </w:rPr>
        <w:t>μg</w:t>
      </w:r>
      <w:proofErr w:type="spellEnd"/>
      <w:r>
        <w:rPr>
          <w:rFonts w:ascii="Arial" w:hAnsi="Arial" w:cs="Arial"/>
        </w:rPr>
        <w:t>/mL), as evidenced by the difference in their IC</w:t>
      </w:r>
      <w:r>
        <w:rPr>
          <w:rFonts w:ascii="Cambria Math" w:hAnsi="Cambria Math" w:cs="Cambria Math"/>
        </w:rPr>
        <w:t>₅₀</w:t>
      </w:r>
      <w:r>
        <w:rPr>
          <w:rFonts w:ascii="Arial" w:hAnsi="Arial" w:cs="Arial"/>
        </w:rPr>
        <w:t xml:space="preserve"> values </w:t>
      </w:r>
      <w:r>
        <w:rPr>
          <w:rFonts w:ascii="Arial" w:hAnsi="Arial" w:cs="Arial"/>
        </w:rPr>
        <w:fldChar w:fldCharType="begin"/>
      </w:r>
      <w:r>
        <w:rPr>
          <w:rFonts w:ascii="Arial" w:hAnsi="Arial" w:cs="Arial"/>
        </w:rPr>
        <w:instrText xml:space="preserve"> ADDIN ZOTERO_ITEM CSL_CITATION {"citationID":"d5iB3uh1","properties":{"formattedCitation":"(Bello et al., 2017)","plainCitation":"(Bello et al., 2017)","noteIndex":0},"citationItems":[{"id":1304,"uris":["http://zotero.org/users/9368380/items/SJVC695I"],"itemData":{"id":1304,"type":"article-journal","abstract":"The study concentrate on the biosynthesis of silver nanoparticles (AgNps) from the leaves extract of Guiera senegalensis with focus on its; antiproliferation effect on prostate (PC3), breast (MCF7) and liver (HepG2) cancer cell lines, antibacterial effect on Escherichia coli (E. coli) and Staphylococcus aureus (S. aureus) and the degradation on 4-nitrophenol (4-NP) and congo red dye (CR). The synthesized AgNps were characterized by FTIR, TEM, FESEM, XRD and EDX analysis. The EDS spectrum revealed that the synthesized nanoparticles (Nps) were composed of 55.45% Ag atoms of spherical shape with approximately 50nm size, identified from TEM and FESEM data. The antiproliferation effect of the AgNps varies with cell lines in a concentration dependent manner. The result showed that the AgNps were more effective on PC3 (IC50 23.48μg/mL) than MCF7 (29.25μg/mL) and HepG2 (33.25μg/mL) by the virtue of their IC50 values. The AgNps were highly effective against E. coli and S. aureus by killing 99% colonies. The AgNps also shows a good catalytic reduction of the toxic organic pollutants in which only 3mg of the AgNps degraded 95% of both CR dye and 4-NP in 22 and 36min respectively. Therefore, the green synthesis of AgNps may have potential applications in pharmacology and industries for the treatment of cancers, bacterial infections and in degrading toxic organic pollutants in water.","container-title":"Journal of Photochemistry and Photobiology B: Biology","DOI":"10.1016/j.jphotobiol.2017.07.031","ISSN":"1011-1344","journalAbbreviation":"Journal of Photochemistry and Photobiology B: Biology","page":"99-108","source":"ScienceDirect","title":"Effet antiprolifératif et antibactérien des AgNps biosynthétisés à partir d'extraits de feuilles de &lt;i&gt;Guiera senegalensis&lt;/i&gt; et sa réduction catalytique sur certains polluants organiques persistants","volume":"175","author":[{"family":"Bello","given":"Bello Aminu"},{"family":"Khan","given":"Shahid Ali"},{"family":"Khan","given":"Jalaluddin Awllia"},{"family":"Syed","given":"Fareeduddin Quadri"},{"family":"Anwar","given":"Yasir"},{"family":"Khan","given":"Sher Bahadar"}],"issued":{"date-parts":[["2017",10,1]]}}}],"schema":"https://github.com/citation-style-language/schema/raw/master/csl-citation.json"} </w:instrText>
      </w:r>
      <w:r>
        <w:rPr>
          <w:rFonts w:ascii="Arial" w:hAnsi="Arial" w:cs="Arial"/>
        </w:rPr>
        <w:fldChar w:fldCharType="separate"/>
      </w:r>
      <w:r>
        <w:rPr>
          <w:rFonts w:ascii="Arial" w:hAnsi="Arial" w:cs="Arial"/>
        </w:rPr>
        <w:t>(Bello et al., 2017)</w:t>
      </w:r>
      <w:r>
        <w:rPr>
          <w:rFonts w:ascii="Arial" w:hAnsi="Arial" w:cs="Arial"/>
        </w:rPr>
        <w:fldChar w:fldCharType="end"/>
      </w:r>
      <w:r>
        <w:rPr>
          <w:rFonts w:ascii="Arial" w:hAnsi="Arial" w:cs="Arial"/>
        </w:rPr>
        <w:t>.</w:t>
      </w:r>
    </w:p>
    <w:p>
      <w:pPr>
        <w:pStyle w:val="Body"/>
        <w:rPr>
          <w:rFonts w:ascii="Arial" w:hAnsi="Arial" w:cs="Arial"/>
          <w:b/>
          <w:bCs/>
          <w:i/>
        </w:rPr>
      </w:pPr>
      <w:r>
        <w:rPr>
          <w:rFonts w:ascii="Arial" w:hAnsi="Arial" w:cs="Arial"/>
          <w:b/>
          <w:bCs/>
          <w:iCs/>
        </w:rPr>
        <w:t xml:space="preserve">3.2. </w:t>
      </w:r>
      <w:r>
        <w:rPr>
          <w:rFonts w:ascii="Arial" w:hAnsi="Arial" w:cs="Arial"/>
          <w:b/>
          <w:bCs/>
          <w:i/>
        </w:rPr>
        <w:t>Acacia nilotica</w:t>
      </w:r>
    </w:p>
    <w:p>
      <w:pPr>
        <w:pStyle w:val="Body"/>
        <w:rPr>
          <w:rFonts w:ascii="Arial" w:hAnsi="Arial" w:cs="Arial"/>
          <w:bCs/>
        </w:rPr>
      </w:pPr>
      <w:r>
        <w:rPr>
          <w:rFonts w:ascii="Arial" w:hAnsi="Arial" w:cs="Arial"/>
          <w:b/>
          <w:bCs/>
        </w:rPr>
        <w:t>3.2.1 Traditional use</w:t>
      </w:r>
    </w:p>
    <w:p>
      <w:pPr>
        <w:pStyle w:val="Body"/>
        <w:rPr>
          <w:rFonts w:ascii="Arial" w:hAnsi="Arial" w:cs="Arial"/>
          <w:bCs/>
          <w:iCs/>
        </w:rPr>
      </w:pPr>
      <w:r>
        <w:rPr>
          <w:rFonts w:ascii="Arial" w:hAnsi="Arial" w:cs="Arial"/>
          <w:bCs/>
          <w:i/>
        </w:rPr>
        <w:t>Acacia nilotica</w:t>
      </w:r>
      <w:r>
        <w:rPr>
          <w:rFonts w:ascii="Arial" w:hAnsi="Arial" w:cs="Arial"/>
          <w:bCs/>
          <w:iCs/>
        </w:rPr>
        <w:t xml:space="preserve"> of the Fabaceae-Mimosoideae family is widely used (see figure 1.B). Almost all its parts - root, bark, leaves, flower, gum and pods - are used medicinally </w:t>
      </w:r>
      <w:r>
        <w:rPr>
          <w:rFonts w:ascii="Arial" w:hAnsi="Arial" w:cs="Arial"/>
        </w:rPr>
        <w:fldChar w:fldCharType="begin"/>
      </w:r>
      <w:r>
        <w:rPr>
          <w:rFonts w:ascii="Arial" w:hAnsi="Arial" w:cs="Arial"/>
        </w:rPr>
        <w:instrText xml:space="preserve"> ADDIN ZOTERO_ITEM CSL_CITATION {"citationID":"rgnjgVfP","properties":{"formattedCitation":"(Abduljawad, 2020)","plainCitation":"(Abduljawad, 2020)","noteIndex":0},"citationItems":[{"id":1001,"uris":["http://zotero.org/users/9368380/items/XA7YRR37"],"itemData":{"id":1001,"type":"article-journal","abstract":"Introduction: The natural medicinal plants can boost self-cure, perfect health, and longevity. Acacia nilotica Lam (Acacia) is an imperative plant that possesses many medicinal uses. Acacia trees are vastly spread in Saudi Arabia. In folk medicine, various parts of Acacia tree, including the leaves, bark, seeds, roots, gum, flowers, fruits, and young pods are utilized as nutrients and therapeutic remedies to hinder, alleviate, or manage many illnesses. Acacia is wealthy in antioxidant phenolics,","container-title":"Archives of Pharmacy Practice","ISSN":"2320-5210","issue":"4-2020","language":"en","note":"number: 4-2020","page":"20-25","source":"archivepp.com","title":"Review of Some Evidenced Medicinal Activities of Acacia Nilotica","volume":"11","author":[{"family":"Abduljawad","given":"Eman A."}],"issued":{"date-parts":[["2020"]]}}}],"schema":"https://github.com/citation-style-language/schema/raw/master/csl-citation.json"} </w:instrText>
      </w:r>
      <w:r>
        <w:rPr>
          <w:rFonts w:ascii="Arial" w:hAnsi="Arial" w:cs="Arial"/>
        </w:rPr>
        <w:fldChar w:fldCharType="separate"/>
      </w:r>
      <w:r>
        <w:rPr>
          <w:rFonts w:ascii="Arial" w:hAnsi="Arial" w:cs="Arial"/>
        </w:rPr>
        <w:t>(Abduljawad et al., 2020)</w:t>
      </w:r>
      <w:r>
        <w:rPr>
          <w:rFonts w:ascii="Arial" w:hAnsi="Arial" w:cs="Arial"/>
        </w:rPr>
        <w:fldChar w:fldCharType="end"/>
      </w:r>
      <w:r>
        <w:rPr>
          <w:rFonts w:ascii="Arial" w:hAnsi="Arial" w:cs="Arial"/>
        </w:rPr>
        <w:t xml:space="preserve"> </w:t>
      </w:r>
      <w:r>
        <w:rPr>
          <w:rFonts w:ascii="Arial" w:hAnsi="Arial" w:cs="Arial"/>
          <w:bCs/>
          <w:iCs/>
        </w:rPr>
        <w:t xml:space="preserve">. It is used to treat wounds, burning, diarrhea, dysentery and itching </w:t>
      </w:r>
      <w:r>
        <w:rPr>
          <w:rFonts w:ascii="Arial" w:hAnsi="Arial" w:cs="Arial"/>
        </w:rPr>
        <w:fldChar w:fldCharType="begin"/>
      </w:r>
      <w:r>
        <w:rPr>
          <w:rFonts w:ascii="Arial" w:hAnsi="Arial" w:cs="Arial"/>
        </w:rPr>
        <w:instrText xml:space="preserve"> ADDIN ZOTERO_ITEM CSL_CITATION {"citationID":"D7FDd2sZ","properties":{"formattedCitation":"(Jame, 2018)","plainCitation":"(Jame, 2018)","noteIndex":0},"citationItems":[{"id":1221,"uris":["http://zotero.org/users/9368380/items/5L347ZGE"],"itemData":{"id":1221,"type":"article-journal","container-title":"Seeds","page":"15–21","source":"Google Scholar","title":"Phytochemical and pharmacological uses of Acacia nilotica—A review","volume":"1","author":[{"family":"Jame","given":"Rasha"}],"issued":{"date-parts":[["2018"]]}}}],"schema":"https://github.com/citation-style-language/schema/raw/master/csl-citation.json"} </w:instrText>
      </w:r>
      <w:r>
        <w:rPr>
          <w:rFonts w:ascii="Arial" w:hAnsi="Arial" w:cs="Arial"/>
        </w:rPr>
        <w:fldChar w:fldCharType="separate"/>
      </w:r>
      <w:r>
        <w:rPr>
          <w:rFonts w:ascii="Arial" w:hAnsi="Arial" w:cs="Arial"/>
        </w:rPr>
        <w:t>(Jame, 2018)</w:t>
      </w:r>
      <w:r>
        <w:rPr>
          <w:rFonts w:ascii="Arial" w:hAnsi="Arial" w:cs="Arial"/>
        </w:rPr>
        <w:fldChar w:fldCharType="end"/>
      </w:r>
      <w:r>
        <w:rPr>
          <w:rFonts w:ascii="Arial" w:hAnsi="Arial" w:cs="Arial"/>
        </w:rPr>
        <w:t>.</w:t>
      </w:r>
      <w:r>
        <w:rPr>
          <w:rFonts w:ascii="Arial" w:hAnsi="Arial" w:cs="Arial"/>
          <w:bCs/>
          <w:iCs/>
        </w:rPr>
        <w:t xml:space="preserve"> </w:t>
      </w:r>
    </w:p>
    <w:p>
      <w:pPr>
        <w:pStyle w:val="Body"/>
        <w:rPr>
          <w:rFonts w:ascii="Arial" w:hAnsi="Arial" w:cs="Arial"/>
        </w:rPr>
      </w:pPr>
      <w:r>
        <w:rPr>
          <w:rFonts w:ascii="Arial" w:hAnsi="Arial" w:cs="Arial"/>
          <w:b/>
          <w:bCs/>
        </w:rPr>
        <w:t>3.2.2 Phytochemistry</w:t>
      </w:r>
      <w:r>
        <w:rPr>
          <w:rFonts w:ascii="Arial" w:hAnsi="Arial" w:cs="Arial"/>
        </w:rPr>
        <w:t xml:space="preserve"> </w:t>
      </w:r>
    </w:p>
    <w:p>
      <w:pPr>
        <w:pStyle w:val="Body"/>
        <w:rPr>
          <w:rFonts w:ascii="Arial" w:hAnsi="Arial" w:cs="Arial"/>
          <w:bCs/>
          <w:iCs/>
        </w:rPr>
      </w:pPr>
      <w:r>
        <w:rPr>
          <w:rFonts w:ascii="Arial" w:hAnsi="Arial" w:cs="Arial"/>
          <w:bCs/>
          <w:iCs/>
        </w:rPr>
        <w:t xml:space="preserve">There are several phytochemical groups including alkaloids, volatile essential oils, phenols and phenolic glycosides, resins, oleosins, steroids, tannins and terpenes, saponins, anthraquinone </w:t>
      </w:r>
      <w:r>
        <w:rPr>
          <w:rFonts w:ascii="Arial" w:hAnsi="Arial" w:cs="Arial"/>
          <w:bCs/>
          <w:iCs/>
        </w:rPr>
        <w:fldChar w:fldCharType="begin"/>
      </w:r>
      <w:r>
        <w:rPr>
          <w:rFonts w:ascii="Arial" w:hAnsi="Arial" w:cs="Arial"/>
          <w:bCs/>
          <w:iCs/>
        </w:rPr>
        <w:instrText xml:space="preserve"> ADDIN ZOTERO_ITEM CSL_CITATION {"citationID":"vGk9bFrZ","properties":{"formattedCitation":"(Abduljawad 2020)","plainCitation":"(Abduljawad 2020)","dontUpdate":true,"noteIndex":0},"citationItems":[{"id":1001,"uris":["http://zotero.org/users/9368380/items/XA7YRR37"],"itemData":{"id":1001,"type":"article-journal","abstract":"Introduction: The natural medicinal plants can boost self-cure, perfect health, and longevity. Acacia nilotica Lam (Acacia) is an imperative plant that possesses many medicinal uses. Acacia trees are vastly spread in Saudi Arabia. In folk medicine, various parts of Acacia tree, including the leaves, bark, seeds, roots, gum, flowers, fruits, and young pods are utilized as nutrients and therapeutic remedies to hinder, alleviate, or manage many illnesses. Acacia is wealthy in antioxidant phenolics,","container-title":"Archives of Pharmacy Practice","ISSN":"2320-5210","issue":"4-2020","language":"en","note":"number: 4-2020","page":"20-25","source":"archivepp.com","title":"Review of Some Evidenced Medicinal Activities of Acacia Nilotica","volume":"11","author":[{"family":"Abduljawad","given":"Eman A."}],"issued":{"date-parts":[["2020"]]}}}],"schema":"https://github.com/citation-style-language/schema/raw/master/csl-citation.json"} </w:instrText>
      </w:r>
      <w:r>
        <w:rPr>
          <w:rFonts w:ascii="Arial" w:hAnsi="Arial" w:cs="Arial"/>
          <w:bCs/>
          <w:iCs/>
        </w:rPr>
        <w:fldChar w:fldCharType="separate"/>
      </w:r>
      <w:r>
        <w:rPr>
          <w:rFonts w:ascii="Arial" w:hAnsi="Arial" w:cs="Arial"/>
        </w:rPr>
        <w:t>(Abduljawad, 2020</w:t>
      </w:r>
      <w:r>
        <w:rPr>
          <w:rFonts w:ascii="Arial" w:hAnsi="Arial" w:cs="Arial"/>
        </w:rPr>
        <w:fldChar w:fldCharType="end"/>
      </w:r>
      <w:r>
        <w:rPr>
          <w:rFonts w:ascii="Arial" w:hAnsi="Arial" w:cs="Arial"/>
          <w:bCs/>
          <w:iCs/>
        </w:rPr>
        <w:t xml:space="preserve"> ; </w:t>
      </w:r>
      <w:r>
        <w:rPr>
          <w:rFonts w:ascii="Arial" w:hAnsi="Arial" w:cs="Arial"/>
          <w:bCs/>
          <w:iCs/>
        </w:rPr>
        <w:fldChar w:fldCharType="begin"/>
      </w:r>
      <w:r>
        <w:rPr>
          <w:rFonts w:ascii="Arial" w:hAnsi="Arial" w:cs="Arial"/>
          <w:bCs/>
          <w:iCs/>
        </w:rPr>
        <w:instrText xml:space="preserve"> ADDIN ZOTERO_ITEM CSL_CITATION {"citationID":"XDwCeSVO","properties":{"formattedCitation":"(Jame 2018)","plainCitation":"(Jame 2018)","dontUpdate":true,"noteIndex":0},"citationItems":[{"id":1221,"uris":["http://zotero.org/users/9368380/items/5L347ZGE"],"itemData":{"id":1221,"type":"article-journal","container-title":"Seeds","page":"15–21","source":"Google Scholar","title":"Phytochemical and pharmacological uses of Acacia nilotica—A review","volume":"1","author":[{"family":"Jame","given":"Rasha"}],"issued":{"date-parts":[["2018"]]}}}],"schema":"https://github.com/citation-style-language/schema/raw/master/csl-citation.json"} </w:instrText>
      </w:r>
      <w:r>
        <w:rPr>
          <w:rFonts w:ascii="Arial" w:hAnsi="Arial" w:cs="Arial"/>
          <w:bCs/>
          <w:iCs/>
        </w:rPr>
        <w:fldChar w:fldCharType="separate"/>
      </w:r>
      <w:r>
        <w:rPr>
          <w:rFonts w:ascii="Arial" w:hAnsi="Arial" w:cs="Arial"/>
        </w:rPr>
        <w:t>Jame,  2018)</w:t>
      </w:r>
      <w:r>
        <w:rPr>
          <w:rFonts w:ascii="Arial" w:hAnsi="Arial" w:cs="Arial"/>
        </w:rPr>
        <w:fldChar w:fldCharType="end"/>
      </w:r>
      <w:r>
        <w:rPr>
          <w:rFonts w:ascii="Arial" w:hAnsi="Arial" w:cs="Arial"/>
          <w:bCs/>
          <w:iCs/>
        </w:rPr>
        <w:t xml:space="preserve">. </w:t>
      </w:r>
      <w:r>
        <w:rPr>
          <w:rFonts w:ascii="Arial" w:hAnsi="Arial" w:cs="Arial"/>
          <w:bCs/>
          <w:i/>
        </w:rPr>
        <w:t>Acacia nilotica</w:t>
      </w:r>
      <w:r>
        <w:rPr>
          <w:rFonts w:ascii="Arial" w:hAnsi="Arial" w:cs="Arial"/>
          <w:bCs/>
          <w:iCs/>
        </w:rPr>
        <w:t xml:space="preserve"> is a medicinal plant known to be rich in phenolic compounds, consisting of condensed tannin and </w:t>
      </w:r>
      <w:proofErr w:type="spellStart"/>
      <w:r>
        <w:rPr>
          <w:rFonts w:ascii="Arial" w:hAnsi="Arial" w:cs="Arial"/>
          <w:bCs/>
          <w:iCs/>
        </w:rPr>
        <w:t>phlobatannin</w:t>
      </w:r>
      <w:proofErr w:type="spellEnd"/>
      <w:r>
        <w:rPr>
          <w:rFonts w:ascii="Arial" w:hAnsi="Arial" w:cs="Arial"/>
          <w:bCs/>
          <w:iCs/>
        </w:rPr>
        <w:t xml:space="preserve">, gallic acid, </w:t>
      </w:r>
      <w:proofErr w:type="spellStart"/>
      <w:r>
        <w:rPr>
          <w:rFonts w:ascii="Arial" w:hAnsi="Arial" w:cs="Arial"/>
          <w:bCs/>
          <w:iCs/>
        </w:rPr>
        <w:t>protocatechic</w:t>
      </w:r>
      <w:proofErr w:type="spellEnd"/>
      <w:r>
        <w:rPr>
          <w:rFonts w:ascii="Arial" w:hAnsi="Arial" w:cs="Arial"/>
          <w:bCs/>
          <w:iCs/>
        </w:rPr>
        <w:t xml:space="preserve"> acid, pyrocatechol, (+)-catechin, (-)epi-gallocatechin-7-gallate and (-)epigallocatechin-5, 7-digallate </w:t>
      </w:r>
      <w:r>
        <w:rPr>
          <w:rFonts w:ascii="Arial" w:hAnsi="Arial" w:cs="Arial"/>
          <w:bCs/>
          <w:iCs/>
        </w:rPr>
        <w:fldChar w:fldCharType="begin"/>
      </w:r>
      <w:r>
        <w:rPr>
          <w:rFonts w:ascii="Arial" w:hAnsi="Arial" w:cs="Arial"/>
          <w:bCs/>
          <w:iCs/>
        </w:rPr>
        <w:instrText xml:space="preserve"> ADDIN ZOTERO_ITEM CSL_CITATION {"citationID":"2SVpUjgp","properties":{"formattedCitation":"(Satruhan Patel et al., 2023)","plainCitation":"(Satruhan Patel et al., 2023)","dontUpdate":true,"noteIndex":0},"citationItems":[{"id":1000,"uris":["http://zotero.org/users/9368380/items/9DERMZU6"],"itemData":{"id":1000,"type":"article-journal","abstract":"Acacia nilotica Linn. (Mimosaceae) indigenously known as ‘Babul’ or ‘Kikar’ is a proverbial, mediumsized tree and is broadly scattered in tropical and subtropical countries. Almost all its parts such as leaves, bark, roots, flowers, pods, gum, etc. are used in medication. This plant contributes several groups among which are alkaloids, volatile essential oils, phenols and phenolic glycosides, resins, oleosins, steroids, tannins and terpenes. Acacia nilotica is a medicinal plant acknowledged to be rich in phenolics, consisting of condensed tannin and phlobatannin, gallic acid, protocatechuic acid, pyrocatechol, (+) catechin, (-) epi- gallocatechin-7-gallate and (-) epigallocatechin-5, 7-digallate. Different parts of this plant such as the leaves, roots, seeds, bark, fruits, flowers, gum and immature pods act as anti-cancer, antimutagenic, spasmogenic, vasoconstrictor, antipyretic, anti-asthmatic, cytotoxic, anti-diabetic, antiplatelet, anti-plasmodial, anti-fungal, antioxidant activities, anti-bacterial, antihypertensive and antispasmodic activities. They are also engaged for the treatment of different ailments in the indigenous system of medicine. This review summarizes the information concerning the phytochemistry, biological activity and pharmacological properties of the Acacia nilotica Linn.","container-title":"Journal of Pharmacognosy and Phytochemistry","DOI":"10.22271/phyto.2023.v12.i6d.14802","ISSN":"22784136, 23498234","issue":"6","journalAbbreviation":"J Pharmacogn Phytochem","language":"en","page":"345-348","source":"DOI.org (Crossref)","title":"A review on a medicinal tree Acacia nilotica Linn","volume":"12","author":[{"family":"Satruhan Patel","given":"Ashish"},{"family":"Patel","given":"Ashish"},{"family":"Patel","given":"Dk"}],"issued":{"date-parts":[["2023",1,1]]}}}],"schema":"https://github.com/citation-style-language/schema/raw/master/csl-citation.json"} </w:instrText>
      </w:r>
      <w:r>
        <w:rPr>
          <w:rFonts w:ascii="Arial" w:hAnsi="Arial" w:cs="Arial"/>
          <w:bCs/>
          <w:iCs/>
        </w:rPr>
        <w:fldChar w:fldCharType="separate"/>
      </w:r>
      <w:r>
        <w:rPr>
          <w:rFonts w:ascii="Arial" w:hAnsi="Arial" w:cs="Arial"/>
        </w:rPr>
        <w:t xml:space="preserve">(Satruhan Patel et </w:t>
      </w:r>
      <w:r>
        <w:rPr>
          <w:rFonts w:ascii="Arial" w:hAnsi="Arial" w:cs="Arial"/>
          <w:i/>
          <w:iCs/>
        </w:rPr>
        <w:t>al</w:t>
      </w:r>
      <w:r>
        <w:rPr>
          <w:rFonts w:ascii="Arial" w:hAnsi="Arial" w:cs="Arial"/>
        </w:rPr>
        <w:t>., 2023; Abduljawad, 2020)</w:t>
      </w:r>
      <w:r>
        <w:rPr>
          <w:rFonts w:ascii="Arial" w:hAnsi="Arial" w:cs="Arial"/>
        </w:rPr>
        <w:fldChar w:fldCharType="end"/>
      </w:r>
      <w:r>
        <w:rPr>
          <w:rFonts w:ascii="Arial" w:hAnsi="Arial" w:cs="Arial"/>
          <w:bCs/>
          <w:iCs/>
        </w:rPr>
        <w:t>. Most Acacia species contain large quantities of anthocyanins, glycosides, various phenolic compounds and flavonoids. These chemical components, in particular phenolic compounds, have shown a positive correlation with high antioxidant capacity (Abdel-Farid et al., 2014).</w:t>
      </w:r>
    </w:p>
    <w:p>
      <w:pPr>
        <w:pStyle w:val="Body"/>
        <w:rPr>
          <w:rFonts w:ascii="Arial" w:hAnsi="Arial" w:cs="Arial"/>
          <w:b/>
          <w:bCs/>
        </w:rPr>
      </w:pPr>
      <w:r>
        <w:rPr>
          <w:rFonts w:ascii="Arial" w:hAnsi="Arial" w:cs="Arial"/>
          <w:b/>
          <w:bCs/>
        </w:rPr>
        <w:t>3.2.3 Antioxidant and Anti-Inflammatory Properties</w:t>
      </w:r>
    </w:p>
    <w:p>
      <w:pPr>
        <w:pStyle w:val="Body"/>
        <w:spacing w:after="0"/>
        <w:rPr>
          <w:rFonts w:ascii="Arial" w:hAnsi="Arial" w:cs="Arial"/>
          <w:bCs/>
          <w:iCs/>
        </w:rPr>
      </w:pPr>
      <w:r>
        <w:rPr>
          <w:rFonts w:ascii="Arial" w:hAnsi="Arial" w:cs="Arial"/>
          <w:bCs/>
          <w:iCs/>
        </w:rPr>
        <w:t xml:space="preserve">Several studies have reported that Acacia nilotica extracts have good antioxidant activity. The aqueous extract, butanol fraction and ethyl acetate fraction of </w:t>
      </w:r>
      <w:r>
        <w:rPr>
          <w:rFonts w:ascii="Arial" w:hAnsi="Arial" w:cs="Arial"/>
          <w:bCs/>
          <w:i/>
        </w:rPr>
        <w:t>Acacia nilotica</w:t>
      </w:r>
      <w:r>
        <w:rPr>
          <w:rFonts w:ascii="Arial" w:hAnsi="Arial" w:cs="Arial"/>
          <w:bCs/>
          <w:iCs/>
        </w:rPr>
        <w:t xml:space="preserve"> bark (</w:t>
      </w:r>
      <w:r>
        <w:rPr>
          <w:rFonts w:ascii="Arial" w:hAnsi="Arial" w:cs="Arial"/>
          <w:bCs/>
          <w:i/>
        </w:rPr>
        <w:t xml:space="preserve">Acacia </w:t>
      </w:r>
      <w:proofErr w:type="spellStart"/>
      <w:r>
        <w:rPr>
          <w:rFonts w:ascii="Arial" w:hAnsi="Arial" w:cs="Arial"/>
          <w:bCs/>
          <w:i/>
        </w:rPr>
        <w:lastRenderedPageBreak/>
        <w:t>nilotica</w:t>
      </w:r>
      <w:proofErr w:type="spellEnd"/>
      <w:r>
        <w:rPr>
          <w:rFonts w:ascii="Arial" w:hAnsi="Arial" w:cs="Arial"/>
          <w:bCs/>
          <w:iCs/>
        </w:rPr>
        <w:t xml:space="preserve"> var </w:t>
      </w:r>
      <w:proofErr w:type="spellStart"/>
      <w:r>
        <w:rPr>
          <w:rFonts w:ascii="Arial" w:hAnsi="Arial" w:cs="Arial"/>
          <w:bCs/>
          <w:iCs/>
        </w:rPr>
        <w:t>adansonii</w:t>
      </w:r>
      <w:proofErr w:type="spellEnd"/>
      <w:r>
        <w:rPr>
          <w:rFonts w:ascii="Arial" w:hAnsi="Arial" w:cs="Arial"/>
          <w:bCs/>
          <w:iCs/>
        </w:rPr>
        <w:t xml:space="preserve"> </w:t>
      </w:r>
      <w:proofErr w:type="spellStart"/>
      <w:r>
        <w:rPr>
          <w:rFonts w:ascii="Arial" w:hAnsi="Arial" w:cs="Arial"/>
          <w:bCs/>
          <w:iCs/>
        </w:rPr>
        <w:t>Guill</w:t>
      </w:r>
      <w:proofErr w:type="spellEnd"/>
      <w:r>
        <w:rPr>
          <w:rFonts w:ascii="Arial" w:hAnsi="Arial" w:cs="Arial"/>
          <w:bCs/>
          <w:iCs/>
        </w:rPr>
        <w:t xml:space="preserve">. et Perr) demonstrated high antioxidant capacity  </w:t>
      </w:r>
      <w:r>
        <w:rPr>
          <w:rFonts w:ascii="Arial" w:hAnsi="Arial" w:cs="Arial"/>
          <w:bCs/>
          <w:iCs/>
        </w:rPr>
        <w:fldChar w:fldCharType="begin"/>
      </w:r>
      <w:r>
        <w:rPr>
          <w:rFonts w:ascii="Arial" w:hAnsi="Arial" w:cs="Arial"/>
          <w:bCs/>
          <w:iCs/>
        </w:rPr>
        <w:instrText xml:space="preserve"> ADDIN ZOTERO_ITEM CSL_CITATION {"citationID":"NmPrLrcW","properties":{"formattedCitation":"(Abdoul et al., 2019)","plainCitation":"(Abdoul et al., 2019)","noteIndex":0},"citationItems":[{"id":1003,"uris":["http://zotero.org/users/9368380/items/VUTLWUCL"],"itemData":{"id":1003,"type":"article-journal","abstract":"Aim of this study was to evaluate in vitro polyphenols content, antioxidant and antispasmodic properties of the aqueous extract and fractions of the trunk bark of Acacia nilotica. According to a survey conducted in rural Burkina Faso, Acacia nilotica var. adansonii (Guill and Perr). Ktze reported to be widely used in the treatment of gastrointestinal diarrhoea and parasitosis. A maceration of the powder of the trunk bark of the plant was carried out. Then the aqueous macerate obtain, was fractionated with dichloromethane, butanol and ethyl acetate successively. The phenolic compounds of the aqueous extract, butanol and ethyl acetate fractions was determinated. The antioxidant activity of aqueous extract and fractions was evaluated by the DPPH, ABTS and FRAP tests. The contractility test on smooth muscle was realized according to Magnus method. Assay of the extracts revealed a high content of polyphenols, tannins and flavonoids. The aqueous extract, the butanol fraction and the ethyl acetate fraction demonstrated a high antioxidant capacity. Aqueous extract showed a better antispasmodic effect of acetylcholine contraction induction at 1 μM (IC50 = 13.02 μg / mL) and for BaCl2 at 160 μg / mL (IC50 = 117.2 μg / mL). The aqueous extract of Acacia nilotica and his fractions had antioxidant properties. Only aqueous extract proven better antispasmodic property. Hence its use in traditional medicine in the treatment of diarrhoea.\nKeywords: Acacia nilotica, Antioxidant, Antispasmodic","container-title":"Journal of Drug Delivery and Therapeutics","DOI":"10.22270/jddt.v9i3-s.2901","ISSN":"2250-1177","issue":"3-s","language":"en","license":"Copyright (c) 2019 Journal of Drug Delivery and Therapeutics","note":"number: 3-s","page":"524-530","source":"jddtonline.info","title":"Pharmacological study of trunk bark of Acacia nilotica var adansonii (Guill et Perr).o Ktze (Mimosaceae): Assays, antioxidant and antispasmodic activities","title-short":"Pharmacological study of trunk bark of Acacia nilotica var adansonii (Guill et Perr).o Ktze (Mimosaceae)","volume":"9","author":[{"family":"Abdoul","given":"Gilchrist L. Boly"},{"family":"Traore","given":"Aristide"},{"family":"Ouedraogo","given":"Moussa"},{"family":"Belemlilga","given":"Mohamed"},{"family":"Traore","given":"Tata K."},{"family":"Belemnaba","given":"Lazare"},{"family":"Ouedraogo","given":"Noufou"},{"family":"Lupu","given":"Andre"},{"family":"Ouedraogo","given":"Sylvin"},{"family":"O","given":"Mirn Liviu"},{"family":"Guissou","given":"Innocent P."}],"issued":{"date-parts":[["2019",6,15]]}}}],"schema":"https://github.com/citation-style-language/schema/raw/master/csl-citation.json"} </w:instrText>
      </w:r>
      <w:r>
        <w:rPr>
          <w:rFonts w:ascii="Arial" w:hAnsi="Arial" w:cs="Arial"/>
          <w:bCs/>
          <w:iCs/>
        </w:rPr>
        <w:fldChar w:fldCharType="separate"/>
      </w:r>
      <w:r>
        <w:rPr>
          <w:rFonts w:ascii="Arial" w:hAnsi="Arial" w:cs="Arial"/>
        </w:rPr>
        <w:t>(Abdoul et al., 2019)</w:t>
      </w:r>
      <w:r>
        <w:rPr>
          <w:rFonts w:ascii="Arial" w:hAnsi="Arial" w:cs="Arial"/>
        </w:rPr>
        <w:fldChar w:fldCharType="end"/>
      </w:r>
      <w:r>
        <w:rPr>
          <w:rFonts w:ascii="Arial" w:hAnsi="Arial" w:cs="Arial"/>
          <w:bCs/>
          <w:iCs/>
        </w:rPr>
        <w:t xml:space="preserve">. Traoré et </w:t>
      </w:r>
      <w:r>
        <w:rPr>
          <w:rFonts w:ascii="Arial" w:hAnsi="Arial" w:cs="Arial"/>
          <w:bCs/>
          <w:i/>
        </w:rPr>
        <w:t>al.</w:t>
      </w:r>
      <w:r>
        <w:rPr>
          <w:rFonts w:ascii="Arial" w:hAnsi="Arial" w:cs="Arial"/>
          <w:bCs/>
          <w:iCs/>
        </w:rPr>
        <w:t xml:space="preserve"> in their study showed that aqueous extracts of Acacia nilotica had the best antioxidant activities by both methods (DPPH and FRAP) </w:t>
      </w:r>
      <w:r>
        <w:rPr>
          <w:rFonts w:ascii="Arial" w:hAnsi="Arial" w:cs="Arial"/>
          <w:bCs/>
          <w:iCs/>
        </w:rPr>
        <w:fldChar w:fldCharType="begin"/>
      </w:r>
      <w:r>
        <w:rPr>
          <w:rFonts w:ascii="Arial" w:hAnsi="Arial" w:cs="Arial"/>
          <w:bCs/>
          <w:iCs/>
        </w:rPr>
        <w:instrText xml:space="preserve"> ADDIN ZOTERO_ITEM CSL_CITATION {"citationID":"5a1yBSsK","properties":{"formattedCitation":"(Traor\\uc0\\u233{} et al., 2023)","plainCitation":"(Traoré et al., 2023)","noteIndex":0},"citationItems":[{"id":987,"uris":["http://zotero.org/users/9368380/items/D6V2VKMJ"],"itemData":{"id":987,"type":"article-journal","container-title":"Asian Journal of Research in Biochemistry","DOI":"10.9734/ajrb/2023/v13i3261","ISSN":"2582-0516","issue":"3","language":"en","page":"66-73","source":"journalajrb.com","title":"Antioxidant Properties Evaluation of Trunk's Barks of 10 Plants used in Traditional Medicine against Hepatic Pathologies","volume":"13","author":[{"family":"Traoré","given":"Kadiatou Tata"},{"family":"Sombié","given":"Nogma Ernest"},{"family":"Nignan","given":"Nouhoun"},{"family":"Boly","given":"Gilchrist A. L."},{"family":"Kabré","given":"Leïla M. E. W."},{"family":"Coulibaly","given":"Adjaratou"},{"family":"Atchadé","given":"Constantin Boladé"},{"family":"Ouédraogo","given":"Salfo"},{"family":"Tibiri","given":"André"},{"family":"Ouédraogo","given":"Sylvin"},{"family":"Ouédraogo","given":"Noufou"}],"issued":{"date-parts":[["2023",10,6]]}}}],"schema":"https://github.com/citation-style-language/schema/raw/master/csl-citation.json"} </w:instrText>
      </w:r>
      <w:r>
        <w:rPr>
          <w:rFonts w:ascii="Arial" w:hAnsi="Arial" w:cs="Arial"/>
          <w:bCs/>
          <w:iCs/>
        </w:rPr>
        <w:fldChar w:fldCharType="separate"/>
      </w:r>
      <w:r>
        <w:rPr>
          <w:rFonts w:ascii="Arial" w:hAnsi="Arial" w:cs="Arial"/>
        </w:rPr>
        <w:t>(Traoré et al., 2023)</w:t>
      </w:r>
      <w:r>
        <w:rPr>
          <w:rFonts w:ascii="Arial" w:hAnsi="Arial" w:cs="Arial"/>
        </w:rPr>
        <w:fldChar w:fldCharType="end"/>
      </w:r>
      <w:r>
        <w:rPr>
          <w:rFonts w:ascii="Arial" w:hAnsi="Arial" w:cs="Arial"/>
          <w:bCs/>
          <w:iCs/>
        </w:rPr>
        <w:t xml:space="preserve">. Leaf extracts were found to possess significant antioxidant activity. The free radical scavenging capacity of the methanolic extract of Acacia nilotica pods was reported for DPPH (IC50 : 0,218 mg/mL), ABTS (64,12 ± 0,34% inhibition for a concentration of 0,5mg/ml) and H2O2 free radical scavenging activities </w:t>
      </w:r>
      <w:r>
        <w:rPr>
          <w:rFonts w:ascii="Arial" w:hAnsi="Arial" w:cs="Arial"/>
          <w:bCs/>
          <w:iCs/>
        </w:rPr>
        <w:fldChar w:fldCharType="begin"/>
      </w:r>
      <w:r>
        <w:rPr>
          <w:rFonts w:ascii="Arial" w:hAnsi="Arial" w:cs="Arial"/>
          <w:bCs/>
          <w:iCs/>
        </w:rPr>
        <w:instrText xml:space="preserve"> ADDIN ZOTERO_ITEM CSL_CITATION {"citationID":"wUaaXzsQ","properties":{"formattedCitation":"(Lawaly et al., 2022a)","plainCitation":"(Lawaly et al., 2022a)","noteIndex":0},"citationItems":[{"id":995,"uris":["http://zotero.org/users/9368380/items/U8RK524T"],"itemData":{"id":995,"type":"article-journal","abstract":"Acacia nilotica is a medicinal plant used in Niger republic for the treatment of gastrointestinal diseases. The aim of this study was to investigate total phenolic and flavonoid content, antioxidant and cytotoxic activity of the A. nilotica pods collected from Niger republic. The phytochemical contents were examined by colorimetric methods. Antioxidant activity of the methanol extract was screened using DPPH, ABTS and H2O2 free radical scavenging inhibition assays. Cytotoxicity potential was assessed using the in vitro MTT assay. The phytochemical screening of the plant extract revealed the presence of higher amounts of total phenolic, flavonoid and condensed tannins in the extract. IC50 values for the scavenging of DPPH, ABTS and H2O2 were found lower though manifesting potential antiradical capacities. The extract showed no cytotoxicity against five different cell line models. Taken together, the present results suggested the therapeutic potential of the methanol extract of A. nilotica pods. Further studies to isolate and characterize the bioactive compounds and to investigate their possible cytotoxic effects in vivo are in view.\n\n\tKey words: Acacia nilotica, methanol extract, antioxidant activity, cytotoxicity potential, polyphenol contents.","container-title":"Journal of Medicinal Plants Research","DOI":"10.5897/JMPR2022.7268","ISSN":"1996-0875","issue":"12","journalAbbreviation":"JMPR","language":"en","note":"publisher: Academic Journals","page":"326-333","source":"academicjournals.org","title":"Determination of total phenolic and flavonoid content, antioxidant and cytotoxic activity of the methanol extract of Acacia nilotica pods","volume":"16","author":[{"family":"Lawaly","given":"Maman Manzo"},{"family":"Ikhiri","given":"Khalid"},{"family":"Yu","given":"Liu"}],"issued":{"date-parts":[["2022",12,31]]}}}],"schema":"https://github.com/citation-style-language/schema/raw/master/csl-citation.json"} </w:instrText>
      </w:r>
      <w:r>
        <w:rPr>
          <w:rFonts w:ascii="Arial" w:hAnsi="Arial" w:cs="Arial"/>
          <w:bCs/>
          <w:iCs/>
        </w:rPr>
        <w:fldChar w:fldCharType="separate"/>
      </w:r>
      <w:r>
        <w:rPr>
          <w:rFonts w:ascii="Arial" w:hAnsi="Arial" w:cs="Arial"/>
        </w:rPr>
        <w:t>(Lawaly et al., 2022)</w:t>
      </w:r>
      <w:r>
        <w:rPr>
          <w:rFonts w:ascii="Arial" w:hAnsi="Arial" w:cs="Arial"/>
        </w:rPr>
        <w:fldChar w:fldCharType="end"/>
      </w:r>
      <w:r>
        <w:rPr>
          <w:rFonts w:ascii="Arial" w:hAnsi="Arial" w:cs="Arial"/>
          <w:bCs/>
          <w:iCs/>
        </w:rPr>
        <w:t xml:space="preserve">. Aqueous extract of </w:t>
      </w:r>
      <w:r>
        <w:rPr>
          <w:rFonts w:ascii="Arial" w:hAnsi="Arial" w:cs="Arial"/>
          <w:bCs/>
          <w:i/>
        </w:rPr>
        <w:t>A. nilotica</w:t>
      </w:r>
      <w:r>
        <w:rPr>
          <w:rFonts w:ascii="Arial" w:hAnsi="Arial" w:cs="Arial"/>
          <w:bCs/>
          <w:iCs/>
        </w:rPr>
        <w:t xml:space="preserve"> pods promotes wound healing in Sprague-</w:t>
      </w:r>
      <w:proofErr w:type="spellStart"/>
      <w:r>
        <w:rPr>
          <w:rFonts w:ascii="Arial" w:hAnsi="Arial" w:cs="Arial"/>
          <w:bCs/>
          <w:iCs/>
        </w:rPr>
        <w:t>Dawly</w:t>
      </w:r>
      <w:proofErr w:type="spellEnd"/>
      <w:r>
        <w:rPr>
          <w:rFonts w:ascii="Arial" w:hAnsi="Arial" w:cs="Arial"/>
          <w:bCs/>
          <w:iCs/>
        </w:rPr>
        <w:t xml:space="preserve"> rats by attenuating oxidative stress with activity comparable to that of </w:t>
      </w:r>
      <w:proofErr w:type="spellStart"/>
      <w:r>
        <w:rPr>
          <w:rFonts w:ascii="Arial" w:hAnsi="Arial" w:cs="Arial"/>
          <w:bCs/>
          <w:iCs/>
        </w:rPr>
        <w:t>trolox</w:t>
      </w:r>
      <w:proofErr w:type="spellEnd"/>
      <w:r>
        <w:rPr>
          <w:rFonts w:ascii="Arial" w:hAnsi="Arial" w:cs="Arial"/>
          <w:bCs/>
          <w:iCs/>
        </w:rPr>
        <w:t xml:space="preserve"> and suppressing pro-inflammatory cytokines (IL-1β and TNF-α in a dose-dependent manner) </w:t>
      </w:r>
      <w:r>
        <w:rPr>
          <w:rFonts w:ascii="Arial" w:hAnsi="Arial" w:cs="Arial"/>
          <w:bCs/>
          <w:iCs/>
        </w:rPr>
        <w:fldChar w:fldCharType="begin"/>
      </w:r>
      <w:r>
        <w:rPr>
          <w:rFonts w:ascii="Arial" w:hAnsi="Arial" w:cs="Arial"/>
          <w:bCs/>
          <w:iCs/>
        </w:rPr>
        <w:instrText xml:space="preserve"> ADDIN ZOTERO_ITEM CSL_CITATION {"citationID":"tgoUXYJe","properties":{"formattedCitation":"(Kankara et al., 2017)","plainCitation":"(Kankara et al., 2017)","noteIndex":0},"citationItems":[{"id":1222,"uris":["http://zotero.org/users/9368380/items/SW4ZRJWN"],"itemData":{"id":1222,"type":"article-journal","container-title":"Nigerian Journal of Scientific Research","issue":"2","page":"202–210","source":"Google Scholar","title":"Acacia nilotica pods’ water extract enhances wound healing in Sprague-Dawley rats by alleviating oxidative stress and suppressing pro-inflammatory cytokines.","volume":"16","author":[{"family":"Kankara","given":"S. S."},{"family":"Sani","given":"D."},{"family":"IBRAHIM","given":"MH"},{"family":"Mustafa","given":"M."},{"family":"Go","given":"R."}],"issued":{"date-parts":[["2017"]]}}}],"schema":"https://github.com/citation-style-language/schema/raw/master/csl-citation.json"} </w:instrText>
      </w:r>
      <w:r>
        <w:rPr>
          <w:rFonts w:ascii="Arial" w:hAnsi="Arial" w:cs="Arial"/>
          <w:bCs/>
          <w:iCs/>
        </w:rPr>
        <w:fldChar w:fldCharType="separate"/>
      </w:r>
      <w:r>
        <w:rPr>
          <w:rFonts w:ascii="Arial" w:hAnsi="Arial" w:cs="Arial"/>
        </w:rPr>
        <w:t>(Kankara et al., 2017)</w:t>
      </w:r>
      <w:r>
        <w:rPr>
          <w:rFonts w:ascii="Arial" w:hAnsi="Arial" w:cs="Arial"/>
        </w:rPr>
        <w:fldChar w:fldCharType="end"/>
      </w:r>
      <w:r>
        <w:rPr>
          <w:rFonts w:ascii="Arial" w:hAnsi="Arial" w:cs="Arial"/>
          <w:bCs/>
          <w:iCs/>
        </w:rPr>
        <w:t>.</w:t>
      </w:r>
    </w:p>
    <w:p>
      <w:pPr>
        <w:pStyle w:val="Body"/>
        <w:spacing w:after="0"/>
        <w:rPr>
          <w:rFonts w:ascii="Arial" w:hAnsi="Arial" w:cs="Arial"/>
          <w:bCs/>
          <w:iCs/>
        </w:rPr>
      </w:pPr>
      <w:r>
        <w:rPr>
          <w:rFonts w:ascii="Arial" w:hAnsi="Arial" w:cs="Arial"/>
          <w:bCs/>
          <w:iCs/>
        </w:rPr>
        <w:t xml:space="preserve">The antipyretic and analgesic activity of the aqueous extract of </w:t>
      </w:r>
      <w:r>
        <w:rPr>
          <w:rFonts w:ascii="Arial" w:hAnsi="Arial" w:cs="Arial"/>
          <w:bCs/>
          <w:i/>
        </w:rPr>
        <w:t>Acacia nilotica</w:t>
      </w:r>
      <w:r>
        <w:rPr>
          <w:rFonts w:ascii="Arial" w:hAnsi="Arial" w:cs="Arial"/>
          <w:bCs/>
          <w:iCs/>
        </w:rPr>
        <w:t xml:space="preserve"> bark has been demonstrated. A significant inhibition of acetic acid-induced abdominal contortions in mice and a dose-dependent reduction in rectal temperature in rats at doses of 200 mg/kg weight and 400mg/kg weight were observed </w:t>
      </w:r>
      <w:r>
        <w:rPr>
          <w:rFonts w:ascii="Arial" w:hAnsi="Arial" w:cs="Arial"/>
          <w:bCs/>
          <w:iCs/>
        </w:rPr>
        <w:fldChar w:fldCharType="begin"/>
      </w:r>
      <w:r>
        <w:rPr>
          <w:rFonts w:ascii="Arial" w:hAnsi="Arial" w:cs="Arial"/>
          <w:bCs/>
          <w:iCs/>
        </w:rPr>
        <w:instrText xml:space="preserve"> ADDIN ZOTERO_ITEM CSL_CITATION {"citationID":"EykyCagt","properties":{"formattedCitation":"(Alli et al., 2015)","plainCitation":"(Alli et al., 2015)","noteIndex":0},"citationItems":[{"id":991,"uris":["http://zotero.org/users/9368380/items/R229XPCT"],"itemData":{"id":991,"type":"webpage","title":"Antipyretic and analgesic activities of aqueous extract of &lt;i&gt;Acacia nilotica&lt;/i&gt; root | Biokemistri","URL":"https://www.ajol.info/index.php/biokem/article/view/113765","author":[{"family":"Alli","given":"LA"},{"family":"Nafiu","given":"MO"},{"family":"Adesokan","given":"AA"}],"accessed":{"date-parts":[["2024",11,9]]},"issued":{"date-parts":[["2015"]]}}}],"schema":"https://github.com/citation-style-language/schema/raw/master/csl-citation.json"} </w:instrText>
      </w:r>
      <w:r>
        <w:rPr>
          <w:rFonts w:ascii="Arial" w:hAnsi="Arial" w:cs="Arial"/>
          <w:bCs/>
          <w:iCs/>
        </w:rPr>
        <w:fldChar w:fldCharType="separate"/>
      </w:r>
      <w:r>
        <w:rPr>
          <w:rFonts w:ascii="Arial" w:hAnsi="Arial" w:cs="Arial"/>
        </w:rPr>
        <w:t>(Alli et al., 2015)</w:t>
      </w:r>
      <w:r>
        <w:rPr>
          <w:rFonts w:ascii="Arial" w:hAnsi="Arial" w:cs="Arial"/>
        </w:rPr>
        <w:fldChar w:fldCharType="end"/>
      </w:r>
      <w:r>
        <w:rPr>
          <w:rFonts w:ascii="Arial" w:hAnsi="Arial" w:cs="Arial"/>
          <w:bCs/>
          <w:iCs/>
        </w:rPr>
        <w:t xml:space="preserve">. The N-butanol fraction of </w:t>
      </w:r>
      <w:r>
        <w:rPr>
          <w:rFonts w:ascii="Arial" w:hAnsi="Arial" w:cs="Arial"/>
          <w:bCs/>
          <w:i/>
        </w:rPr>
        <w:t>Acacia nilotica</w:t>
      </w:r>
      <w:r>
        <w:rPr>
          <w:rFonts w:ascii="Arial" w:hAnsi="Arial" w:cs="Arial"/>
          <w:bCs/>
          <w:iCs/>
        </w:rPr>
        <w:t xml:space="preserve"> pods dose-dependently reduced carrageenan-induced rat paw edema. It also significantly inhibited licking activity in the first phase of nociception for doses of 160, 80 and 40 mg/kg, and in the second phase of formalin-induced nociception at 160 mg/kg, there was also a 94,4% reduction in the number of abdominal contortions for a dose of 160 mg/kg, demonstrating its central and peripheral anti-inflammatory and analgesic activity </w:t>
      </w:r>
      <w:r>
        <w:rPr>
          <w:rFonts w:ascii="Arial" w:hAnsi="Arial" w:cs="Arial"/>
          <w:bCs/>
          <w:iCs/>
        </w:rPr>
        <w:fldChar w:fldCharType="begin"/>
      </w:r>
      <w:r>
        <w:rPr>
          <w:rFonts w:ascii="Arial" w:hAnsi="Arial" w:cs="Arial"/>
          <w:bCs/>
          <w:iCs/>
        </w:rPr>
        <w:instrText xml:space="preserve"> ADDIN ZOTERO_ITEM CSL_CITATION {"citationID":"miqZE8Vr","properties":{"formattedCitation":"(Tanko Mahamane Salissou et al., 2022)","plainCitation":"(Tanko Mahamane Salissou et al., 2022)","noteIndex":0},"citationItems":[{"id":984,"uris":["http://zotero.org/users/9368380/items/UG5Y5Y32"],"itemData":{"id":984,"type":"article-journal","abstract":"Background: Acacia nilotica (AN) has diverse ethno medicinal uses: rheumatic pain, and inflammation. Unexpected side effects of analgesic, steroidal drugs and NSAIDs are reported in several studies, leading to continuous search of plants and their active fraction for management of pain and inflammatory disorders. The aim of study is to investigate its active fraction using pods in view of characterization of its active ingredients, to carry out phytochemical screening ,acute toxicity study , evaluate central, peripheral analgesic effect and anti-inflammatory activities . Acute toxicity study was done by methods of Lorke 1983 phytochemical screening was done using standard methods, peripheral analgesic effect was evaluated using acetic acid induced writhing test, central analgesic activity using hot plat method while the anti-inflammatory activity of the extract was done using formalin induced hind paw edema model Results: Phytochemical screening, revealed presence of flavonoids, tannin, saponnin, glycosides , the acute toxicity studies showed an LD 50 of 565mg/kg (ip). The fraction showed both central and peripheral analgesic activity. In the acetic acid-induced writhing test for peripheral analgesic activity, BF ANP at the 160,80,40 mg/kg dose inhibits writhing, comparable to ketoprofen (10 mg/kg) (P≤0.001). Using hot plat method, BF ANP produced central analgesic activity in a dose-dependent manner when compared to pentazocine. Both BF ANP and pentazocine inhibit significantly licking activity in the formalin-induced pain in mice. BF ANP produced a significant reduction in carrageenan-induced paw edema (p≤0.05). BF ANP when compare to standard drugs ketoprofen is as potent as standard drugs.","container-title":"International Journal of Scientific Research and Management","DOI":"10.18535/ijsrm/v10i01.mp02","ISSN":"2321-3418","issue":"01","journalAbbreviation":"int.jour.sci.res.mana.","language":"en","license":"https://creativecommons.org/licenses/by/4.0/","page":"519-530","source":"DOI.org (Crossref)","title":"Analgesic and Anti-inflammatory Activities of N-buthanol Portion of Acacia nilotica Pods in Mice and Wistar rats.","volume":"10","author":[{"family":"Tanko Mahamane Salissou","given":"Maibouge"},{"family":"Tanko:","given":"Yusuf."},{"family":"AbduSSALAM  Magaji","given":"Rabiu"},{"family":"Hamza Yaro","given":"Abdullahi"}],"issued":{"date-parts":[["2022",1,15]]}}}],"schema":"https://github.com/citation-style-language/schema/raw/master/csl-citation.json"} </w:instrText>
      </w:r>
      <w:r>
        <w:rPr>
          <w:rFonts w:ascii="Arial" w:hAnsi="Arial" w:cs="Arial"/>
          <w:bCs/>
          <w:iCs/>
        </w:rPr>
        <w:fldChar w:fldCharType="separate"/>
      </w:r>
      <w:r>
        <w:rPr>
          <w:rFonts w:ascii="Arial" w:hAnsi="Arial" w:cs="Arial"/>
        </w:rPr>
        <w:t>(Tanko Mahamane Salissou et al., 2022)</w:t>
      </w:r>
      <w:r>
        <w:rPr>
          <w:rFonts w:ascii="Arial" w:hAnsi="Arial" w:cs="Arial"/>
        </w:rPr>
        <w:fldChar w:fldCharType="end"/>
      </w:r>
      <w:r>
        <w:rPr>
          <w:rFonts w:ascii="Arial" w:hAnsi="Arial" w:cs="Arial"/>
          <w:bCs/>
          <w:iCs/>
        </w:rPr>
        <w:t xml:space="preserve">. Similarly, aqueous extract of </w:t>
      </w:r>
      <w:r>
        <w:rPr>
          <w:rFonts w:ascii="Arial" w:hAnsi="Arial" w:cs="Arial"/>
          <w:bCs/>
          <w:i/>
        </w:rPr>
        <w:t>Acacia</w:t>
      </w:r>
      <w:r>
        <w:rPr>
          <w:rFonts w:ascii="Arial" w:hAnsi="Arial" w:cs="Arial"/>
          <w:bCs/>
          <w:iCs/>
        </w:rPr>
        <w:t xml:space="preserve"> bark (150 mg/kg) reduced fever, inflammation and pain in experimental mice at the dose of 50 mg/kg aqueous extract of </w:t>
      </w:r>
      <w:r>
        <w:rPr>
          <w:rFonts w:ascii="Arial" w:hAnsi="Arial" w:cs="Arial"/>
          <w:bCs/>
          <w:i/>
        </w:rPr>
        <w:t>A. nilotica</w:t>
      </w:r>
      <w:r>
        <w:rPr>
          <w:rFonts w:ascii="Arial" w:hAnsi="Arial" w:cs="Arial"/>
          <w:bCs/>
          <w:iCs/>
        </w:rPr>
        <w:t xml:space="preserve"> bark exerts a significant antinociceptive effect (p&lt;0,05) characterized by a decrease in the duration of licking and biting in the acute or early phase (0-5 min) of formalin-induced pain </w:t>
      </w:r>
      <w:r>
        <w:rPr>
          <w:rFonts w:ascii="Arial" w:hAnsi="Arial" w:cs="Arial"/>
          <w:bCs/>
          <w:iCs/>
        </w:rPr>
        <w:fldChar w:fldCharType="begin"/>
      </w:r>
      <w:r>
        <w:rPr>
          <w:rFonts w:ascii="Arial" w:hAnsi="Arial" w:cs="Arial"/>
          <w:bCs/>
          <w:iCs/>
        </w:rPr>
        <w:instrText xml:space="preserve"> ADDIN ZOTERO_ITEM CSL_CITATION {"citationID":"4COJVA2g","properties":{"formattedCitation":"(Vz et al., 2016)","plainCitation":"(Vz et al., 2016)","noteIndex":0},"citationItems":[{"id":1004,"uris":["http://zotero.org/users/9368380/items/BNDXKEQG"],"itemData":{"id":1004,"type":"article-journal","abstract":"Acacia nilotica has been used to manage several diseases including pain, inflammation and fever. However, its efficacy has not been scientifically validated. The aim of this study therefore is to investigate the antinociceptive, antipyretic and anti-inflammatory activities of its aqueous extracts. The plant extract was collected from Loita division, Narok county in Kenya. A total of 96 albino mice with an average weight of 20 g was used for this study. Antinociceptive activity was determined by use of formalin−induced writhing test. A writhe was recorded by a stopwatch following the stretching of the abdomen and/or stretching of at least one hind limb. Anti-inflammatory activity was established by a formalin induced inflammation test. Hourly changes in paw sizes and reduction of edema around the paw was determined using a venier calipers. Antipyretic activity was carried out using Brewer's yeast induced pyrexia. Temperature of each mouse was determined rectally by thermal probe thermometer. The aqueous leaf extracts of A. nilotica reduced pain, inflammation and fever mostly at dose 150 mg/kg body weight. Based on these findings it was concluded that the present study has demonstrated the antinociceptive, anti-inflammatory and antipyretic potential of aqueous leaf extracts of A. nilotica in albino mice and will serve as good bio-resource for generating readily available herbal formulations that are more effective in the treatment of pain, inflammation and fever conditions which are cheaper than the conventional synthetic drugs and have no side effects.","container-title":"Pain Management and Medicine","DOI":"10.35248/2684-1320.16.2.113","journalAbbreviation":"Pain Management and Medicine","page":"113","source":"ResearchGate","title":"Antipyretic, Antiinflammatory and Antinociceptive Activities of Aqueous Bark Extract of Acacia Nilotica (L.) Delile in Albino Mice","volume":"2","author":[{"family":"Vz","given":"Safari"},{"family":"Kamau","given":"James"},{"family":"Nthiga","given":"Peter"},{"family":"Ngugi","given":"Mathew"},{"family":"Em","given":"Njagi"}],"issued":{"date-parts":[["2016",2,11]]}}}],"schema":"https://github.com/citation-style-language/schema/raw/master/csl-citation.json"} </w:instrText>
      </w:r>
      <w:r>
        <w:rPr>
          <w:rFonts w:ascii="Arial" w:hAnsi="Arial" w:cs="Arial"/>
          <w:bCs/>
          <w:iCs/>
        </w:rPr>
        <w:fldChar w:fldCharType="separate"/>
      </w:r>
      <w:r>
        <w:rPr>
          <w:rFonts w:ascii="Arial" w:hAnsi="Arial" w:cs="Arial"/>
        </w:rPr>
        <w:t>(Vz et al., 2016)</w:t>
      </w:r>
      <w:r>
        <w:rPr>
          <w:rFonts w:ascii="Arial" w:hAnsi="Arial" w:cs="Arial"/>
        </w:rPr>
        <w:fldChar w:fldCharType="end"/>
      </w:r>
      <w:r>
        <w:rPr>
          <w:rFonts w:ascii="Arial" w:hAnsi="Arial" w:cs="Arial"/>
          <w:bCs/>
          <w:iCs/>
        </w:rPr>
        <w:t>.</w:t>
      </w:r>
    </w:p>
    <w:p>
      <w:pPr>
        <w:pStyle w:val="Body"/>
        <w:spacing w:after="0"/>
        <w:rPr>
          <w:rFonts w:ascii="Arial" w:hAnsi="Arial" w:cs="Arial"/>
          <w:bCs/>
          <w:iCs/>
        </w:rPr>
      </w:pPr>
    </w:p>
    <w:p>
      <w:pPr>
        <w:pStyle w:val="Body"/>
        <w:rPr>
          <w:rFonts w:ascii="Arial" w:hAnsi="Arial" w:cs="Arial"/>
          <w:b/>
          <w:bCs/>
        </w:rPr>
      </w:pPr>
      <w:r>
        <w:rPr>
          <w:rFonts w:ascii="Arial" w:hAnsi="Arial" w:cs="Arial"/>
          <w:b/>
          <w:bCs/>
        </w:rPr>
        <w:t>3.2.4 Cytotoxicity</w:t>
      </w:r>
    </w:p>
    <w:p>
      <w:pPr>
        <w:pStyle w:val="Body"/>
        <w:rPr>
          <w:rFonts w:ascii="Arial" w:hAnsi="Arial" w:cs="Arial"/>
          <w:bCs/>
          <w:iCs/>
        </w:rPr>
      </w:pPr>
      <w:r>
        <w:rPr>
          <w:rFonts w:ascii="Arial" w:hAnsi="Arial" w:cs="Arial"/>
          <w:bCs/>
          <w:iCs/>
        </w:rPr>
        <w:t xml:space="preserve">The cytotoxic activity of ethanolic extract of </w:t>
      </w:r>
      <w:r>
        <w:rPr>
          <w:rFonts w:ascii="Arial" w:hAnsi="Arial" w:cs="Arial"/>
          <w:bCs/>
          <w:i/>
        </w:rPr>
        <w:t>A. nilotica</w:t>
      </w:r>
      <w:r>
        <w:rPr>
          <w:rFonts w:ascii="Arial" w:hAnsi="Arial" w:cs="Arial"/>
          <w:bCs/>
          <w:iCs/>
        </w:rPr>
        <w:t xml:space="preserve"> leaves and bark on normal cell lines (Vero cell line) verified the safety of the extract examined (IC50&gt; 100 µg/ml) </w:t>
      </w:r>
      <w:r>
        <w:rPr>
          <w:rFonts w:ascii="Arial" w:hAnsi="Arial" w:cs="Arial"/>
          <w:bCs/>
          <w:iCs/>
        </w:rPr>
        <w:fldChar w:fldCharType="begin"/>
      </w:r>
      <w:r>
        <w:rPr>
          <w:rFonts w:ascii="Arial" w:hAnsi="Arial" w:cs="Arial"/>
          <w:bCs/>
          <w:iCs/>
        </w:rPr>
        <w:instrText xml:space="preserve"> ADDIN ZOTERO_ITEM CSL_CITATION {"citationID":"6ABGEFwY","properties":{"formattedCitation":"(Kabbashi et al., 2015, 2016)","plainCitation":"(Kabbashi et al., 2015, 2016)","noteIndex":0},"citationItems":[{"id":1314,"uris":["http://zotero.org/users/9368380/items/3UNUGMI6"],"itemData":{"id":1314,"type":"article-journal","container-title":"Adv Med Plant Res","page":"33–38","source":"Google Scholar","title":"Antigiardial, antioxidant activities and cytotoxicity of ethanolic extract of leaves of Acacia nilotica (L)","volume":"3","author":[{"family":"Kabbashi","given":"Ahmed Saeed"},{"family":"Garbi","given":"Mohammed Ismail"},{"family":"Osman","given":"Elbadri E."}],"issued":{"date-parts":[["2015"]]}}},{"id":1309,"uris":["http://zotero.org/users/9368380/items/4EPPIL57"],"itemData":{"id":1309,"type":"article-journal","abstract":"Background: Acacia nilotica (L.) was used to treat different ailments for instance cold, congestion, fever, gallbladder, hemorrhage, hemorrhoids, leucorrhoea, ophthalmic, sclerosis, small pox, intestinal pains and acute diarrhea. Other preparations are used for gargle, toothache, ophthalmic and syphilitic ulcers. Human parasitic infections still represent a challenging public health problem worldwide, especially in tropical and subtropical regions. Giardiasis is the most common cause of parasitic gastro-intestinal disease and up to two hundred million people are chronically infected with Giardia lamblia globally with 500,000 new cases reported annually.\nObjectives: The purpose of the paper is to investigate the in-vitro antigiardial activity and cytotoxicity (MTT assay) of ethanol extract of A. nilotica subsp. nilotica (bark).\nMethod: The ethanolic extract of A. nilotica (bark), with different concentrations (500, 250 and 125 ppm) were investigated together with Metronidazole as a reference control at 312.5 μg/ml against Giardia lamblia trophozoites. Cytotoxicity (MTT assay) was also performed with different concentrations (500, 250 and 125 ppm) and compared to the reference control Triton-x100.\nResult: A. nilotica bark ethanolic extract exhibited 100% mortality within 96 h, at a concentration of 500 ppm; this was compared with Metronidazole which gave 96% inhibition at the concentration of 312.5 μg/ml at the same time. In addition cytotoxicity (MTT-assay) verified the safety of the examined extract with an IC50 less than 100 μg/ml.\nConclusion: These studies prove the potent activity of A. nilotica against Giardia lamblia trophozoites in vitro with verified safety evidence for use.","language":"en","source":"Zotero","title":"Antigiaridial Activity and Cytotoxicity of Ethanolic Bark Extract of Acacia nilotica (L.)","author":[{"family":"Kabbashi","given":"Ahmed S"},{"family":"Almagboul","given":"Aisha Z"},{"family":"Garbi","given":"Mohammed I"},{"family":"Osman","given":"El-badri E"},{"family":"Hassan","given":"Arwa M"},{"family":"Dahab","given":"Mahmoud M"},{"family":"Abuzeid","given":"Nadir"}],"issued":{"date-parts":[["2016"]]}}}],"schema":"https://github.com/citation-style-language/schema/raw/master/csl-citation.json"} </w:instrText>
      </w:r>
      <w:r>
        <w:rPr>
          <w:rFonts w:ascii="Arial" w:hAnsi="Arial" w:cs="Arial"/>
          <w:bCs/>
          <w:iCs/>
        </w:rPr>
        <w:fldChar w:fldCharType="separate"/>
      </w:r>
      <w:r>
        <w:rPr>
          <w:rFonts w:ascii="Arial" w:hAnsi="Arial" w:cs="Arial"/>
        </w:rPr>
        <w:t>(Kabbashi et al., 2015, 2016)</w:t>
      </w:r>
      <w:r>
        <w:rPr>
          <w:rFonts w:ascii="Arial" w:hAnsi="Arial" w:cs="Arial"/>
        </w:rPr>
        <w:fldChar w:fldCharType="end"/>
      </w:r>
      <w:r>
        <w:rPr>
          <w:rFonts w:ascii="Arial" w:hAnsi="Arial" w:cs="Arial"/>
          <w:bCs/>
          <w:iCs/>
        </w:rPr>
        <w:t xml:space="preserve">. In Niger, Methanolic extract of </w:t>
      </w:r>
      <w:r>
        <w:rPr>
          <w:rFonts w:ascii="Arial" w:hAnsi="Arial" w:cs="Arial"/>
          <w:bCs/>
          <w:i/>
        </w:rPr>
        <w:t>A. nilotica</w:t>
      </w:r>
      <w:r>
        <w:rPr>
          <w:rFonts w:ascii="Arial" w:hAnsi="Arial" w:cs="Arial"/>
          <w:bCs/>
          <w:iCs/>
        </w:rPr>
        <w:t xml:space="preserve"> pods inhibited proliferation of the cell lines tested in a dose-dependent manner, with relatively high IC50 values (IC50 &gt; 100 µg/mL) in all models. HepG2 (IC50 299,11 ±0,34), U87 (IC50 105,42 ±0,22), MCF7 (IC50 141,41 ±0,41) , L929 (IC50 65,41 ±0,22) and CHO (IC50 941,21 ±0,17) </w:t>
      </w:r>
      <w:r>
        <w:rPr>
          <w:rFonts w:ascii="Arial" w:hAnsi="Arial" w:cs="Arial"/>
          <w:bCs/>
          <w:iCs/>
        </w:rPr>
        <w:fldChar w:fldCharType="begin"/>
      </w:r>
      <w:r>
        <w:rPr>
          <w:rFonts w:ascii="Arial" w:hAnsi="Arial" w:cs="Arial"/>
          <w:bCs/>
          <w:iCs/>
        </w:rPr>
        <w:instrText xml:space="preserve"> ADDIN ZOTERO_ITEM CSL_CITATION {"citationID":"bLb3HqaL","properties":{"formattedCitation":"(Lawaly et al., 2022b)","plainCitation":"(Lawaly et al., 2022b)","noteIndex":0},"citationItems":[{"id":1317,"uris":["http://zotero.org/users/9368380/items/A5XMCZ3X"],"itemData":{"id":1317,"type":"article-journal","abstract":"Acacia nilotica is a medicinal plant used in Niger republic for the treatment of gastrointestinal diseases. The aim of this study was to investigate total phenolic and flavonoid content, antioxidant and cytotoxic activity of the A. nilotica pods collected from Niger republic. The phytochemical contents were examined by colorimetric methods. Antioxidant activity of the methanol extract was screened using DPPH, ABTS and H2O2 free radical scavenging inhibition assays. Cytotoxicity potential was assessed using the in vitro MTT assay. The phytochemical screening of the plant extract revealed the presence of higher amounts of total phenolic, flavonoid and condensed tannins in the extract. IC50 values for the scavenging of DPPH, ABTS and H2O2 were found lower though manifesting potential antiradical capacities. The extract showed no cytotoxicity against five different cell line models. Taken together, the present results suggested the therapeutic potential of the methanol extract of A. nilotica pods. Further studies to isolate and characterize the bioactive compounds and to investigate their possible cytotoxic effects in vivo are in view.\n\n\tKey words: Acacia nilotica, methanol extract, antioxidant activity, cytotoxicity potential, polyphenol contents.","container-title":"Journal of Medicinal Plants Research","DOI":"10.5897/JMPR2022.7268","ISSN":"1996-0875","issue":"12","journalAbbreviation":"JMPR","language":"en","note":"publisher: Academic Journals","page":"326-333","source":"academicjournals.org","title":"Determination of total phenolic and flavonoid content, antioxidant and cytotoxic activity of the methanol extract of Acacia nilotica pods","volume":"16","author":[{"family":"Lawaly","given":"Maman Manzo"},{"family":"Ikhiri","given":"Khalid"},{"family":"Yu","given":"Liu"}],"issued":{"date-parts":[["2022",12,31]]}}}],"schema":"https://github.com/citation-style-language/schema/raw/master/csl-citation.json"} </w:instrText>
      </w:r>
      <w:r>
        <w:rPr>
          <w:rFonts w:ascii="Arial" w:hAnsi="Arial" w:cs="Arial"/>
          <w:bCs/>
          <w:iCs/>
        </w:rPr>
        <w:fldChar w:fldCharType="separate"/>
      </w:r>
      <w:r>
        <w:rPr>
          <w:rFonts w:ascii="Arial" w:hAnsi="Arial" w:cs="Arial"/>
        </w:rPr>
        <w:t>(Lawaly et al., 2022)</w:t>
      </w:r>
      <w:r>
        <w:rPr>
          <w:rFonts w:ascii="Arial" w:hAnsi="Arial" w:cs="Arial"/>
        </w:rPr>
        <w:fldChar w:fldCharType="end"/>
      </w:r>
      <w:r>
        <w:rPr>
          <w:rFonts w:ascii="Arial" w:hAnsi="Arial" w:cs="Arial"/>
          <w:bCs/>
          <w:iCs/>
        </w:rPr>
        <w:t>.</w:t>
      </w:r>
    </w:p>
    <w:p>
      <w:pPr>
        <w:pStyle w:val="Body"/>
        <w:rPr>
          <w:rFonts w:ascii="Arial" w:hAnsi="Arial" w:cs="Arial"/>
          <w:b/>
          <w:bCs/>
          <w:i/>
        </w:rPr>
      </w:pPr>
      <w:r>
        <w:rPr>
          <w:rFonts w:ascii="Arial" w:hAnsi="Arial" w:cs="Arial"/>
          <w:b/>
          <w:bCs/>
          <w:iCs/>
        </w:rPr>
        <w:t>3.3</w:t>
      </w:r>
      <w:r>
        <w:rPr>
          <w:rFonts w:ascii="Arial" w:hAnsi="Arial" w:cs="Arial"/>
          <w:b/>
          <w:bCs/>
          <w:i/>
        </w:rPr>
        <w:t xml:space="preserve"> </w:t>
      </w:r>
      <w:proofErr w:type="spellStart"/>
      <w:r>
        <w:rPr>
          <w:rFonts w:ascii="Arial" w:hAnsi="Arial" w:cs="Arial"/>
          <w:b/>
          <w:bCs/>
          <w:i/>
        </w:rPr>
        <w:t>Faidherbia</w:t>
      </w:r>
      <w:proofErr w:type="spellEnd"/>
      <w:r>
        <w:rPr>
          <w:rFonts w:ascii="Arial" w:hAnsi="Arial" w:cs="Arial"/>
          <w:b/>
          <w:bCs/>
          <w:i/>
        </w:rPr>
        <w:t xml:space="preserve"> </w:t>
      </w:r>
      <w:proofErr w:type="spellStart"/>
      <w:r>
        <w:rPr>
          <w:rFonts w:ascii="Arial" w:hAnsi="Arial" w:cs="Arial"/>
          <w:b/>
          <w:bCs/>
          <w:i/>
        </w:rPr>
        <w:t>albida</w:t>
      </w:r>
      <w:proofErr w:type="spellEnd"/>
    </w:p>
    <w:p>
      <w:pPr>
        <w:pStyle w:val="Body"/>
        <w:rPr>
          <w:rFonts w:ascii="Arial" w:hAnsi="Arial" w:cs="Arial"/>
        </w:rPr>
      </w:pPr>
      <w:r>
        <w:rPr>
          <w:rFonts w:ascii="Arial" w:hAnsi="Arial" w:cs="Arial"/>
          <w:b/>
          <w:bCs/>
        </w:rPr>
        <w:t>3.3.1 Traditional use</w:t>
      </w:r>
    </w:p>
    <w:p>
      <w:pPr>
        <w:pStyle w:val="Body"/>
        <w:rPr>
          <w:rFonts w:ascii="Arial" w:hAnsi="Arial" w:cs="Arial"/>
        </w:rPr>
      </w:pPr>
      <w:proofErr w:type="spellStart"/>
      <w:r>
        <w:rPr>
          <w:rFonts w:ascii="Arial" w:hAnsi="Arial" w:cs="Arial"/>
          <w:i/>
          <w:iCs/>
        </w:rPr>
        <w:t>Faidherbia</w:t>
      </w:r>
      <w:proofErr w:type="spellEnd"/>
      <w:r>
        <w:rPr>
          <w:rFonts w:ascii="Arial" w:hAnsi="Arial" w:cs="Arial"/>
          <w:i/>
          <w:iCs/>
        </w:rPr>
        <w:t xml:space="preserve"> </w:t>
      </w:r>
      <w:proofErr w:type="spellStart"/>
      <w:r>
        <w:rPr>
          <w:rFonts w:ascii="Arial" w:hAnsi="Arial" w:cs="Arial"/>
          <w:i/>
          <w:iCs/>
        </w:rPr>
        <w:t>albida</w:t>
      </w:r>
      <w:proofErr w:type="spellEnd"/>
      <w:r>
        <w:rPr>
          <w:rFonts w:ascii="Arial" w:hAnsi="Arial" w:cs="Arial"/>
        </w:rPr>
        <w:t xml:space="preserve">, also known as </w:t>
      </w:r>
      <w:r>
        <w:rPr>
          <w:rFonts w:ascii="Arial" w:hAnsi="Arial" w:cs="Arial"/>
          <w:i/>
          <w:iCs/>
        </w:rPr>
        <w:t>Acacia albida</w:t>
      </w:r>
      <w:r>
        <w:rPr>
          <w:rFonts w:ascii="Arial" w:hAnsi="Arial" w:cs="Arial"/>
        </w:rPr>
        <w:t xml:space="preserve">, is a plant of the </w:t>
      </w:r>
      <w:proofErr w:type="spellStart"/>
      <w:r>
        <w:rPr>
          <w:rFonts w:ascii="Arial" w:hAnsi="Arial" w:cs="Arial"/>
        </w:rPr>
        <w:t>leguminoseae-Mimosoideae</w:t>
      </w:r>
      <w:proofErr w:type="spellEnd"/>
      <w:r>
        <w:rPr>
          <w:rFonts w:ascii="Arial" w:hAnsi="Arial" w:cs="Arial"/>
        </w:rPr>
        <w:t xml:space="preserve"> family (see figure 1.C), with multiple pharmacological properties for which it is used in traditional medicine. Extracts of the plant's bark and leaves are prescribed in traditional medicine to treat respiratory infections, fertility disorders, digestive disorders, backache, malaria </w:t>
      </w:r>
      <w:r>
        <w:rPr>
          <w:rFonts w:ascii="Arial" w:hAnsi="Arial" w:cs="Arial"/>
        </w:rPr>
        <w:fldChar w:fldCharType="begin"/>
      </w:r>
      <w:r>
        <w:rPr>
          <w:rFonts w:ascii="Arial" w:hAnsi="Arial" w:cs="Arial"/>
        </w:rPr>
        <w:instrText xml:space="preserve"> ADDIN ZOTERO_ITEM CSL_CITATION {"citationID":"2l4N6UDm","properties":{"formattedCitation":"(Victorien et al., 2020)","plainCitation":"(Victorien et al., 2020)","noteIndex":0},"citationItems":[{"id":1179,"uris":["http://zotero.org/users/9368380/items/R678P2NX"],"itemData":{"id":1179,"type":"article-journal","language":"en","source":"Zotero","title":"PHYTOCHEMICAL AND TOXICOLOGICAL STUDIES OF ACACIA NILOTICA AND FAIDHERBIA ALBIDA USED IN WEST AFRICAN TRADITIONAL MEDICINE","volume":"11","author":[{"family":"Victorien","given":"Tamègnon"},{"family":"Amegnona","given":"AGBONON"},{"family":"Sodokè","given":"TOZO Koffi"},{"family":"Jacques","given":"DOUGNON Tossou"},{"family":"Messanvi","given":"GBEASSOR"}],"issued":{"date-parts":[["2020"]]}}}],"schema":"https://github.com/citation-style-language/schema/raw/master/csl-citation.json"} </w:instrText>
      </w:r>
      <w:r>
        <w:rPr>
          <w:rFonts w:ascii="Arial" w:hAnsi="Arial" w:cs="Arial"/>
        </w:rPr>
        <w:fldChar w:fldCharType="separate"/>
      </w:r>
      <w:r>
        <w:rPr>
          <w:rFonts w:ascii="Arial" w:hAnsi="Arial" w:cs="Arial"/>
        </w:rPr>
        <w:t>(Victorien et al., 2020)</w:t>
      </w:r>
      <w:r>
        <w:rPr>
          <w:rFonts w:ascii="Arial" w:hAnsi="Arial" w:cs="Arial"/>
        </w:rPr>
        <w:fldChar w:fldCharType="end"/>
      </w:r>
      <w:r>
        <w:rPr>
          <w:rFonts w:ascii="Arial" w:hAnsi="Arial" w:cs="Arial"/>
        </w:rPr>
        <w:t xml:space="preserve">, inflamed eyes, skin infection, rheumatism, pneumonia and vomiting </w:t>
      </w:r>
      <w:r>
        <w:rPr>
          <w:rFonts w:ascii="Arial" w:hAnsi="Arial" w:cs="Arial"/>
        </w:rPr>
        <w:fldChar w:fldCharType="begin"/>
      </w:r>
      <w:r>
        <w:rPr>
          <w:rFonts w:ascii="Arial" w:hAnsi="Arial" w:cs="Arial"/>
        </w:rPr>
        <w:instrText xml:space="preserve"> ADDIN ZOTERO_ITEM CSL_CITATION {"citationID":"ijlKKnk3","properties":{"formattedCitation":"(Wilson et al., 2024)","plainCitation":"(Wilson et al., 2024)","noteIndex":0},"citationItems":[{"id":1228,"uris":["http://zotero.org/users/9368380/items/SZJK6XIX"],"itemData":{"id":1228,"type":"article-journal","abstract":"The Hausas and Fulanis of Northern Nigeria have a folklore claim about the usage of Faidherbia albida to treat diarrhea, inflamed eyes, skin infections, bleeding, rheumatism, pneumonia, and vomiting. The purpose of this study is to assess the phytochemical and antibacterial activities of crude extracts of fresh leaves and stem bark of Faidherbia albida sourced from Bodeno, Guyuk Local Government Area, Adamawa State, Nigeria using appropriate standard techniques after methanol extraction. Data obtained reveals that the stem bark extract contained alkaloids, flavonoids, phenols, tannins, saponins, and quinones but no terpenoids or resins. The extracts of the leaves contained alkaloids, phenols, terpenoids, and saponins, but no tannins or resins.&amp;nbsp; The zone of inhibition of microorganism growth ranged from 9 to 13 mm for the stem bark extract and 11 to 16 mm for the leaf extract. The stem bark extract inhibited Escherichia coli, Staphylococcus aureus, and Klebsiella pneumoniae more effectively than the leave extract with the exception of Pseudomonas while suppression of Salmonella typhii is same. Fourier Transform Infra-Red Spectroscopy (FT-IR) examination of the stem bark extract revealed the following distinctive peaks. The hydroxyl vibrations in alcohol were attributed to 3294.9 cm-1 and 2930.9 cm-1, respectively, whereas the peak at 1613.4 cm-1 displays the distinctive N-H bending of the amino group. The band at 1521.1 cm-1 represents the N-O stretch of a nitro group, while the band at 1444.0 cm-1 represents the C=C stretch of an alkene. This study established baseline information on the efficacy of crude extracts of Faidherbia albida.","container-title":"Journal of Applied Sciences and Environmental Management","ISSN":"2659-1499","issue":"10B Supplementary","language":"en","license":"Copyright (c) 2024","note":"number: 10B Supplementary","page":"3471-3476","source":"www.ajol.info","title":"Phytochemicals and Antimicrobial Activity of Crude Extracts of Fresh Leaves and Stem Bark of Faidherbia albida.","volume":"28","author":[{"family":"Wilson","given":"D."},{"family":"Shagal","given":"M. H."},{"family":"Christopher","given":"K."},{"family":"Suleiman","given":"H."}],"issued":{"date-parts":[["2024",10,30]]}}}],"schema":"https://github.com/citation-style-language/schema/raw/master/csl-citation.json"} </w:instrText>
      </w:r>
      <w:r>
        <w:rPr>
          <w:rFonts w:ascii="Arial" w:hAnsi="Arial" w:cs="Arial"/>
        </w:rPr>
        <w:fldChar w:fldCharType="separate"/>
      </w:r>
      <w:r>
        <w:rPr>
          <w:rFonts w:ascii="Arial" w:hAnsi="Arial" w:cs="Arial"/>
        </w:rPr>
        <w:t>(Wilson et al., 2024)</w:t>
      </w:r>
      <w:r>
        <w:rPr>
          <w:rFonts w:ascii="Arial" w:hAnsi="Arial" w:cs="Arial"/>
        </w:rPr>
        <w:fldChar w:fldCharType="end"/>
      </w:r>
      <w:r>
        <w:rPr>
          <w:rFonts w:ascii="Arial" w:hAnsi="Arial" w:cs="Arial"/>
        </w:rPr>
        <w:t>.</w:t>
      </w:r>
    </w:p>
    <w:p>
      <w:pPr>
        <w:pStyle w:val="Body"/>
        <w:rPr>
          <w:rFonts w:ascii="Arial" w:hAnsi="Arial" w:cs="Arial"/>
        </w:rPr>
      </w:pPr>
      <w:r>
        <w:rPr>
          <w:rFonts w:ascii="Arial" w:hAnsi="Arial" w:cs="Arial"/>
          <w:b/>
          <w:bCs/>
        </w:rPr>
        <w:t>3.3.2 Phytochemistry</w:t>
      </w:r>
    </w:p>
    <w:p>
      <w:pPr>
        <w:pStyle w:val="Body"/>
        <w:rPr>
          <w:rFonts w:ascii="Arial" w:hAnsi="Arial" w:cs="Arial"/>
        </w:rPr>
      </w:pPr>
      <w:r>
        <w:rPr>
          <w:rFonts w:ascii="Arial" w:hAnsi="Arial" w:cs="Arial"/>
        </w:rPr>
        <w:t xml:space="preserve">Phytochemical screening of aqueous and ethanolic extracts of </w:t>
      </w:r>
      <w:proofErr w:type="spellStart"/>
      <w:r>
        <w:rPr>
          <w:rFonts w:ascii="Arial" w:hAnsi="Arial" w:cs="Arial"/>
        </w:rPr>
        <w:t>Faidherbia</w:t>
      </w:r>
      <w:proofErr w:type="spellEnd"/>
      <w:r>
        <w:rPr>
          <w:rFonts w:ascii="Arial" w:hAnsi="Arial" w:cs="Arial"/>
        </w:rPr>
        <w:t xml:space="preserve"> </w:t>
      </w:r>
      <w:proofErr w:type="spellStart"/>
      <w:r>
        <w:rPr>
          <w:rFonts w:ascii="Arial" w:hAnsi="Arial" w:cs="Arial"/>
        </w:rPr>
        <w:t>albida</w:t>
      </w:r>
      <w:proofErr w:type="spellEnd"/>
      <w:r>
        <w:rPr>
          <w:rFonts w:ascii="Arial" w:hAnsi="Arial" w:cs="Arial"/>
        </w:rPr>
        <w:t xml:space="preserve"> bark revealed the presence of alkaloids, carbohydrates, flavonoids, saponins and tannins. However, glycoside was absent from both extracts. Carbohydrates were present in the aqueous bark extract, while alkaloids, flavonoids, saponins and tannins were present in the ethanolic extract of </w:t>
      </w:r>
      <w:proofErr w:type="spellStart"/>
      <w:r>
        <w:rPr>
          <w:rFonts w:ascii="Arial" w:hAnsi="Arial" w:cs="Arial"/>
          <w:i/>
          <w:iCs/>
        </w:rPr>
        <w:t>Faidherbia</w:t>
      </w:r>
      <w:proofErr w:type="spellEnd"/>
      <w:r>
        <w:rPr>
          <w:rFonts w:ascii="Arial" w:hAnsi="Arial" w:cs="Arial"/>
        </w:rPr>
        <w:t xml:space="preserve"> </w:t>
      </w:r>
      <w:proofErr w:type="spellStart"/>
      <w:r>
        <w:rPr>
          <w:rFonts w:ascii="Arial" w:hAnsi="Arial" w:cs="Arial"/>
          <w:i/>
          <w:iCs/>
        </w:rPr>
        <w:t>albida</w:t>
      </w:r>
      <w:proofErr w:type="spellEnd"/>
      <w:r>
        <w:rPr>
          <w:rFonts w:ascii="Arial" w:hAnsi="Arial" w:cs="Arial"/>
        </w:rPr>
        <w:t xml:space="preserve"> stem bark </w:t>
      </w:r>
      <w:r>
        <w:rPr>
          <w:rFonts w:ascii="Arial" w:hAnsi="Arial" w:cs="Arial"/>
        </w:rPr>
        <w:fldChar w:fldCharType="begin"/>
      </w:r>
      <w:r>
        <w:rPr>
          <w:rFonts w:ascii="Arial" w:hAnsi="Arial" w:cs="Arial"/>
        </w:rPr>
        <w:instrText xml:space="preserve"> ADDIN ZOTERO_ITEM CSL_CITATION {"citationID":"jC7jjshO","properties":{"formattedCitation":"(Ismail et al., 2016)","plainCitation":"(Ismail et al., 2016)","noteIndex":0},"citationItems":[{"id":1194,"uris":["http://zotero.org/users/9368380/items/EQLVGQUL"],"itemData":{"id":1194,"type":"article-journal","container-title":"Journal of the Saudi Society of Agricultural Sciences","issue":"2","note":"publisher: Elsevier","page":"112–117","source":"Google Scholar","title":"Preliminary phytochemical screening, plant growth inhibition and antimicrobial activity studies of Faidherbia albida legume extracts","volume":"15","author":[{"family":"Ismail","given":"Abeer M."},{"family":"Mohamed","given":"Eman A."},{"family":"Marghany","given":"Marwa R."},{"family":"Abdel-Motaal","given":"Fatma F."},{"family":"Abdel-Farid","given":"Ibrahim B."},{"family":"El-Sayed","given":"Magdi A."}],"issued":{"date-parts":[["2016"]]}}}],"schema":"https://github.com/citation-style-language/schema/raw/master/csl-citation.json"} </w:instrText>
      </w:r>
      <w:r>
        <w:rPr>
          <w:rFonts w:ascii="Arial" w:hAnsi="Arial" w:cs="Arial"/>
        </w:rPr>
        <w:fldChar w:fldCharType="separate"/>
      </w:r>
      <w:r>
        <w:rPr>
          <w:rFonts w:ascii="Arial" w:hAnsi="Arial" w:cs="Arial"/>
        </w:rPr>
        <w:t>(Ismail et al., 2016)</w:t>
      </w:r>
      <w:r>
        <w:rPr>
          <w:rFonts w:ascii="Arial" w:hAnsi="Arial" w:cs="Arial"/>
        </w:rPr>
        <w:fldChar w:fldCharType="end"/>
      </w:r>
      <w:r>
        <w:rPr>
          <w:rFonts w:ascii="Arial" w:hAnsi="Arial" w:cs="Arial"/>
        </w:rPr>
        <w:t xml:space="preserve"> as well as coumarins, gall tannins, </w:t>
      </w:r>
      <w:proofErr w:type="spellStart"/>
      <w:r>
        <w:rPr>
          <w:rFonts w:ascii="Arial" w:hAnsi="Arial" w:cs="Arial"/>
        </w:rPr>
        <w:t>leucoanthocyanins</w:t>
      </w:r>
      <w:proofErr w:type="spellEnd"/>
      <w:r>
        <w:rPr>
          <w:rFonts w:ascii="Arial" w:hAnsi="Arial" w:cs="Arial"/>
        </w:rPr>
        <w:t xml:space="preserve">, mucilage and saponins  </w:t>
      </w:r>
      <w:r>
        <w:rPr>
          <w:rFonts w:ascii="Arial" w:hAnsi="Arial" w:cs="Arial"/>
        </w:rPr>
        <w:fldChar w:fldCharType="begin"/>
      </w:r>
      <w:r>
        <w:rPr>
          <w:rFonts w:ascii="Arial" w:hAnsi="Arial" w:cs="Arial"/>
        </w:rPr>
        <w:instrText xml:space="preserve"> ADDIN ZOTERO_ITEM CSL_CITATION {"citationID":"MX9WQgbK","properties":{"formattedCitation":"(Victorien et al., 2020)","plainCitation":"(Victorien et al., 2020)","noteIndex":0},"citationItems":[{"id":1179,"uris":["http://zotero.org/users/9368380/items/R678P2NX"],"itemData":{"id":1179,"type":"article-journal","language":"en","source":"Zotero","title":"PHYTOCHEMICAL AND TOXICOLOGICAL STUDIES OF ACACIA NILOTICA AND FAIDHERBIA ALBIDA USED IN WEST AFRICAN TRADITIONAL MEDICINE","volume":"11","author":[{"family":"Victorien","given":"Tamègnon"},{"family":"Amegnona","given":"AGBONON"},{"family":"Sodokè","given":"TOZO Koffi"},{"family":"Jacques","given":"DOUGNON Tossou"},{"family":"Messanvi","given":"GBEASSOR"}],"issued":{"date-parts":[["2020"]]}}}],"schema":"https://github.com/citation-style-language/schema/raw/master/csl-citation.json"} </w:instrText>
      </w:r>
      <w:r>
        <w:rPr>
          <w:rFonts w:ascii="Arial" w:hAnsi="Arial" w:cs="Arial"/>
        </w:rPr>
        <w:fldChar w:fldCharType="separate"/>
      </w:r>
      <w:r>
        <w:rPr>
          <w:rFonts w:ascii="Arial" w:hAnsi="Arial" w:cs="Arial"/>
        </w:rPr>
        <w:t>(Victorien et al., 2020)</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b/>
          <w:bCs/>
        </w:rPr>
        <w:lastRenderedPageBreak/>
        <w:t>3.3.3 Antioxidant and Anti-Inflammatory Properties</w:t>
      </w:r>
    </w:p>
    <w:p>
      <w:pPr>
        <w:pStyle w:val="Body"/>
        <w:spacing w:after="0"/>
        <w:rPr>
          <w:rFonts w:ascii="Arial" w:hAnsi="Arial" w:cs="Arial"/>
        </w:rPr>
      </w:pPr>
      <w:r>
        <w:rPr>
          <w:rFonts w:ascii="Arial" w:hAnsi="Arial" w:cs="Arial"/>
        </w:rPr>
        <w:t xml:space="preserve">A study carried out in Cameroon showed the antioxidant power of crude and fractional extracts of </w:t>
      </w:r>
      <w:proofErr w:type="spellStart"/>
      <w:r>
        <w:rPr>
          <w:rFonts w:ascii="Arial" w:hAnsi="Arial" w:cs="Arial"/>
          <w:i/>
          <w:iCs/>
        </w:rPr>
        <w:t>Faidherbia</w:t>
      </w:r>
      <w:proofErr w:type="spellEnd"/>
      <w:r>
        <w:rPr>
          <w:rFonts w:ascii="Arial" w:hAnsi="Arial" w:cs="Arial"/>
          <w:i/>
          <w:iCs/>
        </w:rPr>
        <w:t xml:space="preserve"> </w:t>
      </w:r>
      <w:proofErr w:type="spellStart"/>
      <w:r>
        <w:rPr>
          <w:rFonts w:ascii="Arial" w:hAnsi="Arial" w:cs="Arial"/>
          <w:i/>
          <w:iCs/>
        </w:rPr>
        <w:t>albida</w:t>
      </w:r>
      <w:proofErr w:type="spellEnd"/>
      <w:r>
        <w:rPr>
          <w:rFonts w:ascii="Arial" w:hAnsi="Arial" w:cs="Arial"/>
        </w:rPr>
        <w:t xml:space="preserve"> leaves and roots </w:t>
      </w:r>
      <w:r>
        <w:rPr>
          <w:rFonts w:ascii="Arial" w:hAnsi="Arial" w:cs="Arial"/>
        </w:rPr>
        <w:fldChar w:fldCharType="begin"/>
      </w:r>
      <w:r>
        <w:rPr>
          <w:rFonts w:ascii="Arial" w:hAnsi="Arial" w:cs="Arial"/>
        </w:rPr>
        <w:instrText xml:space="preserve"> ADDIN ZOTERO_ITEM CSL_CITATION {"citationID":"Pne67icg","properties":{"formattedCitation":"(Bruno et al., 2020)","plainCitation":"(Bruno et al., 2020)","noteIndex":0},"citationItems":[{"id":1186,"uris":["http://zotero.org/users/9368380/items/IWZQBCUF"],"itemData":{"id":1186,"type":"article-journal","container-title":"Int J Pharm Sci Rev Res","issue":"1","page":"124–130","source":"Google Scholar","title":"Phytochemical Composition and Biological Activity of Faidherbia albida (Mimosaceae) Roots and Leaves","volume":"65","author":[{"family":"Bruno","given":"T."},{"family":"Désiré","given":"Soh"},{"family":"Ernestine","given":"Nkwengoua Tchouboun Zondegoumba"},{"family":"Yves","given":"Nganso Ditchou"},{"family":"Oscar","given":"Emmanuel Mouafo Tekwu"},{"family":"Andrea-Marobela","given":"Kerstin"},{"family":"Barthélemy","given":"Nyasse"}],"issued":{"date-parts":[["2020"]]}}}],"schema":"https://github.com/citation-style-language/schema/raw/master/csl-citation.json"} </w:instrText>
      </w:r>
      <w:r>
        <w:rPr>
          <w:rFonts w:ascii="Arial" w:hAnsi="Arial" w:cs="Arial"/>
        </w:rPr>
        <w:fldChar w:fldCharType="separate"/>
      </w:r>
      <w:r>
        <w:rPr>
          <w:rFonts w:ascii="Arial" w:hAnsi="Arial" w:cs="Arial"/>
        </w:rPr>
        <w:t>(Bruno et al., 2020)</w:t>
      </w:r>
      <w:r>
        <w:rPr>
          <w:rFonts w:ascii="Arial" w:hAnsi="Arial" w:cs="Arial"/>
        </w:rPr>
        <w:fldChar w:fldCharType="end"/>
      </w:r>
      <w:r>
        <w:rPr>
          <w:rFonts w:ascii="Arial" w:hAnsi="Arial" w:cs="Arial"/>
        </w:rPr>
        <w:t xml:space="preserve">. Ethanolic extracts of </w:t>
      </w:r>
      <w:r>
        <w:rPr>
          <w:rFonts w:ascii="Arial" w:hAnsi="Arial" w:cs="Arial"/>
          <w:i/>
          <w:iCs/>
        </w:rPr>
        <w:t>F. albida</w:t>
      </w:r>
      <w:r>
        <w:rPr>
          <w:rFonts w:ascii="Arial" w:hAnsi="Arial" w:cs="Arial"/>
        </w:rPr>
        <w:t xml:space="preserve"> fruits showed high antioxidant activity comparable to that of propyl gallate used as a reference. In contrast, F. albida stem bark showed low antioxidant activity </w:t>
      </w:r>
      <w:r>
        <w:rPr>
          <w:rFonts w:ascii="Arial" w:hAnsi="Arial" w:cs="Arial"/>
        </w:rPr>
        <w:fldChar w:fldCharType="begin"/>
      </w:r>
      <w:r>
        <w:rPr>
          <w:rFonts w:ascii="Arial" w:hAnsi="Arial" w:cs="Arial"/>
        </w:rPr>
        <w:instrText xml:space="preserve"> ADDIN ZOTERO_ITEM CSL_CITATION {"citationID":"cLG0mcDV","properties":{"formattedCitation":"(Ahmed et al., 2019)","plainCitation":"(Ahmed et al., 2019)","noteIndex":0},"citationItems":[{"id":1353,"uris":["http://zotero.org/users/9368380/items/RYKB9IUX"],"itemData":{"id":1353,"type":"article-journal","container-title":"SUST Journal of Agricultural and Veterinary Sciences","issue":"1","page":"1–8","source":"Google Scholar","title":"Antioxidant and hepatoprotective effects of ethanolic extracts of Faidherbia albida fruits and stem bark against carbon tetrachloride induced liver damage in rats","volume":"20","author":[{"family":"Ahmed","given":"Tamadur M."},{"family":"Eldemardash","given":"Ebtihal S."},{"family":"Ali","given":"Sumaia A."}],"issued":{"date-parts":[["2019"]]}}}],"schema":"https://github.com/citation-style-language/schema/raw/master/csl-citation.json"} </w:instrText>
      </w:r>
      <w:r>
        <w:rPr>
          <w:rFonts w:ascii="Arial" w:hAnsi="Arial" w:cs="Arial"/>
        </w:rPr>
        <w:fldChar w:fldCharType="separate"/>
      </w:r>
      <w:r>
        <w:rPr>
          <w:rFonts w:ascii="Arial" w:hAnsi="Arial" w:cs="Arial"/>
        </w:rPr>
        <w:t>(Ahmed et al., 2019)</w:t>
      </w:r>
      <w:r>
        <w:rPr>
          <w:rFonts w:ascii="Arial" w:hAnsi="Arial" w:cs="Arial"/>
        </w:rPr>
        <w:fldChar w:fldCharType="end"/>
      </w:r>
      <w:r>
        <w:rPr>
          <w:rFonts w:ascii="Arial" w:hAnsi="Arial" w:cs="Arial"/>
        </w:rPr>
        <w:t>.</w:t>
      </w:r>
    </w:p>
    <w:p>
      <w:pPr>
        <w:pStyle w:val="Body"/>
        <w:spacing w:after="0"/>
        <w:rPr>
          <w:rFonts w:ascii="Arial" w:hAnsi="Arial" w:cs="Arial"/>
        </w:rPr>
      </w:pPr>
      <w:r>
        <w:rPr>
          <w:rFonts w:ascii="Arial" w:hAnsi="Arial" w:cs="Arial"/>
        </w:rPr>
        <w:t xml:space="preserve">There were no studies investigating the anti-inflammatory and analgesic activity of </w:t>
      </w:r>
      <w:r>
        <w:rPr>
          <w:rFonts w:ascii="Arial" w:hAnsi="Arial" w:cs="Arial"/>
          <w:i/>
          <w:iCs/>
        </w:rPr>
        <w:t>F. albida</w:t>
      </w:r>
      <w:r>
        <w:rPr>
          <w:rFonts w:ascii="Arial" w:hAnsi="Arial" w:cs="Arial"/>
        </w:rPr>
        <w:t xml:space="preserve"> in sub-Saharan Africa, but the phenolic compounds highlighted in previous studies could justify its antioxidant and anti-inflammatory properties.</w:t>
      </w:r>
    </w:p>
    <w:p>
      <w:pPr>
        <w:pStyle w:val="Body"/>
        <w:rPr>
          <w:rFonts w:ascii="Arial" w:hAnsi="Arial" w:cs="Arial"/>
          <w:b/>
          <w:bCs/>
        </w:rPr>
      </w:pPr>
    </w:p>
    <w:p>
      <w:pPr>
        <w:pStyle w:val="Body"/>
        <w:rPr>
          <w:rFonts w:ascii="Arial" w:hAnsi="Arial" w:cs="Arial"/>
          <w:b/>
          <w:bCs/>
        </w:rPr>
      </w:pPr>
      <w:r>
        <w:rPr>
          <w:rFonts w:ascii="Arial" w:hAnsi="Arial" w:cs="Arial"/>
          <w:b/>
          <w:bCs/>
        </w:rPr>
        <w:t xml:space="preserve">3.3.4 Cytotoxicity </w:t>
      </w:r>
    </w:p>
    <w:p>
      <w:pPr>
        <w:pStyle w:val="Body"/>
        <w:rPr>
          <w:rFonts w:ascii="Arial" w:hAnsi="Arial" w:cs="Arial"/>
        </w:rPr>
      </w:pPr>
      <w:r>
        <w:rPr>
          <w:rFonts w:ascii="Arial" w:hAnsi="Arial" w:cs="Arial"/>
        </w:rPr>
        <w:t xml:space="preserve">Cytotoxicity assay against human embryonic kidney (HEK) 293 cells showed that leaf and stem bark extracts were toxic at 0,1059 and 0,1179 </w:t>
      </w:r>
      <w:proofErr w:type="spellStart"/>
      <w:r>
        <w:rPr>
          <w:rFonts w:ascii="Arial" w:hAnsi="Arial" w:cs="Arial"/>
        </w:rPr>
        <w:t>μg</w:t>
      </w:r>
      <w:proofErr w:type="spellEnd"/>
      <w:r>
        <w:rPr>
          <w:rFonts w:ascii="Arial" w:hAnsi="Arial" w:cs="Arial"/>
        </w:rPr>
        <w:t xml:space="preserve">/ml, respectively </w:t>
      </w:r>
      <w:r>
        <w:rPr>
          <w:rFonts w:ascii="Arial" w:hAnsi="Arial" w:cs="Arial"/>
        </w:rPr>
        <w:fldChar w:fldCharType="begin"/>
      </w:r>
      <w:r>
        <w:rPr>
          <w:rFonts w:ascii="Arial" w:hAnsi="Arial" w:cs="Arial"/>
        </w:rPr>
        <w:instrText xml:space="preserve"> ADDIN ZOTERO_ITEM CSL_CITATION {"citationID":"Cuc1U7BB","properties":{"formattedCitation":"(Oni et al., 2021)","plainCitation":"(Oni et al., 2021)","noteIndex":0},"citationItems":[{"id":1319,"uris":["http://zotero.org/users/9368380/items/T8EKXWMT"],"itemData":{"id":1319,"type":"article-journal","container-title":"Acta Microbiol Bulg","page":"209–214","source":"Google Scholar","title":"Antimicrobial and cytotoxic properties of leaf and stem bark extracts of Faidherbia albida","volume":"37","author":[{"family":"Oni","given":"Mathew Olujenjo"},{"family":"Bello","given":"Olorunjuwon Omolaja"},{"family":"Ademola","given":"Rachael Adenike"},{"family":"Mba","given":"Uchechi Dike"},{"family":"Oni","given":"Vincent Oluwapelumi"}],"issued":{"date-parts":[["2021"]]}}}],"schema":"https://github.com/citation-style-language/schema/raw/master/csl-citation.json"} </w:instrText>
      </w:r>
      <w:r>
        <w:rPr>
          <w:rFonts w:ascii="Arial" w:hAnsi="Arial" w:cs="Arial"/>
        </w:rPr>
        <w:fldChar w:fldCharType="separate"/>
      </w:r>
      <w:r>
        <w:rPr>
          <w:rFonts w:ascii="Arial" w:hAnsi="Arial" w:cs="Arial"/>
        </w:rPr>
        <w:t>(Oni et al., 2021)</w:t>
      </w:r>
      <w:r>
        <w:rPr>
          <w:rFonts w:ascii="Arial" w:hAnsi="Arial" w:cs="Arial"/>
        </w:rPr>
        <w:fldChar w:fldCharType="end"/>
      </w:r>
      <w:r>
        <w:rPr>
          <w:rFonts w:ascii="Arial" w:hAnsi="Arial" w:cs="Arial"/>
        </w:rPr>
        <w:t xml:space="preserve">. Compounds isolated from </w:t>
      </w:r>
      <w:r>
        <w:rPr>
          <w:rFonts w:ascii="Arial" w:hAnsi="Arial" w:cs="Arial"/>
          <w:i/>
          <w:iCs/>
        </w:rPr>
        <w:t>F. albida</w:t>
      </w:r>
      <w:r>
        <w:rPr>
          <w:rFonts w:ascii="Arial" w:hAnsi="Arial" w:cs="Arial"/>
        </w:rPr>
        <w:t xml:space="preserve"> bark were evaluated for cytotoxicity against two human cancer cells using the MTT method. </w:t>
      </w:r>
      <w:proofErr w:type="spellStart"/>
      <w:r>
        <w:rPr>
          <w:rFonts w:ascii="Arial" w:hAnsi="Arial" w:cs="Arial"/>
        </w:rPr>
        <w:t>Albidosides</w:t>
      </w:r>
      <w:proofErr w:type="spellEnd"/>
      <w:r>
        <w:rPr>
          <w:rFonts w:ascii="Arial" w:hAnsi="Arial" w:cs="Arial"/>
        </w:rPr>
        <w:t xml:space="preserve"> E and F showed a cytotoxic effect with IC50s of 18,6 µM and 46,7 µM, respectively on HeLa and 13,3 µM and 15,8 µM, respectively on HL60 </w:t>
      </w:r>
      <w:r>
        <w:rPr>
          <w:rFonts w:ascii="Arial" w:hAnsi="Arial" w:cs="Arial"/>
        </w:rPr>
        <w:fldChar w:fldCharType="begin"/>
      </w:r>
      <w:r>
        <w:rPr>
          <w:rFonts w:ascii="Arial" w:hAnsi="Arial" w:cs="Arial"/>
        </w:rPr>
        <w:instrText xml:space="preserve"> ADDIN ZOTERO_ITEM CSL_CITATION {"citationID":"bsCMK3Tv","properties":{"formattedCitation":"(Tchoukoua, 2018)","plainCitation":"(Tchoukoua, 2018)","noteIndex":0},"citationItems":[{"id":1321,"uris":["http://zotero.org/users/9368380/items/78L72B85"],"itemData":{"id":1321,"type":"thesis","genre":"PhD Thesis","publisher":"Iwate University","source":"Google Scholar","title":"Studies on bioactive compounds from Cameroonian medicinal plants, Acacia albida and Albizia chevalieri, and Japanese endophytes Xylaria sp.","URL":"https://iwate-u.repo.nii.ac.jp/record/14575/files/TCHOUKOUA-Abdou-2018-A.pdf","author":[{"family":"Tchoukoua","given":"Abdou"}],"accessed":{"date-parts":[["2025",4,12]]},"issued":{"date-parts":[["2018"]]}}}],"schema":"https://github.com/citation-style-language/schema/raw/master/csl-citation.json"} </w:instrText>
      </w:r>
      <w:r>
        <w:rPr>
          <w:rFonts w:ascii="Arial" w:hAnsi="Arial" w:cs="Arial"/>
        </w:rPr>
        <w:fldChar w:fldCharType="separate"/>
      </w:r>
      <w:r>
        <w:rPr>
          <w:rFonts w:ascii="Arial" w:hAnsi="Arial" w:cs="Arial"/>
        </w:rPr>
        <w:t>(Tchoukoua et al. , 2018)</w:t>
      </w:r>
      <w:r>
        <w:rPr>
          <w:rFonts w:ascii="Arial" w:hAnsi="Arial" w:cs="Arial"/>
        </w:rPr>
        <w:fldChar w:fldCharType="end"/>
      </w:r>
      <w:r>
        <w:rPr>
          <w:rFonts w:ascii="Arial" w:hAnsi="Arial" w:cs="Arial"/>
        </w:rPr>
        <w:t>.</w:t>
      </w:r>
    </w:p>
    <w:p>
      <w:pPr>
        <w:pStyle w:val="Body"/>
        <w:rPr>
          <w:rFonts w:ascii="Arial" w:hAnsi="Arial" w:cs="Arial"/>
          <w:b/>
          <w:bCs/>
          <w:i/>
        </w:rPr>
      </w:pPr>
      <w:bookmarkStart w:id="0" w:name="_Hlk197259957"/>
      <w:r>
        <w:rPr>
          <w:rFonts w:ascii="Arial" w:hAnsi="Arial" w:cs="Arial"/>
          <w:b/>
          <w:bCs/>
          <w:iCs/>
        </w:rPr>
        <w:t>3.4</w:t>
      </w:r>
      <w:r>
        <w:rPr>
          <w:rFonts w:ascii="Arial" w:hAnsi="Arial" w:cs="Arial"/>
          <w:b/>
          <w:bCs/>
          <w:i/>
        </w:rPr>
        <w:t xml:space="preserve"> </w:t>
      </w:r>
      <w:proofErr w:type="spellStart"/>
      <w:r>
        <w:rPr>
          <w:rFonts w:ascii="Arial" w:hAnsi="Arial" w:cs="Arial"/>
          <w:b/>
          <w:bCs/>
          <w:i/>
        </w:rPr>
        <w:t>Zanthozylome</w:t>
      </w:r>
      <w:proofErr w:type="spellEnd"/>
      <w:r>
        <w:rPr>
          <w:rFonts w:ascii="Arial" w:hAnsi="Arial" w:cs="Arial"/>
          <w:b/>
          <w:bCs/>
          <w:i/>
        </w:rPr>
        <w:t xml:space="preserve"> </w:t>
      </w:r>
      <w:proofErr w:type="spellStart"/>
      <w:r>
        <w:rPr>
          <w:rFonts w:ascii="Arial" w:hAnsi="Arial" w:cs="Arial"/>
          <w:b/>
          <w:bCs/>
          <w:i/>
        </w:rPr>
        <w:t>zanthoxyloides</w:t>
      </w:r>
      <w:proofErr w:type="spellEnd"/>
    </w:p>
    <w:bookmarkEnd w:id="0"/>
    <w:p>
      <w:pPr>
        <w:pStyle w:val="Body"/>
        <w:rPr>
          <w:rFonts w:ascii="Arial" w:hAnsi="Arial" w:cs="Arial"/>
          <w:b/>
          <w:bCs/>
        </w:rPr>
      </w:pPr>
      <w:r>
        <w:rPr>
          <w:rFonts w:ascii="Arial" w:hAnsi="Arial" w:cs="Arial"/>
          <w:b/>
          <w:bCs/>
        </w:rPr>
        <w:t>3.4.1 Traditional use</w:t>
      </w:r>
    </w:p>
    <w:p>
      <w:pPr>
        <w:pStyle w:val="Body"/>
        <w:rPr>
          <w:rFonts w:ascii="Arial" w:hAnsi="Arial" w:cs="Arial"/>
        </w:rPr>
      </w:pPr>
      <w:proofErr w:type="spellStart"/>
      <w:r>
        <w:rPr>
          <w:rFonts w:ascii="Arial" w:hAnsi="Arial" w:cs="Arial"/>
          <w:i/>
          <w:iCs/>
        </w:rPr>
        <w:t>Zanthozylome</w:t>
      </w:r>
      <w:proofErr w:type="spellEnd"/>
      <w:r>
        <w:rPr>
          <w:rFonts w:ascii="Arial" w:hAnsi="Arial" w:cs="Arial"/>
          <w:i/>
          <w:iCs/>
        </w:rPr>
        <w:t xml:space="preserve"> </w:t>
      </w:r>
      <w:proofErr w:type="spellStart"/>
      <w:r>
        <w:rPr>
          <w:rFonts w:ascii="Arial" w:hAnsi="Arial" w:cs="Arial"/>
          <w:i/>
          <w:iCs/>
        </w:rPr>
        <w:t>zanthoxyloides</w:t>
      </w:r>
      <w:proofErr w:type="spellEnd"/>
      <w:r>
        <w:rPr>
          <w:rFonts w:ascii="Arial" w:hAnsi="Arial" w:cs="Arial"/>
        </w:rPr>
        <w:t xml:space="preserve"> of the </w:t>
      </w:r>
      <w:proofErr w:type="spellStart"/>
      <w:r>
        <w:rPr>
          <w:rFonts w:ascii="Arial" w:hAnsi="Arial" w:cs="Arial"/>
        </w:rPr>
        <w:t>Rutaceae</w:t>
      </w:r>
      <w:proofErr w:type="spellEnd"/>
      <w:r>
        <w:rPr>
          <w:rFonts w:ascii="Arial" w:hAnsi="Arial" w:cs="Arial"/>
        </w:rPr>
        <w:t xml:space="preserve"> family (see figure 1.E) is better known as candlewood. The root of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is used as an antibacterial toothbrush in south-western Nigeria, and the decoction of its leaves and roots is used to wash wounds for healing. In addition, the plant's bark is used in the treatment of intestinal worms and edema </w:t>
      </w:r>
      <w:r>
        <w:rPr>
          <w:rFonts w:ascii="Arial" w:hAnsi="Arial" w:cs="Arial"/>
        </w:rPr>
        <w:fldChar w:fldCharType="begin"/>
      </w:r>
      <w:r>
        <w:rPr>
          <w:rFonts w:ascii="Arial" w:hAnsi="Arial" w:cs="Arial"/>
        </w:rPr>
        <w:instrText xml:space="preserve"> ADDIN ZOTERO_ITEM CSL_CITATION {"citationID":"BmA1jrMX","properties":{"formattedCitation":"(Ogunbolude et al., 2014)","plainCitation":"(Ogunbolude et al., 2014)","noteIndex":0},"citationItems":[{"id":1233,"uris":["http://zotero.org/users/9368380/items/Z3ANK4KR"],"itemData":{"id":1233,"type":"article-journal","abstract":"Objective:\nThis study aimed at investigating the genotoxicity and cytotoxicity effect of Tapinanthus globiferus and Zanthoxylum zanthoxyloides to human leukocytes. In addition, the reductive potential and the chemical composition of the two plant extracts were also determined.\n\nMaterials and Methods:\nHuman leukocytes were obtained from healthy volunteer donors. The genotoxicity and cytotoxicity of T. globiferus and Z. zanthoxyloides were assessed using the comet assay and trypan blue exclusion, respectively. The antioxidant activity of the plant extracts was evaluated by the reducing power assay. Furthermore, high-performance liquid chromatography-diode array detector was used to characterize and quantify the constituents of these plants.\n\nResults:\nT. globiferus (10-150 µg/mL) was neither genotoxic nor cytotoxic at the concentrations tested, suggesting that it can be consumed safely at relatively high concentrations. However, Z. zanthoxyloides showed cytoxicity and genotoxicity to human leukocytes at the highest concentration tested (150 µg/mL). In addition, the total reducing power of T. globiferus was found higher than Z. zanthoxyloides in potassium ferricyanide reduction. Both plants extract contained flavonoids (rutin and quercetin) and phenolic acids (chlorogenic and caffeic).\n\nConclusion:\nThe results obtained support the fact that some caution should be paid regarding the dosage and the frequency of use of Z. zanthoxyloides extract.","container-title":"Journal of Intercultural Ethnopharmacology","DOI":"10.5455/jice.20140826110059","ISSN":"2146-8397","issue":"4","journalAbbreviation":"J Intercult Ethnopharmacol","note":"PMID: 26401368\nPMCID: PMC4576816","page":"167-172","source":"PubMed Central","title":"Effects of Tapinanthus globiferus and Zanthoxylum zanthoxyloides extracts on human leukocytes in vitro","volume":"3","author":[{"family":"Ogunbolude","given":"Yetunde"},{"family":"Ibrahim","given":"Mohammad"},{"family":"Elekofehinti","given":"Olusola Olalekan"},{"family":"Adeniran","given":"Adekunle"},{"family":"Abolaji","given":"Amos Olalekan"},{"family":"Rocha","given":"João Batista Teixeira"},{"family":"Kamdem","given":"Jean Paul"}],"issued":{"date-parts":[["2014",9,6]]}}}],"schema":"https://github.com/citation-style-language/schema/raw/master/csl-citation.json"} </w:instrText>
      </w:r>
      <w:r>
        <w:rPr>
          <w:rFonts w:ascii="Arial" w:hAnsi="Arial" w:cs="Arial"/>
        </w:rPr>
        <w:fldChar w:fldCharType="separate"/>
      </w:r>
      <w:r>
        <w:rPr>
          <w:rFonts w:ascii="Arial" w:hAnsi="Arial" w:cs="Arial"/>
        </w:rPr>
        <w:t>(Ogunbolude et al., 2014)</w:t>
      </w:r>
      <w:r>
        <w:rPr>
          <w:rFonts w:ascii="Arial" w:hAnsi="Arial" w:cs="Arial"/>
        </w:rPr>
        <w:fldChar w:fldCharType="end"/>
      </w:r>
      <w:r>
        <w:rPr>
          <w:rFonts w:ascii="Arial" w:hAnsi="Arial" w:cs="Arial"/>
        </w:rPr>
        <w:t xml:space="preserve">. Further west, in Mali, Burkina Faso and Benin, the bark and roots are used to treat sickle-cell anemia and malaria </w:t>
      </w:r>
      <w:r>
        <w:rPr>
          <w:rFonts w:ascii="Arial" w:hAnsi="Arial" w:cs="Arial"/>
        </w:rPr>
        <w:fldChar w:fldCharType="begin"/>
      </w:r>
      <w:r>
        <w:rPr>
          <w:rFonts w:ascii="Arial" w:hAnsi="Arial" w:cs="Arial"/>
        </w:rPr>
        <w:instrText xml:space="preserve"> ADDIN ZOTERO_ITEM CSL_CITATION {"citationID":"Vmn8iyyK","properties":{"formattedCitation":"(Ogunrinade et al., 2021; Togola et al., 2023c)","plainCitation":"(Ogunrinade et al., 2021; Togola et al., 2023c)","dontUpdate":true,"noteIndex":0},"citationItems":[{"id":1248,"uris":["http://zotero.org/users/9368380/items/GKYLCPM8"],"itemData":{"id":1248,"type":"article-journal","abstract":"The effects of a root extract of Zanthoxylum zanthoxyloides on neuroinflammation in BV-2 microglia stimulated with LPS and hemozoin were investigated.ELISA, enzyme immunoassay and Griess assay were used to evaluate levels of cytokines, PGE2 and NO in culture supernatants, respectively. Microglia-mediated neurotoxicity was evaluated using a BV-2 microglia-HT-22 neuron transwell co-culture.Treatment with Z. zanthoxyloides caused reduced elevated levels of TNFα, IL-6, IL-1β, NO and PGE2, while increasing the levels of IL-10. In addition, there were reduced levels of iNOS and COX-2 proteins. This was accompanied by a prevention of microglia-mediated damage to HT-22 mouse hippocampal neurons. Z. zanthoxyloides reduced elevated levels of phospho-IκB and phospho-p65, while preventing degradation of IκB protein and DNA binding of p65. Further mechanistic studies revealed that Z. zanthoxyloides reduced the levels of pro-IL-1β and IL-1β in hemozoin-activated BV-2 microglia. This was accompanied by a reduction in caspase-1 activity and NLRP3 protein expression. Bioassay-guided fractionation resulted in the isolation of skimmianine as an anti-inflammatory compound in Z. zanthoxyloides.This is the first report showing the inhibition of neuroinflammation in LPS- and hemozoin-activated BV-2 microglia by the root extract of Z. zanthoxyloides by targeting the activation of both NF-κB and NLRP3 inflammasome.","container-title":"Journal of Pharmacy and Pharmacology","DOI":"10.1093/jpp/rgaa019","ISSN":"0022-3573","issue":"1","journalAbbreviation":"Journal of Pharmacy and Pharmacology","page":"118-134","source":"Silverchair","title":"Zanthoxylum zanthoxyloides inhibits lipopolysaccharide- and synthetic hemozoin-induced neuroinflammation in BV-2 microglia: roles of NF-κB transcription factor and NLRP3 inflammasome activation","title-short":"Zanthoxylum zanthoxyloides inhibits lipopolysaccharide- and synthetic hemozoin-induced neuroinflammation in BV-2 microglia","volume":"73","author":[{"family":"Ogunrinade","given":"Folashade A"},{"family":"Guetchueng","given":"Stephanie T"},{"family":"Katola","given":"Folashade O"},{"family":"Aderogba","given":"Mutalib A"},{"family":"Akande","given":"Idowu S"},{"family":"Sarker","given":"Satyajit D"},{"family":"Olajide","given":"Olumayokun A"}],"issued":{"date-parts":[["2021",1,1]]}},"label":"page"},{"id":1409,"uris":["http://zotero.org/users/9368380/items/HKFV5I73"],"itemData":{"id":1409,"type":"article-journal","abstract":"The literature reports that the sickle cell patients frequently use plants to manage their recurrent attacks. The aim of the present study was to contribute to a better understanding of the medicinal plants used in the management of that disease. An ethnobotanical survey was conducted in and around Bamako. The most frequently cited species was selected: Zanthoxylum zanthoxyloides Lam. Zepernick. &amp; Timler, and the in vitro antioxidant and anti-inflammatory potential of their leaf, fruit and root extracts were assessed. A total of 39 people were surveyed, including 21 herbalists, 6 traditional health practitioners and 12 sickle-cell patients. Analysis of the survey forms revealed 19 plant species belonging to 16 families, including Z. zanthoxyloides, which had the highest frequency of citation (20.51%). The phytochemical screening of this species revealed the presence of alkaloids, phenolic compounds (flavonoids, tannins, coumarins), saponins and terpenes. The hydroethanolic extracts of Z. zanthoxyloides fruits showed the best DPPH free radical scavenging activity with an inhibitory concentration (IC50) of 20.80±0.11 µg/mL followed by hydroethanolic extracts of bark with IC50=22.9±0.14 µg/mL. In the phosphomolybdate test, the aqueous fruit extracts with a value of 537.70±0.05 mg AAE/100g exhibited the highest antioxidant potential. At a concentration of 1 mg/mL extracts, the aqueous fruit extracts demonstrated the most effective protein denaturation rates (92.66±0.66%) followed by the ethanolic root extracts (92.95±1.10%). This study showed that the fruits exhibit the highest promising anti-free radical and anti-inflammatory potential.","container-title":"GSC Biological and Pharmaceutical Sciences","DOI":"10.30574/gscbps.2023.25.1.0402","ISSN":"2581-3250, 2582-4597","issue":"1","language":"en","note":"Last Modified: 2023-10-07T13:26+05:30\nnumber: 1\npublisher: GSC Biological and Pharmaceutical Sciences","page":"019-030","source":"gsconlinepress.com","title":"Ethnobotanical and comparative study of the antioxidant and anti-inflammatory potential of three organs of Zanthoxylum zanthoxyloides, a plant used in the traditional treatment of sickle-cell disease in Bamako","volume":"25","author":[{"family":"Togola","given":"Issiaka"},{"literal":"N’Diaye Maïmounatou"},{"family":"Nah","given":"Traoré"},{"family":"Abdoulaye","given":"Konaré Mamadou"},{"family":"Nouhoum","given":"Diarra"},{"family":"Issiaka","given":"Togola"},{"family":"Maïmounatou","given":"N’Diaye"},{"family":"Nah","given":"Traoré"},{"family":"Abdoulaye","given":"Konaré Mamadou"},{"family":"Nouhoum","given":"Diarra"}],"issued":{"date-parts":[["2023"]]}}}],"schema":"https://github.com/citation-style-language/schema/raw/master/csl-citation.json"} </w:instrText>
      </w:r>
      <w:r>
        <w:rPr>
          <w:rFonts w:ascii="Arial" w:hAnsi="Arial" w:cs="Arial"/>
        </w:rPr>
        <w:fldChar w:fldCharType="separate"/>
      </w:r>
      <w:r>
        <w:rPr>
          <w:rFonts w:ascii="Arial" w:hAnsi="Arial" w:cs="Arial"/>
        </w:rPr>
        <w:t xml:space="preserve">(Ogunrinade et </w:t>
      </w:r>
      <w:r>
        <w:rPr>
          <w:rFonts w:ascii="Arial" w:hAnsi="Arial" w:cs="Arial"/>
          <w:i/>
          <w:iCs/>
        </w:rPr>
        <w:t>al</w:t>
      </w:r>
      <w:r>
        <w:rPr>
          <w:rFonts w:ascii="Arial" w:hAnsi="Arial" w:cs="Arial"/>
        </w:rPr>
        <w:t xml:space="preserve">., 2021; Togola et </w:t>
      </w:r>
      <w:r>
        <w:rPr>
          <w:rFonts w:ascii="Arial" w:hAnsi="Arial" w:cs="Arial"/>
          <w:i/>
          <w:iCs/>
        </w:rPr>
        <w:t>al.</w:t>
      </w:r>
      <w:r>
        <w:rPr>
          <w:rFonts w:ascii="Arial" w:hAnsi="Arial" w:cs="Arial"/>
        </w:rPr>
        <w:t>, 2023)</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b/>
          <w:bCs/>
        </w:rPr>
        <w:t>3.4.2 Phytochemistry</w:t>
      </w:r>
    </w:p>
    <w:p>
      <w:pPr>
        <w:pStyle w:val="Body"/>
        <w:rPr>
          <w:rFonts w:ascii="Arial" w:hAnsi="Arial" w:cs="Arial"/>
        </w:rPr>
      </w:pPr>
      <w:r>
        <w:rPr>
          <w:rFonts w:ascii="Arial" w:hAnsi="Arial" w:cs="Arial"/>
        </w:rPr>
        <w:t xml:space="preserve">Phytochemical analysis of the plant extract showed the presence of tannins, saponins, alkaloids and flavonoids, glycosides, terpenoids and phenols </w:t>
      </w:r>
      <w:r>
        <w:rPr>
          <w:rFonts w:ascii="Arial" w:hAnsi="Arial" w:cs="Arial"/>
        </w:rPr>
        <w:fldChar w:fldCharType="begin"/>
      </w:r>
      <w:r>
        <w:rPr>
          <w:rFonts w:ascii="Arial" w:hAnsi="Arial" w:cs="Arial"/>
        </w:rPr>
        <w:instrText xml:space="preserve"> ADDIN ZOTERO_ITEM CSL_CITATION {"citationID":"o6BVn0rj","properties":{"formattedCitation":"(Fatai, 2023; Ikumawoyi &amp; Awodele, 2016)","plainCitation":"(Fatai, 2023; Ikumawoyi &amp; Awodele, 2016)","dontUpdate":true,"noteIndex":0},"citationItems":[{"id":1239,"uris":["http://zotero.org/users/9368380/items/WMCG9AH9"],"itemData":{"id":1239,"type":"webpage","title":"Evaluation of the effects of the hydro-ethanolic root extract of &lt;i&gt;Zanthoxylum zanthoxyloides&lt;/i&gt; on hematological parameters and oxidative stress in cyclophosphamide treated rats | African Journal of Traditional, Complementary and Alternative Medicines","URL":"https://www.ajol.info/index.php/ajtcam/article/view/143446","author":[{"family":"Ikumawoyi","given":"V.O."},{"family":"Awodele","given":"O"}],"accessed":{"date-parts":[["2024",12,16]]},"issued":{"date-parts":[["2016"]]}}},{"id":1255,"uris":["http://zotero.org/users/9368380/items/8KUKD7SW"],"itemData":{"id":1255,"type":"article-journal","abstract":"There is great interest in traditional or folk medicines in order to help with the discovery and development of potentially new pharmaceutics which have clinical benefits to man. Many of these traditional medicines are derived from medicinal plants which have been shown to contain a multitude of chemicals that have potent natural antioxidant properties. The chemical composition (metabolites), characterisation, antioxidant properties and cytoprotective effects to oxidative stress of Zanthoxylum zanthoxyloides (ZZ) root-bark extract obtained from different seasonal conditions, namely: winter, spring, summer and autumn bought from an African store and during one annual collection, were investigated in this thesis. ZZ root-bark was prepared in in two solvents (ethanol and water) and three methods of extraction (Aq decoction and maceration as well as ethanolic maceration). The extracts were investigated using different methods such as moisture content analysis, percentage insoluble fraction, spectrocolorimetric measurements, ash content analysis, analysis of carbon, sulphur, nitrogen, hydrogen and oxygen analysis, gas chromatography-mass spectroscopy (GC-MS), ultra-violet-visible spectroscopy (UV-VIS), Fourier-transform infra-red spectroscopy (FT-IR), qualitative and quantitative phytochemical analyses. Its antioxidative effects was investigated by assessing the plant extract’s ability to scavenge or react with a range of different free radicals such as: 2,2-diphenyl-1-picrylhydrazyl radical (DPPH), hydroxyl radical (●OH), singlet oxygen radical (1O2), nitric oxide radical (NO●), 2,2-azino-bis(3-ethylbenzothiazoline-6-sulphonic acid) (ABTS●+), metal ion, ferric reducing antioxidant power assay (FRAP) and reducing power assay. Lipopolysaccharide (LPS) and H2O2 were used to induce oxidative stress in human leukemic cells (U937 and HL60), and the ZZ extract was used to determine any potential cytoprotective effects to these oxidative insults.\nThe result presented in this thesis showed that the moisture content of ZZ root-bark extract for winter, summer, spring and autumn was between 6.75 – 8.07% and this is within the acceptable moisture content percentage (5 – 8%). A statistically significant difference of *P&lt;0.5 (winter vs spring), ***P&lt;0.001 (spring vs summer) and ****P&lt;0.0001 (winter vs summer) was observed among these seasons. The percentage insoluble fraction of this extract, in both solvents, was about 90% for these seasonal conditions with no statistically significant difference among them. The percentage ash content was between 6.9 – 8.3% for these harvest seasons, with statistically significant difference of *P&lt;0.5 (winter vs spring) and **P&lt;0.01 (winter vs summer), and this is within the acceptable range (5 – 40%). ICP-MS analysis of this extract confirms the presence of calcium, manganese, gallium, strontium, barium, lanthanum and cerium for all extracts from different seasons. GC-MS analysis of ZZ confirms the presence of many metabolites such as alkyl amide, lipids, coumarin, alkaloids, phenolics and triterpenes from all seasons. UV-VIS spectroscopy analysis further confirmed the presence of flavonoids for all seasons. Physico-chemical quantification analyses also confirmed the presence of many of these constituents in the extract. Percentage CHNS-O was between 43 – 52 % for carbon, 0 – 0.21 % for nitrogen, 4 – 12 % for hydrogen and 35 – 41 % for oxygen. However, sulphur was not present in all seasons. The ZZ extract also showed a great ability to scavenge free radicals such as DPPH● (IC50 = 30 μg/ml), ●OH (IC50 = 0.08 mg/ml), H2O2 (IC50 = 0.08 mg/ml), NO● (IC50 = 0.20 mg/ml) 1O2 (IC50 = 0.16 mg/ml) ABTS●+ (IC50 = 0.23 mg/ml) and metal ion (IC50 = 0.11 mg/ml) by accepting hydrogen or electron but showed a weak FRAP and reducing power ability. Finally, the extract showed it had cytoprotective effect against lipopolysaccharide and hydrogen peroxide-induced oxidative stress leading to cell death in U937 and HL60 leukemic cells. A more detailed characterisation showed that the ZZ extract was able to statistically protect against oxidative stress-induced cell death caused by either apoptosis or necrosis. In conclusion, ZZ extract possesses many phytochemical compounds, many of which have antioxidants properties regardless of their harvest seasons. Findings from this thesis confirmed the potential health benefits of ZZ root-bark and could be valuable for pharmaceutical and nutraceutical industries in using it to reveal new sources of natural antioxidant for therapeutic drugs.","language":"en","license":"http://creativecommons.org/licenses/by-nc-nd/4.0/","note":"Accepted: 2024-07-15T08:26:32Z\npublisher: University of Chester","source":"chesterrep.openrepository.com","title":"Characterisation, antioxidant properties and cytoprotective investigation of Zanthoxylum zanthoxyloides root-bark in oxidative stressed promyelocytic leukaemia cells","URL":"https://chesterrep.openrepository.com/handle/10034/628840","author":[{"family":"Fatai","given":"Monsurat A."}],"accessed":{"date-parts":[["2025",1,5]]},"issued":{"date-parts":[["2023",3,31]]}}}],"schema":"https://github.com/citation-style-language/schema/raw/master/csl-citation.json"} </w:instrText>
      </w:r>
      <w:r>
        <w:rPr>
          <w:rFonts w:ascii="Arial" w:hAnsi="Arial" w:cs="Arial"/>
        </w:rPr>
        <w:fldChar w:fldCharType="separate"/>
      </w:r>
      <w:r>
        <w:rPr>
          <w:rFonts w:ascii="Arial" w:hAnsi="Arial" w:cs="Arial"/>
        </w:rPr>
        <w:t>(Fatai, 2023; Ikumawoyi, 2016)</w:t>
      </w:r>
      <w:r>
        <w:rPr>
          <w:rFonts w:ascii="Arial" w:hAnsi="Arial" w:cs="Arial"/>
        </w:rPr>
        <w:fldChar w:fldCharType="end"/>
      </w:r>
      <w:r>
        <w:rPr>
          <w:rFonts w:ascii="Arial" w:hAnsi="Arial" w:cs="Arial"/>
        </w:rPr>
        <w:t xml:space="preserve">. HPLC-MS analysis identified numerous phytochemical compounds such as coumarins, flavonoids, alkaloids, lignans and triterpenes, which were found in different VLC fractions of the n-butanol-soluble fraction of </w:t>
      </w:r>
      <w:proofErr w:type="spellStart"/>
      <w:r>
        <w:rPr>
          <w:rFonts w:ascii="Arial" w:hAnsi="Arial" w:cs="Arial"/>
          <w:i/>
          <w:iCs/>
        </w:rPr>
        <w:t>Z.zanthoxyloides</w:t>
      </w:r>
      <w:proofErr w:type="spellEnd"/>
      <w:r>
        <w:rPr>
          <w:rFonts w:ascii="Arial" w:hAnsi="Arial" w:cs="Arial"/>
        </w:rPr>
        <w:t xml:space="preserve"> leaves </w:t>
      </w:r>
      <w:r>
        <w:rPr>
          <w:rFonts w:ascii="Arial" w:hAnsi="Arial" w:cs="Arial"/>
        </w:rPr>
        <w:fldChar w:fldCharType="begin"/>
      </w:r>
      <w:r>
        <w:rPr>
          <w:rFonts w:ascii="Arial" w:hAnsi="Arial" w:cs="Arial"/>
        </w:rPr>
        <w:instrText xml:space="preserve"> ADDIN ZOTERO_ITEM CSL_CITATION {"citationID":"Ic14FTgR","properties":{"formattedCitation":"(Ayoka et al., 2020; Togola et al., 2023a)","plainCitation":"(Ayoka et al., 2020; Togola et al., 2023a)","dontUpdate":true,"noteIndex":0},"citationItems":[{"id":1236,"uris":["http://zotero.org/users/9368380/items/E6ZQ88JV"],"itemData":{"id":1236,"type":"article-journal","container-title":"Tropical Journal of Natural Product Research (TJNPR)","issue":"10","page":"817–823","source":"Google Scholar","title":"Liquid Chromatography-Mass Spectrometric Analyses of Potential Antioxidant Constituents from Zanthoxylum zanthoxyloides Leaves: Probing into the Role of Alkaloids: doi. org/10.26538/tjnpr/v4i10. 26","title-short":"Liquid Chromatography-Mass Spectrometric Analyses of Potential Antioxidant Constituents from Zanthoxylum zanthoxyloides Leaves","volume":"4","author":[{"family":"Ayoka","given":"Thecla O."},{"family":"Nwachukwun","given":"Ngwu"},{"family":"Ene","given":"Aloysius C."},{"family":"Igwe","given":"Chidi U."},{"family":"Nnadi","given":"Charles O."}],"issued":{"date-parts":[["2020"]]}}},{"id":"2iRljus3/wn9CAL3Y","uris":["http://zotero.org/users/9368380/items/TXC2R3JP"],"itemData":{"id":1241,"type":"article-journal","abstract":"Français La littérature rapporte que les drépanocytaires ont fréquemment recours aux plantes pour gérer leurs crises récurrentes. L'objectif de la présente étude était de contribuer à une meilleure connaissance des plantes médicinales utilisées dans la prise en charge de cette maladie. Une enquête ethnobotanique a été menée à Bamako et dans ses environs. L'espèce la plus fréquemment citée a été sélectionnée : Zanthoxylum zanthoxyloides Lam. Zepernick. &amp; Timler, et le potentiel antioxydant et anti-inflammatoire in vitro de leurs extraits de feuilles, de fruits et de racines a été évalué. Au total, 39 personnes ont été enquêtées, dont 21 herboristes, 6 tradipraticiens et 12 drépanocytaires. L'analyse des formulaires d'enquête a révélé 19 espèces végétales appartenant à 16 familles, dont Z. zanthoxyloides, qui avait la plus forte fréquence de citation (20,51%). Le criblage phytochimique de cette espèce a révélé la présence d'alcaloïdes, de composés phénoliques (flavonoïdes, tannins, coumarines), de saponines et de terpènes. Français Les extraits hydroéthanoliques de fruits de Z. zanthoxyloides ont montré la meilleure activité de piégeage des radicaux libres DPPH avec une concentration inhibitrice (IC50) de 20,80 ± 0,11 µg/mL, suivis des extraits hydroéthanoliques d'écorce avec IC50 = 22,9 ± 0,14 µg/mL. Dans le test au phosphomolybdate, les extraits aqueux de fruits avec une valeur de 537,70 ± 0,05 mg AAE/100 g ont montré le potentiel antioxydant le plus élevé. À une concentration d'extraits de 1 mg/mL, les extraits aqueux de fruits ont démontré les taux de dénaturation des protéines les plus efficaces (92,66 ± 0,66 %), suivis des extraits éthanoliques de racines (92,95 ± 1,10 %). Cette étude a montré que les fruits présentent le potentiel anti-radicalaire et anti-inflammatoire le plus prometteur.","container-title":"GSC Biological and Pharmaceutical Sciences","DOI":"10.30574/gscbps.2023.25.1.0402","issue":"1","note":"publisher: Jalgaon: GSC Online Press","page":"019-030","source":"HAL Archives Ouvertes","title":"Ethnobotanical and comparative study of the antioxidant and anti-inflammatory potential of three organs of Zanthoxylum zanthoxyloides, a plant used in the traditional treatment of sickle-cell disease in Bamako","volume":"25","author":[{"family":"Togola","given":"Issiaka"},{"family":"Konaré","given":"Mamadou Abdoulaye"},{"family":"Diarra","given":"Nouhoum"},{"family":"N'Diaye","given":"Maïmounatou"},{"family":"Traore","given":"Nah"}],"issued":{"date-parts":[["2023",10]]}}}],"schema":"https://github.com/citation-style-language/schema/raw/master/csl-citation.json"} </w:instrText>
      </w:r>
      <w:r>
        <w:rPr>
          <w:rFonts w:ascii="Arial" w:hAnsi="Arial" w:cs="Arial"/>
        </w:rPr>
        <w:fldChar w:fldCharType="separate"/>
      </w:r>
      <w:r>
        <w:rPr>
          <w:rFonts w:ascii="Arial" w:hAnsi="Arial" w:cs="Arial"/>
        </w:rPr>
        <w:t>(</w:t>
      </w:r>
      <w:proofErr w:type="spellStart"/>
      <w:r>
        <w:rPr>
          <w:rFonts w:ascii="Arial" w:hAnsi="Arial" w:cs="Arial"/>
        </w:rPr>
        <w:t>Ayoka</w:t>
      </w:r>
      <w:proofErr w:type="spellEnd"/>
      <w:r>
        <w:rPr>
          <w:rFonts w:ascii="Arial" w:hAnsi="Arial" w:cs="Arial"/>
        </w:rPr>
        <w:t xml:space="preserve"> et </w:t>
      </w:r>
      <w:r>
        <w:rPr>
          <w:rFonts w:ascii="Arial" w:hAnsi="Arial" w:cs="Arial"/>
          <w:i/>
          <w:iCs/>
        </w:rPr>
        <w:t>al</w:t>
      </w:r>
      <w:r>
        <w:rPr>
          <w:rFonts w:ascii="Arial" w:hAnsi="Arial" w:cs="Arial"/>
        </w:rPr>
        <w:t xml:space="preserve">., 2020; Togola et </w:t>
      </w:r>
      <w:r>
        <w:rPr>
          <w:rFonts w:ascii="Arial" w:hAnsi="Arial" w:cs="Arial"/>
          <w:i/>
          <w:iCs/>
        </w:rPr>
        <w:t>al</w:t>
      </w:r>
      <w:r>
        <w:rPr>
          <w:rFonts w:ascii="Arial" w:hAnsi="Arial" w:cs="Arial"/>
        </w:rPr>
        <w:t>., 2023)</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rPr>
        <w:t> </w:t>
      </w:r>
      <w:r>
        <w:rPr>
          <w:rFonts w:ascii="Arial" w:hAnsi="Arial" w:cs="Arial"/>
          <w:b/>
          <w:bCs/>
        </w:rPr>
        <w:t>3.4.3 Antioxidant and Anti-Inflammatory Properties</w:t>
      </w:r>
    </w:p>
    <w:p>
      <w:pPr>
        <w:pStyle w:val="Body"/>
        <w:rPr>
          <w:rFonts w:ascii="Arial" w:hAnsi="Arial" w:cs="Arial"/>
        </w:rPr>
      </w:pPr>
      <w:r>
        <w:rPr>
          <w:rFonts w:ascii="Arial" w:hAnsi="Arial" w:cs="Arial"/>
        </w:rPr>
        <w:t xml:space="preserve">The antioxidant potential by the ABTS+ method of leaf (IC50 : 24,96 µg/ml) and bark (IC50: 33,32 µg/ml) extracts were moderate compared with the reference </w:t>
      </w:r>
      <w:proofErr w:type="spellStart"/>
      <w:r>
        <w:rPr>
          <w:rFonts w:ascii="Arial" w:hAnsi="Arial" w:cs="Arial"/>
        </w:rPr>
        <w:t>trolox</w:t>
      </w:r>
      <w:proofErr w:type="spellEnd"/>
      <w:r>
        <w:rPr>
          <w:rFonts w:ascii="Arial" w:hAnsi="Arial" w:cs="Arial"/>
        </w:rPr>
        <w:t xml:space="preserve"> (4,158µg/ml) </w:t>
      </w:r>
      <w:r>
        <w:rPr>
          <w:rFonts w:ascii="Arial" w:hAnsi="Arial" w:cs="Arial"/>
        </w:rPr>
        <w:fldChar w:fldCharType="begin"/>
      </w:r>
      <w:r>
        <w:rPr>
          <w:rFonts w:ascii="Arial" w:hAnsi="Arial" w:cs="Arial"/>
        </w:rPr>
        <w:instrText xml:space="preserve"> ADDIN ZOTERO_ITEM CSL_CITATION {"citationID":"nPZBwWXf","properties":{"formattedCitation":"(Tine &amp; Yin, 2017)","plainCitation":"(Tine &amp; Yin, 2017)","noteIndex":0},"citationItems":[{"id":1230,"uris":["http://zotero.org/users/9368380/items/8P7F4AFH"],"itemData":{"id":1230,"type":"webpage","language":"en","note":"DOI: 10.1177/1934578X1701201213","title":"LC-MS/MS Analysis of Flavonoid Compounds from Zanthoxylum zanthoxyloides Extracts and Their Antioxidant Activities","URL":"https://journals.sagepub.com/doi/epdf/10.1177/1934578X1701201213","author":[{"family":"Tine","given":"Yoro"},{"family":"Yin","given":"Yang"}],"accessed":{"date-parts":[["2024",12,14]]},"issued":{"date-parts":[["2017"]]}}}],"schema":"https://github.com/citation-style-language/schema/raw/master/csl-citation.json"} </w:instrText>
      </w:r>
      <w:r>
        <w:rPr>
          <w:rFonts w:ascii="Arial" w:hAnsi="Arial" w:cs="Arial"/>
        </w:rPr>
        <w:fldChar w:fldCharType="separate"/>
      </w:r>
      <w:r>
        <w:rPr>
          <w:rFonts w:ascii="Arial" w:hAnsi="Arial" w:cs="Arial"/>
        </w:rPr>
        <w:t>(Tine &amp; Yin, 2017)</w:t>
      </w:r>
      <w:r>
        <w:rPr>
          <w:rFonts w:ascii="Arial" w:hAnsi="Arial" w:cs="Arial"/>
        </w:rPr>
        <w:fldChar w:fldCharType="end"/>
      </w:r>
      <w:r>
        <w:rPr>
          <w:rFonts w:ascii="Arial" w:hAnsi="Arial" w:cs="Arial"/>
        </w:rPr>
        <w:t xml:space="preserve">. The ethanolic extract of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stem barks showed increased absorbance with higher concentrations in the test for reduction of the Fe 3+ /ferricyanide complex to the Fe 2+ form in the presence of antioxidant, indicating ferric reducing power. However, the reducing potential of the extract was lower than that of ascorbic acid used as a standard antioxidant </w:t>
      </w:r>
      <w:r>
        <w:rPr>
          <w:rFonts w:ascii="Arial" w:hAnsi="Arial" w:cs="Arial"/>
        </w:rPr>
        <w:fldChar w:fldCharType="begin"/>
      </w:r>
      <w:r>
        <w:rPr>
          <w:rFonts w:ascii="Arial" w:hAnsi="Arial" w:cs="Arial"/>
        </w:rPr>
        <w:instrText xml:space="preserve"> ADDIN ZOTERO_ITEM CSL_CITATION {"citationID":"8ApbMF3a","properties":{"formattedCitation":"(Ogunbolude et al., 2014)","plainCitation":"(Ogunbolude et al., 2014)","noteIndex":0},"citationItems":[{"id":1233,"uris":["http://zotero.org/users/9368380/items/Z3ANK4KR"],"itemData":{"id":1233,"type":"article-journal","abstract":"Objective:\nThis study aimed at investigating the genotoxicity and cytotoxicity effect of Tapinanthus globiferus and Zanthoxylum zanthoxyloides to human leukocytes. In addition, the reductive potential and the chemical composition of the two plant extracts were also determined.\n\nMaterials and Methods:\nHuman leukocytes were obtained from healthy volunteer donors. The genotoxicity and cytotoxicity of T. globiferus and Z. zanthoxyloides were assessed using the comet assay and trypan blue exclusion, respectively. The antioxidant activity of the plant extracts was evaluated by the reducing power assay. Furthermore, high-performance liquid chromatography-diode array detector was used to characterize and quantify the constituents of these plants.\n\nResults:\nT. globiferus (10-150 µg/mL) was neither genotoxic nor cytotoxic at the concentrations tested, suggesting that it can be consumed safely at relatively high concentrations. However, Z. zanthoxyloides showed cytoxicity and genotoxicity to human leukocytes at the highest concentration tested (150 µg/mL). In addition, the total reducing power of T. globiferus was found higher than Z. zanthoxyloides in potassium ferricyanide reduction. Both plants extract contained flavonoids (rutin and quercetin) and phenolic acids (chlorogenic and caffeic).\n\nConclusion:\nThe results obtained support the fact that some caution should be paid regarding the dosage and the frequency of use of Z. zanthoxyloides extract.","container-title":"Journal of Intercultural Ethnopharmacology","DOI":"10.5455/jice.20140826110059","ISSN":"2146-8397","issue":"4","journalAbbreviation":"J Intercult Ethnopharmacol","note":"PMID: 26401368\nPMCID: PMC4576816","page":"167-172","source":"PubMed Central","title":"Effects of Tapinanthus globiferus and Zanthoxylum zanthoxyloides extracts on human leukocytes in vitro","volume":"3","author":[{"family":"Ogunbolude","given":"Yetunde"},{"family":"Ibrahim","given":"Mohammad"},{"family":"Elekofehinti","given":"Olusola Olalekan"},{"family":"Adeniran","given":"Adekunle"},{"family":"Abolaji","given":"Amos Olalekan"},{"family":"Rocha","given":"João Batista Teixeira"},{"family":"Kamdem","given":"Jean Paul"}],"issued":{"date-parts":[["2014",9,6]]}}}],"schema":"https://github.com/citation-style-language/schema/raw/master/csl-citation.json"} </w:instrText>
      </w:r>
      <w:r>
        <w:rPr>
          <w:rFonts w:ascii="Arial" w:hAnsi="Arial" w:cs="Arial"/>
        </w:rPr>
        <w:fldChar w:fldCharType="separate"/>
      </w:r>
      <w:r>
        <w:rPr>
          <w:rFonts w:ascii="Arial" w:hAnsi="Arial" w:cs="Arial"/>
        </w:rPr>
        <w:t>(Ogunbolude et al., 2014)</w:t>
      </w:r>
      <w:r>
        <w:rPr>
          <w:rFonts w:ascii="Arial" w:hAnsi="Arial" w:cs="Arial"/>
        </w:rPr>
        <w:fldChar w:fldCharType="end"/>
      </w:r>
      <w:r>
        <w:rPr>
          <w:rFonts w:ascii="Arial" w:hAnsi="Arial" w:cs="Arial"/>
        </w:rPr>
        <w:t xml:space="preserve">.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stem bark significantly increased antioxidant activity in rat tissue under cadmium chloride-induced oxidative stress  </w:t>
      </w:r>
      <w:r>
        <w:rPr>
          <w:rFonts w:ascii="Arial" w:hAnsi="Arial" w:cs="Arial"/>
        </w:rPr>
        <w:fldChar w:fldCharType="begin"/>
      </w:r>
      <w:r>
        <w:rPr>
          <w:rFonts w:ascii="Arial" w:hAnsi="Arial" w:cs="Arial"/>
        </w:rPr>
        <w:instrText xml:space="preserve"> ADDIN ZOTERO_ITEM CSL_CITATION {"citationID":"nfRMWy0K","properties":{"formattedCitation":"(Oyewole &amp; Akinbamijo, 2015)","plainCitation":"(Oyewole &amp; Akinbamijo, 2015)","noteIndex":0},"citationItems":[{"id":1244,"uris":["http://zotero.org/users/9368380/items/56ZDRVCZ"],"itemData":{"id":1244,"type":"article-journal","abstract":"There is a growing interest in preventive medicine for the evaluation and development of natural antioxidants from medicinal plants. The current research is a comparative study designed to investigate in vivo effects of two common African herbs: Ageratum conyzoides stem bark and Zanthoxylum zanthoxyloides leaves on antioxidants status in the brain, kidney and liver of wistar albino rats intoxicated with sublethal concentration of cadmium chloride (5mg/mg bw). Thirty albino rats grouped into six were administered varying concentration of methanolic extracts of the herbs for 21 days. Analysis of post-mitochondrial fractions of the brain, kidney and liver of the rats showed that cadmium chloride caused oxidative stress in the tissues characterized by significant depletion in antioxidants capacity (catalase, superoxIde dismutase, glutathione peroxidase and glutathione transferase) and elevation of thiobarbituric acid reactive substances (TBARS). Administration of Ageratum conyzoides and Zanthoxylum zanthoxyloides extracts significantly boosted the antioxidant capacity in the tissues while they also reduced TBARS with Zanthoxylum zanthoxyloides exhibiting a better protective activity. We demonstrate in this study that Ageratum conyzoides leaves and Zanthoxylum zanthoxyloides stem bark possess antioxidant properties which might play important roles in providing protection against oxidative organ damage.","DOI":"10.12691/ajbr-3-4-3","language":"en","source":"Zotero","title":"Antioxidative Potential of Ageratum Conyzoides and Zanthoxylum Zanthoxyloides Extracts in Cadmium-Induced Oxidative Stress in Rat Tissues","author":[{"family":"Oyewole","given":"Oluwole Israel"},{"family":"Akinbamijo","given":"Tolulope Olufunmilayo"}],"issued":{"date-parts":[["2015"]]}}}],"schema":"https://github.com/citation-style-language/schema/raw/master/csl-citation.json"} </w:instrText>
      </w:r>
      <w:r>
        <w:rPr>
          <w:rFonts w:ascii="Arial" w:hAnsi="Arial" w:cs="Arial"/>
        </w:rPr>
        <w:fldChar w:fldCharType="separate"/>
      </w:r>
      <w:r>
        <w:rPr>
          <w:rFonts w:ascii="Arial" w:hAnsi="Arial" w:cs="Arial"/>
        </w:rPr>
        <w:t>(Oyewole &amp; Akinbamijo, 2015)</w:t>
      </w:r>
      <w:r>
        <w:rPr>
          <w:rFonts w:ascii="Arial" w:hAnsi="Arial" w:cs="Arial"/>
        </w:rPr>
        <w:fldChar w:fldCharType="end"/>
      </w:r>
      <w:r>
        <w:rPr>
          <w:rFonts w:ascii="Arial" w:hAnsi="Arial" w:cs="Arial"/>
        </w:rPr>
        <w:t xml:space="preserve">. Root bark extract also showed antioxidant activity in vitro </w:t>
      </w:r>
      <w:r>
        <w:rPr>
          <w:rFonts w:ascii="Arial" w:hAnsi="Arial" w:cs="Arial"/>
        </w:rPr>
        <w:fldChar w:fldCharType="begin"/>
      </w:r>
      <w:r>
        <w:rPr>
          <w:rFonts w:ascii="Arial" w:hAnsi="Arial" w:cs="Arial"/>
        </w:rPr>
        <w:instrText xml:space="preserve"> ADDIN ZOTERO_ITEM CSL_CITATION {"citationID":"JLAjPOKJ","properties":{"formattedCitation":"(Motto et al., 2019)","plainCitation":"(Motto et al., 2019)","noteIndex":0},"citationItems":[{"id":1245,"uris":["http://zotero.org/users/9368380/items/8ELKU68R"],"itemData":{"id":1245,"type":"article-journal","abstract":"Zanthoxylum zanthoxyloides (Rutaceae) est une plante médicinale utilisée dans les régions tropicales pour le traitement du diabète sucré. L’objectif de cette étude est d’évaluer l’activité hypoglycémiante de l’extrait hydroalcoolique des écorces de racines de Z. zanthoxyloides. L’extrait&amp;nbsp; hydroalcoolique des écorces de racines de Z. zanthoxyloides a été évalué sur des souris normales en état d’hyperglycémie provoquée par voie orale (HPVO) et sur des souris normoglycémiques. Après une étude phytochimique, les activités antioxydantes de l’extrait ont été déterminées par le test de chélation et de réduction des métaux. Le pouvoir antioxydant par piégeage de radicaux libres a été également réalisé. L’administration de l’extrait aux doses de 250 et 500 mg.kg-1avant la surcharge glucidique a diminué significativement (p&amp;lt;0,01) le taux de glucose des souris, 30 minutes après la surcharge glucidique par rapport au lot témoin. Pendant 60 minutes, l’effet de l’extrait à 500 mg.kg-1 reste significative (p&amp;lt;0,05). Par ailleurs, l’administration de l’extrait à la dose de 500 mg.kg-1chez des souris normoglycémiques n’a montré aucune diminution significative (p&amp;gt; 0,05) de la glycémie basale comparée aux témoins. Le screening phytochimique a révélé la présence des flavonoïdes, d’alcaloïdes, de tanins et de saponosides dans l’extrait. L’étude quantitative a montré la présence des polyphénols tels que les phénols totaux, les tanins et les flavonoïdes&amp;nbsp; totaux. Les tests in vitro ont montré une activité antioxydante de l’extrait. L’activité antihyperglycémiante associée aux propriétés antioxydantes de la plante, justifie son utilisation dans le traitement du diabète en médecine traditionnelle.\nMots-clés : Zanthoxylum zanthoxyloides, activité antihyperglycémiante, antioxydant. \nEnglish Title: Antihyperglycemic and antioxidant activities of root barks of &amp;lt;i&amp;gt;Zanthoxylum zanthoxyloides&amp;lt;/i&amp;gt; (Rutaceae)\nZanthoxylum zanthoxyloides is a medicinal plant used for the treatment of diabetes mellitus in subtropical and tropical regions. The aim of this study is to evaluate the hypoglycemic activity of this plant. The hydro-alcoholic extract was evaluated on hyperglycemic mice by oral glucose tolerance test (OGTT) and on normoglycemic mice. After phytochemical study, antioxidant properties of the extract were determined by the&amp;nbsp; chelation and reducing power test and AAPH test. The administration of the extract at 250 and 500 mg.kg-1 before glucose loading significantly decreased (p &amp;lt;0.01) the glucose level of the mice, 30 minutes after the glucose loading compared to the control group. During 60 minutes, the effect of the extract at 500 mg.kg-1 was significant (p &amp;lt;0.05). In addition, the administration of the extract at a dose of 500 mg.kg-1 of normoglycemic mice showed no significant decrease (p&amp;gt; 0.05) in basal glucose compared with controls. Phytochemical screening revealed the presence of flavonoids,&amp;nbsp; alkaloids, tannins and saponosides in the extract. The quantitative study showed a presence of polyphenols such as total phenols, tannins and total flavonoids. In vitro tests showed an antioxidant activity of the extract. The antihyperglycemic activity associated with the antioxidant properties of the plant, justifies its use in the treatment of diabetes in traditional medicine.\nKeywords: Zanthoxylum zanthoxyloides, antihyperglycemic activity, antioxidant.","container-title":"Journal de la Recherche Scientifique de l’Université de Lomé","ISSN":"2413-354X","issue":"2","language":"en","license":"Copyright (c) 0","note":"number: 2","page":"1-12","source":"www.ajol.info","title":"Activites antihyperglycemiante et antioxydante des ecorces de racines de Zanthoxylum zanthoxyloides (Rrutaceae)","volume":"21","author":[{"family":"Motto","given":"A. E."},{"family":"Lawson-Evi","given":"P."},{"family":"Metowogo","given":"K."},{"family":"Eklu-Gadegbeku","given":"K."},{"family":"Aklikokou","given":"K."},{"family":"Gbeassor","given":"M."}],"issued":{"date-parts":[["2019"]]}}}],"schema":"https://github.com/citation-style-language/schema/raw/master/csl-citation.json"} </w:instrText>
      </w:r>
      <w:r>
        <w:rPr>
          <w:rFonts w:ascii="Arial" w:hAnsi="Arial" w:cs="Arial"/>
        </w:rPr>
        <w:fldChar w:fldCharType="separate"/>
      </w:r>
      <w:r>
        <w:rPr>
          <w:rFonts w:ascii="Arial" w:hAnsi="Arial" w:cs="Arial"/>
        </w:rPr>
        <w:t>(Motto et al., 2019)</w:t>
      </w:r>
      <w:r>
        <w:rPr>
          <w:rFonts w:ascii="Arial" w:hAnsi="Arial" w:cs="Arial"/>
        </w:rPr>
        <w:fldChar w:fldCharType="end"/>
      </w:r>
      <w:r>
        <w:rPr>
          <w:rFonts w:ascii="Arial" w:hAnsi="Arial" w:cs="Arial"/>
        </w:rPr>
        <w:t xml:space="preserve">. In the study by Togola et </w:t>
      </w:r>
      <w:r>
        <w:rPr>
          <w:rFonts w:ascii="Arial" w:hAnsi="Arial" w:cs="Arial"/>
          <w:i/>
          <w:iCs/>
        </w:rPr>
        <w:t>al.</w:t>
      </w:r>
      <w:r>
        <w:rPr>
          <w:rFonts w:ascii="Arial" w:hAnsi="Arial" w:cs="Arial"/>
        </w:rPr>
        <w:t xml:space="preserve"> </w:t>
      </w:r>
      <w:proofErr w:type="spellStart"/>
      <w:r>
        <w:rPr>
          <w:rFonts w:ascii="Arial" w:hAnsi="Arial" w:cs="Arial"/>
        </w:rPr>
        <w:t>hydroethanol</w:t>
      </w:r>
      <w:proofErr w:type="spellEnd"/>
      <w:r>
        <w:rPr>
          <w:rFonts w:ascii="Arial" w:hAnsi="Arial" w:cs="Arial"/>
        </w:rPr>
        <w:t xml:space="preserve"> extracts of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fruit showed the best DPPH free radical scavenging activity with an inhibitory concentration </w:t>
      </w:r>
      <w:r>
        <w:rPr>
          <w:rFonts w:ascii="Arial" w:hAnsi="Arial" w:cs="Arial"/>
        </w:rPr>
        <w:lastRenderedPageBreak/>
        <w:t xml:space="preserve">(IC50) of 20,80 ± 0,11 µg/mL, followed by </w:t>
      </w:r>
      <w:proofErr w:type="spellStart"/>
      <w:r>
        <w:rPr>
          <w:rFonts w:ascii="Arial" w:hAnsi="Arial" w:cs="Arial"/>
        </w:rPr>
        <w:t>hydroethanol</w:t>
      </w:r>
      <w:proofErr w:type="spellEnd"/>
      <w:r>
        <w:rPr>
          <w:rFonts w:ascii="Arial" w:hAnsi="Arial" w:cs="Arial"/>
        </w:rPr>
        <w:t xml:space="preserve"> extracts of bark with IC50 = 22,9 ± 0,14 µg/mL  </w:t>
      </w:r>
      <w:r>
        <w:rPr>
          <w:rFonts w:ascii="Arial" w:hAnsi="Arial" w:cs="Arial"/>
        </w:rPr>
        <w:fldChar w:fldCharType="begin"/>
      </w:r>
      <w:r>
        <w:rPr>
          <w:rFonts w:ascii="Arial" w:hAnsi="Arial" w:cs="Arial"/>
        </w:rPr>
        <w:instrText xml:space="preserve"> ADDIN ZOTERO_ITEM CSL_CITATION {"citationID":"4uqfYXoP","properties":{"formattedCitation":"(Togola et al., 2023b)","plainCitation":"(Togola et al., 2023b)","dontUpdate":true,"noteIndex":0},"citationItems":[{"id":1251,"uris":["http://zotero.org/users/9368380/items/ANHQW78L"],"itemData":{"id":1251,"type":"article-journal","abstract":"Français La littérature rapporte que les drépanocytaires ont fréquemment recours aux plantes pour gérer leurs crises récurrentes. L'objectif de la présente étude était de contribuer à une meilleure connaissance des plantes médicinales utilisées dans la prise en charge de cette maladie. Une enquête ethnobotanique a été menée à Bamako et dans ses environs. L'espèce la plus fréquemment citée a été sélectionnée : Zanthoxylum zanthoxyloides Lam. Zepernick. &amp; Timler, et le potentiel antioxydant et anti-inflammatoire in vitro de leurs extraits de feuilles, de fruits et de racines a été évalué. Au total, 39 personnes ont été enquêtées, dont 21 herboristes, 6 tradipraticiens et 12 drépanocytaires. L'analyse des formulaires d'enquête a révélé 19 espèces végétales appartenant à 16 familles, dont Z. zanthoxyloides, qui avait la plus forte fréquence de citation (20,51%). Le criblage phytochimique de cette espèce a révélé la présence d'alcaloïdes, de composés phénoliques (flavonoïdes, tannins, coumarines), de saponines et de terpènes. Français Les extraits hydroéthanoliques de fruits de Z. zanthoxyloides ont montré la meilleure activité de piégeage des radicaux libres DPPH avec une concentration inhibitrice (IC50) de 20,80 ± 0,11 µg/mL, suivis des extraits hydroéthanoliques d'écorce avec IC50 = 22,9 ± 0,14 µg/mL. Dans le test au phosphomolybdate, les extraits aqueux de fruits avec une valeur de 537,70 ± 0,05 mg AAE/100 g ont montré le potentiel antioxydant le plus élevé. À une concentration d'extraits de 1 mg/mL, les extraits aqueux de fruits ont démontré les taux de dénaturation des protéines les plus efficaces (92,66 ± 0,66 %), suivis des extraits éthanoliques de racines (92,95 ± 1,10 %). Cette étude a montré que les fruits présentent le potentiel anti-radicalaire et anti-inflammatoire le plus prometteur.","container-title":"GSC Biological and Pharmaceutical Sciences","DOI":"10.30574/gscbps.2023.25.1.0402","issue":"1","note":"publisher: Jalgaon: GSC Online Press","page":"019-030","source":"HAL Archives Ouvertes","title":"Ethnobotanical and comparative study of the antioxidant and anti-inflammatory potential of three organs of Zanthoxylum zanthoxyloides, a plant used in the traditional treatment of sickle-cell disease in Bamako","volume":"25","author":[{"family":"Togola","given":"Issiaka"},{"family":"Konaré","given":"Mamadou Abdoulaye"},{"family":"Diarra","given":"Nouhoum"},{"family":"N'Diaye","given":"Maïmounatou"},{"family":"Traore","given":"Nah"}],"issued":{"date-parts":[["2023",10]]}}}],"schema":"https://github.com/citation-style-language/schema/raw/master/csl-citation.json"} </w:instrText>
      </w:r>
      <w:r>
        <w:rPr>
          <w:rFonts w:ascii="Arial" w:hAnsi="Arial" w:cs="Arial"/>
        </w:rPr>
        <w:fldChar w:fldCharType="separate"/>
      </w:r>
      <w:r>
        <w:rPr>
          <w:rFonts w:ascii="Arial" w:hAnsi="Arial" w:cs="Arial"/>
        </w:rPr>
        <w:t xml:space="preserve">(Togola et </w:t>
      </w:r>
      <w:r>
        <w:rPr>
          <w:rFonts w:ascii="Arial" w:hAnsi="Arial" w:cs="Arial"/>
          <w:i/>
          <w:iCs/>
        </w:rPr>
        <w:t>al.,</w:t>
      </w:r>
      <w:r>
        <w:rPr>
          <w:rFonts w:ascii="Arial" w:hAnsi="Arial" w:cs="Arial"/>
        </w:rPr>
        <w:t xml:space="preserve"> 2023)</w:t>
      </w:r>
      <w:r>
        <w:rPr>
          <w:rFonts w:ascii="Arial" w:hAnsi="Arial" w:cs="Arial"/>
        </w:rPr>
        <w:fldChar w:fldCharType="end"/>
      </w:r>
      <w:r>
        <w:rPr>
          <w:rFonts w:ascii="Arial" w:hAnsi="Arial" w:cs="Arial"/>
        </w:rPr>
        <w:t xml:space="preserve">. The n-butanol fraction of </w:t>
      </w:r>
      <w:proofErr w:type="spellStart"/>
      <w:r>
        <w:rPr>
          <w:rFonts w:ascii="Arial" w:hAnsi="Arial" w:cs="Arial"/>
          <w:i/>
          <w:iCs/>
        </w:rPr>
        <w:t>Z.zanthoxyloides</w:t>
      </w:r>
      <w:proofErr w:type="spellEnd"/>
      <w:r>
        <w:rPr>
          <w:rFonts w:ascii="Arial" w:hAnsi="Arial" w:cs="Arial"/>
        </w:rPr>
        <w:t xml:space="preserve"> leaf extracts showed moderate antioxidant activity by DPPH (IC50 ranged from 21,38 ± 5,43mg/L to 29,43 ± 5,85mg/L), FRAP (IC50 ranged from 36, 70 ± 1,33µg/L and 52,87 ± 0,11 µg/ml) and TAC (IC50 ranged between 31,80 ± 1,58µg/ml and 202,03 ± 0,21µg/ml) which was lower than that of ascorbic acid the reference  </w:t>
      </w:r>
      <w:r>
        <w:rPr>
          <w:rFonts w:ascii="Arial" w:hAnsi="Arial" w:cs="Arial"/>
        </w:rPr>
        <w:fldChar w:fldCharType="begin"/>
      </w:r>
      <w:r>
        <w:rPr>
          <w:rFonts w:ascii="Arial" w:hAnsi="Arial" w:cs="Arial"/>
        </w:rPr>
        <w:instrText xml:space="preserve"> ADDIN ZOTERO_ITEM CSL_CITATION {"citationID":"Zok13s75","properties":{"formattedCitation":"(Ayoka et al., 2020)","plainCitation":"(Ayoka et al., 2020)","noteIndex":0},"citationItems":[{"id":1236,"uris":["http://zotero.org/users/9368380/items/E6ZQ88JV"],"itemData":{"id":1236,"type":"article-journal","container-title":"Tropical Journal of Natural Product Research (TJNPR)","issue":"10","page":"817–823","source":"Google Scholar","title":"Liquid Chromatography-Mass Spectrometric Analyses of Potential Antioxidant Constituents from Zanthoxylum zanthoxyloides Leaves: Probing into the Role of Alkaloids: doi. org/10.26538/tjnpr/v4i10. 26","title-short":"Liquid Chromatography-Mass Spectrometric Analyses of Potential Antioxidant Constituents from Zanthoxylum zanthoxyloides Leaves","volume":"4","author":[{"family":"Ayoka","given":"Thecla O."},{"family":"Nwachukwun","given":"Ngwu"},{"family":"Ene","given":"Aloysius C."},{"family":"Igwe","given":"Chidi U."},{"family":"Nnadi","given":"Charles O."}],"issued":{"date-parts":[["2020"]]}}}],"schema":"https://github.com/citation-style-language/schema/raw/master/csl-citation.json"} </w:instrText>
      </w:r>
      <w:r>
        <w:rPr>
          <w:rFonts w:ascii="Arial" w:hAnsi="Arial" w:cs="Arial"/>
        </w:rPr>
        <w:fldChar w:fldCharType="separate"/>
      </w:r>
      <w:r>
        <w:rPr>
          <w:rFonts w:ascii="Arial" w:hAnsi="Arial" w:cs="Arial"/>
        </w:rPr>
        <w:t>(Ayoka et al., 2020)</w:t>
      </w:r>
      <w:r>
        <w:rPr>
          <w:rFonts w:ascii="Arial" w:hAnsi="Arial" w:cs="Arial"/>
        </w:rPr>
        <w:fldChar w:fldCharType="end"/>
      </w:r>
      <w:r>
        <w:rPr>
          <w:rFonts w:ascii="Arial" w:hAnsi="Arial" w:cs="Arial"/>
        </w:rPr>
        <w:t xml:space="preserve">. The alkaloid-rich fraction of </w:t>
      </w:r>
      <w:proofErr w:type="spellStart"/>
      <w:r>
        <w:rPr>
          <w:rFonts w:ascii="Arial" w:hAnsi="Arial" w:cs="Arial"/>
          <w:i/>
          <w:iCs/>
        </w:rPr>
        <w:t>Z.zanthoxyloides</w:t>
      </w:r>
      <w:proofErr w:type="spellEnd"/>
      <w:r>
        <w:rPr>
          <w:rFonts w:ascii="Arial" w:hAnsi="Arial" w:cs="Arial"/>
        </w:rPr>
        <w:t xml:space="preserve"> leaves also showed antioxidant activity </w:t>
      </w:r>
      <w:r>
        <w:rPr>
          <w:rFonts w:ascii="Arial" w:hAnsi="Arial" w:cs="Arial"/>
        </w:rPr>
        <w:fldChar w:fldCharType="begin"/>
      </w:r>
      <w:r>
        <w:rPr>
          <w:rFonts w:ascii="Arial" w:hAnsi="Arial" w:cs="Arial"/>
        </w:rPr>
        <w:instrText xml:space="preserve"> ADDIN ZOTERO_ITEM CSL_CITATION {"citationID":"LZXLTQqL","properties":{"formattedCitation":"(Olusola et al., 2023)","plainCitation":"(Olusola et al., 2023)","noteIndex":0},"citationItems":[{"id":1238,"uris":["http://zotero.org/users/9368380/items/BYKFH2AK"],"itemData":{"id":1238,"type":"article-journal","container-title":"Biomedical Journal of Scientific &amp; Technical Research","issue":"5","note":"publisher: Biomedical Research Network+, LLC","page":"44182–44200","source":"Google Scholar","title":"Antioxidant and Antimicrobial Potentials of Alkaloid-Rich Fraction of Zanthoxylum Zanthoxyloides’ Leaf","volume":"52","author":[{"family":"Olusola","given":"A. O."},{"family":"Elekan","given":"A. O."},{"family":"Ogidan","given":"T. O."},{"family":"Ekun","given":"O. E."},{"family":"Onoagbe","given":"I. O."}],"issued":{"date-parts":[["2023"]]}}}],"schema":"https://github.com/citation-style-language/schema/raw/master/csl-citation.json"} </w:instrText>
      </w:r>
      <w:r>
        <w:rPr>
          <w:rFonts w:ascii="Arial" w:hAnsi="Arial" w:cs="Arial"/>
        </w:rPr>
        <w:fldChar w:fldCharType="separate"/>
      </w:r>
      <w:r>
        <w:rPr>
          <w:rFonts w:ascii="Arial" w:hAnsi="Arial" w:cs="Arial"/>
        </w:rPr>
        <w:t>(Olusola et al., 2023)</w:t>
      </w:r>
      <w:r>
        <w:rPr>
          <w:rFonts w:ascii="Arial" w:hAnsi="Arial" w:cs="Arial"/>
        </w:rPr>
        <w:fldChar w:fldCharType="end"/>
      </w:r>
      <w:r>
        <w:rPr>
          <w:rFonts w:ascii="Arial" w:hAnsi="Arial" w:cs="Arial"/>
        </w:rPr>
        <w:t xml:space="preserve">. The aqueous extract of stem bark showed a significant reduction in edema from 90 minutes after induction with egg albumin and from 150 minutes after induction with formalin. There was also a significant reduction in rectal temperature from the second hour of fever induction until the fourth hour of the experiment </w:t>
      </w:r>
      <w:r>
        <w:rPr>
          <w:rFonts w:ascii="Arial" w:hAnsi="Arial" w:cs="Arial"/>
        </w:rPr>
        <w:fldChar w:fldCharType="begin"/>
      </w:r>
      <w:r>
        <w:rPr>
          <w:rFonts w:ascii="Arial" w:hAnsi="Arial" w:cs="Arial"/>
        </w:rPr>
        <w:instrText xml:space="preserve"> ADDIN ZOTERO_ITEM CSL_CITATION {"citationID":"8gXYTfVt","properties":{"formattedCitation":"(Tougoma et al., 2021)","plainCitation":"(Tougoma et al., 2021)","noteIndex":0},"citationItems":[{"id":1247,"uris":["http://zotero.org/users/9368380/items/R7SUWG9W"],"itemData":{"id":1247,"type":"article-journal","container-title":"Issues in Biological Sciences and Pharmaceutical Research","DOI":"10.15739/ibspr.21.008","ISSN":"23501588","issue":"3","journalAbbreviation":"IBSPR","language":"en","source":"DOI.org (Crossref)","title":"Assessment of the antipyretic, and anti-inflammatory effects of Zanthoxylum Zanthoxyloides stem bark aqueous extract on Wistar rats","URL":"https://journalissues.org/ibspr/wp-content/uploads/sites/6/2021/10/Tougoma-et-al.pdf","volume":"9","author":[{"family":"Tougoma","given":"Atèhèzi"},{"family":"Atchrimi","given":"S. Komi"},{"family":"Dénou","given":"Adama"},{"family":"Idah","given":"V. Oto-Obong"},{"family":"Egesie","given":"U. Gideon"},{"family":"Odeh","given":"O. Samuel"}],"accessed":{"date-parts":[["2025",1,2]]},"issued":{"date-parts":[["2021",10,11]]}}}],"schema":"https://github.com/citation-style-language/schema/raw/master/csl-citation.json"} </w:instrText>
      </w:r>
      <w:r>
        <w:rPr>
          <w:rFonts w:ascii="Arial" w:hAnsi="Arial" w:cs="Arial"/>
        </w:rPr>
        <w:fldChar w:fldCharType="separate"/>
      </w:r>
      <w:r>
        <w:rPr>
          <w:rFonts w:ascii="Arial" w:hAnsi="Arial" w:cs="Arial"/>
        </w:rPr>
        <w:t>(Tougoma et al., 2021)</w:t>
      </w:r>
      <w:r>
        <w:rPr>
          <w:rFonts w:ascii="Arial" w:hAnsi="Arial" w:cs="Arial"/>
        </w:rPr>
        <w:fldChar w:fldCharType="end"/>
      </w:r>
      <w:r>
        <w:rPr>
          <w:rFonts w:ascii="Arial" w:hAnsi="Arial" w:cs="Arial"/>
        </w:rPr>
        <w:t xml:space="preserve">. </w:t>
      </w:r>
      <w:proofErr w:type="spellStart"/>
      <w:r>
        <w:rPr>
          <w:rFonts w:ascii="Arial" w:hAnsi="Arial" w:cs="Arial"/>
        </w:rPr>
        <w:t>Ogunrinade</w:t>
      </w:r>
      <w:proofErr w:type="spellEnd"/>
      <w:r>
        <w:rPr>
          <w:rFonts w:ascii="Arial" w:hAnsi="Arial" w:cs="Arial"/>
        </w:rPr>
        <w:t xml:space="preserve"> et </w:t>
      </w:r>
      <w:r>
        <w:rPr>
          <w:rFonts w:ascii="Arial" w:hAnsi="Arial" w:cs="Arial"/>
          <w:i/>
          <w:iCs/>
        </w:rPr>
        <w:t>al.</w:t>
      </w:r>
      <w:r>
        <w:rPr>
          <w:rFonts w:ascii="Arial" w:hAnsi="Arial" w:cs="Arial"/>
        </w:rPr>
        <w:t xml:space="preserve"> in their experiment demonstrated that </w:t>
      </w:r>
      <w:r>
        <w:rPr>
          <w:rFonts w:ascii="Arial" w:hAnsi="Arial" w:cs="Arial"/>
          <w:i/>
          <w:iCs/>
        </w:rPr>
        <w:t>Z.</w:t>
      </w:r>
      <w:r>
        <w:rPr>
          <w:rFonts w:ascii="Arial" w:hAnsi="Arial" w:cs="Arial"/>
        </w:rPr>
        <w:t xml:space="preserve"> </w:t>
      </w:r>
      <w:proofErr w:type="spellStart"/>
      <w:r>
        <w:rPr>
          <w:rFonts w:ascii="Arial" w:hAnsi="Arial" w:cs="Arial"/>
          <w:i/>
          <w:iCs/>
        </w:rPr>
        <w:t>zanthoxyloides</w:t>
      </w:r>
      <w:proofErr w:type="spellEnd"/>
      <w:r>
        <w:rPr>
          <w:rFonts w:ascii="Arial" w:hAnsi="Arial" w:cs="Arial"/>
          <w:i/>
          <w:iCs/>
        </w:rPr>
        <w:t xml:space="preserve"> </w:t>
      </w:r>
      <w:r>
        <w:rPr>
          <w:rFonts w:ascii="Arial" w:hAnsi="Arial" w:cs="Arial"/>
        </w:rPr>
        <w:t>root extract inhibited neuroinflammation in LPS-stimulated BV-2 microglia and synthetic hemozoin. Secretion of pro-inflammatory cytokines (TNF-alpha, IL-6, IL-1beta) was significantly reduced in a dose-dependent manner, while production of anti-inflammatory cytokine (IL-10) was increased compared to LPS-stimulated cells. the plant extract targets the NF-</w:t>
      </w:r>
      <w:proofErr w:type="spellStart"/>
      <w:r>
        <w:rPr>
          <w:rFonts w:ascii="Arial" w:hAnsi="Arial" w:cs="Arial"/>
        </w:rPr>
        <w:t>κB</w:t>
      </w:r>
      <w:proofErr w:type="spellEnd"/>
      <w:r>
        <w:rPr>
          <w:rFonts w:ascii="Arial" w:hAnsi="Arial" w:cs="Arial"/>
        </w:rPr>
        <w:t xml:space="preserve"> activation pathway to produce anti-inflammatory activity against LPS and hemozoin, in addition to blocking NLRP3 inflammasome activation to suppress hemozoin-induced IL-1β production </w:t>
      </w:r>
      <w:r>
        <w:rPr>
          <w:rFonts w:ascii="Arial" w:hAnsi="Arial" w:cs="Arial"/>
        </w:rPr>
        <w:fldChar w:fldCharType="begin"/>
      </w:r>
      <w:r>
        <w:rPr>
          <w:rFonts w:ascii="Arial" w:hAnsi="Arial" w:cs="Arial"/>
        </w:rPr>
        <w:instrText xml:space="preserve"> ADDIN ZOTERO_ITEM CSL_CITATION {"citationID":"75hnOLP3","properties":{"formattedCitation":"(Ogunrinade et al., 2021)","plainCitation":"(Ogunrinade et al., 2021)","noteIndex":0},"citationItems":[{"id":1248,"uris":["http://zotero.org/users/9368380/items/GKYLCPM8"],"itemData":{"id":1248,"type":"article-journal","abstract":"The effects of a root extract of Zanthoxylum zanthoxyloides on neuroinflammation in BV-2 microglia stimulated with LPS and hemozoin were investigated.ELISA, enzyme immunoassay and Griess assay were used to evaluate levels of cytokines, PGE2 and NO in culture supernatants, respectively. Microglia-mediated neurotoxicity was evaluated using a BV-2 microglia-HT-22 neuron transwell co-culture.Treatment with Z. zanthoxyloides caused reduced elevated levels of TNFα, IL-6, IL-1β, NO and PGE2, while increasing the levels of IL-10. In addition, there were reduced levels of iNOS and COX-2 proteins. This was accompanied by a prevention of microglia-mediated damage to HT-22 mouse hippocampal neurons. Z. zanthoxyloides reduced elevated levels of phospho-IκB and phospho-p65, while preventing degradation of IκB protein and DNA binding of p65. Further mechanistic studies revealed that Z. zanthoxyloides reduced the levels of pro-IL-1β and IL-1β in hemozoin-activated BV-2 microglia. This was accompanied by a reduction in caspase-1 activity and NLRP3 protein expression. Bioassay-guided fractionation resulted in the isolation of skimmianine as an anti-inflammatory compound in Z. zanthoxyloides.This is the first report showing the inhibition of neuroinflammation in LPS- and hemozoin-activated BV-2 microglia by the root extract of Z. zanthoxyloides by targeting the activation of both NF-κB and NLRP3 inflammasome.","container-title":"Journal of Pharmacy and Pharmacology","DOI":"10.1093/jpp/rgaa019","ISSN":"0022-3573","issue":"1","journalAbbreviation":"Journal of Pharmacy and Pharmacology","page":"118-134","source":"Silverchair","title":"Zanthoxylum zanthoxyloides inhibits lipopolysaccharide- and synthetic hemozoin-induced neuroinflammation in BV-2 microglia: roles of NF-κB transcription factor and NLRP3 inflammasome activation","title-short":"Zanthoxylum zanthoxyloides inhibits lipopolysaccharide- and synthetic hemozoin-induced neuroinflammation in BV-2 microglia","volume":"73","author":[{"family":"Ogunrinade","given":"Folashade A"},{"family":"Guetchueng","given":"Stephanie T"},{"family":"Katola","given":"Folashade O"},{"family":"Aderogba","given":"Mutalib A"},{"family":"Akande","given":"Idowu S"},{"family":"Sarker","given":"Satyajit D"},{"family":"Olajide","given":"Olumayokun A"}],"issued":{"date-parts":[["2021",1,1]]}}}],"schema":"https://github.com/citation-style-language/schema/raw/master/csl-citation.json"} </w:instrText>
      </w:r>
      <w:r>
        <w:rPr>
          <w:rFonts w:ascii="Arial" w:hAnsi="Arial" w:cs="Arial"/>
        </w:rPr>
        <w:fldChar w:fldCharType="separate"/>
      </w:r>
      <w:r>
        <w:rPr>
          <w:rFonts w:ascii="Arial" w:hAnsi="Arial" w:cs="Arial"/>
        </w:rPr>
        <w:t>(Ogunrinade et al., 2021)</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b/>
          <w:bCs/>
        </w:rPr>
        <w:t>3.4.4 Cytotoxicity</w:t>
      </w:r>
    </w:p>
    <w:p>
      <w:pPr>
        <w:pStyle w:val="Body"/>
        <w:rPr>
          <w:rFonts w:ascii="Arial" w:hAnsi="Arial" w:cs="Arial"/>
        </w:rPr>
      </w:pPr>
      <w:r>
        <w:rPr>
          <w:rFonts w:ascii="Arial" w:hAnsi="Arial" w:cs="Arial"/>
        </w:rPr>
        <w:t xml:space="preserve">In Uganda, five compounds extracted from </w:t>
      </w:r>
      <w:r>
        <w:rPr>
          <w:rFonts w:ascii="Arial" w:hAnsi="Arial" w:cs="Arial"/>
          <w:i/>
          <w:iCs/>
        </w:rPr>
        <w:t xml:space="preserve">Z. </w:t>
      </w:r>
      <w:proofErr w:type="spellStart"/>
      <w:r>
        <w:rPr>
          <w:rFonts w:ascii="Arial" w:hAnsi="Arial" w:cs="Arial"/>
          <w:i/>
          <w:iCs/>
        </w:rPr>
        <w:t>zanthoxyloides</w:t>
      </w:r>
      <w:proofErr w:type="spellEnd"/>
      <w:r>
        <w:rPr>
          <w:rFonts w:ascii="Arial" w:hAnsi="Arial" w:cs="Arial"/>
        </w:rPr>
        <w:t xml:space="preserve"> bark were evaluated for their cytotoxicity. Among them, </w:t>
      </w:r>
      <w:proofErr w:type="spellStart"/>
      <w:r>
        <w:rPr>
          <w:rFonts w:ascii="Arial" w:hAnsi="Arial" w:cs="Arial"/>
        </w:rPr>
        <w:t>dihydrochelerythrine</w:t>
      </w:r>
      <w:proofErr w:type="spellEnd"/>
      <w:r>
        <w:rPr>
          <w:rFonts w:ascii="Arial" w:hAnsi="Arial" w:cs="Arial"/>
        </w:rPr>
        <w:t xml:space="preserve"> demonstrated significant growth inhibition of BT549 breast cancer cells (IC50 of 21,2 </w:t>
      </w:r>
      <w:proofErr w:type="spellStart"/>
      <w:r>
        <w:rPr>
          <w:rFonts w:ascii="Arial" w:hAnsi="Arial" w:cs="Arial"/>
        </w:rPr>
        <w:t>μM</w:t>
      </w:r>
      <w:proofErr w:type="spellEnd"/>
      <w:r>
        <w:rPr>
          <w:rFonts w:ascii="Arial" w:hAnsi="Arial" w:cs="Arial"/>
        </w:rPr>
        <w:t xml:space="preserve">) and hepatocellular carcinoma (HCC) cells (IC50 of 8,9 </w:t>
      </w:r>
      <w:proofErr w:type="spellStart"/>
      <w:r>
        <w:rPr>
          <w:rFonts w:ascii="Arial" w:hAnsi="Arial" w:cs="Arial"/>
        </w:rPr>
        <w:t>μM</w:t>
      </w:r>
      <w:proofErr w:type="spellEnd"/>
      <w:r>
        <w:rPr>
          <w:rFonts w:ascii="Arial" w:hAnsi="Arial" w:cs="Arial"/>
        </w:rPr>
        <w:t xml:space="preserve">), while showing weak cytotoxicity against HeP2 cervical cancer cells (IC50 of 64,0 </w:t>
      </w:r>
      <w:proofErr w:type="spellStart"/>
      <w:r>
        <w:rPr>
          <w:rFonts w:ascii="Arial" w:hAnsi="Arial" w:cs="Arial"/>
        </w:rPr>
        <w:t>μM</w:t>
      </w:r>
      <w:proofErr w:type="spellEnd"/>
      <w:r>
        <w:rPr>
          <w:rFonts w:ascii="Arial" w:hAnsi="Arial" w:cs="Arial"/>
        </w:rPr>
        <w:t xml:space="preserve">). </w:t>
      </w:r>
      <w:proofErr w:type="spellStart"/>
      <w:r>
        <w:rPr>
          <w:rFonts w:ascii="Arial" w:hAnsi="Arial" w:cs="Arial"/>
        </w:rPr>
        <w:t>Sesamin</w:t>
      </w:r>
      <w:proofErr w:type="spellEnd"/>
      <w:r>
        <w:rPr>
          <w:rFonts w:ascii="Arial" w:hAnsi="Arial" w:cs="Arial"/>
        </w:rPr>
        <w:t xml:space="preserve"> showed moderate cytotoxicity against BT549 breast cancer cells (IC50 of 47,6 </w:t>
      </w:r>
      <w:proofErr w:type="spellStart"/>
      <w:r>
        <w:rPr>
          <w:rFonts w:ascii="Arial" w:hAnsi="Arial" w:cs="Arial"/>
        </w:rPr>
        <w:t>μM</w:t>
      </w:r>
      <w:proofErr w:type="spellEnd"/>
      <w:r>
        <w:rPr>
          <w:rFonts w:ascii="Arial" w:hAnsi="Arial" w:cs="Arial"/>
        </w:rPr>
        <w:t xml:space="preserve">). In contrast, hesperidin showed weak inhibitory activity against A549 lung and HeP2 cervical cancer cells (IC50 64,7 and 67,5 </w:t>
      </w:r>
      <w:proofErr w:type="spellStart"/>
      <w:r>
        <w:rPr>
          <w:rFonts w:ascii="Arial" w:hAnsi="Arial" w:cs="Arial"/>
        </w:rPr>
        <w:t>μM</w:t>
      </w:r>
      <w:proofErr w:type="spellEnd"/>
      <w:r>
        <w:rPr>
          <w:rFonts w:ascii="Arial" w:hAnsi="Arial" w:cs="Arial"/>
        </w:rPr>
        <w:t xml:space="preserve"> respectively). However, it revealed notable toxicity against BEAS immortalized lung cells (IC50 of 7,1 </w:t>
      </w:r>
      <w:proofErr w:type="spellStart"/>
      <w:r>
        <w:rPr>
          <w:rFonts w:ascii="Arial" w:hAnsi="Arial" w:cs="Arial"/>
        </w:rPr>
        <w:t>μM</w:t>
      </w:r>
      <w:proofErr w:type="spellEnd"/>
      <w:r>
        <w:rPr>
          <w:rFonts w:ascii="Arial" w:hAnsi="Arial" w:cs="Arial"/>
        </w:rPr>
        <w:t xml:space="preserve">) and LO2 normal liver cells (IC50 of 30,6 </w:t>
      </w:r>
      <w:proofErr w:type="spellStart"/>
      <w:r>
        <w:rPr>
          <w:rFonts w:ascii="Arial" w:hAnsi="Arial" w:cs="Arial"/>
        </w:rPr>
        <w:t>μM</w:t>
      </w:r>
      <w:proofErr w:type="spellEnd"/>
      <w:r>
        <w:rPr>
          <w:rFonts w:ascii="Arial" w:hAnsi="Arial" w:cs="Arial"/>
        </w:rPr>
        <w:t xml:space="preserve">). The compounds </w:t>
      </w:r>
      <w:proofErr w:type="spellStart"/>
      <w:r>
        <w:rPr>
          <w:rFonts w:ascii="Arial" w:hAnsi="Arial" w:cs="Arial"/>
        </w:rPr>
        <w:t>skimmianine</w:t>
      </w:r>
      <w:proofErr w:type="spellEnd"/>
      <w:r>
        <w:rPr>
          <w:rFonts w:ascii="Arial" w:hAnsi="Arial" w:cs="Arial"/>
        </w:rPr>
        <w:t xml:space="preserve"> and tridecan-2-one showed no significant inhibitory activity against the cells tested </w:t>
      </w:r>
      <w:r>
        <w:rPr>
          <w:rFonts w:ascii="Arial" w:hAnsi="Arial" w:cs="Arial"/>
        </w:rPr>
        <w:fldChar w:fldCharType="begin"/>
      </w:r>
      <w:r>
        <w:rPr>
          <w:rFonts w:ascii="Arial" w:hAnsi="Arial" w:cs="Arial"/>
        </w:rPr>
        <w:instrText xml:space="preserve"> ADDIN ZOTERO_ITEM CSL_CITATION {"citationID":"0CW7nISm","properties":{"formattedCitation":"(Andima et al., 2019)","plainCitation":"(Andima et al., 2019)","noteIndex":0},"citationItems":[{"id":1324,"uris":["http://zotero.org/users/9368380/items/M87DUBDY"],"itemData":{"id":1324,"type":"article-journal","abstract":"Background: Plant derived compounds have provided proming leads in search for safer anticancer chemotherapies. Zanthoxylum zanthoxyloides is a common medicinal plant in Uganda whose bioactive composition has not been fully elucidated. The aim of this study was to evaluate the in vitro antiproliferative potential of compounds isolated from Zanthoxylum zanthoxyloides and their probable in silico anticancer mechanisms of action. Methods: Column chromatography was used to isolate compounds from MeOH:CH2Cl2 (1:1) extract of the stem bark extract of Zanthoxylum zanthoxyloides. The structures of the isolated compounds were elucidated by NMR and MS analyses. MTT assay was used to measure cell viability. Using in silico docking, the interaction of the compounds with key target proteins in the p53 pathway was determined. Results: From the root bark of this plant five compounds were isolated, namely; dihydrochelerythrine (1), skimmianine (2), tridecan-2-one (3), sesamin (4) and hesperidin (5). Dihydrochelerythrine (1) inhibited proliferation of liver cancer (HCC) cells (IC50 21.2), breast cancer (BT549) cells, (IC50 21.2 μM). Similarly, sesamin (4) exhibited moderate inhibitory activity against BT549 cancer cells (IC50 47.6 μM). Hesperidin (5) showed low inhibitory activity against A549 and HEp2 (Larynx) cells but was significantly toxic to normal liver and lung cells. In silico docking studies showed that all the compounds strongly bind to cyclin-dependent kinases (CDK2 and CDK6) and weakly bind to caspases 3 and 8 suggesting that they inhibit cancer cells by inducing cell cycle arrest and apoptosis. Conclusion: This study indicates that the compounds isolated from Z. zanthoxyloids hold promise as potential leads against cancer. Due to high toxicity of compound 5 against normal lung and liver cells, it deserves further toxicity investigations to access its safety before in vivo trials.","container-title":"Pharmacognosy Communications","DOI":"10.5530/pc.2020.1.8","ISSN":"22490159, 22490167","issue":"1","journalAbbreviation":"PC","language":"en","page":"44-51","source":"DOI.org (Crossref)","title":"Antiproliferative Activity of Secondary Metabolites from Zanthoxylum zanthoxyloides Lam: In vitro and in silico Studies","title-short":"Antiproliferative Activity of Secondary Metabolites from Zanthoxylum zanthoxyloides Lam","volume":"10","author":[{"family":"Andima","given":"Moses"},{"family":"Coghi","given":"Paolo"},{"family":"Yang","given":"Li Jun"},{"family":"Wai Wong","given":"Vincent Kam"},{"family":"Mutuku Ngule","given":"Chrispus"},{"family":"Heydenreich","given":"Matthias"},{"family":"Ndakala","given":"Albert Jairo"},{"family":"Yenesew","given":"Abiy"},{"family":"Derese","given":"Solomon"}],"issued":{"date-parts":[["2019",12,17]]}}}],"schema":"https://github.com/citation-style-language/schema/raw/master/csl-citation.json"} </w:instrText>
      </w:r>
      <w:r>
        <w:rPr>
          <w:rFonts w:ascii="Arial" w:hAnsi="Arial" w:cs="Arial"/>
        </w:rPr>
        <w:fldChar w:fldCharType="separate"/>
      </w:r>
      <w:r>
        <w:rPr>
          <w:rFonts w:ascii="Arial" w:hAnsi="Arial" w:cs="Arial"/>
        </w:rPr>
        <w:t>(Andima et al., 2019)</w:t>
      </w:r>
      <w:r>
        <w:rPr>
          <w:rFonts w:ascii="Arial" w:hAnsi="Arial" w:cs="Arial"/>
        </w:rPr>
        <w:fldChar w:fldCharType="end"/>
      </w:r>
      <w:r>
        <w:rPr>
          <w:rFonts w:ascii="Arial" w:hAnsi="Arial" w:cs="Arial"/>
        </w:rPr>
        <w:t xml:space="preserve">. The alkaloid extract of </w:t>
      </w:r>
      <w:r>
        <w:rPr>
          <w:rFonts w:ascii="Arial" w:hAnsi="Arial" w:cs="Arial"/>
          <w:i/>
          <w:iCs/>
        </w:rPr>
        <w:t>Z.</w:t>
      </w:r>
      <w:r>
        <w:rPr>
          <w:rFonts w:ascii="Arial" w:hAnsi="Arial" w:cs="Arial"/>
        </w:rPr>
        <w:t xml:space="preserve"> </w:t>
      </w:r>
      <w:proofErr w:type="spellStart"/>
      <w:r>
        <w:rPr>
          <w:rFonts w:ascii="Arial" w:hAnsi="Arial" w:cs="Arial"/>
          <w:i/>
          <w:iCs/>
        </w:rPr>
        <w:t>zanthoxyloides</w:t>
      </w:r>
      <w:proofErr w:type="spellEnd"/>
      <w:r>
        <w:rPr>
          <w:rFonts w:ascii="Arial" w:hAnsi="Arial" w:cs="Arial"/>
        </w:rPr>
        <w:t xml:space="preserve"> stem and root demonstrated concentration-dependent cytotoxicity against HepG2 liver cancer cells, and this effect was comparable to that of capecitabine  </w:t>
      </w:r>
      <w:r>
        <w:rPr>
          <w:rFonts w:ascii="Arial" w:hAnsi="Arial" w:cs="Arial"/>
        </w:rPr>
        <w:fldChar w:fldCharType="begin"/>
      </w:r>
      <w:r>
        <w:rPr>
          <w:rFonts w:ascii="Arial" w:hAnsi="Arial" w:cs="Arial"/>
        </w:rPr>
        <w:instrText xml:space="preserve"> ADDIN ZOTERO_ITEM CSL_CITATION {"citationID":"6ZwtpEij","properties":{"formattedCitation":"(Boye et al., 2024)","plainCitation":"(Boye et al., 2024)","noteIndex":0},"citationItems":[{"id":1325,"uris":["http://zotero.org/users/9368380/items/X7W9VR26"],"itemData":{"id":1325,"type":"article-journal","container-title":"Journal of Taibah University Medical Sciences","DOI":"10.1016/j.jtumed.2024.06.009","ISSN":"1658-3612","issue":"4","journalAbbreviation":"Journal of Taibah University Medical Sciences","page":"753-765","source":"ScienceDirect","title":"&lt;i&gt;L'extrait alcaloïdique de Zanthoxylum zanthoxyloides&lt;/i&gt; (Lam.) B. Zepernick &amp; Timler exerce des effets hépatoprotecteurs chez les rats présentant un phénotype de type carcinome hépatocellulaire induit par CCl 4 /huile d'olive","volume":"19","author":[{"family":"Boye","given":"Alex"},{"family":"Barku","given":"Victor A."},{"family":"Addo","given":"Justice K."},{"family":"Martey","given":"Orleans"},{"family":"Asiamah","given":"Ernest A."},{"family":"Essuman","given":"Mainprice A."},{"family":"Doe","given":"Dennis"}],"issued":{"date-parts":[["2024",8,1]]}}}],"schema":"https://github.com/citation-style-language/schema/raw/master/csl-citation.json"} </w:instrText>
      </w:r>
      <w:r>
        <w:rPr>
          <w:rFonts w:ascii="Arial" w:hAnsi="Arial" w:cs="Arial"/>
        </w:rPr>
        <w:fldChar w:fldCharType="separate"/>
      </w:r>
      <w:r>
        <w:rPr>
          <w:rFonts w:ascii="Arial" w:hAnsi="Arial" w:cs="Arial"/>
        </w:rPr>
        <w:t>(Boye et al., 2024)</w:t>
      </w:r>
      <w:r>
        <w:rPr>
          <w:rFonts w:ascii="Arial" w:hAnsi="Arial" w:cs="Arial"/>
        </w:rPr>
        <w:fldChar w:fldCharType="end"/>
      </w:r>
      <w:r>
        <w:rPr>
          <w:rFonts w:ascii="Arial" w:hAnsi="Arial" w:cs="Arial"/>
        </w:rPr>
        <w:t>.</w:t>
      </w:r>
    </w:p>
    <w:p>
      <w:pPr>
        <w:pStyle w:val="Body"/>
        <w:rPr>
          <w:rFonts w:ascii="Arial" w:hAnsi="Arial" w:cs="Arial"/>
          <w:b/>
          <w:bCs/>
          <w:i/>
        </w:rPr>
      </w:pPr>
      <w:r>
        <w:rPr>
          <w:rFonts w:ascii="Arial" w:hAnsi="Arial" w:cs="Arial"/>
          <w:b/>
          <w:bCs/>
          <w:iCs/>
        </w:rPr>
        <w:t>3.5</w:t>
      </w:r>
      <w:r>
        <w:rPr>
          <w:rFonts w:ascii="Arial" w:hAnsi="Arial" w:cs="Arial"/>
          <w:b/>
          <w:bCs/>
          <w:i/>
        </w:rPr>
        <w:t xml:space="preserve"> Zingiber officinale </w:t>
      </w:r>
    </w:p>
    <w:p>
      <w:pPr>
        <w:pStyle w:val="Body"/>
        <w:rPr>
          <w:rFonts w:ascii="Arial" w:hAnsi="Arial" w:cs="Arial"/>
          <w:b/>
          <w:bCs/>
        </w:rPr>
      </w:pPr>
      <w:r>
        <w:rPr>
          <w:rFonts w:ascii="Arial" w:hAnsi="Arial" w:cs="Arial"/>
          <w:b/>
          <w:bCs/>
        </w:rPr>
        <w:t>3.5.1 Traditional use </w:t>
      </w:r>
    </w:p>
    <w:p>
      <w:pPr>
        <w:pStyle w:val="Body"/>
        <w:rPr>
          <w:rFonts w:ascii="Arial" w:hAnsi="Arial" w:cs="Arial"/>
        </w:rPr>
      </w:pPr>
      <w:proofErr w:type="spellStart"/>
      <w:r>
        <w:rPr>
          <w:rFonts w:ascii="Arial" w:hAnsi="Arial" w:cs="Arial"/>
          <w:i/>
          <w:iCs/>
        </w:rPr>
        <w:t>Zingiber</w:t>
      </w:r>
      <w:proofErr w:type="spellEnd"/>
      <w:r>
        <w:rPr>
          <w:rFonts w:ascii="Arial" w:hAnsi="Arial" w:cs="Arial"/>
          <w:i/>
          <w:iCs/>
        </w:rPr>
        <w:t xml:space="preserve"> </w:t>
      </w:r>
      <w:proofErr w:type="spellStart"/>
      <w:r>
        <w:rPr>
          <w:rFonts w:ascii="Arial" w:hAnsi="Arial" w:cs="Arial"/>
          <w:i/>
          <w:iCs/>
        </w:rPr>
        <w:t>officinale</w:t>
      </w:r>
      <w:proofErr w:type="spellEnd"/>
      <w:r>
        <w:rPr>
          <w:rFonts w:ascii="Arial" w:hAnsi="Arial" w:cs="Arial"/>
        </w:rPr>
        <w:t xml:space="preserve"> </w:t>
      </w:r>
      <w:proofErr w:type="spellStart"/>
      <w:r>
        <w:rPr>
          <w:rFonts w:ascii="Arial" w:hAnsi="Arial" w:cs="Arial"/>
        </w:rPr>
        <w:t>Rosc</w:t>
      </w:r>
      <w:proofErr w:type="spellEnd"/>
      <w:r>
        <w:rPr>
          <w:rFonts w:ascii="Arial" w:hAnsi="Arial" w:cs="Arial"/>
        </w:rPr>
        <w:t xml:space="preserve"> (ZO) (see image 1.E), better known as ginger, belongs to the </w:t>
      </w:r>
      <w:proofErr w:type="spellStart"/>
      <w:r>
        <w:rPr>
          <w:rFonts w:ascii="Arial" w:hAnsi="Arial" w:cs="Arial"/>
        </w:rPr>
        <w:t>Zingiberaceae</w:t>
      </w:r>
      <w:proofErr w:type="spellEnd"/>
      <w:r>
        <w:rPr>
          <w:rFonts w:ascii="Arial" w:hAnsi="Arial" w:cs="Arial"/>
        </w:rPr>
        <w:t xml:space="preserve"> family. It is a highly sought-after tropical medicinal plant with a wide range of culinary and medical uses worldwide. It is renowned for its anti-nausea, anti-emetic, anti-diabetic, anti-inflammatory, antimicrobial and antioxidant properties, due to its long history of medicinal use and its rich bioactive constituents such as gingerols, </w:t>
      </w:r>
      <w:proofErr w:type="spellStart"/>
      <w:r>
        <w:rPr>
          <w:rFonts w:ascii="Arial" w:hAnsi="Arial" w:cs="Arial"/>
        </w:rPr>
        <w:t>paradols</w:t>
      </w:r>
      <w:proofErr w:type="spellEnd"/>
      <w:r>
        <w:rPr>
          <w:rFonts w:ascii="Arial" w:hAnsi="Arial" w:cs="Arial"/>
        </w:rPr>
        <w:t xml:space="preserve">, shogaols and essential oil </w:t>
      </w:r>
      <w:r>
        <w:rPr>
          <w:rFonts w:ascii="Arial" w:hAnsi="Arial" w:cs="Arial"/>
        </w:rPr>
        <w:fldChar w:fldCharType="begin"/>
      </w:r>
      <w:r>
        <w:rPr>
          <w:rFonts w:ascii="Arial" w:hAnsi="Arial" w:cs="Arial"/>
        </w:rPr>
        <w:instrText xml:space="preserve"> ADDIN ZOTERO_ITEM CSL_CITATION {"citationID":"8wz2jvAs","properties":{"formattedCitation":"(Deme et al., 2021)","plainCitation":"(Deme et al., 2021)","noteIndex":0},"citationItems":[{"id":1273,"uris":["http://zotero.org/users/9368380/items/9KFUQBX2"],"itemData":{"id":1273,"type":"article-journal","container-title":"World Journal of Agricultural Research","issue":"3","page":"92–99","source":"Google Scholar","title":"Importance, genetic diversity and prospects for varietal improvement of ginger (Zingiber officinale Roscoe) in Burkina Faso","volume":"9","author":[{"family":"Deme","given":"Korotimi"},{"family":"Konate","given":"Moumouni"},{"family":"Ouedraogo","given":"Hamed Mahamadi"},{"family":"Sanou","given":"Jacob"},{"family":"Sawadogo","given":"Mahamadou"}],"issued":{"date-parts":[["2021"]]}}}],"schema":"https://github.com/citation-style-language/schema/raw/master/csl-citation.json"} </w:instrText>
      </w:r>
      <w:r>
        <w:rPr>
          <w:rFonts w:ascii="Arial" w:hAnsi="Arial" w:cs="Arial"/>
        </w:rPr>
        <w:fldChar w:fldCharType="separate"/>
      </w:r>
      <w:r>
        <w:rPr>
          <w:rFonts w:ascii="Arial" w:hAnsi="Arial" w:cs="Arial"/>
        </w:rPr>
        <w:t>(Deme et al., 2021)</w:t>
      </w:r>
      <w:r>
        <w:rPr>
          <w:rFonts w:ascii="Arial" w:hAnsi="Arial" w:cs="Arial"/>
        </w:rPr>
        <w:fldChar w:fldCharType="end"/>
      </w:r>
      <w:r>
        <w:rPr>
          <w:rFonts w:ascii="Arial" w:hAnsi="Arial" w:cs="Arial"/>
        </w:rPr>
        <w:t xml:space="preserve"> . It has long been used in Chinese, Tibb-Unani and Ayurvedic herbal treatments for rheumatism, catarrh, neurological diseases, gingivitis and dental discomfort, stroke, asthma, diabetes and constipation </w:t>
      </w:r>
      <w:r>
        <w:rPr>
          <w:rFonts w:ascii="Arial" w:hAnsi="Arial" w:cs="Arial"/>
        </w:rPr>
        <w:fldChar w:fldCharType="begin"/>
      </w:r>
      <w:r>
        <w:rPr>
          <w:rFonts w:ascii="Arial" w:hAnsi="Arial" w:cs="Arial"/>
        </w:rPr>
        <w:instrText xml:space="preserve"> ADDIN ZOTERO_ITEM CSL_CITATION {"citationID":"O6Ip75DF","properties":{"formattedCitation":"(Ibeabuchi et al., 2023)","plainCitation":"(Ibeabuchi et al., 2023)","noteIndex":0},"citationItems":[{"id":1268,"uris":["http://zotero.org/users/9368380/items/789VRLRU"],"itemData":{"id":1268,"type":"article-journal","abstract":"The phytochemical composition and antioxidant capabilities of Zingiber officinale (ginger), Ocimum gratissimum (scent leaf), and their combination were investigated using established methods for bioactive screening, 2,2-diphenyl-1-picrylhydrazyl (DPPH) and ferric reducing ability of plasma (FRAP) assays. The outcome of the phytochemical evaluation revealed that the aqueous extracts of Z. officinale, O. gratissimum leaf and their mixture contain a diverse range of phytochemicals including alkaloids, tannins, flavonoids, saponins, phenols and terpenoids. The mixture of ginger and scent leaf exhibited a synergistic effect, showing the presence of these phytochemicals in enhanced quantities. Antinutrients such as phytates and oxalate were present in small concentrations.&amp;nbsp; The outcomes of the antioxidant study demonstrated that aqueous extracts of Z. officinale, O. gratissimum leaf and their mixture possessed significant antioxidant activity. At concentrations of 5, 20 and 50 (µg/ml), scent leaf exhibited the highest DPPH scavenging activity (5.09, 19.62 and 38.64) % inhibition respectively, while at 10 µg/ml, the combined extracts displayed highest DPPH activity compared to the single extracts, but lower than the standard (vitamin C). However, in the FRAP assay, the blend of ginger and scent leaf displayed the highest activity compared to individual extracts. These results are concentration-dependent and statistically significant at p ≤ 0.05. This research thus reveals the plethora of bioactives that can be harnessed from the individual extracts and the herbal mixture of O. gratissimum and Z. officinale. Additionally, these extracts can be used as scaffolds or adjuncts in the production of antioxidant supplements, and management of related diseases.","container-title":"Journal of Public Health and Toxicological Research","ISSN":"3043-4653","issue":"1","language":"en","license":"Copyright (c) 2023 Eugene N. Oyeike, Joyce O. Akaninwor","note":"number: 1","page":"11-18","source":"www.jphtr.com","title":"Qualitative and Quantitative Phytochemical Screening and Antioxidant Capacity of Zingiber officinale, Ocimum gratissimum and their Mixture","volume":"1","author":[{"family":"Ibeabuchi","given":"Chinwe G."},{"family":"Oyeike","given":"Eugene N."},{"family":"Patrick-Iwuanyanwu","given":"Kingsley C."},{"family":"Akaninwor","given":"Joyce O."}],"issued":{"date-parts":[["2023",9,1]]}}}],"schema":"https://github.com/citation-style-language/schema/raw/master/csl-citation.json"} </w:instrText>
      </w:r>
      <w:r>
        <w:rPr>
          <w:rFonts w:ascii="Arial" w:hAnsi="Arial" w:cs="Arial"/>
        </w:rPr>
        <w:fldChar w:fldCharType="separate"/>
      </w:r>
      <w:r>
        <w:rPr>
          <w:rFonts w:ascii="Arial" w:hAnsi="Arial" w:cs="Arial"/>
        </w:rPr>
        <w:t>(Ibeabuchi et al., 2023)</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b/>
          <w:bCs/>
        </w:rPr>
        <w:t>3.5.2 Phytochemistry</w:t>
      </w:r>
    </w:p>
    <w:p>
      <w:pPr>
        <w:pStyle w:val="Body"/>
        <w:rPr>
          <w:rFonts w:ascii="Arial" w:hAnsi="Arial" w:cs="Arial"/>
        </w:rPr>
      </w:pPr>
      <w:r>
        <w:rPr>
          <w:rFonts w:ascii="Arial" w:hAnsi="Arial" w:cs="Arial"/>
        </w:rPr>
        <w:t xml:space="preserve">Ginger contains several therapeutically active secondary metabolites. It is attributed with antioxidant, antimicrobial, cardioprotective, anti-inflammatory, blood glucose-lowering, and anticancer activities. </w:t>
      </w:r>
      <w:r>
        <w:rPr>
          <w:rFonts w:ascii="Arial" w:hAnsi="Arial" w:cs="Arial"/>
        </w:rPr>
        <w:fldChar w:fldCharType="begin"/>
      </w:r>
      <w:r>
        <w:rPr>
          <w:rFonts w:ascii="Arial" w:hAnsi="Arial" w:cs="Arial"/>
        </w:rPr>
        <w:instrText xml:space="preserve"> ADDIN ZOTERO_ITEM CSL_CITATION {"citationID":"T1c8EdVq","properties":{"formattedCitation":"(Taoheed et al., 2017)","plainCitation":"(Taoheed et al., 2017)","noteIndex":0},"citationItems":[{"id":"2iRljus3/1ryQiCo3","uris":["http://zotero.org/users/9368380/items/3A9URRFV"],"itemData":{"id":1279,"type":"article-journal","container-title":"J Sci Res Rep","issue":"4","page":"1–7","source":"Google Scholar","title":"Phytochemical properties, proximate and mineral composition of Curcuma longa Linn. and Zingiber officinale Rosc.: A comparative study","title-short":"Phytochemical properties, proximate and mineral composition of Curcuma longa Linn. and Zingiber officinale Rosc.","volume":"13","author":[{"family":"Taoheed","given":"A. Abdulsalam"},{"family":"Tolulope","given":"A. Adeniran"},{"family":"Saidu","given":"Adamu Bio"},{"family":"Odewumi","given":"O."},{"family":"Sunday","given":"Rita Maneju"},{"family":"Usman","given":"Memunetu"}],"issued":{"date-parts":[["2017"]]}}}],"schema":"https://github.com/citation-style-language/schema/raw/master/csl-citation.json"} </w:instrText>
      </w:r>
      <w:r>
        <w:rPr>
          <w:rFonts w:ascii="Arial" w:hAnsi="Arial" w:cs="Arial"/>
        </w:rPr>
        <w:fldChar w:fldCharType="separate"/>
      </w:r>
      <w:r>
        <w:rPr>
          <w:rFonts w:ascii="Arial" w:hAnsi="Arial" w:cs="Arial"/>
        </w:rPr>
        <w:t>(Taoheed et al., 2017)</w:t>
      </w:r>
      <w:r>
        <w:rPr>
          <w:rFonts w:ascii="Arial" w:hAnsi="Arial" w:cs="Arial"/>
        </w:rPr>
        <w:fldChar w:fldCharType="end"/>
      </w:r>
      <w:r>
        <w:rPr>
          <w:rFonts w:ascii="Arial" w:hAnsi="Arial" w:cs="Arial"/>
        </w:rPr>
        <w:t xml:space="preserve">.  The qualitative analysis of phytochemical compounds revealed the presence of phenols, tannins, alkaloids, saponins, glycosides, </w:t>
      </w:r>
      <w:r>
        <w:rPr>
          <w:rFonts w:ascii="Arial" w:hAnsi="Arial" w:cs="Arial"/>
        </w:rPr>
        <w:lastRenderedPageBreak/>
        <w:t xml:space="preserve">terpenoids, anthraquinones, flavonoids, steroids, and terpenes. </w:t>
      </w:r>
      <w:r>
        <w:rPr>
          <w:rFonts w:ascii="Arial" w:hAnsi="Arial" w:cs="Arial"/>
        </w:rPr>
        <w:fldChar w:fldCharType="begin"/>
      </w:r>
      <w:r>
        <w:rPr>
          <w:rFonts w:ascii="Arial" w:hAnsi="Arial" w:cs="Arial"/>
        </w:rPr>
        <w:instrText xml:space="preserve"> ADDIN ZOTERO_ITEM CSL_CITATION {"citationID":"ww8VYUVM","properties":{"formattedCitation":"(Ibeabuchi et al., 2023; Yusuf et al., 2018)","plainCitation":"(Ibeabuchi et al., 2023; Yusuf et al., 2018)","noteIndex":0},"citationItems":[{"id":1264,"uris":["http://zotero.org/users/9368380/items/LZ2Y3LPH"],"itemData":{"id":1264,"type":"article-journal","abstract":"Zingiber officinale is a rhizome commonly consumed as a delicacy, medicine or spice. It is considered as a safe spice with several medicinal properties. The aim of this study was to evaluate in-vitro antioxidants, antimicrobial and safety of Nigerian Z. Officinale. Methanol extract of Nigerian Z. Officinale (MEZO) was evaluated for phytochemical composition, total flavonoids and phenol contents using standard procedures. Antibacterial study was carried out via the agar well diffusion method. Antioxidant activities were carried out using 2, 2′- diphenyl-1- picrylhydrazyl (DPPH), and ferric reducing antioxidant properties (FRAP) assay. Twenty five (25) wister rats were randomly grouped into five (A-E) of five animals each. Animals in Groups A-D were orally administered 75,150, 300 and 600 mg/kg bwt of the extract on daily basis for 4 weeks while those in Group A (control) received distilled water. Total phenolic and flavonoids contents of the extract were 15.24 ± 0.02 mg GAE/g and 19.84 ± 0.32 mg/g CE respectively. The extract promoted an inhibition of free radicals with IC50 values of 47.05 ± 2.03 μg/mL and 89.15 ± 0.29 μg/mL in DPPH and FRAP assay. At extract concentration of 100 μg/mL, K. pneumoniae showed the highest susceptibility of 29.04 ± 0.35 mm, followed by P. aeuruginisa (26.03 ± 0.41 mm), while S. aureus (15.08 ± 0.20 mm) was least susceptible. The serum concentrations of alanine transaminase (ALT), aspartate transaminase (AST), alkaline phosphatase (ALP), sodium, albumin, total proteins and the computed organs/body weight ratios compared favorably (p &gt; 0.05) with control at all extract doses tested. The bilirubin, urea and creatinine levels significantly (p &lt; 0.05) increase while chloride decreases in rats dosed 600 mg/kg bwt. However, potassium level increases significantly (p &lt; 0.05) in rats dose 300 mg/kg of the extract when compare with the control. This study revealed the strong antioxidant and antimicrobial potentials of methanol extract of Nigerian Zingiber officinale. It was also found to be relatively safe for consumption and thus could serve as a source of candidate for the development of new antioxidants and antimicrobial drugs.","container-title":"Clinical Phytoscience","DOI":"10.1186/s40816-018-0070-2","ISSN":"2199-1197","issue":"1","journalAbbreviation":"Clin Phytosci","language":"en","license":"2018 The Author(s).","note":"number: 1\npublisher: SpringerOpen","page":"1-8","source":"link.springer.com","title":"In-vitro antioxidants, antimicrobial and toxicological evaluation of Nigerian Zingiber officinale","volume":"4","author":[{"family":"Yusuf","given":"Abubakar A."},{"family":"Lawal","given":"Bashir"},{"family":"Abubakar","given":"Asmau N."},{"family":"Berinyuy","given":"Eustace B."},{"family":"Omonije","given":"Yemisi O."},{"family":"Umar","given":"Sheriff I."},{"family":"Shebe","given":"Mohammed N."},{"family":"Alhaji","given":"Yusuf M."}],"issued":{"date-parts":[["2018",12]]}}},{"id":1268,"uris":["http://zotero.org/users/9368380/items/789VRLRU"],"itemData":{"id":1268,"type":"article-journal","abstract":"The phytochemical composition and antioxidant capabilities of Zingiber officinale (ginger), Ocimum gratissimum (scent leaf), and their combination were investigated using established methods for bioactive screening, 2,2-diphenyl-1-picrylhydrazyl (DPPH) and ferric reducing ability of plasma (FRAP) assays. The outcome of the phytochemical evaluation revealed that the aqueous extracts of Z. officinale, O. gratissimum leaf and their mixture contain a diverse range of phytochemicals including alkaloids, tannins, flavonoids, saponins, phenols and terpenoids. The mixture of ginger and scent leaf exhibited a synergistic effect, showing the presence of these phytochemicals in enhanced quantities. Antinutrients such as phytates and oxalate were present in small concentrations.&amp;nbsp; The outcomes of the antioxidant study demonstrated that aqueous extracts of Z. officinale, O. gratissimum leaf and their mixture possessed significant antioxidant activity. At concentrations of 5, 20 and 50 (µg/ml), scent leaf exhibited the highest DPPH scavenging activity (5.09, 19.62 and 38.64) % inhibition respectively, while at 10 µg/ml, the combined extracts displayed highest DPPH activity compared to the single extracts, but lower than the standard (vitamin C). However, in the FRAP assay, the blend of ginger and scent leaf displayed the highest activity compared to individual extracts. These results are concentration-dependent and statistically significant at p ≤ 0.05. This research thus reveals the plethora of bioactives that can be harnessed from the individual extracts and the herbal mixture of O. gratissimum and Z. officinale. Additionally, these extracts can be used as scaffolds or adjuncts in the production of antioxidant supplements, and management of related diseases.","container-title":"Journal of Public Health and Toxicological Research","ISSN":"3043-4653","issue":"1","language":"en","license":"Copyright (c) 2023 Eugene N. Oyeike, Joyce O. Akaninwor","note":"number: 1","page":"11-18","source":"www.jphtr.com","title":"Qualitative and Quantitative Phytochemical Screening and Antioxidant Capacity of Zingiber officinale, Ocimum gratissimum and their Mixture","volume":"1","author":[{"family":"Ibeabuchi","given":"Chinwe G."},{"family":"Oyeike","given":"Eugene N."},{"family":"Patrick-Iwuanyanwu","given":"Kingsley C."},{"family":"Akaninwor","given":"Joyce O."}],"issued":{"date-parts":[["2023",9,1]]}}}],"schema":"https://github.com/citation-style-language/schema/raw/master/csl-citation.json"} </w:instrText>
      </w:r>
      <w:r>
        <w:rPr>
          <w:rFonts w:ascii="Arial" w:hAnsi="Arial" w:cs="Arial"/>
        </w:rPr>
        <w:fldChar w:fldCharType="separate"/>
      </w:r>
      <w:r>
        <w:rPr>
          <w:rFonts w:ascii="Arial" w:hAnsi="Arial" w:cs="Arial"/>
        </w:rPr>
        <w:t>(Ibeabuchi et al., 2023; Yusuf et al., 2018)</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rPr>
        <w:t xml:space="preserve"> </w:t>
      </w:r>
      <w:r>
        <w:rPr>
          <w:rFonts w:ascii="Arial" w:hAnsi="Arial" w:cs="Arial"/>
          <w:b/>
          <w:bCs/>
        </w:rPr>
        <w:t>3.5.3 Antioxidant and Anti-Inflammatory Properties</w:t>
      </w:r>
    </w:p>
    <w:p>
      <w:pPr>
        <w:pStyle w:val="Body"/>
        <w:rPr>
          <w:rFonts w:ascii="Arial" w:hAnsi="Arial" w:cs="Arial"/>
        </w:rPr>
      </w:pPr>
      <w:r>
        <w:rPr>
          <w:rFonts w:ascii="Arial" w:hAnsi="Arial" w:cs="Arial"/>
        </w:rPr>
        <w:t xml:space="preserve">Recent studies have demonstrated that ginger possesses anti-inflammatory properties by inhibiting the production of inflammatory compounds such as cytokines and chemokines. It also acts directly on inflammation by partially reducing the activity of the enzymes cyclooxygenase (COX) and 5-lipoxygenase (LOX), which play a key role in chronic inflammatory processes. In addition, ginger stimulates the activity of reducing antioxidant enzymes, helping to mitigate inflammatory diseases and prevent their complications  </w:t>
      </w:r>
      <w:r>
        <w:rPr>
          <w:rFonts w:ascii="Arial" w:hAnsi="Arial" w:cs="Arial"/>
        </w:rPr>
        <w:fldChar w:fldCharType="begin"/>
      </w:r>
      <w:r>
        <w:rPr>
          <w:rFonts w:ascii="Arial" w:hAnsi="Arial" w:cs="Arial"/>
        </w:rPr>
        <w:instrText xml:space="preserve"> ADDIN ZOTERO_ITEM CSL_CITATION {"citationID":"BbvVGnmm","properties":{"formattedCitation":"(Taoheed et al., 2017)","plainCitation":"(Taoheed et al., 2017)","noteIndex":0},"citationItems":[{"id":"2iRljus3/1ryQiCo3","uris":["http://zotero.org/users/9368380/items/3A9URRFV"],"itemData":{"id":1279,"type":"article-journal","container-title":"J Sci Res Rep","issue":"4","page":"1–7","source":"Google Scholar","title":"Phytochemical properties, proximate and mineral composition of Curcuma longa Linn. and Zingiber officinale Rosc.: A comparative study","title-short":"Phytochemical properties, proximate and mineral composition of Curcuma longa Linn. and Zingiber officinale Rosc.","volume":"13","author":[{"family":"Taoheed","given":"A. Abdulsalam"},{"family":"Tolulope","given":"A. Adeniran"},{"family":"Saidu","given":"Adamu Bio"},{"family":"Odewumi","given":"O."},{"family":"Sunday","given":"Rita Maneju"},{"family":"Usman","given":"Memunetu"}],"issued":{"date-parts":[["2017"]]}}}],"schema":"https://github.com/citation-style-language/schema/raw/master/csl-citation.json"} </w:instrText>
      </w:r>
      <w:r>
        <w:rPr>
          <w:rFonts w:ascii="Arial" w:hAnsi="Arial" w:cs="Arial"/>
        </w:rPr>
        <w:fldChar w:fldCharType="separate"/>
      </w:r>
      <w:r>
        <w:rPr>
          <w:rFonts w:ascii="Arial" w:hAnsi="Arial" w:cs="Arial"/>
        </w:rPr>
        <w:t>(Taoheed et al., 2017)</w:t>
      </w:r>
      <w:r>
        <w:rPr>
          <w:rFonts w:ascii="Arial" w:hAnsi="Arial" w:cs="Arial"/>
        </w:rPr>
        <w:fldChar w:fldCharType="end"/>
      </w:r>
      <w:r>
        <w:rPr>
          <w:rFonts w:ascii="Arial" w:hAnsi="Arial" w:cs="Arial"/>
        </w:rPr>
        <w:t xml:space="preserve">. </w:t>
      </w:r>
      <w:proofErr w:type="spellStart"/>
      <w:r>
        <w:rPr>
          <w:rFonts w:ascii="Arial" w:hAnsi="Arial" w:cs="Arial"/>
        </w:rPr>
        <w:t>Yousfi</w:t>
      </w:r>
      <w:proofErr w:type="spellEnd"/>
      <w:r>
        <w:rPr>
          <w:rFonts w:ascii="Arial" w:hAnsi="Arial" w:cs="Arial"/>
        </w:rPr>
        <w:t xml:space="preserve"> et </w:t>
      </w:r>
      <w:r>
        <w:rPr>
          <w:rFonts w:ascii="Arial" w:hAnsi="Arial" w:cs="Arial"/>
          <w:i/>
          <w:iCs/>
        </w:rPr>
        <w:t>al.</w:t>
      </w:r>
      <w:r>
        <w:rPr>
          <w:rFonts w:ascii="Arial" w:hAnsi="Arial" w:cs="Arial"/>
        </w:rPr>
        <w:t xml:space="preserve"> worked on ethyl acetate, ethanol and water extracts of Z. officinale. Ethanolic extracts were the most active against the DPPH free radical, with CI 50s of 98,62 and 77,23 µg/mL  </w:t>
      </w:r>
      <w:r>
        <w:rPr>
          <w:rFonts w:ascii="Arial" w:hAnsi="Arial" w:cs="Arial"/>
        </w:rPr>
        <w:fldChar w:fldCharType="begin"/>
      </w:r>
      <w:r>
        <w:rPr>
          <w:rFonts w:ascii="Arial" w:hAnsi="Arial" w:cs="Arial"/>
        </w:rPr>
        <w:instrText xml:space="preserve"> ADDIN ZOTERO_ITEM CSL_CITATION {"citationID":"bHKb2RVp","properties":{"formattedCitation":"(Yousfi et al., 2021)","plainCitation":"(Yousfi et al., 2021)","noteIndex":0},"citationItems":[{"id":1266,"uris":["http://zotero.org/users/9368380/items/MYWMVRMP"],"itemData":{"id":1266,"type":"article-journal","abstract":"Zingiber officinale roscoe rhizome has been very popular worldwide as a spice, but an auxiliary medicine in treatment of various disorders. In this study, we controlled the effect of the heating extraction in the case of ethyl acetate, ethanol and aqueous extracts on the antioxidant and antibacterial properties. Compounds of ethyl acetate extract were identified by gas chromatography-mass spectrometry (GC-MS). Results showed that zingiberene was present as the major compound (23.71%; 31.70%) followed by β-sesquiphellandrene (15.08%; 16.64%) and curcumene (16.47%; 14.42%) in the ethyl acetate extracts at 20°C and 40°C, respectively. The mineral composition of ginger rhizomes was carried out by the inductively coupled plasma–atomic emission spectroscopy (ICP–AES) analysis. Moreover, ethanol extracts presented the highest polyphenol content (297.63 and 322.11 µg EAG/mg Ex) at 20°C (EET1) and 40°C (EET2), respectively. The two ethanolic extracts were the most active against the DPPH free radicals with IC50 of 98.62 and 77.23 µg/mL, respectively. The two ethyl acetate extracts EAC1 and EAC2 revealed the best antibacterial efficiency compared to the other extracts against all bacterial strains with MIC values ranging from 0.03 to 0.12 mg/mL and MBC values ranging from 0.06 to 0.24 mg/mL. Results showed a good agreement between the antioxidant power of extracts and their content of phenolic compounds.","container-title":"South African Journal of Botany","DOI":"10.1016/j.sajb.2021.07.010","ISSN":"0254-6299","journalAbbreviation":"South African Journal of Botany","page":"433-440","source":"ScienceDirect","title":"Criblage phytochimique et évaluation du potentiel antioxydant et antibactérien des extraits de &lt;i&gt;Zingiber officinale&lt;/i&gt;","volume":"142","author":[{"family":"Yousfi","given":"F."},{"family":"Abrigach","given":"F."},{"family":"Petrovic","given":"J. D."},{"family":"Sokovic","given":"M."},{"family":"Ramdani","given":"M."}],"issued":{"date-parts":[["2021",11,1]]}}}],"schema":"https://github.com/citation-style-language/schema/raw/master/csl-citation.json"} </w:instrText>
      </w:r>
      <w:r>
        <w:rPr>
          <w:rFonts w:ascii="Arial" w:hAnsi="Arial" w:cs="Arial"/>
        </w:rPr>
        <w:fldChar w:fldCharType="separate"/>
      </w:r>
      <w:r>
        <w:rPr>
          <w:rFonts w:ascii="Arial" w:hAnsi="Arial" w:cs="Arial"/>
        </w:rPr>
        <w:t>(Yousfi et al., 2021)</w:t>
      </w:r>
      <w:r>
        <w:rPr>
          <w:rFonts w:ascii="Arial" w:hAnsi="Arial" w:cs="Arial"/>
        </w:rPr>
        <w:fldChar w:fldCharType="end"/>
      </w:r>
      <w:r>
        <w:rPr>
          <w:rFonts w:ascii="Arial" w:hAnsi="Arial" w:cs="Arial"/>
        </w:rPr>
        <w:t xml:space="preserve">. Aqueous extract of </w:t>
      </w:r>
      <w:r>
        <w:rPr>
          <w:rFonts w:ascii="Arial" w:hAnsi="Arial" w:cs="Arial"/>
          <w:i/>
          <w:iCs/>
        </w:rPr>
        <w:t>Z. officinale</w:t>
      </w:r>
      <w:r>
        <w:rPr>
          <w:rFonts w:ascii="Arial" w:hAnsi="Arial" w:cs="Arial"/>
        </w:rPr>
        <w:t xml:space="preserve"> showed dose-dependent antioxidant capacity by DPPH and FRAP methods </w:t>
      </w:r>
      <w:r>
        <w:rPr>
          <w:rFonts w:ascii="Arial" w:hAnsi="Arial" w:cs="Arial"/>
        </w:rPr>
        <w:fldChar w:fldCharType="begin"/>
      </w:r>
      <w:r>
        <w:rPr>
          <w:rFonts w:ascii="Arial" w:hAnsi="Arial" w:cs="Arial"/>
        </w:rPr>
        <w:instrText xml:space="preserve"> ADDIN ZOTERO_ITEM CSL_CITATION {"citationID":"VFWfyVvj","properties":{"formattedCitation":"(Ibeabuchi et al., 2023)","plainCitation":"(Ibeabuchi et al., 2023)","noteIndex":0},"citationItems":[{"id":1268,"uris":["http://zotero.org/users/9368380/items/789VRLRU"],"itemData":{"id":1268,"type":"article-journal","abstract":"The phytochemical composition and antioxidant capabilities of Zingiber officinale (ginger), Ocimum gratissimum (scent leaf), and their combination were investigated using established methods for bioactive screening, 2,2-diphenyl-1-picrylhydrazyl (DPPH) and ferric reducing ability of plasma (FRAP) assays. The outcome of the phytochemical evaluation revealed that the aqueous extracts of Z. officinale, O. gratissimum leaf and their mixture contain a diverse range of phytochemicals including alkaloids, tannins, flavonoids, saponins, phenols and terpenoids. The mixture of ginger and scent leaf exhibited a synergistic effect, showing the presence of these phytochemicals in enhanced quantities. Antinutrients such as phytates and oxalate were present in small concentrations.&amp;nbsp; The outcomes of the antioxidant study demonstrated that aqueous extracts of Z. officinale, O. gratissimum leaf and their mixture possessed significant antioxidant activity. At concentrations of 5, 20 and 50 (µg/ml), scent leaf exhibited the highest DPPH scavenging activity (5.09, 19.62 and 38.64) % inhibition respectively, while at 10 µg/ml, the combined extracts displayed highest DPPH activity compared to the single extracts, but lower than the standard (vitamin C). However, in the FRAP assay, the blend of ginger and scent leaf displayed the highest activity compared to individual extracts. These results are concentration-dependent and statistically significant at p ≤ 0.05. This research thus reveals the plethora of bioactives that can be harnessed from the individual extracts and the herbal mixture of O. gratissimum and Z. officinale. Additionally, these extracts can be used as scaffolds or adjuncts in the production of antioxidant supplements, and management of related diseases.","container-title":"Journal of Public Health and Toxicological Research","ISSN":"3043-4653","issue":"1","language":"en","license":"Copyright (c) 2023 Eugene N. Oyeike, Joyce O. Akaninwor","note":"number: 1","page":"11-18","source":"www.jphtr.com","title":"Qualitative and Quantitative Phytochemical Screening and Antioxidant Capacity of Zingiber officinale, Ocimum gratissimum and their Mixture","volume":"1","author":[{"family":"Ibeabuchi","given":"Chinwe G."},{"family":"Oyeike","given":"Eugene N."},{"family":"Patrick-Iwuanyanwu","given":"Kingsley C."},{"family":"Akaninwor","given":"Joyce O."}],"issued":{"date-parts":[["2023",9,1]]}}}],"schema":"https://github.com/citation-style-language/schema/raw/master/csl-citation.json"} </w:instrText>
      </w:r>
      <w:r>
        <w:rPr>
          <w:rFonts w:ascii="Arial" w:hAnsi="Arial" w:cs="Arial"/>
        </w:rPr>
        <w:fldChar w:fldCharType="separate"/>
      </w:r>
      <w:r>
        <w:rPr>
          <w:rFonts w:ascii="Arial" w:hAnsi="Arial" w:cs="Arial"/>
        </w:rPr>
        <w:t>(Ibeabuchi et al., 2023)</w:t>
      </w:r>
      <w:r>
        <w:rPr>
          <w:rFonts w:ascii="Arial" w:hAnsi="Arial" w:cs="Arial"/>
        </w:rPr>
        <w:fldChar w:fldCharType="end"/>
      </w:r>
      <w:r>
        <w:rPr>
          <w:rFonts w:ascii="Arial" w:hAnsi="Arial" w:cs="Arial"/>
        </w:rPr>
        <w:t xml:space="preserve">. Studies report Zingiber's analgesic and anti-inflammatory properties </w:t>
      </w:r>
      <w:r>
        <w:rPr>
          <w:rFonts w:ascii="Arial" w:hAnsi="Arial" w:cs="Arial"/>
        </w:rPr>
        <w:fldChar w:fldCharType="begin"/>
      </w:r>
      <w:r>
        <w:rPr>
          <w:rFonts w:ascii="Arial" w:hAnsi="Arial" w:cs="Arial"/>
        </w:rPr>
        <w:instrText xml:space="preserve"> ADDIN ZOTERO_ITEM CSL_CITATION {"citationID":"bCbAW2Bm","properties":{"formattedCitation":"(Mbaveng &amp; Kuete, 2017)","plainCitation":"(Mbaveng &amp; Kuete, 2017)","noteIndex":0},"citationItems":[{"id":1260,"uris":["http://zotero.org/users/9368380/items/65MXWT4F"],"itemData":{"id":1260,"type":"chapter","container-title":"Medicinal Spices and Vegetables from Africa","ISBN":"978-0-12-809286-6","language":"en","license":"https://www.elsevier.com/tdm/userlicense/1.0/","note":"DOI: 10.1016/B978-0-12-809286-6.00030-3","page":"627-639","publisher":"Elsevier","source":"DOI.org (Crossref)","title":"Zingiber officinale","URL":"https://linkinghub.elsevier.com/retrieve/pii/B9780128092866000303","author":[{"family":"Mbaveng","given":"A.T."},{"family":"Kuete","given":"V."}],"accessed":{"date-parts":[["2025",1,5]]},"issued":{"date-parts":[["2017"]]}}}],"schema":"https://github.com/citation-style-language/schema/raw/master/csl-citation.json"} </w:instrText>
      </w:r>
      <w:r>
        <w:rPr>
          <w:rFonts w:ascii="Arial" w:hAnsi="Arial" w:cs="Arial"/>
        </w:rPr>
        <w:fldChar w:fldCharType="separate"/>
      </w:r>
      <w:r>
        <w:rPr>
          <w:rFonts w:ascii="Arial" w:hAnsi="Arial" w:cs="Arial"/>
        </w:rPr>
        <w:t>(Mbaveng &amp; Kuete, 2017)</w:t>
      </w:r>
      <w:r>
        <w:rPr>
          <w:rFonts w:ascii="Arial" w:hAnsi="Arial" w:cs="Arial"/>
        </w:rPr>
        <w:fldChar w:fldCharType="end"/>
      </w:r>
      <w:r>
        <w:rPr>
          <w:rFonts w:ascii="Arial" w:hAnsi="Arial" w:cs="Arial"/>
        </w:rPr>
        <w:t xml:space="preserve">. Ethanolic extract of Zingiber reduces oedema in the legs of rats with Freund's Complete Adjuvant (CFA)-induced arthritis and produces a significant decrease in proinflammatory cytokine levels (TNF-α, IL-1β and IL-6) </w:t>
      </w:r>
      <w:r>
        <w:rPr>
          <w:rFonts w:ascii="Arial" w:hAnsi="Arial" w:cs="Arial"/>
        </w:rPr>
        <w:fldChar w:fldCharType="begin"/>
      </w:r>
      <w:r>
        <w:rPr>
          <w:rFonts w:ascii="Arial" w:hAnsi="Arial" w:cs="Arial"/>
        </w:rPr>
        <w:instrText xml:space="preserve"> ADDIN ZOTERO_ITEM CSL_CITATION {"citationID":"IuNv7KPD","properties":{"formattedCitation":"(Alolga, 2017; Edo et al., 2024; Z. Shaban et al., 2019)","plainCitation":"(Alolga, 2017; Edo et al., 2024; Z. Shaban et al., 2019)","noteIndex":0},"citationItems":[{"id":1259,"uris":["http://zotero.org/users/9368380/items/UBE94A2N"],"itemData":{"id":1259,"type":"article-journal","abstract":"Ginger (Zingiber officinale) is an herb utilized all over the world for its extensive phytochemical properties. This study aims to evaluate the anti-inflammatory effects of Zingiber officinale. Arthritis was induced in the rats used in the experiment using Complete Freund’s adjuvant (CFA). Gas chromatography-Mass spectroscopy (GC-MS) was used to screen for bioactive components present in ginger. For ten days, Zingiber officinale ethanolic extract (62.5, 125, and 250 mg/kg/day) was administered orally to the rats. Edema in the paws was measured before and 10 days after Zingiber officinale treatment in order to identify pathological alterations. Additionally, cytokine levels (TNF-α, IL-1β, and IL-6) were assessed in plasma. When compared to the control group, the CFA-arthritis induced group had edema in their paws and knee joints considerably reduced upon treated with Zingiber officinale at days 6, 8, and 10. Rats in the groups given Zingiber officinale also showed a significant decrease in cytokine levels and also recovered from the pathological alterations brought on by CFA. Twenty bioactive metabolites were found when the extracts of the ethanol, hexane, and chloroform was analyzed using GC-MS. There were no carbohydrates or steroids in the chloroform and n-hexane extract. Protein and cardiac glycoside were also missing. In summary, our findings demonstrated that Zingiber officinale treatment was successful in preventing CFA-induced arthritis through its cytokine level regulation anti-inflammatory property.","container-title":"Advances in Traditional Medicine","DOI":"10.1007/s13596-024-00779-6","ISSN":"2662-4060","journalAbbreviation":"ADV TRADIT MED (ADTM)","language":"en","source":"Springer Link","title":"Evaluation of the anti-inflammatory potential of zingiber officinale on adjuvant-induced arthritis","URL":"https://doi.org/10.1007/s13596-024-00779-6","author":[{"family":"Edo","given":"Great Iruoghene"},{"family":"Onoharigho","given":"Favour Ogheneoruese"},{"family":"Kasar","given":"Khawla A."},{"family":"Ainyanbhor","given":"Irene Ebosereme"},{"family":"Jikah","given":"Agatha Ngukuran"}],"accessed":{"date-parts":[["2025",1,5]]},"issued":{"date-parts":[["2024",8,1]]}}},{"id":1276,"uris":["http://zotero.org/users/9368380/items/EBAZVGKK"],"itemData":{"id":1276,"type":"article-journal","DOI":"10.5897/AJPP2017.4871","ISSN":"1996-0816","language":"en","source":"Zotero","title":"A comparative anti-inflammatory evaluation of fresh ginger extracts from China and Ghana identifies L-valine as a diagnostic biomarker","author":[{"family":"Alolga","given":"Raphael N"}],"issued":{"date-parts":[["2017"]]}}},{"id":1280,"uris":["http://zotero.org/users/9368380/items/4MGZ8PLP"],"itemData":{"id":1280,"type":"article-journal","abstract":"Background: Ginger, the rhizome of Zingiber officinale, a commom constituent of diet worldwide, has some pharmacological activities. Objectives: The present study was undertaken to investigate the antiinflammatory effect of ginger extract against carrageenan-induced inflammation in the rat paw. Methods: One kilogram of air-dried rhizomes of zingiber officinale was extracted with 6L ethyl alcohol (96%). Thirty-six male Wister rats were divided into 6 groups (6 per each); the control group (C-Group): rats were injected intraperitoneally by DMSO (0.1 ml/kg). Ca-Group: rats were injected intraperitoneally with DMSO followed by subcutaneous injection with carrageenan solution [0.1 ml (1% w/v)]. Ce + Ca Group: rats were injected intraperitoneally with single dose of CeleCOXib (25 mg/kg) as NSAID. After that, it were injected subcutaneously by carrageenan solution [0.1 ml (1% w/v)]. G300+Ca Group: rats were injected intraperitoneally by ethanolic ginger extract (300 mg/kg) followed by a subcutaneous injection with carrageenan solution. G600+Ca Group: rats were injected intraperitoneally with ethanolic ginger extract (600 mg/kg) followed by a subcutaneous injection with carrageenan solution. G900+Ca Group: rats were injected intraperitoneally with ethanolic ginger extract (900 mg/kg) followed by a subcutaneous injection with carrageenan solution. Results: Carrageenan treatment induced significant increases in the activities of COX</w:instrText>
      </w:r>
      <w:r>
        <w:rPr>
          <w:rFonts w:ascii="Cambria Math" w:hAnsi="Cambria Math" w:cs="Cambria Math"/>
        </w:rPr>
        <w:instrText>‐</w:instrText>
      </w:r>
      <w:r>
        <w:rPr>
          <w:rFonts w:ascii="Arial" w:hAnsi="Arial" w:cs="Arial"/>
        </w:rPr>
        <w:instrText>2 and LOX as well as the MDA level while caused significant decline in GSH level compared to the control group. The rats injected with ginger extract followed by carrageenan showed significant decline in the activities of COX</w:instrText>
      </w:r>
      <w:r>
        <w:rPr>
          <w:rFonts w:ascii="Cambria Math" w:hAnsi="Cambria Math" w:cs="Cambria Math"/>
        </w:rPr>
        <w:instrText>‐</w:instrText>
      </w:r>
      <w:r>
        <w:rPr>
          <w:rFonts w:ascii="Arial" w:hAnsi="Arial" w:cs="Arial"/>
        </w:rPr>
        <w:instrText xml:space="preserve">2 and LOX as well as the MDA level compared to the carrageenan-treated group. Our results indicated that the ginger at the higher doses were more effective. Our results concluded that the ginger extract causes inhibition of the edema in paw especially at the higher doses compared to the reference drug.","container-title":"Biochemistry Letters","DOI":"10.21608/blj.2019.47572","source":"journals.ekb.eg","title":"The anti-inflammatory effect of ethanolic ginger extract against carrageenan-induced rat paw edema","URL":"https://journals.ekb.eg/article_47572.html","author":[{"family":"Z. Shaban","given":"Nadia"},{"family":"M. Sadek","given":"Omayma"},{"family":"A. Andraws","given":"Emad"}],"accessed":{"date-parts":[["2025",1,13]]},"issued":{"date-parts":[["2019",12,1]]}}}],"schema":"https://github.com/citation-style-language/schema/raw/master/csl-citation.json"} </w:instrText>
      </w:r>
      <w:r>
        <w:rPr>
          <w:rFonts w:ascii="Arial" w:hAnsi="Arial" w:cs="Arial"/>
        </w:rPr>
        <w:fldChar w:fldCharType="separate"/>
      </w:r>
      <w:r>
        <w:rPr>
          <w:rFonts w:ascii="Arial" w:hAnsi="Arial" w:cs="Arial"/>
        </w:rPr>
        <w:t>(Alolga, 2017; Edo et al., 2024; Z. Shaban et al., 2019)</w:t>
      </w:r>
      <w:r>
        <w:rPr>
          <w:rFonts w:ascii="Arial" w:hAnsi="Arial" w:cs="Arial"/>
        </w:rPr>
        <w:fldChar w:fldCharType="end"/>
      </w:r>
      <w:r>
        <w:rPr>
          <w:rFonts w:ascii="Arial" w:hAnsi="Arial" w:cs="Arial"/>
        </w:rPr>
        <w:t xml:space="preserve">. In Sudan, petroleum ether and chloroform; methanol (1:1) extracts of </w:t>
      </w:r>
      <w:r>
        <w:rPr>
          <w:rFonts w:ascii="Arial" w:hAnsi="Arial" w:cs="Arial"/>
          <w:i/>
          <w:iCs/>
        </w:rPr>
        <w:t xml:space="preserve">Z. </w:t>
      </w:r>
      <w:proofErr w:type="spellStart"/>
      <w:r>
        <w:rPr>
          <w:rFonts w:ascii="Arial" w:hAnsi="Arial" w:cs="Arial"/>
          <w:i/>
          <w:iCs/>
        </w:rPr>
        <w:t>officinale</w:t>
      </w:r>
      <w:proofErr w:type="spellEnd"/>
      <w:r>
        <w:rPr>
          <w:rFonts w:ascii="Arial" w:hAnsi="Arial" w:cs="Arial"/>
        </w:rPr>
        <w:t xml:space="preserve"> rhizome and </w:t>
      </w:r>
      <w:proofErr w:type="spellStart"/>
      <w:r>
        <w:rPr>
          <w:rFonts w:ascii="Arial" w:hAnsi="Arial" w:cs="Arial"/>
        </w:rPr>
        <w:t>calus</w:t>
      </w:r>
      <w:proofErr w:type="spellEnd"/>
      <w:r>
        <w:rPr>
          <w:rFonts w:ascii="Arial" w:hAnsi="Arial" w:cs="Arial"/>
        </w:rPr>
        <w:t xml:space="preserve"> were shown to significantly (P &lt; 0.05) and dose-dependently suppress LPS-induced TNF-α, IL-1 and IL-6 production. However, </w:t>
      </w:r>
      <w:proofErr w:type="spellStart"/>
      <w:r>
        <w:rPr>
          <w:rFonts w:ascii="Arial" w:hAnsi="Arial" w:cs="Arial"/>
        </w:rPr>
        <w:t>calus</w:t>
      </w:r>
      <w:proofErr w:type="spellEnd"/>
      <w:r>
        <w:rPr>
          <w:rFonts w:ascii="Arial" w:hAnsi="Arial" w:cs="Arial"/>
        </w:rPr>
        <w:t xml:space="preserve"> extracts showed a significantly (P &lt; 0.05) greater capacity than rhizome extracts </w:t>
      </w:r>
      <w:r>
        <w:rPr>
          <w:rFonts w:ascii="Arial" w:hAnsi="Arial" w:cs="Arial"/>
        </w:rPr>
        <w:fldChar w:fldCharType="begin"/>
      </w:r>
      <w:r>
        <w:rPr>
          <w:rFonts w:ascii="Arial" w:hAnsi="Arial" w:cs="Arial"/>
        </w:rPr>
        <w:instrText xml:space="preserve"> ADDIN ZOTERO_ITEM CSL_CITATION {"citationID":"LPpc7JUQ","properties":{"formattedCitation":"(Ali et al., 2019)","plainCitation":"(Ali et al., 2019)","noteIndex":0},"citationItems":[{"id":1262,"uris":["http://zotero.org/users/9368380/items/TL5M2VHD"],"itemData":{"id":1262,"type":"article-journal","abstract":"This study evaluated the effect of ginger rhizome and its callus as well as callus elicited by yeast extract, glycine and salicylic acid on the production of pro-inflammatory (TNF-&amp;alpha;, IL-1 and IL-6) and anti-inflammatory (IL-10 and TGF-&amp;beta;) cytokines in vitro. Petroleum ether (PE) and chloroform; methanol (1:1) (CM) extracts of rhizome and callus were shown to significantly (P &amp;lt; 0.05) suppress in a dose-dependent manner the LPS-induced production of TNF-&amp;alpha;, IL-1 and IL-6. Both callus extracts showed significantly (P &amp;lt; 0.05) higher ability than the rhizome extracts. CM extract of ginger callus treated with elicitors showed significant (p &amp;lt; 0.05) capacity to inhibit IL-1, IL-6 and TNF-&amp;alpha; secretion at highest concentration used (100 &amp;mu;g/mL) when compared to control (untreated callus). Elicitors improved significantly (P &amp;lt; 0.05) the callus capacity to produce the IL-10 and TGF-&amp;beta; anti-inflammatory cytokines. HPLC analysis showed that 6-gingerol and 6-shogaol were found in both extracts of rhizome, but were not detected in the callus extracts. Furthermore, gallic acid was found only in CM extracts of rhizome (34.05 &amp;plusmn; 0.39 &amp;mu;g/mg) and callus (17.88 &amp;plusmn; 0.01 &amp;mu;g/mg). Yeast extract, salicylic acid and glycine elicitors enhanced significantly (p &amp;lt; 0.05) the production of gallic acid in callus CM extract where the highest content was obtained from callus elicited with 100 mg/L of yeast extract followed by callus elicited with 50 mg/L of salicylic acid and 200 mg/L of glycine, respectively. Therefore, ginger callus could be included in nutraceutical formulations where it could provide valuable protection against inflammatory diseases.\n\n\tKey words: Anti-inflammatory, ginger, callus, elicitors.\n\n\t&amp;nbsp;","container-title":"Journal of Medicinal Plants Research","DOI":"10.5897/JMPR2019.6758","ISSN":"1996-0875","issue":"10","journalAbbreviation":"JMPR","language":"en","note":"publisher: Academic Journals","page":"227-235","source":"academicjournals.org","title":"In vitro anti-inflammatory activity of ginger (Zingiber officinale Rosc.) rhizome, callus and callus treated with some elicitors","volume":"13","author":[{"family":"Ali","given":"Ammar Mohammed Ahmed"},{"family":"El-Nour","given":"Mawahib ElAmin Mohamed"},{"family":"Mohammad","given":"Owais"},{"family":"Yagi","given":"Sakina Mohamed"}],"issued":{"date-parts":[["2019",5,25]]}}}],"schema":"https://github.com/citation-style-language/schema/raw/master/csl-citation.json"} </w:instrText>
      </w:r>
      <w:r>
        <w:rPr>
          <w:rFonts w:ascii="Arial" w:hAnsi="Arial" w:cs="Arial"/>
        </w:rPr>
        <w:fldChar w:fldCharType="separate"/>
      </w:r>
      <w:r>
        <w:rPr>
          <w:rFonts w:ascii="Arial" w:hAnsi="Arial" w:cs="Arial"/>
        </w:rPr>
        <w:t>(Ali et al., 2019)</w:t>
      </w:r>
      <w:r>
        <w:rPr>
          <w:rFonts w:ascii="Arial" w:hAnsi="Arial" w:cs="Arial"/>
        </w:rPr>
        <w:fldChar w:fldCharType="end"/>
      </w:r>
      <w:r>
        <w:rPr>
          <w:rFonts w:ascii="Arial" w:hAnsi="Arial" w:cs="Arial"/>
        </w:rPr>
        <w:t>.</w:t>
      </w:r>
    </w:p>
    <w:p>
      <w:pPr>
        <w:pStyle w:val="Body"/>
        <w:rPr>
          <w:rFonts w:ascii="Arial" w:hAnsi="Arial" w:cs="Arial"/>
          <w:b/>
          <w:bCs/>
        </w:rPr>
      </w:pPr>
      <w:r>
        <w:rPr>
          <w:rFonts w:ascii="Arial" w:hAnsi="Arial" w:cs="Arial"/>
          <w:b/>
          <w:bCs/>
        </w:rPr>
        <w:t>3.5.4 Cytotoxicity</w:t>
      </w:r>
    </w:p>
    <w:p>
      <w:pPr>
        <w:pStyle w:val="Body"/>
        <w:rPr>
          <w:rFonts w:ascii="Arial" w:hAnsi="Arial" w:cs="Arial"/>
        </w:rPr>
      </w:pPr>
      <w:r>
        <w:rPr>
          <w:rFonts w:ascii="Arial" w:hAnsi="Arial" w:cs="Arial"/>
        </w:rPr>
        <w:t>Chloroform: methanol (1:1, v/v) (CM) and petroleum ether (PE) rhizome extracts demonstrated marked cytotoxicity against a range of tested cancer cell lines. The CM extract was particularly effective against HT29 cells, exhibiting the highest activity (IC</w:t>
      </w:r>
      <w:r>
        <w:rPr>
          <w:rFonts w:ascii="Cambria Math" w:hAnsi="Cambria Math" w:cs="Cambria Math"/>
        </w:rPr>
        <w:t>₅₀</w:t>
      </w:r>
      <w:r>
        <w:rPr>
          <w:rFonts w:ascii="Arial" w:hAnsi="Arial" w:cs="Arial"/>
        </w:rPr>
        <w:t xml:space="preserve"> = 20,4 ± 3,0 µg/mL; </w:t>
      </w:r>
      <w:r>
        <w:rPr>
          <w:rFonts w:ascii="Arial" w:hAnsi="Arial" w:cs="Arial"/>
          <w:i/>
          <w:iCs/>
        </w:rPr>
        <w:t>p</w:t>
      </w:r>
      <w:r>
        <w:rPr>
          <w:rFonts w:ascii="Arial" w:hAnsi="Arial" w:cs="Arial"/>
        </w:rPr>
        <w:t xml:space="preserve"> &lt; 0,05). In contrast, the PE extract showed significantly greater toxicity (</w:t>
      </w:r>
      <w:r>
        <w:rPr>
          <w:rFonts w:ascii="Arial" w:hAnsi="Arial" w:cs="Arial"/>
          <w:i/>
          <w:iCs/>
        </w:rPr>
        <w:t>p</w:t>
      </w:r>
      <w:r>
        <w:rPr>
          <w:rFonts w:ascii="Arial" w:hAnsi="Arial" w:cs="Arial"/>
        </w:rPr>
        <w:t xml:space="preserve"> &lt; 0,05) against MCF-7 cells (IC</w:t>
      </w:r>
      <w:r>
        <w:rPr>
          <w:rFonts w:ascii="Cambria Math" w:hAnsi="Cambria Math" w:cs="Cambria Math"/>
        </w:rPr>
        <w:t>₅₀</w:t>
      </w:r>
      <w:r>
        <w:rPr>
          <w:rFonts w:ascii="Arial" w:hAnsi="Arial" w:cs="Arial"/>
        </w:rPr>
        <w:t xml:space="preserve"> = 40,7 ± 2,9 µg/mL) compared to the CM extract (IC</w:t>
      </w:r>
      <w:r>
        <w:rPr>
          <w:rFonts w:ascii="Cambria Math" w:hAnsi="Cambria Math" w:cs="Cambria Math"/>
        </w:rPr>
        <w:t>₅₀</w:t>
      </w:r>
      <w:r>
        <w:rPr>
          <w:rFonts w:ascii="Arial" w:hAnsi="Arial" w:cs="Arial"/>
        </w:rPr>
        <w:t xml:space="preserve"> = 50,7 ± 7,0 µg/mL) </w:t>
      </w:r>
      <w:r>
        <w:rPr>
          <w:rFonts w:ascii="Arial" w:hAnsi="Arial" w:cs="Arial"/>
        </w:rPr>
        <w:fldChar w:fldCharType="begin"/>
      </w:r>
      <w:r>
        <w:rPr>
          <w:rFonts w:ascii="Arial" w:hAnsi="Arial" w:cs="Arial"/>
        </w:rPr>
        <w:instrText xml:space="preserve"> ADDIN ZOTERO_ITEM CSL_CITATION {"citationID":"b6fg9kaO","properties":{"formattedCitation":"(Ali et al., 2022)","plainCitation":"(Ali et al., 2022)","noteIndex":0},"citationItems":[{"id":1328,"uris":["http://zotero.org/users/9368380/items/GPZRPVSR"],"itemData":{"id":1328,"type":"article-journal","abstract":"Ginger (Zingiber officinale Rosc.) is well known as distinctive spice with considered therapeutic values. In the current work we aimed to investigate cytotoxic effect, phytochemical screening and genetic analysis of ginger callus and their rhizome. Cytotoxicity of ginger rhizome and callus extracts was examined against some human cancer cell lines HT29, HT116 and MCF-7 by MTT method. Phytochemicals were screened by thin layer chromatography (TLC) and genetic analysis was performed by ISSR markers. Ginger rhizome principle components, 6-gingerol and 6-shogoal were used as standards to detect their presence in callus. Results showed that, rhizome extracts displayed a strong cytotoxicity towards all tested cancer cells with the highest activity (IC50 20.4 ± 3.0 µg/mL; P&lt;0.05) against HT29. IC50 of ginger callus extracts were &gt;100 µg/mL in all examined cancer cell lines. TLC chromatograms of rhizome and callus extracts revealed the presence of phenols and terpenes, whereas 6-gingerol and 6-shogaol were only detected in rhizome extracts. Genetic analysis by ISSR markers revealed occurrence some genetic changes in DNA of callus compared to that of rhizome with total polymorphism 23.07%. In conclusion, ginger cytotoxicity to HT29, HT116 and MCF-7 cancer cells was mainly associated with the presence of 6-shogaol and 6-gingerol in extracts, which appeared as strong cytotoxic effect in rhizome compared to non-cytotoxic effect was evaluated in the callus extracts. Therefore, further studies on the callus elicitation and precursors feeding to induce biosynthesis of ginger bioactive molecules are recommended.","collection-title":"Biotechnological exploration of natural products as functional food and medicine","container-title":"South African Journal of Botany","DOI":"10.1016/j.sajb.2021.11.011","ISSN":"0254-6299","journalAbbreviation":"South African Journal of Botany","page":"54-59","source":"ScienceDirect","title":"Cytotoxicité, criblage phytochimique et analyse génétique du cal et du rhizome du gingembre ( &lt;i&gt;Zingiber officinale&lt;/i&gt; Rosc.)","volume":"151","author":[{"family":"Ali","given":"."},{"family":"El-Nour","given":"Mawahib EM."},{"family":"Yagi","given":"Sakina Mohamed"},{"family":"Qahtan","given":"Ahmed A."},{"family":"Alatar","given":"Abdurrahman A."},{"family":"Abdel-Salam","given":"Eslam M."},{"family":"Zengin","given":"Gokhan"}],"issued":{"date-parts":[["2022",12,1]]}}}],"schema":"https://github.com/citation-style-language/schema/raw/master/csl-citation.json"} </w:instrText>
      </w:r>
      <w:r>
        <w:rPr>
          <w:rFonts w:ascii="Arial" w:hAnsi="Arial" w:cs="Arial"/>
        </w:rPr>
        <w:fldChar w:fldCharType="separate"/>
      </w:r>
      <w:r>
        <w:rPr>
          <w:rFonts w:ascii="Arial" w:hAnsi="Arial" w:cs="Arial"/>
        </w:rPr>
        <w:t>(Ali et al., 2022)</w:t>
      </w:r>
      <w:r>
        <w:rPr>
          <w:rFonts w:ascii="Arial" w:hAnsi="Arial" w:cs="Arial"/>
        </w:rPr>
        <w:fldChar w:fldCharType="end"/>
      </w:r>
      <w:r>
        <w:rPr>
          <w:rFonts w:ascii="Arial" w:hAnsi="Arial" w:cs="Arial"/>
        </w:rPr>
        <w:t>. Against HCT116 cells, both extracts displayed comparable efficacy, with IC</w:t>
      </w:r>
      <w:r>
        <w:rPr>
          <w:rFonts w:ascii="Cambria Math" w:hAnsi="Cambria Math" w:cs="Cambria Math"/>
        </w:rPr>
        <w:t>₅₀</w:t>
      </w:r>
      <w:r>
        <w:rPr>
          <w:rFonts w:ascii="Arial" w:hAnsi="Arial" w:cs="Arial"/>
        </w:rPr>
        <w:t xml:space="preserve"> values of 27,9 ± 1,4 µg/mL (CM) and 28,2 ± 0,2 µg/mL (PE). In contrast, ginger peel extracts did not exhibit notable cytotoxic effects (IC</w:t>
      </w:r>
      <w:r>
        <w:rPr>
          <w:rFonts w:ascii="Cambria Math" w:hAnsi="Cambria Math" w:cs="Cambria Math"/>
        </w:rPr>
        <w:t>₅₀</w:t>
      </w:r>
      <w:r>
        <w:rPr>
          <w:rFonts w:ascii="Arial" w:hAnsi="Arial" w:cs="Arial"/>
        </w:rPr>
        <w:t xml:space="preserve"> &gt; 100 µg/mL) against any of the evaluated cancer cell lines </w:t>
      </w:r>
      <w:r>
        <w:rPr>
          <w:rFonts w:ascii="Arial" w:hAnsi="Arial" w:cs="Arial"/>
        </w:rPr>
        <w:fldChar w:fldCharType="begin"/>
      </w:r>
      <w:r>
        <w:rPr>
          <w:rFonts w:ascii="Arial" w:hAnsi="Arial" w:cs="Arial"/>
        </w:rPr>
        <w:instrText xml:space="preserve"> ADDIN ZOTERO_ITEM CSL_CITATION {"citationID":"jWJrEd4y","properties":{"formattedCitation":"(Ali et al., 2022)","plainCitation":"(Ali et al., 2022)","noteIndex":0},"citationItems":[{"id":1328,"uris":["http://zotero.org/users/9368380/items/GPZRPVSR"],"itemData":{"id":1328,"type":"article-journal","abstract":"Ginger (Zingiber officinale Rosc.) is well known as distinctive spice with considered therapeutic values. In the current work we aimed to investigate cytotoxic effect, phytochemical screening and genetic analysis of ginger callus and their rhizome. Cytotoxicity of ginger rhizome and callus extracts was examined against some human cancer cell lines HT29, HT116 and MCF-7 by MTT method. Phytochemicals were screened by thin layer chromatography (TLC) and genetic analysis was performed by ISSR markers. Ginger rhizome principle components, 6-gingerol and 6-shogoal were used as standards to detect their presence in callus. Results showed that, rhizome extracts displayed a strong cytotoxicity towards all tested cancer cells with the highest activity (IC50 20.4 ± 3.0 µg/mL; P&lt;0.05) against HT29. IC50 of ginger callus extracts were &gt;100 µg/mL in all examined cancer cell lines. TLC chromatograms of rhizome and callus extracts revealed the presence of phenols and terpenes, whereas 6-gingerol and 6-shogaol were only detected in rhizome extracts. Genetic analysis by ISSR markers revealed occurrence some genetic changes in DNA of callus compared to that of rhizome with total polymorphism 23.07%. In conclusion, ginger cytotoxicity to HT29, HT116 and MCF-7 cancer cells was mainly associated with the presence of 6-shogaol and 6-gingerol in extracts, which appeared as strong cytotoxic effect in rhizome compared to non-cytotoxic effect was evaluated in the callus extracts. Therefore, further studies on the callus elicitation and precursors feeding to induce biosynthesis of ginger bioactive molecules are recommended.","collection-title":"Biotechnological exploration of natural products as functional food and medicine","container-title":"South African Journal of Botany","DOI":"10.1016/j.sajb.2021.11.011","ISSN":"0254-6299","journalAbbreviation":"South African Journal of Botany","page":"54-59","source":"ScienceDirect","title":"Cytotoxicité, criblage phytochimique et analyse génétique du cal et du rhizome du gingembre ( &lt;i&gt;Zingiber officinale&lt;/i&gt; Rosc.)","volume":"151","author":[{"family":"Ali","given":"."},{"family":"El-Nour","given":"Mawahib EM."},{"family":"Yagi","given":"Sakina Mohamed"},{"family":"Qahtan","given":"Ahmed A."},{"family":"Alatar","given":"Abdurrahman A."},{"family":"Abdel-Salam","given":"Eslam M."},{"family":"Zengin","given":"Gokhan"}],"issued":{"date-parts":[["2022",12,1]]}}}],"schema":"https://github.com/citation-style-language/schema/raw/master/csl-citation.json"} </w:instrText>
      </w:r>
      <w:r>
        <w:rPr>
          <w:rFonts w:ascii="Arial" w:hAnsi="Arial" w:cs="Arial"/>
        </w:rPr>
        <w:fldChar w:fldCharType="separate"/>
      </w:r>
      <w:r>
        <w:rPr>
          <w:rFonts w:ascii="Arial" w:hAnsi="Arial" w:cs="Arial"/>
        </w:rPr>
        <w:t>(Ali et al., 2022)</w:t>
      </w:r>
      <w:r>
        <w:rPr>
          <w:rFonts w:ascii="Arial" w:hAnsi="Arial" w:cs="Arial"/>
        </w:rPr>
        <w:fldChar w:fldCharType="end"/>
      </w:r>
      <w:r>
        <w:rPr>
          <w:rFonts w:ascii="Arial" w:hAnsi="Arial" w:cs="Arial"/>
        </w:rPr>
        <w:t>.</w:t>
      </w:r>
    </w:p>
    <w:p>
      <w:pPr>
        <w:pStyle w:val="Body"/>
        <w:rPr>
          <w:rFonts w:ascii="Arial" w:hAnsi="Arial" w:cs="Arial"/>
        </w:rPr>
      </w:pPr>
    </w:p>
    <w:p>
      <w:pPr>
        <w:pStyle w:val="Body"/>
        <w:spacing w:after="0"/>
        <w:rPr>
          <w:szCs w:val="24"/>
        </w:rPr>
      </w:pPr>
    </w:p>
    <w:p>
      <w:pPr>
        <w:pStyle w:val="Body"/>
        <w:spacing w:after="0"/>
        <w:rPr>
          <w:szCs w:val="24"/>
        </w:rPr>
      </w:pPr>
      <w:r>
        <w:rPr>
          <w:noProof/>
        </w:rPr>
        <w:lastRenderedPageBreak/>
        <w:drawing>
          <wp:inline distT="0" distB="0" distL="0" distR="0">
            <wp:extent cx="5212080" cy="3180837"/>
            <wp:effectExtent l="0" t="0" r="0" b="0"/>
            <wp:docPr id="160016140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161408"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212080" cy="3180837"/>
                    </a:xfrm>
                    <a:prstGeom prst="rect">
                      <a:avLst/>
                    </a:prstGeom>
                  </pic:spPr>
                </pic:pic>
              </a:graphicData>
            </a:graphic>
          </wp:inline>
        </w:drawing>
      </w:r>
    </w:p>
    <w:p>
      <w:pPr>
        <w:pStyle w:val="Body"/>
        <w:spacing w:after="0"/>
        <w:rPr>
          <w:rFonts w:ascii="Arial" w:hAnsi="Arial" w:cs="Arial"/>
        </w:rPr>
      </w:pPr>
    </w:p>
    <w:p>
      <w:pPr>
        <w:pStyle w:val="Body"/>
        <w:spacing w:after="0"/>
        <w:jc w:val="center"/>
        <w:rPr>
          <w:szCs w:val="24"/>
        </w:rPr>
      </w:pPr>
      <w:r>
        <w:rPr>
          <w:b/>
          <w:bCs/>
          <w:szCs w:val="24"/>
        </w:rPr>
        <w:t>Figure 1</w:t>
      </w:r>
      <w:r>
        <w:rPr>
          <w:szCs w:val="24"/>
        </w:rPr>
        <w:t>: The plants of the study</w:t>
      </w:r>
    </w:p>
    <w:p>
      <w:pPr>
        <w:pStyle w:val="Body"/>
        <w:spacing w:after="0"/>
        <w:rPr>
          <w:rFonts w:ascii="Arial" w:hAnsi="Arial" w:cs="Arial"/>
          <w:i/>
        </w:rPr>
      </w:pPr>
      <w:r>
        <w:rPr>
          <w:rFonts w:ascii="Arial" w:hAnsi="Arial" w:cs="Arial"/>
        </w:rPr>
        <w:t xml:space="preserve">Simplified diagrams illustrating the pharmacological potential of the five plants. A: </w:t>
      </w: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B: </w:t>
      </w:r>
      <w:r>
        <w:rPr>
          <w:rFonts w:ascii="Arial" w:hAnsi="Arial" w:cs="Arial"/>
          <w:i/>
          <w:iCs/>
        </w:rPr>
        <w:t xml:space="preserve">Acacia </w:t>
      </w:r>
      <w:proofErr w:type="spellStart"/>
      <w:r>
        <w:rPr>
          <w:rFonts w:ascii="Arial" w:hAnsi="Arial" w:cs="Arial"/>
          <w:i/>
          <w:iCs/>
        </w:rPr>
        <w:t>nilotica</w:t>
      </w:r>
      <w:proofErr w:type="spellEnd"/>
      <w:r>
        <w:rPr>
          <w:rFonts w:ascii="Arial" w:hAnsi="Arial" w:cs="Arial"/>
        </w:rPr>
        <w:t xml:space="preserve">, C: </w:t>
      </w:r>
      <w:proofErr w:type="spellStart"/>
      <w:r>
        <w:rPr>
          <w:rFonts w:ascii="Arial" w:hAnsi="Arial" w:cs="Arial"/>
          <w:i/>
          <w:iCs/>
        </w:rPr>
        <w:t>Faidherbia</w:t>
      </w:r>
      <w:proofErr w:type="spellEnd"/>
      <w:r>
        <w:rPr>
          <w:rFonts w:ascii="Arial" w:hAnsi="Arial" w:cs="Arial"/>
          <w:i/>
          <w:iCs/>
        </w:rPr>
        <w:t xml:space="preserve"> </w:t>
      </w:r>
      <w:proofErr w:type="spellStart"/>
      <w:r>
        <w:rPr>
          <w:rFonts w:ascii="Arial" w:hAnsi="Arial" w:cs="Arial"/>
          <w:i/>
          <w:iCs/>
        </w:rPr>
        <w:t>albida</w:t>
      </w:r>
      <w:proofErr w:type="spellEnd"/>
      <w:r>
        <w:rPr>
          <w:rFonts w:ascii="Arial" w:hAnsi="Arial" w:cs="Arial"/>
          <w:i/>
          <w:iCs/>
        </w:rPr>
        <w:t xml:space="preserve">, </w:t>
      </w:r>
      <w:r>
        <w:rPr>
          <w:rFonts w:ascii="Arial" w:hAnsi="Arial" w:cs="Arial"/>
        </w:rPr>
        <w:t xml:space="preserve">D: </w:t>
      </w:r>
      <w:proofErr w:type="spellStart"/>
      <w:r>
        <w:rPr>
          <w:rFonts w:ascii="Arial" w:hAnsi="Arial" w:cs="Arial"/>
          <w:i/>
          <w:iCs/>
        </w:rPr>
        <w:t>Zingiber</w:t>
      </w:r>
      <w:proofErr w:type="spellEnd"/>
      <w:r>
        <w:rPr>
          <w:rFonts w:ascii="Arial" w:hAnsi="Arial" w:cs="Arial"/>
          <w:i/>
          <w:iCs/>
        </w:rPr>
        <w:t xml:space="preserve"> </w:t>
      </w:r>
      <w:proofErr w:type="spellStart"/>
      <w:r>
        <w:rPr>
          <w:rFonts w:ascii="Arial" w:hAnsi="Arial" w:cs="Arial"/>
          <w:i/>
          <w:iCs/>
        </w:rPr>
        <w:t>officinale</w:t>
      </w:r>
      <w:proofErr w:type="spellEnd"/>
      <w:r>
        <w:rPr>
          <w:rFonts w:ascii="Arial" w:hAnsi="Arial" w:cs="Arial"/>
        </w:rPr>
        <w:t>, E:</w:t>
      </w:r>
      <w:r>
        <w:rPr>
          <w:rFonts w:ascii="Arial" w:hAnsi="Arial" w:cs="Arial"/>
          <w:i/>
          <w:iCs/>
        </w:rPr>
        <w:t xml:space="preserve"> </w:t>
      </w:r>
      <w:proofErr w:type="spellStart"/>
      <w:r>
        <w:rPr>
          <w:rFonts w:ascii="Arial" w:hAnsi="Arial" w:cs="Arial"/>
          <w:i/>
        </w:rPr>
        <w:t>Zanthozylome</w:t>
      </w:r>
      <w:proofErr w:type="spellEnd"/>
      <w:r>
        <w:rPr>
          <w:rFonts w:ascii="Arial" w:hAnsi="Arial" w:cs="Arial"/>
          <w:i/>
        </w:rPr>
        <w:t xml:space="preserve"> </w:t>
      </w:r>
      <w:proofErr w:type="spellStart"/>
      <w:r>
        <w:rPr>
          <w:rFonts w:ascii="Arial" w:hAnsi="Arial" w:cs="Arial"/>
          <w:i/>
        </w:rPr>
        <w:t>zanthoxyloides</w:t>
      </w:r>
      <w:proofErr w:type="spellEnd"/>
      <w:r>
        <w:rPr>
          <w:rFonts w:ascii="Arial" w:hAnsi="Arial" w:cs="Arial"/>
          <w:i/>
        </w:rPr>
        <w:t xml:space="preserve"> (Source: Annick </w:t>
      </w:r>
      <w:proofErr w:type="spellStart"/>
      <w:r>
        <w:rPr>
          <w:rFonts w:ascii="Arial" w:hAnsi="Arial" w:cs="Arial"/>
          <w:i/>
        </w:rPr>
        <w:t>Madinatou</w:t>
      </w:r>
      <w:proofErr w:type="spellEnd"/>
      <w:r>
        <w:rPr>
          <w:rFonts w:ascii="Arial" w:hAnsi="Arial" w:cs="Arial"/>
          <w:i/>
        </w:rPr>
        <w:t xml:space="preserve"> OUEDRAOGO, Burkina Faso)</w:t>
      </w:r>
      <w:r>
        <w:rPr>
          <w:noProof/>
        </w:rPr>
        <mc:AlternateContent>
          <mc:Choice Requires="wps">
            <w:drawing>
              <wp:anchor distT="0" distB="0" distL="114300" distR="114300" simplePos="0" relativeHeight="251665408" behindDoc="0" locked="0" layoutInCell="1" allowOverlap="1">
                <wp:simplePos x="0" y="0"/>
                <wp:positionH relativeFrom="column">
                  <wp:posOffset>845185</wp:posOffset>
                </wp:positionH>
                <wp:positionV relativeFrom="paragraph">
                  <wp:posOffset>8012430</wp:posOffset>
                </wp:positionV>
                <wp:extent cx="6310630" cy="594360"/>
                <wp:effectExtent l="0" t="0" r="0" b="0"/>
                <wp:wrapNone/>
                <wp:docPr id="259451322"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left:0;text-align:left;margin-left:66.55pt;margin-top:630.9pt;width:496.9pt;height:4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" fillcolor="white [3201]" stroked="f" strokeweight=".5pt">
                <v:textbo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845185</wp:posOffset>
                </wp:positionH>
                <wp:positionV relativeFrom="paragraph">
                  <wp:posOffset>8012430</wp:posOffset>
                </wp:positionV>
                <wp:extent cx="6310630" cy="594360"/>
                <wp:effectExtent l="0" t="0" r="0" b="0"/>
                <wp:wrapNone/>
                <wp:docPr id="1901581510"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5" o:spid="_x0000_s1027" type="#_x0000_t202" style="position:absolute;left:0;text-align:left;margin-left:66.55pt;margin-top:630.9pt;width:496.9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" fillcolor="white [3201]" stroked="f" strokeweight=".5pt">
                <v:textbo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v:textbox>
              </v:shape>
            </w:pict>
          </mc:Fallback>
        </mc:AlternateContent>
      </w:r>
    </w:p>
    <w:p>
      <w:pPr>
        <w:rPr>
          <w:rFonts w:ascii="Arial" w:hAnsi="Arial" w:cs="Arial"/>
        </w:rPr>
      </w:pPr>
      <w:r>
        <w:rPr>
          <w:rFonts w:ascii="Arial" w:hAnsi="Arial" w:cs="Arial"/>
        </w:rPr>
        <w:br w:type="page"/>
      </w:r>
    </w:p>
    <w:p>
      <w:pPr>
        <w:rPr>
          <w:rFonts w:ascii="Arial" w:hAnsi="Arial" w:cs="Arial"/>
        </w:rPr>
        <w:sectPr>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pPr>
        <w:jc w:val="center"/>
        <w:rPr>
          <w:rFonts w:ascii="Arial" w:hAnsi="Arial" w:cs="Arial"/>
          <w:szCs w:val="24"/>
        </w:rPr>
      </w:pPr>
      <w:r>
        <w:rPr>
          <w:rFonts w:ascii="Arial" w:hAnsi="Arial" w:cs="Arial"/>
          <w:b/>
          <w:bCs/>
          <w:szCs w:val="24"/>
        </w:rPr>
        <w:lastRenderedPageBreak/>
        <w:t>TABLE 1</w:t>
      </w:r>
      <w:r>
        <w:rPr>
          <w:rFonts w:ascii="Arial" w:hAnsi="Arial" w:cs="Arial"/>
          <w:szCs w:val="24"/>
        </w:rPr>
        <w:t>: antioxidant and anti-inflammatory properties of the plants</w:t>
      </w:r>
    </w:p>
    <w:p>
      <w:pPr>
        <w:rPr>
          <w:rFonts w:ascii="Arial" w:hAnsi="Arial" w:cs="Arial"/>
        </w:rPr>
      </w:pPr>
    </w:p>
    <w:tbl>
      <w:tblPr>
        <w:tblStyle w:val="TableGrid"/>
        <w:tblW w:w="14281" w:type="dxa"/>
        <w:jc w:val="center"/>
        <w:tblLayout w:type="fixed"/>
        <w:tblLook w:val="04A0" w:firstRow="1" w:lastRow="0" w:firstColumn="1" w:lastColumn="0" w:noHBand="0" w:noVBand="1"/>
      </w:tblPr>
      <w:tblGrid>
        <w:gridCol w:w="1560"/>
        <w:gridCol w:w="1554"/>
        <w:gridCol w:w="1689"/>
        <w:gridCol w:w="1720"/>
        <w:gridCol w:w="3014"/>
        <w:gridCol w:w="3216"/>
        <w:gridCol w:w="1528"/>
      </w:tblGrid>
      <w:tr>
        <w:trPr>
          <w:trHeight w:val="374"/>
          <w:jc w:val="center"/>
        </w:trPr>
        <w:tc>
          <w:tcPr>
            <w:tcW w:w="1560" w:type="dxa"/>
            <w:noWrap/>
            <w:hideMark/>
          </w:tcPr>
          <w:p>
            <w:pPr>
              <w:rPr>
                <w:rFonts w:ascii="Arial" w:hAnsi="Arial" w:cs="Arial"/>
                <w:b/>
                <w:bCs/>
                <w:sz w:val="20"/>
                <w:szCs w:val="20"/>
              </w:rPr>
            </w:pPr>
            <w:r>
              <w:rPr>
                <w:rFonts w:ascii="Arial" w:hAnsi="Arial" w:cs="Arial"/>
                <w:b/>
                <w:bCs/>
                <w:sz w:val="20"/>
                <w:szCs w:val="20"/>
              </w:rPr>
              <w:t xml:space="preserve">Plants </w:t>
            </w:r>
          </w:p>
        </w:tc>
        <w:tc>
          <w:tcPr>
            <w:tcW w:w="1554" w:type="dxa"/>
            <w:noWrap/>
            <w:hideMark/>
          </w:tcPr>
          <w:p>
            <w:pPr>
              <w:rPr>
                <w:rFonts w:ascii="Arial" w:hAnsi="Arial" w:cs="Arial"/>
                <w:b/>
                <w:bCs/>
                <w:sz w:val="20"/>
                <w:szCs w:val="20"/>
              </w:rPr>
            </w:pPr>
            <w:r>
              <w:rPr>
                <w:rFonts w:ascii="Arial" w:hAnsi="Arial" w:cs="Arial"/>
                <w:b/>
                <w:bCs/>
                <w:sz w:val="20"/>
                <w:szCs w:val="20"/>
              </w:rPr>
              <w:t>Family</w:t>
            </w:r>
          </w:p>
        </w:tc>
        <w:tc>
          <w:tcPr>
            <w:tcW w:w="1689" w:type="dxa"/>
            <w:hideMark/>
          </w:tcPr>
          <w:p>
            <w:pPr>
              <w:rPr>
                <w:rFonts w:ascii="Arial" w:hAnsi="Arial" w:cs="Arial"/>
                <w:b/>
                <w:bCs/>
                <w:sz w:val="20"/>
                <w:szCs w:val="20"/>
              </w:rPr>
            </w:pPr>
            <w:r>
              <w:rPr>
                <w:rFonts w:ascii="Arial" w:hAnsi="Arial" w:cs="Arial"/>
                <w:b/>
                <w:bCs/>
                <w:sz w:val="20"/>
                <w:szCs w:val="20"/>
              </w:rPr>
              <w:t>Type of Extracts</w:t>
            </w:r>
          </w:p>
        </w:tc>
        <w:tc>
          <w:tcPr>
            <w:tcW w:w="1720" w:type="dxa"/>
            <w:noWrap/>
            <w:hideMark/>
          </w:tcPr>
          <w:p>
            <w:pPr>
              <w:rPr>
                <w:rFonts w:ascii="Arial" w:hAnsi="Arial" w:cs="Arial"/>
                <w:b/>
                <w:bCs/>
                <w:sz w:val="20"/>
                <w:szCs w:val="20"/>
              </w:rPr>
            </w:pPr>
            <w:r>
              <w:rPr>
                <w:rFonts w:ascii="Arial" w:hAnsi="Arial" w:cs="Arial"/>
                <w:b/>
                <w:bCs/>
                <w:sz w:val="20"/>
                <w:szCs w:val="20"/>
              </w:rPr>
              <w:t>Activities</w:t>
            </w:r>
          </w:p>
        </w:tc>
        <w:tc>
          <w:tcPr>
            <w:tcW w:w="3014" w:type="dxa"/>
            <w:noWrap/>
            <w:hideMark/>
          </w:tcPr>
          <w:p>
            <w:pPr>
              <w:rPr>
                <w:rFonts w:ascii="Arial" w:hAnsi="Arial" w:cs="Arial"/>
                <w:b/>
                <w:bCs/>
                <w:sz w:val="20"/>
                <w:szCs w:val="20"/>
              </w:rPr>
            </w:pPr>
            <w:r>
              <w:rPr>
                <w:rFonts w:ascii="Arial" w:hAnsi="Arial" w:cs="Arial"/>
                <w:b/>
                <w:bCs/>
                <w:sz w:val="20"/>
                <w:szCs w:val="20"/>
              </w:rPr>
              <w:t xml:space="preserve">Tests </w:t>
            </w:r>
          </w:p>
        </w:tc>
        <w:tc>
          <w:tcPr>
            <w:tcW w:w="3216" w:type="dxa"/>
            <w:noWrap/>
            <w:hideMark/>
          </w:tcPr>
          <w:p>
            <w:pPr>
              <w:rPr>
                <w:rFonts w:ascii="Arial" w:hAnsi="Arial" w:cs="Arial"/>
                <w:b/>
                <w:bCs/>
                <w:sz w:val="20"/>
                <w:szCs w:val="20"/>
              </w:rPr>
            </w:pPr>
            <w:r>
              <w:rPr>
                <w:rFonts w:ascii="Arial" w:hAnsi="Arial" w:cs="Arial"/>
                <w:b/>
                <w:bCs/>
                <w:sz w:val="20"/>
                <w:szCs w:val="20"/>
              </w:rPr>
              <w:t>Results</w:t>
            </w:r>
          </w:p>
        </w:tc>
        <w:tc>
          <w:tcPr>
            <w:tcW w:w="1528" w:type="dxa"/>
            <w:noWrap/>
            <w:hideMark/>
          </w:tcPr>
          <w:p>
            <w:pPr>
              <w:rPr>
                <w:rFonts w:ascii="Arial" w:hAnsi="Arial" w:cs="Arial"/>
                <w:b/>
                <w:bCs/>
                <w:sz w:val="20"/>
                <w:szCs w:val="20"/>
              </w:rPr>
            </w:pPr>
            <w:r>
              <w:rPr>
                <w:rFonts w:ascii="Arial" w:hAnsi="Arial" w:cs="Arial"/>
                <w:b/>
                <w:bCs/>
                <w:sz w:val="20"/>
                <w:szCs w:val="20"/>
              </w:rPr>
              <w:t xml:space="preserve">References </w:t>
            </w:r>
          </w:p>
        </w:tc>
      </w:tr>
      <w:tr>
        <w:trPr>
          <w:trHeight w:val="342"/>
          <w:jc w:val="center"/>
        </w:trPr>
        <w:tc>
          <w:tcPr>
            <w:tcW w:w="1560" w:type="dxa"/>
            <w:vMerge w:val="restart"/>
            <w:hideMark/>
          </w:tcPr>
          <w:p>
            <w:pPr>
              <w:rPr>
                <w:rFonts w:ascii="Arial" w:hAnsi="Arial" w:cs="Arial"/>
                <w:i/>
                <w:iCs/>
                <w:sz w:val="20"/>
                <w:szCs w:val="20"/>
              </w:rPr>
            </w:pPr>
            <w:proofErr w:type="spellStart"/>
            <w:r>
              <w:rPr>
                <w:rFonts w:ascii="Arial" w:hAnsi="Arial" w:cs="Arial"/>
                <w:i/>
                <w:iCs/>
                <w:sz w:val="20"/>
                <w:szCs w:val="20"/>
              </w:rPr>
              <w:t>Guiera</w:t>
            </w:r>
            <w:proofErr w:type="spellEnd"/>
            <w:r>
              <w:rPr>
                <w:rFonts w:ascii="Arial" w:hAnsi="Arial" w:cs="Arial"/>
                <w:i/>
                <w:iCs/>
                <w:sz w:val="20"/>
                <w:szCs w:val="20"/>
              </w:rPr>
              <w:t xml:space="preserve"> senegalensis</w:t>
            </w:r>
          </w:p>
        </w:tc>
        <w:tc>
          <w:tcPr>
            <w:tcW w:w="1554" w:type="dxa"/>
            <w:vMerge w:val="restart"/>
            <w:noWrap/>
            <w:hideMark/>
          </w:tcPr>
          <w:p>
            <w:pPr>
              <w:rPr>
                <w:rFonts w:ascii="Arial" w:hAnsi="Arial" w:cs="Arial"/>
                <w:sz w:val="20"/>
                <w:szCs w:val="20"/>
              </w:rPr>
            </w:pPr>
            <w:proofErr w:type="spellStart"/>
            <w:r>
              <w:rPr>
                <w:rFonts w:ascii="Arial" w:hAnsi="Arial" w:cs="Arial"/>
                <w:sz w:val="20"/>
                <w:szCs w:val="20"/>
              </w:rPr>
              <w:t>Combretaceae</w:t>
            </w:r>
            <w:proofErr w:type="spellEnd"/>
          </w:p>
        </w:tc>
        <w:tc>
          <w:tcPr>
            <w:tcW w:w="1689" w:type="dxa"/>
            <w:vMerge w:val="restart"/>
            <w:noWrap/>
            <w:hideMark/>
          </w:tcPr>
          <w:p>
            <w:pPr>
              <w:rPr>
                <w:rFonts w:ascii="Arial" w:hAnsi="Arial" w:cs="Arial"/>
                <w:sz w:val="20"/>
                <w:szCs w:val="20"/>
              </w:rPr>
            </w:pPr>
            <w:r>
              <w:rPr>
                <w:rFonts w:ascii="Arial" w:hAnsi="Arial" w:cs="Arial"/>
                <w:sz w:val="20"/>
                <w:szCs w:val="20"/>
              </w:rPr>
              <w:t>Ethanolic</w:t>
            </w:r>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sz w:val="20"/>
                <w:szCs w:val="20"/>
              </w:rPr>
              <w:t>ABTS</w:t>
            </w:r>
          </w:p>
        </w:tc>
        <w:tc>
          <w:tcPr>
            <w:tcW w:w="3216" w:type="dxa"/>
            <w:noWrap/>
            <w:hideMark/>
          </w:tcPr>
          <w:p>
            <w:pPr>
              <w:rPr>
                <w:rFonts w:ascii="Arial" w:hAnsi="Arial" w:cs="Arial"/>
                <w:sz w:val="20"/>
                <w:szCs w:val="20"/>
              </w:rPr>
            </w:pPr>
            <w:r>
              <w:rPr>
                <w:rFonts w:ascii="Arial" w:hAnsi="Arial" w:cs="Arial"/>
                <w:sz w:val="20"/>
                <w:szCs w:val="20"/>
              </w:rPr>
              <w:t>IC50 7,39 ± 0,5µg/ml</w:t>
            </w:r>
          </w:p>
        </w:tc>
        <w:tc>
          <w:tcPr>
            <w:tcW w:w="1528" w:type="dxa"/>
            <w:vMerge w:val="restart"/>
            <w:noWrap/>
            <w:hideMark/>
          </w:tcPr>
          <w:p>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{"citationID":"zr0YH2GY","properties":{"formattedCitation":"(Lema et al., 2024)","plainCitation":"(Lema et al., 2024)","noteIndex":0},"citationItems":[{"id":885,"uris":["http://zotero.org/users/9368380/items/J26C465H"],"itemData":{"id":885,"type":"article-journal","abstract":"The aim of this study was to perform phytochemical investigations of three medicinal plants oriented against antioxidant and anti-inflammatory activities. The spectrophotometer was used for quantification tests. The antioxidant activity was evaluated by ABTS●+, DPPH● and FRAP method. The acute toxicity (OECD 423) and the anti-edematous activity were performed on NMRI mice. Phytochemical screening allowed the identification of some chemical groups. Ethanolic extracts of Guiera senegalensis showed the best total phenolic contents (97.77±0.30 g EAA/100 g extract) and the best antioxidant activity with ABTS●+ (IC50: 3.86±0.17 </w:instrText>
            </w:r>
            <w:r>
              <w:rPr>
                <w:rFonts w:ascii="Arial" w:hAnsi="Arial" w:cs="Arial"/>
                <w:sz w:val="20"/>
                <w:szCs w:val="20"/>
              </w:rPr>
              <w:instrText>μ</w:instrText>
            </w:r>
            <w:r>
              <w:rPr>
                <w:rFonts w:ascii="Arial" w:hAnsi="Arial" w:cs="Arial"/>
                <w:sz w:val="20"/>
                <w:szCs w:val="20"/>
                <w:lang w:val="fr-FR"/>
              </w:rPr>
              <w:instrText xml:space="preserve">g/mL), DPPH● (IC50: 12.20±0.02 </w:instrText>
            </w:r>
            <w:r>
              <w:rPr>
                <w:rFonts w:ascii="Arial" w:hAnsi="Arial" w:cs="Arial"/>
                <w:sz w:val="20"/>
                <w:szCs w:val="20"/>
              </w:rPr>
              <w:instrText>μ</w:instrText>
            </w:r>
            <w:r>
              <w:rPr>
                <w:rFonts w:ascii="Arial" w:hAnsi="Arial" w:cs="Arial"/>
                <w:sz w:val="20"/>
                <w:szCs w:val="20"/>
                <w:lang w:val="fr-FR"/>
              </w:rPr>
              <w:instrText xml:space="preserve">g/mL) and FRAP (32.80±0.55 mmol EAA/g) methods. The extracts showed an inhibitory effect on 15-lipoxygenase activity (14.67 to 99.49% at 100 µg/mL). The aqueous decoction (68.10%) and the ethanolic macerate (74.21%) of the recipe showed a good percentage of inhibition of edema from the 5th hour at a dose of 400 mg/kg b.w. These results could constitute a solid scientific basis justifying the traditional uses of these plants.","container-title":"Journal of Pharmacognosy and Phytochemistry","DOI":"10.22271/phyto.2024.v13.i5a.15054","ISSN":"23498234, 22784136","issue":"5","journalAbbreviation":"J Pharmacogn Phytochem","language":"en","page":"22-31","source":"DOI.org (Crossref)","title":"Phytochemical investigation of three medicinal plants oriented against antioxidant, anti-inflammatory (in vitro and in vivo) activities and acute toxicity","volume":"13","author":[{"family":"Lema","given":"Armandine"},{"family":"Zongo","given":"Koudbi Jacob"},{"family":"Belem-Kabre","given":"Wendkouni Leila Marie Esther"},{"family":"Sawadogo","given":"Mamadou"},{"family":"Ouoba","given":"Hermann Yempabou"},{"family":"Sombie","given":"Pierre Alexandre Eric Djifaby"},{"family":"Ouedraogo","given":"Noufou"},{"family":"Bangou","given":"Mindiédiba Jean"}],"issued":{"date-parts":[["2024",1,1]]}}}],"schema":"https://github.com/citation-style-language/schema/raw/master/csl-citation.json"} </w:instrText>
            </w:r>
            <w:r>
              <w:rPr>
                <w:rFonts w:ascii="Arial" w:hAnsi="Arial" w:cs="Arial"/>
              </w:rPr>
              <w:fldChar w:fldCharType="separate"/>
            </w:r>
            <w:r>
              <w:rPr>
                <w:rFonts w:ascii="Arial" w:hAnsi="Arial" w:cs="Arial"/>
                <w:sz w:val="20"/>
                <w:szCs w:val="20"/>
                <w:lang w:val="fr-FR"/>
              </w:rPr>
              <w:t>(Lema et al., 2024)</w:t>
            </w:r>
            <w:r>
              <w:rPr>
                <w:rFonts w:ascii="Arial" w:hAnsi="Arial" w:cs="Arial"/>
              </w:rPr>
              <w:fldChar w:fldCharType="end"/>
            </w:r>
            <w:r>
              <w:rPr>
                <w:rFonts w:ascii="Arial" w:hAnsi="Arial" w:cs="Arial"/>
                <w:sz w:val="20"/>
                <w:szCs w:val="20"/>
              </w:rPr>
              <w:t xml:space="preserve"> </w:t>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rPr>
            </w:pPr>
            <w:r>
              <w:rPr>
                <w:rFonts w:ascii="Arial" w:hAnsi="Arial" w:cs="Arial"/>
                <w:sz w:val="20"/>
                <w:szCs w:val="20"/>
              </w:rPr>
              <w:t>DPPH</w:t>
            </w:r>
          </w:p>
        </w:tc>
        <w:tc>
          <w:tcPr>
            <w:tcW w:w="3216" w:type="dxa"/>
            <w:noWrap/>
            <w:hideMark/>
          </w:tcPr>
          <w:p>
            <w:pPr>
              <w:rPr>
                <w:rFonts w:ascii="Arial" w:hAnsi="Arial" w:cs="Arial"/>
                <w:sz w:val="20"/>
                <w:szCs w:val="20"/>
              </w:rPr>
            </w:pPr>
            <w:r>
              <w:rPr>
                <w:rFonts w:ascii="Arial" w:hAnsi="Arial" w:cs="Arial"/>
                <w:sz w:val="20"/>
                <w:szCs w:val="20"/>
              </w:rPr>
              <w:t>IC50 12,20 ± 0,02µg/ml</w:t>
            </w:r>
          </w:p>
        </w:tc>
        <w:tc>
          <w:tcPr>
            <w:tcW w:w="1528" w:type="dxa"/>
            <w:vMerge/>
            <w:hideMark/>
          </w:tcPr>
          <w:p>
            <w:pPr>
              <w:rPr>
                <w:rFonts w:ascii="Arial" w:hAnsi="Arial" w:cs="Arial"/>
                <w:sz w:val="20"/>
                <w:szCs w:val="20"/>
              </w:rPr>
            </w:pPr>
          </w:p>
        </w:tc>
      </w:tr>
      <w:tr>
        <w:trPr>
          <w:trHeight w:val="318"/>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FRAP</w:t>
            </w:r>
          </w:p>
        </w:tc>
        <w:tc>
          <w:tcPr>
            <w:tcW w:w="3216" w:type="dxa"/>
            <w:noWrap/>
            <w:hideMark/>
          </w:tcPr>
          <w:p>
            <w:pPr>
              <w:rPr>
                <w:rFonts w:ascii="Arial" w:hAnsi="Arial" w:cs="Arial"/>
                <w:sz w:val="20"/>
                <w:szCs w:val="20"/>
              </w:rPr>
            </w:pPr>
            <w:r>
              <w:rPr>
                <w:rFonts w:ascii="Arial" w:hAnsi="Arial" w:cs="Arial"/>
                <w:sz w:val="20"/>
                <w:szCs w:val="20"/>
              </w:rPr>
              <w:t>IC50 32,80 ± 0,55µg/ml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val="restart"/>
            <w:noWrap/>
            <w:hideMark/>
          </w:tcPr>
          <w:p>
            <w:pPr>
              <w:rPr>
                <w:rFonts w:ascii="Arial" w:hAnsi="Arial" w:cs="Arial"/>
                <w:sz w:val="20"/>
                <w:szCs w:val="20"/>
              </w:rPr>
            </w:pPr>
            <w:r>
              <w:rPr>
                <w:rFonts w:ascii="Arial" w:hAnsi="Arial" w:cs="Arial"/>
                <w:sz w:val="20"/>
                <w:szCs w:val="20"/>
              </w:rPr>
              <w:t>Anti-inflammatory</w:t>
            </w:r>
          </w:p>
        </w:tc>
        <w:tc>
          <w:tcPr>
            <w:tcW w:w="3014" w:type="dxa"/>
            <w:noWrap/>
            <w:hideMark/>
          </w:tcPr>
          <w:p>
            <w:pPr>
              <w:rPr>
                <w:rFonts w:ascii="Arial" w:hAnsi="Arial" w:cs="Arial"/>
                <w:sz w:val="20"/>
                <w:szCs w:val="20"/>
              </w:rPr>
            </w:pPr>
            <w:r>
              <w:rPr>
                <w:rFonts w:ascii="Arial" w:hAnsi="Arial" w:cs="Arial"/>
                <w:sz w:val="20"/>
                <w:szCs w:val="20"/>
              </w:rPr>
              <w:t>% inhibition Lox</w:t>
            </w:r>
          </w:p>
        </w:tc>
        <w:tc>
          <w:tcPr>
            <w:tcW w:w="3216" w:type="dxa"/>
            <w:noWrap/>
            <w:hideMark/>
          </w:tcPr>
          <w:p>
            <w:pPr>
              <w:rPr>
                <w:rFonts w:ascii="Arial" w:hAnsi="Arial" w:cs="Arial"/>
                <w:sz w:val="20"/>
                <w:szCs w:val="20"/>
              </w:rPr>
            </w:pPr>
            <w:r>
              <w:rPr>
                <w:rFonts w:ascii="Arial" w:hAnsi="Arial" w:cs="Arial"/>
                <w:sz w:val="20"/>
                <w:szCs w:val="20"/>
              </w:rPr>
              <w:t>95,99 ± 0,02%</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 inhibition of oedema</w:t>
            </w:r>
          </w:p>
        </w:tc>
        <w:tc>
          <w:tcPr>
            <w:tcW w:w="3216" w:type="dxa"/>
            <w:noWrap/>
            <w:hideMark/>
          </w:tcPr>
          <w:p>
            <w:pPr>
              <w:rPr>
                <w:rFonts w:ascii="Arial" w:hAnsi="Arial" w:cs="Arial"/>
                <w:sz w:val="20"/>
                <w:szCs w:val="20"/>
              </w:rPr>
            </w:pPr>
            <w:r>
              <w:rPr>
                <w:rFonts w:ascii="Arial" w:hAnsi="Arial" w:cs="Arial"/>
                <w:sz w:val="20"/>
                <w:szCs w:val="20"/>
              </w:rPr>
              <w:t>74,21%</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val="restart"/>
            <w:noWrap/>
            <w:hideMark/>
          </w:tcPr>
          <w:p>
            <w:pPr>
              <w:rPr>
                <w:rFonts w:ascii="Arial" w:hAnsi="Arial" w:cs="Arial"/>
                <w:sz w:val="20"/>
                <w:szCs w:val="20"/>
              </w:rPr>
            </w:pPr>
            <w:r>
              <w:rPr>
                <w:rFonts w:ascii="Arial" w:hAnsi="Arial" w:cs="Arial"/>
                <w:sz w:val="20"/>
                <w:szCs w:val="20"/>
              </w:rPr>
              <w:t xml:space="preserve">Hydroethanolic </w:t>
            </w:r>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sz w:val="20"/>
                <w:szCs w:val="20"/>
              </w:rPr>
              <w:t>ABTS</w:t>
            </w:r>
          </w:p>
        </w:tc>
        <w:tc>
          <w:tcPr>
            <w:tcW w:w="3216" w:type="dxa"/>
            <w:noWrap/>
            <w:hideMark/>
          </w:tcPr>
          <w:p>
            <w:pPr>
              <w:rPr>
                <w:rFonts w:ascii="Arial" w:hAnsi="Arial" w:cs="Arial"/>
                <w:sz w:val="20"/>
                <w:szCs w:val="20"/>
              </w:rPr>
            </w:pPr>
            <w:r>
              <w:rPr>
                <w:rFonts w:ascii="Arial" w:hAnsi="Arial" w:cs="Arial"/>
                <w:sz w:val="20"/>
                <w:szCs w:val="20"/>
              </w:rPr>
              <w:t>IC50 6,74 ± 0,72µg/ml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DPPH</w:t>
            </w:r>
          </w:p>
        </w:tc>
        <w:tc>
          <w:tcPr>
            <w:tcW w:w="3216" w:type="dxa"/>
            <w:noWrap/>
            <w:hideMark/>
          </w:tcPr>
          <w:p>
            <w:pPr>
              <w:rPr>
                <w:rFonts w:ascii="Arial" w:hAnsi="Arial" w:cs="Arial"/>
                <w:sz w:val="20"/>
                <w:szCs w:val="20"/>
              </w:rPr>
            </w:pPr>
            <w:r>
              <w:rPr>
                <w:rFonts w:ascii="Arial" w:hAnsi="Arial" w:cs="Arial"/>
                <w:sz w:val="20"/>
                <w:szCs w:val="20"/>
              </w:rPr>
              <w:t>IC50 7,27 ± 0,20µg/ml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FRAP</w:t>
            </w:r>
          </w:p>
        </w:tc>
        <w:tc>
          <w:tcPr>
            <w:tcW w:w="3216" w:type="dxa"/>
            <w:noWrap/>
            <w:hideMark/>
          </w:tcPr>
          <w:p>
            <w:pPr>
              <w:rPr>
                <w:rFonts w:ascii="Arial" w:hAnsi="Arial" w:cs="Arial"/>
                <w:sz w:val="20"/>
                <w:szCs w:val="20"/>
              </w:rPr>
            </w:pPr>
            <w:r>
              <w:rPr>
                <w:rFonts w:ascii="Arial" w:hAnsi="Arial" w:cs="Arial"/>
                <w:sz w:val="20"/>
                <w:szCs w:val="20"/>
              </w:rPr>
              <w:t>IC50 36,40 ± 1,42µg/ml</w:t>
            </w:r>
          </w:p>
        </w:tc>
        <w:tc>
          <w:tcPr>
            <w:tcW w:w="1528" w:type="dxa"/>
            <w:vMerge/>
            <w:hideMark/>
          </w:tcPr>
          <w:p>
            <w:pPr>
              <w:rPr>
                <w:rFonts w:ascii="Arial" w:hAnsi="Arial" w:cs="Arial"/>
                <w:sz w:val="20"/>
                <w:szCs w:val="20"/>
              </w:rPr>
            </w:pPr>
          </w:p>
        </w:tc>
      </w:tr>
      <w:tr>
        <w:trPr>
          <w:trHeight w:val="435"/>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noWrap/>
            <w:hideMark/>
          </w:tcPr>
          <w:p>
            <w:pPr>
              <w:rPr>
                <w:rFonts w:ascii="Arial" w:hAnsi="Arial" w:cs="Arial"/>
                <w:sz w:val="20"/>
                <w:szCs w:val="20"/>
              </w:rPr>
            </w:pPr>
            <w:r>
              <w:rPr>
                <w:rFonts w:ascii="Arial" w:hAnsi="Arial" w:cs="Arial"/>
                <w:sz w:val="20"/>
                <w:szCs w:val="20"/>
              </w:rPr>
              <w:t>Anti-inflammatory</w:t>
            </w:r>
          </w:p>
        </w:tc>
        <w:tc>
          <w:tcPr>
            <w:tcW w:w="3014" w:type="dxa"/>
            <w:noWrap/>
            <w:hideMark/>
          </w:tcPr>
          <w:p>
            <w:pPr>
              <w:rPr>
                <w:rFonts w:ascii="Arial" w:hAnsi="Arial" w:cs="Arial"/>
                <w:sz w:val="20"/>
                <w:szCs w:val="20"/>
              </w:rPr>
            </w:pPr>
            <w:r>
              <w:rPr>
                <w:rFonts w:ascii="Arial" w:hAnsi="Arial" w:cs="Arial"/>
                <w:sz w:val="20"/>
                <w:szCs w:val="20"/>
              </w:rPr>
              <w:t>%inhibition Lox</w:t>
            </w:r>
          </w:p>
        </w:tc>
        <w:tc>
          <w:tcPr>
            <w:tcW w:w="3216" w:type="dxa"/>
            <w:noWrap/>
            <w:hideMark/>
          </w:tcPr>
          <w:p>
            <w:pPr>
              <w:rPr>
                <w:rFonts w:ascii="Arial" w:hAnsi="Arial" w:cs="Arial"/>
                <w:sz w:val="20"/>
                <w:szCs w:val="20"/>
              </w:rPr>
            </w:pPr>
            <w:r>
              <w:rPr>
                <w:rFonts w:ascii="Arial" w:hAnsi="Arial" w:cs="Arial"/>
                <w:sz w:val="20"/>
                <w:szCs w:val="20"/>
              </w:rPr>
              <w:t>84,94 ± 1,47%</w:t>
            </w:r>
          </w:p>
        </w:tc>
        <w:tc>
          <w:tcPr>
            <w:tcW w:w="1528" w:type="dxa"/>
            <w:vMerge/>
            <w:hideMark/>
          </w:tcPr>
          <w:p>
            <w:pPr>
              <w:rPr>
                <w:rFonts w:ascii="Arial" w:hAnsi="Arial" w:cs="Arial"/>
                <w:sz w:val="20"/>
                <w:szCs w:val="20"/>
              </w:rPr>
            </w:pPr>
          </w:p>
        </w:tc>
      </w:tr>
      <w:tr>
        <w:trPr>
          <w:trHeight w:val="624"/>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val="restart"/>
            <w:noWrap/>
            <w:hideMark/>
          </w:tcPr>
          <w:p>
            <w:pPr>
              <w:rPr>
                <w:rFonts w:ascii="Arial" w:hAnsi="Arial" w:cs="Arial"/>
                <w:sz w:val="20"/>
                <w:szCs w:val="20"/>
              </w:rPr>
            </w:pPr>
            <w:r>
              <w:rPr>
                <w:rFonts w:ascii="Arial" w:hAnsi="Arial" w:cs="Arial"/>
                <w:sz w:val="20"/>
                <w:szCs w:val="20"/>
              </w:rPr>
              <w:t>Methanol</w:t>
            </w:r>
          </w:p>
        </w:tc>
        <w:tc>
          <w:tcPr>
            <w:tcW w:w="1720" w:type="dxa"/>
            <w:vMerge w:val="restart"/>
            <w:noWrap/>
            <w:hideMark/>
          </w:tcPr>
          <w:p>
            <w:pPr>
              <w:rPr>
                <w:rFonts w:ascii="Arial" w:hAnsi="Arial" w:cs="Arial"/>
                <w:sz w:val="20"/>
                <w:szCs w:val="20"/>
              </w:rPr>
            </w:pPr>
            <w:r>
              <w:rPr>
                <w:rFonts w:ascii="Arial" w:hAnsi="Arial" w:cs="Arial"/>
                <w:sz w:val="20"/>
                <w:szCs w:val="20"/>
              </w:rPr>
              <w:t>Anti-inflammatory</w:t>
            </w:r>
          </w:p>
        </w:tc>
        <w:tc>
          <w:tcPr>
            <w:tcW w:w="3014" w:type="dxa"/>
            <w:hideMark/>
          </w:tcPr>
          <w:p>
            <w:pPr>
              <w:rPr>
                <w:rFonts w:ascii="Arial" w:hAnsi="Arial" w:cs="Arial"/>
                <w:sz w:val="20"/>
                <w:szCs w:val="20"/>
              </w:rPr>
            </w:pPr>
            <w:r>
              <w:rPr>
                <w:rFonts w:ascii="Arial" w:hAnsi="Arial" w:cs="Arial"/>
                <w:sz w:val="20"/>
                <w:szCs w:val="20"/>
              </w:rPr>
              <w:t>Anti analgesic/mice</w:t>
            </w:r>
          </w:p>
        </w:tc>
        <w:tc>
          <w:tcPr>
            <w:tcW w:w="3216" w:type="dxa"/>
            <w:noWrap/>
            <w:hideMark/>
          </w:tcPr>
          <w:p>
            <w:pPr>
              <w:rPr>
                <w:rFonts w:ascii="Arial" w:hAnsi="Arial" w:cs="Arial"/>
                <w:sz w:val="20"/>
                <w:szCs w:val="20"/>
              </w:rPr>
            </w:pPr>
            <w:r>
              <w:rPr>
                <w:rFonts w:ascii="Arial" w:hAnsi="Arial" w:cs="Arial"/>
                <w:sz w:val="20"/>
                <w:szCs w:val="20"/>
              </w:rPr>
              <w:t>79.10% for 1500 mg/kg 92.54% for 2500mg/kg</w:t>
            </w:r>
          </w:p>
        </w:tc>
        <w:tc>
          <w:tcPr>
            <w:tcW w:w="1528" w:type="dxa"/>
            <w:noWrap/>
            <w:hideMark/>
          </w:tcPr>
          <w:p>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{"citationID":"wAvleBKk","properties":{"formattedCitation":"(Olotu et al., 2016)","plainCitation":"(Olotu et al., 2016)","noteIndex":0},"citationItems":[{"id":1200,"uris":["http://zotero.org/users/9368380/items/LLLEEKLV"],"itemData":{"id":1200,"type":"article-journal","note":"publisher: Journal of Pharmacognosy and Phytochemistry (JPP)","source":"Google Scholar","title":"Pharmacognostic, acute toxicity and analgesic studies of the methanolic stem extract of Guiera senegalensis JF Gmel (Combretaceae)","URL":"https://irepos.unijos.edu.ng/jspui/handle/123456789/1963","author":[{"family":"Olotu","given":"P. N."},{"family":"Oluto","given":"I. A."},{"family":"Kambasha","given":"M. B."},{"family":"Ahmed","given":"A."},{"family":"Ajima","given":"U."},{"family":"Ior","given":"L. D."},{"family":"David","given":"J."},{"family":"Chinda","given":"J. G."},{"family":"Onche","given":"E. U."}],"accessed":{"date-parts":[["2024",12,1]]},"issued":{"date-parts":[["2016"]]}}}],"schema":"https://github.com/citation-style-language/schema/raw/master/csl-citation.json"} </w:instrText>
            </w:r>
            <w:r>
              <w:rPr>
                <w:rFonts w:ascii="Arial" w:hAnsi="Arial" w:cs="Arial"/>
              </w:rPr>
              <w:fldChar w:fldCharType="separate"/>
            </w:r>
            <w:r>
              <w:rPr>
                <w:rFonts w:ascii="Arial" w:hAnsi="Arial" w:cs="Arial"/>
                <w:sz w:val="20"/>
                <w:szCs w:val="20"/>
                <w:lang w:val="fr-FR"/>
              </w:rPr>
              <w:t>(Olotu et al., 2016)</w:t>
            </w:r>
            <w:r>
              <w:rPr>
                <w:rFonts w:ascii="Arial" w:hAnsi="Arial" w:cs="Arial"/>
              </w:rPr>
              <w:fldChar w:fldCharType="end"/>
            </w:r>
            <w:r>
              <w:rPr>
                <w:rFonts w:ascii="Arial" w:hAnsi="Arial" w:cs="Arial"/>
                <w:sz w:val="20"/>
                <w:szCs w:val="20"/>
                <w:lang w:val="fr-FR"/>
              </w:rPr>
              <w:t xml:space="preserve"> </w:t>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rPr>
            </w:pPr>
            <w:r>
              <w:rPr>
                <w:rFonts w:ascii="Arial" w:hAnsi="Arial" w:cs="Arial"/>
                <w:sz w:val="20"/>
                <w:szCs w:val="20"/>
              </w:rPr>
              <w:t>Anti analgesic/mice</w:t>
            </w:r>
          </w:p>
        </w:tc>
        <w:tc>
          <w:tcPr>
            <w:tcW w:w="3216" w:type="dxa"/>
            <w:noWrap/>
            <w:hideMark/>
          </w:tcPr>
          <w:p>
            <w:pPr>
              <w:rPr>
                <w:rFonts w:ascii="Arial" w:hAnsi="Arial" w:cs="Arial"/>
                <w:sz w:val="20"/>
                <w:szCs w:val="20"/>
              </w:rPr>
            </w:pPr>
            <w:r>
              <w:rPr>
                <w:rFonts w:ascii="Arial" w:hAnsi="Arial" w:cs="Arial"/>
                <w:sz w:val="20"/>
                <w:szCs w:val="20"/>
              </w:rPr>
              <w:t>44% Moderate</w:t>
            </w:r>
          </w:p>
        </w:tc>
        <w:tc>
          <w:tcPr>
            <w:tcW w:w="1528" w:type="dxa"/>
            <w:vMerge w:val="restart"/>
            <w:noWrap/>
            <w:hideMark/>
          </w:tcPr>
          <w:p>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{"citationID":"BBFLRdJu","properties":{"formattedCitation":"(Jigam et al., 2011)","plainCitation":"(Jigam et al., 2011)","noteIndex":0},"citationItems":[{"id":894,"uris":["http://zotero.org/users/9368380/items/PT2ZGFQY"],"itemData":{"id":894,"type":"article-journal","abstract":"Guiera senegalensis Gmel (combretaceae) is a common herbal antipyretic and antimalarial among some tribal groups in northern Nigeria. Leaf extracts of the plant were thus tested for antiplasmodial, analgesic and anti-inflammatory effects in vivo. Phytochemical screening indicated the presence of alkaloids, glycosides, tannins and flavonoids. The extracts had no adverse effects at 600 mg/kg body weight (bw) with LD50 of 2800 mg/kg body weight. G. senegalensis extract significantly (p &amp;lt; 0.05) suppressed the parasites in mice but exhibited no prophylactic activity. It also exhibited analgesic activity with no anti inflammatory effect.","container-title":"Nigerian Journal of Biochemistry and Molecular Biology","ISSN":"2659-0042","issue":"1","language":"en","license":"Copyright (c) 2023 the Nigerian Society of Biochemistry and Molecular Biology","note":"number: 1","page":"33-38","source":"www.ajol.info","title":"Antiplasmodial, analgesic and anti-inflammatory effects of crude Guiera senegalensis leaf extracts in mice infected with Plasmodium berghei","volume":"26","author":[{"family":"Jigam","given":"A. A."},{"family":"Akanya","given":"H. O."},{"family":"Dauda","given":"B. E. N."},{"family":"Ogbadoyi","given":"E. O."}],"issued":{"date-parts":[["2011"]]}}}],"schema":"https://github.com/citation-style-language/schema/raw/master/csl-citation.json"} </w:instrText>
            </w:r>
            <w:r>
              <w:rPr>
                <w:rFonts w:ascii="Arial" w:hAnsi="Arial" w:cs="Arial"/>
              </w:rPr>
              <w:fldChar w:fldCharType="separate"/>
            </w:r>
            <w:r>
              <w:rPr>
                <w:rFonts w:ascii="Arial" w:hAnsi="Arial" w:cs="Arial"/>
                <w:sz w:val="20"/>
                <w:szCs w:val="20"/>
                <w:lang w:val="fr-FR"/>
              </w:rPr>
              <w:t>(Jigam et al., 2011)</w:t>
            </w:r>
            <w:r>
              <w:rPr>
                <w:rFonts w:ascii="Arial" w:hAnsi="Arial" w:cs="Arial"/>
              </w:rPr>
              <w:fldChar w:fldCharType="end"/>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rPr>
            </w:pPr>
            <w:r>
              <w:rPr>
                <w:rFonts w:ascii="Arial" w:hAnsi="Arial" w:cs="Arial"/>
                <w:sz w:val="20"/>
                <w:szCs w:val="20"/>
              </w:rPr>
              <w:t>Anti-edema/mice</w:t>
            </w:r>
          </w:p>
        </w:tc>
        <w:tc>
          <w:tcPr>
            <w:tcW w:w="3216" w:type="dxa"/>
            <w:noWrap/>
            <w:hideMark/>
          </w:tcPr>
          <w:p>
            <w:pPr>
              <w:rPr>
                <w:rFonts w:ascii="Arial" w:hAnsi="Arial" w:cs="Arial"/>
                <w:sz w:val="20"/>
                <w:szCs w:val="20"/>
              </w:rPr>
            </w:pPr>
            <w:r>
              <w:rPr>
                <w:rFonts w:ascii="Arial" w:hAnsi="Arial" w:cs="Arial"/>
                <w:sz w:val="20"/>
                <w:szCs w:val="20"/>
              </w:rPr>
              <w:t>No potential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val="restart"/>
            <w:noWrap/>
            <w:hideMark/>
          </w:tcPr>
          <w:p>
            <w:pPr>
              <w:rPr>
                <w:rFonts w:ascii="Arial" w:hAnsi="Arial" w:cs="Arial"/>
                <w:sz w:val="20"/>
                <w:szCs w:val="20"/>
              </w:rPr>
            </w:pPr>
            <w:r>
              <w:rPr>
                <w:rFonts w:ascii="Arial" w:hAnsi="Arial" w:cs="Arial"/>
                <w:sz w:val="20"/>
                <w:szCs w:val="20"/>
              </w:rPr>
              <w:t>Aqueous</w:t>
            </w:r>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sz w:val="20"/>
                <w:szCs w:val="20"/>
              </w:rPr>
              <w:t>ABTS</w:t>
            </w:r>
          </w:p>
        </w:tc>
        <w:tc>
          <w:tcPr>
            <w:tcW w:w="3216" w:type="dxa"/>
            <w:noWrap/>
            <w:hideMark/>
          </w:tcPr>
          <w:p>
            <w:pPr>
              <w:rPr>
                <w:rFonts w:ascii="Arial" w:hAnsi="Arial" w:cs="Arial"/>
                <w:sz w:val="20"/>
                <w:szCs w:val="20"/>
              </w:rPr>
            </w:pPr>
            <w:r>
              <w:rPr>
                <w:rFonts w:ascii="Arial" w:hAnsi="Arial" w:cs="Arial"/>
                <w:sz w:val="20"/>
                <w:szCs w:val="20"/>
              </w:rPr>
              <w:t>IC50 12,75 ± 0,38 µg/ml</w:t>
            </w:r>
          </w:p>
        </w:tc>
        <w:tc>
          <w:tcPr>
            <w:tcW w:w="1528" w:type="dxa"/>
            <w:vMerge w:val="restart"/>
            <w:noWrap/>
            <w:hideMark/>
          </w:tcPr>
          <w:p>
            <w:pPr>
              <w:rPr>
                <w:rFonts w:ascii="Arial" w:hAnsi="Arial" w:cs="Arial"/>
                <w:sz w:val="20"/>
                <w:szCs w:val="20"/>
              </w:rPr>
            </w:pPr>
            <w:r>
              <w:rPr>
                <w:rFonts w:ascii="Arial" w:hAnsi="Arial" w:cs="Arial"/>
              </w:rPr>
              <w:fldChar w:fldCharType="begin"/>
            </w:r>
            <w:r>
              <w:rPr>
                <w:rFonts w:ascii="Arial" w:hAnsi="Arial" w:cs="Arial"/>
                <w:sz w:val="20"/>
                <w:szCs w:val="20"/>
              </w:rPr>
              <w:instrText xml:space="preserve"> ADDIN ZOTERO_ITEM CSL_CITATION {"citationID":"GRnfin2J","properties":{"formattedCitation":"(Adebayo et al., 2019)","plainCitation":"(Adebayo et al., 2019)","noteIndex":0},"citationItems":[{"id":814,"uris":["http://zotero.org/users/9368380/items/MDGEH2KN"],"itemData":{"id":814,"type":"article-journal","abstract":"Despite the availability of anticancer drugs, breast cancer remains the most death-causing tumor-related disease in women. Hence, there is a need for discovery and development of efficient alternative drugs, and sources such as plants need to be explored. In this study, antioxidant capacities and inhibitory effects against MCF7 cells of the extracts of stem bark of three Nigerian medicinal plants (Detarium microcarpum, Guiera senegalensis, and Cassia siamea) were investigated. The D. microcarpum extracts had the highest antioxidant and antiproliferative effects, followed by that of G. senegalensis, and the C. siamea extracts had minimal effects. The IC50 values of the methanol and aqueous extracts from the three plants that inhibited the proliferation of MCF7 cells ranged from 78–&gt; 500 μg/ml. Moreover, all the plant extracts but the aqueous extract of Cassia siamea exhibited antimetastatic action and induced apoptosis and cell cycle arrest in MCF7 cells. Liquid chromatography/time-of-flight/mass spectrometry profiling revealed that the five potent extracts contain many phenols and omega-6 fatty acids, and some of the identified compounds (isorhamnetin, eupatorin, alpinumisoflavone, procyanidin B3, syringin, and gallic acid) have been reported to have antiproliferative effects on cancer cells. Hence, the stem bark of these plants could be potential sources of antibreast cancer agents.","container-title":"Evidence-Based Complementary and Alternative Medicine","DOI":"10.1155/2019/6104574","ISSN":"1741-4288","issue":"1","language":"en","license":"Copyright © 2019 Ismail Abiola Adebayo et al.","note":"_eprint: https://onlinelibrary.wiley.com/doi/pdf/10.1155/2019/6104574","page":"6104574","source":"Wiley Online Library","title":"Detarium microcarpum, Guiera senegalensis, and Cassia siamea Induce Apoptosis and Cell Cycle Arrest and Inhibit Metastasis on MCF7 Breast Cancer Cells","volume":"2019","author":[{"family":"Adebayo","given":"Ismail Abiola"},{"family":"Gagman","given":"Haladu Ali"},{"family":"Balogun","given":"Wasiu Gbolahan"},{"family":"Adam","given":"Mowaffaq Adam Ahmed"},{"family":"Abas","given":"Rafedah"},{"family":"Hakeem","given":"Khalid Rehman"},{"family":"Nik Him","given":"Nik Ahmad Irwan Izzauddin Bin"},{"family":"Samian","given":"Muhammad Razip Bin"},{"family":"Arsad","given":"Hasni"}],"issued":{"date-parts":[["2019"]]}}}],"schema":"https://github.com/citation-style-language/schema/raw/master/csl-citation.json"} </w:instrText>
            </w:r>
            <w:r>
              <w:rPr>
                <w:rFonts w:ascii="Arial" w:hAnsi="Arial" w:cs="Arial"/>
              </w:rPr>
              <w:fldChar w:fldCharType="separate"/>
            </w:r>
            <w:r>
              <w:rPr>
                <w:rFonts w:ascii="Arial" w:hAnsi="Arial" w:cs="Arial"/>
                <w:sz w:val="20"/>
                <w:szCs w:val="20"/>
              </w:rPr>
              <w:t>(Adebayo et al., 2019)</w:t>
            </w:r>
            <w:r>
              <w:rPr>
                <w:rFonts w:ascii="Arial" w:hAnsi="Arial" w:cs="Arial"/>
              </w:rPr>
              <w:fldChar w:fldCharType="end"/>
            </w: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DPPH</w:t>
            </w:r>
          </w:p>
        </w:tc>
        <w:tc>
          <w:tcPr>
            <w:tcW w:w="3216" w:type="dxa"/>
            <w:noWrap/>
            <w:hideMark/>
          </w:tcPr>
          <w:p>
            <w:pPr>
              <w:rPr>
                <w:rFonts w:ascii="Arial" w:hAnsi="Arial" w:cs="Arial"/>
                <w:sz w:val="20"/>
                <w:szCs w:val="20"/>
              </w:rPr>
            </w:pPr>
            <w:r>
              <w:rPr>
                <w:rFonts w:ascii="Arial" w:hAnsi="Arial" w:cs="Arial"/>
                <w:sz w:val="20"/>
                <w:szCs w:val="20"/>
              </w:rPr>
              <w:t>IC50 18,83 ± 0,67µg/ml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val="restart"/>
            <w:noWrap/>
            <w:hideMark/>
          </w:tcPr>
          <w:p>
            <w:pPr>
              <w:rPr>
                <w:rFonts w:ascii="Arial" w:hAnsi="Arial" w:cs="Arial"/>
                <w:sz w:val="20"/>
                <w:szCs w:val="20"/>
              </w:rPr>
            </w:pPr>
            <w:proofErr w:type="spellStart"/>
            <w:r>
              <w:rPr>
                <w:rFonts w:ascii="Arial" w:hAnsi="Arial" w:cs="Arial"/>
                <w:sz w:val="20"/>
                <w:szCs w:val="20"/>
              </w:rPr>
              <w:t>Hydroacetonic</w:t>
            </w:r>
            <w:proofErr w:type="spellEnd"/>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sz w:val="20"/>
                <w:szCs w:val="20"/>
              </w:rPr>
              <w:t>FRAP</w:t>
            </w:r>
          </w:p>
        </w:tc>
        <w:tc>
          <w:tcPr>
            <w:tcW w:w="3216" w:type="dxa"/>
            <w:noWrap/>
            <w:hideMark/>
          </w:tcPr>
          <w:p>
            <w:pPr>
              <w:rPr>
                <w:rFonts w:ascii="Arial" w:hAnsi="Arial" w:cs="Arial"/>
                <w:sz w:val="20"/>
                <w:szCs w:val="20"/>
              </w:rPr>
            </w:pPr>
            <w:r>
              <w:rPr>
                <w:rFonts w:ascii="Arial" w:hAnsi="Arial" w:cs="Arial"/>
                <w:sz w:val="20"/>
                <w:szCs w:val="20"/>
              </w:rPr>
              <w:t>10,88 ± 0,86 mmol AEAC</w:t>
            </w:r>
          </w:p>
        </w:tc>
        <w:tc>
          <w:tcPr>
            <w:tcW w:w="1528" w:type="dxa"/>
            <w:vMerge w:val="restart"/>
            <w:noWrap/>
            <w:hideMark/>
          </w:tcPr>
          <w:p>
            <w:pPr>
              <w:rPr>
                <w:rFonts w:ascii="Arial" w:hAnsi="Arial" w:cs="Arial"/>
                <w:sz w:val="20"/>
                <w:szCs w:val="20"/>
              </w:rPr>
            </w:pPr>
            <w:r>
              <w:rPr>
                <w:rFonts w:ascii="Arial" w:hAnsi="Arial" w:cs="Arial"/>
              </w:rPr>
              <w:fldChar w:fldCharType="begin"/>
            </w:r>
            <w:r>
              <w:rPr>
                <w:rFonts w:ascii="Arial" w:hAnsi="Arial" w:cs="Arial"/>
                <w:sz w:val="20"/>
                <w:szCs w:val="20"/>
              </w:rPr>
              <w:instrText xml:space="preserve"> ADDIN ZOTERO_ITEM CSL_CITATION {"citationID":"uwv255Dp","properties":{"formattedCitation":"(Tine et al., 2019)","plainCitation":"(Tine et al., 2019)","noteIndex":0},"citationItems":[{"id":238,"uris":["http://zotero.org/users/9368380/items/JBAWT5G3"],"itemData":{"id":238,"type":"article-journal","abstract":"Cette étude avait pour objectif de faire le point sur la composition chimique et les activités biologiques de G. senegalensis, une plante médicinale  largement utilisée en Afrique par les guérisseurs traditionnels pour le  traitement de divers troubles. La plupart de ces études chimiques ont porté sur le criblage phytochimique des extraits de feuilles, de racines, de tiges et de galles. Elles ont montré la présence d'hydrates de carbone, de  stéroïdes, de saponines, de flavonoïdes, d’alcaloïdes, de tanins, de  saponines, de glycosides cardiaques, de coumarines, d’anthraquinones, d’acide ascorbique, d’hétérosides cardiotoniques, de cyanogènes et de terpénoïdes. Les potentialités thérapeutiques des extraits de G.  senegalensis rapportées dans plusieurs travaux scientifiques ont porté sur les activités antibactériennes, antitussives, antidiarrhéiques, cytotoxiques, anti-inflammatoires antipaludiques, antitrypanosomiques,  antihelminthiques, antivirales et antioxydantes. Des études de toxicité sur ces extraits ont été aussi réalisées. Ainsi, des études de caractérisation chimique (variabilité chimique), de formulation galénique et aussi de toxicité clinique sur G. senegalensis doivent être menées afin de mettre en place des produits de phytothérapie moderne.Mots clés: Phytochimie, pharmacologie, feuilles, Guiera senegalensis. English Title: Review on the chemical composition and biological activities of Guiera senegalensis J.F. Gmel. (Combretaceae)The aim of this study was to review the chemical composition and biological activities of G. senegalensis, a medicinal plant widely used in Africa by  traditional healers for the treatment of various disorders. Most of these chemical studies have focused on the phytochemical screening of leaf, root, stem and gall extracts. They showed the presence of carbohydrate,  steroids, saponins, flavonoids, alkaloids, tannins, saponins, cardiac  glycosides, coumarins, anthraquinones, ascorbic acid, cardiotonic  glycosides, cyanogens and terpenoids. The therapeutic potentialities of extracts of G. senegalensis reported in several scientific studies have  focused on antibacterial, antitussive, antidiarrheal, cytotoxic, anti-inflammatory, antimicrobial, antitrypanosomal, anthelmintic, antiviral and antioxidant activities. Toxicity studies on these extracts have also been carried out. Thus, chemical characterization studies (chemical variability), galenic formulation and clinical toxicity studies on G. senegalensis must be carried out in order to implement modern phytotherapy products.Keywords: Phytochemistry, pharmacology, leaves, Guiera senegalensis.","container-title":"International Journal of Biological and Chemical Sciences","DOI":"10.4314/ijbcs.v13i7.37","ISSN":"1997-342X","issue":"7","language":"en","license":"Copyright (c)","note":"number: 7","page":"3449-3462","source":"www.ajol.info","title":"Revue bibliographique sur la composition chimique et les activités biologiques de Guiera senegalensis J.F. Gmel. (Combretaceae)","volume":"13","author":[{"family":"Tine","given":"Yoro"},{"family":"Diop","given":"Moussa"},{"family":"Ndoye","given":"Idrissa"},{"family":"Diallo","given":"Alioune"},{"family":"Wele","given":"Alassane"}],"issued":{"date-parts":[["2019"]]}}}],"schema":"https://github.com/citation-style-language/schema/raw/master/csl-citation.json"} </w:instrText>
            </w:r>
            <w:r>
              <w:rPr>
                <w:rFonts w:ascii="Arial" w:hAnsi="Arial" w:cs="Arial"/>
              </w:rPr>
              <w:fldChar w:fldCharType="separate"/>
            </w:r>
            <w:r>
              <w:rPr>
                <w:rFonts w:ascii="Arial" w:hAnsi="Arial" w:cs="Arial"/>
                <w:sz w:val="20"/>
                <w:szCs w:val="20"/>
              </w:rPr>
              <w:t>(Tine et al., 2019)</w:t>
            </w:r>
            <w:r>
              <w:rPr>
                <w:rFonts w:ascii="Arial" w:hAnsi="Arial" w:cs="Arial"/>
              </w:rPr>
              <w:fldChar w:fldCharType="end"/>
            </w: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Anti-lipid peroxidation</w:t>
            </w:r>
          </w:p>
        </w:tc>
        <w:tc>
          <w:tcPr>
            <w:tcW w:w="3216" w:type="dxa"/>
            <w:noWrap/>
            <w:hideMark/>
          </w:tcPr>
          <w:p>
            <w:pPr>
              <w:rPr>
                <w:rFonts w:ascii="Arial" w:hAnsi="Arial" w:cs="Arial"/>
                <w:sz w:val="20"/>
                <w:szCs w:val="20"/>
              </w:rPr>
            </w:pPr>
            <w:r>
              <w:rPr>
                <w:rFonts w:ascii="Arial" w:hAnsi="Arial" w:cs="Arial"/>
                <w:sz w:val="20"/>
                <w:szCs w:val="20"/>
              </w:rPr>
              <w:t>75,06 ± 2,42% [1,25 mg/ml]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DPPH</w:t>
            </w:r>
          </w:p>
        </w:tc>
        <w:tc>
          <w:tcPr>
            <w:tcW w:w="3216" w:type="dxa"/>
            <w:noWrap/>
            <w:hideMark/>
          </w:tcPr>
          <w:p>
            <w:pPr>
              <w:rPr>
                <w:rFonts w:ascii="Arial" w:hAnsi="Arial" w:cs="Arial"/>
                <w:sz w:val="20"/>
                <w:szCs w:val="20"/>
              </w:rPr>
            </w:pPr>
            <w:r>
              <w:rPr>
                <w:rFonts w:ascii="Arial" w:hAnsi="Arial" w:cs="Arial"/>
                <w:sz w:val="20"/>
                <w:szCs w:val="20"/>
              </w:rPr>
              <w:t>6,02 ± 0,13 mmol/AEAC/g</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val="restart"/>
            <w:noWrap/>
            <w:hideMark/>
          </w:tcPr>
          <w:p>
            <w:pPr>
              <w:rPr>
                <w:rFonts w:ascii="Arial" w:hAnsi="Arial" w:cs="Arial"/>
                <w:sz w:val="20"/>
                <w:szCs w:val="20"/>
              </w:rPr>
            </w:pPr>
            <w:r>
              <w:rPr>
                <w:rFonts w:ascii="Arial" w:hAnsi="Arial" w:cs="Arial"/>
                <w:sz w:val="20"/>
                <w:szCs w:val="20"/>
              </w:rPr>
              <w:t>Anti-inflammatory</w:t>
            </w:r>
          </w:p>
        </w:tc>
        <w:tc>
          <w:tcPr>
            <w:tcW w:w="3014" w:type="dxa"/>
            <w:noWrap/>
            <w:hideMark/>
          </w:tcPr>
          <w:p>
            <w:pPr>
              <w:rPr>
                <w:rFonts w:ascii="Arial" w:hAnsi="Arial" w:cs="Arial"/>
                <w:sz w:val="20"/>
                <w:szCs w:val="20"/>
              </w:rPr>
            </w:pPr>
            <w:r>
              <w:rPr>
                <w:rFonts w:ascii="Arial" w:hAnsi="Arial" w:cs="Arial"/>
                <w:sz w:val="20"/>
                <w:szCs w:val="20"/>
              </w:rPr>
              <w:t>% Uric acid inhibition</w:t>
            </w:r>
          </w:p>
        </w:tc>
        <w:tc>
          <w:tcPr>
            <w:tcW w:w="3216" w:type="dxa"/>
            <w:noWrap/>
            <w:hideMark/>
          </w:tcPr>
          <w:p>
            <w:pPr>
              <w:rPr>
                <w:rFonts w:ascii="Arial" w:hAnsi="Arial" w:cs="Arial"/>
                <w:sz w:val="20"/>
                <w:szCs w:val="20"/>
              </w:rPr>
            </w:pPr>
            <w:r>
              <w:rPr>
                <w:rFonts w:ascii="Arial" w:hAnsi="Arial" w:cs="Arial"/>
                <w:sz w:val="20"/>
                <w:szCs w:val="20"/>
              </w:rPr>
              <w:t>50,9 %</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%inhibition lipoxygenase</w:t>
            </w:r>
          </w:p>
        </w:tc>
        <w:tc>
          <w:tcPr>
            <w:tcW w:w="3216" w:type="dxa"/>
            <w:noWrap/>
            <w:hideMark/>
          </w:tcPr>
          <w:p>
            <w:pPr>
              <w:rPr>
                <w:rFonts w:ascii="Arial" w:hAnsi="Arial" w:cs="Arial"/>
                <w:sz w:val="20"/>
                <w:szCs w:val="20"/>
              </w:rPr>
            </w:pPr>
            <w:r>
              <w:rPr>
                <w:rFonts w:ascii="Arial" w:hAnsi="Arial" w:cs="Arial"/>
                <w:sz w:val="20"/>
                <w:szCs w:val="20"/>
              </w:rPr>
              <w:t>98,95 %</w:t>
            </w:r>
          </w:p>
        </w:tc>
        <w:tc>
          <w:tcPr>
            <w:tcW w:w="1528" w:type="dxa"/>
            <w:vMerge/>
            <w:hideMark/>
          </w:tcPr>
          <w:p>
            <w:pPr>
              <w:rPr>
                <w:rFonts w:ascii="Arial" w:hAnsi="Arial" w:cs="Arial"/>
                <w:sz w:val="20"/>
                <w:szCs w:val="20"/>
              </w:rPr>
            </w:pPr>
          </w:p>
        </w:tc>
      </w:tr>
      <w:tr>
        <w:trPr>
          <w:trHeight w:val="624"/>
          <w:jc w:val="center"/>
        </w:trPr>
        <w:tc>
          <w:tcPr>
            <w:tcW w:w="1560" w:type="dxa"/>
            <w:vMerge w:val="restart"/>
            <w:hideMark/>
          </w:tcPr>
          <w:p>
            <w:pPr>
              <w:rPr>
                <w:rFonts w:ascii="Arial" w:hAnsi="Arial" w:cs="Arial"/>
                <w:i/>
                <w:iCs/>
                <w:sz w:val="20"/>
                <w:szCs w:val="20"/>
              </w:rPr>
            </w:pPr>
            <w:r>
              <w:rPr>
                <w:rFonts w:ascii="Arial" w:hAnsi="Arial" w:cs="Arial"/>
                <w:i/>
                <w:iCs/>
                <w:sz w:val="20"/>
                <w:szCs w:val="20"/>
              </w:rPr>
              <w:t>Acacia nilotica</w:t>
            </w:r>
          </w:p>
        </w:tc>
        <w:tc>
          <w:tcPr>
            <w:tcW w:w="1554" w:type="dxa"/>
            <w:vMerge w:val="restart"/>
            <w:noWrap/>
            <w:hideMark/>
          </w:tcPr>
          <w:p>
            <w:pPr>
              <w:rPr>
                <w:rFonts w:ascii="Arial" w:hAnsi="Arial" w:cs="Arial"/>
                <w:sz w:val="20"/>
                <w:szCs w:val="20"/>
              </w:rPr>
            </w:pPr>
            <w:r>
              <w:rPr>
                <w:rFonts w:ascii="Arial" w:hAnsi="Arial" w:cs="Arial"/>
                <w:sz w:val="20"/>
                <w:szCs w:val="20"/>
              </w:rPr>
              <w:t> </w:t>
            </w:r>
            <w:r>
              <w:rPr>
                <w:rFonts w:ascii="Arial" w:hAnsi="Arial" w:cs="Arial"/>
                <w:bCs/>
                <w:iCs/>
                <w:sz w:val="20"/>
                <w:szCs w:val="20"/>
              </w:rPr>
              <w:t>Fabaceae-Mimosoideae</w:t>
            </w:r>
          </w:p>
        </w:tc>
        <w:tc>
          <w:tcPr>
            <w:tcW w:w="1689" w:type="dxa"/>
            <w:vMerge w:val="restart"/>
            <w:noWrap/>
            <w:hideMark/>
          </w:tcPr>
          <w:p>
            <w:pPr>
              <w:rPr>
                <w:rFonts w:ascii="Arial" w:hAnsi="Arial" w:cs="Arial"/>
                <w:sz w:val="20"/>
                <w:szCs w:val="20"/>
              </w:rPr>
            </w:pPr>
            <w:r>
              <w:rPr>
                <w:rFonts w:ascii="Arial" w:hAnsi="Arial" w:cs="Arial"/>
                <w:sz w:val="20"/>
                <w:szCs w:val="20"/>
              </w:rPr>
              <w:t>Methanolic</w:t>
            </w:r>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bCs/>
                <w:iCs/>
                <w:sz w:val="20"/>
                <w:szCs w:val="20"/>
              </w:rPr>
              <w:t>DPPH</w:t>
            </w:r>
          </w:p>
        </w:tc>
        <w:tc>
          <w:tcPr>
            <w:tcW w:w="3216" w:type="dxa"/>
            <w:noWrap/>
            <w:hideMark/>
          </w:tcPr>
          <w:p>
            <w:pPr>
              <w:rPr>
                <w:rFonts w:ascii="Arial" w:hAnsi="Arial" w:cs="Arial"/>
                <w:sz w:val="20"/>
                <w:szCs w:val="20"/>
              </w:rPr>
            </w:pPr>
            <w:r>
              <w:rPr>
                <w:rFonts w:ascii="Arial" w:hAnsi="Arial" w:cs="Arial"/>
                <w:bCs/>
                <w:iCs/>
                <w:sz w:val="20"/>
                <w:szCs w:val="20"/>
              </w:rPr>
              <w:t>IC50: 0,218 mg/ml</w:t>
            </w:r>
          </w:p>
        </w:tc>
        <w:tc>
          <w:tcPr>
            <w:tcW w:w="1528" w:type="dxa"/>
            <w:vMerge w:val="restart"/>
            <w:noWrap/>
            <w:hideMark/>
          </w:tcPr>
          <w:p>
            <w:pPr>
              <w:rPr>
                <w:rFonts w:ascii="Arial" w:hAnsi="Arial" w:cs="Arial"/>
                <w:sz w:val="20"/>
                <w:szCs w:val="20"/>
                <w:lang w:val="fr-FR"/>
              </w:rPr>
            </w:pPr>
            <w:r>
              <w:rPr>
                <w:rFonts w:ascii="Arial" w:hAnsi="Arial" w:cs="Arial"/>
              </w:rPr>
              <w:fldChar w:fldCharType="begin"/>
            </w:r>
            <w:r>
              <w:rPr>
                <w:rFonts w:ascii="Arial" w:hAnsi="Arial" w:cs="Arial"/>
                <w:sz w:val="20"/>
                <w:szCs w:val="20"/>
              </w:rPr>
              <w:instrText xml:space="preserve"> ADDIN ZOTERO_ITEM CSL_CITATION {"citationID":"ldYsIX6R","properties":{"formattedCitation":"(Yusuf et al., 2018)","plainCitation":"(Yusuf et al., 2018)","noteIndex":0},"citationItems":[{"id":1264,"uris":["http://zotero.org/users/9368380/items/LZ2Y3LPH"],"itemData":{"id":1264,"type":"article-journal","abstract":"Zingiber officinale is a rhizome commonly consumed as a delicacy, medicine or spice. It is considered as a safe spice with several medicinal properties. The aim of this study was to evaluate in-vitro antioxidants, antimicrobial and safety of Nigerian Z. Officinale. Methanol extract of Nigerian Z. Officinale (MEZO) was evaluated for phytochemical composition, total flavonoids and phenol contents using standard procedures. Antibacterial study was carried out via the agar well diffusion method. Antioxidant activities were carried out using 2, 2′- diphenyl-1- picrylhydrazyl (DPPH), and ferric reducing antioxidant properties (FRAP) assay. Twenty five (25) wister rats were randomly grouped into five (A-E) of five animals each. Animals in Groups A-D were orally administered 75,150, 300 and 600 mg/kg bwt of the extract on daily basis for 4 weeks while those in Group A (control) received dist</w:instrText>
            </w:r>
            <w:r>
              <w:rPr>
                <w:rFonts w:ascii="Arial" w:hAnsi="Arial" w:cs="Arial"/>
                <w:sz w:val="20"/>
                <w:szCs w:val="20"/>
                <w:lang w:val="fr-FR"/>
              </w:rPr>
              <w:instrText xml:space="preserve">illed water. Total phenolic and flavonoids contents of the extract were 15.24 ± 0.02 mg GAE/g and 19.84 ± 0.32 mg/g CE respectively. The extract promoted an inhibition of free radicals with IC50 values of 47.05 ± 2.03 μg/mL and 89.15 ± 0.29 μg/mL in DPPH and FRAP assay. At extract concentration of 100 μg/mL, K. pneumoniae showed the highest susceptibility of 29.04 ± 0.35 mm, followed by P. aeuruginisa (26.03 ± 0.41 mm), while S. aureus (15.08 ± 0.20 mm) was least susceptible. The serum concentrations of alanine transaminase (ALT), aspartate transaminase (AST), alkaline phosphatase (ALP), sodium, albumin, total proteins and the computed organs/body weight ratios compared favorably (p &gt; 0.05) with control at all extract doses tested. The bilirubin, urea and creatinine levels significantly (p &lt; 0.05) increase while chloride decreases in rats dosed 600 mg/kg bwt. However, potassium level increases significantly (p &lt; 0.05) in rats dose 300 mg/kg of the extract when compare with the control. This study revealed the strong antioxidant and antimicrobial potentials of methanol extract of Nigerian Zingiber officinale. It was also found to be relatively safe for consumption and thus could serve as a source of candidate for the development of new antioxidants and antimicrobial drugs.","container-title":"Clinical Phytoscience","DOI":"10.1186/s40816-018-0070-2","ISSN":"2199-1197","issue":"1","journalAbbreviation":"Clin Phytosci","language":"en","license":"2018 The Author(s).","note":"number: 1\npublisher: SpringerOpen","page":"1-8","source":"link.springer.com","title":"In-vitro antioxidants, antimicrobial and toxicological evaluation of Nigerian Zingiber officinale","volume":"4","author":[{"family":"Yusuf","given":"Abubakar A."},{"family":"Lawal","given":"Bashir"},{"family":"Abubakar","given":"Asmau N."},{"family":"Berinyuy","given":"Eustace B."},{"family":"Omonije","given":"Yemisi O."},{"family":"Umar","given":"Sheriff I."},{"family":"Shebe","given":"Mohammed N."},{"family":"Alhaji","given":"Yusuf M."}],"issued":{"date-parts":[["2018",12]]}}}],"schema":"https://github.com/citation-style-language/schema/raw/master/csl-citation.json"} </w:instrText>
            </w:r>
            <w:r>
              <w:rPr>
                <w:rFonts w:ascii="Arial" w:hAnsi="Arial" w:cs="Arial"/>
              </w:rPr>
              <w:fldChar w:fldCharType="separate"/>
            </w:r>
            <w:r>
              <w:rPr>
                <w:rFonts w:ascii="Arial" w:hAnsi="Arial" w:cs="Arial"/>
                <w:sz w:val="20"/>
                <w:szCs w:val="20"/>
                <w:lang w:val="fr-FR"/>
              </w:rPr>
              <w:t>(Yusuf et al., 2018)</w:t>
            </w:r>
            <w:r>
              <w:rPr>
                <w:rFonts w:ascii="Arial" w:hAnsi="Arial" w:cs="Arial"/>
              </w:rPr>
              <w:fldChar w:fldCharType="end"/>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 xml:space="preserve"> ABTS</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0,23 mg/ml</w:t>
            </w:r>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sz w:val="20"/>
                <w:szCs w:val="20"/>
                <w:lang w:val="fr-FR"/>
              </w:rPr>
              <w:t xml:space="preserve">%inhibition </w:t>
            </w:r>
            <w:proofErr w:type="spellStart"/>
            <w:r>
              <w:rPr>
                <w:rFonts w:ascii="Arial" w:hAnsi="Arial" w:cs="Arial"/>
                <w:sz w:val="20"/>
                <w:szCs w:val="20"/>
                <w:lang w:val="fr-FR"/>
              </w:rPr>
              <w:t>lipoxygenase</w:t>
            </w:r>
            <w:proofErr w:type="spellEnd"/>
          </w:p>
        </w:tc>
        <w:tc>
          <w:tcPr>
            <w:tcW w:w="3216" w:type="dxa"/>
            <w:noWrap/>
            <w:hideMark/>
          </w:tcPr>
          <w:p>
            <w:pPr>
              <w:rPr>
                <w:rFonts w:ascii="Arial" w:hAnsi="Arial" w:cs="Arial"/>
                <w:sz w:val="20"/>
                <w:szCs w:val="20"/>
                <w:lang w:val="fr-FR"/>
              </w:rPr>
            </w:pPr>
            <w:r>
              <w:rPr>
                <w:rFonts w:ascii="Arial" w:hAnsi="Arial" w:cs="Arial"/>
                <w:bCs/>
                <w:iCs/>
                <w:sz w:val="20"/>
                <w:szCs w:val="20"/>
                <w:lang w:val="fr-FR"/>
              </w:rPr>
              <w:t>%d’inhibition 5,12 ± 1,61%</w:t>
            </w:r>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noWrap/>
            <w:hideMark/>
          </w:tcPr>
          <w:p>
            <w:pPr>
              <w:rPr>
                <w:rFonts w:ascii="Arial" w:hAnsi="Arial" w:cs="Arial"/>
                <w:sz w:val="20"/>
                <w:szCs w:val="20"/>
                <w:lang w:val="fr-FR"/>
              </w:rPr>
            </w:pPr>
            <w:proofErr w:type="spellStart"/>
            <w:r>
              <w:rPr>
                <w:rFonts w:ascii="Arial" w:hAnsi="Arial" w:cs="Arial"/>
                <w:sz w:val="20"/>
                <w:szCs w:val="20"/>
                <w:lang w:val="fr-FR"/>
              </w:rPr>
              <w:t>Aqueous</w:t>
            </w:r>
            <w:proofErr w:type="spellEnd"/>
          </w:p>
        </w:tc>
        <w:tc>
          <w:tcPr>
            <w:tcW w:w="1720" w:type="dxa"/>
            <w:vMerge w:val="restart"/>
            <w:noWrap/>
            <w:hideMark/>
          </w:tcPr>
          <w:p>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3014" w:type="dxa"/>
            <w:hideMark/>
          </w:tcPr>
          <w:p>
            <w:pPr>
              <w:rPr>
                <w:rFonts w:ascii="Arial" w:hAnsi="Arial" w:cs="Arial"/>
                <w:sz w:val="20"/>
                <w:szCs w:val="20"/>
                <w:lang w:val="fr-FR"/>
              </w:rPr>
            </w:pPr>
            <w:r>
              <w:rPr>
                <w:rFonts w:ascii="Arial" w:hAnsi="Arial" w:cs="Arial"/>
                <w:bCs/>
                <w:iCs/>
                <w:sz w:val="20"/>
                <w:szCs w:val="20"/>
                <w:lang w:val="fr-FR"/>
              </w:rPr>
              <w:t>DPPH</w:t>
            </w:r>
          </w:p>
        </w:tc>
        <w:tc>
          <w:tcPr>
            <w:tcW w:w="3216" w:type="dxa"/>
            <w:noWrap/>
            <w:hideMark/>
          </w:tcPr>
          <w:p>
            <w:pPr>
              <w:rPr>
                <w:rFonts w:ascii="Arial" w:hAnsi="Arial" w:cs="Arial"/>
                <w:sz w:val="20"/>
                <w:szCs w:val="20"/>
                <w:lang w:val="fr-FR"/>
              </w:rPr>
            </w:pPr>
            <w:r>
              <w:rPr>
                <w:rFonts w:ascii="Arial" w:hAnsi="Arial" w:cs="Arial"/>
                <w:sz w:val="20"/>
                <w:szCs w:val="20"/>
                <w:lang w:val="fr-FR"/>
              </w:rPr>
              <w:t xml:space="preserve">81.33% at 1000 </w:t>
            </w:r>
            <w:r>
              <w:rPr>
                <w:rFonts w:ascii="Arial" w:hAnsi="Arial" w:cs="Arial"/>
                <w:sz w:val="20"/>
                <w:szCs w:val="20"/>
              </w:rPr>
              <w:t>μ</w:t>
            </w:r>
            <w:r>
              <w:rPr>
                <w:rFonts w:ascii="Arial" w:hAnsi="Arial" w:cs="Arial"/>
                <w:sz w:val="20"/>
                <w:szCs w:val="20"/>
                <w:lang w:val="fr-FR"/>
              </w:rPr>
              <w:t>g/ml concentration</w:t>
            </w:r>
          </w:p>
        </w:tc>
        <w:tc>
          <w:tcPr>
            <w:tcW w:w="1528" w:type="dxa"/>
            <w:vMerge w:val="restart"/>
            <w:noWrap/>
            <w:hideMark/>
          </w:tcPr>
          <w:p>
            <w:pPr>
              <w:rPr>
                <w:rFonts w:ascii="Arial" w:hAnsi="Arial" w:cs="Arial"/>
                <w:sz w:val="20"/>
                <w:szCs w:val="20"/>
                <w:lang w:val="fr-FR"/>
              </w:rPr>
            </w:pPr>
            <w:r>
              <w:rPr>
                <w:rFonts w:ascii="Arial" w:hAnsi="Arial" w:cs="Arial"/>
                <w:sz w:val="20"/>
                <w:szCs w:val="20"/>
                <w:lang w:val="fr-FR"/>
              </w:rPr>
              <w:t>(</w:t>
            </w:r>
            <w:proofErr w:type="spellStart"/>
            <w:r>
              <w:rPr>
                <w:rFonts w:ascii="Arial" w:hAnsi="Arial" w:cs="Arial"/>
                <w:sz w:val="20"/>
                <w:szCs w:val="20"/>
                <w:lang w:val="fr-FR"/>
              </w:rPr>
              <w:t>Kankara</w:t>
            </w:r>
            <w:proofErr w:type="spellEnd"/>
            <w:r>
              <w:rPr>
                <w:rFonts w:ascii="Arial" w:hAnsi="Arial" w:cs="Arial"/>
                <w:sz w:val="20"/>
                <w:szCs w:val="20"/>
                <w:lang w:val="fr-FR"/>
              </w:rPr>
              <w:t xml:space="preserve"> et </w:t>
            </w:r>
            <w:r>
              <w:rPr>
                <w:rFonts w:ascii="Arial" w:hAnsi="Arial" w:cs="Arial"/>
                <w:i/>
                <w:iCs/>
                <w:sz w:val="20"/>
                <w:szCs w:val="20"/>
                <w:lang w:val="fr-FR"/>
              </w:rPr>
              <w:t>al</w:t>
            </w:r>
            <w:r>
              <w:rPr>
                <w:rFonts w:ascii="Arial" w:hAnsi="Arial" w:cs="Arial"/>
                <w:sz w:val="20"/>
                <w:szCs w:val="20"/>
                <w:lang w:val="fr-FR"/>
              </w:rPr>
              <w:t>. 2017)</w:t>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val="restart"/>
            <w:noWrap/>
            <w:hideMark/>
          </w:tcPr>
          <w:p>
            <w:pPr>
              <w:rPr>
                <w:rFonts w:ascii="Arial" w:hAnsi="Arial" w:cs="Arial"/>
                <w:sz w:val="20"/>
                <w:szCs w:val="20"/>
                <w:lang w:val="fr-FR"/>
              </w:rPr>
            </w:pPr>
            <w:r>
              <w:rPr>
                <w:rFonts w:ascii="Arial" w:hAnsi="Arial" w:cs="Arial"/>
                <w:sz w:val="20"/>
                <w:szCs w:val="20"/>
                <w:lang w:val="fr-FR"/>
              </w:rPr>
              <w:t>Ethanol</w:t>
            </w:r>
          </w:p>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DPPH</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13,15 ± 0,55 </w:t>
            </w:r>
            <w:r>
              <w:rPr>
                <w:rFonts w:ascii="Arial" w:hAnsi="Arial" w:cs="Arial"/>
                <w:bCs/>
                <w:iCs/>
                <w:sz w:val="20"/>
                <w:szCs w:val="20"/>
              </w:rPr>
              <w:t>μ</w:t>
            </w:r>
            <w:r>
              <w:rPr>
                <w:rFonts w:ascii="Arial" w:hAnsi="Arial" w:cs="Arial"/>
                <w:bCs/>
                <w:iCs/>
                <w:sz w:val="20"/>
                <w:szCs w:val="20"/>
                <w:lang w:val="fr-FR"/>
              </w:rPr>
              <w:t>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sz w:val="20"/>
                <w:szCs w:val="20"/>
                <w:lang w:val="fr-FR"/>
              </w:rPr>
              <w:t>ABTS</w:t>
            </w:r>
          </w:p>
        </w:tc>
        <w:tc>
          <w:tcPr>
            <w:tcW w:w="3216" w:type="dxa"/>
            <w:noWrap/>
            <w:hideMark/>
          </w:tcPr>
          <w:p>
            <w:pPr>
              <w:rPr>
                <w:rFonts w:ascii="Arial" w:hAnsi="Arial" w:cs="Arial"/>
                <w:sz w:val="20"/>
                <w:szCs w:val="20"/>
                <w:lang w:val="fr-FR"/>
              </w:rPr>
            </w:pPr>
            <w:r>
              <w:rPr>
                <w:rFonts w:ascii="Arial" w:hAnsi="Arial" w:cs="Arial"/>
                <w:sz w:val="20"/>
                <w:szCs w:val="20"/>
                <w:lang w:val="fr-FR"/>
              </w:rPr>
              <w:t>IC</w:t>
            </w:r>
            <w:proofErr w:type="gramStart"/>
            <w:r>
              <w:rPr>
                <w:rFonts w:ascii="Arial" w:hAnsi="Arial" w:cs="Arial"/>
                <w:sz w:val="20"/>
                <w:szCs w:val="20"/>
                <w:lang w:val="fr-FR"/>
              </w:rPr>
              <w:t>50:</w:t>
            </w:r>
            <w:proofErr w:type="gramEnd"/>
            <w:r>
              <w:rPr>
                <w:rFonts w:ascii="Arial" w:hAnsi="Arial" w:cs="Arial"/>
                <w:sz w:val="20"/>
                <w:szCs w:val="20"/>
                <w:lang w:val="fr-FR"/>
              </w:rPr>
              <w:t xml:space="preserve"> 7,88 ± 0,20 </w:t>
            </w:r>
            <w:r>
              <w:rPr>
                <w:rFonts w:ascii="Arial" w:hAnsi="Arial" w:cs="Arial"/>
                <w:sz w:val="20"/>
                <w:szCs w:val="20"/>
              </w:rPr>
              <w:t>μ</w:t>
            </w:r>
            <w:r>
              <w:rPr>
                <w:rFonts w:ascii="Arial" w:hAnsi="Arial" w:cs="Arial"/>
                <w:sz w:val="20"/>
                <w:szCs w:val="20"/>
                <w:lang w:val="fr-FR"/>
              </w:rPr>
              <w:t>g/</w:t>
            </w:r>
            <w:proofErr w:type="spellStart"/>
            <w:r>
              <w:rPr>
                <w:rFonts w:ascii="Arial" w:hAnsi="Arial" w:cs="Arial"/>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22"/>
          <w:jc w:val="center"/>
        </w:trPr>
        <w:tc>
          <w:tcPr>
            <w:tcW w:w="1560" w:type="dxa"/>
          </w:tcPr>
          <w:p>
            <w:pPr>
              <w:rPr>
                <w:rFonts w:ascii="Arial" w:hAnsi="Arial" w:cs="Arial"/>
                <w:i/>
                <w:iCs/>
                <w:sz w:val="20"/>
                <w:szCs w:val="20"/>
                <w:lang w:val="fr-FR"/>
              </w:rPr>
            </w:pPr>
            <w:r>
              <w:rPr>
                <w:rFonts w:ascii="Arial" w:hAnsi="Arial" w:cs="Arial"/>
                <w:i/>
                <w:iCs/>
                <w:sz w:val="20"/>
                <w:szCs w:val="20"/>
                <w:lang w:val="fr-FR"/>
              </w:rPr>
              <w:t xml:space="preserve">Faidherbia </w:t>
            </w:r>
            <w:proofErr w:type="spellStart"/>
            <w:r>
              <w:rPr>
                <w:rFonts w:ascii="Arial" w:hAnsi="Arial" w:cs="Arial"/>
                <w:i/>
                <w:iCs/>
                <w:sz w:val="20"/>
                <w:szCs w:val="20"/>
                <w:lang w:val="fr-FR"/>
              </w:rPr>
              <w:t>albida</w:t>
            </w:r>
            <w:proofErr w:type="spellEnd"/>
          </w:p>
        </w:tc>
        <w:tc>
          <w:tcPr>
            <w:tcW w:w="1554" w:type="dxa"/>
            <w:noWrap/>
          </w:tcPr>
          <w:p>
            <w:pPr>
              <w:rPr>
                <w:rFonts w:ascii="Arial" w:hAnsi="Arial" w:cs="Arial"/>
                <w:sz w:val="20"/>
                <w:szCs w:val="20"/>
                <w:lang w:val="fr-FR"/>
              </w:rPr>
            </w:pPr>
            <w:proofErr w:type="spellStart"/>
            <w:proofErr w:type="gramStart"/>
            <w:r>
              <w:rPr>
                <w:rFonts w:ascii="Arial" w:hAnsi="Arial" w:cs="Arial"/>
                <w:sz w:val="20"/>
                <w:szCs w:val="20"/>
                <w:lang w:val="fr-FR"/>
              </w:rPr>
              <w:t>leguminoseae</w:t>
            </w:r>
            <w:proofErr w:type="gramEnd"/>
            <w:r>
              <w:rPr>
                <w:rFonts w:ascii="Arial" w:hAnsi="Arial" w:cs="Arial"/>
                <w:sz w:val="20"/>
                <w:szCs w:val="20"/>
                <w:lang w:val="fr-FR"/>
              </w:rPr>
              <w:t>-Mimosoideae</w:t>
            </w:r>
            <w:proofErr w:type="spellEnd"/>
          </w:p>
        </w:tc>
        <w:tc>
          <w:tcPr>
            <w:tcW w:w="1689" w:type="dxa"/>
            <w:noWrap/>
          </w:tcPr>
          <w:p>
            <w:pPr>
              <w:rPr>
                <w:rFonts w:ascii="Arial" w:hAnsi="Arial" w:cs="Arial"/>
                <w:sz w:val="20"/>
                <w:szCs w:val="20"/>
                <w:lang w:val="fr-FR"/>
              </w:rPr>
            </w:pPr>
            <w:proofErr w:type="spellStart"/>
            <w:r>
              <w:rPr>
                <w:rFonts w:ascii="Arial" w:hAnsi="Arial" w:cs="Arial"/>
                <w:sz w:val="20"/>
                <w:szCs w:val="20"/>
                <w:lang w:val="fr-FR"/>
              </w:rPr>
              <w:t>Ethanolic</w:t>
            </w:r>
            <w:proofErr w:type="spellEnd"/>
            <w:r>
              <w:rPr>
                <w:rFonts w:ascii="Arial" w:hAnsi="Arial" w:cs="Arial"/>
                <w:sz w:val="20"/>
                <w:szCs w:val="20"/>
                <w:lang w:val="fr-FR"/>
              </w:rPr>
              <w:t xml:space="preserve"> </w:t>
            </w:r>
          </w:p>
        </w:tc>
        <w:tc>
          <w:tcPr>
            <w:tcW w:w="1720" w:type="dxa"/>
            <w:noWrap/>
          </w:tcPr>
          <w:p>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3014" w:type="dxa"/>
            <w:noWrap/>
          </w:tcPr>
          <w:p>
            <w:pPr>
              <w:rPr>
                <w:rFonts w:ascii="Arial" w:hAnsi="Arial" w:cs="Arial"/>
                <w:bCs/>
                <w:iCs/>
                <w:sz w:val="20"/>
                <w:szCs w:val="20"/>
                <w:lang w:val="fr-FR"/>
              </w:rPr>
            </w:pPr>
            <w:r>
              <w:rPr>
                <w:rFonts w:ascii="Arial" w:hAnsi="Arial" w:cs="Arial"/>
                <w:bCs/>
                <w:iCs/>
                <w:sz w:val="20"/>
                <w:szCs w:val="20"/>
                <w:lang w:val="fr-FR"/>
              </w:rPr>
              <w:t>DPPH (fruit)</w:t>
            </w:r>
          </w:p>
          <w:p>
            <w:pPr>
              <w:rPr>
                <w:rFonts w:ascii="Arial" w:hAnsi="Arial" w:cs="Arial"/>
                <w:bCs/>
                <w:iCs/>
                <w:sz w:val="20"/>
                <w:szCs w:val="20"/>
                <w:lang w:val="fr-FR"/>
              </w:rPr>
            </w:pPr>
            <w:r>
              <w:rPr>
                <w:rFonts w:ascii="Arial" w:hAnsi="Arial" w:cs="Arial"/>
                <w:bCs/>
                <w:iCs/>
                <w:sz w:val="20"/>
                <w:szCs w:val="20"/>
                <w:lang w:val="fr-FR"/>
              </w:rPr>
              <w:t>DPPH (</w:t>
            </w:r>
            <w:proofErr w:type="spellStart"/>
            <w:r>
              <w:rPr>
                <w:rFonts w:ascii="Arial" w:hAnsi="Arial" w:cs="Arial"/>
                <w:bCs/>
                <w:iCs/>
                <w:sz w:val="20"/>
                <w:szCs w:val="20"/>
                <w:lang w:val="fr-FR"/>
              </w:rPr>
              <w:t>bark</w:t>
            </w:r>
            <w:proofErr w:type="spellEnd"/>
            <w:r>
              <w:rPr>
                <w:rFonts w:ascii="Arial" w:hAnsi="Arial" w:cs="Arial"/>
                <w:bCs/>
                <w:iCs/>
                <w:sz w:val="20"/>
                <w:szCs w:val="20"/>
                <w:lang w:val="fr-FR"/>
              </w:rPr>
              <w:t>)</w:t>
            </w:r>
          </w:p>
        </w:tc>
        <w:tc>
          <w:tcPr>
            <w:tcW w:w="3216" w:type="dxa"/>
            <w:noWrap/>
          </w:tcPr>
          <w:p>
            <w:pPr>
              <w:rPr>
                <w:rFonts w:ascii="Arial" w:hAnsi="Arial" w:cs="Arial"/>
                <w:bCs/>
                <w:iCs/>
                <w:sz w:val="20"/>
                <w:szCs w:val="20"/>
                <w:lang w:val="fr-FR"/>
              </w:rPr>
            </w:pPr>
            <w:r>
              <w:rPr>
                <w:rFonts w:ascii="Arial" w:hAnsi="Arial" w:cs="Arial"/>
                <w:bCs/>
                <w:iCs/>
                <w:sz w:val="20"/>
                <w:szCs w:val="20"/>
                <w:lang w:val="fr-FR"/>
              </w:rPr>
              <w:t>% d’inhibition : 87 ± 0,04 %</w:t>
            </w:r>
          </w:p>
          <w:p>
            <w:pPr>
              <w:rPr>
                <w:rFonts w:ascii="Arial" w:hAnsi="Arial" w:cs="Arial"/>
                <w:bCs/>
                <w:iCs/>
                <w:sz w:val="20"/>
                <w:szCs w:val="20"/>
                <w:lang w:val="fr-FR"/>
              </w:rPr>
            </w:pPr>
            <w:r>
              <w:rPr>
                <w:rFonts w:ascii="Arial" w:hAnsi="Arial" w:cs="Arial"/>
                <w:bCs/>
                <w:iCs/>
                <w:sz w:val="20"/>
                <w:szCs w:val="20"/>
                <w:lang w:val="fr-FR"/>
              </w:rPr>
              <w:t>% d’inhibition : 17 ± 0,06 %</w:t>
            </w:r>
          </w:p>
        </w:tc>
        <w:tc>
          <w:tcPr>
            <w:tcW w:w="1528" w:type="dxa"/>
            <w:noWrap/>
          </w:tcPr>
          <w:p>
            <w:pPr>
              <w:rPr>
                <w:rFonts w:ascii="Arial" w:hAnsi="Arial" w:cs="Arial"/>
                <w:sz w:val="20"/>
                <w:szCs w:val="20"/>
                <w:lang w:val="fr-FR"/>
              </w:rPr>
            </w:pPr>
            <w:r>
              <w:rPr>
                <w:rFonts w:ascii="Arial" w:hAnsi="Arial" w:cs="Arial"/>
              </w:rPr>
              <w:fldChar w:fldCharType="begin"/>
            </w:r>
            <w:r>
              <w:rPr>
                <w:rFonts w:ascii="Arial" w:hAnsi="Arial" w:cs="Arial"/>
                <w:sz w:val="20"/>
                <w:szCs w:val="20"/>
                <w:lang w:val="fr-FR"/>
              </w:rPr>
              <w:instrText xml:space="preserve"> ADDIN ZOTERO_ITEM CSL_CITATION {"citationID":"dJAWZoCc","properties":{"formattedCitation":"(Ahmed et al., 2019)","plainCitation":"(Ahmed et al., 2019)","noteIndex":0},"citationItems":[{"id":1353,"uris":["http://zotero.org/users/9368380/items/RYKB9IUX"],"itemData":{"id":1353,"type":"article-journal","container-title":"SUST Journal of Agricultural and Veterinary Sciences","issue":"1","page":"1–8","source":"Google Scholar","title":"Antioxidant and hepatoprotective effects of ethanolic extracts of Faidherbia albida fruits and stem bark against carbon tetrachloride induced liver damage in rats","volume":"20","author":[{"family":"Ahmed","given":"Tamadur M."},{"family":"Eldemardash","given":"Ebtihal S."},{"family":"Ali","given":"Sumaia A."}],"issued":{"date-parts":[["2019"]]}}}],"schema":"https://github.com/citation-style-language/schema/raw/master/csl-citation.json"} </w:instrText>
            </w:r>
            <w:r>
              <w:rPr>
                <w:rFonts w:ascii="Arial" w:hAnsi="Arial" w:cs="Arial"/>
              </w:rPr>
              <w:fldChar w:fldCharType="separate"/>
            </w:r>
            <w:r>
              <w:rPr>
                <w:rFonts w:ascii="Arial" w:hAnsi="Arial" w:cs="Arial"/>
                <w:sz w:val="20"/>
                <w:szCs w:val="20"/>
                <w:lang w:val="fr-FR"/>
              </w:rPr>
              <w:t xml:space="preserve">(Ahmed et </w:t>
            </w:r>
            <w:r>
              <w:rPr>
                <w:rFonts w:ascii="Arial" w:hAnsi="Arial" w:cs="Arial"/>
                <w:i/>
                <w:iCs/>
                <w:sz w:val="20"/>
                <w:szCs w:val="20"/>
                <w:lang w:val="fr-FR"/>
              </w:rPr>
              <w:t>al.</w:t>
            </w:r>
            <w:r>
              <w:rPr>
                <w:rFonts w:ascii="Arial" w:hAnsi="Arial" w:cs="Arial"/>
                <w:sz w:val="20"/>
                <w:szCs w:val="20"/>
                <w:lang w:val="fr-FR"/>
              </w:rPr>
              <w:t>, 2019)</w:t>
            </w:r>
            <w:r>
              <w:rPr>
                <w:rFonts w:ascii="Arial" w:hAnsi="Arial" w:cs="Arial"/>
              </w:rPr>
              <w:fldChar w:fldCharType="end"/>
            </w:r>
          </w:p>
        </w:tc>
      </w:tr>
      <w:tr>
        <w:trPr>
          <w:trHeight w:val="322"/>
          <w:jc w:val="center"/>
        </w:trPr>
        <w:tc>
          <w:tcPr>
            <w:tcW w:w="1560" w:type="dxa"/>
            <w:vMerge w:val="restart"/>
            <w:hideMark/>
          </w:tcPr>
          <w:p>
            <w:pPr>
              <w:rPr>
                <w:rFonts w:ascii="Arial" w:hAnsi="Arial" w:cs="Arial"/>
                <w:i/>
                <w:iCs/>
                <w:sz w:val="20"/>
                <w:szCs w:val="20"/>
                <w:lang w:val="fr-FR"/>
              </w:rPr>
            </w:pPr>
            <w:proofErr w:type="spellStart"/>
            <w:r>
              <w:rPr>
                <w:rFonts w:ascii="Arial" w:hAnsi="Arial" w:cs="Arial"/>
                <w:i/>
                <w:iCs/>
                <w:sz w:val="20"/>
                <w:szCs w:val="20"/>
                <w:lang w:val="fr-FR"/>
              </w:rPr>
              <w:t>Zanthoxylome</w:t>
            </w:r>
            <w:proofErr w:type="spellEnd"/>
            <w:r>
              <w:rPr>
                <w:rFonts w:ascii="Arial" w:hAnsi="Arial" w:cs="Arial"/>
                <w:i/>
                <w:iCs/>
                <w:sz w:val="20"/>
                <w:szCs w:val="20"/>
                <w:lang w:val="fr-FR"/>
              </w:rPr>
              <w:t xml:space="preserve"> </w:t>
            </w:r>
            <w:proofErr w:type="spellStart"/>
            <w:r>
              <w:rPr>
                <w:rFonts w:ascii="Arial" w:hAnsi="Arial" w:cs="Arial"/>
                <w:i/>
                <w:iCs/>
                <w:sz w:val="20"/>
                <w:szCs w:val="20"/>
                <w:lang w:val="fr-FR"/>
              </w:rPr>
              <w:t>zanthoxyloides</w:t>
            </w:r>
            <w:proofErr w:type="spellEnd"/>
          </w:p>
        </w:tc>
        <w:tc>
          <w:tcPr>
            <w:tcW w:w="1554" w:type="dxa"/>
            <w:vMerge w:val="restart"/>
            <w:noWrap/>
            <w:hideMark/>
          </w:tcPr>
          <w:p>
            <w:pPr>
              <w:rPr>
                <w:rFonts w:ascii="Arial" w:hAnsi="Arial" w:cs="Arial"/>
                <w:sz w:val="20"/>
                <w:szCs w:val="20"/>
                <w:lang w:val="fr-FR"/>
              </w:rPr>
            </w:pPr>
            <w:r>
              <w:rPr>
                <w:rFonts w:ascii="Arial" w:hAnsi="Arial" w:cs="Arial"/>
                <w:sz w:val="20"/>
                <w:szCs w:val="20"/>
                <w:lang w:val="fr-FR"/>
              </w:rPr>
              <w:t> </w:t>
            </w:r>
            <w:proofErr w:type="spellStart"/>
            <w:r>
              <w:rPr>
                <w:rFonts w:ascii="Arial" w:hAnsi="Arial" w:cs="Arial"/>
                <w:sz w:val="20"/>
                <w:szCs w:val="20"/>
                <w:lang w:val="fr-FR"/>
              </w:rPr>
              <w:t>Rutaceae</w:t>
            </w:r>
            <w:proofErr w:type="spellEnd"/>
          </w:p>
        </w:tc>
        <w:tc>
          <w:tcPr>
            <w:tcW w:w="1689" w:type="dxa"/>
            <w:vMerge w:val="restart"/>
            <w:noWrap/>
            <w:hideMark/>
          </w:tcPr>
          <w:p>
            <w:pPr>
              <w:rPr>
                <w:rFonts w:ascii="Arial" w:hAnsi="Arial" w:cs="Arial"/>
                <w:sz w:val="20"/>
                <w:szCs w:val="20"/>
                <w:lang w:val="fr-FR"/>
              </w:rPr>
            </w:pPr>
            <w:proofErr w:type="spellStart"/>
            <w:r>
              <w:rPr>
                <w:rFonts w:ascii="Arial" w:hAnsi="Arial" w:cs="Arial"/>
                <w:sz w:val="20"/>
                <w:szCs w:val="20"/>
                <w:lang w:val="fr-FR"/>
              </w:rPr>
              <w:t>Aqueous</w:t>
            </w:r>
            <w:proofErr w:type="spellEnd"/>
          </w:p>
        </w:tc>
        <w:tc>
          <w:tcPr>
            <w:tcW w:w="1720" w:type="dxa"/>
            <w:vMerge w:val="restart"/>
            <w:noWrap/>
            <w:hideMark/>
          </w:tcPr>
          <w:p>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3014" w:type="dxa"/>
            <w:noWrap/>
            <w:hideMark/>
          </w:tcPr>
          <w:p>
            <w:pPr>
              <w:rPr>
                <w:rFonts w:ascii="Arial" w:hAnsi="Arial" w:cs="Arial"/>
                <w:sz w:val="20"/>
                <w:szCs w:val="20"/>
                <w:lang w:val="fr-FR"/>
              </w:rPr>
            </w:pPr>
            <w:r>
              <w:rPr>
                <w:rFonts w:ascii="Arial" w:hAnsi="Arial" w:cs="Arial"/>
                <w:bCs/>
                <w:iCs/>
                <w:sz w:val="20"/>
                <w:szCs w:val="20"/>
                <w:lang w:val="fr-FR"/>
              </w:rPr>
              <w:t>DPPH (fruit)</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23,70±0,11µg/</w:t>
            </w:r>
            <w:proofErr w:type="spellStart"/>
            <w:r>
              <w:rPr>
                <w:rFonts w:ascii="Arial" w:hAnsi="Arial" w:cs="Arial"/>
                <w:bCs/>
                <w:iCs/>
                <w:sz w:val="20"/>
                <w:szCs w:val="20"/>
                <w:lang w:val="fr-FR"/>
              </w:rPr>
              <w:t>mL</w:t>
            </w:r>
            <w:proofErr w:type="spellEnd"/>
          </w:p>
        </w:tc>
        <w:tc>
          <w:tcPr>
            <w:tcW w:w="1528" w:type="dxa"/>
            <w:vMerge w:val="restart"/>
            <w:noWrap/>
            <w:hideMark/>
          </w:tcPr>
          <w:p>
            <w:pPr>
              <w:rPr>
                <w:rFonts w:ascii="Arial" w:hAnsi="Arial" w:cs="Arial"/>
                <w:sz w:val="20"/>
                <w:szCs w:val="20"/>
                <w:lang w:val="fr-FR"/>
              </w:rPr>
            </w:pPr>
            <w:r>
              <w:rPr>
                <w:rFonts w:ascii="Arial" w:hAnsi="Arial" w:cs="Arial"/>
                <w:lang w:val="fr-FR"/>
              </w:rPr>
              <w:fldChar w:fldCharType="begin"/>
            </w:r>
            <w:r>
              <w:rPr>
                <w:rFonts w:ascii="Arial" w:hAnsi="Arial" w:cs="Arial"/>
                <w:sz w:val="20"/>
                <w:szCs w:val="20"/>
                <w:lang w:val="fr-FR"/>
              </w:rPr>
              <w:instrText xml:space="preserve"> ADDIN ZOTERO_ITEM CSL_CITATION {"citationID":"ZQMXzUZt","properties":{"formattedCitation":"(Fatai, 2023; Togola, Konar\\uc0\\u233{}, et al., 2023b)","plainCitation":"(Fatai, 2023; Togola, Konaré, et al., 2023b)","dontUpdate":true,"noteIndex":0},"citationItems":[{"id":1255,"uris":["http://zotero.org/users/9368380/items/8KUKD7SW"],"itemData":{"id":1255,"type":"article-journal","abstract":"There is great interest in traditional or folk medicines in order to help with the discovery and development of potentially new pharmaceutics which have clinical benefits to man. Many of these traditional medicines are derived from medicinal plants which have been shown to contain a multitude of chemicals that have potent natural antioxidant properties. The chemical composition (metabolites), characterisation, antioxidant properties and cytoprotective effects to oxidative stress of Zanthoxylum zanthoxyloides (ZZ) root-bark extract obtained from different seasonal conditions, namely: winter, spring, summer and autumn bought from an African store and during one annual collection, were investigated in this thesis. ZZ root-bark was prepared in in two solvents (ethanol and water) and three methods of extraction (Aq decoction and maceration as well as ethanolic maceration). The extracts were investigated using different methods such as moisture content analysis, percentage insoluble fraction, spectrocolorimetric measurements, ash content analysis, analysis of carbon, sulphur, nitrogen, hydrogen and oxygen analysis, gas chromatography-mass spectroscopy (GC-MS), ultra-violet-visible spectroscopy (UV-VIS), Fourier-transform infra-red spectroscopy (FT-IR), qualitative and quantitative phytochemical analyses. Its antioxidative effects was investigated by assessing the plant extract’s ability to scavenge or react with a range of different free radicals such as: 2,2-diphenyl-1-picrylhydrazyl radical (DPPH), hydroxyl radical (●OH), singlet oxygen radical (1O2), nitric oxide radical (NO●), 2,2-azino-bis(3-ethylbenzothiazoline-6-sulphonic acid) (ABTS●+), metal ion, ferric reducing antioxidant power assay (FRAP) and reducing power assay. Lipopolysaccharide (LPS) and H2O2 were used to induce oxidative stress in human leukemic cells (U937 and HL60), and the ZZ extract was used to determine any potential cytoprotective effects to these oxidative insults.\nThe result presented in this thesis showed that the moisture content of ZZ root-bark extract for winter, summer, spring and autumn was between 6.75 – 8.07% and this is within the acceptable moisture content percentage (5 – 8%). A statistically significant difference of *P&lt;0.5 (winter vs spring), ***P&lt;0.001 (spring vs summer) and ****P&lt;0.0001 (winter vs summer) was observed among these seasons. The percentage insoluble fraction of this extract, in both solvents, was about 90% for these seasonal conditions with no statistically significant difference among them. The percentage ash content was between 6.9 – 8.3% for these harvest seasons, with statistically significant difference of *P&lt;0.5 (winter vs spring) and **P&lt;0.01 (winter vs summer), and this is within the acceptable range (5 – 40%). ICP-MS analysis of this extract confirms the presence of calcium, manganese, gallium, strontium, barium, lanthanum and cerium for all extracts from different seasons. GC-MS analysis of ZZ confirms the presence of many metabolites such as alkyl amide, lipids, coumarin, alkaloids, phenolics and triterpenes from all seasons. UV-VIS spectroscopy analysis further confirmed the presence of flavonoids for all seasons. Physico-chemical quantification analyses also confirmed the presence of many of these constituents in the extract. Percentage CHNS-O was between 43 – 52 % for carbon, 0 – 0.21 % for nitrogen, 4 – 12 % for hydrogen and 35 – 41 % for oxygen. However, sulphur was not present in all seasons. The ZZ extract also showed a great ability to scavenge free radicals such as DPPH● (IC50 = 30 μg/ml), ●OH (IC50 = 0.08 mg/ml), H2O2 (IC50 = 0.08 mg/ml), NO● (IC50 = 0.20 mg/ml) 1O2 (IC50 = 0.16 mg/ml) ABTS●+ (IC50 = 0.23 mg/ml) and metal ion (IC50 = 0.11 mg/ml) by accepting hydrogen or electron but showed a weak FRAP and reducing power ability. Finally, the extract showed it had cytoprotective effect against lipopolysaccharide and hydrogen peroxide-induced oxidative stress leading to cell death in U937 and HL60 leukemic cells. A more detailed characterisation showed that the ZZ extract was able to statistically protect against oxidative stress-induced cell death caused by either apoptosis or necrosis. In conclusion, ZZ extract possesses many phytochemical compounds, many of which have antioxidants properties regardless of their harvest seasons. Findings from this thesis confirmed the potential health benefits of ZZ root-bark and could be valuable for pharmaceutical and nutraceutical industries in using it to reveal new sources of natural antioxidant for therapeutic drugs.","language":"en","license":"http://creativecommons.org/licenses/by-nc-nd/4.0/","note":"Accepted: 2024-07-15T08:26:32Z\npublisher: University of Chester","source":"chesterrep.openrepository.com","title":"Characterisation, antioxidant properties and cytoprotective investigation of Zanthoxylum zanthoxyloides root-bark in oxidative stressed promyelocytic leukaemia cells","URL":"https://chesterrep.openrepository.com/handle/10034/628840","author":[{"family":"Fatai","given":"Monsurat A."}],"accessed":{"date-parts":[["2025",1,5]]},"issued":{"date-parts":[["2023",3,31]]}}},{"id":1251,"uris":["http://zotero.org/users/9368380/items/ANHQW78L"],"itemData":{"id":1251,"type":"article-journal","abstract":"Français La littérature rapporte que les drépanocytaires ont fréquemment recours aux plantes pour gérer leurs crises récurrentes. L'objectif de la présente étude était de contribuer à une meilleure connaissance des plantes médicinales utilisées dans la prise en charge de cette maladie. Une enquête ethnobotanique a été menée à Bamako et dans ses environs. L'espèce la plus fréquemment citée a été sélectionnée : Zanthoxylum zanthoxyloides Lam. Zepernick. &amp; Timler, et le potentiel antioxydant et anti-inflammatoire in vitro de leurs extraits de feuilles, de fruits et de racines a été évalué. Au total, 39 personnes ont été enquêtées, dont 21 herboristes, 6 tradipraticiens et 12 drépanocytaires. L'analyse des formulaires d'enquête a révélé 19 espèces végétales appartenant à 16 familles, dont Z. zanthoxyloides, qui avait la plus forte fréquence de citation (20,51%). Le criblage phytochimique de cette espèce a révélé la présence d'alcaloïdes, de composés phénoliques (flavonoïdes, tannins, coumarines), de saponines et de terpènes. Français Les extraits hydroéthanoliques de fruits de Z. zanthoxyloides ont montré la meilleure activité de piégeage des radicaux libres DPPH avec une concentration inhibitrice (IC50) de 20,80 ± 0,11 µg/mL, suivis des extraits hydroéthanoliques d'écorce avec IC50 = 22,9 ± 0,14 µg/mL. Dans le test au phosphomolybdate, les extraits aqueux de fruits avec une valeur de 537,70 ± 0,05 mg AAE/100 g ont montré le potentiel antioxydant le plus élevé. À une concentration d'extraits de 1 mg/mL, les extraits aqueux de fruits ont démontré les taux de dénaturation des protéines les plus efficaces (92,66 ± 0,66 %), suivis des extraits éthanoliques de racines (92,95 ± 1,10 %). Cette étude a montré que les fruits présentent le potentiel anti-radicalaire et anti-inflammatoire le plus prometteur.","container-title":"GSC Biological and Pharmaceutical Sciences","DOI":"10.30574/gscbps.2023.25.1.0402","issue":"1","note":"publisher: Jalgaon: GSC Online Press","page":"019-030","source":"HAL Archives Ouvertes","title":"Ethnobotanical and comparative study of the antioxidant and anti-inflammatory potential of three organs of Zanthoxylum zanthoxyloides, a plant used in the traditional treatment of sickle-cell disease in Bamako","volume":"25","author":[{"family":"Togola","given":"Issiaka"},{"family":"Konaré","given":"Mamadou Abdoulaye"},{"family":"Diarra","given":"Nouhoum"},{"family":"N'Diaye","given":"Maïmounatou"},{"family":"Traore","given":"Nah"}],"issued":{"date-parts":[["2023",10]]}}}],"schema":"https://github.com/citation-style-language/schema/raw/master/csl-citation.json"} </w:instrText>
            </w:r>
            <w:r>
              <w:rPr>
                <w:rFonts w:ascii="Arial" w:hAnsi="Arial" w:cs="Arial"/>
                <w:lang w:val="fr-FR"/>
              </w:rPr>
              <w:fldChar w:fldCharType="separate"/>
            </w:r>
            <w:r>
              <w:rPr>
                <w:rFonts w:ascii="Arial" w:hAnsi="Arial" w:cs="Arial"/>
                <w:sz w:val="20"/>
                <w:szCs w:val="20"/>
                <w:lang w:val="fr-FR"/>
              </w:rPr>
              <w:t xml:space="preserve">(Fatai, 2023; Togola, et </w:t>
            </w:r>
            <w:r>
              <w:rPr>
                <w:rFonts w:ascii="Arial" w:hAnsi="Arial" w:cs="Arial"/>
                <w:i/>
                <w:iCs/>
                <w:sz w:val="20"/>
                <w:szCs w:val="20"/>
                <w:lang w:val="fr-FR"/>
              </w:rPr>
              <w:t>al</w:t>
            </w:r>
            <w:r>
              <w:rPr>
                <w:rFonts w:ascii="Arial" w:hAnsi="Arial" w:cs="Arial"/>
                <w:sz w:val="20"/>
                <w:szCs w:val="20"/>
                <w:lang w:val="fr-FR"/>
              </w:rPr>
              <w:t>., 2023)</w:t>
            </w:r>
            <w:r>
              <w:rPr>
                <w:rFonts w:ascii="Arial" w:hAnsi="Arial" w:cs="Arial"/>
                <w:lang w:val="fr-FR"/>
              </w:rPr>
              <w:fldChar w:fldCharType="end"/>
            </w:r>
            <w:r>
              <w:rPr>
                <w:rFonts w:ascii="Arial" w:hAnsi="Arial" w:cs="Arial"/>
                <w:sz w:val="20"/>
                <w:szCs w:val="20"/>
                <w:lang w:val="fr-FR"/>
              </w:rPr>
              <w:t xml:space="preserve"> </w:t>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 xml:space="preserve">DPPH (Stem </w:t>
            </w:r>
            <w:proofErr w:type="spellStart"/>
            <w:r>
              <w:rPr>
                <w:rFonts w:ascii="Arial" w:hAnsi="Arial" w:cs="Arial"/>
                <w:bCs/>
                <w:iCs/>
                <w:sz w:val="20"/>
                <w:szCs w:val="20"/>
                <w:lang w:val="fr-FR"/>
              </w:rPr>
              <w:t>Bark</w:t>
            </w:r>
            <w:proofErr w:type="spellEnd"/>
            <w:r>
              <w:rPr>
                <w:rFonts w:ascii="Arial" w:hAnsi="Arial" w:cs="Arial"/>
                <w:bCs/>
                <w:iCs/>
                <w:sz w:val="20"/>
                <w:szCs w:val="20"/>
                <w:lang w:val="fr-FR"/>
              </w:rPr>
              <w:t>)</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22,93±0,14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DPPH (Roots)</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24,97±0,25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val="restart"/>
            <w:noWrap/>
            <w:hideMark/>
          </w:tcPr>
          <w:p>
            <w:pPr>
              <w:rPr>
                <w:rFonts w:ascii="Arial" w:hAnsi="Arial" w:cs="Arial"/>
                <w:sz w:val="20"/>
                <w:szCs w:val="20"/>
                <w:lang w:val="fr-FR"/>
              </w:rPr>
            </w:pPr>
            <w:proofErr w:type="spellStart"/>
            <w:r>
              <w:rPr>
                <w:rFonts w:ascii="Arial" w:hAnsi="Arial" w:cs="Arial"/>
                <w:sz w:val="20"/>
                <w:szCs w:val="20"/>
                <w:lang w:val="fr-FR"/>
              </w:rPr>
              <w:t>Hydroethanolic</w:t>
            </w:r>
            <w:proofErr w:type="spellEnd"/>
          </w:p>
        </w:tc>
        <w:tc>
          <w:tcPr>
            <w:tcW w:w="1720" w:type="dxa"/>
            <w:vMerge w:val="restart"/>
            <w:noWrap/>
            <w:hideMark/>
          </w:tcPr>
          <w:p>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3014" w:type="dxa"/>
            <w:noWrap/>
            <w:hideMark/>
          </w:tcPr>
          <w:p>
            <w:pPr>
              <w:rPr>
                <w:rFonts w:ascii="Arial" w:hAnsi="Arial" w:cs="Arial"/>
                <w:sz w:val="20"/>
                <w:szCs w:val="20"/>
                <w:lang w:val="fr-FR"/>
              </w:rPr>
            </w:pPr>
            <w:r>
              <w:rPr>
                <w:rFonts w:ascii="Arial" w:hAnsi="Arial" w:cs="Arial"/>
                <w:bCs/>
                <w:iCs/>
                <w:sz w:val="20"/>
                <w:szCs w:val="20"/>
                <w:lang w:val="fr-FR"/>
              </w:rPr>
              <w:t>DPPH (fruit)</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20,83±0,11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 xml:space="preserve">DPPH (Stem </w:t>
            </w:r>
            <w:proofErr w:type="spellStart"/>
            <w:r>
              <w:rPr>
                <w:rFonts w:ascii="Arial" w:hAnsi="Arial" w:cs="Arial"/>
                <w:bCs/>
                <w:iCs/>
                <w:sz w:val="20"/>
                <w:szCs w:val="20"/>
                <w:lang w:val="fr-FR"/>
              </w:rPr>
              <w:t>Bark</w:t>
            </w:r>
            <w:proofErr w:type="spellEnd"/>
            <w:r>
              <w:rPr>
                <w:rFonts w:ascii="Arial" w:hAnsi="Arial" w:cs="Arial"/>
                <w:bCs/>
                <w:iCs/>
                <w:sz w:val="20"/>
                <w:szCs w:val="20"/>
                <w:lang w:val="fr-FR"/>
              </w:rPr>
              <w:t>)</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25,80±0,56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DPPH (Roots)</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24,72±0,15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sz w:val="20"/>
                <w:szCs w:val="20"/>
                <w:lang w:val="fr-FR"/>
              </w:rPr>
              <w:t>FRAP</w:t>
            </w:r>
            <w:r>
              <w:rPr>
                <w:rFonts w:ascii="Arial" w:hAnsi="Arial" w:cs="Arial"/>
                <w:bCs/>
                <w:iCs/>
                <w:sz w:val="20"/>
                <w:szCs w:val="20"/>
                <w:lang w:val="fr-FR"/>
              </w:rPr>
              <w:t xml:space="preserve"> (Fruit)</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20,80 ± 0,11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sz w:val="20"/>
                <w:szCs w:val="20"/>
                <w:lang w:val="fr-FR"/>
              </w:rPr>
              <w:t>FRAP</w:t>
            </w:r>
            <w:r>
              <w:rPr>
                <w:rFonts w:ascii="Arial" w:hAnsi="Arial" w:cs="Arial"/>
                <w:bCs/>
                <w:iCs/>
                <w:sz w:val="20"/>
                <w:szCs w:val="20"/>
                <w:lang w:val="fr-FR"/>
              </w:rPr>
              <w:t xml:space="preserve"> (</w:t>
            </w:r>
            <w:proofErr w:type="spellStart"/>
            <w:r>
              <w:rPr>
                <w:rFonts w:ascii="Arial" w:hAnsi="Arial" w:cs="Arial"/>
                <w:bCs/>
                <w:iCs/>
                <w:sz w:val="20"/>
                <w:szCs w:val="20"/>
                <w:lang w:val="fr-FR"/>
              </w:rPr>
              <w:t>Bark</w:t>
            </w:r>
            <w:proofErr w:type="spellEnd"/>
            <w:r>
              <w:rPr>
                <w:rFonts w:ascii="Arial" w:hAnsi="Arial" w:cs="Arial"/>
                <w:bCs/>
                <w:iCs/>
                <w:sz w:val="20"/>
                <w:szCs w:val="20"/>
                <w:lang w:val="fr-FR"/>
              </w:rPr>
              <w:t xml:space="preserve">) </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22,9 ± 0,14 µg/</w:t>
            </w:r>
            <w:proofErr w:type="spellStart"/>
            <w:r>
              <w:rPr>
                <w:rFonts w:ascii="Arial" w:hAnsi="Arial" w:cs="Arial"/>
                <w:bCs/>
                <w:iCs/>
                <w:sz w:val="20"/>
                <w:szCs w:val="20"/>
                <w:lang w:val="fr-FR"/>
              </w:rPr>
              <w:t>mL</w:t>
            </w:r>
            <w:proofErr w:type="spellEnd"/>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sz w:val="20"/>
                <w:szCs w:val="20"/>
                <w:lang w:val="fr-FR"/>
              </w:rPr>
              <w:t>FRAP</w:t>
            </w:r>
            <w:r>
              <w:rPr>
                <w:rFonts w:ascii="Arial" w:hAnsi="Arial" w:cs="Arial"/>
                <w:bCs/>
                <w:iCs/>
                <w:sz w:val="20"/>
                <w:szCs w:val="20"/>
                <w:lang w:val="fr-FR"/>
              </w:rPr>
              <w:t xml:space="preserve"> (Roots) </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30 µg/ml</w:t>
            </w:r>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bCs/>
                <w:iCs/>
                <w:sz w:val="20"/>
                <w:szCs w:val="20"/>
                <w:lang w:val="fr-FR"/>
              </w:rPr>
              <w:t>OH</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0,08 mg/ml</w:t>
            </w:r>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lang w:val="fr-FR"/>
              </w:rPr>
            </w:pPr>
            <w:r>
              <w:rPr>
                <w:rFonts w:ascii="Arial" w:hAnsi="Arial" w:cs="Arial"/>
                <w:sz w:val="20"/>
                <w:szCs w:val="20"/>
                <w:lang w:val="fr-FR"/>
              </w:rPr>
              <w:t>NO</w:t>
            </w:r>
          </w:p>
        </w:tc>
        <w:tc>
          <w:tcPr>
            <w:tcW w:w="3216" w:type="dxa"/>
            <w:noWrap/>
            <w:hideMark/>
          </w:tcPr>
          <w:p>
            <w:pPr>
              <w:rPr>
                <w:rFonts w:ascii="Arial" w:hAnsi="Arial" w:cs="Arial"/>
                <w:sz w:val="20"/>
                <w:szCs w:val="20"/>
                <w:lang w:val="fr-FR"/>
              </w:rPr>
            </w:pPr>
            <w:r>
              <w:rPr>
                <w:rFonts w:ascii="Arial" w:hAnsi="Arial" w:cs="Arial"/>
                <w:sz w:val="20"/>
                <w:szCs w:val="20"/>
                <w:lang w:val="fr-FR"/>
              </w:rPr>
              <w:t>IC</w:t>
            </w:r>
            <w:proofErr w:type="gramStart"/>
            <w:r>
              <w:rPr>
                <w:rFonts w:ascii="Arial" w:hAnsi="Arial" w:cs="Arial"/>
                <w:sz w:val="20"/>
                <w:szCs w:val="20"/>
                <w:lang w:val="fr-FR"/>
              </w:rPr>
              <w:t>50:</w:t>
            </w:r>
            <w:proofErr w:type="gramEnd"/>
            <w:r>
              <w:rPr>
                <w:rFonts w:ascii="Arial" w:hAnsi="Arial" w:cs="Arial"/>
                <w:sz w:val="20"/>
                <w:szCs w:val="20"/>
                <w:lang w:val="fr-FR"/>
              </w:rPr>
              <w:t xml:space="preserve"> 0,20 mg/ml</w:t>
            </w:r>
          </w:p>
        </w:tc>
        <w:tc>
          <w:tcPr>
            <w:tcW w:w="1528" w:type="dxa"/>
            <w:vMerge/>
            <w:hideMark/>
          </w:tcPr>
          <w:p>
            <w:pPr>
              <w:rPr>
                <w:rFonts w:ascii="Arial" w:hAnsi="Arial" w:cs="Arial"/>
                <w:sz w:val="20"/>
                <w:szCs w:val="20"/>
                <w:lang w:val="fr-FR"/>
              </w:rPr>
            </w:pP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val="restart"/>
            <w:noWrap/>
            <w:hideMark/>
          </w:tcPr>
          <w:p>
            <w:pPr>
              <w:rPr>
                <w:rFonts w:ascii="Arial" w:hAnsi="Arial" w:cs="Arial"/>
                <w:sz w:val="20"/>
                <w:szCs w:val="20"/>
                <w:lang w:val="fr-FR"/>
              </w:rPr>
            </w:pPr>
            <w:proofErr w:type="spellStart"/>
            <w:r>
              <w:rPr>
                <w:rFonts w:ascii="Arial" w:hAnsi="Arial" w:cs="Arial"/>
                <w:sz w:val="20"/>
                <w:szCs w:val="20"/>
                <w:lang w:val="fr-FR"/>
              </w:rPr>
              <w:t>Methanolic</w:t>
            </w:r>
            <w:proofErr w:type="spellEnd"/>
          </w:p>
        </w:tc>
        <w:tc>
          <w:tcPr>
            <w:tcW w:w="1720" w:type="dxa"/>
            <w:vMerge w:val="restart"/>
            <w:noWrap/>
            <w:hideMark/>
          </w:tcPr>
          <w:p>
            <w:pPr>
              <w:rPr>
                <w:rFonts w:ascii="Arial" w:hAnsi="Arial" w:cs="Arial"/>
                <w:sz w:val="20"/>
                <w:szCs w:val="20"/>
                <w:lang w:val="fr-FR"/>
              </w:rPr>
            </w:pPr>
            <w:proofErr w:type="spellStart"/>
            <w:r>
              <w:rPr>
                <w:rFonts w:ascii="Arial" w:hAnsi="Arial" w:cs="Arial"/>
                <w:sz w:val="20"/>
                <w:szCs w:val="20"/>
                <w:lang w:val="fr-FR"/>
              </w:rPr>
              <w:t>Antioxidant</w:t>
            </w:r>
            <w:proofErr w:type="spellEnd"/>
          </w:p>
        </w:tc>
        <w:tc>
          <w:tcPr>
            <w:tcW w:w="3014" w:type="dxa"/>
            <w:noWrap/>
            <w:hideMark/>
          </w:tcPr>
          <w:p>
            <w:pPr>
              <w:rPr>
                <w:rFonts w:ascii="Arial" w:hAnsi="Arial" w:cs="Arial"/>
                <w:sz w:val="20"/>
                <w:szCs w:val="20"/>
                <w:lang w:val="fr-FR"/>
              </w:rPr>
            </w:pPr>
            <w:r>
              <w:rPr>
                <w:rFonts w:ascii="Arial" w:hAnsi="Arial" w:cs="Arial"/>
                <w:bCs/>
                <w:iCs/>
                <w:sz w:val="20"/>
                <w:szCs w:val="20"/>
                <w:lang w:val="fr-FR"/>
              </w:rPr>
              <w:t>DPPH</w:t>
            </w:r>
          </w:p>
        </w:tc>
        <w:tc>
          <w:tcPr>
            <w:tcW w:w="3216" w:type="dxa"/>
            <w:noWrap/>
            <w:hideMark/>
          </w:tcPr>
          <w:p>
            <w:pPr>
              <w:rPr>
                <w:rFonts w:ascii="Arial" w:hAnsi="Arial" w:cs="Arial"/>
                <w:sz w:val="20"/>
                <w:szCs w:val="20"/>
                <w:lang w:val="fr-FR"/>
              </w:rPr>
            </w:pPr>
            <w:r>
              <w:rPr>
                <w:rFonts w:ascii="Arial" w:hAnsi="Arial" w:cs="Arial"/>
                <w:bCs/>
                <w:iCs/>
                <w:sz w:val="20"/>
                <w:szCs w:val="20"/>
                <w:lang w:val="fr-FR"/>
              </w:rPr>
              <w:t>IC</w:t>
            </w:r>
            <w:proofErr w:type="gramStart"/>
            <w:r>
              <w:rPr>
                <w:rFonts w:ascii="Arial" w:hAnsi="Arial" w:cs="Arial"/>
                <w:bCs/>
                <w:iCs/>
                <w:sz w:val="20"/>
                <w:szCs w:val="20"/>
                <w:lang w:val="fr-FR"/>
              </w:rPr>
              <w:t>50:</w:t>
            </w:r>
            <w:proofErr w:type="gramEnd"/>
            <w:r>
              <w:rPr>
                <w:rFonts w:ascii="Arial" w:hAnsi="Arial" w:cs="Arial"/>
                <w:bCs/>
                <w:iCs/>
                <w:sz w:val="20"/>
                <w:szCs w:val="20"/>
                <w:lang w:val="fr-FR"/>
              </w:rPr>
              <w:t xml:space="preserve"> 40,22 mg/ml</w:t>
            </w:r>
          </w:p>
        </w:tc>
        <w:tc>
          <w:tcPr>
            <w:tcW w:w="1528" w:type="dxa"/>
            <w:vMerge w:val="restart"/>
            <w:noWrap/>
            <w:hideMark/>
          </w:tcPr>
          <w:p>
            <w:pPr>
              <w:rPr>
                <w:rFonts w:ascii="Arial" w:hAnsi="Arial" w:cs="Arial"/>
                <w:sz w:val="20"/>
                <w:szCs w:val="20"/>
                <w:lang w:val="fr-FR"/>
              </w:rPr>
            </w:pPr>
            <w:r>
              <w:rPr>
                <w:rFonts w:ascii="Arial" w:hAnsi="Arial" w:cs="Arial"/>
                <w:lang w:val="fr-FR"/>
              </w:rPr>
              <w:fldChar w:fldCharType="begin"/>
            </w:r>
            <w:r>
              <w:rPr>
                <w:rFonts w:ascii="Arial" w:hAnsi="Arial" w:cs="Arial"/>
                <w:sz w:val="20"/>
                <w:szCs w:val="20"/>
                <w:lang w:val="fr-FR"/>
              </w:rPr>
              <w:instrText xml:space="preserve"> ADDIN ZOTERO_ITEM CSL_CITATION {"citationID":"lAsvDpcr","properties":{"formattedCitation":"(Ayoka et al., 2022)","plainCitation":"(Ayoka et al., 2022)","noteIndex":0},"citationItems":[{"id":1257,"uris":["http://zotero.org/users/9368380/items/M76GQKSI"],"itemData":{"id":1257,"type":"article-journal","container-title":"Tropical Journal of Natural Product Research (TJNPR)","DOI":"10.26538/tjnpr/v6i2.17","issue":"2","page":"276–280","source":"Google Scholar","title":"In-Vitro Antioxidant Activity and Acute Toxicity of the Alkaloidal Constituents of Zanthoxylum zanthoxyloides Leaves","volume":"6","author":[{"family":"Ayoka","given":"Thecla O."},{"family":"Nwachukwu","given":"Ngwu"},{"family":"Ene","given":"Aloysius C."},{"family":"Igwe","given":"Chidi U."},{"family":"Ogara","given":"Amaechi L."},{"family":"Nnadi","given":"Charles O."}],"issued":{"date-parts":[["2022"]]}}}],"schema":"https://github.com/citation-style-language/schema/raw/master/csl-citation.json"} </w:instrText>
            </w:r>
            <w:r>
              <w:rPr>
                <w:rFonts w:ascii="Arial" w:hAnsi="Arial" w:cs="Arial"/>
                <w:lang w:val="fr-FR"/>
              </w:rPr>
              <w:fldChar w:fldCharType="separate"/>
            </w:r>
            <w:r>
              <w:rPr>
                <w:rFonts w:ascii="Arial" w:hAnsi="Arial" w:cs="Arial"/>
                <w:sz w:val="20"/>
                <w:szCs w:val="20"/>
                <w:lang w:val="fr-FR"/>
              </w:rPr>
              <w:t xml:space="preserve">(Ayoka et </w:t>
            </w:r>
            <w:r>
              <w:rPr>
                <w:rFonts w:ascii="Arial" w:hAnsi="Arial" w:cs="Arial"/>
                <w:i/>
                <w:iCs/>
                <w:sz w:val="20"/>
                <w:szCs w:val="20"/>
                <w:lang w:val="fr-FR"/>
              </w:rPr>
              <w:t>al.</w:t>
            </w:r>
            <w:r>
              <w:rPr>
                <w:rFonts w:ascii="Arial" w:hAnsi="Arial" w:cs="Arial"/>
                <w:sz w:val="20"/>
                <w:szCs w:val="20"/>
                <w:lang w:val="fr-FR"/>
              </w:rPr>
              <w:t>, 2022)</w:t>
            </w:r>
            <w:r>
              <w:rPr>
                <w:rFonts w:ascii="Arial" w:hAnsi="Arial" w:cs="Arial"/>
                <w:lang w:val="fr-FR"/>
              </w:rPr>
              <w:fldChar w:fldCharType="end"/>
            </w:r>
          </w:p>
        </w:tc>
      </w:tr>
      <w:tr>
        <w:trPr>
          <w:trHeight w:val="312"/>
          <w:jc w:val="center"/>
        </w:trPr>
        <w:tc>
          <w:tcPr>
            <w:tcW w:w="1560" w:type="dxa"/>
            <w:vMerge/>
            <w:hideMark/>
          </w:tcPr>
          <w:p>
            <w:pPr>
              <w:rPr>
                <w:rFonts w:ascii="Arial" w:hAnsi="Arial" w:cs="Arial"/>
                <w:i/>
                <w:iCs/>
                <w:sz w:val="20"/>
                <w:szCs w:val="20"/>
                <w:lang w:val="fr-FR"/>
              </w:rPr>
            </w:pPr>
          </w:p>
        </w:tc>
        <w:tc>
          <w:tcPr>
            <w:tcW w:w="1554" w:type="dxa"/>
            <w:vMerge/>
            <w:hideMark/>
          </w:tcPr>
          <w:p>
            <w:pPr>
              <w:rPr>
                <w:rFonts w:ascii="Arial" w:hAnsi="Arial" w:cs="Arial"/>
                <w:sz w:val="20"/>
                <w:szCs w:val="20"/>
                <w:lang w:val="fr-FR"/>
              </w:rPr>
            </w:pPr>
          </w:p>
        </w:tc>
        <w:tc>
          <w:tcPr>
            <w:tcW w:w="1689" w:type="dxa"/>
            <w:vMerge/>
            <w:hideMark/>
          </w:tcPr>
          <w:p>
            <w:pPr>
              <w:rPr>
                <w:rFonts w:ascii="Arial" w:hAnsi="Arial" w:cs="Arial"/>
                <w:sz w:val="20"/>
                <w:szCs w:val="20"/>
                <w:lang w:val="fr-FR"/>
              </w:rPr>
            </w:pPr>
          </w:p>
        </w:tc>
        <w:tc>
          <w:tcPr>
            <w:tcW w:w="1720" w:type="dxa"/>
            <w:vMerge/>
            <w:hideMark/>
          </w:tcPr>
          <w:p>
            <w:pPr>
              <w:rPr>
                <w:rFonts w:ascii="Arial" w:hAnsi="Arial" w:cs="Arial"/>
                <w:sz w:val="20"/>
                <w:szCs w:val="20"/>
                <w:lang w:val="fr-FR"/>
              </w:rPr>
            </w:pPr>
          </w:p>
        </w:tc>
        <w:tc>
          <w:tcPr>
            <w:tcW w:w="3014" w:type="dxa"/>
            <w:noWrap/>
            <w:hideMark/>
          </w:tcPr>
          <w:p>
            <w:pPr>
              <w:rPr>
                <w:rFonts w:ascii="Arial" w:hAnsi="Arial" w:cs="Arial"/>
                <w:sz w:val="20"/>
                <w:szCs w:val="20"/>
              </w:rPr>
            </w:pPr>
            <w:r>
              <w:rPr>
                <w:rFonts w:ascii="Arial" w:hAnsi="Arial" w:cs="Arial"/>
                <w:sz w:val="20"/>
                <w:szCs w:val="20"/>
              </w:rPr>
              <w:t>FRAP</w:t>
            </w:r>
          </w:p>
        </w:tc>
        <w:tc>
          <w:tcPr>
            <w:tcW w:w="3216" w:type="dxa"/>
            <w:noWrap/>
            <w:hideMark/>
          </w:tcPr>
          <w:p>
            <w:pPr>
              <w:rPr>
                <w:rFonts w:ascii="Arial" w:hAnsi="Arial" w:cs="Arial"/>
                <w:sz w:val="20"/>
                <w:szCs w:val="20"/>
              </w:rPr>
            </w:pPr>
            <w:r>
              <w:rPr>
                <w:rFonts w:ascii="Arial" w:hAnsi="Arial" w:cs="Arial"/>
                <w:sz w:val="20"/>
                <w:szCs w:val="20"/>
              </w:rPr>
              <w:t>IC50: 34,14 µg/ml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val="restart"/>
            <w:noWrap/>
            <w:hideMark/>
          </w:tcPr>
          <w:p>
            <w:pPr>
              <w:rPr>
                <w:rFonts w:ascii="Arial" w:hAnsi="Arial" w:cs="Arial"/>
                <w:sz w:val="20"/>
                <w:szCs w:val="20"/>
              </w:rPr>
            </w:pPr>
            <w:r>
              <w:rPr>
                <w:rFonts w:ascii="Arial" w:hAnsi="Arial" w:cs="Arial"/>
                <w:sz w:val="20"/>
                <w:szCs w:val="20"/>
              </w:rPr>
              <w:t>Alkaloid extract</w:t>
            </w:r>
          </w:p>
        </w:tc>
        <w:tc>
          <w:tcPr>
            <w:tcW w:w="1720" w:type="dxa"/>
            <w:vMerge w:val="restart"/>
            <w:noWrap/>
            <w:hideMark/>
          </w:tcPr>
          <w:p>
            <w:pPr>
              <w:rPr>
                <w:rFonts w:ascii="Arial" w:hAnsi="Arial" w:cs="Arial"/>
                <w:sz w:val="20"/>
                <w:szCs w:val="20"/>
              </w:rPr>
            </w:pPr>
            <w:r>
              <w:rPr>
                <w:rFonts w:ascii="Arial" w:hAnsi="Arial" w:cs="Arial"/>
                <w:sz w:val="20"/>
                <w:szCs w:val="20"/>
              </w:rPr>
              <w:t>Antioxidant</w:t>
            </w:r>
          </w:p>
          <w:p>
            <w:pPr>
              <w:rPr>
                <w:rFonts w:ascii="Arial" w:hAnsi="Arial" w:cs="Arial"/>
                <w:sz w:val="20"/>
                <w:szCs w:val="20"/>
              </w:rPr>
            </w:pPr>
          </w:p>
          <w:p>
            <w:pPr>
              <w:jc w:val="cente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bCs/>
                <w:iCs/>
                <w:sz w:val="20"/>
                <w:szCs w:val="20"/>
              </w:rPr>
              <w:t>DPPH</w:t>
            </w:r>
          </w:p>
        </w:tc>
        <w:tc>
          <w:tcPr>
            <w:tcW w:w="3216" w:type="dxa"/>
            <w:noWrap/>
            <w:hideMark/>
          </w:tcPr>
          <w:p>
            <w:pPr>
              <w:rPr>
                <w:rFonts w:ascii="Arial" w:hAnsi="Arial" w:cs="Arial"/>
                <w:sz w:val="20"/>
                <w:szCs w:val="20"/>
              </w:rPr>
            </w:pPr>
            <w:r>
              <w:rPr>
                <w:rFonts w:ascii="Arial" w:hAnsi="Arial" w:cs="Arial"/>
                <w:bCs/>
                <w:iCs/>
                <w:sz w:val="20"/>
                <w:szCs w:val="20"/>
              </w:rPr>
              <w:t>IC50: 19,46 mg/ml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FRAP</w:t>
            </w:r>
          </w:p>
        </w:tc>
        <w:tc>
          <w:tcPr>
            <w:tcW w:w="3216" w:type="dxa"/>
            <w:noWrap/>
            <w:hideMark/>
          </w:tcPr>
          <w:p>
            <w:pPr>
              <w:rPr>
                <w:rFonts w:ascii="Arial" w:hAnsi="Arial" w:cs="Arial"/>
                <w:sz w:val="20"/>
                <w:szCs w:val="20"/>
              </w:rPr>
            </w:pPr>
            <w:r>
              <w:rPr>
                <w:rFonts w:ascii="Arial" w:hAnsi="Arial" w:cs="Arial"/>
                <w:sz w:val="20"/>
                <w:szCs w:val="20"/>
              </w:rPr>
              <w:t>IC50: 28,37 µg/ml</w:t>
            </w:r>
          </w:p>
        </w:tc>
        <w:tc>
          <w:tcPr>
            <w:tcW w:w="1528" w:type="dxa"/>
            <w:vMerge/>
            <w:hideMark/>
          </w:tcPr>
          <w:p>
            <w:pPr>
              <w:rPr>
                <w:rFonts w:ascii="Arial" w:hAnsi="Arial" w:cs="Arial"/>
                <w:sz w:val="20"/>
                <w:szCs w:val="20"/>
              </w:rPr>
            </w:pPr>
          </w:p>
        </w:tc>
      </w:tr>
      <w:tr>
        <w:trPr>
          <w:trHeight w:val="293"/>
          <w:jc w:val="center"/>
        </w:trPr>
        <w:tc>
          <w:tcPr>
            <w:tcW w:w="1560" w:type="dxa"/>
            <w:vMerge w:val="restart"/>
            <w:hideMark/>
          </w:tcPr>
          <w:p>
            <w:pPr>
              <w:rPr>
                <w:rFonts w:ascii="Arial" w:hAnsi="Arial" w:cs="Arial"/>
                <w:i/>
                <w:iCs/>
                <w:sz w:val="20"/>
                <w:szCs w:val="20"/>
              </w:rPr>
            </w:pPr>
            <w:proofErr w:type="spellStart"/>
            <w:r>
              <w:rPr>
                <w:rFonts w:ascii="Arial" w:hAnsi="Arial" w:cs="Arial"/>
                <w:i/>
                <w:iCs/>
                <w:sz w:val="20"/>
                <w:szCs w:val="20"/>
              </w:rPr>
              <w:t>Zinziber</w:t>
            </w:r>
            <w:proofErr w:type="spellEnd"/>
            <w:r>
              <w:rPr>
                <w:rFonts w:ascii="Arial" w:hAnsi="Arial" w:cs="Arial"/>
                <w:i/>
                <w:iCs/>
                <w:sz w:val="20"/>
                <w:szCs w:val="20"/>
              </w:rPr>
              <w:t xml:space="preserve"> </w:t>
            </w:r>
            <w:proofErr w:type="spellStart"/>
            <w:r>
              <w:rPr>
                <w:rFonts w:ascii="Arial" w:hAnsi="Arial" w:cs="Arial"/>
                <w:i/>
                <w:iCs/>
                <w:sz w:val="20"/>
                <w:szCs w:val="20"/>
              </w:rPr>
              <w:t>officinale</w:t>
            </w:r>
            <w:proofErr w:type="spellEnd"/>
          </w:p>
        </w:tc>
        <w:tc>
          <w:tcPr>
            <w:tcW w:w="1554" w:type="dxa"/>
            <w:vMerge w:val="restart"/>
            <w:noWrap/>
            <w:hideMark/>
          </w:tcPr>
          <w:p>
            <w:pPr>
              <w:rPr>
                <w:rFonts w:ascii="Arial" w:hAnsi="Arial" w:cs="Arial"/>
                <w:sz w:val="20"/>
                <w:szCs w:val="20"/>
              </w:rPr>
            </w:pPr>
            <w:r>
              <w:rPr>
                <w:rFonts w:ascii="Arial" w:hAnsi="Arial" w:cs="Arial"/>
                <w:sz w:val="20"/>
                <w:szCs w:val="20"/>
              </w:rPr>
              <w:t> </w:t>
            </w:r>
            <w:proofErr w:type="spellStart"/>
            <w:r>
              <w:rPr>
                <w:rFonts w:ascii="Arial" w:hAnsi="Arial" w:cs="Arial"/>
                <w:sz w:val="20"/>
                <w:szCs w:val="20"/>
              </w:rPr>
              <w:t>Zingiberaceae</w:t>
            </w:r>
            <w:proofErr w:type="spellEnd"/>
          </w:p>
        </w:tc>
        <w:tc>
          <w:tcPr>
            <w:tcW w:w="1689" w:type="dxa"/>
            <w:vMerge w:val="restart"/>
            <w:noWrap/>
            <w:hideMark/>
          </w:tcPr>
          <w:p>
            <w:pPr>
              <w:rPr>
                <w:rFonts w:ascii="Arial" w:hAnsi="Arial" w:cs="Arial"/>
                <w:sz w:val="20"/>
                <w:szCs w:val="20"/>
              </w:rPr>
            </w:pPr>
            <w:r>
              <w:rPr>
                <w:rFonts w:ascii="Arial" w:hAnsi="Arial" w:cs="Arial"/>
                <w:sz w:val="20"/>
                <w:szCs w:val="20"/>
              </w:rPr>
              <w:t>Methanol</w:t>
            </w:r>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bCs/>
                <w:iCs/>
                <w:sz w:val="20"/>
                <w:szCs w:val="20"/>
              </w:rPr>
              <w:t>DPPH</w:t>
            </w:r>
          </w:p>
        </w:tc>
        <w:tc>
          <w:tcPr>
            <w:tcW w:w="3216" w:type="dxa"/>
            <w:noWrap/>
            <w:hideMark/>
          </w:tcPr>
          <w:p>
            <w:pPr>
              <w:rPr>
                <w:rFonts w:ascii="Arial" w:hAnsi="Arial" w:cs="Arial"/>
                <w:sz w:val="20"/>
                <w:szCs w:val="20"/>
              </w:rPr>
            </w:pPr>
            <w:r>
              <w:rPr>
                <w:rFonts w:ascii="Arial" w:hAnsi="Arial" w:cs="Arial"/>
                <w:bCs/>
                <w:iCs/>
                <w:sz w:val="20"/>
                <w:szCs w:val="20"/>
              </w:rPr>
              <w:t>47,05 ± 2,03 µg/ml</w:t>
            </w:r>
          </w:p>
        </w:tc>
        <w:tc>
          <w:tcPr>
            <w:tcW w:w="1528" w:type="dxa"/>
            <w:vMerge w:val="restart"/>
            <w:noWrap/>
            <w:hideMark/>
          </w:tcPr>
          <w:p>
            <w:pPr>
              <w:rPr>
                <w:rFonts w:ascii="Arial" w:hAnsi="Arial" w:cs="Arial"/>
                <w:sz w:val="20"/>
                <w:szCs w:val="20"/>
              </w:rPr>
            </w:pPr>
            <w:r>
              <w:rPr>
                <w:rFonts w:ascii="Arial" w:hAnsi="Arial" w:cs="Arial"/>
              </w:rPr>
              <w:fldChar w:fldCharType="begin"/>
            </w:r>
            <w:r>
              <w:rPr>
                <w:rFonts w:ascii="Arial" w:hAnsi="Arial" w:cs="Arial"/>
                <w:sz w:val="20"/>
                <w:szCs w:val="20"/>
              </w:rPr>
              <w:instrText xml:space="preserve"> ADDIN ZOTERO_ITEM CSL_CITATION {"citationID":"nFHsLrex","properties":{"formattedCitation":"(Yusuf et al., 2018)","plainCitation":"(Yusuf et al., 2018)","noteIndex":0},"citationItems":[{"id":1264,"uris":["http://zotero.org/users/9368380/items/LZ2Y3LPH"],"itemData":{"id":1264,"type":"article-journal","abstract":"Zingiber officinale is a rhizome commonly consumed as a delicacy, medicine or spice. It is considered as a safe spice with several medicinal properties. The aim of this study was to evaluate in-vitro antioxidants, antimicrobial and safety of Nigerian Z. Officinale. Methanol extract of Nigerian Z. Officinale (MEZO) was evaluated for phytochemical composition, total flavonoids and phenol contents using standard procedures. Antibacterial study was carried out via the agar well diffusion method. Antioxidant activities were carried out using 2, 2′- diphenyl-1- picrylhydrazyl (DPPH), and ferric reducing antioxidant properties (FRAP) assay. Twenty five (25) wister rats were randomly grouped into five (A-E) of five animals each. Animals in Groups A-D were orally administered 75,150, 300 and 600 mg/kg bwt of the extract on daily basis for 4 weeks while those in Group A (control) received distilled water. Total phenolic and flavonoids contents of the extract were 15.24 ± 0.02 mg GAE/g and 19.84 ± 0.32 mg/g CE respectively. The extract promoted an inhibition of free radicals with IC50 values of 47.05 ± 2.03 μg/mL and 89.15 ± 0.29 μg/mL in DPPH and FRAP assay. At extract concentration of 100 μg/mL, K. pneumoniae showed the highest susceptibility of 29.04 ± 0.35 mm, followed by P. aeuruginisa (26.03 ± 0.41 mm), while S. aureus (15.08 ± 0.20 mm) was least susceptible. The serum concentrations of alanine transaminase (ALT), aspartate transaminase (AST), alkaline phosphatase (ALP), sodium, albumin, total proteins and the computed organs/body weight ratios compared favorably (p &gt; 0.05) with control at all extract doses tested. The bilirubin, urea and creatinine levels significantly (p &lt; 0.05) increase while chloride decreases in rats dosed 600 mg/kg bwt. However, potassium level increases significantly (p &lt; 0.05) in rats dose 300 mg/kg of the extract when compare with the control. This study revealed the strong antioxidant and antimicrobial potentials of methanol extract of Nigerian Zingiber officinale. It was also found to be relatively safe for consumption and thus could serve as a source of candidate for the development of new antioxidants and antimicrobial drugs.","container-title":"Clinical Phytoscience","DOI":"10.1186/s40816-018-0070-2","ISSN":"2199-1197","issue":"1","journalAbbreviation":"Clin Phytosci","language":"en","license":"2018 The Author(s).","note":"number: 1\npublisher: SpringerOpen","page":"1-8","source":"link.springer.com","title":"In-vitro antioxidants, antimicrobial and toxicological evaluation of Nigerian Zingiber officinale","volume":"4","author":[{"family":"Yusuf","given":"Abubakar A."},{"family":"Lawal","given":"Bashir"},{"family":"Abubakar","given":"Asmau N."},{"family":"Berinyuy","given":"Eustace B."},{"family":"Omonije","given":"Yemisi O."},{"family":"Umar","given":"Sheriff I."},{"family":"Shebe","given":"Mohammed N."},{"family":"Alhaji","given":"Yusuf M."}],"issued":{"date-parts":[["2018",12]]}}}],"schema":"https://github.com/citation-style-language/schema/raw/master/csl-citation.json"} </w:instrText>
            </w:r>
            <w:r>
              <w:rPr>
                <w:rFonts w:ascii="Arial" w:hAnsi="Arial" w:cs="Arial"/>
              </w:rPr>
              <w:fldChar w:fldCharType="separate"/>
            </w:r>
            <w:r>
              <w:rPr>
                <w:rFonts w:ascii="Arial" w:hAnsi="Arial" w:cs="Arial"/>
                <w:sz w:val="20"/>
                <w:szCs w:val="20"/>
              </w:rPr>
              <w:t>(Yusuf et al., 2018)</w:t>
            </w:r>
            <w:r>
              <w:rPr>
                <w:rFonts w:ascii="Arial" w:hAnsi="Arial" w:cs="Arial"/>
              </w:rPr>
              <w:fldChar w:fldCharType="end"/>
            </w: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FRAP</w:t>
            </w:r>
          </w:p>
        </w:tc>
        <w:tc>
          <w:tcPr>
            <w:tcW w:w="3216" w:type="dxa"/>
            <w:noWrap/>
            <w:hideMark/>
          </w:tcPr>
          <w:p>
            <w:pPr>
              <w:rPr>
                <w:rFonts w:ascii="Arial" w:hAnsi="Arial" w:cs="Arial"/>
                <w:sz w:val="20"/>
                <w:szCs w:val="20"/>
              </w:rPr>
            </w:pPr>
            <w:r>
              <w:rPr>
                <w:rFonts w:ascii="Arial" w:hAnsi="Arial" w:cs="Arial"/>
                <w:sz w:val="20"/>
                <w:szCs w:val="20"/>
              </w:rPr>
              <w:t>89,15 ± 0,29 µg/ml</w:t>
            </w:r>
          </w:p>
        </w:tc>
        <w:tc>
          <w:tcPr>
            <w:tcW w:w="1528" w:type="dxa"/>
            <w:vMerge/>
            <w:hideMark/>
          </w:tcPr>
          <w:p>
            <w:pPr>
              <w:rPr>
                <w:rFonts w:ascii="Arial" w:hAnsi="Arial" w:cs="Arial"/>
                <w:sz w:val="20"/>
                <w:szCs w:val="20"/>
              </w:rPr>
            </w:pP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val="restart"/>
            <w:noWrap/>
            <w:hideMark/>
          </w:tcPr>
          <w:p>
            <w:pPr>
              <w:rPr>
                <w:rFonts w:ascii="Arial" w:hAnsi="Arial" w:cs="Arial"/>
                <w:sz w:val="20"/>
                <w:szCs w:val="20"/>
              </w:rPr>
            </w:pPr>
            <w:r>
              <w:rPr>
                <w:rFonts w:ascii="Arial" w:hAnsi="Arial" w:cs="Arial"/>
                <w:sz w:val="20"/>
                <w:szCs w:val="20"/>
              </w:rPr>
              <w:t>Essential oil</w:t>
            </w:r>
          </w:p>
        </w:tc>
        <w:tc>
          <w:tcPr>
            <w:tcW w:w="1720" w:type="dxa"/>
            <w:vMerge w:val="restart"/>
            <w:noWrap/>
            <w:hideMark/>
          </w:tcPr>
          <w:p>
            <w:pPr>
              <w:rPr>
                <w:rFonts w:ascii="Arial" w:hAnsi="Arial" w:cs="Arial"/>
                <w:sz w:val="20"/>
                <w:szCs w:val="20"/>
              </w:rPr>
            </w:pPr>
            <w:r>
              <w:rPr>
                <w:rFonts w:ascii="Arial" w:hAnsi="Arial" w:cs="Arial"/>
                <w:sz w:val="20"/>
                <w:szCs w:val="20"/>
              </w:rPr>
              <w:t>Antioxidant</w:t>
            </w:r>
          </w:p>
        </w:tc>
        <w:tc>
          <w:tcPr>
            <w:tcW w:w="3014" w:type="dxa"/>
            <w:noWrap/>
            <w:hideMark/>
          </w:tcPr>
          <w:p>
            <w:pPr>
              <w:rPr>
                <w:rFonts w:ascii="Arial" w:hAnsi="Arial" w:cs="Arial"/>
                <w:sz w:val="20"/>
                <w:szCs w:val="20"/>
              </w:rPr>
            </w:pPr>
            <w:r>
              <w:rPr>
                <w:rFonts w:ascii="Arial" w:hAnsi="Arial" w:cs="Arial"/>
                <w:bCs/>
                <w:iCs/>
                <w:sz w:val="20"/>
                <w:szCs w:val="20"/>
              </w:rPr>
              <w:t>DPPH</w:t>
            </w:r>
          </w:p>
        </w:tc>
        <w:tc>
          <w:tcPr>
            <w:tcW w:w="3216" w:type="dxa"/>
            <w:noWrap/>
            <w:hideMark/>
          </w:tcPr>
          <w:p>
            <w:pPr>
              <w:rPr>
                <w:rFonts w:ascii="Arial" w:hAnsi="Arial" w:cs="Arial"/>
                <w:sz w:val="20"/>
                <w:szCs w:val="20"/>
              </w:rPr>
            </w:pPr>
            <w:r>
              <w:rPr>
                <w:rFonts w:ascii="Arial" w:hAnsi="Arial" w:cs="Arial"/>
                <w:bCs/>
                <w:iCs/>
                <w:sz w:val="20"/>
                <w:szCs w:val="20"/>
              </w:rPr>
              <w:t>36,10 ± 3,51 µg/ml</w:t>
            </w:r>
          </w:p>
        </w:tc>
        <w:tc>
          <w:tcPr>
            <w:tcW w:w="1528" w:type="dxa"/>
            <w:vMerge w:val="restart"/>
            <w:noWrap/>
            <w:hideMark/>
          </w:tcPr>
          <w:p>
            <w:pPr>
              <w:rPr>
                <w:rFonts w:ascii="Arial" w:hAnsi="Arial" w:cs="Arial"/>
                <w:sz w:val="20"/>
                <w:szCs w:val="20"/>
              </w:rPr>
            </w:pPr>
            <w:r>
              <w:rPr>
                <w:rFonts w:ascii="Arial" w:hAnsi="Arial" w:cs="Arial"/>
              </w:rPr>
              <w:fldChar w:fldCharType="begin"/>
            </w:r>
            <w:r>
              <w:rPr>
                <w:rFonts w:ascii="Arial" w:hAnsi="Arial" w:cs="Arial"/>
                <w:sz w:val="20"/>
                <w:szCs w:val="20"/>
              </w:rPr>
              <w:instrText xml:space="preserve"> ADDIN ZOTERO_ITEM CSL_CITATION {"citationID":"vvrMdSkR","properties":{"formattedCitation":"(Bayala et al., 2014)","plainCitation":"(Bayala et al., 2014)","noteIndex":0},"citationItems":[{"id":1271,"uris":["http://zotero.org/users/9368380/items/H29UMMN2"],"itemData":{"id":1271,"type":"article-journal","abstract":"This research highlights the chemical composition, antioxidant, anti-inflammatory and anti-proliferative activities of essential oils from leaves of Ocimum basilicum, Ocimum americanum, Hyptis spicigera, Lippia multiflora, Ageratum conyzoides, Eucalyptus camaldulensis and Zingiber officinale. Essential oils were analyzed by gas chromatography–mass spectrometry and gas chromatography–flame ionization detector. Major constituents were α-terpineol (59.78%) and β-caryophyllene (10.54%) for Ocimum basilicum; 1, 8-cineol (31.22%), camphor (12.730%), α-pinene (6.87%) and trans α-bergamotene (5.32%) for Ocimum americanum; β-caryophyllene (21%), α-pinene (20.11%), sabinene (10.26%), β-pinene (9.22%) and α-phellandrene (7.03%) for Hyptis spicigera; p-cymene (25.27%), β-caryophyllene (12.70%), thymol (11.88), γ-terpinene (9.17%) and thymyle acetate (7.64%) for Lippia multiflora; precocene (82.10%)for Ageratum conyzoides; eucalyptol (59.55%), α-pinene (9.17%) and limonene (8.76%) for Eucalyptus camaldulensis; arcurcumene (16.67%), camphene (12.70%), zingiberene (8.40%), β-bisabolene (7.83%) and β-sesquiphellandrène (5.34%) for Zingiber officinale. Antioxidant activities were examined using 1,1-diphenyl-2-picryl-hydrazyl (DPPH) and 2,2′-azinobis-(3-ethylbenzothiazoline-6-sulfonic acid (ABTS) methods. O. basilicum and L. multiflora exhibited the highest antioxidant activity in DPPH and ABTS tests, respectively. Anti-inflammatory properties were evaluated by measuring the inhibition of lipoxygenase activity and essential oil of Z. officinale was the most active. Anti-proliferative effect was assayed by the measurement of MTT on LNCaP and PC-3 prostate cancer cell lines, and SF-763 and SF-767 glioblastoma cell lines. Essential oils from A. conyzoides and L. multiflora were the most active on LNCaP and PC-3 cell lines, respectively. The SF-767 glioblastoma cell line was the most sensitive to O. basilicum and L. multiflora EOs while essential oil of A. conyzoides showed the highest activity on SF-763 cells. Altogether these results justify the use of these plants in traditional medicine in Burkina Faso and open a new field of investigation in the characterization of the molecules involved in anti-proliferative processes.","container-title":"PLOS ONE","DOI":"10.1371/journal.pone.0092122","ISSN":"1932-6203","issue":"3","journalAbbreviation":"PLOS ONE","language":"fr","note":"publisher: Public Library of Science","page":"e92122","source":"PLoS Journals","title":"Chemical Composition, Antioxidant, Anti-Inflammatory and Anti-Proliferative Activities of Essential Oils of Plants from Burkina Faso","volume":"9","author":[{"family":"Bayala","given":"Bagora"},{"family":"Bassole","given":"Imaël Henri Nestor"},{"family":"Gnoula","given":"Charlemagne"},{"family":"Nebie","given":"Roger"},{"family":"Yonli","given":"Albert"},{"family":"Morel","given":"Laurent"},{"family":"Figueredo","given":"Gilles"},{"family":"Nikiema","given":"Jean-Baptiste"},{"family":"Lobaccaro","given":"Jean-Marc A."},{"family":"Simpore","given":"Jacques"}],"issued":{"date-parts":[["2014",3,24]]}}}],"schema":"https://github.com/citation-style-language/schema/raw/master/csl-citation.json"} </w:instrText>
            </w:r>
            <w:r>
              <w:rPr>
                <w:rFonts w:ascii="Arial" w:hAnsi="Arial" w:cs="Arial"/>
              </w:rPr>
              <w:fldChar w:fldCharType="separate"/>
            </w:r>
            <w:r>
              <w:rPr>
                <w:rFonts w:ascii="Arial" w:hAnsi="Arial" w:cs="Arial"/>
                <w:sz w:val="20"/>
                <w:szCs w:val="20"/>
              </w:rPr>
              <w:t>(Bayala et al., 2014)</w:t>
            </w:r>
            <w:r>
              <w:rPr>
                <w:rFonts w:ascii="Arial" w:hAnsi="Arial" w:cs="Arial"/>
              </w:rPr>
              <w:fldChar w:fldCharType="end"/>
            </w:r>
          </w:p>
        </w:tc>
      </w:tr>
      <w:tr>
        <w:trPr>
          <w:trHeight w:val="312"/>
          <w:jc w:val="center"/>
        </w:trPr>
        <w:tc>
          <w:tcPr>
            <w:tcW w:w="1560" w:type="dxa"/>
            <w:vMerge/>
            <w:hideMark/>
          </w:tcPr>
          <w:p>
            <w:pPr>
              <w:rPr>
                <w:rFonts w:ascii="Arial" w:hAnsi="Arial" w:cs="Arial"/>
                <w:i/>
                <w:iCs/>
                <w:sz w:val="20"/>
                <w:szCs w:val="20"/>
              </w:rPr>
            </w:pPr>
          </w:p>
        </w:tc>
        <w:tc>
          <w:tcPr>
            <w:tcW w:w="1554" w:type="dxa"/>
            <w:vMerge/>
            <w:hideMark/>
          </w:tcPr>
          <w:p>
            <w:pPr>
              <w:rPr>
                <w:rFonts w:ascii="Arial" w:hAnsi="Arial" w:cs="Arial"/>
                <w:sz w:val="20"/>
                <w:szCs w:val="20"/>
              </w:rPr>
            </w:pPr>
          </w:p>
        </w:tc>
        <w:tc>
          <w:tcPr>
            <w:tcW w:w="1689" w:type="dxa"/>
            <w:vMerge/>
            <w:hideMark/>
          </w:tcPr>
          <w:p>
            <w:pPr>
              <w:rPr>
                <w:rFonts w:ascii="Arial" w:hAnsi="Arial" w:cs="Arial"/>
                <w:sz w:val="20"/>
                <w:szCs w:val="20"/>
              </w:rPr>
            </w:pPr>
          </w:p>
        </w:tc>
        <w:tc>
          <w:tcPr>
            <w:tcW w:w="1720" w:type="dxa"/>
            <w:vMerge/>
            <w:hideMark/>
          </w:tcPr>
          <w:p>
            <w:pPr>
              <w:rPr>
                <w:rFonts w:ascii="Arial" w:hAnsi="Arial" w:cs="Arial"/>
                <w:sz w:val="20"/>
                <w:szCs w:val="20"/>
              </w:rPr>
            </w:pPr>
          </w:p>
        </w:tc>
        <w:tc>
          <w:tcPr>
            <w:tcW w:w="3014" w:type="dxa"/>
            <w:noWrap/>
            <w:hideMark/>
          </w:tcPr>
          <w:p>
            <w:pPr>
              <w:rPr>
                <w:rFonts w:ascii="Arial" w:hAnsi="Arial" w:cs="Arial"/>
                <w:sz w:val="20"/>
                <w:szCs w:val="20"/>
              </w:rPr>
            </w:pPr>
            <w:r>
              <w:rPr>
                <w:rFonts w:ascii="Arial" w:hAnsi="Arial" w:cs="Arial"/>
                <w:sz w:val="20"/>
                <w:szCs w:val="20"/>
              </w:rPr>
              <w:t>ABTS</w:t>
            </w:r>
          </w:p>
        </w:tc>
        <w:tc>
          <w:tcPr>
            <w:tcW w:w="3216" w:type="dxa"/>
            <w:noWrap/>
            <w:hideMark/>
          </w:tcPr>
          <w:p>
            <w:pPr>
              <w:rPr>
                <w:rFonts w:ascii="Arial" w:hAnsi="Arial" w:cs="Arial"/>
                <w:sz w:val="20"/>
                <w:szCs w:val="20"/>
              </w:rPr>
            </w:pPr>
            <w:r>
              <w:rPr>
                <w:rFonts w:ascii="Arial" w:hAnsi="Arial" w:cs="Arial"/>
                <w:sz w:val="20"/>
                <w:szCs w:val="20"/>
              </w:rPr>
              <w:t>0,34 ± 0,03 µg/ml</w:t>
            </w:r>
          </w:p>
        </w:tc>
        <w:tc>
          <w:tcPr>
            <w:tcW w:w="1528" w:type="dxa"/>
            <w:vMerge/>
            <w:hideMark/>
          </w:tcPr>
          <w:p>
            <w:pPr>
              <w:rPr>
                <w:rFonts w:ascii="Arial" w:hAnsi="Arial" w:cs="Arial"/>
                <w:sz w:val="20"/>
                <w:szCs w:val="20"/>
              </w:rPr>
            </w:pPr>
          </w:p>
        </w:tc>
      </w:tr>
    </w:tbl>
    <w:p>
      <w:pPr>
        <w:rPr>
          <w:rFonts w:ascii="Arial" w:hAnsi="Arial" w:cs="Arial"/>
        </w:rPr>
      </w:pPr>
      <w:r>
        <w:rPr>
          <w:rFonts w:ascii="Arial" w:hAnsi="Arial" w:cs="Arial"/>
        </w:rPr>
        <w:br w:type="page"/>
      </w:r>
      <w:r>
        <w:rPr>
          <w:noProof/>
        </w:rPr>
        <mc:AlternateContent>
          <mc:Choice Requires="wps">
            <w:drawing>
              <wp:anchor distT="0" distB="0" distL="114300" distR="114300" simplePos="0" relativeHeight="251663360" behindDoc="0" locked="0" layoutInCell="1" allowOverlap="1">
                <wp:simplePos x="0" y="0"/>
                <wp:positionH relativeFrom="column">
                  <wp:posOffset>845185</wp:posOffset>
                </wp:positionH>
                <wp:positionV relativeFrom="paragraph">
                  <wp:posOffset>8012430</wp:posOffset>
                </wp:positionV>
                <wp:extent cx="6310630" cy="594360"/>
                <wp:effectExtent l="0" t="0" r="0" b="0"/>
                <wp:wrapNone/>
                <wp:docPr id="129150672"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3" o:spid="_x0000_s1028" type="#_x0000_t202" style="position:absolute;margin-left:66.55pt;margin-top:630.9pt;width:496.9pt;height:4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" fillcolor="white [3201]" stroked="f" strokeweight=".5pt">
                <v:textbo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845185</wp:posOffset>
                </wp:positionH>
                <wp:positionV relativeFrom="paragraph">
                  <wp:posOffset>8012430</wp:posOffset>
                </wp:positionV>
                <wp:extent cx="6310630" cy="594360"/>
                <wp:effectExtent l="0" t="0" r="0" b="0"/>
                <wp:wrapNone/>
                <wp:docPr id="658777287"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0630" cy="594360"/>
                        </a:xfrm>
                        <a:prstGeom prst="rect">
                          <a:avLst/>
                        </a:prstGeom>
                        <a:solidFill>
                          <a:schemeClr val="lt1"/>
                        </a:solidFill>
                        <a:ln w="6350">
                          <a:noFill/>
                        </a:ln>
                      </wps:spPr>
                      <wps:txb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Zone de texte 1" o:spid="_x0000_s1029" type="#_x0000_t202" style="position:absolute;margin-left:66.55pt;margin-top:630.9pt;width:496.9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" fillcolor="white [3201]" stroked="f" strokeweight=".5pt">
                <v:textbox>
                  <w:txbxContent>
                    <w:p>
                      <w:pPr>
                        <w:rPr>
                          <w:i/>
                          <w:szCs w:val="24"/>
                        </w:rPr>
                      </w:pPr>
                      <w:r>
                        <w:t xml:space="preserve">A: </w:t>
                      </w:r>
                      <w:r>
                        <w:rPr>
                          <w:i/>
                          <w:iCs/>
                        </w:rPr>
                        <w:t>Guiera senegalensis</w:t>
                      </w:r>
                      <w:r>
                        <w:t xml:space="preserve">, B: </w:t>
                      </w:r>
                      <w:r>
                        <w:rPr>
                          <w:i/>
                          <w:iCs/>
                        </w:rPr>
                        <w:t>Acacia nilotica</w:t>
                      </w:r>
                      <w:r>
                        <w:t xml:space="preserve">, C: </w:t>
                      </w:r>
                      <w:r>
                        <w:rPr>
                          <w:i/>
                          <w:iCs/>
                        </w:rPr>
                        <w:t xml:space="preserve">Faidherbia albida, </w:t>
                      </w:r>
                      <w:r>
                        <w:rPr>
                          <w:szCs w:val="24"/>
                        </w:rPr>
                        <w:t xml:space="preserve">D: </w:t>
                      </w:r>
                      <w:r>
                        <w:rPr>
                          <w:i/>
                          <w:iCs/>
                          <w:szCs w:val="24"/>
                        </w:rPr>
                        <w:t>Zingiber officinale</w:t>
                      </w:r>
                      <w:r>
                        <w:t>, E:</w:t>
                      </w:r>
                      <w:r>
                        <w:rPr>
                          <w:i/>
                          <w:iCs/>
                          <w:szCs w:val="24"/>
                        </w:rPr>
                        <w:t xml:space="preserve"> </w:t>
                      </w:r>
                      <w:r>
                        <w:rPr>
                          <w:i/>
                          <w:szCs w:val="24"/>
                        </w:rPr>
                        <w:t>Zanthozylome zanthoxyloides (Source: Annick Madinatou Ouédraogo)</w:t>
                      </w:r>
                    </w:p>
                    <w:p/>
                  </w:txbxContent>
                </v:textbox>
              </v:shape>
            </w:pict>
          </mc:Fallback>
        </mc:AlternateContent>
      </w:r>
    </w:p>
    <w:p>
      <w:pPr>
        <w:pStyle w:val="Body"/>
        <w:rPr>
          <w:rFonts w:ascii="Arial" w:hAnsi="Arial" w:cs="Arial"/>
          <w:b/>
          <w:caps/>
          <w:sz w:val="22"/>
        </w:rPr>
        <w:sectPr>
          <w:pgSz w:w="15840" w:h="12240" w:orient="landscape"/>
          <w:pgMar w:top="2019" w:right="2019" w:bottom="2019" w:left="1440" w:header="720" w:footer="1123" w:gutter="0"/>
          <w:cols w:space="720"/>
          <w:docGrid w:linePitch="272"/>
        </w:sectPr>
      </w:pPr>
    </w:p>
    <w:p>
      <w:pPr>
        <w:pStyle w:val="Body"/>
        <w:rPr>
          <w:rFonts w:cs="Arial"/>
        </w:rPr>
      </w:pPr>
      <w:r>
        <w:rPr>
          <w:rFonts w:ascii="Arial" w:hAnsi="Arial" w:cs="Arial"/>
          <w:b/>
          <w:caps/>
          <w:sz w:val="22"/>
        </w:rPr>
        <w:lastRenderedPageBreak/>
        <w:t>4.</w:t>
      </w:r>
      <w:r>
        <w:rPr>
          <w:rFonts w:ascii="Arial" w:hAnsi="Arial" w:cs="Arial"/>
        </w:rPr>
        <w:t xml:space="preserve"> </w:t>
      </w:r>
      <w:r>
        <w:rPr>
          <w:rFonts w:ascii="Arial" w:hAnsi="Arial" w:cs="Arial"/>
          <w:b/>
          <w:bCs/>
          <w:sz w:val="22"/>
          <w:szCs w:val="22"/>
        </w:rPr>
        <w:t>DISCUSSION</w:t>
      </w:r>
      <w:r>
        <w:rPr>
          <w:rFonts w:ascii="Arial" w:hAnsi="Arial" w:cs="Arial"/>
          <w:b/>
          <w:bCs/>
          <w:caps/>
          <w:sz w:val="22"/>
          <w:szCs w:val="22"/>
        </w:rPr>
        <w:t xml:space="preserve"> </w:t>
      </w:r>
    </w:p>
    <w:p>
      <w:pPr>
        <w:pStyle w:val="Body"/>
        <w:rPr>
          <w:rFonts w:ascii="Arial" w:hAnsi="Arial" w:cs="Arial"/>
        </w:rPr>
      </w:pPr>
      <w:r>
        <w:rPr>
          <w:rFonts w:ascii="Arial" w:hAnsi="Arial" w:cs="Arial"/>
        </w:rPr>
        <w:t xml:space="preserve">The World Health Organization (WHO) estimates that 80% of Africa's population depends on traditional medicine or medicinal plants to meet their primary health care needs </w:t>
      </w:r>
      <w:r>
        <w:rPr>
          <w:rFonts w:ascii="Arial" w:hAnsi="Arial" w:cs="Arial"/>
        </w:rPr>
        <w:fldChar w:fldCharType="begin"/>
      </w:r>
      <w:r>
        <w:rPr>
          <w:rFonts w:ascii="Arial" w:hAnsi="Arial" w:cs="Arial"/>
        </w:rPr>
        <w:instrText xml:space="preserve"> ADDIN ZOTERO_ITEM CSL_CITATION {"citationID":"kQjSYof9","properties":{"formattedCitation":"(OMS, 2022)","plainCitation":"(OMS, 2022)","dontUpdate":true,"noteIndex":0},"citationItems":[{"id":1298,"uris":["http://zotero.org/users/9368380/items/IL3B9YJ7"],"itemData":{"id":1298,"type":"webpage","abstract":"The World Health Organization (WHO) is building a better future for people everywhere. Health lays the foundation for vibrant and productive communities, stronger economies, safer nations and a better world. Our work touches lives around the world every day – often in invisible ways. As the lead health authority within the United Nations (UN) system, we help ensure the safety of the air we breathe, the food we eat, the water we drink and the medicines and vaccines that treat and protect us. The Organization aims to provide every child, woman and man with the best chance to lead a healthier, longer life.","language":"fr","title":"Journée africaine de la médecine traditionnelle 2022 | OMS | Bureau régional pour l'Afrique","URL":"https://www.afro.who.int/fr/regional-director/speeches-messages/journee-africaine-de-la-medecine-traditionnelle-2022","author":[{"family":"OMS","given":""}],"accessed":{"date-parts":[["2025",4,8]]},"issued":{"date-parts":[["2022"]]}}}],"schema":"https://github.com/citation-style-language/schema/raw/master/csl-citation.json"} </w:instrText>
      </w:r>
      <w:r>
        <w:rPr>
          <w:rFonts w:ascii="Arial" w:hAnsi="Arial" w:cs="Arial"/>
        </w:rPr>
        <w:fldChar w:fldCharType="separate"/>
      </w:r>
      <w:r>
        <w:rPr>
          <w:rFonts w:ascii="Arial" w:hAnsi="Arial" w:cs="Arial"/>
        </w:rPr>
        <w:t>(WHO, 2022).</w:t>
      </w:r>
      <w:r>
        <w:rPr>
          <w:rFonts w:ascii="Arial" w:hAnsi="Arial" w:cs="Arial"/>
        </w:rPr>
        <w:fldChar w:fldCharType="end"/>
      </w:r>
      <w:r>
        <w:rPr>
          <w:rFonts w:ascii="Arial" w:hAnsi="Arial" w:cs="Arial"/>
        </w:rPr>
        <w:t xml:space="preserve"> This dependence is largely due to the recognition of plants as an important source of biologically active natural compounds. Knowledge of the benefits and risks associated with medicinal plants comes from traditional beliefs specific to each culture. These bodies of knowledge have evolved gradually over the centuries, thanks to repeated experiential uses. Therefore, they have developed in various ways in different parts of the world. Although medicinal plants have been used for centuries, only a limited number of species have been studied for their medical applications. Information on their safety and efficacy remains scarce, whether for the plants themselves, their extracts, their active compounds, or the preparations that contain them </w:t>
      </w:r>
      <w:r>
        <w:rPr>
          <w:rFonts w:ascii="Arial" w:hAnsi="Arial" w:cs="Arial"/>
        </w:rPr>
        <w:fldChar w:fldCharType="begin"/>
      </w:r>
      <w:r>
        <w:rPr>
          <w:rFonts w:ascii="Arial" w:hAnsi="Arial" w:cs="Arial"/>
        </w:rPr>
        <w:instrText xml:space="preserve"> ADDIN ZOTERO_ITEM CSL_CITATION {"citationID":"xOnzFGcn","properties":{"formattedCitation":"(Tine et al., 2019)","plainCitation":"(Tine et al., 2019)","dontUpdate":true,"noteIndex":0},"citationItems":[{"id":238,"uris":["http://zotero.org/users/9368380/items/JBAWT5G3"],"itemData":{"id":238,"type":"article-journal","abstract":"Cette étude avait pour objectif de faire le point sur la composition chimique et les activités biologiques de G. senegalensis, une plante médicinale  largement utilisée en Afrique par les guérisseurs traditionnels pour le  traitement de divers troubles. La plupart de ces études chimiques ont porté sur le criblage phytochimique des extraits de feuilles, de racines, de tiges et de galles. Elles ont montré la présence d'hydrates de carbone, de  stéroïdes, de saponines, de flavonoïdes, d’alcaloïdes, de tanins, de  saponines, de glycosides cardiaques, de coumarines, d’anthraquinones, d’acide ascorbique, d’hétérosides cardiotoniques, de cyanogènes et de terpénoïdes. Les potentialités thérapeutiques des extraits de G.  senegalensis rapportées dans plusieurs travaux scientifiques ont porté sur les activités antibactériennes, antitussives, antidiarrhéiques, cytotoxiques, anti-inflammatoires antipaludiques, antitrypanosomiques,  antihelminthiques, antivirales et antioxydantes. Des études de toxicité sur ces extraits ont été aussi réalisées. Ainsi, des études de caractérisation chimique (variabilité chimique), de formulation galénique et aussi de toxicité clinique sur G. senegalensis doivent être menées afin de mettre en place des produits de phytothérapie moderne.Mots clés: Phytochimie, pharmacologie, feuilles, Guiera senegalensis. English Title: Review on the chemical composition and biological activities of Guiera senegalensis J.F. Gmel. (Combretaceae)The aim of this study was to review the chemical composition and biological activities of G. senegalensis, a medicinal plant widely used in Africa by  traditional healers for the treatment of various disorders. Most of these chemical studies have focused on the phytochemical screening of leaf, root, stem and gall extracts. They showed the presence of carbohydrate,  steroids, saponins, flavonoids, alkaloids, tannins, saponins, cardiac  glycosides, coumarins, anthraquinones, ascorbic acid, cardiotonic  glycosides, cyanogens and terpenoids. The therapeutic potentialities of extracts of G. senegalensis reported in several scientific studies have  focused on antibacterial, antitussive, antidiarrheal, cytotoxic, anti-inflammatory, antimicrobial, antitrypanosomal, anthelmintic, antiviral and antioxidant activities. Toxicity studies on these extracts have also been carried out. Thus, chemical characterization studies (chemical variability), galenic formulation and clinical toxicity studies on G. senegalensis must be carried out in order to implement modern phytotherapy products.Keywords: Phytochemistry, pharmacology, leaves, Guiera senegalensis.","container-title":"International Journal of Biological and Chemical Sciences","DOI":"10.4314/ijbcs.v13i7.37","ISSN":"1997-342X","issue":"7","language":"en","license":"Copyright (c)","note":"number: 7","page":"3449-3462","source":"www.ajol.info","title":"Revue bibliographique sur la composition chimique et les activités biologiques de Guiera senegalensis J.F. Gmel. (Combretaceae)","volume":"13","author":[{"family":"Tine","given":"Yoro"},{"family":"Diop","given":"Moussa"},{"family":"Ndoye","given":"Idrissa"},{"family":"Diallo","given":"Alioune"},{"family":"Wele","given":"Alassane"}],"issued":{"date-parts":[["2019"]]}}}],"schema":"https://github.com/citation-style-language/schema/raw/master/csl-citation.json"} </w:instrText>
      </w:r>
      <w:r>
        <w:rPr>
          <w:rFonts w:ascii="Arial" w:hAnsi="Arial" w:cs="Arial"/>
        </w:rPr>
        <w:fldChar w:fldCharType="separate"/>
      </w:r>
      <w:r>
        <w:rPr>
          <w:rFonts w:ascii="Arial" w:hAnsi="Arial" w:cs="Arial"/>
        </w:rPr>
        <w:t xml:space="preserve">(Tine et </w:t>
      </w:r>
      <w:r>
        <w:rPr>
          <w:rFonts w:ascii="Arial" w:hAnsi="Arial" w:cs="Arial"/>
          <w:i/>
          <w:iCs/>
        </w:rPr>
        <w:t>al.</w:t>
      </w:r>
      <w:r>
        <w:rPr>
          <w:rFonts w:ascii="Arial" w:hAnsi="Arial" w:cs="Arial"/>
        </w:rPr>
        <w:t>, 2019).</w:t>
      </w:r>
      <w:r>
        <w:rPr>
          <w:rFonts w:ascii="Arial" w:hAnsi="Arial" w:cs="Arial"/>
        </w:rPr>
        <w:fldChar w:fldCharType="end"/>
      </w:r>
      <w:r>
        <w:rPr>
          <w:rFonts w:ascii="Arial" w:hAnsi="Arial" w:cs="Arial"/>
        </w:rPr>
        <w:t xml:space="preserve"> This gap hinders their integration into modern health systems, despite their immense potential. However, recent advances in pharmacognosy and phytochemistry have highlighted the richness of medicinal plants in antioxidant, anti-inflammatory and anti-cancer compounds, reinforcing their interest in biomedical research (Odongo, 2016). In this context, this study mainly focused on the antioxidant, anti-inflammatory and cytotoxic activities of the plants composing two traditional herbal formulations: GUISE</w:t>
      </w:r>
      <w:r>
        <w:rPr>
          <w:rFonts w:ascii="Arial" w:hAnsi="Arial" w:cs="Arial"/>
          <w:b/>
          <w:bCs/>
        </w:rPr>
        <w:t>,</w:t>
      </w:r>
      <w:r>
        <w:rPr>
          <w:rFonts w:ascii="Arial" w:hAnsi="Arial" w:cs="Arial"/>
        </w:rPr>
        <w:t xml:space="preserve"> composed only of </w:t>
      </w:r>
      <w:proofErr w:type="spellStart"/>
      <w:r>
        <w:rPr>
          <w:rFonts w:ascii="Arial" w:hAnsi="Arial" w:cs="Arial"/>
          <w:i/>
          <w:iCs/>
        </w:rPr>
        <w:t>Guiera</w:t>
      </w:r>
      <w:proofErr w:type="spellEnd"/>
      <w:r>
        <w:rPr>
          <w:rFonts w:ascii="Arial" w:hAnsi="Arial" w:cs="Arial"/>
          <w:i/>
          <w:iCs/>
        </w:rPr>
        <w:t xml:space="preserve"> senegalensis</w:t>
      </w:r>
      <w:r>
        <w:rPr>
          <w:rFonts w:ascii="Arial" w:hAnsi="Arial" w:cs="Arial"/>
        </w:rPr>
        <w:t xml:space="preserve">, and ACAZY, composed of four plants: </w:t>
      </w:r>
      <w:r>
        <w:rPr>
          <w:rFonts w:ascii="Arial" w:hAnsi="Arial" w:cs="Arial"/>
          <w:i/>
          <w:iCs/>
        </w:rPr>
        <w:t xml:space="preserve">Acacia </w:t>
      </w:r>
      <w:proofErr w:type="spellStart"/>
      <w:r>
        <w:rPr>
          <w:rFonts w:ascii="Arial" w:hAnsi="Arial" w:cs="Arial"/>
          <w:i/>
          <w:iCs/>
        </w:rPr>
        <w:t>nilotica</w:t>
      </w:r>
      <w:proofErr w:type="spellEnd"/>
      <w:r>
        <w:rPr>
          <w:rFonts w:ascii="Arial" w:hAnsi="Arial" w:cs="Arial"/>
        </w:rPr>
        <w:t xml:space="preserve">, </w:t>
      </w:r>
      <w:proofErr w:type="spellStart"/>
      <w:r>
        <w:rPr>
          <w:rFonts w:ascii="Arial" w:hAnsi="Arial" w:cs="Arial"/>
          <w:i/>
          <w:iCs/>
        </w:rPr>
        <w:t>Faidherbia</w:t>
      </w:r>
      <w:proofErr w:type="spellEnd"/>
      <w:r>
        <w:rPr>
          <w:rFonts w:ascii="Arial" w:hAnsi="Arial" w:cs="Arial"/>
          <w:i/>
          <w:iCs/>
        </w:rPr>
        <w:t xml:space="preserve"> </w:t>
      </w:r>
      <w:proofErr w:type="spellStart"/>
      <w:r>
        <w:rPr>
          <w:rFonts w:ascii="Arial" w:hAnsi="Arial" w:cs="Arial"/>
          <w:i/>
          <w:iCs/>
        </w:rPr>
        <w:t>albida</w:t>
      </w:r>
      <w:proofErr w:type="spellEnd"/>
      <w:r>
        <w:rPr>
          <w:rFonts w:ascii="Arial" w:hAnsi="Arial" w:cs="Arial"/>
        </w:rPr>
        <w:t xml:space="preserve">, </w:t>
      </w:r>
      <w:proofErr w:type="spellStart"/>
      <w:r>
        <w:rPr>
          <w:rFonts w:ascii="Arial" w:hAnsi="Arial" w:cs="Arial"/>
          <w:i/>
          <w:iCs/>
        </w:rPr>
        <w:t>Zanthoxylum</w:t>
      </w:r>
      <w:proofErr w:type="spellEnd"/>
      <w:r>
        <w:rPr>
          <w:rFonts w:ascii="Arial" w:hAnsi="Arial" w:cs="Arial"/>
          <w:i/>
          <w:iCs/>
        </w:rPr>
        <w:t xml:space="preserve"> </w:t>
      </w:r>
      <w:proofErr w:type="spellStart"/>
      <w:r>
        <w:rPr>
          <w:rFonts w:ascii="Arial" w:hAnsi="Arial" w:cs="Arial"/>
          <w:i/>
          <w:iCs/>
        </w:rPr>
        <w:t>zanthoxyloides</w:t>
      </w:r>
      <w:proofErr w:type="spellEnd"/>
      <w:r>
        <w:rPr>
          <w:rFonts w:ascii="Arial" w:hAnsi="Arial" w:cs="Arial"/>
        </w:rPr>
        <w:t xml:space="preserve"> and </w:t>
      </w:r>
      <w:r>
        <w:rPr>
          <w:rFonts w:ascii="Arial" w:hAnsi="Arial" w:cs="Arial"/>
          <w:i/>
          <w:iCs/>
        </w:rPr>
        <w:t>Zingiber officinale</w:t>
      </w:r>
      <w:r>
        <w:rPr>
          <w:rFonts w:ascii="Arial" w:hAnsi="Arial" w:cs="Arial"/>
        </w:rPr>
        <w:t xml:space="preserve">. These species are well-known throughout Africa and are traditionally used in the treatment of various conditions such as malaria, respiratory conditions, pain management, and inflammatory diseases such as diabetes, rheumatism, edema, and skin infections </w:t>
      </w:r>
      <w:r>
        <w:rPr>
          <w:rFonts w:ascii="Arial" w:hAnsi="Arial" w:cs="Arial"/>
        </w:rPr>
        <w:fldChar w:fldCharType="begin"/>
      </w:r>
      <w:r>
        <w:rPr>
          <w:rFonts w:ascii="Arial" w:hAnsi="Arial" w:cs="Arial"/>
        </w:rPr>
        <w:instrText xml:space="preserve"> ADDIN ZOTERO_ITEM CSL_CITATION {"citationID":"lmgwLrUr","properties":{"formattedCitation":"(Abdelwahab et al., 2024; Adebayo et al., 2019; Sombi\\uc0\\u233{} et al., 2020; Zerbo et al., 2011)","plainCitation":"(Abdelwahab et al., 2024; Adebayo et al., 2019; Sombié et al., 2020; Zerbo et al., 2011)","dontUpdate":true,"noteIndex":0},"citationItems":[{"id":1185,"uris":["http://zotero.org/users/9368380/items/U22A8UR8"],"itemData":{"id":1185,"type":"article-journal","abstract":"&lt;p&gt;&lt;italic&gt;Faidherbia albida (Delile) A. Chev&lt;/italic&gt;, a type of tree in the Leguminosae family, has several traditional uses. This study investigates the antioxidant properties, phenolic and flavonoid contents, nitric acid modulatory effects, and cytotoxicity of methanolic and chloroform extracts of the bark and fruits of &lt;italic&gt;Faidherbia albida&lt;/italic&gt;. Various assays were performed to evaluate the antioxidant properties of the extracts, including the Folin-Ciocalteu and AlCl&lt;sub&gt;3&lt;/sub&gt; tests, the oxygen radical absorbance capacity (ORAC), the purple diphenyl picrylhydrazine (DPPH) scavenging ability, and the Ferric Reducing/Antioxidant Power (FRAP). The ability of the extracts to modulate the production of nitric oxide (NO) was assessed, and the cytotoxicity of the extracts was evaluated in cultured cells. Additionally, a bibliometric analysis was performed on related research documents. The 3-(4,5-dimethylthiazol-2-yl)-2,5-diphenyltetrazolium bromide (MTT) assay was used to evaluate the cytotoxicity of the extracts in cultivated RAW 264.7 cells. A bibliometric analysis of 362 research documents related to &lt;italic&gt;F. albida&lt;/italic&gt; published since 1913 was performed to understand the current state of knowledge to identify areas for further research using bibliometric computer packages. The results showed that the bark methanolic extract had the highest phenolic content, while the chloroform extract of the fruits had the highest flavonoid content. The chloroform extract of the fruits exhibited the highest inhibition of NO production. The extracts exhibited low cytotoxicity. The methanolic extract of the bark exhibited the strongest radical scavenging activities for FRAP and DPPH. The ORAC assay revealed that the antioxidant capacity of the methanolic extract of the fruits and the chloroform extract of the bark were approximately four times greater than that of quercetin, which is a known antioxidant compound. &lt;italic&gt;F. albida&lt;/italic&gt; exhibits a significant antioxidant activity, which is influenced by both solvent polarity and specific botanical components.&lt;/p&gt;","container-title":"AIMS Molecular Science","DOI":"10.3934/molsci.2024016","ISSN":"2372-0301","issue":"3","journalAbbreviation":"AIMSMOLES","page":"262-276","source":"DOI.org (Crossref)","title":"Anti-inflammatory and antioxidant properties of bark and fruit extracts of &lt;i&gt;Faidherbia albida&lt;/i&gt; (Delile) A. Chev: A perspective from bio-prospecting assays to scientometric approach","title-short":"Anti-inflammatory and antioxidant properties of bark and fruit extracts of &lt;i&gt;Faidherbia albida&lt;/i&gt; (Delile) A. Chev","volume":"11","author":[{"family":"Abdelwahab","given":"Siddig Ibrahim"},{"family":"Taha","given":"Manal Mohamed Elhassan"},{"family":"Al-Zubairi","given":"Adel S."},{"family":"Syahida","given":"Ahmad"},{"family":"KaHeng","given":"Lee"},{"family":"Narrima","given":"Putri"},{"family":"Othman","given":"Rozana"},{"family":"Alfaifi","given":"Hassan Ahmad"},{"family":"Alzahrani","given":"Amal Hamdan"}],"issued":{"date-parts":[["2024"]]}},"label":"page"},{"id":814,"uris":["http://zotero.org/users/9368380/items/MDGEH2KN"],"itemData":{"id":814,"type":"article-journal","abstract":"Despite the availability of anticancer drugs, breast cancer remains the most death-causing tumor-related disease in women. Hence, there is a need for discovery and development of efficient alternative drugs, and sources such as plants need to be explored. In this study, antioxidant capacities and inhibitory effects against MCF7 cells of the extracts of stem bark of three Nigerian medicinal plants (Detarium microcarpum, Guiera senegalensis, and Cassia siamea) were investigated. The D. microcarpum extracts had the highest antioxidant and antiproliferative effects, followed by that of G. senegalensis, and the C. siamea extracts had minimal effects. The IC50 values of the methanol and aqueous extracts from the three plants that inhibited the proliferation of MCF7 cells ranged from 78–&gt; 500 μg/ml. Moreover, all the plant extracts but the aqueous extract of Cassia siamea exhibited antimetastatic action and induced apoptosis and cell cycle arrest in MCF7 cells. Liquid chromatography/time-of-flight/mass spectrometry profiling revealed that the five potent extracts contain many phenols and omega-6 fatty acids, and some of the identified compounds (isorhamnetin, eupatorin, alpinumisoflavone, procyanidin B3, syringin, and gallic acid) have been reported to have antiproliferative effects on cancer cells. Hence, the stem bark of these plants could be potential sources of antibreast cancer agents.","container-title":"Evidence-Based Complementary and Alternative Medicine","DOI":"10.1155/2019/6104574","ISSN":"1741-4288","issue":"1","language":"en","license":"Copyright © 2019 Ismail Abiola Adebayo et al.","note":"_eprint: https://onlinelibrary.wiley.com/doi/pdf/10.1155/2019/6104574","page":"6104574","source":"Wiley Online Library","title":"Detarium microcarpum, Guiera senegalensis, and Cassia siamea Induce Apoptosis and Cell Cycle Arrest and Inhibit Metastasis on MCF7 Breast Cancer Cells","volume":"2019","author":[{"family":"Adebayo","given":"Ismail Abiola"},{"family":"Gagman","given":"Haladu Ali"},{"family":"Balogun","given":"Wasiu Gbolahan"},{"family":"Adam","given":"Mowaffaq Adam Ahmed"},{"family":"Abas","given":"Rafedah"},{"family":"Hakeem","given":"Khalid Rehman"},{"family":"Nik Him","given":"Nik Ahmad Irwan Izzauddin Bin"},{"family":"Samian","given":"Muhammad Razip Bin"},{"family":"Arsad","given":"Hasni"}],"issued":{"date-parts":[["2019"]]}},"label":"page"},{"id":844,"uris":["http://zotero.org/users/9368380/items/DVMKXRQ5"],"itemData":{"id":844,"type":"article-journal","abstract":"Objective: This study aimed to assess the anti-inflammatory and antioxidant properties in vitro of Calotropis procera root bark.\nMethods: Anti-inflammatory activities of the ethanolic extract of root bark of C. procera and its fractions were evaluated on lipoxygenase and xanthine oxidase (XO). Antioxidant activity was evaluated by trapping the 2,2-diphenylpicrylhydrazyl (DPPH) radical, hydrogen peroxide (H2O2), by the reducing power ferric reducing antioxidant power. Inhibitory powers of lipid peroxidation and of degradation of D-deoxyribose as well as the contents of phenolic and triterpene compounds were also evaluated.\nResults: Ethanolic extract showed interesting anti-inflammatory and antioxidant activities. Butanol fraction which is one of richest fractions for flavonoids (17.38±0.13 mg EQ/10 g extracts) showed the best percentages for inhibitions of XO (60.14±4.89%), degradation of D-deoxyribose (81.04±0.77%), and the DPPH radical (71.43±6.35%). Dichloromethane fraction which is the richest in triterpenes (1067.02±5.77 mg UAE/g extracts) showed the best percentages for inhibitions of lipoxygenase (56.45±1.15%) and of lipid peroxidation (82.45±0.73%). Ethyl acetate and residual aqueous fractions, respectively, showed the best activities of inhibiting H2O2 (75.38±0.76%) and for iron-reducing capacity (23.51±1.69 mg EAA/g extracts).\nConclusion: Ethanolic extract from C. procera root bark and its fractions, their particular the butanol and dichloromethane one, has anti-inflammatory and antioxidant properties which could prevent or attenuate liver injury and its complications.","container-title":"Asian Journal of Pharmaceutical and Clinical Research","DOI":"10.22159/ajpcr.2020.v13i10.39275","ISSN":"2455-3891, 0974-2441","journalAbbreviation":"Asian J Pharm Clin Res","language":"en","license":"http://creativecommons.org/licenses/by/4.0","page":"185-190","source":"DOI.org (Crossref)","title":"ANTI-INFLAMMATORY ACTIVITY AND PHYTOCHEMISTRY OF EXTRACTS FROM THE ROOT BARK OF CALOTROPIS PROCERA (AIT.) R. BR. HEPATOPROTECTIVE MEDICINAL PLANT FROM BURKINA FASO","author":[{"family":"Sombié","given":"Ernest Nogma"},{"family":"Ouédraogo","given":"Noufou"},{"family":"Hilou","given":"Adama"}],"issued":{"date-parts":[["2020",9,5]]}},"label":"page"},{"id":1448,"uris":["http://zotero.org/users/9368380/items/L9P6MRUJ"],"itemData":{"id":1448,"type":"article-journal","abstract":"As an important cultural element, plants have been used centuries ago by people to treat themselves. However, a few ethnic groups know their medicinal plants used. This study aim is to document San people, localized in a traditional land (Burkina Faso north-western) about medicinal plants. Ethnobotanical surveys have involved 75 traditional healers indigenous. Research information’s covered plants used, its local name, its parts used, the medical practices and the therapeutic properties related. The results showed that 94 plant species are used to treat various diseases. The main parts used in recipes are leaves (31 %), root (25 %) and stem bark (23 %). Recipes developed are based on one or several plants. Decoction (58 %), trituration (17 %) and aqueous maceration (11 %) are main methods of preparation. Drugs are administered through oral drunk (65 %) and external applications (35 %). Thirteen used categories are identified. However, traditional healers are disagreements about proposed therapeutic to treat them. The diversity of therapies identified in San land, is a rich culture. These San pharmacopoeia data lay the foundation of sound studies on silvicultural plants capacities for regenerating endangered useful species and building nurseries to provide surrounding villages with available medicinal plants.","container-title":"BOIS &amp; FORETS DES TROPIQUES","DOI":"10.19182/bft2011.307.a20481","ISSN":"1777-5760, 0006-579X","journalAbbreviation":"Bois for. trop.","language":"fr","license":"http://creativecommons.org/licenses/by-nd/4.0","page":"41-53","source":"DOI.org (Crossref)","title":"Plantes médicinales et pratiques médicales au Burkina Faso : cas des Sanan","title-short":"Plantes médicinales et pratiques médicales au Burkina Faso","volume":"307","author":[{"family":"Zerbo","given":"Patrice"},{"family":"Millogo Rasolodimby","given":"Jeanne"},{"family":"Nacoulma Ouedraogo","given":"Odile"},{"family":"Van Damme","given":"Patrick"}],"issued":{"date-parts":[["2011",3,1]]}},"label":"page"}],"schema":"https://github.com/citation-style-language/schema/raw/master/csl-citation.json"} </w:instrText>
      </w:r>
      <w:r>
        <w:rPr>
          <w:rFonts w:ascii="Arial" w:hAnsi="Arial" w:cs="Arial"/>
        </w:rPr>
        <w:fldChar w:fldCharType="separate"/>
      </w:r>
      <w:r>
        <w:rPr>
          <w:rFonts w:ascii="Arial" w:hAnsi="Arial" w:cs="Arial"/>
        </w:rPr>
        <w:t xml:space="preserve">(Abdelwahab et </w:t>
      </w:r>
      <w:r>
        <w:rPr>
          <w:rFonts w:ascii="Arial" w:hAnsi="Arial" w:cs="Arial"/>
          <w:i/>
          <w:iCs/>
        </w:rPr>
        <w:t>al</w:t>
      </w:r>
      <w:r>
        <w:rPr>
          <w:rFonts w:ascii="Arial" w:hAnsi="Arial" w:cs="Arial"/>
        </w:rPr>
        <w:t xml:space="preserve">., 2024; Adebayo et </w:t>
      </w:r>
      <w:r>
        <w:rPr>
          <w:rFonts w:ascii="Arial" w:hAnsi="Arial" w:cs="Arial"/>
          <w:i/>
          <w:iCs/>
        </w:rPr>
        <w:t>al.</w:t>
      </w:r>
      <w:r>
        <w:rPr>
          <w:rFonts w:ascii="Arial" w:hAnsi="Arial" w:cs="Arial"/>
        </w:rPr>
        <w:t xml:space="preserve">, 2019; Zerbo et </w:t>
      </w:r>
      <w:r>
        <w:rPr>
          <w:rFonts w:ascii="Arial" w:hAnsi="Arial" w:cs="Arial"/>
          <w:i/>
          <w:iCs/>
        </w:rPr>
        <w:t>al</w:t>
      </w:r>
      <w:r>
        <w:rPr>
          <w:rFonts w:ascii="Arial" w:hAnsi="Arial" w:cs="Arial"/>
        </w:rPr>
        <w:t>., 2011).</w:t>
      </w:r>
      <w:r>
        <w:rPr>
          <w:rFonts w:ascii="Arial" w:hAnsi="Arial" w:cs="Arial"/>
        </w:rPr>
        <w:fldChar w:fldCharType="end"/>
      </w:r>
      <w:r>
        <w:rPr>
          <w:rFonts w:ascii="Arial" w:hAnsi="Arial" w:cs="Arial"/>
        </w:rPr>
        <w:t>The data collected indicate that the most used parts of the plant are the leaves (36.47%), followed by the bark and stems (23.52%), the rhizomes (11.76%) and the roots (10.58%). (Table 1) summarizes the anti-inflammatory and antioxidant properties of the plants of interest. Phytochemical studies on these plants have revealed a rich content of secondary metabolites, particularly phenolic compounds. Polyphenols, the main plant-based antioxidants, are known to protect against cancer, cardiovascular disease, and inflammatory conditions. Flavones also exhibit anti-inflammatory properties, while anthocyanins improve the oxidative stability of foods. Tannins, which are classified int</w:t>
      </w:r>
      <w:bookmarkStart w:id="1" w:name="_GoBack"/>
      <w:bookmarkEnd w:id="1"/>
      <w:r>
        <w:rPr>
          <w:rFonts w:ascii="Arial" w:hAnsi="Arial" w:cs="Arial"/>
        </w:rPr>
        <w:t xml:space="preserve">o condensed and hydrolysable types, represent another important group of phenolic antioxidants </w:t>
      </w:r>
      <w:r>
        <w:rPr>
          <w:rFonts w:ascii="Arial" w:hAnsi="Arial" w:cs="Arial"/>
        </w:rPr>
        <w:fldChar w:fldCharType="begin"/>
      </w:r>
      <w:r>
        <w:rPr>
          <w:rFonts w:ascii="Arial" w:hAnsi="Arial" w:cs="Arial"/>
        </w:rPr>
        <w:instrText xml:space="preserve"> ADDIN ZOTERO_ITEM CSL_CITATION {"citationID":"qI8DeScv","properties":{"formattedCitation":"(Abeyrathne et al., 2022)","plainCitation":"(Abeyrathne et al., 2022)","dontUpdate":true,"noteIndex":0},"citationItems":[{"id":"2iRljus3/P8aUUT0b","uris":["http://zotero.org/users/6736019/items/UBLDSHFH"],"itemData":{"id":931,"type":"article-journal","abstract":"Antioxidants are compounds that normally prevent lipid and protein oxidation. They play a major role in preventing many adverse conditions in the human body, including inflammation and cancer. Synthetic antioxidants are widely used in the food industry to prevent the production of adverse compounds that harm humans. However, plant- and animal-based antioxidants are more appealing to consumers than synthetic antioxidants. Plant-based antioxidants are mainly phenolic compounds, carotenoids, and vitamins, while animal-based antioxidants are mainly whole protein or the peptides of meat, fish, egg, milk, and plant proteins. Plant-based antioxidants mainly consist of aromatic rings, while animal-based antioxidants mainly consist of amino acids. The phenolic compounds and peptides act differently in preventing oxidation and can be used in the food and pharmaceutical industries. Therefore, compared with animal-based antioxidants, plant-based compounds are more practical in the food industry. Even though plant-based antioxidant compounds are good sources of antioxidants, animal-based peptides (individual peptides) cannot be considered antioxidant compounds to add to food. However, they can be considered an ingredient that will enhance the antioxidant capacity. This review mainly compares plant- and animal-based antioxidants’ structure, efficacy, mechanisms, and applications.","container-title":"Antioxidants","DOI":"10.3390/antiox11051025","ISSN":"2076-3921","issue":"5","journalAbbreviation":"Antioxidants (Basel)","note":"PMID: 35624889\nPMCID: PMC9137533","page":"1025","source":"PubMed Central","title":"Plant- and Animal-Based Antioxidants’ Structure, Efficacy, Mechanisms, and Applications: A Review","title-short":"Plant- and Animal-Based Antioxidants’ Structure, Efficacy, Mechanisms, and Applications","volume":"11","author":[{"family":"Abeyrathne","given":"Edirisinghe Dewage Nalaka Sandun"},{"family":"Nam","given":"Kichang"},{"family":"Huang","given":"Xi"},{"family":"Ahn","given":"Dong Uk"}],"issued":{"date-parts":[["2022",5,23]]}}}],"schema":"https://github.com/citation-style-language/schema/raw/master/csl-citation.json"} </w:instrText>
      </w:r>
      <w:r>
        <w:rPr>
          <w:rFonts w:ascii="Arial" w:hAnsi="Arial" w:cs="Arial"/>
        </w:rPr>
        <w:fldChar w:fldCharType="separate"/>
      </w:r>
      <w:r>
        <w:rPr>
          <w:rFonts w:ascii="Arial" w:hAnsi="Arial" w:cs="Arial"/>
        </w:rPr>
        <w:t xml:space="preserve">(Abeyrathne et </w:t>
      </w:r>
      <w:r>
        <w:rPr>
          <w:rFonts w:ascii="Arial" w:hAnsi="Arial" w:cs="Arial"/>
          <w:i/>
          <w:iCs/>
        </w:rPr>
        <w:t>al.</w:t>
      </w:r>
      <w:r>
        <w:rPr>
          <w:rFonts w:ascii="Arial" w:hAnsi="Arial" w:cs="Arial"/>
        </w:rPr>
        <w:t>, 2022).</w:t>
      </w:r>
      <w:r>
        <w:rPr>
          <w:rFonts w:ascii="Arial" w:hAnsi="Arial" w:cs="Arial"/>
        </w:rPr>
        <w:fldChar w:fldCharType="end"/>
      </w:r>
      <w:r>
        <w:rPr>
          <w:rFonts w:ascii="Arial" w:hAnsi="Arial" w:cs="Arial"/>
        </w:rPr>
        <w:t xml:space="preserve">The anti-inflammatory properties of these herbs are attributed to several mechanisms, including antioxidant activity, immunomodulation, and inhibition of enzymes related to inflammation. A significant positive linear correlation was observed between antioxidant activity and total phenol content, suggesting that these compounds likely contribute to the antioxidant and anti-inflammatory properties of the plant extract </w:t>
      </w:r>
      <w:r>
        <w:rPr>
          <w:rFonts w:ascii="Arial" w:hAnsi="Arial" w:cs="Arial"/>
        </w:rPr>
        <w:fldChar w:fldCharType="begin"/>
      </w:r>
      <w:r>
        <w:rPr>
          <w:rFonts w:ascii="Arial" w:hAnsi="Arial" w:cs="Arial"/>
        </w:rPr>
        <w:instrText xml:space="preserve"> ADDIN ZOTERO_ITEM CSL_CITATION {"citationID":"fcLBG4CF","properties":{"formattedCitation":"(Ujah et al., 2021)","plainCitation":"(Ujah et al., 2021)","dontUpdate":true,"noteIndex":0},"citationItems":[{"id":1217,"uris":["http://zotero.org/users/9368380/items/QZL6I87V"],"itemData":{"id":1217,"type":"article-journal","abstract":"This work examined the quantity of Polyphenols (tannins, flavonoids and phenolic acids) and their antioxidant and radical scavenging activities in five solvent extracts of P. amarus leaf using assay methods such as DPPH, ABTS, OH, NO and FRAP. Solvents of varying polarity (hexane, chloroform ethyl acetate, acetone, methanol and aqueous) were used for extraction. Results revealed various extraction yields; the highest was aqueous, methanol and ethyl acetate in this order compared to acetone, chloroform and hexane, indicating that extraction efficiency favors high polar solvents. The solvents extract various phytochemicals with ethyl acetate, aqueous and methanol showed better phytochemical distribution. The result also showed that, acetone extract has more of flavonoids followed by ethyl acetate; the least was found to be hexane and chloroform extract while tannin and phenolic acids were higher in ethyl acetate extract. Investigating the fifty percent inhibitory concentration (IC50) of the tested extracts demonstrated that, the ethyl acetate extract which generally gave the highest percentage inhibition, showed the lowest IC50 for ABTS, NO and OH at p=0.05. The correlation between IC50 values and polyphenol content were analyzed for each extract using Pearson’s correlation analysis. It was found that the ethyl acetate extract showed positive and significant correlation between ON∙, ABTS, FRAP and phenolic acids with coefficient of 0.993, 0.996, and 0.920 respectively and OH radical to flavonoids and tannins with coefficient of 0.875 and 0.866 respectively. DPPH to tannins has a coefficient of 0.854. An evaluation on the correlation analysis revealed that ethyl acetate extract is the best. Conclusively, the richer the polyphenol content, the better the antioxidant potential of plant and ethyl acetate is the best solvent for extraction of polyphenols to address diseases that relate to oxidative stress.\n&amp;nbsp;","container-title":"ChemSearch Journal","ISSN":"2384-6208","issue":"1","language":"en","license":"Copyright (c) 0","note":"number: 1","page":"97-107","source":"www.ajol.info","title":"Quantification, Antioxidant and Free Radical Scavenging Potentials of Polyphenols from Crude Extracts of Phyllanthus amarus leaves","volume":"12","author":[{"family":"Ujah","given":"O. F."},{"family":"Mohammad","given":"Y. Y."},{"family":"Dewua","given":"C. M."}],"issued":{"date-parts":[["2021",7,5]]}}}],"schema":"https://github.com/citation-style-language/schema/raw/master/csl-citation.json"} </w:instrText>
      </w:r>
      <w:r>
        <w:rPr>
          <w:rFonts w:ascii="Arial" w:hAnsi="Arial" w:cs="Arial"/>
        </w:rPr>
        <w:fldChar w:fldCharType="separate"/>
      </w:r>
      <w:r>
        <w:rPr>
          <w:rFonts w:ascii="Arial" w:hAnsi="Arial" w:cs="Arial"/>
        </w:rPr>
        <w:t xml:space="preserve">(Ujah et </w:t>
      </w:r>
      <w:r>
        <w:rPr>
          <w:rFonts w:ascii="Arial" w:hAnsi="Arial" w:cs="Arial"/>
          <w:i/>
          <w:iCs/>
        </w:rPr>
        <w:t>al.,</w:t>
      </w:r>
      <w:r>
        <w:rPr>
          <w:rFonts w:ascii="Arial" w:hAnsi="Arial" w:cs="Arial"/>
        </w:rPr>
        <w:t xml:space="preserve"> 2021).</w:t>
      </w:r>
      <w:r>
        <w:rPr>
          <w:rFonts w:ascii="Arial" w:hAnsi="Arial" w:cs="Arial"/>
        </w:rPr>
        <w:fldChar w:fldCharType="end"/>
      </w:r>
      <w:r>
        <w:rPr>
          <w:rFonts w:ascii="Arial" w:hAnsi="Arial" w:cs="Arial"/>
        </w:rPr>
        <w:t xml:space="preserve"> In addition, it has been reported that medicinal plants with high antioxidant activity also tend to exhibit anti-cancer properties </w:t>
      </w:r>
      <w:r>
        <w:rPr>
          <w:rFonts w:ascii="Arial" w:hAnsi="Arial" w:cs="Arial"/>
        </w:rPr>
        <w:fldChar w:fldCharType="begin"/>
      </w:r>
      <w:r>
        <w:rPr>
          <w:rFonts w:ascii="Arial" w:hAnsi="Arial" w:cs="Arial"/>
        </w:rPr>
        <w:instrText xml:space="preserve"> ADDIN ZOTERO_ITEM CSL_CITATION {"citationID":"x78RI8As","properties":{"formattedCitation":"(Mwamatope et al., 2020)","plainCitation":"(Mwamatope et al., 2020)","dontUpdate":true,"noteIndex":0},"citationItems":[{"id":1134,"uris":["http://zotero.org/users/9368380/items/LQ64LCHZ"],"itemData":{"id":1134,"type":"article-journal","abstract":"Senna singueana, Melia azedarach, Moringa oleifera and Lannea discolor are claimed to be effective in the management of cancer by some traditional herbal practitioners in Malawi. The study evaluated methanol extracts of leaves of S. singueana, M. azedarach, M. oleifera and barks of L. discolor for total phenolic content (TPC), total flavonoid content (TFC) and antioxidant activity. TPC was determined using the Folin Ciocalteau assay while TFC was determined by aluminum chloride assay. Antioxidant activity of extracts was analyzed using 2,2-diphenyl-1-picrylhydrazyl (DPPH) and ferric reducing antioxidant power (FRAP) assays. Barks of L. discolor contained the highest total phenolic content (27.64 ± 0.09 mg GAE g − 1 DW) while leaves of S. singueana contained highest total flavonoid content (7.372 ± 0.01 mg QE g − 1 DW). DPPH radical scavenging activity of all extracts ranged from 42.72 ± 0.18 to 89.09 ± 1.18% while FRAP values ranged from 68.47 ± 1.72 to 166.3 ± 1.65 mg TEACg−1 DW. A direct positive significant correlation (p&lt;0.05) was observed between TPC and antioxidant activity. Results from the present study are comparable with literature values of well-known medicinal plants. Thus, these four medicinal plants may contain phenolic aglycones with potential anticancer activity. Future studies are needed to characterize extracts for specific phytochemicals related to anticancer activity.","container-title":"Scientific African","DOI":"10.1016/j.sciaf.2020.e00481","ISSN":"2468-2276","journalAbbreviation":"Scientific African","page":"e00481","source":"ScienceDirect","title":"Teneur totale en composés phénoliques et activité antioxydante des plantes médicinales &lt;i&gt;Senna singueana, Melia azedarach, Moringa oleifera&lt;/i&gt; et &lt;i&gt;Lannea discolor&lt;/i&gt;","volume":"9","author":[{"family":"Mwamatope","given":"Bonface"},{"family":"Tembo","given":"David"},{"family":"Chikowe","given":"Ibrahim"},{"family":"Kampira","given":"Elizabeth"},{"family":"Nyirenda","given":"Cecilia"}],"issued":{"date-parts":[["2020",9,1]]}}}],"schema":"https://github.com/citation-style-language/schema/raw/master/csl-citation.json"} </w:instrText>
      </w:r>
      <w:r>
        <w:rPr>
          <w:rFonts w:ascii="Arial" w:hAnsi="Arial" w:cs="Arial"/>
        </w:rPr>
        <w:fldChar w:fldCharType="separate"/>
      </w:r>
      <w:r>
        <w:rPr>
          <w:rFonts w:ascii="Arial" w:hAnsi="Arial" w:cs="Arial"/>
        </w:rPr>
        <w:t xml:space="preserve">(Mwamatope et </w:t>
      </w:r>
      <w:r>
        <w:rPr>
          <w:rFonts w:ascii="Arial" w:hAnsi="Arial" w:cs="Arial"/>
          <w:i/>
          <w:iCs/>
        </w:rPr>
        <w:t>al.,</w:t>
      </w:r>
      <w:r>
        <w:rPr>
          <w:rFonts w:ascii="Arial" w:hAnsi="Arial" w:cs="Arial"/>
        </w:rPr>
        <w:t xml:space="preserve"> 2020).</w:t>
      </w:r>
      <w:r>
        <w:rPr>
          <w:rFonts w:ascii="Arial" w:hAnsi="Arial" w:cs="Arial"/>
        </w:rPr>
        <w:fldChar w:fldCharType="end"/>
      </w:r>
    </w:p>
    <w:p>
      <w:pPr>
        <w:rPr>
          <w:rFonts w:ascii="Arial" w:hAnsi="Arial" w:cs="Arial"/>
          <w:b/>
          <w:bCs/>
          <w:sz w:val="22"/>
          <w:szCs w:val="22"/>
        </w:rPr>
      </w:pPr>
      <w:r>
        <w:rPr>
          <w:rFonts w:ascii="Arial" w:hAnsi="Arial" w:cs="Arial"/>
          <w:b/>
          <w:bCs/>
          <w:sz w:val="22"/>
          <w:szCs w:val="22"/>
        </w:rPr>
        <w:t>4. Conclusion</w:t>
      </w:r>
    </w:p>
    <w:p>
      <w:pPr>
        <w:pStyle w:val="Body"/>
        <w:spacing w:after="0"/>
        <w:rPr>
          <w:rFonts w:ascii="Arial" w:hAnsi="Arial" w:cs="Arial"/>
        </w:rPr>
      </w:pPr>
      <w:r>
        <w:rPr>
          <w:rFonts w:ascii="Arial" w:hAnsi="Arial" w:cs="Arial"/>
        </w:rPr>
        <w:t xml:space="preserve">This review highlights the widespread use of several medicinal plants in sub-Saharan Africa for the management of numerous diseases, including inflammatory conditions. It underscores the significant pharmacological potential of these species, which are rich in bioactive compounds particularly polyphenols such as flavonoids known for their antioxidants, anti-inflammatory, antibacterial, antimutagenic, and anticancer properties. Available scientific data supports the biological activity of these plant extracts, thereby validating their traditional uses. These natural biomolecules may offer new therapeutic avenues, particularly in the treatment of chronic diseases associated with oxidative stress, such as diabetes, hypertension, premature aging, inflammatory disorders, and cancer. </w:t>
      </w:r>
    </w:p>
    <w:p>
      <w:pPr>
        <w:pStyle w:val="Body"/>
        <w:spacing w:after="0"/>
        <w:rPr>
          <w:rFonts w:ascii="Arial" w:hAnsi="Arial" w:cs="Arial"/>
        </w:rPr>
      </w:pPr>
      <w:r>
        <w:rPr>
          <w:rFonts w:ascii="Arial" w:hAnsi="Arial" w:cs="Arial"/>
        </w:rPr>
        <w:t xml:space="preserve">However, despite their long-standing traditional use, these species remain relatively underexplored. Further research is needed to isolate and characterize their active compounds, </w:t>
      </w:r>
      <w:r>
        <w:rPr>
          <w:rFonts w:ascii="Arial" w:hAnsi="Arial" w:cs="Arial"/>
        </w:rPr>
        <w:lastRenderedPageBreak/>
        <w:t>assess their safety, and scientifically confirm their traditional efficacy. Such investigations are essential to sustainably valorize these African medicinal resources and to promote their integration into modern healthcare strategies.</w:t>
      </w:r>
    </w:p>
    <w:p>
      <w:pPr>
        <w:pStyle w:val="AcknHead"/>
        <w:spacing w:after="0"/>
        <w:jc w:val="both"/>
        <w:rPr>
          <w:rFonts w:ascii="Arial" w:hAnsi="Arial" w:cs="Arial"/>
        </w:rPr>
      </w:pPr>
    </w:p>
    <w:p>
      <w:pPr>
        <w:pStyle w:val="Body"/>
        <w:spacing w:after="0"/>
        <w:rPr>
          <w:rFonts w:ascii="Arial" w:hAnsi="Arial" w:cs="Arial"/>
          <w:b/>
          <w:bCs/>
          <w:sz w:val="22"/>
          <w:szCs w:val="22"/>
        </w:rPr>
      </w:pPr>
      <w:r>
        <w:rPr>
          <w:rFonts w:ascii="Arial" w:hAnsi="Arial" w:cs="Arial"/>
          <w:b/>
          <w:bCs/>
          <w:sz w:val="22"/>
          <w:szCs w:val="22"/>
        </w:rPr>
        <w:t>DISCLAIMER (ARTIFICIAL INTELLIGENCE)</w:t>
      </w:r>
    </w:p>
    <w:p>
      <w:pPr>
        <w:pStyle w:val="Body"/>
        <w:spacing w:after="0"/>
        <w:rPr>
          <w:rFonts w:ascii="Arial" w:hAnsi="Arial" w:cs="Arial"/>
        </w:rPr>
      </w:pPr>
    </w:p>
    <w:p>
      <w:pPr>
        <w:pStyle w:val="Body"/>
        <w:spacing w:after="0"/>
        <w:rPr>
          <w:rFonts w:ascii="Arial" w:hAnsi="Arial" w:cs="Arial"/>
        </w:rPr>
      </w:pPr>
      <w:r>
        <w:rPr>
          <w:rFonts w:ascii="Arial" w:hAnsi="Arial" w:cs="Arial"/>
        </w:rPr>
        <w:t xml:space="preserve">Authors hereby </w:t>
      </w:r>
      <w:proofErr w:type="gramStart"/>
      <w:r>
        <w:rPr>
          <w:rFonts w:ascii="Arial" w:hAnsi="Arial" w:cs="Arial"/>
        </w:rPr>
        <w:t>declare  that</w:t>
      </w:r>
      <w:proofErr w:type="gramEnd"/>
      <w:r>
        <w:rPr>
          <w:rFonts w:ascii="Arial" w:hAnsi="Arial" w:cs="Arial"/>
        </w:rPr>
        <w:t xml:space="preserve">  NO  generative  AI technologies  such  as  Large  Language  Models (ChatGPT,  COPILOT,   etc)   and   text-to-image generators  have  been used  during  writing  or editing of this manuscript.</w:t>
      </w:r>
    </w:p>
    <w:p/>
    <w:p>
      <w:pPr>
        <w:pStyle w:val="ReferHead"/>
        <w:spacing w:after="0"/>
        <w:jc w:val="both"/>
        <w:rPr>
          <w:rFonts w:ascii="Arial" w:hAnsi="Arial" w:cs="Arial"/>
        </w:rPr>
      </w:pPr>
      <w:bookmarkStart w:id="2" w:name="_Hlk200296325"/>
    </w:p>
    <w:p>
      <w:pPr>
        <w:pStyle w:val="ReferHead"/>
        <w:spacing w:after="0"/>
        <w:jc w:val="both"/>
        <w:rPr>
          <w:rFonts w:ascii="Arial" w:hAnsi="Arial" w:cs="Arial"/>
        </w:rPr>
      </w:pPr>
      <w:r>
        <w:rPr>
          <w:rFonts w:ascii="Arial" w:hAnsi="Arial" w:cs="Arial"/>
        </w:rPr>
        <w:t>References</w:t>
      </w:r>
    </w:p>
    <w:p>
      <w:pPr>
        <w:pStyle w:val="ReferHead"/>
        <w:spacing w:after="0"/>
        <w:jc w:val="both"/>
        <w:rPr>
          <w:rFonts w:ascii="Arial" w:hAnsi="Arial" w:cs="Arial"/>
        </w:rPr>
      </w:pPr>
    </w:p>
    <w:p>
      <w:pPr>
        <w:pStyle w:val="Bibliography"/>
        <w:spacing w:line="240" w:lineRule="auto"/>
        <w:jc w:val="both"/>
        <w:rPr>
          <w:rFonts w:ascii="Arial" w:hAnsi="Arial" w:cs="Arial"/>
          <w:lang w:val="fr-FR"/>
        </w:rPr>
      </w:pPr>
      <w:r>
        <w:rPr>
          <w:rFonts w:ascii="Arial" w:hAnsi="Arial" w:cs="Arial"/>
        </w:rPr>
        <w:fldChar w:fldCharType="begin"/>
      </w:r>
      <w:r>
        <w:rPr>
          <w:rFonts w:ascii="Arial" w:hAnsi="Arial" w:cs="Arial"/>
        </w:rPr>
        <w:instrText xml:space="preserve"> ADDIN ZOTERO_BIBL {"uncited":[],"omitted":[],"custom":[]} CSL_BIBLIOGRAPHY </w:instrText>
      </w:r>
      <w:r>
        <w:rPr>
          <w:rFonts w:ascii="Arial" w:hAnsi="Arial" w:cs="Arial"/>
        </w:rPr>
        <w:fldChar w:fldCharType="separate"/>
      </w:r>
      <w:r>
        <w:rPr>
          <w:rFonts w:ascii="Arial" w:hAnsi="Arial" w:cs="Arial"/>
        </w:rPr>
        <w:t>1.</w:t>
      </w:r>
      <w:r>
        <w:rPr>
          <w:rFonts w:ascii="Arial" w:hAnsi="Arial" w:cs="Arial"/>
        </w:rPr>
        <w:tab/>
        <w:t xml:space="preserve">Medzhitov R. Origin and physiological roles of inflammation. </w:t>
      </w:r>
      <w:r>
        <w:rPr>
          <w:rFonts w:ascii="Arial" w:hAnsi="Arial" w:cs="Arial"/>
          <w:lang w:val="fr-FR"/>
        </w:rPr>
        <w:t>Nature. juill 2008;454(7203):428</w:t>
      </w:r>
      <w:r>
        <w:rPr>
          <w:rFonts w:ascii="Cambria Math" w:hAnsi="Cambria Math" w:cs="Cambria Math"/>
          <w:lang w:val="fr-FR"/>
        </w:rPr>
        <w:t>‑</w:t>
      </w:r>
      <w:r>
        <w:rPr>
          <w:rFonts w:ascii="Arial" w:hAnsi="Arial" w:cs="Arial"/>
          <w:lang w:val="fr-FR"/>
        </w:rPr>
        <w:t>35. https://doi.org/10.1038/nature07201</w:t>
      </w:r>
    </w:p>
    <w:p>
      <w:pPr>
        <w:pStyle w:val="Bibliography"/>
        <w:spacing w:line="240" w:lineRule="auto"/>
        <w:jc w:val="both"/>
        <w:rPr>
          <w:rFonts w:ascii="Arial" w:hAnsi="Arial" w:cs="Arial"/>
        </w:rPr>
      </w:pPr>
      <w:r>
        <w:rPr>
          <w:rFonts w:ascii="Arial" w:hAnsi="Arial" w:cs="Arial"/>
          <w:lang w:val="fr-FR"/>
        </w:rPr>
        <w:t>2.</w:t>
      </w:r>
      <w:r>
        <w:rPr>
          <w:rFonts w:ascii="Arial" w:hAnsi="Arial" w:cs="Arial"/>
          <w:lang w:val="fr-FR"/>
        </w:rPr>
        <w:tab/>
        <w:t xml:space="preserve">Greten FR, Grivennikov SI. </w:t>
      </w:r>
      <w:r>
        <w:rPr>
          <w:rFonts w:ascii="Arial" w:hAnsi="Arial" w:cs="Arial"/>
        </w:rPr>
        <w:t xml:space="preserve">Inflammation and Cancer: Triggers, Mechanisms, and Consequences. Immunity. 2019 Jul 16;51(1):27-41. doi: 10.1016/j.immuni.2019.06.025. PMID: 31315034; PMCID: PMC6831096. https://doi.org/10.1016/j.immuni.2019.06.025 </w:t>
      </w:r>
    </w:p>
    <w:p>
      <w:pPr>
        <w:pStyle w:val="Bibliography"/>
        <w:spacing w:line="240" w:lineRule="auto"/>
        <w:jc w:val="both"/>
        <w:rPr>
          <w:rFonts w:ascii="Arial" w:hAnsi="Arial" w:cs="Arial"/>
        </w:rPr>
      </w:pPr>
      <w:r>
        <w:rPr>
          <w:rFonts w:ascii="Arial" w:hAnsi="Arial" w:cs="Arial"/>
        </w:rPr>
        <w:t>3.</w:t>
      </w:r>
      <w:r>
        <w:rPr>
          <w:rFonts w:ascii="Arial" w:hAnsi="Arial" w:cs="Arial"/>
        </w:rPr>
        <w:tab/>
        <w:t>Ouédraogo DD, Ntsiba H, Tiendrébéogo Zabsonré J, Tiéno H, Bokossa LI, Kaboré F, Drabo J. Clinical spectrum of rheumatologic diseases in a department of rheumatology in Ouagadougou (Burkina Faso). Clin Rheumatol. 2014 Mar;33(3):385-9. doi: 10.1007/s10067-013-2455-4. Epub 2013 Dec 19. PMID: 24716217. https://doi.org/10.1007/s10067-013-2455-4</w:t>
      </w:r>
    </w:p>
    <w:p>
      <w:pPr>
        <w:pStyle w:val="Bibliography"/>
        <w:spacing w:line="240" w:lineRule="auto"/>
        <w:jc w:val="both"/>
        <w:rPr>
          <w:rFonts w:ascii="Arial" w:hAnsi="Arial" w:cs="Arial"/>
          <w:lang w:val="fr-FR"/>
        </w:rPr>
      </w:pPr>
      <w:r>
        <w:rPr>
          <w:rFonts w:ascii="Arial" w:hAnsi="Arial" w:cs="Arial"/>
        </w:rPr>
        <w:t>4.</w:t>
      </w:r>
      <w:r>
        <w:rPr>
          <w:rFonts w:ascii="Arial" w:hAnsi="Arial" w:cs="Arial"/>
        </w:rPr>
        <w:tab/>
        <w:t>F. Kaboré, W.J. Zabsonre Tiendrebeogo, C. Sougué, D.M.A.F. Zombré, C. Sompougdou, M. Ouédraogo et al</w:t>
      </w:r>
      <w:r>
        <w:rPr>
          <w:rFonts w:ascii="Arial" w:hAnsi="Arial" w:cs="Arial"/>
          <w:b/>
          <w:bCs/>
        </w:rPr>
        <w:t xml:space="preserve">. </w:t>
      </w:r>
      <w:r>
        <w:rPr>
          <w:rFonts w:ascii="Arial" w:hAnsi="Arial" w:cs="Arial"/>
          <w:lang w:val="fr-FR"/>
        </w:rPr>
        <w:t>EM-Consulte. 2021. Panorama des rhumatismes inflammatoires chroniques au Burkina Faso : bilan de 14 ans de pratique de la rhumatologie. https://doi//10.1016/j.rhum.2021.10.549</w:t>
      </w:r>
    </w:p>
    <w:p>
      <w:pPr>
        <w:pStyle w:val="Bibliography"/>
        <w:spacing w:line="240" w:lineRule="auto"/>
        <w:jc w:val="both"/>
        <w:rPr>
          <w:rFonts w:ascii="Arial" w:hAnsi="Arial" w:cs="Arial"/>
          <w:lang w:val="fr-FR"/>
        </w:rPr>
      </w:pPr>
      <w:r>
        <w:rPr>
          <w:rFonts w:ascii="Arial" w:hAnsi="Arial" w:cs="Arial"/>
        </w:rPr>
        <w:t>5.</w:t>
      </w:r>
      <w:r>
        <w:rPr>
          <w:rFonts w:ascii="Arial" w:hAnsi="Arial" w:cs="Arial"/>
        </w:rPr>
        <w:tab/>
        <w:t xml:space="preserve">Zhang JM, An J. Cytokines, inflammation, and pain. </w:t>
      </w:r>
      <w:r>
        <w:rPr>
          <w:rFonts w:ascii="Arial" w:hAnsi="Arial" w:cs="Arial"/>
          <w:lang w:val="fr-FR"/>
        </w:rPr>
        <w:t>Int Anesthesiol Clin. 2007;45(2):27</w:t>
      </w:r>
      <w:r>
        <w:rPr>
          <w:rFonts w:ascii="Cambria Math" w:hAnsi="Cambria Math" w:cs="Cambria Math"/>
          <w:lang w:val="fr-FR"/>
        </w:rPr>
        <w:t>‑</w:t>
      </w:r>
      <w:r>
        <w:rPr>
          <w:rFonts w:ascii="Arial" w:hAnsi="Arial" w:cs="Arial"/>
          <w:lang w:val="fr-FR"/>
        </w:rPr>
        <w:t>37. https://doi.org/10.1097/AIA.0b013e318034194e</w:t>
      </w:r>
    </w:p>
    <w:p>
      <w:pPr>
        <w:pStyle w:val="Bibliography"/>
        <w:spacing w:line="240" w:lineRule="auto"/>
        <w:jc w:val="both"/>
        <w:rPr>
          <w:rFonts w:ascii="Arial" w:hAnsi="Arial" w:cs="Arial"/>
          <w:lang w:val="fr-FR"/>
        </w:rPr>
      </w:pPr>
      <w:r>
        <w:rPr>
          <w:rFonts w:ascii="Arial" w:hAnsi="Arial" w:cs="Arial"/>
          <w:lang w:val="fr-FR"/>
        </w:rPr>
        <w:t>6.</w:t>
      </w:r>
      <w:r>
        <w:rPr>
          <w:rFonts w:ascii="Arial" w:hAnsi="Arial" w:cs="Arial"/>
          <w:lang w:val="fr-FR"/>
        </w:rPr>
        <w:tab/>
        <w:t>OMS. Journée africaine de la médecine traditionnelle 2022 | OMS | Bureau régional pour l’Afrique [Internet]. 2022. https://www.afro.who.int/fr/regional-director/speeches-messages/journee-africaine-de-la-medecine-traditionnelle-2022</w:t>
      </w:r>
    </w:p>
    <w:p>
      <w:pPr>
        <w:pStyle w:val="Bibliography"/>
        <w:spacing w:line="240" w:lineRule="auto"/>
        <w:jc w:val="both"/>
        <w:rPr>
          <w:rFonts w:ascii="Arial" w:hAnsi="Arial" w:cs="Arial"/>
        </w:rPr>
      </w:pPr>
      <w:r>
        <w:rPr>
          <w:rFonts w:ascii="Arial" w:hAnsi="Arial" w:cs="Arial"/>
        </w:rPr>
        <w:t>7.</w:t>
      </w:r>
      <w:r>
        <w:rPr>
          <w:rFonts w:ascii="Arial" w:hAnsi="Arial" w:cs="Arial"/>
        </w:rPr>
        <w:tab/>
        <w:t>Belete TM, Beyna AT. Review on the Ethnopharmacological Use of Medicinal Plants and Their Anticancer Activity from Preclinical to Clinical Trial. Nat Prod Commun. 1 avr 2025;20(4). https://doi.org/10.1177/1934578X251333027</w:t>
      </w:r>
    </w:p>
    <w:p>
      <w:pPr>
        <w:pStyle w:val="Bibliography"/>
        <w:spacing w:line="240" w:lineRule="auto"/>
        <w:jc w:val="both"/>
        <w:rPr>
          <w:rFonts w:ascii="Arial" w:hAnsi="Arial" w:cs="Arial"/>
        </w:rPr>
      </w:pPr>
      <w:r>
        <w:rPr>
          <w:rFonts w:ascii="Arial" w:hAnsi="Arial" w:cs="Arial"/>
        </w:rPr>
        <w:t>8.</w:t>
      </w:r>
      <w:r>
        <w:rPr>
          <w:rFonts w:ascii="Arial" w:hAnsi="Arial" w:cs="Arial"/>
        </w:rPr>
        <w:tab/>
        <w:t>Agyare C, Spiegler V, Asase A, Scholz M, Hempel G, Hensel A. An ethnopharmacological survey of medicinal plants traditionally used for cancer treatment in the Ashanti region, Ghana. J Ethnopharmacol. 15 févr 2018; 212.</w:t>
      </w:r>
      <w:r>
        <w:rPr>
          <w:rFonts w:ascii="Segoe UI" w:hAnsi="Segoe UI" w:cs="Segoe UI"/>
          <w:color w:val="212121"/>
          <w:shd w:val="clear" w:color="auto" w:fill="FFFFFF"/>
        </w:rPr>
        <w:t xml:space="preserve"> </w:t>
      </w:r>
      <w:r>
        <w:rPr>
          <w:rFonts w:ascii="Arial" w:hAnsi="Arial" w:cs="Arial"/>
        </w:rPr>
        <w:t xml:space="preserve">137-152. doi: 10.1016/j.jep.2017.10.019. </w:t>
      </w:r>
    </w:p>
    <w:p>
      <w:pPr>
        <w:pStyle w:val="Bibliography"/>
        <w:spacing w:line="240" w:lineRule="auto"/>
        <w:jc w:val="both"/>
        <w:rPr>
          <w:rFonts w:ascii="Arial" w:hAnsi="Arial" w:cs="Arial"/>
        </w:rPr>
      </w:pPr>
      <w:r>
        <w:rPr>
          <w:rFonts w:ascii="Arial" w:hAnsi="Arial" w:cs="Arial"/>
        </w:rPr>
        <w:t>9.</w:t>
      </w:r>
      <w:r>
        <w:rPr>
          <w:rFonts w:ascii="Arial" w:hAnsi="Arial" w:cs="Arial"/>
        </w:rPr>
        <w:tab/>
        <w:t>Hassan UA, Tahir JI, Akanji CF, Adamu A, Tahir A. Analgesic and Anti-Inflammatory Effects of Ethanol Leaf Extract of Guiera Senegalensis in Murine Models. Sci Phytochem. 25 avr 2025;4(1):49</w:t>
      </w:r>
      <w:r>
        <w:rPr>
          <w:rFonts w:ascii="Cambria Math" w:hAnsi="Cambria Math" w:cs="Cambria Math"/>
        </w:rPr>
        <w:t>‑</w:t>
      </w:r>
      <w:r>
        <w:rPr>
          <w:rFonts w:ascii="Arial" w:hAnsi="Arial" w:cs="Arial"/>
        </w:rPr>
        <w:t xml:space="preserve">54. </w:t>
      </w:r>
    </w:p>
    <w:p>
      <w:pPr>
        <w:pStyle w:val="Bibliography"/>
        <w:spacing w:line="240" w:lineRule="auto"/>
        <w:jc w:val="both"/>
        <w:rPr>
          <w:rFonts w:ascii="Arial" w:hAnsi="Arial" w:cs="Arial"/>
        </w:rPr>
      </w:pPr>
      <w:r>
        <w:rPr>
          <w:rFonts w:ascii="Arial" w:hAnsi="Arial" w:cs="Arial"/>
        </w:rPr>
        <w:t>10.</w:t>
      </w:r>
      <w:r>
        <w:rPr>
          <w:rFonts w:ascii="Arial" w:hAnsi="Arial" w:cs="Arial"/>
        </w:rPr>
        <w:tab/>
        <w:t>Mahomoodally MF, Aumeeruddy MZ, Legoabe LJ, Dall’Acqua S, Zengin G. Plants’ bioactive secondary metabolites in the management of sepsis: Recent findings on their mechanism of action. Front Pharmacol. 16 déc 2022;13:1046523. https://doi.org/10.3389/fphar.2022.1046523</w:t>
      </w:r>
    </w:p>
    <w:p>
      <w:pPr>
        <w:pStyle w:val="Bibliography"/>
        <w:spacing w:line="240" w:lineRule="auto"/>
        <w:jc w:val="both"/>
        <w:rPr>
          <w:rFonts w:ascii="Arial" w:hAnsi="Arial" w:cs="Arial"/>
          <w:lang w:val="fr-FR"/>
        </w:rPr>
      </w:pPr>
      <w:r>
        <w:rPr>
          <w:rFonts w:ascii="Arial" w:hAnsi="Arial" w:cs="Arial"/>
        </w:rPr>
        <w:t>11.</w:t>
      </w:r>
      <w:r>
        <w:rPr>
          <w:rFonts w:ascii="Arial" w:hAnsi="Arial" w:cs="Arial"/>
        </w:rPr>
        <w:tab/>
        <w:t xml:space="preserve">Haidara M, A D, M H, Bourdy G, Sanogo R. Pharmacognosic study and anti-hepatocarcinoma activity of extracts from leaves and roots of Terminalia macroptera Guill. </w:t>
      </w:r>
      <w:r>
        <w:rPr>
          <w:rFonts w:ascii="Arial" w:hAnsi="Arial" w:cs="Arial"/>
          <w:lang w:val="fr-FR"/>
        </w:rPr>
        <w:t>&amp; Perr. (Combretaceae). J Pharmacogn Phytochem. 1 janv 2024;13(2):657</w:t>
      </w:r>
      <w:r>
        <w:rPr>
          <w:rFonts w:ascii="Cambria Math" w:hAnsi="Cambria Math" w:cs="Cambria Math"/>
          <w:lang w:val="fr-FR"/>
        </w:rPr>
        <w:t>‑</w:t>
      </w:r>
      <w:r>
        <w:rPr>
          <w:rFonts w:ascii="Arial" w:hAnsi="Arial" w:cs="Arial"/>
          <w:lang w:val="fr-FR"/>
        </w:rPr>
        <w:t xml:space="preserve">61. https://doi.org/10.22271/phyto.2024.v13.i2d.14908 </w:t>
      </w:r>
    </w:p>
    <w:p>
      <w:pPr>
        <w:pStyle w:val="Bibliography"/>
        <w:spacing w:line="240" w:lineRule="auto"/>
        <w:jc w:val="both"/>
        <w:rPr>
          <w:rFonts w:ascii="Arial" w:hAnsi="Arial" w:cs="Arial"/>
          <w:lang w:val="fr-FR"/>
        </w:rPr>
      </w:pPr>
      <w:r>
        <w:rPr>
          <w:rFonts w:ascii="Arial" w:hAnsi="Arial" w:cs="Arial"/>
        </w:rPr>
        <w:t>12.</w:t>
      </w:r>
      <w:r>
        <w:rPr>
          <w:rFonts w:ascii="Arial" w:hAnsi="Arial" w:cs="Arial"/>
        </w:rPr>
        <w:tab/>
        <w:t xml:space="preserve">Fadimu O. Ethnomedicinal Survey Of Anti-Typhoid Plants In Ijebu Ode Local Government Area Of Ogun State, Nigeria. </w:t>
      </w:r>
      <w:r>
        <w:rPr>
          <w:rFonts w:ascii="Arial" w:hAnsi="Arial" w:cs="Arial"/>
          <w:lang w:val="fr-FR"/>
        </w:rPr>
        <w:t>Int J Sci Nat. 1 avr 2014;Volume 5:332</w:t>
      </w:r>
      <w:r>
        <w:rPr>
          <w:rFonts w:ascii="Cambria Math" w:hAnsi="Cambria Math" w:cs="Cambria Math"/>
          <w:lang w:val="fr-FR"/>
        </w:rPr>
        <w:t>‑</w:t>
      </w:r>
      <w:r>
        <w:rPr>
          <w:rFonts w:ascii="Arial" w:hAnsi="Arial" w:cs="Arial"/>
          <w:lang w:val="fr-FR"/>
        </w:rPr>
        <w:t xml:space="preserve">6. </w:t>
      </w:r>
    </w:p>
    <w:p>
      <w:pPr>
        <w:pStyle w:val="Bibliography"/>
        <w:spacing w:line="240" w:lineRule="auto"/>
        <w:jc w:val="both"/>
        <w:rPr>
          <w:rFonts w:ascii="Arial" w:hAnsi="Arial" w:cs="Arial"/>
        </w:rPr>
      </w:pPr>
      <w:r>
        <w:rPr>
          <w:rFonts w:ascii="Arial" w:hAnsi="Arial" w:cs="Arial"/>
          <w:lang w:val="fr-FR"/>
        </w:rPr>
        <w:lastRenderedPageBreak/>
        <w:t>13.</w:t>
      </w:r>
      <w:r>
        <w:rPr>
          <w:rFonts w:ascii="Arial" w:hAnsi="Arial" w:cs="Arial"/>
          <w:lang w:val="fr-FR"/>
        </w:rPr>
        <w:tab/>
        <w:t xml:space="preserve">Ibrahim SI, Mukhtar FB, Abdulkarim S, Yarima MB, Ali A, Chifu E, et al. </w:t>
      </w:r>
      <w:r>
        <w:rPr>
          <w:rFonts w:ascii="Arial" w:hAnsi="Arial" w:cs="Arial"/>
        </w:rPr>
        <w:t>Screening and identification of candidate therapeutic drugs from plants for the management of patients infected bacterial infection associated with SARS COV-2. J Phytomedicine Ther. 5 déc 2022;21(2):883</w:t>
      </w:r>
      <w:r>
        <w:rPr>
          <w:rFonts w:ascii="Cambria Math" w:hAnsi="Cambria Math" w:cs="Cambria Math"/>
        </w:rPr>
        <w:t>‑</w:t>
      </w:r>
      <w:r>
        <w:rPr>
          <w:rFonts w:ascii="Arial" w:hAnsi="Arial" w:cs="Arial"/>
        </w:rPr>
        <w:t>90. https://doi.org/10.4314/jopat.v21i2.10</w:t>
      </w:r>
    </w:p>
    <w:p>
      <w:pPr>
        <w:pStyle w:val="Bibliography"/>
        <w:spacing w:line="240" w:lineRule="auto"/>
        <w:jc w:val="both"/>
        <w:rPr>
          <w:rFonts w:ascii="Arial" w:hAnsi="Arial" w:cs="Arial"/>
        </w:rPr>
      </w:pPr>
      <w:r>
        <w:rPr>
          <w:rFonts w:ascii="Arial" w:hAnsi="Arial" w:cs="Arial"/>
        </w:rPr>
        <w:t>14.</w:t>
      </w:r>
      <w:r>
        <w:rPr>
          <w:rFonts w:ascii="Arial" w:hAnsi="Arial" w:cs="Arial"/>
        </w:rPr>
        <w:tab/>
        <w:t>Momoh H, Olaleye AA, Sadiq IS, Mohammad A. Pytochemical Screening, Antimicrobial Activity and Cytotoxicity Effects of Extract of Guiera senegalensis Leaves. ChemSearch J. 2021;12(2):88</w:t>
      </w:r>
      <w:r>
        <w:rPr>
          <w:rFonts w:ascii="Cambria Math" w:hAnsi="Cambria Math" w:cs="Cambria Math"/>
        </w:rPr>
        <w:t>‑</w:t>
      </w:r>
      <w:r>
        <w:rPr>
          <w:rFonts w:ascii="Arial" w:hAnsi="Arial" w:cs="Arial"/>
        </w:rPr>
        <w:t xml:space="preserve">93. </w:t>
      </w:r>
    </w:p>
    <w:p>
      <w:pPr>
        <w:pStyle w:val="Bibliography"/>
        <w:spacing w:line="240" w:lineRule="auto"/>
        <w:jc w:val="both"/>
        <w:rPr>
          <w:rFonts w:ascii="Arial" w:hAnsi="Arial" w:cs="Arial"/>
        </w:rPr>
      </w:pPr>
      <w:r>
        <w:rPr>
          <w:rFonts w:ascii="Arial" w:hAnsi="Arial" w:cs="Arial"/>
        </w:rPr>
        <w:t>15.</w:t>
      </w:r>
      <w:r>
        <w:rPr>
          <w:rFonts w:ascii="Arial" w:hAnsi="Arial" w:cs="Arial"/>
        </w:rPr>
        <w:tab/>
        <w:t>Traore A, Ouedraogo S, Belemlilga MB, Kabore A, Guissou IP. Phytochemical analysis and ovicidal activity of Cassia sieberiana, Guiera senegalensis and Excoecaria grahamii extracts. Afr J Pharm Pharmacol. 29 nov 2017;11(44):554</w:t>
      </w:r>
      <w:r>
        <w:rPr>
          <w:rFonts w:ascii="Cambria Math" w:hAnsi="Cambria Math" w:cs="Cambria Math"/>
        </w:rPr>
        <w:t>‑</w:t>
      </w:r>
      <w:r>
        <w:rPr>
          <w:rFonts w:ascii="Arial" w:hAnsi="Arial" w:cs="Arial"/>
        </w:rPr>
        <w:t xml:space="preserve">60. https://doi.org/10.5897/AJPP2017.4837 </w:t>
      </w:r>
    </w:p>
    <w:p>
      <w:pPr>
        <w:pStyle w:val="Bibliography"/>
        <w:spacing w:line="240" w:lineRule="auto"/>
        <w:jc w:val="both"/>
        <w:rPr>
          <w:rFonts w:ascii="Arial" w:hAnsi="Arial" w:cs="Arial"/>
        </w:rPr>
      </w:pPr>
      <w:r>
        <w:rPr>
          <w:rFonts w:ascii="Arial" w:hAnsi="Arial" w:cs="Arial"/>
        </w:rPr>
        <w:t>16.</w:t>
      </w:r>
      <w:r>
        <w:rPr>
          <w:rFonts w:ascii="Arial" w:hAnsi="Arial" w:cs="Arial"/>
        </w:rPr>
        <w:tab/>
        <w:t xml:space="preserve">Bulakarima A, Dudha N, Kumar S. Antifungal And Phytochemical Analysis Of Bioactive Compounds Of Guiera Senegalensis Leaves. 6 sept 2022; https://doi.org/10.20959/wjpps20229-23079 </w:t>
      </w:r>
    </w:p>
    <w:p>
      <w:pPr>
        <w:pStyle w:val="Bibliography"/>
        <w:spacing w:line="240" w:lineRule="auto"/>
        <w:jc w:val="both"/>
        <w:rPr>
          <w:rFonts w:ascii="Arial" w:hAnsi="Arial" w:cs="Arial"/>
        </w:rPr>
      </w:pPr>
      <w:r>
        <w:rPr>
          <w:rFonts w:ascii="Arial" w:hAnsi="Arial" w:cs="Arial"/>
        </w:rPr>
        <w:t>17.</w:t>
      </w:r>
      <w:r>
        <w:rPr>
          <w:rFonts w:ascii="Arial" w:hAnsi="Arial" w:cs="Arial"/>
        </w:rPr>
        <w:tab/>
        <w:t>Jigam AA, Akanya HO, Dauda BEN, Ogbadoyi EO. Antiplasmodial, analgesic and anti-inflammatory effects of crude Guiera senegalensis leaf extracts in mice infected with Plasmodium berghei. Niger J Biochem Mol Biol. 2011;26(1):33</w:t>
      </w:r>
      <w:r>
        <w:rPr>
          <w:rFonts w:ascii="Cambria Math" w:hAnsi="Cambria Math" w:cs="Cambria Math"/>
        </w:rPr>
        <w:t>‑</w:t>
      </w:r>
      <w:r>
        <w:rPr>
          <w:rFonts w:ascii="Arial" w:hAnsi="Arial" w:cs="Arial"/>
        </w:rPr>
        <w:t xml:space="preserve">8. </w:t>
      </w:r>
    </w:p>
    <w:p>
      <w:pPr>
        <w:pStyle w:val="Bibliography"/>
        <w:spacing w:line="240" w:lineRule="auto"/>
        <w:jc w:val="both"/>
        <w:rPr>
          <w:rFonts w:ascii="Arial" w:hAnsi="Arial" w:cs="Arial"/>
        </w:rPr>
      </w:pPr>
      <w:r>
        <w:rPr>
          <w:rFonts w:ascii="Arial" w:hAnsi="Arial" w:cs="Arial"/>
        </w:rPr>
        <w:t>18.</w:t>
      </w:r>
      <w:r>
        <w:rPr>
          <w:rFonts w:ascii="Arial" w:hAnsi="Arial" w:cs="Arial"/>
        </w:rPr>
        <w:tab/>
        <w:t xml:space="preserve">Denou A, Togola A, Haïdara M, Sanogo R, Diallo D, Koumaré M. Review on phytochemistry and pharmacological aspects of Guiera senegalensis JF Gmel (Combretaceae). Int J New Technol Res. 2016;2(3):263586. </w:t>
      </w:r>
    </w:p>
    <w:p>
      <w:pPr>
        <w:pStyle w:val="Bibliography"/>
        <w:spacing w:line="240" w:lineRule="auto"/>
        <w:jc w:val="both"/>
        <w:rPr>
          <w:rFonts w:ascii="Arial" w:hAnsi="Arial" w:cs="Arial"/>
        </w:rPr>
      </w:pPr>
      <w:r>
        <w:rPr>
          <w:rFonts w:ascii="Arial" w:hAnsi="Arial" w:cs="Arial"/>
        </w:rPr>
        <w:t>19.</w:t>
      </w:r>
      <w:r>
        <w:rPr>
          <w:rFonts w:ascii="Arial" w:hAnsi="Arial" w:cs="Arial"/>
        </w:rPr>
        <w:tab/>
        <w:t>Abigail JM, Adamu HM, Boryo DEA, Mahmoud AA, Kwaji A. Phytochemical Analysis, Antioxidant and Antimicrobial Activities of Guiera senegalensis Methanol Extract. Bima J Sci Technol. 3 sept 2024;8(2B):249</w:t>
      </w:r>
      <w:r>
        <w:rPr>
          <w:rFonts w:ascii="Cambria Math" w:hAnsi="Cambria Math" w:cs="Cambria Math"/>
        </w:rPr>
        <w:t>‑</w:t>
      </w:r>
      <w:r>
        <w:rPr>
          <w:rFonts w:ascii="Arial" w:hAnsi="Arial" w:cs="Arial"/>
        </w:rPr>
        <w:t xml:space="preserve">57. </w:t>
      </w:r>
    </w:p>
    <w:p>
      <w:pPr>
        <w:pStyle w:val="Bibliography"/>
        <w:spacing w:line="240" w:lineRule="auto"/>
        <w:jc w:val="both"/>
        <w:rPr>
          <w:rFonts w:ascii="Arial" w:hAnsi="Arial" w:cs="Arial"/>
        </w:rPr>
      </w:pPr>
      <w:r>
        <w:rPr>
          <w:rFonts w:ascii="Arial" w:hAnsi="Arial" w:cs="Arial"/>
        </w:rPr>
        <w:t>20.</w:t>
      </w:r>
      <w:r>
        <w:rPr>
          <w:rFonts w:ascii="Arial" w:hAnsi="Arial" w:cs="Arial"/>
        </w:rPr>
        <w:tab/>
        <w:t>Abdullahi MS, Abubakar US, Safiyanu I, Hadiza RJ, Sa’adatu AU and Jamila GA. Phytochemical analysis and accumulation of heavy metals in some common medicinal plants. J Pharmacogn Phytochem 2019;8(3):2692-2696.</w:t>
      </w:r>
    </w:p>
    <w:p>
      <w:pPr>
        <w:pStyle w:val="Bibliography"/>
        <w:spacing w:line="240" w:lineRule="auto"/>
        <w:jc w:val="both"/>
        <w:rPr>
          <w:rFonts w:ascii="Arial" w:hAnsi="Arial" w:cs="Arial"/>
        </w:rPr>
      </w:pPr>
      <w:r>
        <w:rPr>
          <w:rFonts w:ascii="Arial" w:hAnsi="Arial" w:cs="Arial"/>
        </w:rPr>
        <w:t>21.</w:t>
      </w:r>
      <w:r>
        <w:rPr>
          <w:rFonts w:ascii="Arial" w:hAnsi="Arial" w:cs="Arial"/>
        </w:rPr>
        <w:tab/>
        <w:t>Shehu A, Tahir T, Sule SY, Aliyu Bashir I, Mohammed AL. Phytochemical Analysis and Antioxidant Evaluation of Methanolic Extract of Senna occidentalis and Guiera senegalensis leaves. CODEN(USA): CRJHA5;1 janv 2019; 4(2):185-192</w:t>
      </w:r>
    </w:p>
    <w:p>
      <w:pPr>
        <w:pStyle w:val="Bibliography"/>
        <w:spacing w:line="240" w:lineRule="auto"/>
        <w:jc w:val="both"/>
        <w:rPr>
          <w:rFonts w:ascii="Arial" w:hAnsi="Arial" w:cs="Arial"/>
        </w:rPr>
      </w:pPr>
      <w:r>
        <w:rPr>
          <w:rFonts w:ascii="Arial" w:hAnsi="Arial" w:cs="Arial"/>
        </w:rPr>
        <w:t>22.</w:t>
      </w:r>
      <w:r>
        <w:rPr>
          <w:rFonts w:ascii="Arial" w:hAnsi="Arial" w:cs="Arial"/>
        </w:rPr>
        <w:tab/>
        <w:t>Oladimeji AO, Babatunde O, Kareem MM. Comparative stuadies of the antioxidant activities of Guiera senegalensis J. F. Gmel leaves extracts from different solvents. J Chem Soc Niger. 20 janv 2019;44(1). https://journals.chemsociety.org.ng/index.php/jcsn/article/view/248</w:t>
      </w:r>
    </w:p>
    <w:p>
      <w:pPr>
        <w:pStyle w:val="Bibliography"/>
        <w:spacing w:line="240" w:lineRule="auto"/>
        <w:jc w:val="both"/>
        <w:rPr>
          <w:rFonts w:ascii="Arial" w:hAnsi="Arial" w:cs="Arial"/>
        </w:rPr>
      </w:pPr>
      <w:r>
        <w:rPr>
          <w:rFonts w:ascii="Arial" w:hAnsi="Arial" w:cs="Arial"/>
        </w:rPr>
        <w:t>23.</w:t>
      </w:r>
      <w:r>
        <w:rPr>
          <w:rFonts w:ascii="Arial" w:hAnsi="Arial" w:cs="Arial"/>
        </w:rPr>
        <w:tab/>
        <w:t>Gabriel BO, Otakhor KO, Obaseki EO. In vitro and in vivo antioxidant evaluation of Guiera senegalensis methanol leaves extract. J Basic Pharmacol Toxicol. 16 déc 2020;4(2):6</w:t>
      </w:r>
      <w:r>
        <w:rPr>
          <w:rFonts w:ascii="Cambria Math" w:hAnsi="Cambria Math" w:cs="Cambria Math"/>
        </w:rPr>
        <w:t>‑</w:t>
      </w:r>
      <w:r>
        <w:rPr>
          <w:rFonts w:ascii="Arial" w:hAnsi="Arial" w:cs="Arial"/>
        </w:rPr>
        <w:t xml:space="preserve">12. </w:t>
      </w:r>
    </w:p>
    <w:p>
      <w:pPr>
        <w:pStyle w:val="Bibliography"/>
        <w:spacing w:line="240" w:lineRule="auto"/>
        <w:jc w:val="both"/>
        <w:rPr>
          <w:rFonts w:ascii="Arial" w:hAnsi="Arial" w:cs="Arial"/>
        </w:rPr>
      </w:pPr>
      <w:r>
        <w:rPr>
          <w:rFonts w:ascii="Arial" w:hAnsi="Arial" w:cs="Arial"/>
        </w:rPr>
        <w:t>24.</w:t>
      </w:r>
      <w:r>
        <w:rPr>
          <w:rFonts w:ascii="Arial" w:hAnsi="Arial" w:cs="Arial"/>
        </w:rPr>
        <w:tab/>
        <w:t>Lema A, Zongo KJ, Belem-Kabre WLME, Sawadogo M, Ouoba HY, Sombie PAED, et al. Phytochemical investigation of three medicinal plants oriented against antioxidant, anti-inflammatory (in vitro and in vivo) activities and acute toxicity. J Pharmacogn Phytochem. 1 janv 2024;13(5):22</w:t>
      </w:r>
      <w:r>
        <w:rPr>
          <w:rFonts w:ascii="Cambria Math" w:hAnsi="Cambria Math" w:cs="Cambria Math"/>
        </w:rPr>
        <w:t>‑</w:t>
      </w:r>
      <w:r>
        <w:rPr>
          <w:rFonts w:ascii="Arial" w:hAnsi="Arial" w:cs="Arial"/>
        </w:rPr>
        <w:t xml:space="preserve">31. https://doi.org/10.22271/phyto.2024.v13.i5a.15054 </w:t>
      </w:r>
    </w:p>
    <w:p>
      <w:pPr>
        <w:pStyle w:val="Bibliography"/>
        <w:spacing w:line="240" w:lineRule="auto"/>
        <w:jc w:val="both"/>
        <w:rPr>
          <w:rFonts w:ascii="Arial" w:hAnsi="Arial" w:cs="Arial"/>
        </w:rPr>
      </w:pPr>
      <w:r>
        <w:rPr>
          <w:rFonts w:ascii="Arial" w:hAnsi="Arial" w:cs="Arial"/>
        </w:rPr>
        <w:t>25.</w:t>
      </w:r>
      <w:r>
        <w:rPr>
          <w:rFonts w:ascii="Arial" w:hAnsi="Arial" w:cs="Arial"/>
        </w:rPr>
        <w:tab/>
        <w:t>Yakubu NS, Gadzama CJ, Pn O. Pharmacognostic, Acute Toxicity, And Analgesic Studies Of The Stem Of Guiera Senegalensis Jf Gmel (Combretaceae). Innovare Journal of science 2016;4(5):1-6.</w:t>
      </w:r>
      <w:r>
        <w:rPr>
          <w:rFonts w:ascii="Arial" w:hAnsi="Arial" w:cs="Arial"/>
          <w:highlight w:val="yellow"/>
        </w:rPr>
        <w:t xml:space="preserve"> </w:t>
      </w:r>
    </w:p>
    <w:p>
      <w:pPr>
        <w:pStyle w:val="Bibliography"/>
        <w:spacing w:line="240" w:lineRule="auto"/>
        <w:jc w:val="both"/>
        <w:rPr>
          <w:rFonts w:ascii="Arial" w:hAnsi="Arial" w:cs="Arial"/>
        </w:rPr>
      </w:pPr>
      <w:r>
        <w:rPr>
          <w:rFonts w:ascii="Arial" w:hAnsi="Arial" w:cs="Arial"/>
        </w:rPr>
        <w:t>26.</w:t>
      </w:r>
      <w:r>
        <w:rPr>
          <w:rFonts w:ascii="Arial" w:hAnsi="Arial" w:cs="Arial"/>
        </w:rPr>
        <w:tab/>
        <w:t xml:space="preserve">Olotu PN, Oluto IA, Kambasha MB, Ahmed A, Ajima U, Ior LD, et al. Pharmacognostic, acute toxicity and analgesic studies of the methanolic stem extract of Guiera senegalensis JF Gmel (Combretaceae). JPP 2016; 5(6): 120-124 </w:t>
      </w:r>
    </w:p>
    <w:p>
      <w:pPr>
        <w:pStyle w:val="Bibliography"/>
        <w:spacing w:line="240" w:lineRule="auto"/>
        <w:jc w:val="both"/>
        <w:rPr>
          <w:rFonts w:ascii="Arial" w:hAnsi="Arial" w:cs="Arial"/>
        </w:rPr>
      </w:pPr>
      <w:r>
        <w:rPr>
          <w:rFonts w:ascii="Arial" w:hAnsi="Arial" w:cs="Arial"/>
        </w:rPr>
        <w:t>27.</w:t>
      </w:r>
      <w:r>
        <w:rPr>
          <w:rFonts w:ascii="Arial" w:hAnsi="Arial" w:cs="Arial"/>
        </w:rPr>
        <w:tab/>
        <w:t>Abubakr M, Sirag N, Osman I, Osman M, Abakar S, Aboul-Enein AM. Anticancer and antioxidant activities of Guiera senegalensis. Sudan J Med Sci. 2013;8(3):135</w:t>
      </w:r>
      <w:r>
        <w:rPr>
          <w:rFonts w:ascii="Cambria Math" w:hAnsi="Cambria Math" w:cs="Cambria Math"/>
        </w:rPr>
        <w:t>‑</w:t>
      </w:r>
      <w:r>
        <w:rPr>
          <w:rFonts w:ascii="Arial" w:hAnsi="Arial" w:cs="Arial"/>
        </w:rPr>
        <w:t xml:space="preserve">40. </w:t>
      </w:r>
    </w:p>
    <w:p>
      <w:pPr>
        <w:pStyle w:val="Bibliography"/>
        <w:spacing w:line="240" w:lineRule="auto"/>
        <w:jc w:val="both"/>
        <w:rPr>
          <w:rFonts w:ascii="Arial" w:hAnsi="Arial" w:cs="Arial"/>
        </w:rPr>
      </w:pPr>
      <w:r>
        <w:rPr>
          <w:rFonts w:ascii="Arial" w:hAnsi="Arial" w:cs="Arial"/>
        </w:rPr>
        <w:t>28.</w:t>
      </w:r>
      <w:r>
        <w:rPr>
          <w:rFonts w:ascii="Arial" w:hAnsi="Arial" w:cs="Arial"/>
        </w:rPr>
        <w:tab/>
        <w:t>Dirar AI, Devkota HP. Ethnopharmacological uses, phytochemistry and pharmacological activities of Guiera senegalensis J.F. Gmel. (Combretaceae). J Ethnopharmacol. mars 2021; 267:113433. https://doi.org/10.1016/j.jep.2020.113433</w:t>
      </w:r>
    </w:p>
    <w:p>
      <w:pPr>
        <w:pStyle w:val="Bibliography"/>
        <w:spacing w:line="240" w:lineRule="auto"/>
        <w:jc w:val="both"/>
        <w:rPr>
          <w:rFonts w:ascii="Arial" w:hAnsi="Arial" w:cs="Arial"/>
        </w:rPr>
      </w:pPr>
      <w:r>
        <w:rPr>
          <w:rFonts w:ascii="Arial" w:hAnsi="Arial" w:cs="Arial"/>
        </w:rPr>
        <w:lastRenderedPageBreak/>
        <w:t>29.</w:t>
      </w:r>
      <w:r>
        <w:rPr>
          <w:rFonts w:ascii="Arial" w:hAnsi="Arial" w:cs="Arial"/>
        </w:rPr>
        <w:tab/>
        <w:t xml:space="preserve">Bello BA, Khan SA, Khan JA, Syed FQ, Anwar Y, Khan SB. </w:t>
      </w:r>
      <w:r>
        <w:rPr>
          <w:rFonts w:ascii="Arial" w:hAnsi="Arial" w:cs="Arial"/>
          <w:lang w:val="fr-FR"/>
        </w:rPr>
        <w:t xml:space="preserve">Effet antiprolifératif et antibactérien des AgNps biosynthétisés à partir d’extraits de feuilles de </w:t>
      </w:r>
      <w:r>
        <w:rPr>
          <w:rFonts w:ascii="Arial" w:hAnsi="Arial" w:cs="Arial"/>
          <w:i/>
          <w:iCs/>
          <w:lang w:val="fr-FR"/>
        </w:rPr>
        <w:t>Guiera senegalensis</w:t>
      </w:r>
      <w:r>
        <w:rPr>
          <w:rFonts w:ascii="Arial" w:hAnsi="Arial" w:cs="Arial"/>
          <w:lang w:val="fr-FR"/>
        </w:rPr>
        <w:t xml:space="preserve"> et sa réduction catalytique sur certains polluants organiques persistants. </w:t>
      </w:r>
      <w:r>
        <w:rPr>
          <w:rFonts w:ascii="Arial" w:hAnsi="Arial" w:cs="Arial"/>
        </w:rPr>
        <w:t>J Photochem Photobiol B. 1 oct 2017;175:99</w:t>
      </w:r>
      <w:r>
        <w:rPr>
          <w:rFonts w:ascii="Cambria Math" w:hAnsi="Cambria Math" w:cs="Cambria Math"/>
        </w:rPr>
        <w:t>‑</w:t>
      </w:r>
      <w:r>
        <w:rPr>
          <w:rFonts w:ascii="Arial" w:hAnsi="Arial" w:cs="Arial"/>
        </w:rPr>
        <w:t xml:space="preserve">108. https://doi.org/10.1016/j.jphotobiol.2017.07.031 </w:t>
      </w:r>
    </w:p>
    <w:p>
      <w:pPr>
        <w:pStyle w:val="Bibliography"/>
        <w:spacing w:line="240" w:lineRule="auto"/>
        <w:jc w:val="both"/>
        <w:rPr>
          <w:rFonts w:ascii="Arial" w:hAnsi="Arial" w:cs="Arial"/>
        </w:rPr>
      </w:pPr>
      <w:r>
        <w:rPr>
          <w:rFonts w:ascii="Arial" w:hAnsi="Arial" w:cs="Arial"/>
        </w:rPr>
        <w:t xml:space="preserve">30.       A. Abduljawad, E. Review of some evidenced medicinal activities of Acacia Nilotica. Arch Pharma Pract 2020;11(4):20-5. </w:t>
      </w:r>
    </w:p>
    <w:p>
      <w:pPr>
        <w:pStyle w:val="Bibliography"/>
        <w:spacing w:line="240" w:lineRule="auto"/>
        <w:jc w:val="both"/>
        <w:rPr>
          <w:rFonts w:ascii="Arial" w:hAnsi="Arial" w:cs="Arial"/>
        </w:rPr>
      </w:pPr>
      <w:r>
        <w:rPr>
          <w:rFonts w:ascii="Arial" w:hAnsi="Arial" w:cs="Arial"/>
        </w:rPr>
        <w:t>31.</w:t>
      </w:r>
      <w:r>
        <w:rPr>
          <w:rFonts w:ascii="Arial" w:hAnsi="Arial" w:cs="Arial"/>
        </w:rPr>
        <w:tab/>
        <w:t xml:space="preserve">Rasha Jame. Phytochemical and Pharmacological Uses of Acacia Nilotica - A Review. International Journal of Bioorganic Chemistry. Vol. 3, No. 2, 2018, pp. 6-10. doi: 10.11648/j.ijbc.20180302.11. </w:t>
      </w:r>
    </w:p>
    <w:p>
      <w:pPr>
        <w:pStyle w:val="Bibliography"/>
        <w:spacing w:line="240" w:lineRule="auto"/>
        <w:jc w:val="both"/>
        <w:rPr>
          <w:rFonts w:ascii="Arial" w:hAnsi="Arial" w:cs="Arial"/>
        </w:rPr>
      </w:pPr>
      <w:r>
        <w:rPr>
          <w:rFonts w:ascii="Arial" w:hAnsi="Arial" w:cs="Arial"/>
        </w:rPr>
        <w:t>32.</w:t>
      </w:r>
      <w:r>
        <w:rPr>
          <w:rFonts w:ascii="Arial" w:hAnsi="Arial" w:cs="Arial"/>
        </w:rPr>
        <w:tab/>
        <w:t>Satruhan Patel A, Patel A, Patel D. A review on a medicinal tree Acacia nilotica Linn. J Pharmacogn Phytochem. 1 janv 2023;12(6):345</w:t>
      </w:r>
      <w:r>
        <w:rPr>
          <w:rFonts w:ascii="Cambria Math" w:hAnsi="Cambria Math" w:cs="Cambria Math"/>
        </w:rPr>
        <w:t>‑</w:t>
      </w:r>
      <w:r>
        <w:rPr>
          <w:rFonts w:ascii="Arial" w:hAnsi="Arial" w:cs="Arial"/>
        </w:rPr>
        <w:t>8. https://doi.org/10.22271/phyto.2023.v12.i6d.14802</w:t>
      </w:r>
    </w:p>
    <w:p>
      <w:pPr>
        <w:pStyle w:val="Bibliography"/>
        <w:spacing w:line="240" w:lineRule="auto"/>
        <w:jc w:val="both"/>
        <w:rPr>
          <w:rFonts w:ascii="Arial" w:hAnsi="Arial" w:cs="Arial"/>
        </w:rPr>
      </w:pPr>
      <w:r>
        <w:rPr>
          <w:rFonts w:ascii="Arial" w:hAnsi="Arial" w:cs="Arial"/>
        </w:rPr>
        <w:t>33.</w:t>
      </w:r>
      <w:r>
        <w:rPr>
          <w:rFonts w:ascii="Arial" w:hAnsi="Arial" w:cs="Arial"/>
        </w:rPr>
        <w:tab/>
        <w:t>Abdoul GLB, Traore A, Ouedraogo M, Belemlilga M, Traore TK, Belemnaba L, et al. Pharmacological study of trunk bark of Acacia nilotica var adansonii (Guill et Perr).o Ktze (Mimosaceae): Assays, antioxidant and antispasmodic activities. J Drug Deliv Ther. 15 juin 2019;9(3-s):524</w:t>
      </w:r>
      <w:r>
        <w:rPr>
          <w:rFonts w:ascii="Cambria Math" w:hAnsi="Cambria Math" w:cs="Cambria Math"/>
        </w:rPr>
        <w:t>‑</w:t>
      </w:r>
      <w:r>
        <w:rPr>
          <w:rFonts w:ascii="Arial" w:hAnsi="Arial" w:cs="Arial"/>
        </w:rPr>
        <w:t>30.  https://doi.org/10.22270/jddt.v9i3-s.2901</w:t>
      </w:r>
    </w:p>
    <w:p>
      <w:pPr>
        <w:pStyle w:val="Bibliography"/>
        <w:spacing w:line="240" w:lineRule="auto"/>
        <w:jc w:val="both"/>
        <w:rPr>
          <w:rFonts w:ascii="Arial" w:hAnsi="Arial" w:cs="Arial"/>
        </w:rPr>
      </w:pPr>
      <w:r>
        <w:rPr>
          <w:rFonts w:ascii="Arial" w:hAnsi="Arial" w:cs="Arial"/>
          <w:lang w:val="fr-FR"/>
        </w:rPr>
        <w:t>34.</w:t>
      </w:r>
      <w:r>
        <w:rPr>
          <w:rFonts w:ascii="Arial" w:hAnsi="Arial" w:cs="Arial"/>
          <w:lang w:val="fr-FR"/>
        </w:rPr>
        <w:tab/>
        <w:t xml:space="preserve">Traoré KT, Sombié NE, Nignan N, Boly GAL, Kabré LMEW, Coulibaly A, et al. </w:t>
      </w:r>
      <w:r>
        <w:rPr>
          <w:rFonts w:ascii="Arial" w:hAnsi="Arial" w:cs="Arial"/>
        </w:rPr>
        <w:t>Antioxidant Properties Evaluation of Trunk’s Barks of 10 Plants used in Traditional Medicine against Hepatic Pathologies. Asian J Res Biochem. 6 oct 2023;13(3):66</w:t>
      </w:r>
      <w:r>
        <w:rPr>
          <w:rFonts w:ascii="Cambria Math" w:hAnsi="Cambria Math" w:cs="Cambria Math"/>
        </w:rPr>
        <w:t>‑</w:t>
      </w:r>
      <w:r>
        <w:rPr>
          <w:rFonts w:ascii="Arial" w:hAnsi="Arial" w:cs="Arial"/>
        </w:rPr>
        <w:t xml:space="preserve">73. https://doi.org/10.9734/ajrb/2023/v13i3261 </w:t>
      </w:r>
    </w:p>
    <w:p>
      <w:pPr>
        <w:pStyle w:val="Bibliography"/>
        <w:spacing w:line="240" w:lineRule="auto"/>
        <w:jc w:val="both"/>
        <w:rPr>
          <w:rFonts w:ascii="Arial" w:hAnsi="Arial" w:cs="Arial"/>
        </w:rPr>
      </w:pPr>
      <w:r>
        <w:rPr>
          <w:rFonts w:ascii="Arial" w:hAnsi="Arial" w:cs="Arial"/>
        </w:rPr>
        <w:t>35.</w:t>
      </w:r>
      <w:r>
        <w:rPr>
          <w:rFonts w:ascii="Arial" w:hAnsi="Arial" w:cs="Arial"/>
        </w:rPr>
        <w:tab/>
        <w:t>Lawaly MM, Ikhiri K, Yu L. Determination of total phenolic and flavonoid content, antioxidant and cytotoxic activity of the methanol extract of Acacia nilotica pods. J Med Plants Res. 31 déc 2022;16(12):326</w:t>
      </w:r>
      <w:r>
        <w:rPr>
          <w:rFonts w:ascii="Cambria Math" w:hAnsi="Cambria Math" w:cs="Cambria Math"/>
        </w:rPr>
        <w:t>‑</w:t>
      </w:r>
      <w:r>
        <w:rPr>
          <w:rFonts w:ascii="Arial" w:hAnsi="Arial" w:cs="Arial"/>
        </w:rPr>
        <w:t>33. https://doi.org/10.5897/JMPR2022.7268</w:t>
      </w:r>
    </w:p>
    <w:p>
      <w:pPr>
        <w:pStyle w:val="Bibliography"/>
        <w:spacing w:line="240" w:lineRule="auto"/>
        <w:jc w:val="both"/>
        <w:rPr>
          <w:rFonts w:ascii="Arial" w:hAnsi="Arial" w:cs="Arial"/>
        </w:rPr>
      </w:pPr>
      <w:r>
        <w:rPr>
          <w:rFonts w:ascii="Arial" w:hAnsi="Arial" w:cs="Arial"/>
        </w:rPr>
        <w:t>36.</w:t>
      </w:r>
      <w:r>
        <w:rPr>
          <w:rFonts w:ascii="Arial" w:hAnsi="Arial" w:cs="Arial"/>
        </w:rPr>
        <w:tab/>
        <w:t>Kankara SS, Sani D, IBRAHIM M, Mustafa M, Go R. Acacia nilotica pods’ water extract enhances wound healing in Sprague-Dawley rats by alleviating oxidative stress and suppressing pro-inflammatory cytokines. Niger J Sci Res. 2017;16(2):202</w:t>
      </w:r>
      <w:r>
        <w:rPr>
          <w:rFonts w:ascii="Cambria Math" w:hAnsi="Cambria Math" w:cs="Cambria Math"/>
        </w:rPr>
        <w:t>‑</w:t>
      </w:r>
      <w:r>
        <w:rPr>
          <w:rFonts w:ascii="Arial" w:hAnsi="Arial" w:cs="Arial"/>
        </w:rPr>
        <w:t xml:space="preserve">10. </w:t>
      </w:r>
    </w:p>
    <w:p>
      <w:pPr>
        <w:pStyle w:val="Bibliography"/>
        <w:spacing w:line="240" w:lineRule="auto"/>
        <w:jc w:val="both"/>
        <w:rPr>
          <w:rFonts w:ascii="Arial" w:hAnsi="Arial" w:cs="Arial"/>
        </w:rPr>
      </w:pPr>
      <w:r>
        <w:rPr>
          <w:rFonts w:ascii="Arial" w:hAnsi="Arial" w:cs="Arial"/>
        </w:rPr>
        <w:t>37.</w:t>
      </w:r>
      <w:r>
        <w:rPr>
          <w:rFonts w:ascii="Arial" w:hAnsi="Arial" w:cs="Arial"/>
        </w:rPr>
        <w:tab/>
        <w:t xml:space="preserve">Lukman A. Alli, Mikhail O. Nafiu, Abdulfatai A. Adesokan, Musbau A. Akanji, Adeniyi Y. Tijani, Oluwakanyinsola A. Salawu Antipyretic and analgesic activities of aqueous extract of </w:t>
      </w:r>
      <w:r>
        <w:rPr>
          <w:rFonts w:ascii="Arial" w:hAnsi="Arial" w:cs="Arial"/>
          <w:i/>
          <w:iCs/>
        </w:rPr>
        <w:t>Acacia nilotica</w:t>
      </w:r>
      <w:r>
        <w:rPr>
          <w:rFonts w:ascii="Arial" w:hAnsi="Arial" w:cs="Arial"/>
        </w:rPr>
        <w:t xml:space="preserve"> root. Biokemistri. 2015 Vol. 26 (2) 55–62 https://www.ajol.info/index.php/biokem/article/view/113765</w:t>
      </w:r>
    </w:p>
    <w:p>
      <w:pPr>
        <w:pStyle w:val="Bibliography"/>
        <w:spacing w:line="240" w:lineRule="auto"/>
        <w:jc w:val="both"/>
        <w:rPr>
          <w:rFonts w:ascii="Arial" w:hAnsi="Arial" w:cs="Arial"/>
          <w:lang w:val="fr-FR"/>
        </w:rPr>
      </w:pPr>
      <w:r>
        <w:rPr>
          <w:rFonts w:ascii="Arial" w:hAnsi="Arial" w:cs="Arial"/>
        </w:rPr>
        <w:t>38.</w:t>
      </w:r>
      <w:r>
        <w:rPr>
          <w:rFonts w:ascii="Arial" w:hAnsi="Arial" w:cs="Arial"/>
        </w:rPr>
        <w:tab/>
        <w:t xml:space="preserve">Tanko Mahamane Salissou M, Tanko: Yusuf, AbduSSALAM  Magaji R, Hamza Yaro A. Analgesic and Anti-inflammatory Activities of N-buthanol Portion of Acacia nilotica Pods in Mice and Wistar rats. </w:t>
      </w:r>
      <w:r>
        <w:rPr>
          <w:rFonts w:ascii="Arial" w:hAnsi="Arial" w:cs="Arial"/>
          <w:lang w:val="fr-FR"/>
        </w:rPr>
        <w:t>Int J Sci Res Manag. 15 janv 2022;10(01):519</w:t>
      </w:r>
      <w:r>
        <w:rPr>
          <w:rFonts w:ascii="Cambria Math" w:hAnsi="Cambria Math" w:cs="Cambria Math"/>
          <w:lang w:val="fr-FR"/>
        </w:rPr>
        <w:t>‑</w:t>
      </w:r>
      <w:r>
        <w:rPr>
          <w:rFonts w:ascii="Arial" w:hAnsi="Arial" w:cs="Arial"/>
          <w:lang w:val="fr-FR"/>
        </w:rPr>
        <w:t xml:space="preserve">30. https://doi.org/10.18535/ijsrm/v10i01.mp02 </w:t>
      </w:r>
    </w:p>
    <w:p>
      <w:pPr>
        <w:pStyle w:val="Bibliography"/>
        <w:spacing w:line="240" w:lineRule="auto"/>
        <w:jc w:val="both"/>
        <w:rPr>
          <w:rFonts w:ascii="Arial" w:hAnsi="Arial" w:cs="Arial"/>
        </w:rPr>
      </w:pPr>
      <w:r>
        <w:rPr>
          <w:rFonts w:ascii="Arial" w:hAnsi="Arial" w:cs="Arial"/>
        </w:rPr>
        <w:t>39.</w:t>
      </w:r>
      <w:r>
        <w:rPr>
          <w:rFonts w:ascii="Arial" w:hAnsi="Arial" w:cs="Arial"/>
        </w:rPr>
        <w:tab/>
        <w:t xml:space="preserve">Vz S, Kamau J, Nthiga P, Ngugi M, Em N. Antipyretic, Antiinflammatory and Antinociceptive Activities of Aqueous Bark Extract of Acacia Nilotica (L.) Delile in Albino Mice. Pain Manag Med. 11 févr 2016;2:113. https://doi.org/10.35248/2684-1320.16.2.113 </w:t>
      </w:r>
    </w:p>
    <w:p>
      <w:pPr>
        <w:pStyle w:val="Bibliography"/>
        <w:spacing w:line="240" w:lineRule="auto"/>
        <w:jc w:val="both"/>
        <w:rPr>
          <w:rFonts w:ascii="Arial" w:hAnsi="Arial" w:cs="Arial"/>
        </w:rPr>
      </w:pPr>
      <w:r>
        <w:rPr>
          <w:rFonts w:ascii="Arial" w:hAnsi="Arial" w:cs="Arial"/>
        </w:rPr>
        <w:t>40.</w:t>
      </w:r>
      <w:r>
        <w:rPr>
          <w:rFonts w:ascii="Arial" w:hAnsi="Arial" w:cs="Arial"/>
        </w:rPr>
        <w:tab/>
        <w:t>Kabbashi AS, Garbi MI, Osman EE. Antigiardial, antioxidant activities and cytotoxicity of ethanolic extract of Acacia nilotica (L). Adv Med Plant Res. 2015;3:33</w:t>
      </w:r>
      <w:r>
        <w:rPr>
          <w:rFonts w:ascii="Cambria Math" w:hAnsi="Cambria Math" w:cs="Cambria Math"/>
        </w:rPr>
        <w:t>‑</w:t>
      </w:r>
      <w:r>
        <w:rPr>
          <w:rFonts w:ascii="Arial" w:hAnsi="Arial" w:cs="Arial"/>
        </w:rPr>
        <w:t xml:space="preserve">8. </w:t>
      </w:r>
    </w:p>
    <w:p>
      <w:pPr>
        <w:pStyle w:val="Bibliography"/>
        <w:spacing w:line="240" w:lineRule="auto"/>
        <w:jc w:val="both"/>
        <w:rPr>
          <w:rFonts w:ascii="Arial" w:hAnsi="Arial" w:cs="Arial"/>
          <w:lang w:val="fr-FR"/>
        </w:rPr>
      </w:pPr>
      <w:r>
        <w:rPr>
          <w:rFonts w:ascii="Arial" w:hAnsi="Arial" w:cs="Arial"/>
        </w:rPr>
        <w:t>41.</w:t>
      </w:r>
      <w:r>
        <w:rPr>
          <w:rFonts w:ascii="Arial" w:hAnsi="Arial" w:cs="Arial"/>
        </w:rPr>
        <w:tab/>
        <w:t xml:space="preserve">Kabbashi AS, Almagboul AZ, Garbi MI, Osman E badri E, Hassan AM, Dahab MM, et al. Antigiaridial Activity and Cytotoxicity of Ethanolic Bark Extract of Acacia nilotica (L.). </w:t>
      </w:r>
      <w:r>
        <w:rPr>
          <w:rFonts w:ascii="Arial" w:hAnsi="Arial" w:cs="Arial"/>
          <w:lang w:val="fr-FR"/>
        </w:rPr>
        <w:t>2016; 1(4), 138-146</w:t>
      </w:r>
    </w:p>
    <w:p>
      <w:pPr>
        <w:pStyle w:val="Bibliography"/>
        <w:spacing w:line="240" w:lineRule="auto"/>
        <w:jc w:val="both"/>
        <w:rPr>
          <w:rFonts w:ascii="Arial" w:hAnsi="Arial" w:cs="Arial"/>
        </w:rPr>
      </w:pPr>
      <w:r>
        <w:rPr>
          <w:rFonts w:ascii="Arial" w:hAnsi="Arial" w:cs="Arial"/>
          <w:lang w:val="fr-FR"/>
        </w:rPr>
        <w:t>42.</w:t>
      </w:r>
      <w:r>
        <w:rPr>
          <w:rFonts w:ascii="Arial" w:hAnsi="Arial" w:cs="Arial"/>
          <w:lang w:val="fr-FR"/>
        </w:rPr>
        <w:tab/>
        <w:t>Victorien T, Amegnona A, Sodokè TK, Jacques DT, Messanvi G,</w:t>
      </w:r>
      <w:r>
        <w:rPr>
          <w:lang w:val="fr-FR"/>
        </w:rPr>
        <w:t xml:space="preserve"> </w:t>
      </w:r>
      <w:r>
        <w:rPr>
          <w:rFonts w:ascii="Arial" w:hAnsi="Arial" w:cs="Arial"/>
          <w:lang w:val="fr-FR"/>
        </w:rPr>
        <w:t xml:space="preserve">AGBONON Amegnona et al. </w:t>
      </w:r>
      <w:r>
        <w:rPr>
          <w:rFonts w:ascii="Arial" w:hAnsi="Arial" w:cs="Arial"/>
        </w:rPr>
        <w:t>Phytochemical And Toxicological Studies Of Acacia Nilotica And Faidherbia Albida Used In West African Traditional Medicine. 2020;11(6);38906-38910. DOI: http://dx.doi.org/10.24327/ijrsr.2020.1106.5401</w:t>
      </w:r>
    </w:p>
    <w:p>
      <w:pPr>
        <w:pStyle w:val="Bibliography"/>
        <w:spacing w:line="240" w:lineRule="auto"/>
        <w:jc w:val="both"/>
        <w:rPr>
          <w:rFonts w:ascii="Arial" w:hAnsi="Arial" w:cs="Arial"/>
        </w:rPr>
      </w:pPr>
      <w:r>
        <w:rPr>
          <w:rFonts w:ascii="Arial" w:hAnsi="Arial" w:cs="Arial"/>
        </w:rPr>
        <w:t>43.</w:t>
      </w:r>
      <w:r>
        <w:rPr>
          <w:rFonts w:ascii="Arial" w:hAnsi="Arial" w:cs="Arial"/>
        </w:rPr>
        <w:tab/>
        <w:t>Wilson D, Shagal MH, Christopher K, Suleiman H. Phytochemicals and Antimicrobial Activity of Crude Extracts of Fresh Leaves and Stem Bark of Faidherbia albida. J Appl Sci Environ Manag. 30 oct 2024;28(10B Supplementary):</w:t>
      </w:r>
      <w:r>
        <w:t xml:space="preserve"> </w:t>
      </w:r>
      <w:r>
        <w:rPr>
          <w:rFonts w:ascii="Arial" w:hAnsi="Arial" w:cs="Arial"/>
        </w:rPr>
        <w:t xml:space="preserve">3471-3476. </w:t>
      </w:r>
    </w:p>
    <w:p>
      <w:pPr>
        <w:pStyle w:val="Bibliography"/>
        <w:spacing w:line="240" w:lineRule="auto"/>
        <w:jc w:val="both"/>
        <w:rPr>
          <w:rFonts w:ascii="Arial" w:hAnsi="Arial" w:cs="Arial"/>
          <w:lang w:val="fr-FR"/>
        </w:rPr>
      </w:pPr>
      <w:r>
        <w:rPr>
          <w:rFonts w:ascii="Arial" w:hAnsi="Arial" w:cs="Arial"/>
        </w:rPr>
        <w:lastRenderedPageBreak/>
        <w:t>44.</w:t>
      </w:r>
      <w:r>
        <w:rPr>
          <w:rFonts w:ascii="Arial" w:hAnsi="Arial" w:cs="Arial"/>
        </w:rPr>
        <w:tab/>
        <w:t xml:space="preserve">Ismail AM, Mohamed EA, Marghany MR, Abdel-Motaal FF, Abdel-Farid IB, El-Sayed MA et al. Preliminary phytochemical screening, plant growth inhibition and antimicrobial activity studies of Faidherbia albida legume extracts. </w:t>
      </w:r>
      <w:r>
        <w:rPr>
          <w:rFonts w:ascii="Arial" w:hAnsi="Arial" w:cs="Arial"/>
          <w:lang w:val="fr-FR"/>
        </w:rPr>
        <w:t>J Saudi Soc Agric Sci. 2016;15(2):112</w:t>
      </w:r>
      <w:r>
        <w:rPr>
          <w:rFonts w:ascii="Cambria Math" w:hAnsi="Cambria Math" w:cs="Cambria Math"/>
          <w:lang w:val="fr-FR"/>
        </w:rPr>
        <w:t>‑</w:t>
      </w:r>
      <w:r>
        <w:rPr>
          <w:rFonts w:ascii="Arial" w:hAnsi="Arial" w:cs="Arial"/>
          <w:lang w:val="fr-FR"/>
        </w:rPr>
        <w:t>7.</w:t>
      </w:r>
      <w:r>
        <w:rPr>
          <w:lang w:val="fr-FR"/>
        </w:rPr>
        <w:t xml:space="preserve"> </w:t>
      </w:r>
      <w:r>
        <w:rPr>
          <w:rFonts w:ascii="Arial" w:hAnsi="Arial" w:cs="Arial"/>
          <w:lang w:val="fr-FR"/>
        </w:rPr>
        <w:t xml:space="preserve">https://doi.org/10.1016/j.jssas.2014.06.002 </w:t>
      </w:r>
    </w:p>
    <w:p>
      <w:pPr>
        <w:pStyle w:val="Bibliography"/>
        <w:spacing w:line="240" w:lineRule="auto"/>
        <w:jc w:val="both"/>
        <w:rPr>
          <w:rFonts w:ascii="Arial" w:hAnsi="Arial" w:cs="Arial"/>
        </w:rPr>
      </w:pPr>
      <w:r>
        <w:rPr>
          <w:rFonts w:ascii="Arial" w:hAnsi="Arial" w:cs="Arial"/>
          <w:lang w:val="fr-FR"/>
        </w:rPr>
        <w:t>45.</w:t>
      </w:r>
      <w:r>
        <w:rPr>
          <w:rFonts w:ascii="Arial" w:hAnsi="Arial" w:cs="Arial"/>
          <w:lang w:val="fr-FR"/>
        </w:rPr>
        <w:tab/>
        <w:t xml:space="preserve">Bruno T, Désiré S, Ernestine NTZ, Yves ND, Oscar EMT, Andrea-Marobela K, et al. </w:t>
      </w:r>
      <w:r>
        <w:rPr>
          <w:rFonts w:ascii="Arial" w:hAnsi="Arial" w:cs="Arial"/>
        </w:rPr>
        <w:t>Phytochemical Composition and Biological Activity of Faidherbia albida (Mimosaceae) Roots and Leaves. Int J Pharm Sci Rev Res. 2020;65(1):124</w:t>
      </w:r>
      <w:r>
        <w:rPr>
          <w:rFonts w:ascii="Cambria Math" w:hAnsi="Cambria Math" w:cs="Cambria Math"/>
        </w:rPr>
        <w:t>‑</w:t>
      </w:r>
      <w:r>
        <w:rPr>
          <w:rFonts w:ascii="Arial" w:hAnsi="Arial" w:cs="Arial"/>
        </w:rPr>
        <w:t>30. DOI: 10.47583/ijpsrr.2020.v65i01.018</w:t>
      </w:r>
    </w:p>
    <w:p>
      <w:pPr>
        <w:pStyle w:val="Bibliography"/>
        <w:spacing w:line="240" w:lineRule="auto"/>
        <w:jc w:val="both"/>
        <w:rPr>
          <w:rFonts w:ascii="Arial" w:hAnsi="Arial" w:cs="Arial"/>
        </w:rPr>
      </w:pPr>
      <w:r>
        <w:rPr>
          <w:rFonts w:ascii="Arial" w:hAnsi="Arial" w:cs="Arial"/>
        </w:rPr>
        <w:t>46.</w:t>
      </w:r>
      <w:r>
        <w:rPr>
          <w:rFonts w:ascii="Arial" w:hAnsi="Arial" w:cs="Arial"/>
        </w:rPr>
        <w:tab/>
        <w:t>Ahmed TM, Eldemardash ES, Ali SA. Antioxidant and hepatoprotective effects of ethanolic extracts of Faidherbia albida fruits and stem bark against carbon tetrachloride induced liver damage in rats. SUST J Agric Vet Sci. 2019;20(1):1</w:t>
      </w:r>
      <w:r>
        <w:rPr>
          <w:rFonts w:ascii="Cambria Math" w:hAnsi="Cambria Math" w:cs="Cambria Math"/>
        </w:rPr>
        <w:t>‑</w:t>
      </w:r>
      <w:r>
        <w:rPr>
          <w:rFonts w:ascii="Arial" w:hAnsi="Arial" w:cs="Arial"/>
        </w:rPr>
        <w:t xml:space="preserve">8. </w:t>
      </w:r>
    </w:p>
    <w:p>
      <w:pPr>
        <w:pStyle w:val="Bibliography"/>
        <w:spacing w:line="240" w:lineRule="auto"/>
        <w:jc w:val="both"/>
        <w:rPr>
          <w:rFonts w:ascii="Arial" w:hAnsi="Arial" w:cs="Arial"/>
        </w:rPr>
      </w:pPr>
      <w:r>
        <w:rPr>
          <w:rFonts w:ascii="Arial" w:hAnsi="Arial" w:cs="Arial"/>
        </w:rPr>
        <w:t>47.</w:t>
      </w:r>
      <w:r>
        <w:rPr>
          <w:rFonts w:ascii="Arial" w:hAnsi="Arial" w:cs="Arial"/>
        </w:rPr>
        <w:tab/>
        <w:t>Oni MO, Bello OO, Ademola RA, Mba UD, Oni VO. Antimicrobial and cytotoxic properties of leaf and stem bark extracts of Faidherbia albida. Acta Microbiol Bulg. 2021;37:209</w:t>
      </w:r>
      <w:r>
        <w:rPr>
          <w:rFonts w:ascii="Cambria Math" w:hAnsi="Cambria Math" w:cs="Cambria Math"/>
        </w:rPr>
        <w:t>‑</w:t>
      </w:r>
      <w:r>
        <w:rPr>
          <w:rFonts w:ascii="Arial" w:hAnsi="Arial" w:cs="Arial"/>
        </w:rPr>
        <w:t xml:space="preserve">14. </w:t>
      </w:r>
    </w:p>
    <w:p>
      <w:pPr>
        <w:pStyle w:val="Bibliography"/>
        <w:spacing w:line="240" w:lineRule="auto"/>
        <w:jc w:val="both"/>
        <w:rPr>
          <w:rFonts w:ascii="Arial" w:hAnsi="Arial" w:cs="Arial"/>
        </w:rPr>
      </w:pPr>
      <w:r>
        <w:rPr>
          <w:rFonts w:ascii="Arial" w:hAnsi="Arial" w:cs="Arial"/>
        </w:rPr>
        <w:t>48.</w:t>
      </w:r>
      <w:r>
        <w:rPr>
          <w:rFonts w:ascii="Arial" w:hAnsi="Arial" w:cs="Arial"/>
        </w:rPr>
        <w:tab/>
        <w:t>Tchoukoua A. Studies on bioactive compounds from Cameroonian medicinal plants, Acacia albida and Albizia chevalieri, and Japanese endophytes Xylaria sp. [Internet] [PhD Thesis]. Iwate University; 2018. https://iwate-u.repo.nii.ac.jp/record/14575/files/TCHOUKOUA-Abdou-2018-A.pdf</w:t>
      </w:r>
    </w:p>
    <w:p>
      <w:pPr>
        <w:pStyle w:val="Bibliography"/>
        <w:spacing w:line="240" w:lineRule="auto"/>
        <w:jc w:val="both"/>
        <w:rPr>
          <w:rFonts w:ascii="Arial" w:hAnsi="Arial" w:cs="Arial"/>
        </w:rPr>
      </w:pPr>
      <w:r>
        <w:rPr>
          <w:rFonts w:ascii="Arial" w:hAnsi="Arial" w:cs="Arial"/>
        </w:rPr>
        <w:t>49.</w:t>
      </w:r>
      <w:r>
        <w:rPr>
          <w:rFonts w:ascii="Arial" w:hAnsi="Arial" w:cs="Arial"/>
        </w:rPr>
        <w:tab/>
        <w:t>Ogunbolude Y, Ibrahim M, Elekofehinti OO, Adeniran A, Abolaji AO, Rocha JBT, et al. Effects of Tapinanthus globiferus and Zanthoxylum zanthoxyloides extracts on human leukocytes in vitro. J Intercult Ethnopharmacol. 6 sept 2014;3(4):167</w:t>
      </w:r>
      <w:r>
        <w:rPr>
          <w:rFonts w:ascii="Cambria Math" w:hAnsi="Cambria Math" w:cs="Cambria Math"/>
        </w:rPr>
        <w:t>‑</w:t>
      </w:r>
      <w:r>
        <w:rPr>
          <w:rFonts w:ascii="Arial" w:hAnsi="Arial" w:cs="Arial"/>
        </w:rPr>
        <w:t xml:space="preserve">72. https://doi.org/10.5455/jice.20140826110059 </w:t>
      </w:r>
    </w:p>
    <w:p>
      <w:pPr>
        <w:pStyle w:val="Bibliography"/>
        <w:spacing w:line="240" w:lineRule="auto"/>
        <w:jc w:val="both"/>
        <w:rPr>
          <w:rFonts w:ascii="Arial" w:hAnsi="Arial" w:cs="Arial"/>
        </w:rPr>
      </w:pPr>
      <w:r>
        <w:rPr>
          <w:rFonts w:ascii="Arial" w:hAnsi="Arial" w:cs="Arial"/>
        </w:rPr>
        <w:t>50.</w:t>
      </w:r>
      <w:r>
        <w:rPr>
          <w:rFonts w:ascii="Arial" w:hAnsi="Arial" w:cs="Arial"/>
        </w:rPr>
        <w:tab/>
        <w:t>Ogunrinade FA, Guetchueng ST, Katola FO, Aderogba MA, Akande IS, Sarker SD, et al. Zanthoxylum zanthoxyloides inhibits lipopolysaccharide- and synthetic hemozoin-induced neuroinflammation in BV-2 microglia: roles of NF-κB transcription factor and NLRP3 inflammasome activation. J Pharm Pharmacol. 1 janv 2021;73(1):118</w:t>
      </w:r>
      <w:r>
        <w:rPr>
          <w:rFonts w:ascii="Cambria Math" w:hAnsi="Cambria Math" w:cs="Cambria Math"/>
        </w:rPr>
        <w:t>‑</w:t>
      </w:r>
      <w:r>
        <w:rPr>
          <w:rFonts w:ascii="Arial" w:hAnsi="Arial" w:cs="Arial"/>
        </w:rPr>
        <w:t xml:space="preserve">34. https://doi.org/10.1093/jpp/rgaa019  </w:t>
      </w:r>
    </w:p>
    <w:p>
      <w:pPr>
        <w:pStyle w:val="Bibliography"/>
        <w:spacing w:line="240" w:lineRule="auto"/>
        <w:jc w:val="both"/>
        <w:rPr>
          <w:rFonts w:ascii="Arial" w:hAnsi="Arial" w:cs="Arial"/>
        </w:rPr>
      </w:pPr>
      <w:r>
        <w:rPr>
          <w:rFonts w:ascii="Arial" w:hAnsi="Arial" w:cs="Arial"/>
        </w:rPr>
        <w:t>51.</w:t>
      </w:r>
      <w:r>
        <w:rPr>
          <w:rFonts w:ascii="Arial" w:hAnsi="Arial" w:cs="Arial"/>
        </w:rPr>
        <w:tab/>
        <w:t xml:space="preserve">Ikumawoyi VO, Awodele O. Evaluation of the effects of the hydro-ethanolic root extract of </w:t>
      </w:r>
      <w:r>
        <w:rPr>
          <w:rFonts w:ascii="Arial" w:hAnsi="Arial" w:cs="Arial"/>
          <w:i/>
          <w:iCs/>
        </w:rPr>
        <w:t>Zanthoxylum zanthoxyloides</w:t>
      </w:r>
      <w:r>
        <w:rPr>
          <w:rFonts w:ascii="Arial" w:hAnsi="Arial" w:cs="Arial"/>
        </w:rPr>
        <w:t xml:space="preserve"> on hematological parameters and oxidative stress in cyclophosphamide treated rats. Afr J Tradit Complement Altern Med. (2016) 13(5):153-159. doi:10.2010/ajtcam.v13i.20</w:t>
      </w:r>
    </w:p>
    <w:p>
      <w:pPr>
        <w:pStyle w:val="Bibliography"/>
        <w:spacing w:line="240" w:lineRule="auto"/>
        <w:jc w:val="both"/>
        <w:rPr>
          <w:rFonts w:ascii="Arial" w:hAnsi="Arial" w:cs="Arial"/>
        </w:rPr>
      </w:pPr>
      <w:r>
        <w:rPr>
          <w:rFonts w:ascii="Arial" w:hAnsi="Arial" w:cs="Arial"/>
        </w:rPr>
        <w:t>52.</w:t>
      </w:r>
      <w:r>
        <w:rPr>
          <w:rFonts w:ascii="Arial" w:hAnsi="Arial" w:cs="Arial"/>
        </w:rPr>
        <w:tab/>
        <w:t>Fatai, Monsurat A. (2023). Characterisation, antioxidant properties and cytoprotective investigation of Zanthoxylum zanthoxyloides root-bark in oxidative stressed promyelocytic leukaemia cells [Unpublished doctoral thesis]. University of Chester https://chesterrep.openrepository.com/handle/10034/628840</w:t>
      </w:r>
    </w:p>
    <w:p>
      <w:pPr>
        <w:pStyle w:val="Bibliography"/>
        <w:spacing w:line="240" w:lineRule="auto"/>
        <w:jc w:val="both"/>
        <w:rPr>
          <w:rFonts w:ascii="Arial" w:hAnsi="Arial" w:cs="Arial"/>
        </w:rPr>
      </w:pPr>
      <w:r>
        <w:rPr>
          <w:rFonts w:ascii="Arial" w:hAnsi="Arial" w:cs="Arial"/>
        </w:rPr>
        <w:t>53.</w:t>
      </w:r>
      <w:r>
        <w:rPr>
          <w:rFonts w:ascii="Arial" w:hAnsi="Arial" w:cs="Arial"/>
        </w:rPr>
        <w:tab/>
        <w:t xml:space="preserve">Ayoka TO, Nwachukwun N, Ene AC, Igwe CU, Nnadi CO. Liquid Chromatography-Mass Spectrometric analyses of Potential Antioxidant Constituents from Zanthoxylum zanthoxyloides Leaves: Probing into the Role of Alkaloids. Trop J Nat Prod Res. 2020; 4(10):817- 823. doi.org/10.26538/tjnpr/v4i10.26 </w:t>
      </w:r>
    </w:p>
    <w:p>
      <w:pPr>
        <w:pStyle w:val="Bibliography"/>
        <w:spacing w:line="240" w:lineRule="auto"/>
        <w:jc w:val="both"/>
        <w:rPr>
          <w:rFonts w:ascii="Arial" w:hAnsi="Arial" w:cs="Arial"/>
        </w:rPr>
      </w:pPr>
      <w:r>
        <w:rPr>
          <w:rFonts w:ascii="Arial" w:hAnsi="Arial" w:cs="Arial"/>
        </w:rPr>
        <w:t>54.</w:t>
      </w:r>
      <w:r>
        <w:rPr>
          <w:rFonts w:ascii="Arial" w:hAnsi="Arial" w:cs="Arial"/>
        </w:rPr>
        <w:tab/>
        <w:t>Tine Y, Yin Y. LC-MS/MS Analysis of Flavonoid Compounds from Zanthoxylum zanthoxyloides Extracts and Their Antioxidant Activities. NPC,2017;12(12):</w:t>
      </w:r>
      <w:r>
        <w:t xml:space="preserve"> </w:t>
      </w:r>
      <w:r>
        <w:rPr>
          <w:rFonts w:ascii="Arial" w:hAnsi="Arial" w:cs="Arial"/>
        </w:rPr>
        <w:t>1865 - 1868. https://doi.org/10.1177/1934578X1701201213</w:t>
      </w:r>
    </w:p>
    <w:p>
      <w:pPr>
        <w:pStyle w:val="Bibliography"/>
        <w:spacing w:line="240" w:lineRule="auto"/>
        <w:jc w:val="both"/>
        <w:rPr>
          <w:rFonts w:ascii="Arial" w:hAnsi="Arial" w:cs="Arial"/>
        </w:rPr>
      </w:pPr>
      <w:r>
        <w:rPr>
          <w:rFonts w:ascii="Arial" w:hAnsi="Arial" w:cs="Arial"/>
        </w:rPr>
        <w:t>55.</w:t>
      </w:r>
      <w:r>
        <w:rPr>
          <w:rFonts w:ascii="Arial" w:hAnsi="Arial" w:cs="Arial"/>
        </w:rPr>
        <w:tab/>
        <w:t xml:space="preserve">Oluwole Israel OYEWOLE, and Tolulope Olufunmilayo AKINBAMIJO, “Antioxidative Potential of Ageratum Conyzoides and Zanthoxylum Zanthoxyloides Extracts in Cadmium-Induced Oxidative Stress in Rat Tissues.” American Journal of Biomedical Research, vol. 3, no. 4 (2015): 71-74. doi: 10.12691/ajbr-3-4-3. </w:t>
      </w:r>
    </w:p>
    <w:p>
      <w:pPr>
        <w:pStyle w:val="Bibliography"/>
        <w:spacing w:line="240" w:lineRule="auto"/>
        <w:jc w:val="both"/>
        <w:rPr>
          <w:rFonts w:ascii="Arial" w:hAnsi="Arial" w:cs="Arial"/>
        </w:rPr>
      </w:pPr>
      <w:r>
        <w:rPr>
          <w:rFonts w:ascii="Arial" w:hAnsi="Arial" w:cs="Arial"/>
        </w:rPr>
        <w:t>56.</w:t>
      </w:r>
      <w:r>
        <w:rPr>
          <w:rFonts w:ascii="Arial" w:hAnsi="Arial" w:cs="Arial"/>
        </w:rPr>
        <w:tab/>
        <w:t>Motto AE, Lawson-Evi P, Metowogo K, Eklu-Gadegbeku K, Aklikokou K, Gbeassor M. Activites antihyperglycemiante et antioxydante des ecorces de racines de Zanthoxylum zanthoxyloides (Rrutaceae). J Rech Sci L’Université Lomé. 2019;21(2):1</w:t>
      </w:r>
      <w:r>
        <w:rPr>
          <w:rFonts w:ascii="Cambria Math" w:hAnsi="Cambria Math" w:cs="Cambria Math"/>
        </w:rPr>
        <w:t>‑</w:t>
      </w:r>
      <w:r>
        <w:rPr>
          <w:rFonts w:ascii="Arial" w:hAnsi="Arial" w:cs="Arial"/>
        </w:rPr>
        <w:t xml:space="preserve">12. </w:t>
      </w:r>
    </w:p>
    <w:p>
      <w:pPr>
        <w:pStyle w:val="Bibliography"/>
        <w:spacing w:line="240" w:lineRule="auto"/>
        <w:jc w:val="both"/>
        <w:rPr>
          <w:rFonts w:ascii="Arial" w:hAnsi="Arial" w:cs="Arial"/>
        </w:rPr>
      </w:pPr>
      <w:r>
        <w:rPr>
          <w:rFonts w:ascii="Arial" w:hAnsi="Arial" w:cs="Arial"/>
        </w:rPr>
        <w:t>57.</w:t>
      </w:r>
      <w:r>
        <w:rPr>
          <w:rFonts w:ascii="Arial" w:hAnsi="Arial" w:cs="Arial"/>
        </w:rPr>
        <w:tab/>
        <w:t>Olusola AO, Elekan AO, Ogidan TO, Ekun OE, Onoagbe IO. Antioxidant and Antimicrobial Potentials of Alkaloid-Rich Fraction of Zanthoxylum Zanthoxyloides’ Leaf. Biomed J Sci Tech Res. 2023;52(5):44182</w:t>
      </w:r>
      <w:r>
        <w:rPr>
          <w:rFonts w:ascii="Cambria Math" w:hAnsi="Cambria Math" w:cs="Cambria Math"/>
        </w:rPr>
        <w:t>‑</w:t>
      </w:r>
      <w:r>
        <w:rPr>
          <w:rFonts w:ascii="Arial" w:hAnsi="Arial" w:cs="Arial"/>
        </w:rPr>
        <w:t xml:space="preserve">200. </w:t>
      </w:r>
    </w:p>
    <w:p>
      <w:pPr>
        <w:pStyle w:val="Bibliography"/>
        <w:spacing w:line="240" w:lineRule="auto"/>
        <w:jc w:val="both"/>
        <w:rPr>
          <w:rFonts w:ascii="Arial" w:hAnsi="Arial" w:cs="Arial"/>
        </w:rPr>
      </w:pPr>
      <w:r>
        <w:rPr>
          <w:rFonts w:ascii="Arial" w:hAnsi="Arial" w:cs="Arial"/>
        </w:rPr>
        <w:lastRenderedPageBreak/>
        <w:t>58.</w:t>
      </w:r>
      <w:r>
        <w:rPr>
          <w:rFonts w:ascii="Arial" w:hAnsi="Arial" w:cs="Arial"/>
        </w:rPr>
        <w:tab/>
        <w:t>Tougoma A, Atchrimi SK, Dénou A, Idah VOO, Egesie UG, Odeh OS. Assessment of the antipyretic, and anti-inflammatory effects of Zanthoxylum Zanthoxyloides stem bark aqueous extract on Wistar rats. Issues Biol Sci Pharm Res. 11 oct 2021;9(3)</w:t>
      </w:r>
      <w:r>
        <w:t xml:space="preserve"> </w:t>
      </w:r>
      <w:r>
        <w:rPr>
          <w:rFonts w:ascii="Arial" w:hAnsi="Arial" w:cs="Arial"/>
        </w:rPr>
        <w:t>pp.78-85. https://doi.org/10.15739/ibspr.21.008</w:t>
      </w:r>
    </w:p>
    <w:p>
      <w:pPr>
        <w:pStyle w:val="Bibliography"/>
        <w:spacing w:line="240" w:lineRule="auto"/>
        <w:jc w:val="both"/>
        <w:rPr>
          <w:rFonts w:ascii="Arial" w:hAnsi="Arial" w:cs="Arial"/>
          <w:lang w:val="fr-FR"/>
        </w:rPr>
      </w:pPr>
      <w:r>
        <w:rPr>
          <w:rFonts w:ascii="Arial" w:hAnsi="Arial" w:cs="Arial"/>
        </w:rPr>
        <w:t>59.</w:t>
      </w:r>
      <w:r>
        <w:rPr>
          <w:rFonts w:ascii="Arial" w:hAnsi="Arial" w:cs="Arial"/>
        </w:rPr>
        <w:tab/>
        <w:t xml:space="preserve">Andima M, Coghi P, Yang LJ, Wai Wong VK, Mutuku Ngule C, Heydenreich M, et al. Antiproliferative Activity of Secondary Metabolites from Zanthoxylum zanthoxyloides Lam: In vitro and in silico Studies. </w:t>
      </w:r>
      <w:r>
        <w:rPr>
          <w:rFonts w:ascii="Arial" w:hAnsi="Arial" w:cs="Arial"/>
          <w:lang w:val="fr-FR"/>
        </w:rPr>
        <w:t>Pharmacogn Commun. 17 déc 2019;10(1):44</w:t>
      </w:r>
      <w:r>
        <w:rPr>
          <w:rFonts w:ascii="Cambria Math" w:hAnsi="Cambria Math" w:cs="Cambria Math"/>
          <w:lang w:val="fr-FR"/>
        </w:rPr>
        <w:t>‑</w:t>
      </w:r>
      <w:r>
        <w:rPr>
          <w:rFonts w:ascii="Arial" w:hAnsi="Arial" w:cs="Arial"/>
          <w:lang w:val="fr-FR"/>
        </w:rPr>
        <w:t xml:space="preserve">51. https://doi.org/10.5530/pc.2020.1.8 </w:t>
      </w:r>
    </w:p>
    <w:p>
      <w:pPr>
        <w:pStyle w:val="Bibliography"/>
        <w:spacing w:line="240" w:lineRule="auto"/>
        <w:jc w:val="both"/>
        <w:rPr>
          <w:rFonts w:ascii="Arial" w:hAnsi="Arial" w:cs="Arial"/>
        </w:rPr>
      </w:pPr>
      <w:r>
        <w:rPr>
          <w:rFonts w:ascii="Arial" w:hAnsi="Arial" w:cs="Arial"/>
          <w:lang w:val="fr-FR"/>
        </w:rPr>
        <w:t>60.</w:t>
      </w:r>
      <w:r>
        <w:rPr>
          <w:rFonts w:ascii="Arial" w:hAnsi="Arial" w:cs="Arial"/>
          <w:lang w:val="fr-FR"/>
        </w:rPr>
        <w:tab/>
        <w:t xml:space="preserve">Boye A, Barku VA, Addo JK, Martey O, Asiamah EA, Essuman MA, et al. </w:t>
      </w:r>
      <w:r>
        <w:rPr>
          <w:rFonts w:ascii="Arial" w:hAnsi="Arial" w:cs="Arial"/>
          <w:i/>
          <w:iCs/>
          <w:lang w:val="fr-FR"/>
        </w:rPr>
        <w:t>L’extrait alcaloïdique de Zanthoxylum zanthoxyloides</w:t>
      </w:r>
      <w:r>
        <w:rPr>
          <w:rFonts w:ascii="Arial" w:hAnsi="Arial" w:cs="Arial"/>
          <w:lang w:val="fr-FR"/>
        </w:rPr>
        <w:t xml:space="preserve"> (Lam.) B. Zepernick &amp; Timler exerce des effets hépatoprotecteurs chez les rats présentant un phénotype de type carcinome hépatocellulaire induit par CCl 4 /huile d’olive. </w:t>
      </w:r>
      <w:r>
        <w:rPr>
          <w:rFonts w:ascii="Arial" w:hAnsi="Arial" w:cs="Arial"/>
        </w:rPr>
        <w:t>J Taibah Univ Med Sci. 1 août 2024;19(4):753</w:t>
      </w:r>
      <w:r>
        <w:rPr>
          <w:rFonts w:ascii="Cambria Math" w:hAnsi="Cambria Math" w:cs="Cambria Math"/>
        </w:rPr>
        <w:t>‑</w:t>
      </w:r>
      <w:r>
        <w:rPr>
          <w:rFonts w:ascii="Arial" w:hAnsi="Arial" w:cs="Arial"/>
        </w:rPr>
        <w:t>65. https://doi.org/10.1016/j.jtumed.2024.06.009</w:t>
      </w:r>
    </w:p>
    <w:p>
      <w:pPr>
        <w:pStyle w:val="Bibliography"/>
        <w:spacing w:line="240" w:lineRule="auto"/>
        <w:jc w:val="both"/>
        <w:rPr>
          <w:rFonts w:ascii="Arial" w:hAnsi="Arial" w:cs="Arial"/>
        </w:rPr>
      </w:pPr>
      <w:r>
        <w:rPr>
          <w:rFonts w:ascii="Arial" w:hAnsi="Arial" w:cs="Arial"/>
        </w:rPr>
        <w:t>61.</w:t>
      </w:r>
      <w:r>
        <w:rPr>
          <w:rFonts w:ascii="Arial" w:hAnsi="Arial" w:cs="Arial"/>
        </w:rPr>
        <w:tab/>
        <w:t>Deme K, Konate M, Ouedraogo HM, Sanou J, Sawadogo M. Importance, genetic diversity and prospects for varietal improvement of ginger (Zingiber officinale Roscoe) in Burkina Faso. World J Agric Res. 2021;9(3):92</w:t>
      </w:r>
      <w:r>
        <w:rPr>
          <w:rFonts w:ascii="Cambria Math" w:hAnsi="Cambria Math" w:cs="Cambria Math"/>
        </w:rPr>
        <w:t>‑</w:t>
      </w:r>
      <w:r>
        <w:rPr>
          <w:rFonts w:ascii="Arial" w:hAnsi="Arial" w:cs="Arial"/>
        </w:rPr>
        <w:t>9. DOI:10.12691/wjar-9-3-3</w:t>
      </w:r>
    </w:p>
    <w:p>
      <w:pPr>
        <w:pStyle w:val="Bibliography"/>
        <w:spacing w:line="240" w:lineRule="auto"/>
        <w:jc w:val="both"/>
        <w:rPr>
          <w:rFonts w:ascii="Arial" w:hAnsi="Arial" w:cs="Arial"/>
        </w:rPr>
      </w:pPr>
      <w:r>
        <w:rPr>
          <w:rFonts w:ascii="Arial" w:hAnsi="Arial" w:cs="Arial"/>
        </w:rPr>
        <w:t>62.</w:t>
      </w:r>
      <w:r>
        <w:rPr>
          <w:rFonts w:ascii="Arial" w:hAnsi="Arial" w:cs="Arial"/>
        </w:rPr>
        <w:tab/>
        <w:t>Ibeabuchi CG, Oyeike EN, Patrick-Iwuanyanwu KC, Akaninwor JO. Qualitative and Quantitative Phytochemical Screening and Antioxidant Capacity of Zingiber officinale, Ocimum gratissimum and their Mixture. J Public Health Toxicol Res. 1 sept 2023;1(1):11</w:t>
      </w:r>
      <w:r>
        <w:rPr>
          <w:rFonts w:ascii="Cambria Math" w:hAnsi="Cambria Math" w:cs="Cambria Math"/>
        </w:rPr>
        <w:t>‑</w:t>
      </w:r>
      <w:r>
        <w:rPr>
          <w:rFonts w:ascii="Arial" w:hAnsi="Arial" w:cs="Arial"/>
        </w:rPr>
        <w:t xml:space="preserve">8. </w:t>
      </w:r>
    </w:p>
    <w:p>
      <w:pPr>
        <w:pStyle w:val="Bibliography"/>
        <w:spacing w:line="240" w:lineRule="auto"/>
        <w:jc w:val="both"/>
        <w:rPr>
          <w:rFonts w:ascii="Arial" w:hAnsi="Arial" w:cs="Arial"/>
        </w:rPr>
      </w:pPr>
      <w:r>
        <w:rPr>
          <w:rFonts w:ascii="Arial" w:hAnsi="Arial" w:cs="Arial"/>
        </w:rPr>
        <w:t>63.</w:t>
      </w:r>
      <w:r>
        <w:rPr>
          <w:rFonts w:ascii="Arial" w:hAnsi="Arial" w:cs="Arial"/>
        </w:rPr>
        <w:tab/>
        <w:t>Taoheed AA, Tolulope AA, Saidu AB, Odewumi O, Sunday RM, Usman M. Phytochemical properties, proximate and mineral composition of Curcuma longa Linn. and Zingiber officinale Rosc.: A comparative study. J Sci Res Rep. 2017;13(4):1</w:t>
      </w:r>
      <w:r>
        <w:rPr>
          <w:rFonts w:ascii="Cambria Math" w:hAnsi="Cambria Math" w:cs="Cambria Math"/>
        </w:rPr>
        <w:t>‑</w:t>
      </w:r>
      <w:r>
        <w:rPr>
          <w:rFonts w:ascii="Arial" w:hAnsi="Arial" w:cs="Arial"/>
        </w:rPr>
        <w:t>7.</w:t>
      </w:r>
      <w:r>
        <w:t xml:space="preserve"> </w:t>
      </w:r>
      <w:r>
        <w:rPr>
          <w:rFonts w:ascii="Arial" w:hAnsi="Arial" w:cs="Arial"/>
        </w:rPr>
        <w:t xml:space="preserve">DOI: 10.9734/JSRR/2017/32623  </w:t>
      </w:r>
    </w:p>
    <w:p>
      <w:pPr>
        <w:pStyle w:val="Bibliography"/>
        <w:spacing w:line="240" w:lineRule="auto"/>
        <w:jc w:val="both"/>
        <w:rPr>
          <w:rFonts w:ascii="Arial" w:hAnsi="Arial" w:cs="Arial"/>
          <w:lang w:val="fr-FR"/>
        </w:rPr>
      </w:pPr>
      <w:r>
        <w:rPr>
          <w:rFonts w:ascii="Arial" w:hAnsi="Arial" w:cs="Arial"/>
        </w:rPr>
        <w:t>64.</w:t>
      </w:r>
      <w:r>
        <w:rPr>
          <w:rFonts w:ascii="Arial" w:hAnsi="Arial" w:cs="Arial"/>
        </w:rPr>
        <w:tab/>
        <w:t xml:space="preserve">Yusuf AA, Lawal B, Abubakar AN, Berinyuy EB, Omonije YO, Umar SI, et al. In-vitro antioxidants, antimicrobial and toxicological evaluation of Nigerian Zingiber officinale. </w:t>
      </w:r>
      <w:r>
        <w:rPr>
          <w:rFonts w:ascii="Arial" w:hAnsi="Arial" w:cs="Arial"/>
          <w:lang w:val="fr-FR"/>
        </w:rPr>
        <w:t>Clin Phytoscience. déc 2018;4(1):1</w:t>
      </w:r>
      <w:r>
        <w:rPr>
          <w:rFonts w:ascii="Cambria Math" w:hAnsi="Cambria Math" w:cs="Cambria Math"/>
          <w:lang w:val="fr-FR"/>
        </w:rPr>
        <w:t>‑</w:t>
      </w:r>
      <w:r>
        <w:rPr>
          <w:rFonts w:ascii="Arial" w:hAnsi="Arial" w:cs="Arial"/>
          <w:lang w:val="fr-FR"/>
        </w:rPr>
        <w:t xml:space="preserve">8. https://doi.org/10.1186/s40816-018-0070-2 </w:t>
      </w:r>
    </w:p>
    <w:p>
      <w:pPr>
        <w:pStyle w:val="Bibliography"/>
        <w:spacing w:line="240" w:lineRule="auto"/>
        <w:jc w:val="both"/>
        <w:rPr>
          <w:rFonts w:ascii="Arial" w:hAnsi="Arial" w:cs="Arial"/>
        </w:rPr>
      </w:pPr>
      <w:r>
        <w:rPr>
          <w:rFonts w:ascii="Arial" w:hAnsi="Arial" w:cs="Arial"/>
          <w:lang w:val="fr-FR"/>
        </w:rPr>
        <w:t>65.</w:t>
      </w:r>
      <w:r>
        <w:rPr>
          <w:rFonts w:ascii="Arial" w:hAnsi="Arial" w:cs="Arial"/>
          <w:lang w:val="fr-FR"/>
        </w:rPr>
        <w:tab/>
        <w:t xml:space="preserve">Yousfi F, Abrigach F, Petrovic JD, Sokovic M, Ramdani M. Criblage phytochimique et évaluation du potentiel antioxydant et antibactérien des extraits de </w:t>
      </w:r>
      <w:r>
        <w:rPr>
          <w:rFonts w:ascii="Arial" w:hAnsi="Arial" w:cs="Arial"/>
          <w:i/>
          <w:iCs/>
          <w:lang w:val="fr-FR"/>
        </w:rPr>
        <w:t>Zingiber officinale</w:t>
      </w:r>
      <w:r>
        <w:rPr>
          <w:rFonts w:ascii="Arial" w:hAnsi="Arial" w:cs="Arial"/>
          <w:lang w:val="fr-FR"/>
        </w:rPr>
        <w:t xml:space="preserve">. </w:t>
      </w:r>
      <w:r>
        <w:rPr>
          <w:rFonts w:ascii="Arial" w:hAnsi="Arial" w:cs="Arial"/>
        </w:rPr>
        <w:t>South Afr J Bot. 1 nov 2021;142:433</w:t>
      </w:r>
      <w:r>
        <w:rPr>
          <w:rFonts w:ascii="Cambria Math" w:hAnsi="Cambria Math" w:cs="Cambria Math"/>
        </w:rPr>
        <w:t>‑</w:t>
      </w:r>
      <w:r>
        <w:rPr>
          <w:rFonts w:ascii="Arial" w:hAnsi="Arial" w:cs="Arial"/>
        </w:rPr>
        <w:t>40. https://doi.org/10.1016/j.sajb.2021.07.010</w:t>
      </w:r>
    </w:p>
    <w:p>
      <w:pPr>
        <w:pStyle w:val="Bibliography"/>
        <w:spacing w:line="240" w:lineRule="auto"/>
        <w:rPr>
          <w:rFonts w:ascii="Arial" w:hAnsi="Arial" w:cs="Arial"/>
        </w:rPr>
      </w:pPr>
      <w:r>
        <w:rPr>
          <w:rFonts w:ascii="Arial" w:hAnsi="Arial" w:cs="Arial"/>
        </w:rPr>
        <w:t>66.</w:t>
      </w:r>
      <w:r>
        <w:rPr>
          <w:rFonts w:ascii="Arial" w:hAnsi="Arial" w:cs="Arial"/>
        </w:rPr>
        <w:tab/>
        <w:t>Mbaveng AT, Kuete V. Zingiber officinale. In: Medicinal Spices and Vegetables from Africa. Elsevier; 2017. p. 627</w:t>
      </w:r>
      <w:r>
        <w:rPr>
          <w:rFonts w:ascii="Cambria Math" w:hAnsi="Cambria Math" w:cs="Cambria Math"/>
        </w:rPr>
        <w:t>‑</w:t>
      </w:r>
      <w:r>
        <w:rPr>
          <w:rFonts w:ascii="Arial" w:hAnsi="Arial" w:cs="Arial"/>
        </w:rPr>
        <w:t>39.</w:t>
      </w:r>
      <w:r>
        <w:t xml:space="preserve"> </w:t>
      </w:r>
      <w:r>
        <w:rPr>
          <w:rFonts w:ascii="Arial" w:hAnsi="Arial" w:cs="Arial"/>
        </w:rPr>
        <w:t>http://dx.doi.org/10.1155/2015/914813.</w:t>
      </w:r>
    </w:p>
    <w:p>
      <w:pPr>
        <w:pStyle w:val="Bibliography"/>
        <w:spacing w:line="240" w:lineRule="auto"/>
        <w:jc w:val="both"/>
        <w:rPr>
          <w:rFonts w:ascii="Arial" w:hAnsi="Arial" w:cs="Arial"/>
        </w:rPr>
      </w:pPr>
      <w:r>
        <w:rPr>
          <w:rFonts w:ascii="Arial" w:hAnsi="Arial" w:cs="Arial"/>
        </w:rPr>
        <w:t>67.</w:t>
      </w:r>
      <w:r>
        <w:rPr>
          <w:rFonts w:ascii="Arial" w:hAnsi="Arial" w:cs="Arial"/>
        </w:rPr>
        <w:tab/>
        <w:t>Edo, G.I., Onoharigho, F.O., Kasar, K.A. </w:t>
      </w:r>
      <w:r>
        <w:rPr>
          <w:rFonts w:ascii="Arial" w:hAnsi="Arial" w:cs="Arial"/>
          <w:i/>
          <w:iCs/>
        </w:rPr>
        <w:t>et al.</w:t>
      </w:r>
      <w:r>
        <w:rPr>
          <w:rFonts w:ascii="Arial" w:hAnsi="Arial" w:cs="Arial"/>
        </w:rPr>
        <w:t> Evaluation of the anti-inflammatory potential of </w:t>
      </w:r>
      <w:r>
        <w:rPr>
          <w:rFonts w:ascii="Arial" w:hAnsi="Arial" w:cs="Arial"/>
          <w:i/>
          <w:iCs/>
        </w:rPr>
        <w:t>zingiber officinale</w:t>
      </w:r>
      <w:r>
        <w:rPr>
          <w:rFonts w:ascii="Arial" w:hAnsi="Arial" w:cs="Arial"/>
        </w:rPr>
        <w:t> on adjuvant-induced arthritis. </w:t>
      </w:r>
      <w:r>
        <w:rPr>
          <w:rFonts w:ascii="Arial" w:hAnsi="Arial" w:cs="Arial"/>
          <w:i/>
          <w:iCs/>
        </w:rPr>
        <w:t>ADV TRADIT MED (ADTM)</w:t>
      </w:r>
      <w:r>
        <w:rPr>
          <w:rFonts w:ascii="Arial" w:hAnsi="Arial" w:cs="Arial"/>
        </w:rPr>
        <w:t> 25, 187–196 (2025). https://doi.org/10.1007/s13596-024-00779-6</w:t>
      </w:r>
    </w:p>
    <w:p>
      <w:pPr>
        <w:pStyle w:val="Bibliography"/>
        <w:spacing w:line="240" w:lineRule="auto"/>
        <w:jc w:val="both"/>
        <w:rPr>
          <w:rFonts w:ascii="Arial" w:hAnsi="Arial" w:cs="Arial"/>
        </w:rPr>
      </w:pPr>
      <w:r>
        <w:rPr>
          <w:rFonts w:ascii="Arial" w:hAnsi="Arial" w:cs="Arial"/>
        </w:rPr>
        <w:t>68.</w:t>
      </w:r>
      <w:r>
        <w:rPr>
          <w:rFonts w:ascii="Arial" w:hAnsi="Arial" w:cs="Arial"/>
        </w:rPr>
        <w:tab/>
        <w:t>Alolga RN. A comparative anti-inflammatory evaluation of fresh ginger extracts from China and Ghana identifies L-valine as a diagnostic biomarker. 2017;</w:t>
      </w:r>
      <w:r>
        <w:t xml:space="preserve"> </w:t>
      </w:r>
      <w:r>
        <w:rPr>
          <w:rFonts w:ascii="Arial" w:hAnsi="Arial" w:cs="Arial"/>
        </w:rPr>
        <w:t>12(47), pp. 582-590, https://doi.org/10.5897/AJPP2017.4871</w:t>
      </w:r>
    </w:p>
    <w:p>
      <w:pPr>
        <w:pStyle w:val="Bibliography"/>
        <w:spacing w:line="240" w:lineRule="auto"/>
        <w:jc w:val="both"/>
        <w:rPr>
          <w:rFonts w:ascii="Arial" w:hAnsi="Arial" w:cs="Arial"/>
        </w:rPr>
      </w:pPr>
      <w:r>
        <w:rPr>
          <w:rFonts w:ascii="Arial" w:hAnsi="Arial" w:cs="Arial"/>
        </w:rPr>
        <w:t>69.</w:t>
      </w:r>
      <w:r>
        <w:rPr>
          <w:rFonts w:ascii="Arial" w:hAnsi="Arial" w:cs="Arial"/>
        </w:rPr>
        <w:tab/>
        <w:t>Z. Shaban N, M. Sadek O, A. Andraws E. The anti-inflammatory effect of ethanolic ginger extract against carrageenan-induced rat paw edema. Biochem Lett. 2019,14(9) pages 114-125;</w:t>
      </w:r>
      <w:r>
        <w:rPr>
          <w:rFonts w:ascii="Arial" w:hAnsi="Arial" w:cs="Arial"/>
        </w:rPr>
        <w:tab/>
        <w:t>https://journals.ekb.eg/article_47572.html</w:t>
      </w:r>
    </w:p>
    <w:p>
      <w:pPr>
        <w:pStyle w:val="Bibliography"/>
        <w:spacing w:line="240" w:lineRule="auto"/>
        <w:jc w:val="both"/>
        <w:rPr>
          <w:rFonts w:ascii="Arial" w:hAnsi="Arial" w:cs="Arial"/>
          <w:lang w:val="fr-FR"/>
        </w:rPr>
      </w:pPr>
      <w:r>
        <w:rPr>
          <w:rFonts w:ascii="Arial" w:hAnsi="Arial" w:cs="Arial"/>
        </w:rPr>
        <w:t>70.</w:t>
      </w:r>
      <w:r>
        <w:rPr>
          <w:rFonts w:ascii="Arial" w:hAnsi="Arial" w:cs="Arial"/>
        </w:rPr>
        <w:tab/>
        <w:t xml:space="preserve">Ali AMA, El-Nour MEM, Mohammad O, Yagi SM. In vitro anti-inflammatory activity of ginger (Zingiber officinale Rosc.) rhizome, callus and callus treated with some elicitors. </w:t>
      </w:r>
      <w:r>
        <w:rPr>
          <w:rFonts w:ascii="Arial" w:hAnsi="Arial" w:cs="Arial"/>
          <w:lang w:val="fr-FR"/>
        </w:rPr>
        <w:t>J Med Plants Res. 25 mai 2019;13(10):227</w:t>
      </w:r>
      <w:r>
        <w:rPr>
          <w:rFonts w:ascii="Cambria Math" w:hAnsi="Cambria Math" w:cs="Cambria Math"/>
          <w:lang w:val="fr-FR"/>
        </w:rPr>
        <w:t>‑</w:t>
      </w:r>
      <w:r>
        <w:rPr>
          <w:rFonts w:ascii="Arial" w:hAnsi="Arial" w:cs="Arial"/>
          <w:lang w:val="fr-FR"/>
        </w:rPr>
        <w:t>35. https://doi.org/10.5897/JMPR2019.6758</w:t>
      </w:r>
    </w:p>
    <w:p>
      <w:pPr>
        <w:pStyle w:val="Bibliography"/>
        <w:spacing w:line="240" w:lineRule="auto"/>
        <w:jc w:val="both"/>
        <w:rPr>
          <w:rFonts w:ascii="Arial" w:hAnsi="Arial" w:cs="Arial"/>
        </w:rPr>
      </w:pPr>
      <w:r>
        <w:rPr>
          <w:rFonts w:ascii="Arial" w:hAnsi="Arial" w:cs="Arial"/>
          <w:lang w:val="fr-FR"/>
        </w:rPr>
        <w:t>71.</w:t>
      </w:r>
      <w:r>
        <w:rPr>
          <w:rFonts w:ascii="Arial" w:hAnsi="Arial" w:cs="Arial"/>
          <w:lang w:val="fr-FR"/>
        </w:rPr>
        <w:tab/>
        <w:t xml:space="preserve">Ali ., El-Nour MEM, Yagi SM, Qahtan AA, Alatar AA, Abdel-Salam EM, et al. Cytotoxicité, criblage phytochimique et analyse génétique du cal et du rhizome du gingembre ( </w:t>
      </w:r>
      <w:r>
        <w:rPr>
          <w:rFonts w:ascii="Arial" w:hAnsi="Arial" w:cs="Arial"/>
          <w:i/>
          <w:iCs/>
          <w:lang w:val="fr-FR"/>
        </w:rPr>
        <w:t>Zingiber officinale</w:t>
      </w:r>
      <w:r>
        <w:rPr>
          <w:rFonts w:ascii="Arial" w:hAnsi="Arial" w:cs="Arial"/>
          <w:lang w:val="fr-FR"/>
        </w:rPr>
        <w:t xml:space="preserve"> Rosc.). </w:t>
      </w:r>
      <w:r>
        <w:rPr>
          <w:rFonts w:ascii="Arial" w:hAnsi="Arial" w:cs="Arial"/>
        </w:rPr>
        <w:t>South Afr J Bot. 1 déc 2022;151:54</w:t>
      </w:r>
      <w:r>
        <w:rPr>
          <w:rFonts w:ascii="Cambria Math" w:hAnsi="Cambria Math" w:cs="Cambria Math"/>
        </w:rPr>
        <w:t>‑</w:t>
      </w:r>
      <w:r>
        <w:rPr>
          <w:rFonts w:ascii="Arial" w:hAnsi="Arial" w:cs="Arial"/>
        </w:rPr>
        <w:t>9. https://doi.org/10.1016/j.sajb.2021.11.011</w:t>
      </w:r>
    </w:p>
    <w:p>
      <w:pPr>
        <w:pStyle w:val="Bibliography"/>
        <w:spacing w:line="240" w:lineRule="auto"/>
        <w:jc w:val="both"/>
        <w:rPr>
          <w:rFonts w:ascii="Arial" w:hAnsi="Arial" w:cs="Arial"/>
          <w:lang w:val="fr-FR"/>
        </w:rPr>
      </w:pPr>
      <w:r>
        <w:rPr>
          <w:rFonts w:ascii="Arial" w:hAnsi="Arial" w:cs="Arial"/>
          <w:lang w:val="fr-FR"/>
        </w:rPr>
        <w:t>72.</w:t>
      </w:r>
      <w:r>
        <w:rPr>
          <w:rFonts w:ascii="Arial" w:hAnsi="Arial" w:cs="Arial"/>
          <w:lang w:val="fr-FR"/>
        </w:rPr>
        <w:tab/>
        <w:t>Tine Y, Diop M, Ndoye I, Diallo A, Wele A. Revue bibliographique sur la composition chimique et les activités biologiques de Guiera senegalensis J.F. Gmel. (Combretaceae). Int J Biol Chem Sci. 2019;13(7):3449</w:t>
      </w:r>
      <w:r>
        <w:rPr>
          <w:rFonts w:ascii="Cambria Math" w:hAnsi="Cambria Math" w:cs="Cambria Math"/>
          <w:lang w:val="fr-FR"/>
        </w:rPr>
        <w:t>‑</w:t>
      </w:r>
      <w:r>
        <w:rPr>
          <w:rFonts w:ascii="Arial" w:hAnsi="Arial" w:cs="Arial"/>
          <w:lang w:val="fr-FR"/>
        </w:rPr>
        <w:t>62. https://doi.org/10.4314/ijbcs.v13i7.37</w:t>
      </w:r>
    </w:p>
    <w:p>
      <w:pPr>
        <w:pStyle w:val="Bibliography"/>
        <w:spacing w:line="240" w:lineRule="auto"/>
        <w:jc w:val="both"/>
        <w:rPr>
          <w:rFonts w:ascii="Arial" w:hAnsi="Arial" w:cs="Arial"/>
        </w:rPr>
      </w:pPr>
      <w:r>
        <w:rPr>
          <w:rFonts w:ascii="Arial" w:hAnsi="Arial" w:cs="Arial"/>
          <w:lang w:val="fr-FR"/>
        </w:rPr>
        <w:lastRenderedPageBreak/>
        <w:t>73.</w:t>
      </w:r>
      <w:r>
        <w:rPr>
          <w:rFonts w:ascii="Arial" w:hAnsi="Arial" w:cs="Arial"/>
          <w:lang w:val="fr-FR"/>
        </w:rPr>
        <w:tab/>
        <w:t xml:space="preserve">Abdelwahab SI, Taha MME, Al-Zubairi AS, Syahida A, KaHeng L, Narrima P, et al. </w:t>
      </w:r>
      <w:r>
        <w:rPr>
          <w:rFonts w:ascii="Arial" w:hAnsi="Arial" w:cs="Arial"/>
        </w:rPr>
        <w:t xml:space="preserve">Anti-inflammatory and antioxidant properties of bark and fruit extracts of </w:t>
      </w:r>
      <w:r>
        <w:rPr>
          <w:rFonts w:ascii="Arial" w:hAnsi="Arial" w:cs="Arial"/>
          <w:i/>
          <w:iCs/>
        </w:rPr>
        <w:t>Faidherbia albida</w:t>
      </w:r>
      <w:r>
        <w:rPr>
          <w:rFonts w:ascii="Arial" w:hAnsi="Arial" w:cs="Arial"/>
        </w:rPr>
        <w:t xml:space="preserve"> (Delile) A. Chev: A perspective from bio-prospecting assays to scientometric approach. AIMS Mol Sci. 2024;11(3):262</w:t>
      </w:r>
      <w:r>
        <w:rPr>
          <w:rFonts w:ascii="Cambria Math" w:hAnsi="Cambria Math" w:cs="Cambria Math"/>
        </w:rPr>
        <w:t>‑</w:t>
      </w:r>
      <w:r>
        <w:rPr>
          <w:rFonts w:ascii="Arial" w:hAnsi="Arial" w:cs="Arial"/>
        </w:rPr>
        <w:t>76. https://doi.org/10.3934/molsci.2024016</w:t>
      </w:r>
    </w:p>
    <w:p>
      <w:pPr>
        <w:pStyle w:val="Bibliography"/>
        <w:spacing w:line="240" w:lineRule="auto"/>
        <w:jc w:val="both"/>
        <w:rPr>
          <w:rFonts w:ascii="Arial" w:hAnsi="Arial" w:cs="Arial"/>
        </w:rPr>
      </w:pPr>
      <w:r>
        <w:rPr>
          <w:rFonts w:ascii="Arial" w:hAnsi="Arial" w:cs="Arial"/>
        </w:rPr>
        <w:t>74.</w:t>
      </w:r>
      <w:r>
        <w:rPr>
          <w:rFonts w:ascii="Arial" w:hAnsi="Arial" w:cs="Arial"/>
        </w:rPr>
        <w:tab/>
        <w:t xml:space="preserve">Adebayo IA, Gagman HA, Balogun WG, Adam MAA, Abas R, Hakeem KR, et al. Detarium microcarpum, Guiera senegalensis, and Cassia siamea Induce Apoptosis and Cell Cycle Arrest and Inhibit Metastasis on MCF7 Breast Cancer Cells. Evid Based Complement Alternat Med. 2019; Article ID :6104574;p,12. https://doi.org/10.1155/2019/6104574 </w:t>
      </w:r>
    </w:p>
    <w:p>
      <w:pPr>
        <w:pStyle w:val="Bibliography"/>
        <w:spacing w:line="240" w:lineRule="auto"/>
        <w:jc w:val="both"/>
        <w:rPr>
          <w:rFonts w:ascii="Arial" w:hAnsi="Arial" w:cs="Arial"/>
        </w:rPr>
      </w:pPr>
      <w:r>
        <w:rPr>
          <w:rFonts w:ascii="Arial" w:hAnsi="Arial" w:cs="Arial"/>
        </w:rPr>
        <w:t>75.</w:t>
      </w:r>
      <w:r>
        <w:rPr>
          <w:rFonts w:ascii="Arial" w:hAnsi="Arial" w:cs="Arial"/>
        </w:rPr>
        <w:tab/>
        <w:t>Sombié EN, Ouédraogo N, Hilou A. Anti-inflammatory activity and phytochemistry of extracts from the root bark of calotropis procera (ait.) R. Br. Hepatoprotective medicinal plant from burkina faso. Asian J Pharm Clin Res. 5 sept 2020;185</w:t>
      </w:r>
      <w:r>
        <w:rPr>
          <w:rFonts w:ascii="Cambria Math" w:hAnsi="Cambria Math" w:cs="Cambria Math"/>
        </w:rPr>
        <w:t>‑</w:t>
      </w:r>
      <w:r>
        <w:rPr>
          <w:rFonts w:ascii="Arial" w:hAnsi="Arial" w:cs="Arial"/>
        </w:rPr>
        <w:t xml:space="preserve">90. </w:t>
      </w:r>
    </w:p>
    <w:p>
      <w:pPr>
        <w:pStyle w:val="Bibliography"/>
        <w:spacing w:line="240" w:lineRule="auto"/>
        <w:jc w:val="both"/>
        <w:rPr>
          <w:rFonts w:ascii="Arial" w:hAnsi="Arial" w:cs="Arial"/>
          <w:lang w:val="fr-FR"/>
        </w:rPr>
      </w:pPr>
      <w:r>
        <w:rPr>
          <w:rFonts w:ascii="Arial" w:hAnsi="Arial" w:cs="Arial"/>
          <w:lang w:val="fr-FR"/>
        </w:rPr>
        <w:t>76.</w:t>
      </w:r>
      <w:r>
        <w:rPr>
          <w:rFonts w:ascii="Arial" w:hAnsi="Arial" w:cs="Arial"/>
          <w:lang w:val="fr-FR"/>
        </w:rPr>
        <w:tab/>
        <w:t>Zerbo P, Millogo Rasolodimby J, Nacoulma Ouedraogo O, Van Damme P. Plantes médicinales et pratiques médicales au Burkina Faso : cas des Sanan. BOIS FORETS Trop. 1 mars 2011;307:41</w:t>
      </w:r>
      <w:r>
        <w:rPr>
          <w:rFonts w:ascii="Cambria Math" w:hAnsi="Cambria Math" w:cs="Cambria Math"/>
          <w:lang w:val="fr-FR"/>
        </w:rPr>
        <w:t>‑</w:t>
      </w:r>
      <w:r>
        <w:rPr>
          <w:rFonts w:ascii="Arial" w:hAnsi="Arial" w:cs="Arial"/>
          <w:lang w:val="fr-FR"/>
        </w:rPr>
        <w:t xml:space="preserve">53. https://doi.org/10.19182/bft2011.307.a20481 </w:t>
      </w:r>
    </w:p>
    <w:p>
      <w:pPr>
        <w:pStyle w:val="Bibliography"/>
        <w:spacing w:line="240" w:lineRule="auto"/>
        <w:jc w:val="both"/>
        <w:rPr>
          <w:rFonts w:ascii="Arial" w:hAnsi="Arial" w:cs="Arial"/>
        </w:rPr>
      </w:pPr>
      <w:r>
        <w:rPr>
          <w:rFonts w:ascii="Arial" w:hAnsi="Arial" w:cs="Arial"/>
          <w:lang w:val="fr-FR"/>
        </w:rPr>
        <w:t>77.</w:t>
      </w:r>
      <w:r>
        <w:rPr>
          <w:rFonts w:ascii="Arial" w:hAnsi="Arial" w:cs="Arial"/>
          <w:lang w:val="fr-FR"/>
        </w:rPr>
        <w:tab/>
        <w:t xml:space="preserve">Abeyrathne EDNS, Nam K, Huang X, Ahn DU. </w:t>
      </w:r>
      <w:r>
        <w:rPr>
          <w:rFonts w:ascii="Arial" w:hAnsi="Arial" w:cs="Arial"/>
        </w:rPr>
        <w:t>Plant- and Animal-Based Antioxidants’ Structure, Efficacy, Mechanisms, and Applications: A Review. Antioxidants. 23 mai 2022;11(5):1025. https://doi.org/10.3390/antiox11051025</w:t>
      </w:r>
    </w:p>
    <w:p>
      <w:pPr>
        <w:pStyle w:val="Bibliography"/>
        <w:spacing w:line="240" w:lineRule="auto"/>
        <w:jc w:val="both"/>
        <w:rPr>
          <w:rFonts w:ascii="Arial" w:hAnsi="Arial" w:cs="Arial"/>
          <w:lang w:val="fr-FR"/>
        </w:rPr>
      </w:pPr>
      <w:r>
        <w:rPr>
          <w:rFonts w:ascii="Arial" w:hAnsi="Arial" w:cs="Arial"/>
        </w:rPr>
        <w:t>78.</w:t>
      </w:r>
      <w:r>
        <w:rPr>
          <w:rFonts w:ascii="Arial" w:hAnsi="Arial" w:cs="Arial"/>
        </w:rPr>
        <w:tab/>
        <w:t xml:space="preserve">Ujah OF, Mohammad YY, Dewua CM. Quantification, Antioxidant and Free Radical Scavenging Potentials of Polyphenols from Crude Extracts of Phyllanthus amarus leaves. </w:t>
      </w:r>
      <w:r>
        <w:rPr>
          <w:rFonts w:ascii="Arial" w:hAnsi="Arial" w:cs="Arial"/>
          <w:lang w:val="fr-FR"/>
        </w:rPr>
        <w:t>ChemSearch J. 5 juill 2021;12(1):97</w:t>
      </w:r>
      <w:r>
        <w:rPr>
          <w:rFonts w:ascii="Cambria Math" w:hAnsi="Cambria Math" w:cs="Cambria Math"/>
          <w:lang w:val="fr-FR"/>
        </w:rPr>
        <w:t>‑</w:t>
      </w:r>
      <w:r>
        <w:rPr>
          <w:rFonts w:ascii="Arial" w:hAnsi="Arial" w:cs="Arial"/>
          <w:lang w:val="fr-FR"/>
        </w:rPr>
        <w:t xml:space="preserve">107. </w:t>
      </w:r>
    </w:p>
    <w:p>
      <w:pPr>
        <w:pStyle w:val="Bibliography"/>
        <w:spacing w:line="240" w:lineRule="auto"/>
        <w:jc w:val="both"/>
        <w:rPr>
          <w:rFonts w:ascii="Arial" w:hAnsi="Arial" w:cs="Arial"/>
        </w:rPr>
      </w:pPr>
      <w:r>
        <w:rPr>
          <w:rFonts w:ascii="Arial" w:hAnsi="Arial" w:cs="Arial"/>
          <w:lang w:val="fr-FR"/>
        </w:rPr>
        <w:t>79.</w:t>
      </w:r>
      <w:r>
        <w:rPr>
          <w:rFonts w:ascii="Arial" w:hAnsi="Arial" w:cs="Arial"/>
          <w:lang w:val="fr-FR"/>
        </w:rPr>
        <w:tab/>
        <w:t xml:space="preserve">Mwamatope B, Tembo D, Chikowe I, Kampira E, Nyirenda C. Teneur totale en composés phénoliques et activité antioxydante des plantes médicinales </w:t>
      </w:r>
      <w:r>
        <w:rPr>
          <w:rFonts w:ascii="Arial" w:hAnsi="Arial" w:cs="Arial"/>
          <w:i/>
          <w:iCs/>
          <w:lang w:val="fr-FR"/>
        </w:rPr>
        <w:t>Senna singueana, Melia azedarach, Moringa oleifera</w:t>
      </w:r>
      <w:r>
        <w:rPr>
          <w:rFonts w:ascii="Arial" w:hAnsi="Arial" w:cs="Arial"/>
          <w:lang w:val="fr-FR"/>
        </w:rPr>
        <w:t xml:space="preserve"> et </w:t>
      </w:r>
      <w:r>
        <w:rPr>
          <w:rFonts w:ascii="Arial" w:hAnsi="Arial" w:cs="Arial"/>
          <w:i/>
          <w:iCs/>
          <w:lang w:val="fr-FR"/>
        </w:rPr>
        <w:t>Lannea discolor</w:t>
      </w:r>
      <w:r>
        <w:rPr>
          <w:rFonts w:ascii="Arial" w:hAnsi="Arial" w:cs="Arial"/>
          <w:lang w:val="fr-FR"/>
        </w:rPr>
        <w:t xml:space="preserve">. </w:t>
      </w:r>
      <w:r>
        <w:rPr>
          <w:rFonts w:ascii="Arial" w:hAnsi="Arial" w:cs="Arial"/>
        </w:rPr>
        <w:t>Sci Afr. 1 sept 2020;9:e00481. https://doi.org/10.1016/j.sciaf.2020.e00481</w:t>
      </w:r>
    </w:p>
    <w:p>
      <w:pPr>
        <w:pStyle w:val="Bibliography"/>
        <w:spacing w:line="240" w:lineRule="auto"/>
        <w:jc w:val="both"/>
        <w:rPr>
          <w:rFonts w:ascii="Arial" w:hAnsi="Arial" w:cs="Arial"/>
          <w:lang w:val="fr-FR"/>
        </w:rPr>
      </w:pPr>
      <w:r>
        <w:rPr>
          <w:rFonts w:ascii="Arial" w:hAnsi="Arial" w:cs="Arial"/>
        </w:rPr>
        <w:t>80.</w:t>
      </w:r>
      <w:r>
        <w:rPr>
          <w:rFonts w:ascii="Arial" w:hAnsi="Arial" w:cs="Arial"/>
        </w:rPr>
        <w:tab/>
        <w:t xml:space="preserve">Ayoka TO, Nwachukwu N, Ene AC, Igwe CU, Ogara AL, Nnadi CO. In-Vitro Antioxidant Activity and Acute Toxicity of the Alkaloidal Constituents of Zanthoxylum zanthoxyloides Leaves. </w:t>
      </w:r>
      <w:r>
        <w:rPr>
          <w:rFonts w:ascii="Arial" w:hAnsi="Arial" w:cs="Arial"/>
          <w:lang w:val="fr-FR"/>
        </w:rPr>
        <w:t>Trop J Nat Prod Res TJNPR. 2022;6(2):276</w:t>
      </w:r>
      <w:r>
        <w:rPr>
          <w:rFonts w:ascii="Cambria Math" w:hAnsi="Cambria Math" w:cs="Cambria Math"/>
          <w:lang w:val="fr-FR"/>
        </w:rPr>
        <w:t>‑</w:t>
      </w:r>
      <w:r>
        <w:rPr>
          <w:rFonts w:ascii="Arial" w:hAnsi="Arial" w:cs="Arial"/>
          <w:lang w:val="fr-FR"/>
        </w:rPr>
        <w:t xml:space="preserve">80. https://doi.org/10.26538/tjnpr/v6i2.17 </w:t>
      </w:r>
    </w:p>
    <w:p>
      <w:pPr>
        <w:pStyle w:val="Bibliography"/>
        <w:spacing w:line="240" w:lineRule="auto"/>
        <w:jc w:val="both"/>
        <w:rPr>
          <w:rFonts w:ascii="Arial" w:hAnsi="Arial" w:cs="Arial"/>
          <w:lang w:val="fr-FR"/>
        </w:rPr>
      </w:pPr>
      <w:r>
        <w:rPr>
          <w:rFonts w:ascii="Arial" w:hAnsi="Arial" w:cs="Arial"/>
          <w:lang w:val="fr-FR"/>
        </w:rPr>
        <w:t>81.</w:t>
      </w:r>
      <w:r>
        <w:rPr>
          <w:rFonts w:ascii="Arial" w:hAnsi="Arial" w:cs="Arial"/>
          <w:lang w:val="fr-FR"/>
        </w:rPr>
        <w:tab/>
        <w:t xml:space="preserve">Bayala B, Bassole IHN, Gnoula C, Nebie R, Yonli A, Morel L, et al. </w:t>
      </w:r>
      <w:r>
        <w:rPr>
          <w:rFonts w:ascii="Arial" w:hAnsi="Arial" w:cs="Arial"/>
        </w:rPr>
        <w:t xml:space="preserve">Chemical Composition, Antioxidant, Anti-Inflammatory and Anti-Proliferative Activities of Essential Oils of Plants from Burkina Faso. </w:t>
      </w:r>
      <w:r>
        <w:rPr>
          <w:rFonts w:ascii="Arial" w:hAnsi="Arial" w:cs="Arial"/>
          <w:lang w:val="fr-FR"/>
        </w:rPr>
        <w:t xml:space="preserve">PLOS ONE. 24 mars 2014;9(3):e92122. https://doi.org/10.1371/journal.pone.0092122 </w:t>
      </w:r>
    </w:p>
    <w:p>
      <w:pPr>
        <w:pStyle w:val="Bibliography"/>
        <w:jc w:val="both"/>
        <w:rPr>
          <w:rFonts w:ascii="Arial" w:hAnsi="Arial" w:cs="Arial"/>
          <w:lang w:val="fr-FR"/>
        </w:rPr>
      </w:pPr>
    </w:p>
    <w:p>
      <w:pPr>
        <w:pStyle w:val="ReferHead"/>
        <w:spacing w:after="0"/>
        <w:jc w:val="both"/>
        <w:rPr>
          <w:rFonts w:ascii="Arial" w:hAnsi="Arial" w:cs="Arial"/>
          <w:b w:val="0"/>
          <w:lang w:val="fr-FR"/>
        </w:rPr>
      </w:pPr>
      <w:r>
        <w:rPr>
          <w:rFonts w:ascii="Arial" w:hAnsi="Arial" w:cs="Arial"/>
          <w:b w:val="0"/>
          <w:caps w:val="0"/>
        </w:rPr>
        <w:fldChar w:fldCharType="end"/>
      </w:r>
      <w:bookmarkEnd w:id="2"/>
    </w:p>
    <w:sectPr>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rPr>
        <w:rFonts w:ascii="Arial" w:hAnsi="Arial" w:cs="Arial"/>
        <w:sz w:val="16"/>
      </w:rPr>
    </w:pPr>
  </w:p>
  <w:p>
    <w:pPr>
      <w:pStyle w:val="Footer"/>
      <w:jc w:val="center"/>
      <w:rPr>
        <w:rFonts w:ascii="Arial" w:hAnsi="Arial" w:cs="Arial"/>
        <w:sz w:val="16"/>
      </w:rPr>
    </w:pPr>
    <w:r>
      <w:rPr>
        <w:rFonts w:ascii="Arial" w:hAnsi="Arial" w:cs="Arial"/>
        <w:sz w:val="16"/>
      </w:rPr>
      <w:t>____________________________________________________________________________________________</w:t>
    </w:r>
  </w:p>
  <w:p>
    <w:pPr>
      <w:pStyle w:val="Footer"/>
      <w:rPr>
        <w:rFonts w:ascii="Arial" w:hAnsi="Arial" w:cs="Arial"/>
        <w:sz w:val="16"/>
      </w:rPr>
    </w:pPr>
  </w:p>
  <w:p>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5"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6"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4"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pPr>
      <w:ind w:left="4320"/>
      <w:rPr>
        <w:rFonts w:ascii="Times New Roman" w:eastAsia="Calibri" w:hAnsi="Times New Roman"/>
        <w:i/>
        <w:sz w:val="18"/>
        <w:szCs w:val="22"/>
      </w:rPr>
    </w:pPr>
    <w:r>
      <w:rPr>
        <w:rFonts w:ascii="Times New Roman" w:eastAsia="Calibri" w:hAnsi="Times New Roman"/>
        <w:i/>
        <w:sz w:val="18"/>
        <w:szCs w:val="22"/>
      </w:rPr>
      <w:t xml:space="preserve">.     </w:t>
    </w:r>
  </w:p>
  <w:p>
    <w:pPr>
      <w:jc w:val="center"/>
      <w:rPr>
        <w:rFonts w:ascii="Times New Roman" w:eastAsia="Calibri" w:hAnsi="Times New Roman"/>
        <w:i/>
        <w:sz w:val="18"/>
        <w:szCs w:val="22"/>
      </w:rPr>
    </w:pPr>
    <w:r>
      <w:rPr>
        <w:rFonts w:ascii="Times New Roman" w:eastAsia="Calibri" w:hAnsi="Times New Roman"/>
        <w:i/>
        <w:sz w:val="18"/>
        <w:szCs w:val="22"/>
      </w:rPr>
      <w:t>.</w:t>
    </w:r>
  </w:p>
  <w:p>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pPr>
      <w:jc w:val="center"/>
      <w:rPr>
        <w:rFonts w:ascii="Times New Roman" w:eastAsia="Calibri" w:hAnsi="Times New Roman"/>
        <w:i/>
        <w:sz w:val="18"/>
        <w:szCs w:val="22"/>
      </w:rPr>
    </w:pPr>
    <w:r>
      <w:rPr>
        <w:rFonts w:ascii="Times New Roman" w:eastAsia="Calibri" w:hAnsi="Times New Roman"/>
        <w:i/>
        <w:sz w:val="18"/>
        <w:szCs w:val="22"/>
      </w:rPr>
      <w:t xml:space="preserve">                     </w:t>
    </w:r>
  </w:p>
  <w:p>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8"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9"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852237"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7B71B09"/>
    <w:multiLevelType w:val="hybridMultilevel"/>
    <w:tmpl w:val="D06447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7"/>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6"/>
  </w:num>
  <w:num w:numId="27">
    <w:abstractNumId w:val="21"/>
  </w:num>
  <w:num w:numId="28">
    <w:abstractNumId w:val="28"/>
  </w:num>
  <w:num w:numId="29">
    <w:abstractNumId w:val="25"/>
  </w:num>
  <w:num w:numId="30">
    <w:abstractNumId w:val="1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hAnsi="Helvetica"/>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semiHidden/>
    <w:unhideWhenUsed/>
    <w:qFormat/>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pPr>
      <w:spacing w:line="280" w:lineRule="exact"/>
      <w:jc w:val="right"/>
    </w:pPr>
    <w:rPr>
      <w:b/>
      <w:sz w:val="24"/>
    </w:rPr>
  </w:style>
  <w:style w:type="paragraph" w:customStyle="1" w:styleId="Affiliation">
    <w:name w:val="Affiliation"/>
    <w:basedOn w:val="Normal"/>
    <w:pPr>
      <w:spacing w:after="240" w:line="240" w:lineRule="exact"/>
      <w:jc w:val="right"/>
    </w:pPr>
  </w:style>
  <w:style w:type="paragraph" w:customStyle="1" w:styleId="Body">
    <w:name w:val="Body"/>
    <w:basedOn w:val="Normal"/>
    <w:pPr>
      <w:spacing w:after="240"/>
      <w:jc w:val="both"/>
    </w:pPr>
  </w:style>
  <w:style w:type="paragraph" w:customStyle="1" w:styleId="AbstHead">
    <w:name w:val="Abst Head"/>
    <w:basedOn w:val="MainHead"/>
    <w:rPr>
      <w:sz w:val="22"/>
    </w:rPr>
  </w:style>
  <w:style w:type="paragraph" w:customStyle="1" w:styleId="IntroHead">
    <w:name w:val="Intro Head"/>
    <w:basedOn w:val="MainHead"/>
    <w:rPr>
      <w:sz w:val="22"/>
    </w:rPr>
  </w:style>
  <w:style w:type="paragraph" w:customStyle="1" w:styleId="PaperNumber">
    <w:name w:val="Paper Number"/>
    <w:basedOn w:val="Normal"/>
    <w:pPr>
      <w:spacing w:after="280" w:line="280" w:lineRule="exact"/>
      <w:jc w:val="right"/>
    </w:pPr>
    <w:rPr>
      <w:b/>
      <w:sz w:val="28"/>
    </w:rPr>
  </w:style>
  <w:style w:type="paragraph" w:customStyle="1" w:styleId="ConcHead">
    <w:name w:val="Conc Head"/>
    <w:basedOn w:val="MainHead"/>
    <w:rPr>
      <w:sz w:val="22"/>
    </w:rPr>
  </w:style>
  <w:style w:type="paragraph" w:customStyle="1" w:styleId="AcknHead">
    <w:name w:val="Ackn Head"/>
    <w:basedOn w:val="MainHead"/>
    <w:rPr>
      <w:sz w:val="22"/>
    </w:rPr>
  </w:style>
  <w:style w:type="paragraph" w:customStyle="1" w:styleId="ReferHead">
    <w:name w:val="Refer Head"/>
    <w:basedOn w:val="MainHead"/>
    <w:rPr>
      <w:sz w:val="22"/>
    </w:rPr>
  </w:style>
  <w:style w:type="paragraph" w:customStyle="1" w:styleId="AddSrcHead">
    <w:name w:val="AddSrc Head"/>
    <w:basedOn w:val="MainHead"/>
    <w:rPr>
      <w:sz w:val="22"/>
    </w:rPr>
  </w:style>
  <w:style w:type="paragraph" w:customStyle="1" w:styleId="DefAcrHead">
    <w:name w:val="DefAcrHead"/>
    <w:basedOn w:val="MainHead"/>
    <w:rPr>
      <w:sz w:val="22"/>
    </w:rPr>
  </w:style>
  <w:style w:type="paragraph" w:customStyle="1" w:styleId="Copyright">
    <w:name w:val="Copyright"/>
    <w:basedOn w:val="Normal"/>
    <w:pPr>
      <w:spacing w:after="960" w:line="200" w:lineRule="exact"/>
    </w:pPr>
    <w:rPr>
      <w:sz w:val="16"/>
    </w:rPr>
  </w:style>
  <w:style w:type="paragraph" w:styleId="Title">
    <w:name w:val="Title"/>
    <w:basedOn w:val="Normal"/>
    <w:qFormat/>
    <w:pPr>
      <w:spacing w:after="360"/>
      <w:jc w:val="right"/>
    </w:pPr>
    <w:rPr>
      <w:b/>
      <w:kern w:val="28"/>
      <w:sz w:val="36"/>
    </w:rPr>
  </w:style>
  <w:style w:type="paragraph" w:customStyle="1" w:styleId="Reference">
    <w:name w:val="Reference"/>
    <w:basedOn w:val="Body"/>
    <w:pPr>
      <w:numPr>
        <w:numId w:val="23"/>
      </w:numPr>
      <w:spacing w:after="0" w:line="240" w:lineRule="exact"/>
    </w:pPr>
  </w:style>
  <w:style w:type="paragraph" w:customStyle="1" w:styleId="Head1">
    <w:name w:val="Head1"/>
    <w:basedOn w:val="MainHead"/>
    <w:rPr>
      <w:sz w:val="22"/>
    </w:rPr>
  </w:style>
  <w:style w:type="paragraph" w:customStyle="1" w:styleId="ContactHead">
    <w:name w:val="Contact Head"/>
    <w:basedOn w:val="MainHead"/>
    <w:rPr>
      <w:sz w:val="22"/>
    </w:rPr>
  </w:style>
  <w:style w:type="paragraph" w:customStyle="1" w:styleId="Head3">
    <w:name w:val="Head3"/>
    <w:basedOn w:val="Head2"/>
    <w:rPr>
      <w:caps w:val="0"/>
      <w:u w:val="single"/>
    </w:rPr>
  </w:style>
  <w:style w:type="paragraph" w:customStyle="1" w:styleId="Head4">
    <w:name w:val="Head4"/>
    <w:basedOn w:val="Head3"/>
    <w:rPr>
      <w:u w:val="none"/>
    </w:rPr>
  </w:style>
  <w:style w:type="paragraph" w:customStyle="1" w:styleId="UnordList">
    <w:name w:val="Unord List"/>
    <w:basedOn w:val="Body"/>
    <w:pPr>
      <w:spacing w:after="0"/>
      <w:ind w:left="360" w:hanging="360"/>
    </w:pPr>
  </w:style>
  <w:style w:type="paragraph" w:customStyle="1" w:styleId="OrdList">
    <w:name w:val="Ord List"/>
    <w:basedOn w:val="UnordList"/>
    <w:pPr>
      <w:jc w:val="left"/>
    </w:pPr>
  </w:style>
  <w:style w:type="paragraph" w:customStyle="1" w:styleId="Appendix">
    <w:name w:val="Appendix"/>
    <w:basedOn w:val="MainHead"/>
    <w:rPr>
      <w:sz w:val="22"/>
    </w:rPr>
  </w:style>
  <w:style w:type="paragraph" w:customStyle="1" w:styleId="Term">
    <w:name w:val="Term"/>
    <w:basedOn w:val="Body"/>
    <w:pPr>
      <w:spacing w:after="0"/>
    </w:pPr>
    <w:rPr>
      <w:b/>
    </w:rPr>
  </w:style>
  <w:style w:type="paragraph" w:customStyle="1" w:styleId="Definition">
    <w:name w:val="Definition"/>
    <w:basedOn w:val="Body"/>
  </w:style>
  <w:style w:type="paragraph" w:customStyle="1" w:styleId="Head2">
    <w:name w:val="Head2"/>
    <w:basedOn w:val="Normal"/>
    <w:next w:val="Body"/>
    <w:pPr>
      <w:keepNext/>
      <w:spacing w:after="240"/>
    </w:pPr>
    <w:rPr>
      <w:caps/>
    </w:rPr>
  </w:style>
  <w:style w:type="character" w:customStyle="1" w:styleId="Bold">
    <w:name w:val="Bold"/>
    <w:rPr>
      <w:b/>
    </w:rPr>
  </w:style>
  <w:style w:type="character" w:customStyle="1" w:styleId="Italic">
    <w:name w:val="Italic"/>
    <w:rPr>
      <w:i/>
    </w:rPr>
  </w:style>
  <w:style w:type="character" w:customStyle="1" w:styleId="Underline">
    <w:name w:val="Underline"/>
    <w:rPr>
      <w:u w:val="single"/>
    </w:rPr>
  </w:style>
  <w:style w:type="paragraph" w:customStyle="1" w:styleId="MainHead">
    <w:name w:val="Main Head"/>
    <w:basedOn w:val="Normal"/>
    <w:pPr>
      <w:keepNext/>
      <w:spacing w:after="240"/>
    </w:pPr>
    <w:rPr>
      <w:b/>
      <w:caps/>
    </w:rPr>
  </w:style>
  <w:style w:type="paragraph" w:customStyle="1" w:styleId="Equation">
    <w:name w:val="Equation"/>
    <w:basedOn w:val="Body"/>
  </w:style>
  <w:style w:type="paragraph" w:customStyle="1" w:styleId="Figure">
    <w:name w:val="Figure"/>
    <w:basedOn w:val="Copyright"/>
    <w:pPr>
      <w:spacing w:after="240"/>
    </w:pPr>
    <w:rPr>
      <w:sz w:val="20"/>
    </w:rPr>
  </w:style>
  <w:style w:type="paragraph" w:styleId="Footer">
    <w:name w:val="footer"/>
    <w:basedOn w:val="Normal"/>
    <w:pPr>
      <w:tabs>
        <w:tab w:val="center" w:pos="4320"/>
        <w:tab w:val="right" w:pos="8640"/>
      </w:tabs>
    </w:pPr>
  </w:style>
  <w:style w:type="paragraph" w:customStyle="1" w:styleId="Head40">
    <w:name w:val="Head 4"/>
    <w:basedOn w:val="Head3"/>
    <w:rPr>
      <w:u w:val="none"/>
    </w:rPr>
  </w:style>
  <w:style w:type="paragraph" w:styleId="Header">
    <w:name w:val="header"/>
    <w:basedOn w:val="Normal"/>
    <w:pPr>
      <w:tabs>
        <w:tab w:val="center" w:pos="4320"/>
        <w:tab w:val="right" w:pos="8640"/>
      </w:tabs>
    </w:pPr>
  </w:style>
  <w:style w:type="paragraph" w:customStyle="1" w:styleId="Paper">
    <w:name w:val="Paper"/>
    <w:basedOn w:val="Normal"/>
    <w:pPr>
      <w:spacing w:after="360" w:line="440" w:lineRule="exact"/>
      <w:jc w:val="right"/>
    </w:pPr>
    <w:rPr>
      <w:b/>
      <w:sz w:val="36"/>
    </w:rPr>
  </w:style>
  <w:style w:type="paragraph" w:styleId="Signature">
    <w:name w:val="Signature"/>
    <w:basedOn w:val="Normal"/>
    <w:pPr>
      <w:ind w:left="4320"/>
    </w:pPr>
  </w:style>
  <w:style w:type="character" w:customStyle="1" w:styleId="Subscript">
    <w:name w:val="Subscript"/>
    <w:rPr>
      <w:vertAlign w:val="subscript"/>
    </w:rPr>
  </w:style>
  <w:style w:type="character" w:customStyle="1" w:styleId="Superscript">
    <w:name w:val="Superscript"/>
    <w:rPr>
      <w:vertAlign w:val="superscript"/>
    </w:rPr>
  </w:style>
  <w:style w:type="character" w:customStyle="1" w:styleId="Symbol">
    <w:name w:val="Symbol"/>
    <w:rPr>
      <w:rFonts w:ascii="Symbol" w:hAnsi="Symbol"/>
    </w:rPr>
  </w:style>
  <w:style w:type="paragraph" w:customStyle="1" w:styleId="SymbolP">
    <w:name w:val="Symbol P"/>
    <w:basedOn w:val="Body"/>
    <w:pPr>
      <w:tabs>
        <w:tab w:val="left" w:pos="720"/>
        <w:tab w:val="left" w:pos="3780"/>
      </w:tabs>
      <w:spacing w:after="0"/>
    </w:pPr>
    <w:rPr>
      <w:sz w:val="24"/>
    </w:rPr>
  </w:style>
  <w:style w:type="character" w:customStyle="1" w:styleId="BoldItal">
    <w:name w:val="BoldItal"/>
    <w:basedOn w:val="DefaultParagraphFont"/>
    <w:rPr>
      <w:b/>
      <w:i/>
    </w:rPr>
  </w:style>
  <w:style w:type="character" w:customStyle="1" w:styleId="SubItal">
    <w:name w:val="SubItal"/>
    <w:rPr>
      <w:i/>
      <w:vertAlign w:val="subscript"/>
    </w:rPr>
  </w:style>
  <w:style w:type="character" w:customStyle="1" w:styleId="SuperItal">
    <w:name w:val="SuperItal"/>
    <w:rPr>
      <w:i/>
      <w:vertAlign w:val="superscript"/>
    </w:rPr>
  </w:style>
  <w:style w:type="character" w:customStyle="1" w:styleId="SymItal">
    <w:name w:val="SymItal"/>
    <w:rPr>
      <w:rFonts w:ascii="Symbol" w:hAnsi="Symbol"/>
      <w:i/>
    </w:rPr>
  </w:style>
  <w:style w:type="character" w:styleId="Hyperlink">
    <w:name w:val="Hyperlink"/>
    <w:basedOn w:val="DefaultParagraphFont"/>
    <w:rPr>
      <w:color w:val="FF0080"/>
      <w:u w:val="single"/>
    </w:rPr>
  </w:style>
  <w:style w:type="character" w:styleId="FollowedHyperlink">
    <w:name w:val="FollowedHyperlink"/>
    <w:basedOn w:val="DefaultParagraphFont"/>
    <w:rPr>
      <w:color w:val="800080"/>
      <w:u w:val="single"/>
    </w:rPr>
  </w:style>
  <w:style w:type="table" w:styleId="TableGrid">
    <w:name w:val="Table Grid"/>
    <w:basedOn w:val="TableNormal"/>
    <w:uiPriority w:val="3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Helvetica" w:hAnsi="Helvetica"/>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iPriority w:val="99"/>
    <w:unhideWhenUsed/>
    <w:rPr>
      <w:rFonts w:ascii="Times New Roman" w:hAnsi="Times New Roman"/>
      <w:lang w:val="nb-NO" w:eastAsia="nb-NO"/>
    </w:rPr>
  </w:style>
  <w:style w:type="character" w:customStyle="1" w:styleId="CommentTextChar">
    <w:name w:val="Comment Text Char"/>
    <w:basedOn w:val="DefaultParagraphFont"/>
    <w:link w:val="CommentText"/>
    <w:uiPriority w:val="99"/>
    <w:rPr>
      <w:lang w:val="nb-NO" w:eastAsia="nb-NO"/>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BodyText3">
    <w:name w:val="Body Text 3"/>
    <w:basedOn w:val="Normal"/>
    <w:link w:val="BodyText3Char"/>
    <w:pPr>
      <w:spacing w:after="120"/>
    </w:pPr>
    <w:rPr>
      <w:sz w:val="16"/>
      <w:szCs w:val="16"/>
    </w:rPr>
  </w:style>
  <w:style w:type="character" w:customStyle="1" w:styleId="BodyText3Char">
    <w:name w:val="Body Text 3 Char"/>
    <w:basedOn w:val="DefaultParagraphFont"/>
    <w:link w:val="BodyText3"/>
    <w:rPr>
      <w:rFonts w:ascii="Helvetica" w:hAnsi="Helvetica"/>
      <w:sz w:val="16"/>
      <w:szCs w:val="16"/>
    </w:rPr>
  </w:style>
  <w:style w:type="character" w:styleId="LineNumber">
    <w:name w:val="line number"/>
    <w:basedOn w:val="DefaultParagraphFont"/>
  </w:style>
  <w:style w:type="character" w:styleId="Emphasis">
    <w:name w:val="Emphasis"/>
    <w:basedOn w:val="DefaultParagraphFont"/>
    <w:uiPriority w:val="20"/>
    <w:qFormat/>
    <w:rPr>
      <w:i/>
      <w:iCs/>
    </w:rPr>
  </w:style>
  <w:style w:type="character" w:styleId="UnresolvedMention">
    <w:name w:val="Unresolved Mention"/>
    <w:basedOn w:val="DefaultParagraphFont"/>
    <w:uiPriority w:val="99"/>
    <w:semiHidden/>
    <w:unhideWhenUsed/>
    <w:rPr>
      <w:color w:val="605E5C"/>
      <w:shd w:val="clear" w:color="auto" w:fill="E1DFDD"/>
    </w:rPr>
  </w:style>
  <w:style w:type="character" w:customStyle="1" w:styleId="Heading2Char">
    <w:name w:val="Heading 2 Char"/>
    <w:basedOn w:val="DefaultParagraphFont"/>
    <w:link w:val="Heading2"/>
    <w:semiHidden/>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unhideWhenUsed/>
    <w:pPr>
      <w:spacing w:line="480" w:lineRule="auto"/>
      <w:ind w:left="720" w:hanging="720"/>
    </w:p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Pr>
      <w:rFonts w:ascii="Helvetica" w:hAnsi="Helvetica"/>
    </w:rPr>
  </w:style>
  <w:style w:type="paragraph" w:styleId="ListParagraph">
    <w:name w:val="List Paragraph"/>
    <w:basedOn w:val="Normal"/>
    <w:uiPriority w:val="34"/>
    <w:qFormat/>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sv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3E673-A14B-4935-B446-0DF2DBF1A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18</Pages>
  <Words>40159</Words>
  <Characters>228910</Characters>
  <Application>Microsoft Office Word</Application>
  <DocSecurity>0</DocSecurity>
  <Lines>1907</Lines>
  <Paragraphs>537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268532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1170</cp:lastModifiedBy>
  <cp:revision>11</cp:revision>
  <cp:lastPrinted>1999-07-06T11:00:00Z</cp:lastPrinted>
  <dcterms:created xsi:type="dcterms:W3CDTF">2025-06-30T16:05:00Z</dcterms:created>
  <dcterms:modified xsi:type="dcterms:W3CDTF">2025-07-02T10:39:00Z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id="2iRljus3"/&gt;&lt;style id="http://www.zotero.org/styles/vancouver" locale="fr-FR" hasBibliography="1" bibliographyStyleHasBeenSet="1"/&gt;&lt;prefs&gt;&lt;pref name="fieldType" value="Field"/&gt;&lt;pref name="automati</vt:lpwstr>
  </property>
  <property fmtid="{D5CDD505-2E9C-101B-9397-08002B2CF9AE}" pid="3" name="ZOTERO_PREF_2">
    <vt:lpwstr>cJournalAbbreviations" value="true"/&gt;&lt;/prefs&gt;&lt;/data&gt;</vt:lpwstr>
  </property>
</Properties>
</file>