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05876" w14:textId="77777777" w:rsidR="002F68D5" w:rsidRPr="002F68D5" w:rsidRDefault="002F68D5" w:rsidP="002F68D5">
      <w:pPr>
        <w:spacing w:before="100" w:beforeAutospacing="1" w:after="100" w:afterAutospacing="1" w:line="480" w:lineRule="auto"/>
        <w:ind w:left="-142"/>
        <w:jc w:val="both"/>
        <w:rPr>
          <w:rFonts w:ascii="Arial" w:eastAsia="Times New Roman" w:hAnsi="Arial" w:cs="Arial"/>
          <w:b/>
          <w:bCs/>
          <w:i/>
          <w:iCs/>
          <w:u w:val="single"/>
        </w:rPr>
      </w:pPr>
      <w:bookmarkStart w:id="0" w:name="_Hlk201740011"/>
      <w:r w:rsidRPr="002F68D5">
        <w:rPr>
          <w:rFonts w:ascii="Arial" w:eastAsia="Times New Roman" w:hAnsi="Arial" w:cs="Arial"/>
          <w:b/>
          <w:bCs/>
          <w:i/>
          <w:iCs/>
          <w:u w:val="single"/>
        </w:rPr>
        <w:t>Original Research Article</w:t>
      </w:r>
    </w:p>
    <w:p w14:paraId="5A48E57B" w14:textId="737B45B0" w:rsidR="00C10440" w:rsidRPr="004054E9" w:rsidRDefault="004054E9" w:rsidP="004054E9">
      <w:pPr>
        <w:spacing w:before="100" w:beforeAutospacing="1" w:after="100" w:afterAutospacing="1" w:line="480" w:lineRule="auto"/>
        <w:ind w:left="-142"/>
        <w:jc w:val="both"/>
        <w:rPr>
          <w:rFonts w:ascii="Arial" w:eastAsia="Times New Roman" w:hAnsi="Arial" w:cs="Arial"/>
          <w:b/>
          <w:bCs/>
        </w:rPr>
      </w:pPr>
      <w:r w:rsidRPr="00D93B76">
        <w:rPr>
          <w:rFonts w:ascii="Arial" w:eastAsia="Times New Roman" w:hAnsi="Arial" w:cs="Arial"/>
          <w:b/>
          <w:bCs/>
        </w:rPr>
        <w:t>INFLAMMATORY RESPONSE TO GASOLINE EXPOSURE: INSIGHTS FROM C-REACTIVE PROTEIN LEVEL</w:t>
      </w:r>
    </w:p>
    <w:bookmarkEnd w:id="0"/>
    <w:p w14:paraId="2B7FAE5A" w14:textId="77777777" w:rsidR="004054E9" w:rsidRDefault="004054E9" w:rsidP="00AD49E5">
      <w:pPr>
        <w:pStyle w:val="ListParagraph"/>
        <w:spacing w:line="480" w:lineRule="auto"/>
        <w:ind w:left="-142" w:right="-330"/>
        <w:jc w:val="both"/>
        <w:rPr>
          <w:rFonts w:ascii="Arial" w:hAnsi="Arial" w:cs="Arial"/>
          <w:b/>
        </w:rPr>
      </w:pPr>
    </w:p>
    <w:p w14:paraId="3B1454FA" w14:textId="101FB56C" w:rsidR="0070588B" w:rsidRPr="00D93B76" w:rsidRDefault="00D93B76" w:rsidP="00AD49E5">
      <w:pPr>
        <w:pStyle w:val="ListParagraph"/>
        <w:spacing w:line="480" w:lineRule="auto"/>
        <w:ind w:left="-142" w:right="-330"/>
        <w:jc w:val="both"/>
        <w:rPr>
          <w:rFonts w:ascii="Arial" w:hAnsi="Arial" w:cs="Arial"/>
          <w:b/>
        </w:rPr>
      </w:pPr>
      <w:r w:rsidRPr="00D93B76">
        <w:rPr>
          <w:rFonts w:ascii="Arial" w:hAnsi="Arial" w:cs="Arial"/>
          <w:b/>
        </w:rPr>
        <w:t>ABSTRACT</w:t>
      </w:r>
    </w:p>
    <w:p w14:paraId="160CD543" w14:textId="4B6A7A3F" w:rsidR="0070588B" w:rsidRPr="00D93B76" w:rsidRDefault="0089781D" w:rsidP="00D93B76">
      <w:pPr>
        <w:pStyle w:val="ListParagraph"/>
        <w:spacing w:line="240" w:lineRule="auto"/>
        <w:ind w:left="-142" w:right="-330"/>
        <w:jc w:val="both"/>
        <w:rPr>
          <w:rFonts w:ascii="Arial" w:hAnsi="Arial" w:cs="Arial"/>
          <w:sz w:val="20"/>
          <w:szCs w:val="20"/>
        </w:rPr>
      </w:pPr>
      <w:r w:rsidRPr="00D93B76">
        <w:rPr>
          <w:rStyle w:val="Strong"/>
          <w:rFonts w:ascii="Arial" w:hAnsi="Arial" w:cs="Arial"/>
          <w:sz w:val="20"/>
          <w:szCs w:val="20"/>
        </w:rPr>
        <w:t>Aim</w:t>
      </w:r>
      <w:r w:rsidR="0070588B" w:rsidRPr="00D93B76">
        <w:rPr>
          <w:rStyle w:val="Strong"/>
          <w:rFonts w:ascii="Arial" w:hAnsi="Arial" w:cs="Arial"/>
          <w:sz w:val="20"/>
          <w:szCs w:val="20"/>
        </w:rPr>
        <w:t>:</w:t>
      </w:r>
      <w:r w:rsidR="0070588B" w:rsidRPr="00D93B76">
        <w:rPr>
          <w:rFonts w:ascii="Arial" w:hAnsi="Arial" w:cs="Arial"/>
          <w:sz w:val="20"/>
          <w:szCs w:val="20"/>
        </w:rPr>
        <w:br/>
        <w:t xml:space="preserve">This study investigates the impact of prolonged gasoline exposure on inflammatory response, using C-reactive protein (CRP) levels as a biomarker. </w:t>
      </w:r>
    </w:p>
    <w:p w14:paraId="055E2809" w14:textId="1647F2A9" w:rsidR="0070588B" w:rsidRPr="00D93B76" w:rsidRDefault="0070588B" w:rsidP="00D93B76">
      <w:pPr>
        <w:pStyle w:val="ListParagraph"/>
        <w:spacing w:line="240" w:lineRule="auto"/>
        <w:ind w:left="-142" w:right="-330"/>
        <w:jc w:val="both"/>
        <w:rPr>
          <w:rFonts w:ascii="Arial" w:hAnsi="Arial" w:cs="Arial"/>
          <w:sz w:val="20"/>
          <w:szCs w:val="20"/>
        </w:rPr>
      </w:pPr>
      <w:r w:rsidRPr="00D93B76">
        <w:rPr>
          <w:rStyle w:val="Strong"/>
          <w:rFonts w:ascii="Arial" w:hAnsi="Arial" w:cs="Arial"/>
          <w:sz w:val="20"/>
          <w:szCs w:val="20"/>
        </w:rPr>
        <w:t>Method</w:t>
      </w:r>
      <w:r w:rsidR="0089781D" w:rsidRPr="00D93B76">
        <w:rPr>
          <w:rStyle w:val="Strong"/>
          <w:rFonts w:ascii="Arial" w:hAnsi="Arial" w:cs="Arial"/>
          <w:sz w:val="20"/>
          <w:szCs w:val="20"/>
        </w:rPr>
        <w:t>ology</w:t>
      </w:r>
      <w:r w:rsidRPr="00D93B76">
        <w:rPr>
          <w:rStyle w:val="Strong"/>
          <w:rFonts w:ascii="Arial" w:hAnsi="Arial" w:cs="Arial"/>
          <w:sz w:val="20"/>
          <w:szCs w:val="20"/>
        </w:rPr>
        <w:t>:</w:t>
      </w:r>
      <w:r w:rsidRPr="00D93B76">
        <w:rPr>
          <w:rFonts w:ascii="Arial" w:hAnsi="Arial" w:cs="Arial"/>
          <w:sz w:val="20"/>
          <w:szCs w:val="20"/>
        </w:rPr>
        <w:br/>
        <w:t>A cross-sectional case-control study was conducted involving 60 apparently healthy participants (31 males, 29 females, aged 18–45). The experimental group comprised petroleum station attendants with gasoline exposure of over one year, further categorized into subgroups based on exposure duration: 1–2 years, 3–5 years, and over 5 years. Venous blood samples were collected and analyzed for CRP concentrations using standard laboratory methods.</w:t>
      </w:r>
    </w:p>
    <w:p w14:paraId="083299B2" w14:textId="3035E223" w:rsidR="00616C32" w:rsidRPr="00D93B76" w:rsidRDefault="0070588B" w:rsidP="00D93B76">
      <w:pPr>
        <w:pStyle w:val="ListParagraph"/>
        <w:spacing w:line="240" w:lineRule="auto"/>
        <w:ind w:left="-142" w:right="-330"/>
        <w:jc w:val="both"/>
        <w:rPr>
          <w:rFonts w:ascii="Arial" w:hAnsi="Arial" w:cs="Arial"/>
          <w:sz w:val="20"/>
          <w:szCs w:val="20"/>
        </w:rPr>
      </w:pPr>
      <w:r w:rsidRPr="00D93B76">
        <w:rPr>
          <w:rStyle w:val="Strong"/>
          <w:rFonts w:ascii="Arial" w:hAnsi="Arial" w:cs="Arial"/>
          <w:sz w:val="20"/>
          <w:szCs w:val="20"/>
        </w:rPr>
        <w:t>Result</w:t>
      </w:r>
      <w:r w:rsidR="0089781D" w:rsidRPr="00D93B76">
        <w:rPr>
          <w:rStyle w:val="Strong"/>
          <w:rFonts w:ascii="Arial" w:hAnsi="Arial" w:cs="Arial"/>
          <w:sz w:val="20"/>
          <w:szCs w:val="20"/>
        </w:rPr>
        <w:t>s</w:t>
      </w:r>
      <w:r w:rsidRPr="00D93B76">
        <w:rPr>
          <w:rStyle w:val="Strong"/>
          <w:rFonts w:ascii="Arial" w:hAnsi="Arial" w:cs="Arial"/>
          <w:sz w:val="20"/>
          <w:szCs w:val="20"/>
        </w:rPr>
        <w:t>:</w:t>
      </w:r>
      <w:r w:rsidRPr="00D93B76">
        <w:rPr>
          <w:rFonts w:ascii="Arial" w:hAnsi="Arial" w:cs="Arial"/>
          <w:sz w:val="20"/>
          <w:szCs w:val="20"/>
        </w:rPr>
        <w:br/>
        <w:t xml:space="preserve">CRP levels were significantly elevated in the 3–5 years (5.98 ± 2.29 mg/L) and &gt;5 years (5.37 ± 2.88 mg/L) exposure groups compared to the control group (1.25 ± 0.21 mg/L), indicating a notable inflammatory response in long-term exposed individuals. </w:t>
      </w:r>
    </w:p>
    <w:p w14:paraId="183EEC87" w14:textId="3F3FCFB9" w:rsidR="0070588B" w:rsidRPr="00D93B76" w:rsidRDefault="0070588B" w:rsidP="00D93B76">
      <w:pPr>
        <w:pStyle w:val="ListParagraph"/>
        <w:spacing w:line="240" w:lineRule="auto"/>
        <w:ind w:left="-142" w:right="-330"/>
        <w:jc w:val="both"/>
        <w:rPr>
          <w:rFonts w:ascii="Arial" w:hAnsi="Arial" w:cs="Arial"/>
          <w:b/>
          <w:sz w:val="20"/>
          <w:szCs w:val="20"/>
        </w:rPr>
      </w:pPr>
      <w:r w:rsidRPr="00D93B76">
        <w:rPr>
          <w:rStyle w:val="Strong"/>
          <w:rFonts w:ascii="Arial" w:hAnsi="Arial" w:cs="Arial"/>
          <w:sz w:val="20"/>
          <w:szCs w:val="20"/>
        </w:rPr>
        <w:t>Conclusion:</w:t>
      </w:r>
      <w:r w:rsidRPr="00D93B76">
        <w:rPr>
          <w:rFonts w:ascii="Arial" w:hAnsi="Arial" w:cs="Arial"/>
          <w:sz w:val="20"/>
          <w:szCs w:val="20"/>
        </w:rPr>
        <w:br/>
        <w:t xml:space="preserve">Prolonged exposure to gasoline </w:t>
      </w:r>
      <w:r w:rsidR="0089781D" w:rsidRPr="00D93B76">
        <w:rPr>
          <w:rFonts w:ascii="Arial" w:hAnsi="Arial" w:cs="Arial"/>
          <w:sz w:val="20"/>
          <w:szCs w:val="20"/>
        </w:rPr>
        <w:t>vapors</w:t>
      </w:r>
      <w:r w:rsidRPr="00D93B76">
        <w:rPr>
          <w:rFonts w:ascii="Arial" w:hAnsi="Arial" w:cs="Arial"/>
          <w:sz w:val="20"/>
          <w:szCs w:val="20"/>
        </w:rPr>
        <w:t xml:space="preserve"> is associated with systemic inflammation, as evidenced by elevated CRP levels. These findings </w:t>
      </w:r>
      <w:r w:rsidR="00616C32" w:rsidRPr="00D93B76">
        <w:rPr>
          <w:rFonts w:ascii="Arial" w:hAnsi="Arial" w:cs="Arial"/>
          <w:sz w:val="20"/>
          <w:szCs w:val="20"/>
        </w:rPr>
        <w:t xml:space="preserve">emphasize </w:t>
      </w:r>
      <w:r w:rsidRPr="00D93B76">
        <w:rPr>
          <w:rFonts w:ascii="Arial" w:hAnsi="Arial" w:cs="Arial"/>
          <w:sz w:val="20"/>
          <w:szCs w:val="20"/>
        </w:rPr>
        <w:t>the potential health risks for petroleum workers and the importance of implementing occupational health safety measures and regular health screenings.</w:t>
      </w:r>
    </w:p>
    <w:p w14:paraId="4104A69F" w14:textId="77777777" w:rsidR="00FD4E91" w:rsidRPr="00D93B76" w:rsidRDefault="00FD4E91" w:rsidP="00D93B76">
      <w:pPr>
        <w:pStyle w:val="Body"/>
        <w:spacing w:after="0"/>
        <w:rPr>
          <w:rFonts w:ascii="Arial" w:hAnsi="Arial" w:cs="Arial"/>
        </w:rPr>
      </w:pPr>
    </w:p>
    <w:p w14:paraId="6A7908B6" w14:textId="77777777" w:rsidR="00FD4E91" w:rsidRPr="00D93B76" w:rsidRDefault="0069480B" w:rsidP="00D93B76">
      <w:pPr>
        <w:pStyle w:val="Body"/>
        <w:spacing w:after="0"/>
        <w:ind w:left="-142"/>
        <w:rPr>
          <w:rFonts w:ascii="Arial" w:hAnsi="Arial" w:cs="Arial"/>
        </w:rPr>
      </w:pPr>
      <w:r w:rsidRPr="00D93B76">
        <w:rPr>
          <w:rFonts w:ascii="Arial" w:hAnsi="Arial" w:cs="Arial"/>
          <w:b/>
        </w:rPr>
        <w:t xml:space="preserve">Keywords: </w:t>
      </w:r>
      <w:r w:rsidR="003A2E4F" w:rsidRPr="00D93B76">
        <w:rPr>
          <w:rFonts w:ascii="Arial" w:hAnsi="Arial" w:cs="Arial"/>
        </w:rPr>
        <w:t xml:space="preserve">C-reactive protein, Gasoline exposure, </w:t>
      </w:r>
      <w:r w:rsidR="00616C32" w:rsidRPr="00D93B76">
        <w:rPr>
          <w:rFonts w:ascii="Arial" w:hAnsi="Arial" w:cs="Arial"/>
        </w:rPr>
        <w:t xml:space="preserve">Biomarker, </w:t>
      </w:r>
      <w:r w:rsidR="003A2E4F" w:rsidRPr="00D93B76">
        <w:rPr>
          <w:rFonts w:ascii="Arial" w:hAnsi="Arial" w:cs="Arial"/>
        </w:rPr>
        <w:t>Inflammatory response.</w:t>
      </w:r>
    </w:p>
    <w:p w14:paraId="40501DFC" w14:textId="77777777" w:rsidR="00192A61" w:rsidRPr="00AD49E5" w:rsidRDefault="00192A61" w:rsidP="00AD49E5">
      <w:pPr>
        <w:pStyle w:val="Body"/>
        <w:spacing w:after="0" w:line="480" w:lineRule="auto"/>
        <w:rPr>
          <w:rFonts w:ascii="Times New Roman" w:hAnsi="Times New Roman"/>
          <w:sz w:val="24"/>
          <w:szCs w:val="24"/>
        </w:rPr>
      </w:pPr>
    </w:p>
    <w:p w14:paraId="26899966" w14:textId="4F5EE32E" w:rsidR="00ED340F" w:rsidRPr="0089781D" w:rsidRDefault="0089781D" w:rsidP="0089781D">
      <w:pPr>
        <w:pStyle w:val="Body"/>
        <w:numPr>
          <w:ilvl w:val="0"/>
          <w:numId w:val="19"/>
        </w:numPr>
        <w:tabs>
          <w:tab w:val="left" w:pos="1571"/>
        </w:tabs>
        <w:spacing w:after="0" w:line="480" w:lineRule="auto"/>
        <w:jc w:val="left"/>
        <w:rPr>
          <w:rFonts w:ascii="Arial" w:hAnsi="Arial" w:cs="Arial"/>
          <w:b/>
          <w:sz w:val="24"/>
          <w:szCs w:val="24"/>
        </w:rPr>
      </w:pPr>
      <w:r w:rsidRPr="0089781D">
        <w:rPr>
          <w:rFonts w:ascii="Arial" w:hAnsi="Arial" w:cs="Arial"/>
          <w:b/>
          <w:sz w:val="24"/>
          <w:szCs w:val="24"/>
        </w:rPr>
        <w:t>INTRODUCTION</w:t>
      </w:r>
    </w:p>
    <w:p w14:paraId="07CE9FEC" w14:textId="77777777" w:rsidR="00ED340F" w:rsidRPr="00D93B76" w:rsidRDefault="00ED340F" w:rsidP="00435FC7">
      <w:pPr>
        <w:jc w:val="both"/>
        <w:rPr>
          <w:rFonts w:ascii="Arial" w:hAnsi="Arial" w:cs="Arial"/>
          <w:sz w:val="20"/>
          <w:szCs w:val="20"/>
        </w:rPr>
      </w:pPr>
      <w:r w:rsidRPr="00D93B76">
        <w:rPr>
          <w:rFonts w:ascii="Arial" w:hAnsi="Arial" w:cs="Arial"/>
          <w:sz w:val="20"/>
          <w:szCs w:val="20"/>
        </w:rPr>
        <w:t>Exposure to gasoline has been associated with various health hazards, including alterations in haematological parameters and damage to vital organs such as the liver and kidneys. Prolonged contact with gasoline can lead to skin irritation, respiratory distress, and internal organ dysfunction through dermal absorption, inhalation, or accidental ingestion (Asefaw et al., 2020; Christian et al., 2016; Alzahrani &amp; Rajendran, 2019). These effects are caused by the interaction of petroleum constituents with body tissues and their potential to induce inflammation and oxidative stress.</w:t>
      </w:r>
    </w:p>
    <w:p w14:paraId="1CD9C740" w14:textId="77777777" w:rsidR="00ED340F" w:rsidRPr="00D93B76" w:rsidRDefault="00ED340F" w:rsidP="00435FC7">
      <w:pPr>
        <w:jc w:val="both"/>
        <w:rPr>
          <w:rFonts w:ascii="Arial" w:hAnsi="Arial" w:cs="Arial"/>
          <w:sz w:val="20"/>
          <w:szCs w:val="20"/>
        </w:rPr>
      </w:pPr>
      <w:r w:rsidRPr="00D93B76">
        <w:rPr>
          <w:rFonts w:ascii="Arial" w:hAnsi="Arial" w:cs="Arial"/>
          <w:sz w:val="20"/>
          <w:szCs w:val="20"/>
        </w:rPr>
        <w:t>In Port Harcourt, Nigeria, a major city within the oil-rich Niger Delta region, air pollution due to petroleum-related industrial activities is a major environmental and public health concern. Studies have identified the oil and gas sector as a major contributor to ambient air pollution in the city (Zabbey et al., 2021). Residents and workers are increasingly reporting respiratory illnesses such as asthma and pneumonia, indicating a rise in pollution-induced health conditions (Yakubu, 2017). Petroleum pump attendants in this region are thus particularly vulnerable to the long-term effects of air pollution and hydrocarbon exposure.</w:t>
      </w:r>
    </w:p>
    <w:p w14:paraId="69BDA3A9" w14:textId="77777777" w:rsidR="00ED340F" w:rsidRPr="00D93B76" w:rsidRDefault="00ED340F" w:rsidP="00435FC7">
      <w:pPr>
        <w:jc w:val="both"/>
        <w:rPr>
          <w:rFonts w:ascii="Arial" w:hAnsi="Arial" w:cs="Arial"/>
          <w:sz w:val="20"/>
          <w:szCs w:val="20"/>
        </w:rPr>
      </w:pPr>
      <w:r w:rsidRPr="00D93B76">
        <w:rPr>
          <w:rFonts w:ascii="Arial" w:hAnsi="Arial" w:cs="Arial"/>
          <w:sz w:val="20"/>
          <w:szCs w:val="20"/>
        </w:rPr>
        <w:t>Petroleum pump attendants play a vital role in fuel station operations, ensuring efficient transactions, fuel dispensation, and basic vehicle checks. In countries like Nigeria, they serve as the frontline operators of fueling services. However, daily exposure to petroleum vapors primarily petrol or gasoline poses serious health risks. Studies have shown that such exposure can alter haematological indices and damage vital organs like the liver and kidneys (Asefaw et al., 2020; Christian et al., 2016; Orolua et al., 2024). Components in gasoline can irritate sensitive tissues and organs including the lungs, skin and cardiovascular system. Direct contact may result in dermatological reactions like rashes and inflammation, while ingestion or inhalation of vapors could impair liver and kidney function (Alzahrani &amp; Rajendran, 2019).</w:t>
      </w:r>
    </w:p>
    <w:p w14:paraId="2B3C7A30" w14:textId="77777777" w:rsidR="00ED340F" w:rsidRPr="00D93B76" w:rsidRDefault="00ED340F" w:rsidP="00435FC7">
      <w:pPr>
        <w:jc w:val="both"/>
        <w:rPr>
          <w:rFonts w:ascii="Arial" w:hAnsi="Arial" w:cs="Arial"/>
          <w:sz w:val="20"/>
          <w:szCs w:val="20"/>
        </w:rPr>
      </w:pPr>
      <w:r w:rsidRPr="00D93B76">
        <w:rPr>
          <w:rFonts w:ascii="Arial" w:hAnsi="Arial" w:cs="Arial"/>
          <w:sz w:val="20"/>
          <w:szCs w:val="20"/>
        </w:rPr>
        <w:lastRenderedPageBreak/>
        <w:t>In the Niger Delta region, particularly in Port Harcourt, air pollution from petroleum activities is a growing public health concern. The city, known for intensive oil refining and production, experiences constant exposure to petroleum emissions. Industrial processes involved in oil and condensate production are major sources of airborne pollutants (Zabbey et al., 2021). Residents have recorded increase with respiratory ailments, and studies have noted a rise in diseases such as pneumonia and asthma (Yakubu, 2017). This environmental backdrop underscores the relevance of studying biomarkers like CRP in populations exposed to petroleum vapors.</w:t>
      </w:r>
    </w:p>
    <w:p w14:paraId="4A285D93" w14:textId="77777777" w:rsidR="00ED340F" w:rsidRPr="00D93B76" w:rsidRDefault="00ED340F" w:rsidP="00435FC7">
      <w:pPr>
        <w:jc w:val="both"/>
        <w:rPr>
          <w:rFonts w:ascii="Arial" w:hAnsi="Arial" w:cs="Arial"/>
          <w:sz w:val="20"/>
          <w:szCs w:val="20"/>
        </w:rPr>
      </w:pPr>
      <w:r w:rsidRPr="00D93B76">
        <w:rPr>
          <w:rFonts w:ascii="Arial" w:hAnsi="Arial" w:cs="Arial"/>
          <w:sz w:val="20"/>
          <w:szCs w:val="20"/>
        </w:rPr>
        <w:t>C-reactive protein (CRP) is an acute-phase protein synthesized by the liver in response to inflammatory cytokines, especially interleukin-6 (IL-6). As a biomarker, CRP is highly sensitive and can increase dramatically up to a thousand-fold during inflammatory conditions, infections, and tissue injury (Sproston &amp; Ashworth, 2018; Mackiewicz et al., 2023). It is widely used in clinical settings to evaluate inflammation severity and has been linked to the pathogenesis of cardiovascular and other systemic diseases (Li &amp; Fang, 2004; Ridker, 2009).</w:t>
      </w:r>
    </w:p>
    <w:p w14:paraId="099ABDF3" w14:textId="77777777" w:rsidR="00ED340F" w:rsidRPr="00D93B76" w:rsidRDefault="00ED340F" w:rsidP="00435FC7">
      <w:pPr>
        <w:jc w:val="both"/>
        <w:rPr>
          <w:rFonts w:ascii="Arial" w:hAnsi="Arial" w:cs="Arial"/>
          <w:sz w:val="20"/>
          <w:szCs w:val="20"/>
        </w:rPr>
      </w:pPr>
      <w:r w:rsidRPr="00D93B76">
        <w:rPr>
          <w:rFonts w:ascii="Arial" w:hAnsi="Arial" w:cs="Arial"/>
          <w:sz w:val="20"/>
          <w:szCs w:val="20"/>
        </w:rPr>
        <w:t>Inflammatory markers are helpful as an adjunctive tool in the overall evaluation of patients with non-specific symptoms and as a management tool in those with inflammatory disease to monitor disease activity and possibility of relapse. Chronic disorders like diabetes and coronary heart disease can arise from unregulated inflammatory responses that have maladapted over decades, even while an inflammatory response to injury or another trigger is required (Van Dyke &amp; Kornman, 2008).</w:t>
      </w:r>
    </w:p>
    <w:p w14:paraId="1075DC30" w14:textId="77777777" w:rsidR="00ED340F" w:rsidRPr="00D93B76" w:rsidRDefault="00ED340F" w:rsidP="00435FC7">
      <w:pPr>
        <w:jc w:val="both"/>
        <w:rPr>
          <w:rFonts w:ascii="Arial" w:hAnsi="Arial" w:cs="Arial"/>
          <w:sz w:val="20"/>
          <w:szCs w:val="20"/>
        </w:rPr>
      </w:pPr>
      <w:r w:rsidRPr="00D93B76">
        <w:rPr>
          <w:rFonts w:ascii="Arial" w:hAnsi="Arial" w:cs="Arial"/>
          <w:sz w:val="20"/>
          <w:szCs w:val="20"/>
        </w:rPr>
        <w:t>CRP is a pentameric acute-phase protein synthesized predominantly in the liver in response to inflammation. It was first identified by Tillet and Francis in 1930 and is highly conserved across species. The production of CRP is primarily induced by inflammatory cytokines such as interleukin-6 (IL-6) and interleukin-1β (IL-1β), typically in response to infection, trauma, or chronic inflammation (Sproston &amp; Ashworth, 2018; Mackiewicz et al., 2023). CRP levels can rise up to a thousand-fold during acute inflammatory responses and are widely used as a clinical indicator of disease severity (Nehring, 2023).</w:t>
      </w:r>
    </w:p>
    <w:p w14:paraId="148CC6CD" w14:textId="77777777" w:rsidR="00ED340F" w:rsidRPr="00D93B76" w:rsidRDefault="00ED340F" w:rsidP="00435FC7">
      <w:pPr>
        <w:jc w:val="both"/>
        <w:rPr>
          <w:rFonts w:ascii="Arial" w:hAnsi="Arial" w:cs="Arial"/>
          <w:sz w:val="20"/>
          <w:szCs w:val="20"/>
        </w:rPr>
      </w:pPr>
      <w:r w:rsidRPr="00D93B76">
        <w:rPr>
          <w:rFonts w:ascii="Arial" w:hAnsi="Arial" w:cs="Arial"/>
          <w:sz w:val="20"/>
          <w:szCs w:val="20"/>
        </w:rPr>
        <w:t>In cardiovascular medicine, CRP has gained importance due to its strong association with chronic inflammation and cardiac risk. Persistent elevation of CRP levels has been correlated with a higher likelihood of cardiovascular diseases, making it a valuable prognostic biomarker (Li &amp; Fang, 2004; Ridker, 2009).</w:t>
      </w:r>
    </w:p>
    <w:p w14:paraId="77B36423" w14:textId="77777777" w:rsidR="00ED340F" w:rsidRPr="00D93B76" w:rsidRDefault="00ED340F" w:rsidP="00435FC7">
      <w:pPr>
        <w:jc w:val="both"/>
        <w:rPr>
          <w:rFonts w:ascii="Arial" w:hAnsi="Arial" w:cs="Arial"/>
          <w:sz w:val="20"/>
          <w:szCs w:val="20"/>
        </w:rPr>
      </w:pPr>
      <w:r w:rsidRPr="00D93B76">
        <w:rPr>
          <w:rFonts w:ascii="Arial" w:hAnsi="Arial" w:cs="Arial"/>
          <w:sz w:val="20"/>
          <w:szCs w:val="20"/>
        </w:rPr>
        <w:t>CRP exists in two structural forms: pentameric CRP (pCRP) and monomeric CRP (mCRP). The pCRP is the native circulating form, while mCRP, often found at sites of tissue damage, exhibits pro-inflammatory properties. The conversion from pCRP to mCRP is facilitated by interactions with activated cells such as platelets, leukocytes, and endothelial cells, further promoting inflammatory responses (McFadyen et al., 2018).</w:t>
      </w:r>
    </w:p>
    <w:p w14:paraId="38157F5D" w14:textId="77777777" w:rsidR="00ED340F" w:rsidRPr="00D93B76" w:rsidRDefault="00ED340F" w:rsidP="00435FC7">
      <w:pPr>
        <w:jc w:val="both"/>
        <w:rPr>
          <w:rFonts w:ascii="Arial" w:hAnsi="Arial" w:cs="Arial"/>
          <w:sz w:val="20"/>
          <w:szCs w:val="20"/>
        </w:rPr>
      </w:pPr>
      <w:r w:rsidRPr="00D93B76">
        <w:rPr>
          <w:rFonts w:ascii="Arial" w:hAnsi="Arial" w:cs="Arial"/>
          <w:sz w:val="20"/>
          <w:szCs w:val="20"/>
        </w:rPr>
        <w:t>Elevated CRP levels are indicative of underlying inflammation, making it a valuable tool for assessing the physiological impact of environmental and occupational exposures. Given the ongoing exposure of petroleum workers to potentially harmful fumes and chemicals, evaluating CRP levels in this population provides insight into possible inflammatory responses triggered by gasoline inhalation and contact.</w:t>
      </w:r>
    </w:p>
    <w:p w14:paraId="2BC3D4F3" w14:textId="77777777" w:rsidR="00ED340F" w:rsidRPr="00D93B76" w:rsidRDefault="00ED340F" w:rsidP="00435FC7">
      <w:pPr>
        <w:jc w:val="both"/>
        <w:rPr>
          <w:rFonts w:ascii="Arial" w:hAnsi="Arial" w:cs="Arial"/>
          <w:sz w:val="20"/>
          <w:szCs w:val="20"/>
        </w:rPr>
      </w:pPr>
      <w:r w:rsidRPr="00D93B76">
        <w:rPr>
          <w:rFonts w:ascii="Arial" w:hAnsi="Arial" w:cs="Arial"/>
          <w:sz w:val="20"/>
          <w:szCs w:val="20"/>
        </w:rPr>
        <w:t>Despite the widespread occupational exposure among gasoline attendants, there is limited research investigating the systemic inflammatory effects using CRP as a biomarker. This study was therefore designed to assess and compare C-reactive protein levels in gasoline-exposed attendants with those of a non-exposed control group in Port Harcourt Metropolis, Nigeria. The objective is to determine whether long-term exposure to gasoline is associated with CRP levels and by implication, increased inflammatory response and health risks.</w:t>
      </w:r>
    </w:p>
    <w:p w14:paraId="77047DF6" w14:textId="77777777" w:rsidR="000D23E1" w:rsidRDefault="000D23E1" w:rsidP="000D23E1">
      <w:pPr>
        <w:spacing w:line="480" w:lineRule="auto"/>
        <w:jc w:val="both"/>
        <w:rPr>
          <w:rFonts w:ascii="Times New Roman" w:hAnsi="Times New Roman" w:cs="Times New Roman"/>
          <w:b/>
          <w:sz w:val="24"/>
          <w:szCs w:val="24"/>
        </w:rPr>
      </w:pPr>
    </w:p>
    <w:p w14:paraId="071E8F73" w14:textId="2F0B943C" w:rsidR="003A2100" w:rsidRPr="0089781D" w:rsidRDefault="0089781D" w:rsidP="000D23E1">
      <w:pPr>
        <w:spacing w:line="480" w:lineRule="auto"/>
        <w:jc w:val="both"/>
        <w:rPr>
          <w:rFonts w:ascii="Arial" w:hAnsi="Arial" w:cs="Arial"/>
          <w:b/>
        </w:rPr>
      </w:pPr>
      <w:r w:rsidRPr="0089781D">
        <w:rPr>
          <w:rFonts w:ascii="Arial" w:hAnsi="Arial" w:cs="Arial"/>
          <w:b/>
        </w:rPr>
        <w:t>2. METHODOLOGY</w:t>
      </w:r>
    </w:p>
    <w:p w14:paraId="3A71E374" w14:textId="77777777" w:rsidR="008B6F07" w:rsidRPr="00435FC7" w:rsidRDefault="009A1260" w:rsidP="00435FC7">
      <w:pPr>
        <w:jc w:val="both"/>
        <w:rPr>
          <w:rFonts w:ascii="Arial" w:eastAsia="Times New Roman" w:hAnsi="Arial" w:cs="Arial"/>
          <w:sz w:val="20"/>
          <w:szCs w:val="20"/>
        </w:rPr>
      </w:pPr>
      <w:r w:rsidRPr="00435FC7">
        <w:rPr>
          <w:rFonts w:ascii="Arial" w:hAnsi="Arial" w:cs="Arial"/>
          <w:sz w:val="20"/>
          <w:szCs w:val="20"/>
        </w:rPr>
        <w:t>In Port Harcourt Metropolis, Nigeria, two distinct populations participated in a cross-sectional case-control study. For this study, a total of 60 participants between the ages of 18 and 45 were enlisted.</w:t>
      </w:r>
      <w:r w:rsidR="0029356A" w:rsidRPr="00435FC7">
        <w:rPr>
          <w:rFonts w:ascii="Arial" w:hAnsi="Arial" w:cs="Arial"/>
          <w:sz w:val="20"/>
          <w:szCs w:val="20"/>
        </w:rPr>
        <w:t xml:space="preserve"> </w:t>
      </w:r>
      <w:r w:rsidRPr="00435FC7">
        <w:rPr>
          <w:rFonts w:ascii="Arial" w:eastAsia="Times New Roman" w:hAnsi="Arial" w:cs="Arial"/>
          <w:sz w:val="20"/>
          <w:szCs w:val="20"/>
        </w:rPr>
        <w:t>Blood s</w:t>
      </w:r>
      <w:r w:rsidR="0029356A" w:rsidRPr="00435FC7">
        <w:rPr>
          <w:rFonts w:ascii="Arial" w:eastAsia="Times New Roman" w:hAnsi="Arial" w:cs="Arial"/>
          <w:sz w:val="20"/>
          <w:szCs w:val="20"/>
        </w:rPr>
        <w:t>amples</w:t>
      </w:r>
      <w:r w:rsidRPr="00435FC7">
        <w:rPr>
          <w:rFonts w:ascii="Arial" w:eastAsia="Times New Roman" w:hAnsi="Arial" w:cs="Arial"/>
          <w:sz w:val="20"/>
          <w:szCs w:val="20"/>
        </w:rPr>
        <w:t xml:space="preserve"> were </w:t>
      </w:r>
      <w:r w:rsidR="0029356A" w:rsidRPr="00435FC7">
        <w:rPr>
          <w:rFonts w:ascii="Arial" w:eastAsia="Times New Roman" w:hAnsi="Arial" w:cs="Arial"/>
          <w:sz w:val="20"/>
          <w:szCs w:val="20"/>
        </w:rPr>
        <w:t>collected</w:t>
      </w:r>
      <w:r w:rsidRPr="00435FC7">
        <w:rPr>
          <w:rFonts w:ascii="Arial" w:eastAsia="Times New Roman" w:hAnsi="Arial" w:cs="Arial"/>
          <w:sz w:val="20"/>
          <w:szCs w:val="20"/>
        </w:rPr>
        <w:t xml:space="preserve"> from study participants</w:t>
      </w:r>
      <w:r w:rsidRPr="00435FC7">
        <w:rPr>
          <w:rFonts w:ascii="Arial" w:hAnsi="Arial" w:cs="Arial"/>
          <w:sz w:val="20"/>
          <w:szCs w:val="20"/>
        </w:rPr>
        <w:t xml:space="preserve"> in plain sample bottle</w:t>
      </w:r>
      <w:r w:rsidR="0029356A" w:rsidRPr="00435FC7">
        <w:rPr>
          <w:rFonts w:ascii="Arial" w:hAnsi="Arial" w:cs="Arial"/>
          <w:sz w:val="20"/>
          <w:szCs w:val="20"/>
        </w:rPr>
        <w:t>s</w:t>
      </w:r>
      <w:r w:rsidRPr="00435FC7">
        <w:rPr>
          <w:rFonts w:ascii="Arial" w:hAnsi="Arial" w:cs="Arial"/>
          <w:sz w:val="20"/>
          <w:szCs w:val="20"/>
        </w:rPr>
        <w:t xml:space="preserve"> for determination of C-reactive protein levels.</w:t>
      </w:r>
      <w:r w:rsidRPr="00435FC7">
        <w:rPr>
          <w:rFonts w:ascii="Arial" w:eastAsia="Times New Roman" w:hAnsi="Arial" w:cs="Arial"/>
          <w:sz w:val="20"/>
          <w:szCs w:val="20"/>
        </w:rPr>
        <w:t xml:space="preserve"> After collection, t</w:t>
      </w:r>
      <w:r w:rsidRPr="00435FC7">
        <w:rPr>
          <w:rFonts w:ascii="Arial" w:hAnsi="Arial" w:cs="Arial"/>
          <w:sz w:val="20"/>
          <w:szCs w:val="20"/>
        </w:rPr>
        <w:t>he blood samples were conveyed immediately to the University of Port Harcourt Teaching Hospital where they were separated with a centrifuge and analyzed at the Department of Chemical Pathology, University of Port Harcourt Teaching Hospital, Choba, Rivers State, Nigeria.</w:t>
      </w:r>
      <w:r w:rsidRPr="00435FC7">
        <w:rPr>
          <w:rFonts w:ascii="Arial" w:eastAsia="Times New Roman" w:hAnsi="Arial" w:cs="Arial"/>
          <w:sz w:val="20"/>
          <w:szCs w:val="20"/>
        </w:rPr>
        <w:t xml:space="preserve"> Samples were centrifuged for 5 minutes at 1000 rpm. The serum was separated from the cells and transferred into a Bijou (sample) bottle at 20</w:t>
      </w:r>
      <w:r w:rsidRPr="00435FC7">
        <w:rPr>
          <w:rFonts w:ascii="Arial" w:eastAsia="Times New Roman" w:hAnsi="Arial" w:cs="Arial"/>
          <w:sz w:val="20"/>
          <w:szCs w:val="20"/>
          <w:vertAlign w:val="superscript"/>
        </w:rPr>
        <w:t>0</w:t>
      </w:r>
      <w:r w:rsidRPr="00435FC7">
        <w:rPr>
          <w:rFonts w:ascii="Arial" w:eastAsia="Times New Roman" w:hAnsi="Arial" w:cs="Arial"/>
          <w:sz w:val="20"/>
          <w:szCs w:val="20"/>
        </w:rPr>
        <w:t>C.</w:t>
      </w:r>
      <w:r w:rsidR="0029356A" w:rsidRPr="00435FC7">
        <w:rPr>
          <w:rFonts w:ascii="Arial" w:eastAsia="Times New Roman" w:hAnsi="Arial" w:cs="Arial"/>
          <w:sz w:val="20"/>
          <w:szCs w:val="20"/>
        </w:rPr>
        <w:t xml:space="preserve"> </w:t>
      </w:r>
      <w:r w:rsidR="008B6F07" w:rsidRPr="00435FC7">
        <w:rPr>
          <w:rFonts w:ascii="Arial" w:hAnsi="Arial" w:cs="Arial"/>
          <w:sz w:val="20"/>
          <w:szCs w:val="20"/>
        </w:rPr>
        <w:t>The C-reactive protein was determined using the latex agglutination method (Singer et al., 1957). The principle is based on an immunological reaction in which the antibodies against C-reactive protein bind to biological inoculated particles and C-reactive protein in the test specimen. When serum containing CRP is greater than 0.6mg/dl is mixed with the latex reagent; visible agglutination occurs.</w:t>
      </w:r>
      <w:bookmarkStart w:id="1" w:name="_Hlk171191387"/>
      <w:r w:rsidR="0029356A" w:rsidRPr="00435FC7">
        <w:rPr>
          <w:rFonts w:ascii="Arial" w:hAnsi="Arial" w:cs="Arial"/>
          <w:sz w:val="20"/>
          <w:szCs w:val="20"/>
        </w:rPr>
        <w:t xml:space="preserve"> </w:t>
      </w:r>
      <w:r w:rsidR="008B6F07" w:rsidRPr="00435FC7">
        <w:rPr>
          <w:rFonts w:ascii="Arial" w:hAnsi="Arial" w:cs="Arial"/>
          <w:sz w:val="20"/>
          <w:szCs w:val="20"/>
        </w:rPr>
        <w:t xml:space="preserve">The raw data collated by the present study was analyzed using Statistical Package for Social Science (SPSS) (version 23 for Windows 11, SPSS Inc., Chicago, </w:t>
      </w:r>
      <w:r w:rsidR="008B6F07" w:rsidRPr="00435FC7">
        <w:rPr>
          <w:rFonts w:ascii="Arial" w:hAnsi="Arial" w:cs="Arial"/>
          <w:sz w:val="20"/>
          <w:szCs w:val="20"/>
        </w:rPr>
        <w:lastRenderedPageBreak/>
        <w:t xml:space="preserve">USA). </w:t>
      </w:r>
      <w:r w:rsidR="008B6F07" w:rsidRPr="00435FC7">
        <w:rPr>
          <w:rFonts w:ascii="Arial" w:eastAsia="Times New Roman" w:hAnsi="Arial" w:cs="Arial"/>
          <w:sz w:val="20"/>
          <w:szCs w:val="20"/>
        </w:rPr>
        <w:t xml:space="preserve">Descriptive statistics including means, standard deviations, and confidence intervals, were calculated for </w:t>
      </w:r>
      <w:r w:rsidR="005D074B" w:rsidRPr="00435FC7">
        <w:rPr>
          <w:rFonts w:ascii="Arial" w:eastAsia="Times New Roman" w:hAnsi="Arial" w:cs="Arial"/>
          <w:sz w:val="20"/>
          <w:szCs w:val="20"/>
        </w:rPr>
        <w:t>CRP value</w:t>
      </w:r>
      <w:r w:rsidR="008B6F07" w:rsidRPr="00435FC7">
        <w:rPr>
          <w:rFonts w:ascii="Arial" w:eastAsia="Times New Roman" w:hAnsi="Arial" w:cs="Arial"/>
          <w:sz w:val="20"/>
          <w:szCs w:val="20"/>
        </w:rPr>
        <w:t>.</w:t>
      </w:r>
      <w:r w:rsidR="008B6F07" w:rsidRPr="00435FC7">
        <w:rPr>
          <w:rFonts w:ascii="Arial" w:hAnsi="Arial" w:cs="Arial"/>
          <w:sz w:val="20"/>
          <w:szCs w:val="20"/>
        </w:rPr>
        <w:t xml:space="preserve"> </w:t>
      </w:r>
      <w:r w:rsidR="005D074B" w:rsidRPr="00435FC7">
        <w:rPr>
          <w:rFonts w:ascii="Arial" w:hAnsi="Arial" w:cs="Arial"/>
          <w:sz w:val="20"/>
          <w:szCs w:val="20"/>
        </w:rPr>
        <w:t xml:space="preserve"> </w:t>
      </w:r>
      <w:r w:rsidR="008B6F07" w:rsidRPr="00435FC7">
        <w:rPr>
          <w:rFonts w:ascii="Arial" w:eastAsia="Times New Roman" w:hAnsi="Arial" w:cs="Arial"/>
          <w:sz w:val="20"/>
          <w:szCs w:val="20"/>
        </w:rPr>
        <w:t>All statistical tests were two-tailed, and a p-value of &lt;0.05 was considered statistically significant. Results were presented as mean ± standard deviation or mean ± standard error (SE) where appropriate.</w:t>
      </w:r>
      <w:bookmarkEnd w:id="1"/>
    </w:p>
    <w:p w14:paraId="2F81721E" w14:textId="77777777" w:rsidR="004C196D" w:rsidRPr="00936102" w:rsidRDefault="004C196D" w:rsidP="00936102">
      <w:pPr>
        <w:spacing w:line="480" w:lineRule="auto"/>
        <w:jc w:val="both"/>
        <w:rPr>
          <w:rFonts w:ascii="Times New Roman" w:hAnsi="Times New Roman" w:cs="Times New Roman"/>
          <w:sz w:val="24"/>
          <w:szCs w:val="24"/>
        </w:rPr>
      </w:pPr>
    </w:p>
    <w:p w14:paraId="1403A2AC" w14:textId="37024317" w:rsidR="00AF6C28" w:rsidRPr="0089781D" w:rsidRDefault="0089781D" w:rsidP="0029356A">
      <w:pPr>
        <w:pStyle w:val="Body"/>
        <w:spacing w:after="0" w:line="480" w:lineRule="auto"/>
        <w:ind w:left="-142"/>
        <w:rPr>
          <w:rFonts w:ascii="Arial" w:hAnsi="Arial" w:cs="Arial"/>
          <w:b/>
          <w:sz w:val="22"/>
          <w:szCs w:val="22"/>
        </w:rPr>
      </w:pPr>
      <w:bookmarkStart w:id="2" w:name="_Hlk172658841"/>
      <w:r w:rsidRPr="0089781D">
        <w:rPr>
          <w:rFonts w:ascii="Arial" w:hAnsi="Arial" w:cs="Arial"/>
          <w:b/>
          <w:sz w:val="22"/>
          <w:szCs w:val="22"/>
        </w:rPr>
        <w:t>3. RESULTS</w:t>
      </w:r>
      <w:bookmarkEnd w:id="2"/>
    </w:p>
    <w:p w14:paraId="6A8455AE" w14:textId="77777777" w:rsidR="008B6F07" w:rsidRPr="00F15984" w:rsidRDefault="003A2E4F" w:rsidP="00936102">
      <w:pPr>
        <w:pStyle w:val="Body"/>
        <w:spacing w:after="0" w:line="480" w:lineRule="auto"/>
        <w:ind w:left="-142"/>
        <w:rPr>
          <w:rFonts w:ascii="Arial" w:hAnsi="Arial" w:cs="Arial"/>
          <w:b/>
        </w:rPr>
      </w:pPr>
      <w:r w:rsidRPr="00F15984">
        <w:rPr>
          <w:rFonts w:ascii="Arial" w:hAnsi="Arial" w:cs="Arial"/>
          <w:b/>
        </w:rPr>
        <w:t xml:space="preserve">Table 1 </w:t>
      </w:r>
      <w:bookmarkStart w:id="3" w:name="_Hlk171190510"/>
      <w:r w:rsidRPr="00F15984">
        <w:rPr>
          <w:rFonts w:ascii="Arial" w:hAnsi="Arial" w:cs="Arial"/>
          <w:b/>
        </w:rPr>
        <w:t>Socio-Demographic Characteristics and Exposure Duration of Study Group at Port Harcourt Metropolis, Rivers State, Nigeria (n=60).</w:t>
      </w:r>
      <w:bookmarkEnd w:id="3"/>
    </w:p>
    <w:tbl>
      <w:tblPr>
        <w:tblStyle w:val="TableGrid"/>
        <w:tblW w:w="98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2410"/>
        <w:gridCol w:w="3204"/>
      </w:tblGrid>
      <w:tr w:rsidR="008B6F07" w:rsidRPr="00F15984" w14:paraId="76582E05" w14:textId="77777777" w:rsidTr="00F15984">
        <w:trPr>
          <w:trHeight w:val="736"/>
        </w:trPr>
        <w:tc>
          <w:tcPr>
            <w:tcW w:w="4258" w:type="dxa"/>
            <w:tcBorders>
              <w:top w:val="single" w:sz="4" w:space="0" w:color="auto"/>
              <w:bottom w:val="single" w:sz="4" w:space="0" w:color="auto"/>
            </w:tcBorders>
          </w:tcPr>
          <w:p w14:paraId="71D7F310" w14:textId="498F7451" w:rsidR="008B6F07" w:rsidRPr="00F15984" w:rsidRDefault="00F15984" w:rsidP="00AD49E5">
            <w:pPr>
              <w:spacing w:line="480" w:lineRule="auto"/>
              <w:ind w:left="-142"/>
              <w:jc w:val="both"/>
              <w:rPr>
                <w:rFonts w:ascii="Arial" w:hAnsi="Arial" w:cs="Arial"/>
                <w:b/>
              </w:rPr>
            </w:pPr>
            <w:bookmarkStart w:id="4" w:name="_Hlk172658861"/>
            <w:r>
              <w:rPr>
                <w:rFonts w:ascii="Arial" w:eastAsia="Times New Roman" w:hAnsi="Arial" w:cs="Arial"/>
                <w:b/>
                <w:bCs/>
              </w:rPr>
              <w:t xml:space="preserve"> </w:t>
            </w:r>
            <w:r w:rsidR="008B6F07" w:rsidRPr="00F15984">
              <w:rPr>
                <w:rFonts w:ascii="Arial" w:eastAsia="Times New Roman" w:hAnsi="Arial" w:cs="Arial"/>
                <w:b/>
                <w:bCs/>
              </w:rPr>
              <w:t>Confounding Factors</w:t>
            </w:r>
          </w:p>
        </w:tc>
        <w:tc>
          <w:tcPr>
            <w:tcW w:w="2410" w:type="dxa"/>
            <w:tcBorders>
              <w:top w:val="single" w:sz="4" w:space="0" w:color="auto"/>
              <w:bottom w:val="single" w:sz="4" w:space="0" w:color="auto"/>
            </w:tcBorders>
          </w:tcPr>
          <w:p w14:paraId="49A4925A" w14:textId="77777777" w:rsidR="00F15984" w:rsidRDefault="00F15984" w:rsidP="00AD49E5">
            <w:pPr>
              <w:spacing w:line="480" w:lineRule="auto"/>
              <w:ind w:left="-142"/>
              <w:jc w:val="both"/>
              <w:rPr>
                <w:rFonts w:ascii="Arial" w:eastAsia="Times New Roman" w:hAnsi="Arial" w:cs="Arial"/>
                <w:b/>
                <w:bCs/>
              </w:rPr>
            </w:pPr>
            <w:r>
              <w:rPr>
                <w:rFonts w:ascii="Arial" w:eastAsia="Times New Roman" w:hAnsi="Arial" w:cs="Arial"/>
                <w:b/>
                <w:bCs/>
              </w:rPr>
              <w:t xml:space="preserve"> </w:t>
            </w:r>
            <w:r w:rsidR="008B6F07" w:rsidRPr="00F15984">
              <w:rPr>
                <w:rFonts w:ascii="Arial" w:eastAsia="Times New Roman" w:hAnsi="Arial" w:cs="Arial"/>
                <w:b/>
                <w:bCs/>
              </w:rPr>
              <w:t>Gas Station Attendant</w:t>
            </w:r>
          </w:p>
          <w:p w14:paraId="04949A83" w14:textId="71BBB891" w:rsidR="008B6F07" w:rsidRPr="00F15984" w:rsidRDefault="008B6F07" w:rsidP="00AD49E5">
            <w:pPr>
              <w:spacing w:line="480" w:lineRule="auto"/>
              <w:ind w:left="-142"/>
              <w:jc w:val="both"/>
              <w:rPr>
                <w:rFonts w:ascii="Arial" w:hAnsi="Arial" w:cs="Arial"/>
                <w:b/>
              </w:rPr>
            </w:pPr>
            <w:r w:rsidRPr="00F15984">
              <w:rPr>
                <w:rFonts w:ascii="Arial" w:eastAsia="Times New Roman" w:hAnsi="Arial" w:cs="Arial"/>
                <w:b/>
                <w:bCs/>
              </w:rPr>
              <w:t xml:space="preserve"> (n=40)</w:t>
            </w:r>
          </w:p>
        </w:tc>
        <w:tc>
          <w:tcPr>
            <w:tcW w:w="3204" w:type="dxa"/>
            <w:tcBorders>
              <w:top w:val="single" w:sz="4" w:space="0" w:color="auto"/>
              <w:bottom w:val="single" w:sz="4" w:space="0" w:color="auto"/>
            </w:tcBorders>
          </w:tcPr>
          <w:p w14:paraId="53F84411" w14:textId="4836C995" w:rsidR="008B6F07" w:rsidRPr="00F15984" w:rsidRDefault="00F15984" w:rsidP="00AD49E5">
            <w:pPr>
              <w:spacing w:line="480" w:lineRule="auto"/>
              <w:ind w:left="-142"/>
              <w:jc w:val="both"/>
              <w:rPr>
                <w:rFonts w:ascii="Arial" w:hAnsi="Arial" w:cs="Arial"/>
                <w:b/>
              </w:rPr>
            </w:pPr>
            <w:r>
              <w:rPr>
                <w:rFonts w:ascii="Arial" w:eastAsia="Times New Roman" w:hAnsi="Arial" w:cs="Arial"/>
                <w:b/>
                <w:bCs/>
              </w:rPr>
              <w:t xml:space="preserve"> </w:t>
            </w:r>
            <w:r w:rsidR="008B6F07" w:rsidRPr="00F15984">
              <w:rPr>
                <w:rFonts w:ascii="Arial" w:eastAsia="Times New Roman" w:hAnsi="Arial" w:cs="Arial"/>
                <w:b/>
                <w:bCs/>
              </w:rPr>
              <w:t>Control Group (n=20)</w:t>
            </w:r>
          </w:p>
        </w:tc>
      </w:tr>
      <w:tr w:rsidR="008B6F07" w:rsidRPr="00F15984" w14:paraId="2B403161" w14:textId="77777777" w:rsidTr="00F15984">
        <w:trPr>
          <w:trHeight w:val="562"/>
        </w:trPr>
        <w:tc>
          <w:tcPr>
            <w:tcW w:w="4258" w:type="dxa"/>
            <w:tcBorders>
              <w:top w:val="single" w:sz="4" w:space="0" w:color="auto"/>
            </w:tcBorders>
          </w:tcPr>
          <w:p w14:paraId="2FEA5A99" w14:textId="1F6E174D" w:rsidR="008B6F07" w:rsidRPr="00F15984" w:rsidRDefault="00F15984" w:rsidP="00AD49E5">
            <w:pPr>
              <w:spacing w:line="480" w:lineRule="auto"/>
              <w:ind w:left="-142"/>
              <w:jc w:val="both"/>
              <w:rPr>
                <w:rFonts w:ascii="Arial" w:hAnsi="Arial" w:cs="Arial"/>
                <w:b/>
              </w:rPr>
            </w:pPr>
            <w:r>
              <w:rPr>
                <w:rFonts w:ascii="Arial" w:eastAsia="Times New Roman" w:hAnsi="Arial" w:cs="Arial"/>
              </w:rPr>
              <w:t xml:space="preserve"> </w:t>
            </w:r>
            <w:r w:rsidR="008B6F07" w:rsidRPr="00F15984">
              <w:rPr>
                <w:rFonts w:ascii="Arial" w:eastAsia="Times New Roman" w:hAnsi="Arial" w:cs="Arial"/>
              </w:rPr>
              <w:t>Male n (%)</w:t>
            </w:r>
          </w:p>
        </w:tc>
        <w:tc>
          <w:tcPr>
            <w:tcW w:w="2410" w:type="dxa"/>
            <w:tcBorders>
              <w:top w:val="single" w:sz="4" w:space="0" w:color="auto"/>
            </w:tcBorders>
          </w:tcPr>
          <w:p w14:paraId="4CA25EE5" w14:textId="37712B0D" w:rsidR="008B6F07" w:rsidRPr="00F15984" w:rsidRDefault="00F15984" w:rsidP="00AD49E5">
            <w:pPr>
              <w:spacing w:line="480" w:lineRule="auto"/>
              <w:ind w:left="-142"/>
              <w:jc w:val="both"/>
              <w:rPr>
                <w:rFonts w:ascii="Arial" w:hAnsi="Arial" w:cs="Arial"/>
              </w:rPr>
            </w:pPr>
            <w:r>
              <w:rPr>
                <w:rFonts w:ascii="Arial" w:hAnsi="Arial" w:cs="Arial"/>
              </w:rPr>
              <w:t xml:space="preserve"> </w:t>
            </w:r>
            <w:r w:rsidR="008B6F07" w:rsidRPr="00F15984">
              <w:rPr>
                <w:rFonts w:ascii="Arial" w:hAnsi="Arial" w:cs="Arial"/>
              </w:rPr>
              <w:t>21(52.5%)</w:t>
            </w:r>
          </w:p>
        </w:tc>
        <w:tc>
          <w:tcPr>
            <w:tcW w:w="3204" w:type="dxa"/>
            <w:tcBorders>
              <w:top w:val="single" w:sz="4" w:space="0" w:color="auto"/>
            </w:tcBorders>
          </w:tcPr>
          <w:p w14:paraId="0C1F63B1" w14:textId="51B3972F" w:rsidR="008B6F07" w:rsidRPr="00F15984" w:rsidRDefault="00F15984" w:rsidP="00AD49E5">
            <w:pPr>
              <w:spacing w:line="480" w:lineRule="auto"/>
              <w:ind w:left="-142"/>
              <w:jc w:val="both"/>
              <w:rPr>
                <w:rFonts w:ascii="Arial" w:hAnsi="Arial" w:cs="Arial"/>
              </w:rPr>
            </w:pPr>
            <w:r>
              <w:rPr>
                <w:rFonts w:ascii="Arial" w:hAnsi="Arial" w:cs="Arial"/>
              </w:rPr>
              <w:t xml:space="preserve">   </w:t>
            </w:r>
            <w:r w:rsidR="008B6F07" w:rsidRPr="00F15984">
              <w:rPr>
                <w:rFonts w:ascii="Arial" w:hAnsi="Arial" w:cs="Arial"/>
              </w:rPr>
              <w:t>10 (50%)</w:t>
            </w:r>
          </w:p>
        </w:tc>
      </w:tr>
      <w:tr w:rsidR="008B6F07" w:rsidRPr="00F15984" w14:paraId="1CC2ED1E" w14:textId="77777777" w:rsidTr="00F15984">
        <w:trPr>
          <w:trHeight w:val="442"/>
        </w:trPr>
        <w:tc>
          <w:tcPr>
            <w:tcW w:w="4258" w:type="dxa"/>
            <w:tcBorders>
              <w:bottom w:val="single" w:sz="4" w:space="0" w:color="auto"/>
            </w:tcBorders>
          </w:tcPr>
          <w:p w14:paraId="58B312EE" w14:textId="5D80B093" w:rsidR="008B6F07" w:rsidRPr="00F15984" w:rsidRDefault="00F15984" w:rsidP="00AD49E5">
            <w:pPr>
              <w:spacing w:line="480" w:lineRule="auto"/>
              <w:ind w:left="-142"/>
              <w:jc w:val="both"/>
              <w:rPr>
                <w:rFonts w:ascii="Arial" w:hAnsi="Arial" w:cs="Arial"/>
                <w:b/>
              </w:rPr>
            </w:pPr>
            <w:r>
              <w:rPr>
                <w:rFonts w:ascii="Arial" w:eastAsia="Times New Roman" w:hAnsi="Arial" w:cs="Arial"/>
              </w:rPr>
              <w:t xml:space="preserve"> </w:t>
            </w:r>
            <w:r w:rsidR="008B6F07" w:rsidRPr="00F15984">
              <w:rPr>
                <w:rFonts w:ascii="Arial" w:eastAsia="Times New Roman" w:hAnsi="Arial" w:cs="Arial"/>
              </w:rPr>
              <w:t>Female n (%)</w:t>
            </w:r>
          </w:p>
        </w:tc>
        <w:tc>
          <w:tcPr>
            <w:tcW w:w="2410" w:type="dxa"/>
            <w:tcBorders>
              <w:bottom w:val="single" w:sz="4" w:space="0" w:color="auto"/>
            </w:tcBorders>
          </w:tcPr>
          <w:p w14:paraId="68EA133E" w14:textId="77777777" w:rsidR="008B6F07" w:rsidRPr="00F15984" w:rsidRDefault="008B6F07" w:rsidP="00AD49E5">
            <w:pPr>
              <w:spacing w:line="480" w:lineRule="auto"/>
              <w:ind w:left="-142"/>
              <w:jc w:val="both"/>
              <w:rPr>
                <w:rFonts w:ascii="Arial" w:hAnsi="Arial" w:cs="Arial"/>
              </w:rPr>
            </w:pPr>
            <w:r w:rsidRPr="00F15984">
              <w:rPr>
                <w:rFonts w:ascii="Arial" w:hAnsi="Arial" w:cs="Arial"/>
              </w:rPr>
              <w:t>19 (47.5%)</w:t>
            </w:r>
          </w:p>
        </w:tc>
        <w:tc>
          <w:tcPr>
            <w:tcW w:w="3204" w:type="dxa"/>
            <w:tcBorders>
              <w:bottom w:val="single" w:sz="4" w:space="0" w:color="auto"/>
            </w:tcBorders>
          </w:tcPr>
          <w:p w14:paraId="76F1291B" w14:textId="342D877D" w:rsidR="008B6F07" w:rsidRPr="00F15984" w:rsidRDefault="00F15984" w:rsidP="00AD49E5">
            <w:pPr>
              <w:spacing w:line="480" w:lineRule="auto"/>
              <w:ind w:left="-142"/>
              <w:jc w:val="both"/>
              <w:rPr>
                <w:rFonts w:ascii="Arial" w:hAnsi="Arial" w:cs="Arial"/>
              </w:rPr>
            </w:pPr>
            <w:r>
              <w:rPr>
                <w:rFonts w:ascii="Arial" w:hAnsi="Arial" w:cs="Arial"/>
              </w:rPr>
              <w:t xml:space="preserve">   </w:t>
            </w:r>
            <w:r w:rsidR="008B6F07" w:rsidRPr="00F15984">
              <w:rPr>
                <w:rFonts w:ascii="Arial" w:hAnsi="Arial" w:cs="Arial"/>
              </w:rPr>
              <w:t>10 (50%)</w:t>
            </w:r>
          </w:p>
        </w:tc>
      </w:tr>
      <w:tr w:rsidR="008B6F07" w:rsidRPr="00F15984" w14:paraId="50C55CC9" w14:textId="77777777" w:rsidTr="00C211AA">
        <w:trPr>
          <w:trHeight w:val="676"/>
        </w:trPr>
        <w:tc>
          <w:tcPr>
            <w:tcW w:w="9872" w:type="dxa"/>
            <w:gridSpan w:val="3"/>
            <w:tcBorders>
              <w:top w:val="single" w:sz="4" w:space="0" w:color="auto"/>
              <w:bottom w:val="single" w:sz="4" w:space="0" w:color="auto"/>
            </w:tcBorders>
          </w:tcPr>
          <w:p w14:paraId="7D0F588F" w14:textId="2D02DBCF" w:rsidR="008B6F07" w:rsidRPr="00F15984" w:rsidRDefault="00F15984" w:rsidP="00AD49E5">
            <w:pPr>
              <w:spacing w:line="480" w:lineRule="auto"/>
              <w:ind w:left="-142"/>
              <w:jc w:val="both"/>
              <w:rPr>
                <w:rFonts w:ascii="Arial" w:hAnsi="Arial" w:cs="Arial"/>
                <w:b/>
              </w:rPr>
            </w:pPr>
            <w:r>
              <w:rPr>
                <w:rFonts w:ascii="Arial" w:eastAsia="Times New Roman" w:hAnsi="Arial" w:cs="Arial"/>
                <w:b/>
              </w:rPr>
              <w:t xml:space="preserve"> </w:t>
            </w:r>
            <w:r w:rsidR="008B6F07" w:rsidRPr="00F15984">
              <w:rPr>
                <w:rFonts w:ascii="Arial" w:eastAsia="Times New Roman" w:hAnsi="Arial" w:cs="Arial"/>
                <w:b/>
              </w:rPr>
              <w:t>Comparison Based on Duration of Exposure</w:t>
            </w:r>
          </w:p>
        </w:tc>
      </w:tr>
      <w:tr w:rsidR="008B6F07" w:rsidRPr="00F15984" w14:paraId="4805DCD2" w14:textId="77777777" w:rsidTr="00F15984">
        <w:trPr>
          <w:trHeight w:val="442"/>
        </w:trPr>
        <w:tc>
          <w:tcPr>
            <w:tcW w:w="4258" w:type="dxa"/>
            <w:tcBorders>
              <w:top w:val="single" w:sz="4" w:space="0" w:color="auto"/>
            </w:tcBorders>
          </w:tcPr>
          <w:p w14:paraId="3E856828" w14:textId="61B756F5" w:rsidR="008B6F07" w:rsidRPr="00F15984" w:rsidRDefault="00F15984" w:rsidP="00AD49E5">
            <w:pPr>
              <w:spacing w:line="480" w:lineRule="auto"/>
              <w:ind w:left="-142"/>
              <w:jc w:val="both"/>
              <w:rPr>
                <w:rFonts w:ascii="Arial" w:eastAsia="Times New Roman" w:hAnsi="Arial" w:cs="Arial"/>
              </w:rPr>
            </w:pPr>
            <w:r>
              <w:rPr>
                <w:rFonts w:ascii="Arial" w:eastAsia="Times New Roman" w:hAnsi="Arial" w:cs="Arial"/>
              </w:rPr>
              <w:t xml:space="preserve"> </w:t>
            </w:r>
            <w:r w:rsidR="008B6F07" w:rsidRPr="00F15984">
              <w:rPr>
                <w:rFonts w:ascii="Arial" w:eastAsia="Times New Roman" w:hAnsi="Arial" w:cs="Arial"/>
              </w:rPr>
              <w:t>Non-exposed</w:t>
            </w:r>
            <w:r>
              <w:rPr>
                <w:rFonts w:ascii="Arial" w:eastAsia="Times New Roman" w:hAnsi="Arial" w:cs="Arial"/>
              </w:rPr>
              <w:t xml:space="preserve"> </w:t>
            </w:r>
          </w:p>
        </w:tc>
        <w:tc>
          <w:tcPr>
            <w:tcW w:w="2410" w:type="dxa"/>
            <w:tcBorders>
              <w:top w:val="single" w:sz="4" w:space="0" w:color="auto"/>
            </w:tcBorders>
          </w:tcPr>
          <w:p w14:paraId="1EF997E8" w14:textId="17A12F3D" w:rsidR="008B6F07" w:rsidRPr="00F15984" w:rsidRDefault="00F15984" w:rsidP="00AD49E5">
            <w:pPr>
              <w:spacing w:line="480" w:lineRule="auto"/>
              <w:ind w:left="-142"/>
              <w:jc w:val="both"/>
              <w:rPr>
                <w:rFonts w:ascii="Arial" w:hAnsi="Arial" w:cs="Arial"/>
              </w:rPr>
            </w:pPr>
            <w:r>
              <w:rPr>
                <w:rFonts w:ascii="Arial" w:hAnsi="Arial" w:cs="Arial"/>
              </w:rPr>
              <w:t xml:space="preserve"> </w:t>
            </w:r>
            <w:r w:rsidR="008B6F07" w:rsidRPr="00F15984">
              <w:rPr>
                <w:rFonts w:ascii="Arial" w:hAnsi="Arial" w:cs="Arial"/>
              </w:rPr>
              <w:t>20(33.3%)</w:t>
            </w:r>
          </w:p>
        </w:tc>
        <w:tc>
          <w:tcPr>
            <w:tcW w:w="3204" w:type="dxa"/>
            <w:tcBorders>
              <w:top w:val="single" w:sz="4" w:space="0" w:color="auto"/>
            </w:tcBorders>
          </w:tcPr>
          <w:p w14:paraId="68455CCC" w14:textId="77777777" w:rsidR="008B6F07" w:rsidRPr="00F15984" w:rsidRDefault="008B6F07" w:rsidP="00AD49E5">
            <w:pPr>
              <w:spacing w:line="480" w:lineRule="auto"/>
              <w:ind w:left="-142"/>
              <w:jc w:val="both"/>
              <w:rPr>
                <w:rFonts w:ascii="Arial" w:hAnsi="Arial" w:cs="Arial"/>
              </w:rPr>
            </w:pPr>
          </w:p>
        </w:tc>
      </w:tr>
      <w:tr w:rsidR="008B6F07" w:rsidRPr="00F15984" w14:paraId="35B31012" w14:textId="77777777" w:rsidTr="00F15984">
        <w:trPr>
          <w:trHeight w:val="442"/>
        </w:trPr>
        <w:tc>
          <w:tcPr>
            <w:tcW w:w="4258" w:type="dxa"/>
          </w:tcPr>
          <w:p w14:paraId="23F52E8C" w14:textId="77777777" w:rsidR="008B6F07" w:rsidRPr="00F15984" w:rsidRDefault="008B6F07" w:rsidP="00AD49E5">
            <w:pPr>
              <w:spacing w:line="480" w:lineRule="auto"/>
              <w:ind w:left="-142"/>
              <w:jc w:val="both"/>
              <w:rPr>
                <w:rFonts w:ascii="Arial" w:eastAsia="Times New Roman" w:hAnsi="Arial" w:cs="Arial"/>
              </w:rPr>
            </w:pPr>
            <w:r w:rsidRPr="00F15984">
              <w:rPr>
                <w:rFonts w:ascii="Arial" w:eastAsia="Times New Roman" w:hAnsi="Arial" w:cs="Arial"/>
              </w:rPr>
              <w:t>1 – 2 years</w:t>
            </w:r>
          </w:p>
        </w:tc>
        <w:tc>
          <w:tcPr>
            <w:tcW w:w="2410" w:type="dxa"/>
          </w:tcPr>
          <w:p w14:paraId="10076490" w14:textId="1D9DF042" w:rsidR="008B6F07" w:rsidRPr="00F15984" w:rsidRDefault="00F15984" w:rsidP="00AD49E5">
            <w:pPr>
              <w:spacing w:line="480" w:lineRule="auto"/>
              <w:ind w:left="-142"/>
              <w:jc w:val="both"/>
              <w:rPr>
                <w:rFonts w:ascii="Arial" w:hAnsi="Arial" w:cs="Arial"/>
              </w:rPr>
            </w:pPr>
            <w:r>
              <w:rPr>
                <w:rFonts w:ascii="Arial" w:hAnsi="Arial" w:cs="Arial"/>
              </w:rPr>
              <w:t xml:space="preserve"> </w:t>
            </w:r>
            <w:r w:rsidR="008B6F07" w:rsidRPr="00F15984">
              <w:rPr>
                <w:rFonts w:ascii="Arial" w:hAnsi="Arial" w:cs="Arial"/>
              </w:rPr>
              <w:t>25(41.7%)</w:t>
            </w:r>
          </w:p>
        </w:tc>
        <w:tc>
          <w:tcPr>
            <w:tcW w:w="3204" w:type="dxa"/>
          </w:tcPr>
          <w:p w14:paraId="06A9A888" w14:textId="77777777" w:rsidR="008B6F07" w:rsidRPr="00F15984" w:rsidRDefault="008B6F07" w:rsidP="00AD49E5">
            <w:pPr>
              <w:spacing w:line="480" w:lineRule="auto"/>
              <w:ind w:left="-142"/>
              <w:jc w:val="both"/>
              <w:rPr>
                <w:rFonts w:ascii="Arial" w:hAnsi="Arial" w:cs="Arial"/>
                <w:b/>
              </w:rPr>
            </w:pPr>
          </w:p>
        </w:tc>
      </w:tr>
      <w:tr w:rsidR="008B6F07" w:rsidRPr="00F15984" w14:paraId="57FDF51B" w14:textId="77777777" w:rsidTr="00F15984">
        <w:trPr>
          <w:trHeight w:val="442"/>
        </w:trPr>
        <w:tc>
          <w:tcPr>
            <w:tcW w:w="4258" w:type="dxa"/>
          </w:tcPr>
          <w:p w14:paraId="317C51E4" w14:textId="518FEF23" w:rsidR="008B6F07" w:rsidRPr="00F15984" w:rsidRDefault="00F15984" w:rsidP="00AD49E5">
            <w:pPr>
              <w:spacing w:line="480" w:lineRule="auto"/>
              <w:ind w:left="-142"/>
              <w:jc w:val="both"/>
              <w:rPr>
                <w:rFonts w:ascii="Arial" w:eastAsia="Times New Roman" w:hAnsi="Arial" w:cs="Arial"/>
              </w:rPr>
            </w:pPr>
            <w:r>
              <w:rPr>
                <w:rFonts w:ascii="Arial" w:eastAsia="Times New Roman" w:hAnsi="Arial" w:cs="Arial"/>
              </w:rPr>
              <w:t xml:space="preserve"> </w:t>
            </w:r>
            <w:r w:rsidR="008B6F07" w:rsidRPr="00F15984">
              <w:rPr>
                <w:rFonts w:ascii="Arial" w:eastAsia="Times New Roman" w:hAnsi="Arial" w:cs="Arial"/>
              </w:rPr>
              <w:t>3 – 5 years</w:t>
            </w:r>
          </w:p>
        </w:tc>
        <w:tc>
          <w:tcPr>
            <w:tcW w:w="2410" w:type="dxa"/>
          </w:tcPr>
          <w:p w14:paraId="095E5905" w14:textId="4F16D730" w:rsidR="008B6F07" w:rsidRPr="00F15984" w:rsidRDefault="00F15984" w:rsidP="00AD49E5">
            <w:pPr>
              <w:spacing w:line="480" w:lineRule="auto"/>
              <w:ind w:left="-142"/>
              <w:jc w:val="both"/>
              <w:rPr>
                <w:rFonts w:ascii="Arial" w:hAnsi="Arial" w:cs="Arial"/>
              </w:rPr>
            </w:pPr>
            <w:r>
              <w:rPr>
                <w:rFonts w:ascii="Arial" w:hAnsi="Arial" w:cs="Arial"/>
              </w:rPr>
              <w:t xml:space="preserve"> </w:t>
            </w:r>
            <w:r w:rsidR="008B6F07" w:rsidRPr="00F15984">
              <w:rPr>
                <w:rFonts w:ascii="Arial" w:hAnsi="Arial" w:cs="Arial"/>
              </w:rPr>
              <w:t>8(13.3%)</w:t>
            </w:r>
          </w:p>
        </w:tc>
        <w:tc>
          <w:tcPr>
            <w:tcW w:w="3204" w:type="dxa"/>
          </w:tcPr>
          <w:p w14:paraId="0389C958" w14:textId="77777777" w:rsidR="008B6F07" w:rsidRPr="00F15984" w:rsidRDefault="008B6F07" w:rsidP="00AD49E5">
            <w:pPr>
              <w:spacing w:line="480" w:lineRule="auto"/>
              <w:ind w:left="-142"/>
              <w:jc w:val="both"/>
              <w:rPr>
                <w:rFonts w:ascii="Arial" w:hAnsi="Arial" w:cs="Arial"/>
                <w:b/>
              </w:rPr>
            </w:pPr>
          </w:p>
        </w:tc>
      </w:tr>
      <w:tr w:rsidR="008B6F07" w:rsidRPr="00F15984" w14:paraId="76931F20" w14:textId="77777777" w:rsidTr="00F15984">
        <w:trPr>
          <w:trHeight w:val="182"/>
        </w:trPr>
        <w:tc>
          <w:tcPr>
            <w:tcW w:w="4258" w:type="dxa"/>
            <w:tcBorders>
              <w:bottom w:val="single" w:sz="4" w:space="0" w:color="auto"/>
            </w:tcBorders>
          </w:tcPr>
          <w:p w14:paraId="44B0F93B" w14:textId="19D5EE67" w:rsidR="008B6F07" w:rsidRPr="00F15984" w:rsidRDefault="00F15984" w:rsidP="00AD49E5">
            <w:pPr>
              <w:spacing w:line="480" w:lineRule="auto"/>
              <w:ind w:left="-142"/>
              <w:jc w:val="both"/>
              <w:rPr>
                <w:rFonts w:ascii="Arial" w:eastAsia="Times New Roman" w:hAnsi="Arial" w:cs="Arial"/>
              </w:rPr>
            </w:pPr>
            <w:r>
              <w:rPr>
                <w:rFonts w:ascii="Arial" w:eastAsia="Times New Roman" w:hAnsi="Arial" w:cs="Arial"/>
              </w:rPr>
              <w:t xml:space="preserve"> </w:t>
            </w:r>
            <w:r w:rsidR="008B6F07" w:rsidRPr="00F15984">
              <w:rPr>
                <w:rFonts w:ascii="Arial" w:eastAsia="Times New Roman" w:hAnsi="Arial" w:cs="Arial"/>
              </w:rPr>
              <w:t xml:space="preserve">Above 5 years </w:t>
            </w:r>
          </w:p>
        </w:tc>
        <w:tc>
          <w:tcPr>
            <w:tcW w:w="2410" w:type="dxa"/>
            <w:tcBorders>
              <w:bottom w:val="single" w:sz="4" w:space="0" w:color="auto"/>
            </w:tcBorders>
          </w:tcPr>
          <w:p w14:paraId="54561FE7" w14:textId="3A4A23A8" w:rsidR="008B6F07" w:rsidRPr="00F15984" w:rsidRDefault="00F15984" w:rsidP="00AD49E5">
            <w:pPr>
              <w:spacing w:line="480" w:lineRule="auto"/>
              <w:ind w:left="-142"/>
              <w:jc w:val="both"/>
              <w:rPr>
                <w:rFonts w:ascii="Arial" w:hAnsi="Arial" w:cs="Arial"/>
              </w:rPr>
            </w:pPr>
            <w:r>
              <w:rPr>
                <w:rFonts w:ascii="Arial" w:hAnsi="Arial" w:cs="Arial"/>
              </w:rPr>
              <w:t xml:space="preserve"> </w:t>
            </w:r>
            <w:r w:rsidR="008B6F07" w:rsidRPr="00F15984">
              <w:rPr>
                <w:rFonts w:ascii="Arial" w:hAnsi="Arial" w:cs="Arial"/>
              </w:rPr>
              <w:t>7(11.7%)</w:t>
            </w:r>
          </w:p>
        </w:tc>
        <w:tc>
          <w:tcPr>
            <w:tcW w:w="3204" w:type="dxa"/>
            <w:tcBorders>
              <w:bottom w:val="single" w:sz="4" w:space="0" w:color="auto"/>
            </w:tcBorders>
          </w:tcPr>
          <w:p w14:paraId="0712C819" w14:textId="77777777" w:rsidR="008B6F07" w:rsidRPr="00F15984" w:rsidRDefault="008B6F07" w:rsidP="00AD49E5">
            <w:pPr>
              <w:spacing w:line="480" w:lineRule="auto"/>
              <w:ind w:left="-142"/>
              <w:jc w:val="both"/>
              <w:rPr>
                <w:rFonts w:ascii="Arial" w:hAnsi="Arial" w:cs="Arial"/>
                <w:b/>
              </w:rPr>
            </w:pPr>
          </w:p>
        </w:tc>
      </w:tr>
      <w:tr w:rsidR="008B6F07" w:rsidRPr="00F15984" w14:paraId="6C68358E" w14:textId="77777777" w:rsidTr="00C211AA">
        <w:trPr>
          <w:trHeight w:val="612"/>
        </w:trPr>
        <w:tc>
          <w:tcPr>
            <w:tcW w:w="9872" w:type="dxa"/>
            <w:gridSpan w:val="3"/>
            <w:tcBorders>
              <w:top w:val="single" w:sz="4" w:space="0" w:color="auto"/>
              <w:bottom w:val="single" w:sz="4" w:space="0" w:color="auto"/>
            </w:tcBorders>
          </w:tcPr>
          <w:p w14:paraId="051E09BC" w14:textId="3F27B358" w:rsidR="008B6F07" w:rsidRPr="00F15984" w:rsidRDefault="00F15984" w:rsidP="00AD49E5">
            <w:pPr>
              <w:spacing w:line="480" w:lineRule="auto"/>
              <w:ind w:left="-142"/>
              <w:jc w:val="both"/>
              <w:rPr>
                <w:rFonts w:ascii="Arial" w:hAnsi="Arial" w:cs="Arial"/>
                <w:b/>
              </w:rPr>
            </w:pPr>
            <w:r>
              <w:rPr>
                <w:rFonts w:ascii="Arial" w:eastAsia="Times New Roman" w:hAnsi="Arial" w:cs="Arial"/>
                <w:b/>
              </w:rPr>
              <w:t xml:space="preserve"> </w:t>
            </w:r>
            <w:r w:rsidR="008B6F07" w:rsidRPr="00F15984">
              <w:rPr>
                <w:rFonts w:ascii="Arial" w:eastAsia="Times New Roman" w:hAnsi="Arial" w:cs="Arial"/>
                <w:b/>
              </w:rPr>
              <w:t>Comparison Based on Age of Exposed Participants</w:t>
            </w:r>
          </w:p>
        </w:tc>
      </w:tr>
      <w:tr w:rsidR="008B6F07" w:rsidRPr="00F15984" w14:paraId="3D3224A7" w14:textId="77777777" w:rsidTr="00F15984">
        <w:trPr>
          <w:trHeight w:val="419"/>
        </w:trPr>
        <w:tc>
          <w:tcPr>
            <w:tcW w:w="4258" w:type="dxa"/>
            <w:tcBorders>
              <w:top w:val="single" w:sz="4" w:space="0" w:color="auto"/>
            </w:tcBorders>
          </w:tcPr>
          <w:p w14:paraId="74DB74A1" w14:textId="71180D35" w:rsidR="008B6F07" w:rsidRPr="00F15984" w:rsidRDefault="00F15984" w:rsidP="00AD49E5">
            <w:pPr>
              <w:spacing w:line="480" w:lineRule="auto"/>
              <w:ind w:left="-142"/>
              <w:jc w:val="both"/>
              <w:rPr>
                <w:rFonts w:ascii="Arial" w:hAnsi="Arial" w:cs="Arial"/>
              </w:rPr>
            </w:pPr>
            <w:r>
              <w:rPr>
                <w:rFonts w:ascii="Arial" w:hAnsi="Arial" w:cs="Arial"/>
              </w:rPr>
              <w:t xml:space="preserve"> </w:t>
            </w:r>
            <w:r w:rsidR="008B6F07" w:rsidRPr="00F15984">
              <w:rPr>
                <w:rFonts w:ascii="Arial" w:hAnsi="Arial" w:cs="Arial"/>
              </w:rPr>
              <w:t>18 - 25 years</w:t>
            </w:r>
          </w:p>
        </w:tc>
        <w:tc>
          <w:tcPr>
            <w:tcW w:w="2410" w:type="dxa"/>
            <w:tcBorders>
              <w:top w:val="single" w:sz="4" w:space="0" w:color="auto"/>
            </w:tcBorders>
          </w:tcPr>
          <w:p w14:paraId="221641FF" w14:textId="77777777" w:rsidR="008B6F07" w:rsidRPr="00F15984" w:rsidRDefault="008B6F07" w:rsidP="00AD49E5">
            <w:pPr>
              <w:spacing w:line="480" w:lineRule="auto"/>
              <w:ind w:left="-142"/>
              <w:jc w:val="both"/>
              <w:rPr>
                <w:rFonts w:ascii="Arial" w:hAnsi="Arial" w:cs="Arial"/>
              </w:rPr>
            </w:pPr>
            <w:r w:rsidRPr="00F15984">
              <w:rPr>
                <w:rFonts w:ascii="Arial" w:hAnsi="Arial" w:cs="Arial"/>
              </w:rPr>
              <w:t>12 (30%)</w:t>
            </w:r>
          </w:p>
        </w:tc>
        <w:tc>
          <w:tcPr>
            <w:tcW w:w="3204" w:type="dxa"/>
            <w:tcBorders>
              <w:top w:val="single" w:sz="4" w:space="0" w:color="auto"/>
            </w:tcBorders>
          </w:tcPr>
          <w:p w14:paraId="4AEE90B4" w14:textId="77777777" w:rsidR="008B6F07" w:rsidRPr="00F15984" w:rsidRDefault="008B6F07" w:rsidP="00AD49E5">
            <w:pPr>
              <w:spacing w:line="480" w:lineRule="auto"/>
              <w:ind w:left="-142"/>
              <w:jc w:val="both"/>
              <w:rPr>
                <w:rFonts w:ascii="Arial" w:hAnsi="Arial" w:cs="Arial"/>
              </w:rPr>
            </w:pPr>
          </w:p>
        </w:tc>
      </w:tr>
      <w:tr w:rsidR="008B6F07" w:rsidRPr="00F15984" w14:paraId="4D3FCAE0" w14:textId="77777777" w:rsidTr="00F15984">
        <w:trPr>
          <w:trHeight w:val="419"/>
        </w:trPr>
        <w:tc>
          <w:tcPr>
            <w:tcW w:w="4258" w:type="dxa"/>
          </w:tcPr>
          <w:p w14:paraId="47B4FDA6" w14:textId="42BFAD14" w:rsidR="008B6F07" w:rsidRPr="00F15984" w:rsidRDefault="00F15984" w:rsidP="00AD49E5">
            <w:pPr>
              <w:spacing w:line="480" w:lineRule="auto"/>
              <w:ind w:left="-142"/>
              <w:jc w:val="both"/>
              <w:rPr>
                <w:rFonts w:ascii="Arial" w:hAnsi="Arial" w:cs="Arial"/>
              </w:rPr>
            </w:pPr>
            <w:r>
              <w:rPr>
                <w:rFonts w:ascii="Arial" w:hAnsi="Arial" w:cs="Arial"/>
              </w:rPr>
              <w:t xml:space="preserve"> </w:t>
            </w:r>
            <w:r w:rsidR="008B6F07" w:rsidRPr="00F15984">
              <w:rPr>
                <w:rFonts w:ascii="Arial" w:hAnsi="Arial" w:cs="Arial"/>
              </w:rPr>
              <w:t>26 - 35 years</w:t>
            </w:r>
          </w:p>
        </w:tc>
        <w:tc>
          <w:tcPr>
            <w:tcW w:w="2410" w:type="dxa"/>
          </w:tcPr>
          <w:p w14:paraId="0573A120" w14:textId="77777777" w:rsidR="008B6F07" w:rsidRPr="00F15984" w:rsidRDefault="008B6F07" w:rsidP="00AD49E5">
            <w:pPr>
              <w:spacing w:line="480" w:lineRule="auto"/>
              <w:ind w:left="-142"/>
              <w:jc w:val="both"/>
              <w:rPr>
                <w:rFonts w:ascii="Arial" w:hAnsi="Arial" w:cs="Arial"/>
              </w:rPr>
            </w:pPr>
            <w:r w:rsidRPr="00F15984">
              <w:rPr>
                <w:rFonts w:ascii="Arial" w:hAnsi="Arial" w:cs="Arial"/>
              </w:rPr>
              <w:t>16 (40.0%)</w:t>
            </w:r>
          </w:p>
        </w:tc>
        <w:tc>
          <w:tcPr>
            <w:tcW w:w="3204" w:type="dxa"/>
          </w:tcPr>
          <w:p w14:paraId="3FF8F79B" w14:textId="77777777" w:rsidR="008B6F07" w:rsidRPr="00F15984" w:rsidRDefault="008B6F07" w:rsidP="00AD49E5">
            <w:pPr>
              <w:spacing w:line="480" w:lineRule="auto"/>
              <w:ind w:left="-142"/>
              <w:jc w:val="both"/>
              <w:rPr>
                <w:rFonts w:ascii="Arial" w:hAnsi="Arial" w:cs="Arial"/>
              </w:rPr>
            </w:pPr>
          </w:p>
        </w:tc>
      </w:tr>
      <w:tr w:rsidR="008B6F07" w:rsidRPr="00F15984" w14:paraId="6BB4C2B0" w14:textId="77777777" w:rsidTr="00F15984">
        <w:trPr>
          <w:trHeight w:val="419"/>
        </w:trPr>
        <w:tc>
          <w:tcPr>
            <w:tcW w:w="4258" w:type="dxa"/>
            <w:tcBorders>
              <w:bottom w:val="single" w:sz="4" w:space="0" w:color="auto"/>
            </w:tcBorders>
          </w:tcPr>
          <w:p w14:paraId="2356DDDA" w14:textId="4E5FB7CC" w:rsidR="008B6F07" w:rsidRPr="00F15984" w:rsidRDefault="00F15984" w:rsidP="00AD49E5">
            <w:pPr>
              <w:spacing w:line="480" w:lineRule="auto"/>
              <w:ind w:left="-142"/>
              <w:jc w:val="both"/>
              <w:rPr>
                <w:rFonts w:ascii="Arial" w:hAnsi="Arial" w:cs="Arial"/>
              </w:rPr>
            </w:pPr>
            <w:r>
              <w:rPr>
                <w:rFonts w:ascii="Arial" w:hAnsi="Arial" w:cs="Arial"/>
              </w:rPr>
              <w:t xml:space="preserve"> </w:t>
            </w:r>
            <w:r w:rsidR="008B6F07" w:rsidRPr="00F15984">
              <w:rPr>
                <w:rFonts w:ascii="Arial" w:hAnsi="Arial" w:cs="Arial"/>
              </w:rPr>
              <w:t>36 - 45 years</w:t>
            </w:r>
          </w:p>
        </w:tc>
        <w:tc>
          <w:tcPr>
            <w:tcW w:w="2410" w:type="dxa"/>
            <w:tcBorders>
              <w:bottom w:val="single" w:sz="4" w:space="0" w:color="auto"/>
            </w:tcBorders>
          </w:tcPr>
          <w:p w14:paraId="5689ABF1" w14:textId="77777777" w:rsidR="008B6F07" w:rsidRPr="00F15984" w:rsidRDefault="008B6F07" w:rsidP="00AD49E5">
            <w:pPr>
              <w:spacing w:line="480" w:lineRule="auto"/>
              <w:ind w:left="-142"/>
              <w:jc w:val="both"/>
              <w:rPr>
                <w:rFonts w:ascii="Arial" w:hAnsi="Arial" w:cs="Arial"/>
              </w:rPr>
            </w:pPr>
            <w:r w:rsidRPr="00F15984">
              <w:rPr>
                <w:rFonts w:ascii="Arial" w:hAnsi="Arial" w:cs="Arial"/>
              </w:rPr>
              <w:t>12 (30%)</w:t>
            </w:r>
          </w:p>
        </w:tc>
        <w:tc>
          <w:tcPr>
            <w:tcW w:w="3204" w:type="dxa"/>
            <w:tcBorders>
              <w:bottom w:val="single" w:sz="4" w:space="0" w:color="auto"/>
            </w:tcBorders>
          </w:tcPr>
          <w:p w14:paraId="7A961BC8" w14:textId="77777777" w:rsidR="008B6F07" w:rsidRPr="00F15984" w:rsidRDefault="008B6F07" w:rsidP="00AD49E5">
            <w:pPr>
              <w:spacing w:line="480" w:lineRule="auto"/>
              <w:ind w:left="-142"/>
              <w:jc w:val="both"/>
              <w:rPr>
                <w:rFonts w:ascii="Arial" w:hAnsi="Arial" w:cs="Arial"/>
              </w:rPr>
            </w:pPr>
          </w:p>
        </w:tc>
      </w:tr>
      <w:tr w:rsidR="008B6F07" w:rsidRPr="00F15984" w14:paraId="0E8219F9" w14:textId="77777777" w:rsidTr="00C211AA">
        <w:trPr>
          <w:trHeight w:val="419"/>
        </w:trPr>
        <w:tc>
          <w:tcPr>
            <w:tcW w:w="9872" w:type="dxa"/>
            <w:gridSpan w:val="3"/>
            <w:tcBorders>
              <w:top w:val="single" w:sz="4" w:space="0" w:color="auto"/>
              <w:bottom w:val="single" w:sz="4" w:space="0" w:color="auto"/>
            </w:tcBorders>
          </w:tcPr>
          <w:p w14:paraId="109DBDAC" w14:textId="491AFDA7" w:rsidR="008B6F07" w:rsidRPr="00F15984" w:rsidRDefault="00F15984" w:rsidP="00AD49E5">
            <w:pPr>
              <w:spacing w:line="480" w:lineRule="auto"/>
              <w:ind w:left="-142"/>
              <w:jc w:val="both"/>
              <w:rPr>
                <w:rFonts w:ascii="Arial" w:hAnsi="Arial" w:cs="Arial"/>
              </w:rPr>
            </w:pPr>
            <w:r>
              <w:rPr>
                <w:rFonts w:ascii="Arial" w:hAnsi="Arial" w:cs="Arial"/>
                <w:b/>
              </w:rPr>
              <w:t xml:space="preserve"> </w:t>
            </w:r>
            <w:r w:rsidR="008B6F07" w:rsidRPr="00F15984">
              <w:rPr>
                <w:rFonts w:ascii="Arial" w:hAnsi="Arial" w:cs="Arial"/>
                <w:b/>
              </w:rPr>
              <w:t>Lifestyle Factors</w:t>
            </w:r>
          </w:p>
        </w:tc>
      </w:tr>
      <w:tr w:rsidR="008B6F07" w:rsidRPr="00F15984" w14:paraId="22FEDF42" w14:textId="77777777" w:rsidTr="00F15984">
        <w:trPr>
          <w:trHeight w:val="419"/>
        </w:trPr>
        <w:tc>
          <w:tcPr>
            <w:tcW w:w="4258" w:type="dxa"/>
            <w:tcBorders>
              <w:top w:val="single" w:sz="4" w:space="0" w:color="auto"/>
            </w:tcBorders>
          </w:tcPr>
          <w:p w14:paraId="302B188F" w14:textId="2B81C2C4" w:rsidR="008B6F07" w:rsidRPr="00F15984" w:rsidRDefault="00F15984" w:rsidP="00AD49E5">
            <w:pPr>
              <w:spacing w:line="480" w:lineRule="auto"/>
              <w:ind w:left="-142"/>
              <w:jc w:val="both"/>
              <w:rPr>
                <w:rFonts w:ascii="Arial" w:hAnsi="Arial" w:cs="Arial"/>
              </w:rPr>
            </w:pPr>
            <w:r>
              <w:rPr>
                <w:rFonts w:ascii="Arial" w:hAnsi="Arial" w:cs="Arial"/>
              </w:rPr>
              <w:t xml:space="preserve"> </w:t>
            </w:r>
            <w:r w:rsidR="008B6F07" w:rsidRPr="00F15984">
              <w:rPr>
                <w:rFonts w:ascii="Arial" w:hAnsi="Arial" w:cs="Arial"/>
              </w:rPr>
              <w:t>Smokers</w:t>
            </w:r>
          </w:p>
        </w:tc>
        <w:tc>
          <w:tcPr>
            <w:tcW w:w="2410" w:type="dxa"/>
            <w:tcBorders>
              <w:top w:val="single" w:sz="4" w:space="0" w:color="auto"/>
            </w:tcBorders>
          </w:tcPr>
          <w:p w14:paraId="0059FB26" w14:textId="77777777" w:rsidR="008B6F07" w:rsidRPr="00F15984" w:rsidRDefault="00192A61" w:rsidP="00AD49E5">
            <w:pPr>
              <w:spacing w:line="480" w:lineRule="auto"/>
              <w:ind w:left="-142"/>
              <w:jc w:val="both"/>
              <w:rPr>
                <w:rFonts w:ascii="Arial" w:hAnsi="Arial" w:cs="Arial"/>
              </w:rPr>
            </w:pPr>
            <w:r w:rsidRPr="00F15984">
              <w:rPr>
                <w:rFonts w:ascii="Arial" w:hAnsi="Arial" w:cs="Arial"/>
              </w:rPr>
              <w:t xml:space="preserve"> </w:t>
            </w:r>
            <w:r w:rsidR="008B6F07" w:rsidRPr="00F15984">
              <w:rPr>
                <w:rFonts w:ascii="Arial" w:hAnsi="Arial" w:cs="Arial"/>
              </w:rPr>
              <w:t>0</w:t>
            </w:r>
          </w:p>
        </w:tc>
        <w:tc>
          <w:tcPr>
            <w:tcW w:w="3204" w:type="dxa"/>
            <w:tcBorders>
              <w:top w:val="single" w:sz="4" w:space="0" w:color="auto"/>
            </w:tcBorders>
          </w:tcPr>
          <w:p w14:paraId="17048213" w14:textId="77777777" w:rsidR="008B6F07" w:rsidRPr="00F15984" w:rsidRDefault="008B6F07" w:rsidP="00AD49E5">
            <w:pPr>
              <w:spacing w:line="480" w:lineRule="auto"/>
              <w:ind w:left="-142"/>
              <w:jc w:val="both"/>
              <w:rPr>
                <w:rFonts w:ascii="Arial" w:hAnsi="Arial" w:cs="Arial"/>
              </w:rPr>
            </w:pPr>
            <w:r w:rsidRPr="00F15984">
              <w:rPr>
                <w:rFonts w:ascii="Arial" w:hAnsi="Arial" w:cs="Arial"/>
              </w:rPr>
              <w:t xml:space="preserve">         0</w:t>
            </w:r>
          </w:p>
        </w:tc>
      </w:tr>
      <w:tr w:rsidR="008B6F07" w:rsidRPr="00F15984" w14:paraId="555746BF" w14:textId="77777777" w:rsidTr="00F15984">
        <w:trPr>
          <w:trHeight w:val="419"/>
        </w:trPr>
        <w:tc>
          <w:tcPr>
            <w:tcW w:w="4258" w:type="dxa"/>
            <w:tcBorders>
              <w:bottom w:val="single" w:sz="4" w:space="0" w:color="auto"/>
            </w:tcBorders>
          </w:tcPr>
          <w:p w14:paraId="26C7AC58" w14:textId="2C199D8A" w:rsidR="008B6F07" w:rsidRPr="00F15984" w:rsidRDefault="00F15984" w:rsidP="00AD49E5">
            <w:pPr>
              <w:spacing w:line="480" w:lineRule="auto"/>
              <w:ind w:left="-142"/>
              <w:jc w:val="both"/>
              <w:rPr>
                <w:rFonts w:ascii="Arial" w:hAnsi="Arial" w:cs="Arial"/>
              </w:rPr>
            </w:pPr>
            <w:r>
              <w:rPr>
                <w:rFonts w:ascii="Arial" w:hAnsi="Arial" w:cs="Arial"/>
              </w:rPr>
              <w:t xml:space="preserve"> </w:t>
            </w:r>
            <w:r w:rsidR="005D074B" w:rsidRPr="00F15984">
              <w:rPr>
                <w:rFonts w:ascii="Arial" w:hAnsi="Arial" w:cs="Arial"/>
              </w:rPr>
              <w:t>Pregnant</w:t>
            </w:r>
          </w:p>
        </w:tc>
        <w:tc>
          <w:tcPr>
            <w:tcW w:w="2410" w:type="dxa"/>
            <w:tcBorders>
              <w:bottom w:val="single" w:sz="4" w:space="0" w:color="auto"/>
            </w:tcBorders>
          </w:tcPr>
          <w:p w14:paraId="552B6EF4" w14:textId="77777777" w:rsidR="008B6F07" w:rsidRPr="00F15984" w:rsidRDefault="00192A61" w:rsidP="00AD49E5">
            <w:pPr>
              <w:spacing w:line="480" w:lineRule="auto"/>
              <w:ind w:left="-142"/>
              <w:jc w:val="both"/>
              <w:rPr>
                <w:rFonts w:ascii="Arial" w:hAnsi="Arial" w:cs="Arial"/>
              </w:rPr>
            </w:pPr>
            <w:r w:rsidRPr="00F15984">
              <w:rPr>
                <w:rFonts w:ascii="Arial" w:hAnsi="Arial" w:cs="Arial"/>
              </w:rPr>
              <w:t xml:space="preserve"> </w:t>
            </w:r>
            <w:r w:rsidR="008B6F07" w:rsidRPr="00F15984">
              <w:rPr>
                <w:rFonts w:ascii="Arial" w:hAnsi="Arial" w:cs="Arial"/>
              </w:rPr>
              <w:t>0</w:t>
            </w:r>
          </w:p>
        </w:tc>
        <w:tc>
          <w:tcPr>
            <w:tcW w:w="3204" w:type="dxa"/>
            <w:tcBorders>
              <w:bottom w:val="single" w:sz="4" w:space="0" w:color="auto"/>
            </w:tcBorders>
          </w:tcPr>
          <w:p w14:paraId="7E4C6F50" w14:textId="77777777" w:rsidR="008B6F07" w:rsidRPr="00F15984" w:rsidRDefault="008B6F07" w:rsidP="00AD49E5">
            <w:pPr>
              <w:spacing w:line="480" w:lineRule="auto"/>
              <w:ind w:left="-142"/>
              <w:jc w:val="both"/>
              <w:rPr>
                <w:rFonts w:ascii="Arial" w:hAnsi="Arial" w:cs="Arial"/>
              </w:rPr>
            </w:pPr>
            <w:r w:rsidRPr="00F15984">
              <w:rPr>
                <w:rFonts w:ascii="Arial" w:hAnsi="Arial" w:cs="Arial"/>
              </w:rPr>
              <w:t xml:space="preserve">         0</w:t>
            </w:r>
          </w:p>
        </w:tc>
      </w:tr>
      <w:bookmarkEnd w:id="4"/>
    </w:tbl>
    <w:p w14:paraId="104202CD" w14:textId="77777777" w:rsidR="00607D3E" w:rsidRPr="00F15984" w:rsidRDefault="00607D3E" w:rsidP="00AD49E5">
      <w:pPr>
        <w:spacing w:line="480" w:lineRule="auto"/>
        <w:jc w:val="both"/>
        <w:rPr>
          <w:rFonts w:ascii="Arial" w:hAnsi="Arial" w:cs="Arial"/>
          <w:sz w:val="20"/>
          <w:szCs w:val="20"/>
        </w:rPr>
      </w:pPr>
    </w:p>
    <w:p w14:paraId="4F723E26" w14:textId="77777777" w:rsidR="00607D3E" w:rsidRPr="00F15984" w:rsidRDefault="00607D3E" w:rsidP="00A717C9">
      <w:pPr>
        <w:pStyle w:val="Body"/>
        <w:spacing w:after="0" w:line="480" w:lineRule="auto"/>
        <w:rPr>
          <w:rFonts w:ascii="Arial" w:hAnsi="Arial" w:cs="Arial"/>
          <w:b/>
        </w:rPr>
      </w:pPr>
      <w:bookmarkStart w:id="5" w:name="_Hlk172658895"/>
    </w:p>
    <w:p w14:paraId="6CC7232D" w14:textId="77777777" w:rsidR="00607D3E" w:rsidRPr="00F15984" w:rsidRDefault="0032549A" w:rsidP="00AD49E5">
      <w:pPr>
        <w:pStyle w:val="Body"/>
        <w:spacing w:after="0" w:line="480" w:lineRule="auto"/>
        <w:ind w:left="-142"/>
        <w:rPr>
          <w:rFonts w:ascii="Arial" w:hAnsi="Arial" w:cs="Arial"/>
          <w:b/>
        </w:rPr>
      </w:pPr>
      <w:r w:rsidRPr="00F15984">
        <w:rPr>
          <w:rFonts w:ascii="Arial" w:hAnsi="Arial" w:cs="Arial"/>
          <w:b/>
          <w:noProof/>
        </w:rPr>
        <w:lastRenderedPageBreak/>
        <w:drawing>
          <wp:inline distT="0" distB="0" distL="0" distR="0" wp14:anchorId="0908580E" wp14:editId="3AB153D8">
            <wp:extent cx="6210300" cy="39336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ca5d5fe-bc10-4a9c-84d1-459c6477772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30308" cy="3946280"/>
                    </a:xfrm>
                    <a:prstGeom prst="rect">
                      <a:avLst/>
                    </a:prstGeom>
                  </pic:spPr>
                </pic:pic>
              </a:graphicData>
            </a:graphic>
          </wp:inline>
        </w:drawing>
      </w:r>
    </w:p>
    <w:p w14:paraId="2E9D5A5A" w14:textId="404A85C2" w:rsidR="00A717C9" w:rsidRPr="00F15984" w:rsidRDefault="00A717C9" w:rsidP="00A717C9">
      <w:pPr>
        <w:spacing w:line="480" w:lineRule="auto"/>
        <w:ind w:left="-142"/>
        <w:jc w:val="both"/>
        <w:rPr>
          <w:rFonts w:ascii="Arial" w:hAnsi="Arial" w:cs="Arial"/>
          <w:b/>
          <w:sz w:val="20"/>
          <w:szCs w:val="20"/>
        </w:rPr>
      </w:pPr>
      <w:r w:rsidRPr="00F15984">
        <w:rPr>
          <w:rFonts w:ascii="Arial" w:hAnsi="Arial" w:cs="Arial"/>
          <w:b/>
          <w:sz w:val="20"/>
          <w:szCs w:val="20"/>
        </w:rPr>
        <w:t>Figure 1. Effects of Gasoline Exposure on C-reactive protein: Comparative Analysis across Different Exposure Durations.</w:t>
      </w:r>
    </w:p>
    <w:p w14:paraId="108A9AF3" w14:textId="77777777" w:rsidR="00A717C9" w:rsidRDefault="00A717C9" w:rsidP="00A717C9">
      <w:pPr>
        <w:pStyle w:val="Body"/>
        <w:spacing w:after="0" w:line="480" w:lineRule="auto"/>
        <w:rPr>
          <w:rFonts w:ascii="Times New Roman" w:hAnsi="Times New Roman"/>
          <w:b/>
          <w:sz w:val="24"/>
          <w:szCs w:val="24"/>
        </w:rPr>
      </w:pPr>
    </w:p>
    <w:p w14:paraId="306721E3" w14:textId="35C59C61" w:rsidR="00936102" w:rsidRPr="00936102" w:rsidRDefault="00936102" w:rsidP="00936102">
      <w:pPr>
        <w:spacing w:before="100" w:beforeAutospacing="1" w:after="100" w:afterAutospacing="1" w:line="480" w:lineRule="auto"/>
        <w:rPr>
          <w:rFonts w:ascii="Times New Roman" w:eastAsia="Times New Roman" w:hAnsi="Times New Roman" w:cs="Times New Roman"/>
          <w:b/>
          <w:sz w:val="24"/>
          <w:szCs w:val="24"/>
        </w:rPr>
      </w:pPr>
      <w:r w:rsidRPr="00936102">
        <w:rPr>
          <w:rFonts w:ascii="Times New Roman" w:hAnsi="Times New Roman" w:cs="Times New Roman"/>
          <w:b/>
          <w:sz w:val="24"/>
          <w:szCs w:val="24"/>
        </w:rPr>
        <w:t>Effects of Gasoline Exposure on Inflammatory Marker (C-reactive Protein)</w:t>
      </w:r>
      <w:r w:rsidR="00D86973">
        <w:rPr>
          <w:rFonts w:ascii="Times New Roman" w:hAnsi="Times New Roman" w:cs="Times New Roman"/>
          <w:b/>
          <w:sz w:val="24"/>
          <w:szCs w:val="24"/>
        </w:rPr>
        <w:t xml:space="preserve">: </w:t>
      </w:r>
      <w:r w:rsidRPr="00936102">
        <w:rPr>
          <w:rFonts w:ascii="Times New Roman" w:hAnsi="Times New Roman" w:cs="Times New Roman"/>
          <w:b/>
          <w:sz w:val="24"/>
          <w:szCs w:val="24"/>
        </w:rPr>
        <w:t>Comparative Analysis across Different Exposure Durations</w:t>
      </w:r>
    </w:p>
    <w:p w14:paraId="7F8BD17C" w14:textId="50B8D75C" w:rsidR="00936102" w:rsidRPr="00435FC7" w:rsidRDefault="00D86973" w:rsidP="00435FC7">
      <w:pPr>
        <w:spacing w:before="100" w:beforeAutospacing="1" w:after="100" w:afterAutospacing="1"/>
        <w:jc w:val="both"/>
        <w:rPr>
          <w:rFonts w:ascii="Arial" w:eastAsia="Times New Roman" w:hAnsi="Arial" w:cs="Arial"/>
          <w:sz w:val="20"/>
          <w:szCs w:val="20"/>
        </w:rPr>
      </w:pPr>
      <w:r w:rsidRPr="00435FC7">
        <w:rPr>
          <w:rFonts w:ascii="Arial" w:eastAsia="Times New Roman" w:hAnsi="Arial" w:cs="Arial"/>
          <w:sz w:val="20"/>
          <w:szCs w:val="20"/>
        </w:rPr>
        <w:t>The</w:t>
      </w:r>
      <w:r w:rsidR="00936102" w:rsidRPr="00435FC7">
        <w:rPr>
          <w:rFonts w:ascii="Arial" w:eastAsia="Times New Roman" w:hAnsi="Arial" w:cs="Arial"/>
          <w:sz w:val="20"/>
          <w:szCs w:val="20"/>
        </w:rPr>
        <w:t xml:space="preserve"> bar graph </w:t>
      </w:r>
      <w:r w:rsidRPr="00435FC7">
        <w:rPr>
          <w:rFonts w:ascii="Arial" w:eastAsia="Times New Roman" w:hAnsi="Arial" w:cs="Arial"/>
          <w:sz w:val="20"/>
          <w:szCs w:val="20"/>
        </w:rPr>
        <w:t>presents</w:t>
      </w:r>
      <w:r w:rsidR="00936102" w:rsidRPr="00435FC7">
        <w:rPr>
          <w:rFonts w:ascii="Arial" w:eastAsia="Times New Roman" w:hAnsi="Arial" w:cs="Arial"/>
          <w:sz w:val="20"/>
          <w:szCs w:val="20"/>
        </w:rPr>
        <w:t xml:space="preserve"> the mean levels of the inflammatory marker C-reactive protein (CRP) across different durations of gasoline exposure. The control group (unexposed individuals) recorded the lowest CRP level (1.25 ± 0.21 mg/L), while participants exposed for 1–2 years showed a similar CRP level (1.73 ± 0.77 mg/L), indicating minimal inflammatory response in both groups. However, a marked increase in CRP was observed among those with prolonged exposure: individuals exposed for 3–5 years and over 5 years had significantly elevated CRP levels (5.98 ± 2.29 mg/L and 5.37 ± 2.88 mg/L, respectively).</w:t>
      </w:r>
    </w:p>
    <w:p w14:paraId="31F081F3" w14:textId="0F363229" w:rsidR="0080333C" w:rsidRPr="00435FC7" w:rsidRDefault="00936102" w:rsidP="00435FC7">
      <w:pPr>
        <w:spacing w:before="100" w:beforeAutospacing="1" w:after="100" w:afterAutospacing="1"/>
        <w:jc w:val="both"/>
        <w:rPr>
          <w:rFonts w:ascii="Arial" w:eastAsia="Times New Roman" w:hAnsi="Arial" w:cs="Arial"/>
          <w:sz w:val="20"/>
          <w:szCs w:val="20"/>
        </w:rPr>
      </w:pPr>
      <w:r w:rsidRPr="00435FC7">
        <w:rPr>
          <w:rFonts w:ascii="Arial" w:eastAsia="Times New Roman" w:hAnsi="Arial" w:cs="Arial"/>
          <w:sz w:val="20"/>
          <w:szCs w:val="20"/>
        </w:rPr>
        <w:t>Statistical analysis revealed significant differences in CRP levels between the control/1–2 years group and the 3–5/&gt;5 years group (p &lt; 0.05)</w:t>
      </w:r>
      <w:r w:rsidR="00D86973" w:rsidRPr="00435FC7">
        <w:rPr>
          <w:rFonts w:ascii="Arial" w:eastAsia="Times New Roman" w:hAnsi="Arial" w:cs="Arial"/>
          <w:sz w:val="20"/>
          <w:szCs w:val="20"/>
        </w:rPr>
        <w:t xml:space="preserve">. </w:t>
      </w:r>
      <w:r w:rsidRPr="00435FC7">
        <w:rPr>
          <w:rFonts w:ascii="Arial" w:eastAsia="Times New Roman" w:hAnsi="Arial" w:cs="Arial"/>
          <w:sz w:val="20"/>
          <w:szCs w:val="20"/>
        </w:rPr>
        <w:t>These findings suggest that sustained exposure to gasoline vapours may induce a chronic inflammatory response, as evidenced by the elevated CRP levels in long-term exposed individuals.</w:t>
      </w:r>
    </w:p>
    <w:p w14:paraId="72B62383" w14:textId="4371050A" w:rsidR="00696C4C" w:rsidRPr="0089781D" w:rsidRDefault="0089781D" w:rsidP="0029356A">
      <w:pPr>
        <w:pStyle w:val="Body"/>
        <w:spacing w:after="0" w:line="480" w:lineRule="auto"/>
        <w:ind w:left="-142"/>
        <w:rPr>
          <w:rFonts w:ascii="Arial" w:hAnsi="Arial" w:cs="Arial"/>
          <w:b/>
          <w:sz w:val="22"/>
          <w:szCs w:val="22"/>
        </w:rPr>
      </w:pPr>
      <w:r w:rsidRPr="0089781D">
        <w:rPr>
          <w:rFonts w:ascii="Arial" w:hAnsi="Arial" w:cs="Arial"/>
          <w:b/>
          <w:sz w:val="22"/>
          <w:szCs w:val="22"/>
        </w:rPr>
        <w:t>4. DISCUSSION</w:t>
      </w:r>
    </w:p>
    <w:p w14:paraId="507D496E" w14:textId="2C5E3F0D" w:rsidR="003A2100" w:rsidRPr="00435FC7" w:rsidRDefault="00E40223" w:rsidP="00435FC7">
      <w:pPr>
        <w:ind w:left="-142"/>
        <w:jc w:val="both"/>
        <w:rPr>
          <w:rFonts w:ascii="Arial" w:hAnsi="Arial" w:cs="Arial"/>
          <w:sz w:val="20"/>
          <w:szCs w:val="20"/>
        </w:rPr>
      </w:pPr>
      <w:r w:rsidRPr="00435FC7">
        <w:rPr>
          <w:rFonts w:ascii="Arial" w:hAnsi="Arial" w:cs="Arial"/>
          <w:sz w:val="20"/>
          <w:szCs w:val="20"/>
        </w:rPr>
        <w:t xml:space="preserve">Gasoline contributes significantly to the economy of nations including Nigeria. The pollution due to </w:t>
      </w:r>
      <w:r w:rsidR="004F4B79" w:rsidRPr="00435FC7">
        <w:rPr>
          <w:rFonts w:ascii="Arial" w:hAnsi="Arial" w:cs="Arial"/>
          <w:sz w:val="20"/>
          <w:szCs w:val="20"/>
        </w:rPr>
        <w:t>gasoline</w:t>
      </w:r>
      <w:r w:rsidRPr="00435FC7">
        <w:rPr>
          <w:rFonts w:ascii="Arial" w:hAnsi="Arial" w:cs="Arial"/>
          <w:sz w:val="20"/>
          <w:szCs w:val="20"/>
        </w:rPr>
        <w:t xml:space="preserve"> exposure can have major adverse effect on the health of these city dwellers, with a major demographical set being petroleum station workers who more or less are in daily contact and hence have </w:t>
      </w:r>
      <w:r w:rsidRPr="00435FC7">
        <w:rPr>
          <w:rFonts w:ascii="Arial" w:hAnsi="Arial" w:cs="Arial"/>
          <w:sz w:val="20"/>
          <w:szCs w:val="20"/>
        </w:rPr>
        <w:lastRenderedPageBreak/>
        <w:t xml:space="preserve">regular exposure to this product. Many of the toxicological effects associated with the exposure to </w:t>
      </w:r>
      <w:r w:rsidR="004F4B79" w:rsidRPr="00435FC7">
        <w:rPr>
          <w:rFonts w:ascii="Arial" w:hAnsi="Arial" w:cs="Arial"/>
          <w:sz w:val="20"/>
          <w:szCs w:val="20"/>
        </w:rPr>
        <w:t>gasoline</w:t>
      </w:r>
      <w:r w:rsidRPr="00435FC7">
        <w:rPr>
          <w:rFonts w:ascii="Arial" w:hAnsi="Arial" w:cs="Arial"/>
          <w:sz w:val="20"/>
          <w:szCs w:val="20"/>
        </w:rPr>
        <w:t xml:space="preserve"> can be attributed to specific components of </w:t>
      </w:r>
      <w:r w:rsidR="004F4B79" w:rsidRPr="00435FC7">
        <w:rPr>
          <w:rFonts w:ascii="Arial" w:hAnsi="Arial" w:cs="Arial"/>
          <w:sz w:val="20"/>
          <w:szCs w:val="20"/>
        </w:rPr>
        <w:t>gasoline</w:t>
      </w:r>
      <w:r w:rsidRPr="00435FC7">
        <w:rPr>
          <w:rFonts w:ascii="Arial" w:hAnsi="Arial" w:cs="Arial"/>
          <w:sz w:val="20"/>
          <w:szCs w:val="20"/>
        </w:rPr>
        <w:t xml:space="preserve"> such as benzene, toluene, ethylene and xylene, which are also known as volatile organic compounds (Al Madhoun et al., 2008). Some of these constituents are known to be highly toxic or carcinogenic to humans (Folabi &amp; Phan, 2020), negatively impacting hematological profile leading to conditions such as pancytopenia, aplastic anemia and increased risk of developing acute myeloblastic leukemia (Folabi &amp; Phan, 2020; Lee et al., 2015; Ren et al., 2010). Volatile organic compounds have been also associated with a wide variety of deleterious health effects including liver and kidney diseases (Bin-Mefrij &amp; Alwakeel, 2017; Olmedo-Buenrostro et al., 2017). Previous reports by other researchers have elucidated the health impact of petroleum exposure on populations. Some focused on hepatic and renal function significance within a section of a given population whereas others looked closely at the significance of exposure on hematological profile (Asefaw et al., 2020; Teklu et al.,2021).</w:t>
      </w:r>
      <w:r w:rsidR="004F4B79" w:rsidRPr="00435FC7">
        <w:rPr>
          <w:rFonts w:ascii="Arial" w:hAnsi="Arial" w:cs="Arial"/>
          <w:sz w:val="20"/>
          <w:szCs w:val="20"/>
        </w:rPr>
        <w:t xml:space="preserve"> </w:t>
      </w:r>
      <w:r w:rsidRPr="00435FC7">
        <w:rPr>
          <w:rFonts w:ascii="Arial" w:hAnsi="Arial" w:cs="Arial"/>
          <w:sz w:val="20"/>
          <w:szCs w:val="20"/>
        </w:rPr>
        <w:t>C-reactive protein (CRP) is an acute phase reactant stimulated by inflammatory mediators (Interleukin 6 [IL-6], tumor necrosis factor [TNF-α] and IL-1β), and is superior to Erythrocyte sedimentation rate and other markers (Abraham &amp; Thirumurthi, 2009). Inflammatory response is implicated as a possible biologic mechanism underlying exposure-related health events. Certain particulate matter components, like metals and endotoxin have been found to possess proinflammatory properties (Jacobs et al., 2010). In th</w:t>
      </w:r>
      <w:r w:rsidR="004F4B79" w:rsidRPr="00435FC7">
        <w:rPr>
          <w:rFonts w:ascii="Arial" w:hAnsi="Arial" w:cs="Arial"/>
          <w:sz w:val="20"/>
          <w:szCs w:val="20"/>
        </w:rPr>
        <w:t>is</w:t>
      </w:r>
      <w:r w:rsidRPr="00435FC7">
        <w:rPr>
          <w:rFonts w:ascii="Arial" w:hAnsi="Arial" w:cs="Arial"/>
          <w:sz w:val="20"/>
          <w:szCs w:val="20"/>
        </w:rPr>
        <w:t xml:space="preserve"> study, CRP levels were higher in the 3-5 years and greater than 5 years exposure groups compared to the non-exposed and group exposed for 1-2 years. For the age-wise comparative study, the observation was that the age bracket 26-35 years had the highest CRP levels while those within the ages of 36 - 45 had the lowest CRP level. The higher levels of CRP witnessed in those exposed to petroleum products for a longer period could suggest chronic inflammatory response due to prolonged exposure to toxic compounds such as benzene, toluene, ethylene and xylene (BTEX), which are prominently present in </w:t>
      </w:r>
      <w:r w:rsidR="004F4B79" w:rsidRPr="00435FC7">
        <w:rPr>
          <w:rFonts w:ascii="Arial" w:hAnsi="Arial" w:cs="Arial"/>
          <w:sz w:val="20"/>
          <w:szCs w:val="20"/>
        </w:rPr>
        <w:t>gasoline</w:t>
      </w:r>
      <w:r w:rsidRPr="00435FC7">
        <w:rPr>
          <w:rFonts w:ascii="Arial" w:hAnsi="Arial" w:cs="Arial"/>
          <w:sz w:val="20"/>
          <w:szCs w:val="20"/>
        </w:rPr>
        <w:t xml:space="preserve">. These compounds can stimulate the immune system and trigger the release of pro-inflammatory cytokines, leading to elevated CRP levels (Laveti et al., 2013). Numerous studies have found a relationship between occupational exposure to petroleum products and increased inflammatory markers including CRP; for example, research has shown that long term exposure to volatile organic compounds in petroleum fumes can lead to systemic inflammation and oxidative stress, both of which are reflected in elevated CRP levels (Shen et al., 2024; Amor-Carro et al.,2020). In the work carried out by Abdrabouh (2022), investigating the inflammatory and proapoptotic effects of inhaling </w:t>
      </w:r>
      <w:r w:rsidR="004F4B79" w:rsidRPr="00435FC7">
        <w:rPr>
          <w:rFonts w:ascii="Arial" w:hAnsi="Arial" w:cs="Arial"/>
          <w:sz w:val="20"/>
          <w:szCs w:val="20"/>
        </w:rPr>
        <w:t>gasoline</w:t>
      </w:r>
      <w:r w:rsidRPr="00435FC7">
        <w:rPr>
          <w:rFonts w:ascii="Arial" w:hAnsi="Arial" w:cs="Arial"/>
          <w:sz w:val="20"/>
          <w:szCs w:val="20"/>
        </w:rPr>
        <w:t xml:space="preserve"> fumes on the lung and ameliorative effects of fenugreek seeds, it was reported that the rats exposed to gasoline fumes exhibited a significant increase in pro-inflammatory markers, TNF-α compared to the non-exposed group. What was most significant and instructive about this revelation was that it correlated directly with significant increase in transforming growth factor β1(TGF-β1), collagen type-1 (COL-1) and hydroxyproline (HYP)- fibrotic markers of lung function. He also argued that inflammatory cytokine is released from mast cells recruited to the inflammatory site, as several studies have shown that under normal physiological conditions, no mast cells can be detected in the lungs but can only be observed in the case of inflammation (Komi et al., 2020; Uslu &amp; Yoruk, 2015). The conclusion was that a major health condition upon </w:t>
      </w:r>
      <w:r w:rsidR="004F4B79" w:rsidRPr="00435FC7">
        <w:rPr>
          <w:rFonts w:ascii="Arial" w:hAnsi="Arial" w:cs="Arial"/>
          <w:sz w:val="20"/>
          <w:szCs w:val="20"/>
        </w:rPr>
        <w:t>gasoline</w:t>
      </w:r>
      <w:r w:rsidRPr="00435FC7">
        <w:rPr>
          <w:rFonts w:ascii="Arial" w:hAnsi="Arial" w:cs="Arial"/>
          <w:sz w:val="20"/>
          <w:szCs w:val="20"/>
        </w:rPr>
        <w:t xml:space="preserve"> exposure is respiratory tract diseases. </w:t>
      </w:r>
      <w:r w:rsidR="00E159F0" w:rsidRPr="00435FC7">
        <w:rPr>
          <w:rFonts w:ascii="Arial" w:hAnsi="Arial" w:cs="Arial"/>
          <w:sz w:val="20"/>
          <w:szCs w:val="20"/>
        </w:rPr>
        <w:t>Hence the findings of this study strongly suggest that respiratory tract diseases could be a major health problem for petroleum attendants</w:t>
      </w:r>
      <w:r w:rsidR="00907046" w:rsidRPr="00435FC7">
        <w:rPr>
          <w:rFonts w:ascii="Arial" w:hAnsi="Arial" w:cs="Arial"/>
          <w:color w:val="EE0000"/>
          <w:sz w:val="20"/>
          <w:szCs w:val="20"/>
        </w:rPr>
        <w:t xml:space="preserve"> </w:t>
      </w:r>
      <w:r w:rsidR="00907046" w:rsidRPr="00435FC7">
        <w:rPr>
          <w:rFonts w:ascii="Arial" w:hAnsi="Arial" w:cs="Arial"/>
          <w:sz w:val="20"/>
          <w:szCs w:val="20"/>
        </w:rPr>
        <w:t>who are exposed to gasoline and other petroleum product</w:t>
      </w:r>
      <w:r w:rsidR="00907046" w:rsidRPr="00435FC7">
        <w:rPr>
          <w:rFonts w:ascii="Arial" w:hAnsi="Arial" w:cs="Arial"/>
          <w:color w:val="EE0000"/>
          <w:sz w:val="20"/>
          <w:szCs w:val="20"/>
        </w:rPr>
        <w:t>.</w:t>
      </w:r>
      <w:r w:rsidR="004F4B79" w:rsidRPr="00435FC7">
        <w:rPr>
          <w:rFonts w:ascii="Arial" w:hAnsi="Arial" w:cs="Arial"/>
          <w:color w:val="000000"/>
          <w:sz w:val="20"/>
          <w:szCs w:val="20"/>
        </w:rPr>
        <w:t xml:space="preserve"> </w:t>
      </w:r>
      <w:r w:rsidR="004F4B79" w:rsidRPr="00435FC7">
        <w:rPr>
          <w:rFonts w:ascii="Arial" w:eastAsia="Times New Roman" w:hAnsi="Arial" w:cs="Arial"/>
          <w:color w:val="000000"/>
          <w:sz w:val="20"/>
          <w:szCs w:val="20"/>
        </w:rPr>
        <w:t xml:space="preserve">These findings highlight the need for regular </w:t>
      </w:r>
      <w:r w:rsidR="00907046" w:rsidRPr="00435FC7">
        <w:rPr>
          <w:rFonts w:ascii="Arial" w:eastAsia="Times New Roman" w:hAnsi="Arial" w:cs="Arial"/>
          <w:color w:val="000000"/>
          <w:sz w:val="20"/>
          <w:szCs w:val="20"/>
        </w:rPr>
        <w:t>health</w:t>
      </w:r>
      <w:r w:rsidR="004F4B79" w:rsidRPr="00435FC7">
        <w:rPr>
          <w:rFonts w:ascii="Arial" w:eastAsia="Times New Roman" w:hAnsi="Arial" w:cs="Arial"/>
          <w:color w:val="000000"/>
          <w:sz w:val="20"/>
          <w:szCs w:val="20"/>
        </w:rPr>
        <w:t xml:space="preserve"> of petrol pump station attendants, particularly for those with prolonged exposure, to mitigate potential long-term health risks.</w:t>
      </w:r>
    </w:p>
    <w:p w14:paraId="1AD16292" w14:textId="77777777" w:rsidR="00435FC7" w:rsidRDefault="00435FC7" w:rsidP="0029356A">
      <w:pPr>
        <w:pStyle w:val="Body"/>
        <w:spacing w:after="0" w:line="480" w:lineRule="auto"/>
        <w:ind w:left="-142"/>
        <w:rPr>
          <w:rFonts w:ascii="Arial" w:hAnsi="Arial" w:cs="Arial"/>
          <w:b/>
          <w:sz w:val="22"/>
          <w:szCs w:val="22"/>
        </w:rPr>
      </w:pPr>
    </w:p>
    <w:p w14:paraId="7176F014" w14:textId="34E6F1A7" w:rsidR="00A97C2A" w:rsidRPr="0089781D" w:rsidRDefault="0089781D" w:rsidP="0029356A">
      <w:pPr>
        <w:pStyle w:val="Body"/>
        <w:spacing w:after="0" w:line="480" w:lineRule="auto"/>
        <w:ind w:left="-142"/>
        <w:rPr>
          <w:rFonts w:ascii="Arial" w:hAnsi="Arial" w:cs="Arial"/>
          <w:b/>
          <w:sz w:val="22"/>
          <w:szCs w:val="22"/>
        </w:rPr>
      </w:pPr>
      <w:r w:rsidRPr="0089781D">
        <w:rPr>
          <w:rFonts w:ascii="Arial" w:hAnsi="Arial" w:cs="Arial"/>
          <w:b/>
          <w:sz w:val="22"/>
          <w:szCs w:val="22"/>
        </w:rPr>
        <w:t>5. CONCLUSION</w:t>
      </w:r>
    </w:p>
    <w:p w14:paraId="7AE5176A" w14:textId="2D4F0F37" w:rsidR="00A97C2A" w:rsidRDefault="005D074B" w:rsidP="00435FC7">
      <w:pPr>
        <w:pStyle w:val="Body"/>
        <w:spacing w:after="0"/>
        <w:ind w:left="-142"/>
        <w:rPr>
          <w:rFonts w:ascii="Arial" w:hAnsi="Arial" w:cs="Arial"/>
        </w:rPr>
      </w:pPr>
      <w:r w:rsidRPr="00435FC7">
        <w:rPr>
          <w:rFonts w:ascii="Arial" w:hAnsi="Arial" w:cs="Arial"/>
        </w:rPr>
        <w:t xml:space="preserve">The study observed significantly higher levels of CRP in attendants exposed to </w:t>
      </w:r>
      <w:r w:rsidR="00A717C9" w:rsidRPr="00435FC7">
        <w:rPr>
          <w:rFonts w:ascii="Arial" w:hAnsi="Arial" w:cs="Arial"/>
        </w:rPr>
        <w:t>gasoline</w:t>
      </w:r>
      <w:r w:rsidRPr="00435FC7">
        <w:rPr>
          <w:rFonts w:ascii="Arial" w:hAnsi="Arial" w:cs="Arial"/>
        </w:rPr>
        <w:t xml:space="preserve"> for over 5 years compared to the control group. Th</w:t>
      </w:r>
      <w:r w:rsidR="00D8529F" w:rsidRPr="00435FC7">
        <w:rPr>
          <w:rFonts w:ascii="Arial" w:hAnsi="Arial" w:cs="Arial"/>
        </w:rPr>
        <w:t>is</w:t>
      </w:r>
      <w:r w:rsidRPr="00435FC7">
        <w:rPr>
          <w:rFonts w:ascii="Arial" w:hAnsi="Arial" w:cs="Arial"/>
        </w:rPr>
        <w:t xml:space="preserve"> finding suggest</w:t>
      </w:r>
      <w:r w:rsidR="00D8529F" w:rsidRPr="00435FC7">
        <w:rPr>
          <w:rFonts w:ascii="Arial" w:hAnsi="Arial" w:cs="Arial"/>
        </w:rPr>
        <w:t>s</w:t>
      </w:r>
      <w:r w:rsidRPr="00435FC7">
        <w:rPr>
          <w:rFonts w:ascii="Arial" w:hAnsi="Arial" w:cs="Arial"/>
        </w:rPr>
        <w:t xml:space="preserve"> that long-term exposure to </w:t>
      </w:r>
      <w:r w:rsidR="00A717C9" w:rsidRPr="00435FC7">
        <w:rPr>
          <w:rFonts w:ascii="Arial" w:hAnsi="Arial" w:cs="Arial"/>
        </w:rPr>
        <w:t>gasoline</w:t>
      </w:r>
      <w:r w:rsidRPr="00435FC7">
        <w:rPr>
          <w:rFonts w:ascii="Arial" w:hAnsi="Arial" w:cs="Arial"/>
        </w:rPr>
        <w:t xml:space="preserve"> can trigger inflammatory responses.</w:t>
      </w:r>
    </w:p>
    <w:p w14:paraId="4D078786" w14:textId="77777777" w:rsidR="00435FC7" w:rsidRPr="00435FC7" w:rsidRDefault="00435FC7" w:rsidP="00435FC7">
      <w:pPr>
        <w:pStyle w:val="Body"/>
        <w:spacing w:after="0"/>
        <w:ind w:left="-142"/>
        <w:rPr>
          <w:rFonts w:ascii="Arial" w:hAnsi="Arial" w:cs="Arial"/>
        </w:rPr>
      </w:pPr>
    </w:p>
    <w:p w14:paraId="6DD87DD1" w14:textId="53779BB1" w:rsidR="00435FC7" w:rsidRDefault="00435FC7" w:rsidP="00435FC7">
      <w:pPr>
        <w:jc w:val="both"/>
        <w:rPr>
          <w:rFonts w:ascii="Arial" w:eastAsia="Times New Roman" w:hAnsi="Arial" w:cs="Arial"/>
          <w:b/>
        </w:rPr>
      </w:pPr>
      <w:r w:rsidRPr="00435FC7">
        <w:rPr>
          <w:rFonts w:ascii="Arial" w:eastAsia="Times New Roman" w:hAnsi="Arial" w:cs="Arial"/>
          <w:b/>
        </w:rPr>
        <w:t xml:space="preserve">ETHICAL </w:t>
      </w:r>
      <w:r>
        <w:rPr>
          <w:rFonts w:ascii="Arial" w:eastAsia="Times New Roman" w:hAnsi="Arial" w:cs="Arial"/>
          <w:b/>
        </w:rPr>
        <w:t>APPROVAL</w:t>
      </w:r>
    </w:p>
    <w:p w14:paraId="255FA720" w14:textId="77777777" w:rsidR="00435FC7" w:rsidRPr="00435FC7" w:rsidRDefault="00435FC7" w:rsidP="00435FC7">
      <w:pPr>
        <w:jc w:val="both"/>
        <w:rPr>
          <w:rFonts w:ascii="Arial" w:eastAsia="Times New Roman" w:hAnsi="Arial" w:cs="Arial"/>
          <w:b/>
        </w:rPr>
      </w:pPr>
    </w:p>
    <w:p w14:paraId="619B3530" w14:textId="77777777" w:rsidR="00435FC7" w:rsidRPr="00435FC7" w:rsidRDefault="00435FC7" w:rsidP="00435FC7">
      <w:pPr>
        <w:jc w:val="both"/>
        <w:rPr>
          <w:rFonts w:ascii="Arial" w:eastAsia="Times New Roman" w:hAnsi="Arial" w:cs="Arial"/>
          <w:sz w:val="20"/>
          <w:szCs w:val="20"/>
        </w:rPr>
      </w:pPr>
      <w:r w:rsidRPr="00435FC7">
        <w:rPr>
          <w:rFonts w:ascii="Arial" w:eastAsia="Times New Roman" w:hAnsi="Arial" w:cs="Arial"/>
          <w:sz w:val="20"/>
          <w:szCs w:val="20"/>
        </w:rPr>
        <w:t>The University of Port Harcourt's Research Ethics Committee granted ethical approval for this study in order to guarantee adherence to the rules and regulations governing human subjects research.</w:t>
      </w:r>
    </w:p>
    <w:p w14:paraId="562BEAB8" w14:textId="77777777" w:rsidR="00435FC7" w:rsidRPr="00435FC7" w:rsidRDefault="00435FC7" w:rsidP="00435FC7">
      <w:pPr>
        <w:pStyle w:val="Body"/>
        <w:spacing w:after="0"/>
        <w:ind w:left="-142"/>
        <w:rPr>
          <w:rFonts w:ascii="Arial" w:hAnsi="Arial" w:cs="Arial"/>
        </w:rPr>
      </w:pPr>
    </w:p>
    <w:p w14:paraId="3C4B0939" w14:textId="3287E4F1" w:rsidR="00864872" w:rsidRPr="0089781D" w:rsidRDefault="006835DA" w:rsidP="00435FC7">
      <w:pPr>
        <w:pStyle w:val="Body"/>
        <w:spacing w:after="0" w:line="480" w:lineRule="auto"/>
        <w:rPr>
          <w:rFonts w:ascii="Arial" w:hAnsi="Arial" w:cs="Arial"/>
          <w:b/>
          <w:sz w:val="22"/>
          <w:szCs w:val="22"/>
        </w:rPr>
      </w:pPr>
      <w:r w:rsidRPr="0089781D">
        <w:rPr>
          <w:rFonts w:ascii="Arial" w:hAnsi="Arial" w:cs="Arial"/>
          <w:b/>
          <w:sz w:val="22"/>
          <w:szCs w:val="22"/>
        </w:rPr>
        <w:t>R</w:t>
      </w:r>
      <w:bookmarkEnd w:id="5"/>
      <w:r w:rsidRPr="0089781D">
        <w:rPr>
          <w:rFonts w:ascii="Arial" w:hAnsi="Arial" w:cs="Arial"/>
          <w:b/>
          <w:sz w:val="22"/>
          <w:szCs w:val="22"/>
        </w:rPr>
        <w:t>EFERENCES</w:t>
      </w:r>
    </w:p>
    <w:p w14:paraId="6470BB23" w14:textId="53C82227" w:rsidR="006835DA" w:rsidRPr="00435FC7" w:rsidRDefault="00AF6C28" w:rsidP="00435FC7">
      <w:pPr>
        <w:jc w:val="both"/>
        <w:rPr>
          <w:rFonts w:ascii="Arial" w:hAnsi="Arial" w:cs="Arial"/>
          <w:sz w:val="20"/>
          <w:szCs w:val="20"/>
        </w:rPr>
      </w:pPr>
      <w:r w:rsidRPr="00435FC7">
        <w:rPr>
          <w:rFonts w:ascii="Arial" w:hAnsi="Arial" w:cs="Arial"/>
          <w:sz w:val="20"/>
          <w:szCs w:val="20"/>
        </w:rPr>
        <w:t xml:space="preserve">Abdrabouh, A. E. (2022). Inflammatory and proapoptotic effects of inhaling gasoline fumes on the lung and ameliorative effects of fenugreek seeds. </w:t>
      </w:r>
      <w:r w:rsidRPr="00435FC7">
        <w:rPr>
          <w:rFonts w:ascii="Arial" w:hAnsi="Arial" w:cs="Arial"/>
          <w:i/>
          <w:iCs/>
          <w:sz w:val="20"/>
          <w:szCs w:val="20"/>
        </w:rPr>
        <w:t>Scientific Reports</w:t>
      </w:r>
      <w:r w:rsidRPr="00435FC7">
        <w:rPr>
          <w:rFonts w:ascii="Arial" w:hAnsi="Arial" w:cs="Arial"/>
          <w:sz w:val="20"/>
          <w:szCs w:val="20"/>
        </w:rPr>
        <w:t xml:space="preserve">, </w:t>
      </w:r>
      <w:r w:rsidRPr="00435FC7">
        <w:rPr>
          <w:rFonts w:ascii="Arial" w:hAnsi="Arial" w:cs="Arial"/>
          <w:i/>
          <w:iCs/>
          <w:sz w:val="20"/>
          <w:szCs w:val="20"/>
        </w:rPr>
        <w:t>12</w:t>
      </w:r>
      <w:r w:rsidRPr="00435FC7">
        <w:rPr>
          <w:rFonts w:ascii="Arial" w:hAnsi="Arial" w:cs="Arial"/>
          <w:sz w:val="20"/>
          <w:szCs w:val="20"/>
        </w:rPr>
        <w:t>(1), 14446.</w:t>
      </w:r>
    </w:p>
    <w:p w14:paraId="13D51FF2"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lastRenderedPageBreak/>
        <w:t xml:space="preserve">Abraham, B. P., &amp; Thirumurthi, S. (2009). Clinical significance of inflammatory markers. </w:t>
      </w:r>
      <w:r w:rsidRPr="00435FC7">
        <w:rPr>
          <w:rFonts w:ascii="Arial" w:hAnsi="Arial" w:cs="Arial"/>
          <w:i/>
          <w:iCs/>
          <w:sz w:val="20"/>
          <w:szCs w:val="20"/>
        </w:rPr>
        <w:t>Current Gastroenterology Reports</w:t>
      </w:r>
      <w:r w:rsidRPr="00435FC7">
        <w:rPr>
          <w:rFonts w:ascii="Arial" w:hAnsi="Arial" w:cs="Arial"/>
          <w:sz w:val="20"/>
          <w:szCs w:val="20"/>
        </w:rPr>
        <w:t xml:space="preserve">, </w:t>
      </w:r>
      <w:r w:rsidRPr="00435FC7">
        <w:rPr>
          <w:rFonts w:ascii="Arial" w:hAnsi="Arial" w:cs="Arial"/>
          <w:i/>
          <w:iCs/>
          <w:sz w:val="20"/>
          <w:szCs w:val="20"/>
        </w:rPr>
        <w:t>11</w:t>
      </w:r>
      <w:r w:rsidRPr="00435FC7">
        <w:rPr>
          <w:rFonts w:ascii="Arial" w:hAnsi="Arial" w:cs="Arial"/>
          <w:sz w:val="20"/>
          <w:szCs w:val="20"/>
        </w:rPr>
        <w:t>(5), 360-367.</w:t>
      </w:r>
    </w:p>
    <w:p w14:paraId="723748EC"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t xml:space="preserve">Al Madhoun, W. A., Ramli, N. A., Yahaya, A. S., Yusof, N. F., Ghazali, N. A., &amp; Sansuddin, N. U. (2008). A framework for monitoring and modelling of BTEX in various development statuses in Penang Malaysia. </w:t>
      </w:r>
      <w:r w:rsidRPr="00435FC7">
        <w:rPr>
          <w:rFonts w:ascii="Arial" w:hAnsi="Arial" w:cs="Arial"/>
          <w:i/>
          <w:iCs/>
          <w:sz w:val="20"/>
          <w:szCs w:val="20"/>
        </w:rPr>
        <w:t>International Conference of Environment</w:t>
      </w:r>
      <w:r w:rsidRPr="00435FC7">
        <w:rPr>
          <w:rFonts w:ascii="Arial" w:hAnsi="Arial" w:cs="Arial"/>
          <w:sz w:val="20"/>
          <w:szCs w:val="20"/>
        </w:rPr>
        <w:t>.</w:t>
      </w:r>
    </w:p>
    <w:p w14:paraId="4DF586E9"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t xml:space="preserve">Alzahrani, A. M., &amp; Rajendran, P. (2019). Petroleum hydrocarbon and living organisms. </w:t>
      </w:r>
      <w:r w:rsidRPr="00435FC7">
        <w:rPr>
          <w:rFonts w:ascii="Arial" w:hAnsi="Arial" w:cs="Arial"/>
          <w:i/>
          <w:sz w:val="20"/>
          <w:szCs w:val="20"/>
        </w:rPr>
        <w:t>Hydrocarbon Pollution and its Effect on the Environment</w:t>
      </w:r>
      <w:r w:rsidRPr="00435FC7">
        <w:rPr>
          <w:rFonts w:ascii="Arial" w:hAnsi="Arial" w:cs="Arial"/>
          <w:sz w:val="20"/>
          <w:szCs w:val="20"/>
        </w:rPr>
        <w:t>, 71-82.</w:t>
      </w:r>
    </w:p>
    <w:p w14:paraId="5F45782D" w14:textId="77777777" w:rsidR="00AF6C28" w:rsidRPr="00435FC7" w:rsidRDefault="00AF6C28" w:rsidP="006835DA">
      <w:pPr>
        <w:jc w:val="both"/>
        <w:rPr>
          <w:rFonts w:ascii="Arial" w:hAnsi="Arial" w:cs="Arial"/>
          <w:sz w:val="20"/>
          <w:szCs w:val="20"/>
        </w:rPr>
      </w:pPr>
      <w:r w:rsidRPr="0048020F">
        <w:rPr>
          <w:rFonts w:ascii="Arial" w:hAnsi="Arial" w:cs="Arial"/>
          <w:sz w:val="20"/>
          <w:szCs w:val="20"/>
        </w:rPr>
        <w:t>Amor-Carro, Ó., White, K. M., Fraga-Iriso, R., Mariñas-Pardo, L. A., Núñez-Naveira, L., Lema-Costa, B., Villarnovo, M., Verea-Hernando, H., &amp; Ramos-Barbón, D. (2020</w:t>
      </w:r>
      <w:r w:rsidRPr="0048020F">
        <w:rPr>
          <w:rFonts w:ascii="Arial" w:hAnsi="Arial" w:cs="Arial"/>
          <w:sz w:val="20"/>
          <w:szCs w:val="20"/>
          <w:highlight w:val="yellow"/>
        </w:rPr>
        <w:t>)</w:t>
      </w:r>
      <w:r w:rsidRPr="00435FC7">
        <w:rPr>
          <w:rFonts w:ascii="Arial" w:hAnsi="Arial" w:cs="Arial"/>
          <w:sz w:val="20"/>
          <w:szCs w:val="20"/>
        </w:rPr>
        <w:t xml:space="preserve">. Airway hyperresponsiveness, inflammation, and pulmonary emphysema in rodent models designed to mimic exposure to fuel oil–derived volatile organic compounds encountered during an experimental oil spill. </w:t>
      </w:r>
      <w:r w:rsidRPr="00435FC7">
        <w:rPr>
          <w:rFonts w:ascii="Arial" w:hAnsi="Arial" w:cs="Arial"/>
          <w:i/>
          <w:iCs/>
          <w:sz w:val="20"/>
          <w:szCs w:val="20"/>
        </w:rPr>
        <w:t>Environmental Health Perspectives</w:t>
      </w:r>
      <w:r w:rsidRPr="00435FC7">
        <w:rPr>
          <w:rFonts w:ascii="Arial" w:hAnsi="Arial" w:cs="Arial"/>
          <w:sz w:val="20"/>
          <w:szCs w:val="20"/>
        </w:rPr>
        <w:t xml:space="preserve">, </w:t>
      </w:r>
      <w:r w:rsidRPr="00435FC7">
        <w:rPr>
          <w:rFonts w:ascii="Arial" w:hAnsi="Arial" w:cs="Arial"/>
          <w:i/>
          <w:iCs/>
          <w:sz w:val="20"/>
          <w:szCs w:val="20"/>
        </w:rPr>
        <w:t>128</w:t>
      </w:r>
      <w:r w:rsidRPr="00435FC7">
        <w:rPr>
          <w:rFonts w:ascii="Arial" w:hAnsi="Arial" w:cs="Arial"/>
          <w:sz w:val="20"/>
          <w:szCs w:val="20"/>
        </w:rPr>
        <w:t>(2), 027003.</w:t>
      </w:r>
    </w:p>
    <w:p w14:paraId="072046E5" w14:textId="77777777" w:rsidR="00AF6C28" w:rsidRPr="00435FC7" w:rsidRDefault="00AF6C28" w:rsidP="006835DA">
      <w:pPr>
        <w:jc w:val="both"/>
        <w:rPr>
          <w:rFonts w:ascii="Arial" w:hAnsi="Arial" w:cs="Arial"/>
          <w:color w:val="222222"/>
          <w:sz w:val="20"/>
          <w:szCs w:val="20"/>
          <w:shd w:val="clear" w:color="auto" w:fill="FFFFFF"/>
        </w:rPr>
      </w:pPr>
      <w:r w:rsidRPr="00F16A6B">
        <w:rPr>
          <w:rFonts w:ascii="Arial" w:hAnsi="Arial" w:cs="Arial"/>
          <w:color w:val="222222"/>
          <w:sz w:val="20"/>
          <w:szCs w:val="20"/>
          <w:shd w:val="clear" w:color="auto" w:fill="FFFFFF"/>
        </w:rPr>
        <w:t>Asefaw, T., Wolde, M., Edao, A., Tsegaye, A., Teklu, G., Tesfay, F., &amp; Gebremariam, G. (2020). Assessment of liver and renal function tests among Gasoline</w:t>
      </w:r>
      <w:r w:rsidRPr="00435FC7">
        <w:rPr>
          <w:rFonts w:ascii="Arial" w:hAnsi="Arial" w:cs="Arial"/>
          <w:color w:val="222222"/>
          <w:sz w:val="20"/>
          <w:szCs w:val="20"/>
          <w:shd w:val="clear" w:color="auto" w:fill="FFFFFF"/>
        </w:rPr>
        <w:t xml:space="preserve"> exposed gas station workers in Mekelle city, Tigray region, Northern Ethiopia. </w:t>
      </w:r>
      <w:r w:rsidRPr="00435FC7">
        <w:rPr>
          <w:rFonts w:ascii="Arial" w:hAnsi="Arial" w:cs="Arial"/>
          <w:i/>
          <w:iCs/>
          <w:color w:val="222222"/>
          <w:sz w:val="20"/>
          <w:szCs w:val="20"/>
          <w:shd w:val="clear" w:color="auto" w:fill="FFFFFF"/>
        </w:rPr>
        <w:t>Public Library of Science One</w:t>
      </w:r>
      <w:r w:rsidRPr="00435FC7">
        <w:rPr>
          <w:rFonts w:ascii="Arial" w:hAnsi="Arial" w:cs="Arial"/>
          <w:color w:val="222222"/>
          <w:sz w:val="20"/>
          <w:szCs w:val="20"/>
          <w:shd w:val="clear" w:color="auto" w:fill="FFFFFF"/>
        </w:rPr>
        <w:t>, </w:t>
      </w:r>
      <w:r w:rsidRPr="00435FC7">
        <w:rPr>
          <w:rFonts w:ascii="Arial" w:hAnsi="Arial" w:cs="Arial"/>
          <w:i/>
          <w:iCs/>
          <w:color w:val="222222"/>
          <w:sz w:val="20"/>
          <w:szCs w:val="20"/>
          <w:shd w:val="clear" w:color="auto" w:fill="FFFFFF"/>
        </w:rPr>
        <w:t>15</w:t>
      </w:r>
      <w:r w:rsidRPr="00435FC7">
        <w:rPr>
          <w:rFonts w:ascii="Arial" w:hAnsi="Arial" w:cs="Arial"/>
          <w:color w:val="222222"/>
          <w:sz w:val="20"/>
          <w:szCs w:val="20"/>
          <w:shd w:val="clear" w:color="auto" w:fill="FFFFFF"/>
        </w:rPr>
        <w:t>(10), e0239716.</w:t>
      </w:r>
    </w:p>
    <w:p w14:paraId="7C4C6BEC"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t xml:space="preserve">Bin-Mefrij, M., &amp; Alwakeel, S. (2017). The effect of fuel inhalation on the kidney and liver function and blood indices in gasoline station workers. </w:t>
      </w:r>
      <w:r w:rsidRPr="00435FC7">
        <w:rPr>
          <w:rFonts w:ascii="Arial" w:hAnsi="Arial" w:cs="Arial"/>
          <w:i/>
          <w:iCs/>
          <w:sz w:val="20"/>
          <w:szCs w:val="20"/>
        </w:rPr>
        <w:t>Advances in Natural and Applied Sciences</w:t>
      </w:r>
      <w:r w:rsidRPr="00435FC7">
        <w:rPr>
          <w:rFonts w:ascii="Arial" w:hAnsi="Arial" w:cs="Arial"/>
          <w:sz w:val="20"/>
          <w:szCs w:val="20"/>
        </w:rPr>
        <w:t xml:space="preserve">, </w:t>
      </w:r>
      <w:r w:rsidRPr="00435FC7">
        <w:rPr>
          <w:rFonts w:ascii="Arial" w:hAnsi="Arial" w:cs="Arial"/>
          <w:i/>
          <w:iCs/>
          <w:sz w:val="20"/>
          <w:szCs w:val="20"/>
        </w:rPr>
        <w:t>11</w:t>
      </w:r>
      <w:r w:rsidRPr="00435FC7">
        <w:rPr>
          <w:rFonts w:ascii="Arial" w:hAnsi="Arial" w:cs="Arial"/>
          <w:sz w:val="20"/>
          <w:szCs w:val="20"/>
        </w:rPr>
        <w:t>(1), 45-50.</w:t>
      </w:r>
    </w:p>
    <w:p w14:paraId="1AD5276F" w14:textId="77777777" w:rsidR="00AF6C28" w:rsidRPr="00435FC7" w:rsidRDefault="00AF6C28" w:rsidP="006835DA">
      <w:pPr>
        <w:jc w:val="both"/>
        <w:rPr>
          <w:rFonts w:ascii="Arial" w:hAnsi="Arial" w:cs="Arial"/>
          <w:sz w:val="20"/>
          <w:szCs w:val="20"/>
        </w:rPr>
      </w:pPr>
      <w:r w:rsidRPr="00435FC7">
        <w:rPr>
          <w:rFonts w:ascii="Arial" w:hAnsi="Arial" w:cs="Arial"/>
          <w:color w:val="222222"/>
          <w:sz w:val="20"/>
          <w:szCs w:val="20"/>
          <w:shd w:val="clear" w:color="auto" w:fill="FFFFFF"/>
        </w:rPr>
        <w:t>Christian, S. G., Elekima, I., Obisike, U. A., &amp; Aleru, C. P. (2016). Effect of petroleum on haematological parameters and lead level in fuel attendants in Port Harcourt, Nigeria. </w:t>
      </w:r>
      <w:r w:rsidRPr="00435FC7">
        <w:rPr>
          <w:rFonts w:ascii="Arial" w:hAnsi="Arial" w:cs="Arial"/>
          <w:i/>
          <w:iCs/>
          <w:color w:val="222222"/>
          <w:sz w:val="20"/>
          <w:szCs w:val="20"/>
          <w:shd w:val="clear" w:color="auto" w:fill="FFFFFF"/>
        </w:rPr>
        <w:t>International Journal of Science and Research (IJSR)</w:t>
      </w:r>
      <w:r w:rsidRPr="00435FC7">
        <w:rPr>
          <w:rFonts w:ascii="Arial" w:hAnsi="Arial" w:cs="Arial"/>
          <w:color w:val="222222"/>
          <w:sz w:val="20"/>
          <w:szCs w:val="20"/>
          <w:shd w:val="clear" w:color="auto" w:fill="FFFFFF"/>
        </w:rPr>
        <w:t>, </w:t>
      </w:r>
      <w:r w:rsidRPr="00435FC7">
        <w:rPr>
          <w:rFonts w:ascii="Arial" w:hAnsi="Arial" w:cs="Arial"/>
          <w:i/>
          <w:iCs/>
          <w:color w:val="222222"/>
          <w:sz w:val="20"/>
          <w:szCs w:val="20"/>
          <w:shd w:val="clear" w:color="auto" w:fill="FFFFFF"/>
        </w:rPr>
        <w:t>5</w:t>
      </w:r>
      <w:r w:rsidRPr="00435FC7">
        <w:rPr>
          <w:rFonts w:ascii="Arial" w:hAnsi="Arial" w:cs="Arial"/>
          <w:color w:val="222222"/>
          <w:sz w:val="20"/>
          <w:szCs w:val="20"/>
          <w:shd w:val="clear" w:color="auto" w:fill="FFFFFF"/>
        </w:rPr>
        <w:t>(3), 280-283.</w:t>
      </w:r>
    </w:p>
    <w:p w14:paraId="7E5699F9"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t xml:space="preserve">Folabi, T., &amp; Phan, T. (2020). Evaluation of volatile organic compounds and polyaromatic hydrocarbons in Barker Reservoir in Houston, Texas after the 2017 Hurricane Harvey. </w:t>
      </w:r>
      <w:r w:rsidRPr="00435FC7">
        <w:rPr>
          <w:rFonts w:ascii="Arial" w:hAnsi="Arial" w:cs="Arial"/>
          <w:i/>
          <w:iCs/>
          <w:sz w:val="20"/>
          <w:szCs w:val="20"/>
        </w:rPr>
        <w:t>American Journal of Analytical Chemistry</w:t>
      </w:r>
      <w:r w:rsidRPr="00435FC7">
        <w:rPr>
          <w:rFonts w:ascii="Arial" w:hAnsi="Arial" w:cs="Arial"/>
          <w:sz w:val="20"/>
          <w:szCs w:val="20"/>
        </w:rPr>
        <w:t xml:space="preserve">, </w:t>
      </w:r>
      <w:r w:rsidRPr="00435FC7">
        <w:rPr>
          <w:rFonts w:ascii="Arial" w:hAnsi="Arial" w:cs="Arial"/>
          <w:i/>
          <w:iCs/>
          <w:sz w:val="20"/>
          <w:szCs w:val="20"/>
        </w:rPr>
        <w:t>11</w:t>
      </w:r>
      <w:r w:rsidRPr="00435FC7">
        <w:rPr>
          <w:rFonts w:ascii="Arial" w:hAnsi="Arial" w:cs="Arial"/>
          <w:sz w:val="20"/>
          <w:szCs w:val="20"/>
        </w:rPr>
        <w:t>(11), 376-388.</w:t>
      </w:r>
    </w:p>
    <w:p w14:paraId="5B5DDEB1" w14:textId="77777777" w:rsidR="00AF6C28" w:rsidRPr="00435FC7" w:rsidRDefault="00AF6C28" w:rsidP="006835DA">
      <w:pPr>
        <w:jc w:val="both"/>
        <w:rPr>
          <w:rFonts w:ascii="Arial" w:hAnsi="Arial" w:cs="Arial"/>
          <w:sz w:val="20"/>
          <w:szCs w:val="20"/>
        </w:rPr>
      </w:pPr>
      <w:bookmarkStart w:id="6" w:name="_Hlk173919556"/>
      <w:r w:rsidRPr="00435FC7">
        <w:rPr>
          <w:rFonts w:ascii="Arial" w:hAnsi="Arial" w:cs="Arial"/>
          <w:sz w:val="20"/>
          <w:szCs w:val="20"/>
        </w:rPr>
        <w:t>Jacobs</w:t>
      </w:r>
      <w:r w:rsidRPr="00F16A6B">
        <w:rPr>
          <w:rFonts w:ascii="Arial" w:hAnsi="Arial" w:cs="Arial"/>
          <w:sz w:val="20"/>
          <w:szCs w:val="20"/>
        </w:rPr>
        <w:t>, L., Nawrot, T. S., De Geus, B., Meeusen, R., Degraeuwe, B., Bernard, A., Sughis, M., Nemery, B., &amp; Panis, L. I. (2010).</w:t>
      </w:r>
      <w:r w:rsidRPr="00435FC7">
        <w:rPr>
          <w:rFonts w:ascii="Arial" w:hAnsi="Arial" w:cs="Arial"/>
          <w:sz w:val="20"/>
          <w:szCs w:val="20"/>
        </w:rPr>
        <w:t xml:space="preserve"> Subclinical responses in healthy cyclists briefly exposed to traffic-related air pollution: an intervention study. </w:t>
      </w:r>
      <w:r w:rsidRPr="00435FC7">
        <w:rPr>
          <w:rFonts w:ascii="Arial" w:hAnsi="Arial" w:cs="Arial"/>
          <w:i/>
          <w:iCs/>
          <w:sz w:val="20"/>
          <w:szCs w:val="20"/>
        </w:rPr>
        <w:t>Environmental Health</w:t>
      </w:r>
      <w:r w:rsidRPr="00435FC7">
        <w:rPr>
          <w:rFonts w:ascii="Arial" w:hAnsi="Arial" w:cs="Arial"/>
          <w:sz w:val="20"/>
          <w:szCs w:val="20"/>
        </w:rPr>
        <w:t xml:space="preserve">, </w:t>
      </w:r>
      <w:r w:rsidRPr="00435FC7">
        <w:rPr>
          <w:rFonts w:ascii="Arial" w:hAnsi="Arial" w:cs="Arial"/>
          <w:i/>
          <w:iCs/>
          <w:sz w:val="20"/>
          <w:szCs w:val="20"/>
        </w:rPr>
        <w:t>9</w:t>
      </w:r>
      <w:r w:rsidRPr="00435FC7">
        <w:rPr>
          <w:rFonts w:ascii="Arial" w:hAnsi="Arial" w:cs="Arial"/>
          <w:sz w:val="20"/>
          <w:szCs w:val="20"/>
        </w:rPr>
        <w:t>, 1-8.</w:t>
      </w:r>
    </w:p>
    <w:p w14:paraId="3B35023F"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t xml:space="preserve">Komi, D. E. A., Mortaz, E., Amani, S., Tiotiu, A., Folkerts, G., &amp; Adcock, I. M. (2020). The role of mast cells in IgE-independent lung diseases. </w:t>
      </w:r>
      <w:r w:rsidRPr="00435FC7">
        <w:rPr>
          <w:rFonts w:ascii="Arial" w:hAnsi="Arial" w:cs="Arial"/>
          <w:i/>
          <w:iCs/>
          <w:sz w:val="20"/>
          <w:szCs w:val="20"/>
        </w:rPr>
        <w:t>Clinical Reviews in Allergy &amp; Immunology</w:t>
      </w:r>
      <w:r w:rsidRPr="00435FC7">
        <w:rPr>
          <w:rFonts w:ascii="Arial" w:hAnsi="Arial" w:cs="Arial"/>
          <w:sz w:val="20"/>
          <w:szCs w:val="20"/>
        </w:rPr>
        <w:t xml:space="preserve">, </w:t>
      </w:r>
      <w:r w:rsidRPr="00435FC7">
        <w:rPr>
          <w:rFonts w:ascii="Arial" w:hAnsi="Arial" w:cs="Arial"/>
          <w:i/>
          <w:iCs/>
          <w:sz w:val="20"/>
          <w:szCs w:val="20"/>
        </w:rPr>
        <w:t>58</w:t>
      </w:r>
      <w:r w:rsidRPr="00435FC7">
        <w:rPr>
          <w:rFonts w:ascii="Arial" w:hAnsi="Arial" w:cs="Arial"/>
          <w:sz w:val="20"/>
          <w:szCs w:val="20"/>
        </w:rPr>
        <w:t>, 377-387.</w:t>
      </w:r>
    </w:p>
    <w:p w14:paraId="7BA3EB79"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t xml:space="preserve">Laveti, </w:t>
      </w:r>
      <w:r w:rsidRPr="00F16A6B">
        <w:rPr>
          <w:rFonts w:ascii="Arial" w:hAnsi="Arial" w:cs="Arial"/>
          <w:sz w:val="20"/>
          <w:szCs w:val="20"/>
        </w:rPr>
        <w:t>D., Kumar, M., Hemalatha, R., Sistla, R., Gm Naidu, V., Talla, V., &amp; Nagpal,</w:t>
      </w:r>
      <w:r w:rsidRPr="00435FC7">
        <w:rPr>
          <w:rFonts w:ascii="Arial" w:hAnsi="Arial" w:cs="Arial"/>
          <w:sz w:val="20"/>
          <w:szCs w:val="20"/>
        </w:rPr>
        <w:t xml:space="preserve"> R. (2013). Anti-inflammatory treatments for chronic diseases: A review. </w:t>
      </w:r>
      <w:r w:rsidRPr="00435FC7">
        <w:rPr>
          <w:rFonts w:ascii="Arial" w:hAnsi="Arial" w:cs="Arial"/>
          <w:i/>
          <w:iCs/>
          <w:sz w:val="20"/>
          <w:szCs w:val="20"/>
        </w:rPr>
        <w:t>Inflammation &amp; Allergy-Drug Targets (Formerly Current Drug Targets-Inflammation &amp; Allergy) (Discontinued)</w:t>
      </w:r>
      <w:r w:rsidRPr="00435FC7">
        <w:rPr>
          <w:rFonts w:ascii="Arial" w:hAnsi="Arial" w:cs="Arial"/>
          <w:sz w:val="20"/>
          <w:szCs w:val="20"/>
        </w:rPr>
        <w:t xml:space="preserve">, </w:t>
      </w:r>
      <w:r w:rsidRPr="00435FC7">
        <w:rPr>
          <w:rFonts w:ascii="Arial" w:hAnsi="Arial" w:cs="Arial"/>
          <w:i/>
          <w:iCs/>
          <w:sz w:val="20"/>
          <w:szCs w:val="20"/>
        </w:rPr>
        <w:t>12</w:t>
      </w:r>
      <w:r w:rsidRPr="00435FC7">
        <w:rPr>
          <w:rFonts w:ascii="Arial" w:hAnsi="Arial" w:cs="Arial"/>
          <w:sz w:val="20"/>
          <w:szCs w:val="20"/>
        </w:rPr>
        <w:t>(5), 349-361.</w:t>
      </w:r>
    </w:p>
    <w:p w14:paraId="5A8D70D3"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t xml:space="preserve">Lee, S. Y., Park, H. J., Best-Popescu, C., Jang, S., &amp; Park, Y. K. (2015). The effects of ethanol on the morphological and biochemical properties of individual human red blood cells. </w:t>
      </w:r>
      <w:r w:rsidRPr="00435FC7">
        <w:rPr>
          <w:rFonts w:ascii="Arial" w:hAnsi="Arial" w:cs="Arial"/>
          <w:i/>
          <w:iCs/>
          <w:sz w:val="20"/>
          <w:szCs w:val="20"/>
        </w:rPr>
        <w:t>Public Library of Science One</w:t>
      </w:r>
      <w:r w:rsidRPr="00435FC7">
        <w:rPr>
          <w:rFonts w:ascii="Arial" w:hAnsi="Arial" w:cs="Arial"/>
          <w:sz w:val="20"/>
          <w:szCs w:val="20"/>
        </w:rPr>
        <w:t xml:space="preserve">, </w:t>
      </w:r>
      <w:r w:rsidRPr="00435FC7">
        <w:rPr>
          <w:rFonts w:ascii="Arial" w:hAnsi="Arial" w:cs="Arial"/>
          <w:i/>
          <w:iCs/>
          <w:sz w:val="20"/>
          <w:szCs w:val="20"/>
        </w:rPr>
        <w:t>10</w:t>
      </w:r>
      <w:r w:rsidRPr="00435FC7">
        <w:rPr>
          <w:rFonts w:ascii="Arial" w:hAnsi="Arial" w:cs="Arial"/>
          <w:sz w:val="20"/>
          <w:szCs w:val="20"/>
        </w:rPr>
        <w:t>(12), e0145327.</w:t>
      </w:r>
    </w:p>
    <w:p w14:paraId="7F2E2FD5" w14:textId="77777777" w:rsidR="00AF6C28" w:rsidRPr="00435FC7" w:rsidRDefault="00AF6C28" w:rsidP="006835DA">
      <w:pPr>
        <w:jc w:val="both"/>
        <w:rPr>
          <w:rFonts w:ascii="Arial" w:hAnsi="Arial" w:cs="Arial"/>
          <w:sz w:val="20"/>
          <w:szCs w:val="20"/>
        </w:rPr>
      </w:pPr>
      <w:r w:rsidRPr="00435FC7">
        <w:rPr>
          <w:rFonts w:ascii="Arial" w:eastAsia="Times New Roman" w:hAnsi="Arial" w:cs="Arial"/>
          <w:sz w:val="20"/>
          <w:szCs w:val="20"/>
        </w:rPr>
        <w:t xml:space="preserve">Li, J. J., &amp; Fang, C. H. (2004). C-reactive protein is not only an inflammatory marker but also a direct cause of cardiovascular diseases. </w:t>
      </w:r>
      <w:r w:rsidRPr="00435FC7">
        <w:rPr>
          <w:rFonts w:ascii="Arial" w:eastAsia="Times New Roman" w:hAnsi="Arial" w:cs="Arial"/>
          <w:i/>
          <w:sz w:val="20"/>
          <w:szCs w:val="20"/>
        </w:rPr>
        <w:t>Medical Hypotheses</w:t>
      </w:r>
      <w:r w:rsidRPr="00435FC7">
        <w:rPr>
          <w:rFonts w:ascii="Arial" w:eastAsia="Times New Roman" w:hAnsi="Arial" w:cs="Arial"/>
          <w:sz w:val="20"/>
          <w:szCs w:val="20"/>
        </w:rPr>
        <w:t>, 62(4), 499-506.</w:t>
      </w:r>
    </w:p>
    <w:p w14:paraId="29EDEEC6" w14:textId="77777777" w:rsidR="00AF6C28" w:rsidRPr="00435FC7" w:rsidRDefault="00AF6C28" w:rsidP="006835DA">
      <w:pPr>
        <w:jc w:val="both"/>
        <w:rPr>
          <w:rFonts w:ascii="Arial" w:hAnsi="Arial" w:cs="Arial"/>
          <w:sz w:val="20"/>
          <w:szCs w:val="20"/>
        </w:rPr>
      </w:pPr>
      <w:r w:rsidRPr="00435FC7">
        <w:rPr>
          <w:rFonts w:ascii="Arial" w:hAnsi="Arial" w:cs="Arial"/>
          <w:color w:val="222222"/>
          <w:sz w:val="20"/>
          <w:szCs w:val="20"/>
          <w:shd w:val="clear" w:color="auto" w:fill="FFFFFF"/>
        </w:rPr>
        <w:t>Mackiewicz, A., Kushner, I., &amp; Baumann, H. (2020). </w:t>
      </w:r>
      <w:r w:rsidRPr="00435FC7">
        <w:rPr>
          <w:rFonts w:ascii="Arial" w:hAnsi="Arial" w:cs="Arial"/>
          <w:i/>
          <w:iCs/>
          <w:color w:val="222222"/>
          <w:sz w:val="20"/>
          <w:szCs w:val="20"/>
          <w:shd w:val="clear" w:color="auto" w:fill="FFFFFF"/>
        </w:rPr>
        <w:t>Acute phase proteins molecular biology, biochemistry, and clinical applications</w:t>
      </w:r>
      <w:r w:rsidRPr="00435FC7">
        <w:rPr>
          <w:rFonts w:ascii="Arial" w:hAnsi="Arial" w:cs="Arial"/>
          <w:color w:val="222222"/>
          <w:sz w:val="20"/>
          <w:szCs w:val="20"/>
          <w:shd w:val="clear" w:color="auto" w:fill="FFFFFF"/>
        </w:rPr>
        <w:t>. CRC Press.</w:t>
      </w:r>
    </w:p>
    <w:p w14:paraId="27EDE717" w14:textId="77777777" w:rsidR="00AF6C28" w:rsidRPr="00435FC7" w:rsidRDefault="00AF6C28" w:rsidP="006835DA">
      <w:pPr>
        <w:jc w:val="both"/>
        <w:rPr>
          <w:rFonts w:ascii="Arial" w:hAnsi="Arial" w:cs="Arial"/>
          <w:sz w:val="20"/>
          <w:szCs w:val="20"/>
        </w:rPr>
      </w:pPr>
      <w:r w:rsidRPr="00435FC7">
        <w:rPr>
          <w:rFonts w:ascii="Arial" w:eastAsia="Times New Roman" w:hAnsi="Arial" w:cs="Arial"/>
          <w:sz w:val="20"/>
          <w:szCs w:val="20"/>
        </w:rPr>
        <w:t xml:space="preserve">McFadyen, J. D., Kiefer, J., Braig, D., Loseff-Silver, </w:t>
      </w:r>
      <w:r w:rsidRPr="00F16A6B">
        <w:rPr>
          <w:rFonts w:ascii="Arial" w:eastAsia="Times New Roman" w:hAnsi="Arial" w:cs="Arial"/>
          <w:sz w:val="20"/>
          <w:szCs w:val="20"/>
        </w:rPr>
        <w:t>J., Potempa, L. A., Eisenhardt, S. U., &amp; Peter</w:t>
      </w:r>
      <w:r w:rsidRPr="00435FC7">
        <w:rPr>
          <w:rFonts w:ascii="Arial" w:eastAsia="Times New Roman" w:hAnsi="Arial" w:cs="Arial"/>
          <w:sz w:val="20"/>
          <w:szCs w:val="20"/>
        </w:rPr>
        <w:t xml:space="preserve">, K. (2018). Dissociation of C-reactive protein localizes and amplifies inflammation: evidence for a direct biological role of C-reactive protein and its conformational changes. </w:t>
      </w:r>
      <w:r w:rsidRPr="00435FC7">
        <w:rPr>
          <w:rFonts w:ascii="Arial" w:eastAsia="Times New Roman" w:hAnsi="Arial" w:cs="Arial"/>
          <w:i/>
          <w:iCs/>
          <w:sz w:val="20"/>
          <w:szCs w:val="20"/>
        </w:rPr>
        <w:t>Frontiers in Immunology</w:t>
      </w:r>
      <w:r w:rsidRPr="00435FC7">
        <w:rPr>
          <w:rFonts w:ascii="Arial" w:eastAsia="Times New Roman" w:hAnsi="Arial" w:cs="Arial"/>
          <w:sz w:val="20"/>
          <w:szCs w:val="20"/>
        </w:rPr>
        <w:t xml:space="preserve">, </w:t>
      </w:r>
      <w:r w:rsidRPr="00435FC7">
        <w:rPr>
          <w:rFonts w:ascii="Arial" w:eastAsia="Times New Roman" w:hAnsi="Arial" w:cs="Arial"/>
          <w:i/>
          <w:iCs/>
          <w:sz w:val="20"/>
          <w:szCs w:val="20"/>
        </w:rPr>
        <w:t>9</w:t>
      </w:r>
      <w:r w:rsidRPr="00435FC7">
        <w:rPr>
          <w:rFonts w:ascii="Arial" w:eastAsia="Times New Roman" w:hAnsi="Arial" w:cs="Arial"/>
          <w:sz w:val="20"/>
          <w:szCs w:val="20"/>
        </w:rPr>
        <w:t>, 1351.</w:t>
      </w:r>
    </w:p>
    <w:p w14:paraId="6CC729EE" w14:textId="77777777" w:rsidR="00AF6C28" w:rsidRPr="00435FC7" w:rsidRDefault="00AF6C28" w:rsidP="006835DA">
      <w:pPr>
        <w:jc w:val="both"/>
        <w:rPr>
          <w:rFonts w:ascii="Arial" w:hAnsi="Arial" w:cs="Arial"/>
          <w:sz w:val="20"/>
          <w:szCs w:val="20"/>
        </w:rPr>
      </w:pPr>
      <w:r w:rsidRPr="00435FC7">
        <w:rPr>
          <w:rFonts w:ascii="Arial" w:hAnsi="Arial" w:cs="Arial"/>
          <w:color w:val="222222"/>
          <w:sz w:val="20"/>
          <w:szCs w:val="20"/>
          <w:shd w:val="clear" w:color="auto" w:fill="FFFFFF"/>
        </w:rPr>
        <w:t xml:space="preserve">Nehring, S. M., Goyal, A., &amp; Patel, B. C. (2017). C reactive protein. </w:t>
      </w:r>
      <w:r w:rsidRPr="00435FC7">
        <w:rPr>
          <w:rFonts w:ascii="Arial" w:hAnsi="Arial" w:cs="Arial"/>
          <w:i/>
          <w:color w:val="222222"/>
          <w:sz w:val="20"/>
          <w:szCs w:val="20"/>
          <w:shd w:val="clear" w:color="auto" w:fill="FFFFFF"/>
        </w:rPr>
        <w:t>In StatPearls</w:t>
      </w:r>
      <w:r w:rsidRPr="00435FC7">
        <w:rPr>
          <w:rFonts w:ascii="Arial" w:hAnsi="Arial" w:cs="Arial"/>
          <w:color w:val="222222"/>
          <w:sz w:val="20"/>
          <w:szCs w:val="20"/>
          <w:shd w:val="clear" w:color="auto" w:fill="FFFFFF"/>
        </w:rPr>
        <w:t>. StatPearls Publishing. PMID: 28722873.</w:t>
      </w:r>
    </w:p>
    <w:bookmarkEnd w:id="6"/>
    <w:p w14:paraId="2FA081BA" w14:textId="0B13D298" w:rsidR="00AF6C28" w:rsidRPr="00435FC7" w:rsidRDefault="00AF6C28" w:rsidP="006835DA">
      <w:pPr>
        <w:jc w:val="both"/>
        <w:rPr>
          <w:rFonts w:ascii="Arial" w:hAnsi="Arial" w:cs="Arial"/>
          <w:sz w:val="20"/>
          <w:szCs w:val="20"/>
        </w:rPr>
      </w:pPr>
      <w:r w:rsidRPr="00435FC7">
        <w:rPr>
          <w:rFonts w:ascii="Arial" w:hAnsi="Arial" w:cs="Arial"/>
          <w:sz w:val="20"/>
          <w:szCs w:val="20"/>
        </w:rPr>
        <w:t xml:space="preserve">Olmedo-Buenrostro, B. A., Ortega-Ortiz, J. G., Guzman-Esquivel, J., Delgado-Enciso, O. G., Ceja-Espiritu, G., Paz-Michel, </w:t>
      </w:r>
      <w:r w:rsidRPr="00F16A6B">
        <w:rPr>
          <w:rFonts w:ascii="Arial" w:hAnsi="Arial" w:cs="Arial"/>
          <w:sz w:val="20"/>
          <w:szCs w:val="20"/>
        </w:rPr>
        <w:t>B. A., Rodriguez-Sanchez, I.P., Martinez-Fierro, M. L., Baltazar-Rodriguez, L.M., Melnikov, V., Rodriguez-Hernandez, A</w:t>
      </w:r>
      <w:r w:rsidRPr="00435FC7">
        <w:rPr>
          <w:rFonts w:ascii="Arial" w:hAnsi="Arial" w:cs="Arial"/>
          <w:sz w:val="20"/>
          <w:szCs w:val="20"/>
        </w:rPr>
        <w:t xml:space="preserve">., &amp; Delgado-Enciso, I. (2017). Workplace gasoline exposure increases the risk for early renal dysfunction: A case-control study in Mexico. </w:t>
      </w:r>
      <w:r w:rsidRPr="00435FC7">
        <w:rPr>
          <w:rFonts w:ascii="Arial" w:hAnsi="Arial" w:cs="Arial"/>
          <w:i/>
          <w:iCs/>
          <w:sz w:val="20"/>
          <w:szCs w:val="20"/>
        </w:rPr>
        <w:t>Biomedical Research</w:t>
      </w:r>
      <w:r w:rsidRPr="00435FC7">
        <w:rPr>
          <w:rFonts w:ascii="Arial" w:hAnsi="Arial" w:cs="Arial"/>
          <w:sz w:val="20"/>
          <w:szCs w:val="20"/>
        </w:rPr>
        <w:t xml:space="preserve">, </w:t>
      </w:r>
      <w:r w:rsidRPr="00435FC7">
        <w:rPr>
          <w:rFonts w:ascii="Arial" w:hAnsi="Arial" w:cs="Arial"/>
          <w:i/>
          <w:iCs/>
          <w:sz w:val="20"/>
          <w:szCs w:val="20"/>
        </w:rPr>
        <w:t>28</w:t>
      </w:r>
      <w:r w:rsidRPr="00435FC7">
        <w:rPr>
          <w:rFonts w:ascii="Arial" w:hAnsi="Arial" w:cs="Arial"/>
          <w:sz w:val="20"/>
          <w:szCs w:val="20"/>
        </w:rPr>
        <w:t>(22), 9859-9863.</w:t>
      </w:r>
    </w:p>
    <w:p w14:paraId="1282CE97" w14:textId="5F7B57E4" w:rsidR="00907046" w:rsidRPr="00435FC7" w:rsidRDefault="00907046" w:rsidP="006835DA">
      <w:pPr>
        <w:jc w:val="both"/>
        <w:rPr>
          <w:rFonts w:ascii="Arial" w:hAnsi="Arial" w:cs="Arial"/>
          <w:sz w:val="20"/>
          <w:szCs w:val="20"/>
        </w:rPr>
      </w:pPr>
      <w:r w:rsidRPr="00435FC7">
        <w:rPr>
          <w:rFonts w:ascii="Arial" w:eastAsia="Times New Roman" w:hAnsi="Arial" w:cs="Arial"/>
          <w:bCs/>
          <w:color w:val="000000"/>
          <w:sz w:val="20"/>
          <w:szCs w:val="20"/>
        </w:rPr>
        <w:t>Orolua, C. C., Monago-Ighorodje, C. C.,</w:t>
      </w:r>
      <w:r w:rsidRPr="00435FC7">
        <w:rPr>
          <w:rFonts w:ascii="Arial" w:eastAsia="Times New Roman" w:hAnsi="Arial" w:cs="Arial"/>
          <w:color w:val="000000"/>
          <w:sz w:val="20"/>
          <w:szCs w:val="20"/>
        </w:rPr>
        <w:t xml:space="preserve"> </w:t>
      </w:r>
      <w:r w:rsidRPr="00435FC7">
        <w:rPr>
          <w:rFonts w:ascii="Arial" w:eastAsia="Times New Roman" w:hAnsi="Arial" w:cs="Arial"/>
          <w:bCs/>
          <w:color w:val="000000"/>
          <w:sz w:val="20"/>
          <w:szCs w:val="20"/>
        </w:rPr>
        <w:t>Ogbonnaya, E. A., &amp; Ezendiokwere, O. E. (2024)</w:t>
      </w:r>
      <w:r w:rsidR="000C1EBD" w:rsidRPr="00435FC7">
        <w:rPr>
          <w:rFonts w:ascii="Arial" w:eastAsia="Times New Roman" w:hAnsi="Arial" w:cs="Arial"/>
          <w:bCs/>
          <w:color w:val="000000"/>
          <w:sz w:val="20"/>
          <w:szCs w:val="20"/>
        </w:rPr>
        <w:t>.</w:t>
      </w:r>
      <w:r w:rsidR="000C1EBD" w:rsidRPr="00435FC7">
        <w:rPr>
          <w:rFonts w:ascii="Arial" w:eastAsia="Times New Roman" w:hAnsi="Arial" w:cs="Arial"/>
          <w:b/>
          <w:bCs/>
          <w:color w:val="000000"/>
          <w:sz w:val="20"/>
          <w:szCs w:val="20"/>
        </w:rPr>
        <w:t xml:space="preserve"> </w:t>
      </w:r>
      <w:r w:rsidR="000C1EBD" w:rsidRPr="00435FC7">
        <w:rPr>
          <w:rFonts w:ascii="Arial" w:hAnsi="Arial" w:cs="Arial"/>
          <w:sz w:val="20"/>
          <w:szCs w:val="20"/>
        </w:rPr>
        <w:t xml:space="preserve">Effect of gasoline exposure on some renal and hepatic function parameters of petrol station workers in Port Harcourt Metropolis, Nigeria. </w:t>
      </w:r>
      <w:r w:rsidR="000C1EBD" w:rsidRPr="00435FC7">
        <w:rPr>
          <w:rFonts w:ascii="Arial" w:hAnsi="Arial" w:cs="Arial"/>
          <w:bCs/>
          <w:i/>
          <w:iCs/>
          <w:color w:val="000000"/>
          <w:sz w:val="20"/>
          <w:szCs w:val="20"/>
        </w:rPr>
        <w:t>Scientia Africana</w:t>
      </w:r>
      <w:r w:rsidR="000C1EBD" w:rsidRPr="00435FC7">
        <w:rPr>
          <w:rFonts w:ascii="Arial" w:hAnsi="Arial" w:cs="Arial"/>
          <w:b/>
          <w:bCs/>
          <w:i/>
          <w:iCs/>
          <w:color w:val="000000"/>
          <w:sz w:val="20"/>
          <w:szCs w:val="20"/>
        </w:rPr>
        <w:t xml:space="preserve">, </w:t>
      </w:r>
      <w:r w:rsidR="000C1EBD" w:rsidRPr="00435FC7">
        <w:rPr>
          <w:rFonts w:ascii="Arial" w:hAnsi="Arial" w:cs="Arial"/>
          <w:bCs/>
          <w:i/>
          <w:iCs/>
          <w:color w:val="000000"/>
          <w:sz w:val="20"/>
          <w:szCs w:val="20"/>
        </w:rPr>
        <w:t xml:space="preserve">23 </w:t>
      </w:r>
      <w:r w:rsidR="000C1EBD" w:rsidRPr="00435FC7">
        <w:rPr>
          <w:rFonts w:ascii="Arial" w:hAnsi="Arial" w:cs="Arial"/>
          <w:bCs/>
          <w:iCs/>
          <w:color w:val="000000"/>
          <w:sz w:val="20"/>
          <w:szCs w:val="20"/>
        </w:rPr>
        <w:t>(5),</w:t>
      </w:r>
      <w:r w:rsidR="000C1EBD" w:rsidRPr="00435FC7">
        <w:rPr>
          <w:rFonts w:ascii="Arial" w:hAnsi="Arial" w:cs="Arial"/>
          <w:bCs/>
          <w:i/>
          <w:iCs/>
          <w:color w:val="000000"/>
          <w:sz w:val="20"/>
          <w:szCs w:val="20"/>
        </w:rPr>
        <w:t xml:space="preserve"> </w:t>
      </w:r>
      <w:r w:rsidR="000C1EBD" w:rsidRPr="00435FC7">
        <w:rPr>
          <w:rFonts w:ascii="Arial" w:hAnsi="Arial" w:cs="Arial"/>
          <w:bCs/>
          <w:iCs/>
          <w:color w:val="000000"/>
          <w:sz w:val="20"/>
          <w:szCs w:val="20"/>
        </w:rPr>
        <w:t>123-132.</w:t>
      </w:r>
    </w:p>
    <w:p w14:paraId="3B9D968F"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t xml:space="preserve">Ren, C., Melly, S., &amp; Schwartz, J. (2010). Modifiers of short-term effects of ozone on mortality in eastern Massachusetts-a case crossover analysis at individual level. </w:t>
      </w:r>
      <w:r w:rsidRPr="00435FC7">
        <w:rPr>
          <w:rFonts w:ascii="Arial" w:hAnsi="Arial" w:cs="Arial"/>
          <w:i/>
          <w:iCs/>
          <w:sz w:val="20"/>
          <w:szCs w:val="20"/>
        </w:rPr>
        <w:t>Environmental Health</w:t>
      </w:r>
      <w:r w:rsidRPr="00435FC7">
        <w:rPr>
          <w:rFonts w:ascii="Arial" w:hAnsi="Arial" w:cs="Arial"/>
          <w:sz w:val="20"/>
          <w:szCs w:val="20"/>
        </w:rPr>
        <w:t xml:space="preserve">, </w:t>
      </w:r>
      <w:r w:rsidRPr="00435FC7">
        <w:rPr>
          <w:rFonts w:ascii="Arial" w:hAnsi="Arial" w:cs="Arial"/>
          <w:i/>
          <w:iCs/>
          <w:sz w:val="20"/>
          <w:szCs w:val="20"/>
        </w:rPr>
        <w:t>9</w:t>
      </w:r>
      <w:r w:rsidRPr="00435FC7">
        <w:rPr>
          <w:rFonts w:ascii="Arial" w:hAnsi="Arial" w:cs="Arial"/>
          <w:sz w:val="20"/>
          <w:szCs w:val="20"/>
        </w:rPr>
        <w:t>, 1-10.</w:t>
      </w:r>
    </w:p>
    <w:p w14:paraId="27A5CB8F"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t xml:space="preserve">Ridker, P. M. (2009). C-reactive protein: eighty years from discovery to emergence as a major risk marker for cardiovascular disease. </w:t>
      </w:r>
      <w:r w:rsidRPr="00435FC7">
        <w:rPr>
          <w:rFonts w:ascii="Arial" w:hAnsi="Arial" w:cs="Arial"/>
          <w:i/>
          <w:sz w:val="20"/>
          <w:szCs w:val="20"/>
        </w:rPr>
        <w:t>Clinical chemistry, 55</w:t>
      </w:r>
      <w:r w:rsidRPr="00435FC7">
        <w:rPr>
          <w:rFonts w:ascii="Arial" w:hAnsi="Arial" w:cs="Arial"/>
          <w:sz w:val="20"/>
          <w:szCs w:val="20"/>
        </w:rPr>
        <w:t>(2), 209-215.</w:t>
      </w:r>
    </w:p>
    <w:p w14:paraId="1E7EFE19"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t xml:space="preserve">Shen, Q., Liu, Y., Li, G., &amp; An, T. (2024). A review of disrupted biological response associated with volatile organic compound exposure: Insight into identification of biomarkers. </w:t>
      </w:r>
      <w:r w:rsidRPr="00435FC7">
        <w:rPr>
          <w:rFonts w:ascii="Arial" w:hAnsi="Arial" w:cs="Arial"/>
          <w:i/>
          <w:iCs/>
          <w:sz w:val="20"/>
          <w:szCs w:val="20"/>
        </w:rPr>
        <w:t>Science of The Total Environment</w:t>
      </w:r>
      <w:r w:rsidRPr="00435FC7">
        <w:rPr>
          <w:rFonts w:ascii="Arial" w:hAnsi="Arial" w:cs="Arial"/>
          <w:sz w:val="20"/>
          <w:szCs w:val="20"/>
        </w:rPr>
        <w:t>, 174924.</w:t>
      </w:r>
    </w:p>
    <w:p w14:paraId="08E6D40F"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lastRenderedPageBreak/>
        <w:t xml:space="preserve">Singer, J. M., Plotz, C. M., Pader, E., &amp; Elster, S. K. (1957). The latex-fixation test: III. Agglutination test for C-reactive protein and comparison with the capillary precipitin method. </w:t>
      </w:r>
      <w:r w:rsidRPr="00435FC7">
        <w:rPr>
          <w:rFonts w:ascii="Arial" w:hAnsi="Arial" w:cs="Arial"/>
          <w:i/>
          <w:sz w:val="20"/>
          <w:szCs w:val="20"/>
        </w:rPr>
        <w:t>American journal of clinical pathology, 28</w:t>
      </w:r>
      <w:r w:rsidRPr="00435FC7">
        <w:rPr>
          <w:rFonts w:ascii="Arial" w:hAnsi="Arial" w:cs="Arial"/>
          <w:sz w:val="20"/>
          <w:szCs w:val="20"/>
        </w:rPr>
        <w:t>(6), 611-617.</w:t>
      </w:r>
    </w:p>
    <w:p w14:paraId="1A620829"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t xml:space="preserve">Sproston, N. R., &amp; Ashworth, J. J. (2018, April 13). Role of C-Reactive Protein at Sites of Inflammation and Infection. </w:t>
      </w:r>
      <w:r w:rsidRPr="00435FC7">
        <w:rPr>
          <w:rFonts w:ascii="Arial" w:hAnsi="Arial" w:cs="Arial"/>
          <w:i/>
          <w:sz w:val="20"/>
          <w:szCs w:val="20"/>
        </w:rPr>
        <w:t>Frontiers in Immunology, 9</w:t>
      </w:r>
      <w:r w:rsidRPr="00435FC7">
        <w:rPr>
          <w:rFonts w:ascii="Arial" w:hAnsi="Arial" w:cs="Arial"/>
          <w:sz w:val="20"/>
          <w:szCs w:val="20"/>
        </w:rPr>
        <w:t>.</w:t>
      </w:r>
    </w:p>
    <w:p w14:paraId="3DDFD606"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t xml:space="preserve">Teklu, G., Negash, M., Asefaw, T., Tesfay, F., Gebremariam, G., Teklehaimanot, G., Wolde, M., &amp; Tsegaye, A. (2021). Effect of Gasoline Exposure on Haematological Parameters of Gas Station Workers in Mekelle City, Tigray Region, Northern Ethiopia. </w:t>
      </w:r>
      <w:r w:rsidRPr="00435FC7">
        <w:rPr>
          <w:rFonts w:ascii="Arial" w:hAnsi="Arial" w:cs="Arial"/>
          <w:i/>
          <w:sz w:val="20"/>
          <w:szCs w:val="20"/>
        </w:rPr>
        <w:t>Journal of Blood Medicine,</w:t>
      </w:r>
      <w:r w:rsidRPr="00435FC7">
        <w:rPr>
          <w:rFonts w:ascii="Arial" w:hAnsi="Arial" w:cs="Arial"/>
          <w:sz w:val="20"/>
          <w:szCs w:val="20"/>
        </w:rPr>
        <w:t xml:space="preserve"> </w:t>
      </w:r>
      <w:r w:rsidRPr="00435FC7">
        <w:rPr>
          <w:rFonts w:ascii="Arial" w:hAnsi="Arial" w:cs="Arial"/>
          <w:i/>
          <w:sz w:val="20"/>
          <w:szCs w:val="20"/>
        </w:rPr>
        <w:t>12</w:t>
      </w:r>
      <w:r w:rsidRPr="00435FC7">
        <w:rPr>
          <w:rFonts w:ascii="Arial" w:hAnsi="Arial" w:cs="Arial"/>
          <w:sz w:val="20"/>
          <w:szCs w:val="20"/>
        </w:rPr>
        <w:t>, 839–847.</w:t>
      </w:r>
    </w:p>
    <w:p w14:paraId="4F2288CF"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t xml:space="preserve">Uslu, S., &amp; Yörük, M. (2015). A morphological and histometric study on the distribution and heterogeneity of mast cells found in lungs and trachea of Van Cats. </w:t>
      </w:r>
      <w:r w:rsidRPr="00435FC7">
        <w:rPr>
          <w:rFonts w:ascii="Arial" w:hAnsi="Arial" w:cs="Arial"/>
          <w:i/>
          <w:sz w:val="20"/>
          <w:szCs w:val="20"/>
        </w:rPr>
        <w:t>Ankara University Veterinary Faculty Journal</w:t>
      </w:r>
      <w:r w:rsidRPr="00435FC7">
        <w:rPr>
          <w:rFonts w:ascii="Arial" w:hAnsi="Arial" w:cs="Arial"/>
          <w:sz w:val="20"/>
          <w:szCs w:val="20"/>
        </w:rPr>
        <w:t xml:space="preserve">, </w:t>
      </w:r>
      <w:r w:rsidRPr="00435FC7">
        <w:rPr>
          <w:rFonts w:ascii="Arial" w:hAnsi="Arial" w:cs="Arial"/>
          <w:i/>
          <w:iCs/>
          <w:sz w:val="20"/>
          <w:szCs w:val="20"/>
        </w:rPr>
        <w:t>62</w:t>
      </w:r>
      <w:r w:rsidRPr="00435FC7">
        <w:rPr>
          <w:rFonts w:ascii="Arial" w:hAnsi="Arial" w:cs="Arial"/>
          <w:sz w:val="20"/>
          <w:szCs w:val="20"/>
        </w:rPr>
        <w:t>(2), 87-91.</w:t>
      </w:r>
    </w:p>
    <w:p w14:paraId="7AE744DD"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t xml:space="preserve">Yakubu, O. (2017). Particle (soot) pollution in Port Harcourt Rivers State, Nigeria—Double air pollution burden? Understanding and tackling potential environmental public health impacts. </w:t>
      </w:r>
      <w:r w:rsidRPr="00435FC7">
        <w:rPr>
          <w:rFonts w:ascii="Arial" w:hAnsi="Arial" w:cs="Arial"/>
          <w:i/>
          <w:sz w:val="20"/>
          <w:szCs w:val="20"/>
        </w:rPr>
        <w:t>Environments, 5</w:t>
      </w:r>
      <w:r w:rsidRPr="00435FC7">
        <w:rPr>
          <w:rFonts w:ascii="Arial" w:hAnsi="Arial" w:cs="Arial"/>
          <w:sz w:val="20"/>
          <w:szCs w:val="20"/>
        </w:rPr>
        <w:t>(1), 2.</w:t>
      </w:r>
    </w:p>
    <w:p w14:paraId="1549C00F" w14:textId="77777777" w:rsidR="00AF6C28" w:rsidRPr="00435FC7" w:rsidRDefault="00AF6C28" w:rsidP="006835DA">
      <w:pPr>
        <w:jc w:val="both"/>
        <w:rPr>
          <w:rFonts w:ascii="Arial" w:hAnsi="Arial" w:cs="Arial"/>
          <w:sz w:val="20"/>
          <w:szCs w:val="20"/>
        </w:rPr>
      </w:pPr>
      <w:r w:rsidRPr="00435FC7">
        <w:rPr>
          <w:rFonts w:ascii="Arial" w:hAnsi="Arial" w:cs="Arial"/>
          <w:sz w:val="20"/>
          <w:szCs w:val="20"/>
        </w:rPr>
        <w:t xml:space="preserve">Zabbey, N., Sam, K., Newsom, C. A., &amp; Nyiaghan, P. B. (2021). The COVID-19 lockdown: An opportunity for conducting an air quality baseline in Port Harcourt, Nigeria. </w:t>
      </w:r>
      <w:r w:rsidRPr="00435FC7">
        <w:rPr>
          <w:rFonts w:ascii="Arial" w:hAnsi="Arial" w:cs="Arial"/>
          <w:i/>
          <w:sz w:val="20"/>
          <w:szCs w:val="20"/>
        </w:rPr>
        <w:t>The Extractive Industries and Society, 8</w:t>
      </w:r>
      <w:r w:rsidRPr="00435FC7">
        <w:rPr>
          <w:rFonts w:ascii="Arial" w:hAnsi="Arial" w:cs="Arial"/>
          <w:sz w:val="20"/>
          <w:szCs w:val="20"/>
        </w:rPr>
        <w:t>(1), 244–256.</w:t>
      </w:r>
    </w:p>
    <w:p w14:paraId="4959B6F9" w14:textId="77777777" w:rsidR="007B1007" w:rsidRPr="00435FC7" w:rsidRDefault="007B1007" w:rsidP="006835DA">
      <w:pPr>
        <w:jc w:val="both"/>
        <w:rPr>
          <w:rFonts w:ascii="Arial" w:hAnsi="Arial" w:cs="Arial"/>
          <w:sz w:val="20"/>
          <w:szCs w:val="20"/>
        </w:rPr>
      </w:pPr>
      <w:r w:rsidRPr="00435FC7">
        <w:rPr>
          <w:rFonts w:ascii="Arial" w:hAnsi="Arial" w:cs="Arial"/>
          <w:color w:val="212121"/>
          <w:sz w:val="20"/>
          <w:szCs w:val="20"/>
          <w:shd w:val="clear" w:color="auto" w:fill="FFFFFF"/>
        </w:rPr>
        <w:t>Van Dyke, T. E., &amp; Kornman, K. S. (2008). Inflammation and factors that may regulate inflammatory response. </w:t>
      </w:r>
      <w:r w:rsidRPr="00435FC7">
        <w:rPr>
          <w:rFonts w:ascii="Arial" w:hAnsi="Arial" w:cs="Arial"/>
          <w:i/>
          <w:iCs/>
          <w:color w:val="212121"/>
          <w:sz w:val="20"/>
          <w:szCs w:val="20"/>
          <w:shd w:val="clear" w:color="auto" w:fill="FFFFFF"/>
        </w:rPr>
        <w:t>Journal of periodontology</w:t>
      </w:r>
      <w:r w:rsidRPr="00435FC7">
        <w:rPr>
          <w:rFonts w:ascii="Arial" w:hAnsi="Arial" w:cs="Arial"/>
          <w:color w:val="212121"/>
          <w:sz w:val="20"/>
          <w:szCs w:val="20"/>
          <w:shd w:val="clear" w:color="auto" w:fill="FFFFFF"/>
        </w:rPr>
        <w:t>, </w:t>
      </w:r>
      <w:r w:rsidRPr="00435FC7">
        <w:rPr>
          <w:rFonts w:ascii="Arial" w:hAnsi="Arial" w:cs="Arial"/>
          <w:i/>
          <w:iCs/>
          <w:color w:val="212121"/>
          <w:sz w:val="20"/>
          <w:szCs w:val="20"/>
          <w:shd w:val="clear" w:color="auto" w:fill="FFFFFF"/>
        </w:rPr>
        <w:t>79</w:t>
      </w:r>
      <w:r w:rsidRPr="00435FC7">
        <w:rPr>
          <w:rFonts w:ascii="Arial" w:hAnsi="Arial" w:cs="Arial"/>
          <w:color w:val="212121"/>
          <w:sz w:val="20"/>
          <w:szCs w:val="20"/>
          <w:shd w:val="clear" w:color="auto" w:fill="FFFFFF"/>
        </w:rPr>
        <w:t>(8 Suppl), 1503–1507. https://doi.org/10.1902/jop.2008.080239</w:t>
      </w:r>
    </w:p>
    <w:p w14:paraId="11CD38CA" w14:textId="77777777" w:rsidR="00864872" w:rsidRPr="00435FC7" w:rsidRDefault="00864872" w:rsidP="006835DA">
      <w:pPr>
        <w:jc w:val="both"/>
        <w:rPr>
          <w:rFonts w:ascii="Arial" w:hAnsi="Arial" w:cs="Arial"/>
          <w:sz w:val="20"/>
          <w:szCs w:val="20"/>
        </w:rPr>
      </w:pPr>
    </w:p>
    <w:sectPr w:rsidR="00864872" w:rsidRPr="00435FC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4A27F" w14:textId="77777777" w:rsidR="00406089" w:rsidRDefault="00406089" w:rsidP="00896EFC">
      <w:r>
        <w:separator/>
      </w:r>
    </w:p>
  </w:endnote>
  <w:endnote w:type="continuationSeparator" w:id="0">
    <w:p w14:paraId="051B5C10" w14:textId="77777777" w:rsidR="00406089" w:rsidRDefault="00406089" w:rsidP="0089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F13F" w14:textId="77777777" w:rsidR="00896EFC" w:rsidRDefault="00896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B253" w14:textId="77777777" w:rsidR="00896EFC" w:rsidRDefault="00896E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FB99" w14:textId="77777777" w:rsidR="00896EFC" w:rsidRDefault="00896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CFBB" w14:textId="77777777" w:rsidR="00406089" w:rsidRDefault="00406089" w:rsidP="00896EFC">
      <w:r>
        <w:separator/>
      </w:r>
    </w:p>
  </w:footnote>
  <w:footnote w:type="continuationSeparator" w:id="0">
    <w:p w14:paraId="3D0EF4DE" w14:textId="77777777" w:rsidR="00406089" w:rsidRDefault="00406089" w:rsidP="00896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4DAF" w14:textId="7B259DC2" w:rsidR="00896EFC" w:rsidRDefault="00896EFC">
    <w:pPr>
      <w:pStyle w:val="Header"/>
    </w:pPr>
    <w:r>
      <w:rPr>
        <w:noProof/>
      </w:rPr>
      <w:pict w14:anchorId="3ECDE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72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B2C8" w14:textId="19BF70D8" w:rsidR="00896EFC" w:rsidRDefault="00896EFC">
    <w:pPr>
      <w:pStyle w:val="Header"/>
    </w:pPr>
    <w:r>
      <w:rPr>
        <w:noProof/>
      </w:rPr>
      <w:pict w14:anchorId="5F068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72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08B3" w14:textId="6551484D" w:rsidR="00896EFC" w:rsidRDefault="00896EFC">
    <w:pPr>
      <w:pStyle w:val="Header"/>
    </w:pPr>
    <w:r>
      <w:rPr>
        <w:noProof/>
      </w:rPr>
      <w:pict w14:anchorId="408C6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72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1FC"/>
    <w:multiLevelType w:val="multilevel"/>
    <w:tmpl w:val="8C4A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56D25"/>
    <w:multiLevelType w:val="multilevel"/>
    <w:tmpl w:val="D8C46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B177C"/>
    <w:multiLevelType w:val="multilevel"/>
    <w:tmpl w:val="43AA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01CBA"/>
    <w:multiLevelType w:val="multilevel"/>
    <w:tmpl w:val="8428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A3CB8"/>
    <w:multiLevelType w:val="multilevel"/>
    <w:tmpl w:val="5CCA1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9A306A"/>
    <w:multiLevelType w:val="multilevel"/>
    <w:tmpl w:val="024A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17D97"/>
    <w:multiLevelType w:val="multilevel"/>
    <w:tmpl w:val="A788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20939"/>
    <w:multiLevelType w:val="hybridMultilevel"/>
    <w:tmpl w:val="4692C0BA"/>
    <w:lvl w:ilvl="0" w:tplc="C76AD9F0">
      <w:start w:val="1"/>
      <w:numFmt w:val="decimal"/>
      <w:lvlText w:val="%1."/>
      <w:lvlJc w:val="left"/>
      <w:pPr>
        <w:ind w:left="218" w:hanging="360"/>
      </w:pPr>
      <w:rPr>
        <w:rFonts w:hint="default"/>
      </w:rPr>
    </w:lvl>
    <w:lvl w:ilvl="1" w:tplc="20000019" w:tentative="1">
      <w:start w:val="1"/>
      <w:numFmt w:val="lowerLetter"/>
      <w:lvlText w:val="%2."/>
      <w:lvlJc w:val="left"/>
      <w:pPr>
        <w:ind w:left="938" w:hanging="360"/>
      </w:pPr>
    </w:lvl>
    <w:lvl w:ilvl="2" w:tplc="2000001B" w:tentative="1">
      <w:start w:val="1"/>
      <w:numFmt w:val="lowerRoman"/>
      <w:lvlText w:val="%3."/>
      <w:lvlJc w:val="right"/>
      <w:pPr>
        <w:ind w:left="1658" w:hanging="180"/>
      </w:pPr>
    </w:lvl>
    <w:lvl w:ilvl="3" w:tplc="2000000F" w:tentative="1">
      <w:start w:val="1"/>
      <w:numFmt w:val="decimal"/>
      <w:lvlText w:val="%4."/>
      <w:lvlJc w:val="left"/>
      <w:pPr>
        <w:ind w:left="2378" w:hanging="360"/>
      </w:pPr>
    </w:lvl>
    <w:lvl w:ilvl="4" w:tplc="20000019" w:tentative="1">
      <w:start w:val="1"/>
      <w:numFmt w:val="lowerLetter"/>
      <w:lvlText w:val="%5."/>
      <w:lvlJc w:val="left"/>
      <w:pPr>
        <w:ind w:left="3098" w:hanging="360"/>
      </w:pPr>
    </w:lvl>
    <w:lvl w:ilvl="5" w:tplc="2000001B" w:tentative="1">
      <w:start w:val="1"/>
      <w:numFmt w:val="lowerRoman"/>
      <w:lvlText w:val="%6."/>
      <w:lvlJc w:val="right"/>
      <w:pPr>
        <w:ind w:left="3818" w:hanging="180"/>
      </w:pPr>
    </w:lvl>
    <w:lvl w:ilvl="6" w:tplc="2000000F" w:tentative="1">
      <w:start w:val="1"/>
      <w:numFmt w:val="decimal"/>
      <w:lvlText w:val="%7."/>
      <w:lvlJc w:val="left"/>
      <w:pPr>
        <w:ind w:left="4538" w:hanging="360"/>
      </w:pPr>
    </w:lvl>
    <w:lvl w:ilvl="7" w:tplc="20000019" w:tentative="1">
      <w:start w:val="1"/>
      <w:numFmt w:val="lowerLetter"/>
      <w:lvlText w:val="%8."/>
      <w:lvlJc w:val="left"/>
      <w:pPr>
        <w:ind w:left="5258" w:hanging="360"/>
      </w:pPr>
    </w:lvl>
    <w:lvl w:ilvl="8" w:tplc="2000001B" w:tentative="1">
      <w:start w:val="1"/>
      <w:numFmt w:val="lowerRoman"/>
      <w:lvlText w:val="%9."/>
      <w:lvlJc w:val="right"/>
      <w:pPr>
        <w:ind w:left="5978" w:hanging="180"/>
      </w:pPr>
    </w:lvl>
  </w:abstractNum>
  <w:abstractNum w:abstractNumId="8" w15:restartNumberingAfterBreak="0">
    <w:nsid w:val="340D1445"/>
    <w:multiLevelType w:val="multilevel"/>
    <w:tmpl w:val="8798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A761F"/>
    <w:multiLevelType w:val="multilevel"/>
    <w:tmpl w:val="8D76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0D6D49"/>
    <w:multiLevelType w:val="multilevel"/>
    <w:tmpl w:val="B1C2CEB6"/>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7733B31"/>
    <w:multiLevelType w:val="multilevel"/>
    <w:tmpl w:val="EEAA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1A2AE7"/>
    <w:multiLevelType w:val="multilevel"/>
    <w:tmpl w:val="390E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645E5"/>
    <w:multiLevelType w:val="multilevel"/>
    <w:tmpl w:val="4D68E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47945"/>
    <w:multiLevelType w:val="multilevel"/>
    <w:tmpl w:val="3C9C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7C4D4C"/>
    <w:multiLevelType w:val="multilevel"/>
    <w:tmpl w:val="659EB684"/>
    <w:lvl w:ilvl="0">
      <w:start w:val="1"/>
      <w:numFmt w:val="decimal"/>
      <w:lvlText w:val="%1.0"/>
      <w:lvlJc w:val="left"/>
      <w:pPr>
        <w:ind w:left="218" w:hanging="360"/>
      </w:pPr>
      <w:rPr>
        <w:rFonts w:hint="default"/>
      </w:rPr>
    </w:lvl>
    <w:lvl w:ilvl="1">
      <w:start w:val="1"/>
      <w:numFmt w:val="decimal"/>
      <w:lvlText w:val="%1.%2"/>
      <w:lvlJc w:val="left"/>
      <w:pPr>
        <w:ind w:left="938" w:hanging="360"/>
      </w:pPr>
      <w:rPr>
        <w:rFonts w:hint="default"/>
      </w:rPr>
    </w:lvl>
    <w:lvl w:ilvl="2">
      <w:start w:val="1"/>
      <w:numFmt w:val="decimal"/>
      <w:lvlText w:val="%1.%2.%3"/>
      <w:lvlJc w:val="left"/>
      <w:pPr>
        <w:ind w:left="2018" w:hanging="720"/>
      </w:pPr>
      <w:rPr>
        <w:rFonts w:hint="default"/>
      </w:rPr>
    </w:lvl>
    <w:lvl w:ilvl="3">
      <w:start w:val="1"/>
      <w:numFmt w:val="decimal"/>
      <w:lvlText w:val="%1.%2.%3.%4"/>
      <w:lvlJc w:val="left"/>
      <w:pPr>
        <w:ind w:left="2738" w:hanging="720"/>
      </w:pPr>
      <w:rPr>
        <w:rFonts w:hint="default"/>
      </w:rPr>
    </w:lvl>
    <w:lvl w:ilvl="4">
      <w:start w:val="1"/>
      <w:numFmt w:val="decimal"/>
      <w:lvlText w:val="%1.%2.%3.%4.%5"/>
      <w:lvlJc w:val="left"/>
      <w:pPr>
        <w:ind w:left="3818" w:hanging="1080"/>
      </w:pPr>
      <w:rPr>
        <w:rFonts w:hint="default"/>
      </w:rPr>
    </w:lvl>
    <w:lvl w:ilvl="5">
      <w:start w:val="1"/>
      <w:numFmt w:val="decimal"/>
      <w:lvlText w:val="%1.%2.%3.%4.%5.%6"/>
      <w:lvlJc w:val="left"/>
      <w:pPr>
        <w:ind w:left="4538" w:hanging="1080"/>
      </w:pPr>
      <w:rPr>
        <w:rFonts w:hint="default"/>
      </w:rPr>
    </w:lvl>
    <w:lvl w:ilvl="6">
      <w:start w:val="1"/>
      <w:numFmt w:val="decimal"/>
      <w:lvlText w:val="%1.%2.%3.%4.%5.%6.%7"/>
      <w:lvlJc w:val="left"/>
      <w:pPr>
        <w:ind w:left="5618" w:hanging="1440"/>
      </w:pPr>
      <w:rPr>
        <w:rFonts w:hint="default"/>
      </w:rPr>
    </w:lvl>
    <w:lvl w:ilvl="7">
      <w:start w:val="1"/>
      <w:numFmt w:val="decimal"/>
      <w:lvlText w:val="%1.%2.%3.%4.%5.%6.%7.%8"/>
      <w:lvlJc w:val="left"/>
      <w:pPr>
        <w:ind w:left="6338" w:hanging="1440"/>
      </w:pPr>
      <w:rPr>
        <w:rFonts w:hint="default"/>
      </w:rPr>
    </w:lvl>
    <w:lvl w:ilvl="8">
      <w:start w:val="1"/>
      <w:numFmt w:val="decimal"/>
      <w:lvlText w:val="%1.%2.%3.%4.%5.%6.%7.%8.%9"/>
      <w:lvlJc w:val="left"/>
      <w:pPr>
        <w:ind w:left="7418" w:hanging="1800"/>
      </w:pPr>
      <w:rPr>
        <w:rFonts w:hint="default"/>
      </w:rPr>
    </w:lvl>
  </w:abstractNum>
  <w:abstractNum w:abstractNumId="16" w15:restartNumberingAfterBreak="0">
    <w:nsid w:val="665D4B3F"/>
    <w:multiLevelType w:val="multilevel"/>
    <w:tmpl w:val="F96C3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8D2186"/>
    <w:multiLevelType w:val="multilevel"/>
    <w:tmpl w:val="76F2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265935"/>
    <w:multiLevelType w:val="multilevel"/>
    <w:tmpl w:val="21BE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366867">
    <w:abstractNumId w:val="12"/>
  </w:num>
  <w:num w:numId="2" w16cid:durableId="476185382">
    <w:abstractNumId w:val="0"/>
  </w:num>
  <w:num w:numId="3" w16cid:durableId="1071734743">
    <w:abstractNumId w:val="3"/>
  </w:num>
  <w:num w:numId="4" w16cid:durableId="755981366">
    <w:abstractNumId w:val="11"/>
  </w:num>
  <w:num w:numId="5" w16cid:durableId="992682122">
    <w:abstractNumId w:val="2"/>
  </w:num>
  <w:num w:numId="6" w16cid:durableId="941765473">
    <w:abstractNumId w:val="6"/>
  </w:num>
  <w:num w:numId="7" w16cid:durableId="390689120">
    <w:abstractNumId w:val="18"/>
  </w:num>
  <w:num w:numId="8" w16cid:durableId="505218750">
    <w:abstractNumId w:val="17"/>
  </w:num>
  <w:num w:numId="9" w16cid:durableId="2082022986">
    <w:abstractNumId w:val="1"/>
  </w:num>
  <w:num w:numId="10" w16cid:durableId="273950449">
    <w:abstractNumId w:val="4"/>
  </w:num>
  <w:num w:numId="11" w16cid:durableId="1768649624">
    <w:abstractNumId w:val="13"/>
  </w:num>
  <w:num w:numId="12" w16cid:durableId="408234384">
    <w:abstractNumId w:val="16"/>
  </w:num>
  <w:num w:numId="13" w16cid:durableId="1131828411">
    <w:abstractNumId w:val="9"/>
  </w:num>
  <w:num w:numId="14" w16cid:durableId="61371195">
    <w:abstractNumId w:val="14"/>
  </w:num>
  <w:num w:numId="15" w16cid:durableId="528420284">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7183851">
    <w:abstractNumId w:val="5"/>
  </w:num>
  <w:num w:numId="17" w16cid:durableId="1183325706">
    <w:abstractNumId w:val="8"/>
  </w:num>
  <w:num w:numId="18" w16cid:durableId="1993292555">
    <w:abstractNumId w:val="15"/>
  </w:num>
  <w:num w:numId="19" w16cid:durableId="695617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00"/>
    <w:rsid w:val="000002D9"/>
    <w:rsid w:val="00000623"/>
    <w:rsid w:val="00027BF8"/>
    <w:rsid w:val="00045F1E"/>
    <w:rsid w:val="000C1EBD"/>
    <w:rsid w:val="000D23E1"/>
    <w:rsid w:val="000E554E"/>
    <w:rsid w:val="00104D12"/>
    <w:rsid w:val="001178EC"/>
    <w:rsid w:val="00117EB1"/>
    <w:rsid w:val="00145556"/>
    <w:rsid w:val="0016187A"/>
    <w:rsid w:val="001841E0"/>
    <w:rsid w:val="00184715"/>
    <w:rsid w:val="00186722"/>
    <w:rsid w:val="00192A61"/>
    <w:rsid w:val="001A7641"/>
    <w:rsid w:val="00217FE9"/>
    <w:rsid w:val="0029356A"/>
    <w:rsid w:val="002D6591"/>
    <w:rsid w:val="002F68D5"/>
    <w:rsid w:val="00311C64"/>
    <w:rsid w:val="00320CE9"/>
    <w:rsid w:val="0032549A"/>
    <w:rsid w:val="003A2100"/>
    <w:rsid w:val="003A2E4F"/>
    <w:rsid w:val="003C4EF0"/>
    <w:rsid w:val="003C72A9"/>
    <w:rsid w:val="004054E9"/>
    <w:rsid w:val="00406089"/>
    <w:rsid w:val="00435FC7"/>
    <w:rsid w:val="004747A0"/>
    <w:rsid w:val="0048020F"/>
    <w:rsid w:val="004C196D"/>
    <w:rsid w:val="004F4B79"/>
    <w:rsid w:val="0055398B"/>
    <w:rsid w:val="00581E95"/>
    <w:rsid w:val="00584901"/>
    <w:rsid w:val="005D074B"/>
    <w:rsid w:val="005D71B9"/>
    <w:rsid w:val="00607D3E"/>
    <w:rsid w:val="00616C32"/>
    <w:rsid w:val="006601EF"/>
    <w:rsid w:val="00670143"/>
    <w:rsid w:val="006835DA"/>
    <w:rsid w:val="0068531C"/>
    <w:rsid w:val="0069480B"/>
    <w:rsid w:val="00696C4C"/>
    <w:rsid w:val="006A22C3"/>
    <w:rsid w:val="0070588B"/>
    <w:rsid w:val="00740998"/>
    <w:rsid w:val="00762B3A"/>
    <w:rsid w:val="00771C56"/>
    <w:rsid w:val="0077765C"/>
    <w:rsid w:val="007908D1"/>
    <w:rsid w:val="007A0AA0"/>
    <w:rsid w:val="007B1007"/>
    <w:rsid w:val="007D1C05"/>
    <w:rsid w:val="0080333C"/>
    <w:rsid w:val="0086054F"/>
    <w:rsid w:val="00864872"/>
    <w:rsid w:val="00896EFC"/>
    <w:rsid w:val="0089781D"/>
    <w:rsid w:val="008B6F07"/>
    <w:rsid w:val="00901236"/>
    <w:rsid w:val="009018B4"/>
    <w:rsid w:val="00907046"/>
    <w:rsid w:val="00936102"/>
    <w:rsid w:val="00940906"/>
    <w:rsid w:val="009810F0"/>
    <w:rsid w:val="009A1260"/>
    <w:rsid w:val="009C1592"/>
    <w:rsid w:val="00A409CD"/>
    <w:rsid w:val="00A717C9"/>
    <w:rsid w:val="00A97C2A"/>
    <w:rsid w:val="00AA022E"/>
    <w:rsid w:val="00AC32D7"/>
    <w:rsid w:val="00AD49E5"/>
    <w:rsid w:val="00AF2C63"/>
    <w:rsid w:val="00AF6C28"/>
    <w:rsid w:val="00C10440"/>
    <w:rsid w:val="00C20B33"/>
    <w:rsid w:val="00C22903"/>
    <w:rsid w:val="00C550EF"/>
    <w:rsid w:val="00C719A2"/>
    <w:rsid w:val="00C96F3B"/>
    <w:rsid w:val="00CB23B5"/>
    <w:rsid w:val="00CD0861"/>
    <w:rsid w:val="00CE6D80"/>
    <w:rsid w:val="00D77419"/>
    <w:rsid w:val="00D8529F"/>
    <w:rsid w:val="00D86973"/>
    <w:rsid w:val="00D93B76"/>
    <w:rsid w:val="00DC096C"/>
    <w:rsid w:val="00E159F0"/>
    <w:rsid w:val="00E17201"/>
    <w:rsid w:val="00E40223"/>
    <w:rsid w:val="00E436B1"/>
    <w:rsid w:val="00E82F0F"/>
    <w:rsid w:val="00E85840"/>
    <w:rsid w:val="00EB3735"/>
    <w:rsid w:val="00ED29A3"/>
    <w:rsid w:val="00ED340F"/>
    <w:rsid w:val="00EF4D89"/>
    <w:rsid w:val="00EF7745"/>
    <w:rsid w:val="00F15984"/>
    <w:rsid w:val="00F16A6B"/>
    <w:rsid w:val="00F370D5"/>
    <w:rsid w:val="00FA79E6"/>
    <w:rsid w:val="00FB367F"/>
    <w:rsid w:val="00FD17B2"/>
    <w:rsid w:val="00FD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177B2"/>
  <w15:chartTrackingRefBased/>
  <w15:docId w15:val="{1E73B5BE-EE83-425A-82CA-CC558873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08D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17EB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17EB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3A2100"/>
    <w:pPr>
      <w:spacing w:after="240"/>
      <w:jc w:val="both"/>
    </w:pPr>
    <w:rPr>
      <w:rFonts w:ascii="Helvetica" w:eastAsia="Times New Roman" w:hAnsi="Helvetica" w:cs="Times New Roman"/>
      <w:sz w:val="20"/>
      <w:szCs w:val="20"/>
    </w:rPr>
  </w:style>
  <w:style w:type="character" w:customStyle="1" w:styleId="Heading2Char">
    <w:name w:val="Heading 2 Char"/>
    <w:basedOn w:val="DefaultParagraphFont"/>
    <w:link w:val="Heading2"/>
    <w:uiPriority w:val="9"/>
    <w:rsid w:val="007908D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908D1"/>
    <w:rPr>
      <w:color w:val="0000FF"/>
      <w:u w:val="single"/>
    </w:rPr>
  </w:style>
  <w:style w:type="paragraph" w:styleId="NormalWeb">
    <w:name w:val="Normal (Web)"/>
    <w:basedOn w:val="Normal"/>
    <w:uiPriority w:val="99"/>
    <w:unhideWhenUsed/>
    <w:rsid w:val="00117EB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17EB1"/>
    <w:rPr>
      <w:b/>
      <w:bCs/>
    </w:rPr>
  </w:style>
  <w:style w:type="character" w:customStyle="1" w:styleId="Heading3Char">
    <w:name w:val="Heading 3 Char"/>
    <w:basedOn w:val="DefaultParagraphFont"/>
    <w:link w:val="Heading3"/>
    <w:uiPriority w:val="9"/>
    <w:semiHidden/>
    <w:rsid w:val="00117EB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17EB1"/>
    <w:rPr>
      <w:rFonts w:asciiTheme="majorHAnsi" w:eastAsiaTheme="majorEastAsia" w:hAnsiTheme="majorHAnsi" w:cstheme="majorBidi"/>
      <w:i/>
      <w:iCs/>
      <w:color w:val="2F5496" w:themeColor="accent1" w:themeShade="BF"/>
    </w:rPr>
  </w:style>
  <w:style w:type="paragraph" w:customStyle="1" w:styleId="mt-0">
    <w:name w:val="mt-0"/>
    <w:basedOn w:val="Normal"/>
    <w:rsid w:val="00117EB1"/>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17EB1"/>
    <w:rPr>
      <w:i/>
      <w:iCs/>
    </w:rPr>
  </w:style>
  <w:style w:type="paragraph" w:styleId="ListParagraph">
    <w:name w:val="List Paragraph"/>
    <w:basedOn w:val="Normal"/>
    <w:uiPriority w:val="34"/>
    <w:qFormat/>
    <w:rsid w:val="00FD4E91"/>
    <w:pPr>
      <w:spacing w:line="256" w:lineRule="auto"/>
      <w:ind w:left="720"/>
      <w:contextualSpacing/>
    </w:pPr>
    <w:rPr>
      <w:rFonts w:eastAsiaTheme="minorEastAsia"/>
    </w:rPr>
  </w:style>
  <w:style w:type="paragraph" w:customStyle="1" w:styleId="muitypography-root">
    <w:name w:val="muitypography-root"/>
    <w:basedOn w:val="Normal"/>
    <w:rsid w:val="00FD4E91"/>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018B4"/>
    <w:rPr>
      <w:color w:val="605E5C"/>
      <w:shd w:val="clear" w:color="auto" w:fill="E1DFDD"/>
    </w:rPr>
  </w:style>
  <w:style w:type="table" w:styleId="TableGrid">
    <w:name w:val="Table Grid"/>
    <w:basedOn w:val="TableNormal"/>
    <w:rsid w:val="00145556"/>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x5hiaf">
    <w:name w:val="css-x5hiaf"/>
    <w:basedOn w:val="DefaultParagraphFont"/>
    <w:rsid w:val="008B6F07"/>
  </w:style>
  <w:style w:type="character" w:customStyle="1" w:styleId="css-0">
    <w:name w:val="css-0"/>
    <w:basedOn w:val="DefaultParagraphFont"/>
    <w:rsid w:val="008B6F07"/>
  </w:style>
  <w:style w:type="character" w:customStyle="1" w:styleId="css-rh820s">
    <w:name w:val="css-rh820s"/>
    <w:basedOn w:val="DefaultParagraphFont"/>
    <w:rsid w:val="008B6F07"/>
  </w:style>
  <w:style w:type="character" w:customStyle="1" w:styleId="css-1eh0vfs">
    <w:name w:val="css-1eh0vfs"/>
    <w:basedOn w:val="DefaultParagraphFont"/>
    <w:rsid w:val="008B6F07"/>
  </w:style>
  <w:style w:type="character" w:customStyle="1" w:styleId="url">
    <w:name w:val="url"/>
    <w:basedOn w:val="DefaultParagraphFont"/>
    <w:rsid w:val="00C550EF"/>
  </w:style>
  <w:style w:type="character" w:customStyle="1" w:styleId="whitespace-nowrap">
    <w:name w:val="whitespace-nowrap"/>
    <w:basedOn w:val="DefaultParagraphFont"/>
    <w:rsid w:val="00771C56"/>
  </w:style>
  <w:style w:type="paragraph" w:customStyle="1" w:styleId="Author">
    <w:name w:val="Author"/>
    <w:basedOn w:val="Normal"/>
    <w:rsid w:val="00C10440"/>
    <w:pPr>
      <w:spacing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C10440"/>
    <w:pPr>
      <w:spacing w:after="240" w:line="240" w:lineRule="exact"/>
      <w:jc w:val="right"/>
    </w:pPr>
    <w:rPr>
      <w:rFonts w:ascii="Helvetica" w:eastAsia="Times New Roman" w:hAnsi="Helvetica" w:cs="Times New Roman"/>
      <w:sz w:val="20"/>
      <w:szCs w:val="20"/>
    </w:rPr>
  </w:style>
  <w:style w:type="paragraph" w:styleId="Header">
    <w:name w:val="header"/>
    <w:basedOn w:val="Normal"/>
    <w:link w:val="HeaderChar"/>
    <w:uiPriority w:val="99"/>
    <w:unhideWhenUsed/>
    <w:rsid w:val="00896EFC"/>
    <w:pPr>
      <w:tabs>
        <w:tab w:val="center" w:pos="4680"/>
        <w:tab w:val="right" w:pos="9360"/>
      </w:tabs>
    </w:pPr>
  </w:style>
  <w:style w:type="character" w:customStyle="1" w:styleId="HeaderChar">
    <w:name w:val="Header Char"/>
    <w:basedOn w:val="DefaultParagraphFont"/>
    <w:link w:val="Header"/>
    <w:uiPriority w:val="99"/>
    <w:rsid w:val="00896EFC"/>
  </w:style>
  <w:style w:type="paragraph" w:styleId="Footer">
    <w:name w:val="footer"/>
    <w:basedOn w:val="Normal"/>
    <w:link w:val="FooterChar"/>
    <w:uiPriority w:val="99"/>
    <w:unhideWhenUsed/>
    <w:rsid w:val="00896EFC"/>
    <w:pPr>
      <w:tabs>
        <w:tab w:val="center" w:pos="4680"/>
        <w:tab w:val="right" w:pos="9360"/>
      </w:tabs>
    </w:pPr>
  </w:style>
  <w:style w:type="character" w:customStyle="1" w:styleId="FooterChar">
    <w:name w:val="Footer Char"/>
    <w:basedOn w:val="DefaultParagraphFont"/>
    <w:link w:val="Footer"/>
    <w:uiPriority w:val="99"/>
    <w:rsid w:val="00896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0730">
      <w:bodyDiv w:val="1"/>
      <w:marLeft w:val="0"/>
      <w:marRight w:val="0"/>
      <w:marTop w:val="0"/>
      <w:marBottom w:val="0"/>
      <w:divBdr>
        <w:top w:val="none" w:sz="0" w:space="0" w:color="auto"/>
        <w:left w:val="none" w:sz="0" w:space="0" w:color="auto"/>
        <w:bottom w:val="none" w:sz="0" w:space="0" w:color="auto"/>
        <w:right w:val="none" w:sz="0" w:space="0" w:color="auto"/>
      </w:divBdr>
    </w:div>
    <w:div w:id="114831894">
      <w:bodyDiv w:val="1"/>
      <w:marLeft w:val="0"/>
      <w:marRight w:val="0"/>
      <w:marTop w:val="0"/>
      <w:marBottom w:val="0"/>
      <w:divBdr>
        <w:top w:val="none" w:sz="0" w:space="0" w:color="auto"/>
        <w:left w:val="none" w:sz="0" w:space="0" w:color="auto"/>
        <w:bottom w:val="none" w:sz="0" w:space="0" w:color="auto"/>
        <w:right w:val="none" w:sz="0" w:space="0" w:color="auto"/>
      </w:divBdr>
    </w:div>
    <w:div w:id="122432015">
      <w:bodyDiv w:val="1"/>
      <w:marLeft w:val="0"/>
      <w:marRight w:val="0"/>
      <w:marTop w:val="0"/>
      <w:marBottom w:val="0"/>
      <w:divBdr>
        <w:top w:val="none" w:sz="0" w:space="0" w:color="auto"/>
        <w:left w:val="none" w:sz="0" w:space="0" w:color="auto"/>
        <w:bottom w:val="none" w:sz="0" w:space="0" w:color="auto"/>
        <w:right w:val="none" w:sz="0" w:space="0" w:color="auto"/>
      </w:divBdr>
    </w:div>
    <w:div w:id="233975064">
      <w:bodyDiv w:val="1"/>
      <w:marLeft w:val="0"/>
      <w:marRight w:val="0"/>
      <w:marTop w:val="0"/>
      <w:marBottom w:val="0"/>
      <w:divBdr>
        <w:top w:val="none" w:sz="0" w:space="0" w:color="auto"/>
        <w:left w:val="none" w:sz="0" w:space="0" w:color="auto"/>
        <w:bottom w:val="none" w:sz="0" w:space="0" w:color="auto"/>
        <w:right w:val="none" w:sz="0" w:space="0" w:color="auto"/>
      </w:divBdr>
    </w:div>
    <w:div w:id="300110373">
      <w:bodyDiv w:val="1"/>
      <w:marLeft w:val="0"/>
      <w:marRight w:val="0"/>
      <w:marTop w:val="0"/>
      <w:marBottom w:val="0"/>
      <w:divBdr>
        <w:top w:val="none" w:sz="0" w:space="0" w:color="auto"/>
        <w:left w:val="none" w:sz="0" w:space="0" w:color="auto"/>
        <w:bottom w:val="none" w:sz="0" w:space="0" w:color="auto"/>
        <w:right w:val="none" w:sz="0" w:space="0" w:color="auto"/>
      </w:divBdr>
    </w:div>
    <w:div w:id="387539160">
      <w:bodyDiv w:val="1"/>
      <w:marLeft w:val="0"/>
      <w:marRight w:val="0"/>
      <w:marTop w:val="0"/>
      <w:marBottom w:val="0"/>
      <w:divBdr>
        <w:top w:val="none" w:sz="0" w:space="0" w:color="auto"/>
        <w:left w:val="none" w:sz="0" w:space="0" w:color="auto"/>
        <w:bottom w:val="none" w:sz="0" w:space="0" w:color="auto"/>
        <w:right w:val="none" w:sz="0" w:space="0" w:color="auto"/>
      </w:divBdr>
    </w:div>
    <w:div w:id="422921813">
      <w:bodyDiv w:val="1"/>
      <w:marLeft w:val="0"/>
      <w:marRight w:val="0"/>
      <w:marTop w:val="0"/>
      <w:marBottom w:val="0"/>
      <w:divBdr>
        <w:top w:val="none" w:sz="0" w:space="0" w:color="auto"/>
        <w:left w:val="none" w:sz="0" w:space="0" w:color="auto"/>
        <w:bottom w:val="none" w:sz="0" w:space="0" w:color="auto"/>
        <w:right w:val="none" w:sz="0" w:space="0" w:color="auto"/>
      </w:divBdr>
    </w:div>
    <w:div w:id="435636469">
      <w:bodyDiv w:val="1"/>
      <w:marLeft w:val="0"/>
      <w:marRight w:val="0"/>
      <w:marTop w:val="0"/>
      <w:marBottom w:val="0"/>
      <w:divBdr>
        <w:top w:val="none" w:sz="0" w:space="0" w:color="auto"/>
        <w:left w:val="none" w:sz="0" w:space="0" w:color="auto"/>
        <w:bottom w:val="none" w:sz="0" w:space="0" w:color="auto"/>
        <w:right w:val="none" w:sz="0" w:space="0" w:color="auto"/>
      </w:divBdr>
    </w:div>
    <w:div w:id="436371313">
      <w:bodyDiv w:val="1"/>
      <w:marLeft w:val="0"/>
      <w:marRight w:val="0"/>
      <w:marTop w:val="0"/>
      <w:marBottom w:val="0"/>
      <w:divBdr>
        <w:top w:val="none" w:sz="0" w:space="0" w:color="auto"/>
        <w:left w:val="none" w:sz="0" w:space="0" w:color="auto"/>
        <w:bottom w:val="none" w:sz="0" w:space="0" w:color="auto"/>
        <w:right w:val="none" w:sz="0" w:space="0" w:color="auto"/>
      </w:divBdr>
    </w:div>
    <w:div w:id="552891689">
      <w:bodyDiv w:val="1"/>
      <w:marLeft w:val="0"/>
      <w:marRight w:val="0"/>
      <w:marTop w:val="0"/>
      <w:marBottom w:val="0"/>
      <w:divBdr>
        <w:top w:val="none" w:sz="0" w:space="0" w:color="auto"/>
        <w:left w:val="none" w:sz="0" w:space="0" w:color="auto"/>
        <w:bottom w:val="none" w:sz="0" w:space="0" w:color="auto"/>
        <w:right w:val="none" w:sz="0" w:space="0" w:color="auto"/>
      </w:divBdr>
    </w:div>
    <w:div w:id="556284634">
      <w:bodyDiv w:val="1"/>
      <w:marLeft w:val="0"/>
      <w:marRight w:val="0"/>
      <w:marTop w:val="0"/>
      <w:marBottom w:val="0"/>
      <w:divBdr>
        <w:top w:val="none" w:sz="0" w:space="0" w:color="auto"/>
        <w:left w:val="none" w:sz="0" w:space="0" w:color="auto"/>
        <w:bottom w:val="none" w:sz="0" w:space="0" w:color="auto"/>
        <w:right w:val="none" w:sz="0" w:space="0" w:color="auto"/>
      </w:divBdr>
    </w:div>
    <w:div w:id="568075174">
      <w:bodyDiv w:val="1"/>
      <w:marLeft w:val="0"/>
      <w:marRight w:val="0"/>
      <w:marTop w:val="0"/>
      <w:marBottom w:val="0"/>
      <w:divBdr>
        <w:top w:val="none" w:sz="0" w:space="0" w:color="auto"/>
        <w:left w:val="none" w:sz="0" w:space="0" w:color="auto"/>
        <w:bottom w:val="none" w:sz="0" w:space="0" w:color="auto"/>
        <w:right w:val="none" w:sz="0" w:space="0" w:color="auto"/>
      </w:divBdr>
    </w:div>
    <w:div w:id="572207424">
      <w:bodyDiv w:val="1"/>
      <w:marLeft w:val="0"/>
      <w:marRight w:val="0"/>
      <w:marTop w:val="0"/>
      <w:marBottom w:val="0"/>
      <w:divBdr>
        <w:top w:val="none" w:sz="0" w:space="0" w:color="auto"/>
        <w:left w:val="none" w:sz="0" w:space="0" w:color="auto"/>
        <w:bottom w:val="none" w:sz="0" w:space="0" w:color="auto"/>
        <w:right w:val="none" w:sz="0" w:space="0" w:color="auto"/>
      </w:divBdr>
      <w:divsChild>
        <w:div w:id="1400520452">
          <w:marLeft w:val="0"/>
          <w:marRight w:val="0"/>
          <w:marTop w:val="0"/>
          <w:marBottom w:val="0"/>
          <w:divBdr>
            <w:top w:val="none" w:sz="0" w:space="0" w:color="auto"/>
            <w:left w:val="none" w:sz="0" w:space="0" w:color="auto"/>
            <w:bottom w:val="none" w:sz="0" w:space="0" w:color="auto"/>
            <w:right w:val="none" w:sz="0" w:space="0" w:color="auto"/>
          </w:divBdr>
        </w:div>
        <w:div w:id="130364302">
          <w:marLeft w:val="0"/>
          <w:marRight w:val="0"/>
          <w:marTop w:val="0"/>
          <w:marBottom w:val="0"/>
          <w:divBdr>
            <w:top w:val="none" w:sz="0" w:space="0" w:color="auto"/>
            <w:left w:val="none" w:sz="0" w:space="0" w:color="auto"/>
            <w:bottom w:val="none" w:sz="0" w:space="0" w:color="auto"/>
            <w:right w:val="none" w:sz="0" w:space="0" w:color="auto"/>
          </w:divBdr>
        </w:div>
        <w:div w:id="1653101377">
          <w:marLeft w:val="0"/>
          <w:marRight w:val="0"/>
          <w:marTop w:val="0"/>
          <w:marBottom w:val="0"/>
          <w:divBdr>
            <w:top w:val="none" w:sz="0" w:space="0" w:color="auto"/>
            <w:left w:val="none" w:sz="0" w:space="0" w:color="auto"/>
            <w:bottom w:val="none" w:sz="0" w:space="0" w:color="auto"/>
            <w:right w:val="none" w:sz="0" w:space="0" w:color="auto"/>
          </w:divBdr>
        </w:div>
        <w:div w:id="292298618">
          <w:marLeft w:val="0"/>
          <w:marRight w:val="0"/>
          <w:marTop w:val="0"/>
          <w:marBottom w:val="0"/>
          <w:divBdr>
            <w:top w:val="none" w:sz="0" w:space="0" w:color="auto"/>
            <w:left w:val="none" w:sz="0" w:space="0" w:color="auto"/>
            <w:bottom w:val="none" w:sz="0" w:space="0" w:color="auto"/>
            <w:right w:val="none" w:sz="0" w:space="0" w:color="auto"/>
          </w:divBdr>
        </w:div>
        <w:div w:id="759524886">
          <w:marLeft w:val="0"/>
          <w:marRight w:val="0"/>
          <w:marTop w:val="0"/>
          <w:marBottom w:val="0"/>
          <w:divBdr>
            <w:top w:val="none" w:sz="0" w:space="0" w:color="auto"/>
            <w:left w:val="none" w:sz="0" w:space="0" w:color="auto"/>
            <w:bottom w:val="none" w:sz="0" w:space="0" w:color="auto"/>
            <w:right w:val="none" w:sz="0" w:space="0" w:color="auto"/>
          </w:divBdr>
        </w:div>
        <w:div w:id="1838878775">
          <w:marLeft w:val="0"/>
          <w:marRight w:val="0"/>
          <w:marTop w:val="0"/>
          <w:marBottom w:val="0"/>
          <w:divBdr>
            <w:top w:val="none" w:sz="0" w:space="0" w:color="auto"/>
            <w:left w:val="none" w:sz="0" w:space="0" w:color="auto"/>
            <w:bottom w:val="none" w:sz="0" w:space="0" w:color="auto"/>
            <w:right w:val="none" w:sz="0" w:space="0" w:color="auto"/>
          </w:divBdr>
        </w:div>
        <w:div w:id="765465296">
          <w:marLeft w:val="0"/>
          <w:marRight w:val="0"/>
          <w:marTop w:val="0"/>
          <w:marBottom w:val="0"/>
          <w:divBdr>
            <w:top w:val="none" w:sz="0" w:space="0" w:color="auto"/>
            <w:left w:val="none" w:sz="0" w:space="0" w:color="auto"/>
            <w:bottom w:val="none" w:sz="0" w:space="0" w:color="auto"/>
            <w:right w:val="none" w:sz="0" w:space="0" w:color="auto"/>
          </w:divBdr>
        </w:div>
        <w:div w:id="994651614">
          <w:marLeft w:val="0"/>
          <w:marRight w:val="0"/>
          <w:marTop w:val="0"/>
          <w:marBottom w:val="0"/>
          <w:divBdr>
            <w:top w:val="none" w:sz="0" w:space="0" w:color="auto"/>
            <w:left w:val="none" w:sz="0" w:space="0" w:color="auto"/>
            <w:bottom w:val="none" w:sz="0" w:space="0" w:color="auto"/>
            <w:right w:val="none" w:sz="0" w:space="0" w:color="auto"/>
          </w:divBdr>
        </w:div>
        <w:div w:id="1105270844">
          <w:marLeft w:val="0"/>
          <w:marRight w:val="0"/>
          <w:marTop w:val="0"/>
          <w:marBottom w:val="0"/>
          <w:divBdr>
            <w:top w:val="none" w:sz="0" w:space="0" w:color="auto"/>
            <w:left w:val="none" w:sz="0" w:space="0" w:color="auto"/>
            <w:bottom w:val="none" w:sz="0" w:space="0" w:color="auto"/>
            <w:right w:val="none" w:sz="0" w:space="0" w:color="auto"/>
          </w:divBdr>
        </w:div>
        <w:div w:id="1005132306">
          <w:marLeft w:val="0"/>
          <w:marRight w:val="0"/>
          <w:marTop w:val="0"/>
          <w:marBottom w:val="0"/>
          <w:divBdr>
            <w:top w:val="none" w:sz="0" w:space="0" w:color="auto"/>
            <w:left w:val="none" w:sz="0" w:space="0" w:color="auto"/>
            <w:bottom w:val="none" w:sz="0" w:space="0" w:color="auto"/>
            <w:right w:val="none" w:sz="0" w:space="0" w:color="auto"/>
          </w:divBdr>
        </w:div>
      </w:divsChild>
    </w:div>
    <w:div w:id="585386630">
      <w:bodyDiv w:val="1"/>
      <w:marLeft w:val="0"/>
      <w:marRight w:val="0"/>
      <w:marTop w:val="0"/>
      <w:marBottom w:val="0"/>
      <w:divBdr>
        <w:top w:val="none" w:sz="0" w:space="0" w:color="auto"/>
        <w:left w:val="none" w:sz="0" w:space="0" w:color="auto"/>
        <w:bottom w:val="none" w:sz="0" w:space="0" w:color="auto"/>
        <w:right w:val="none" w:sz="0" w:space="0" w:color="auto"/>
      </w:divBdr>
    </w:div>
    <w:div w:id="616449482">
      <w:bodyDiv w:val="1"/>
      <w:marLeft w:val="0"/>
      <w:marRight w:val="0"/>
      <w:marTop w:val="0"/>
      <w:marBottom w:val="0"/>
      <w:divBdr>
        <w:top w:val="none" w:sz="0" w:space="0" w:color="auto"/>
        <w:left w:val="none" w:sz="0" w:space="0" w:color="auto"/>
        <w:bottom w:val="none" w:sz="0" w:space="0" w:color="auto"/>
        <w:right w:val="none" w:sz="0" w:space="0" w:color="auto"/>
      </w:divBdr>
    </w:div>
    <w:div w:id="631863298">
      <w:bodyDiv w:val="1"/>
      <w:marLeft w:val="0"/>
      <w:marRight w:val="0"/>
      <w:marTop w:val="0"/>
      <w:marBottom w:val="0"/>
      <w:divBdr>
        <w:top w:val="none" w:sz="0" w:space="0" w:color="auto"/>
        <w:left w:val="none" w:sz="0" w:space="0" w:color="auto"/>
        <w:bottom w:val="none" w:sz="0" w:space="0" w:color="auto"/>
        <w:right w:val="none" w:sz="0" w:space="0" w:color="auto"/>
      </w:divBdr>
    </w:div>
    <w:div w:id="660428432">
      <w:bodyDiv w:val="1"/>
      <w:marLeft w:val="0"/>
      <w:marRight w:val="0"/>
      <w:marTop w:val="0"/>
      <w:marBottom w:val="0"/>
      <w:divBdr>
        <w:top w:val="none" w:sz="0" w:space="0" w:color="auto"/>
        <w:left w:val="none" w:sz="0" w:space="0" w:color="auto"/>
        <w:bottom w:val="none" w:sz="0" w:space="0" w:color="auto"/>
        <w:right w:val="none" w:sz="0" w:space="0" w:color="auto"/>
      </w:divBdr>
      <w:divsChild>
        <w:div w:id="68772668">
          <w:marLeft w:val="0"/>
          <w:marRight w:val="0"/>
          <w:marTop w:val="0"/>
          <w:marBottom w:val="0"/>
          <w:divBdr>
            <w:top w:val="none" w:sz="0" w:space="0" w:color="auto"/>
            <w:left w:val="none" w:sz="0" w:space="0" w:color="auto"/>
            <w:bottom w:val="none" w:sz="0" w:space="0" w:color="auto"/>
            <w:right w:val="none" w:sz="0" w:space="0" w:color="auto"/>
          </w:divBdr>
          <w:divsChild>
            <w:div w:id="20843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8606">
      <w:bodyDiv w:val="1"/>
      <w:marLeft w:val="0"/>
      <w:marRight w:val="0"/>
      <w:marTop w:val="0"/>
      <w:marBottom w:val="0"/>
      <w:divBdr>
        <w:top w:val="none" w:sz="0" w:space="0" w:color="auto"/>
        <w:left w:val="none" w:sz="0" w:space="0" w:color="auto"/>
        <w:bottom w:val="none" w:sz="0" w:space="0" w:color="auto"/>
        <w:right w:val="none" w:sz="0" w:space="0" w:color="auto"/>
      </w:divBdr>
    </w:div>
    <w:div w:id="718435304">
      <w:bodyDiv w:val="1"/>
      <w:marLeft w:val="0"/>
      <w:marRight w:val="0"/>
      <w:marTop w:val="0"/>
      <w:marBottom w:val="0"/>
      <w:divBdr>
        <w:top w:val="none" w:sz="0" w:space="0" w:color="auto"/>
        <w:left w:val="none" w:sz="0" w:space="0" w:color="auto"/>
        <w:bottom w:val="none" w:sz="0" w:space="0" w:color="auto"/>
        <w:right w:val="none" w:sz="0" w:space="0" w:color="auto"/>
      </w:divBdr>
      <w:divsChild>
        <w:div w:id="108356713">
          <w:marLeft w:val="0"/>
          <w:marRight w:val="0"/>
          <w:marTop w:val="0"/>
          <w:marBottom w:val="0"/>
          <w:divBdr>
            <w:top w:val="none" w:sz="0" w:space="0" w:color="auto"/>
            <w:left w:val="none" w:sz="0" w:space="0" w:color="auto"/>
            <w:bottom w:val="none" w:sz="0" w:space="0" w:color="auto"/>
            <w:right w:val="none" w:sz="0" w:space="0" w:color="auto"/>
          </w:divBdr>
        </w:div>
        <w:div w:id="1083456335">
          <w:marLeft w:val="0"/>
          <w:marRight w:val="0"/>
          <w:marTop w:val="0"/>
          <w:marBottom w:val="0"/>
          <w:divBdr>
            <w:top w:val="none" w:sz="0" w:space="0" w:color="auto"/>
            <w:left w:val="none" w:sz="0" w:space="0" w:color="auto"/>
            <w:bottom w:val="none" w:sz="0" w:space="0" w:color="auto"/>
            <w:right w:val="none" w:sz="0" w:space="0" w:color="auto"/>
          </w:divBdr>
        </w:div>
        <w:div w:id="1623612554">
          <w:marLeft w:val="0"/>
          <w:marRight w:val="0"/>
          <w:marTop w:val="0"/>
          <w:marBottom w:val="0"/>
          <w:divBdr>
            <w:top w:val="none" w:sz="0" w:space="0" w:color="auto"/>
            <w:left w:val="none" w:sz="0" w:space="0" w:color="auto"/>
            <w:bottom w:val="none" w:sz="0" w:space="0" w:color="auto"/>
            <w:right w:val="none" w:sz="0" w:space="0" w:color="auto"/>
          </w:divBdr>
        </w:div>
        <w:div w:id="1196120578">
          <w:marLeft w:val="0"/>
          <w:marRight w:val="0"/>
          <w:marTop w:val="0"/>
          <w:marBottom w:val="0"/>
          <w:divBdr>
            <w:top w:val="none" w:sz="0" w:space="0" w:color="auto"/>
            <w:left w:val="none" w:sz="0" w:space="0" w:color="auto"/>
            <w:bottom w:val="none" w:sz="0" w:space="0" w:color="auto"/>
            <w:right w:val="none" w:sz="0" w:space="0" w:color="auto"/>
          </w:divBdr>
        </w:div>
      </w:divsChild>
    </w:div>
    <w:div w:id="750734362">
      <w:bodyDiv w:val="1"/>
      <w:marLeft w:val="0"/>
      <w:marRight w:val="0"/>
      <w:marTop w:val="0"/>
      <w:marBottom w:val="0"/>
      <w:divBdr>
        <w:top w:val="none" w:sz="0" w:space="0" w:color="auto"/>
        <w:left w:val="none" w:sz="0" w:space="0" w:color="auto"/>
        <w:bottom w:val="none" w:sz="0" w:space="0" w:color="auto"/>
        <w:right w:val="none" w:sz="0" w:space="0" w:color="auto"/>
      </w:divBdr>
      <w:divsChild>
        <w:div w:id="1037119210">
          <w:marLeft w:val="-225"/>
          <w:marRight w:val="-225"/>
          <w:marTop w:val="0"/>
          <w:marBottom w:val="0"/>
          <w:divBdr>
            <w:top w:val="none" w:sz="0" w:space="0" w:color="auto"/>
            <w:left w:val="none" w:sz="0" w:space="0" w:color="auto"/>
            <w:bottom w:val="none" w:sz="0" w:space="0" w:color="auto"/>
            <w:right w:val="none" w:sz="0" w:space="0" w:color="auto"/>
          </w:divBdr>
          <w:divsChild>
            <w:div w:id="20933978">
              <w:marLeft w:val="0"/>
              <w:marRight w:val="0"/>
              <w:marTop w:val="0"/>
              <w:marBottom w:val="0"/>
              <w:divBdr>
                <w:top w:val="none" w:sz="0" w:space="0" w:color="auto"/>
                <w:left w:val="none" w:sz="0" w:space="0" w:color="auto"/>
                <w:bottom w:val="none" w:sz="0" w:space="0" w:color="auto"/>
                <w:right w:val="none" w:sz="0" w:space="0" w:color="auto"/>
              </w:divBdr>
              <w:divsChild>
                <w:div w:id="1440224068">
                  <w:marLeft w:val="0"/>
                  <w:marRight w:val="0"/>
                  <w:marTop w:val="0"/>
                  <w:marBottom w:val="0"/>
                  <w:divBdr>
                    <w:top w:val="none" w:sz="0" w:space="0" w:color="auto"/>
                    <w:left w:val="none" w:sz="0" w:space="0" w:color="auto"/>
                    <w:bottom w:val="none" w:sz="0" w:space="0" w:color="auto"/>
                    <w:right w:val="none" w:sz="0" w:space="0" w:color="auto"/>
                  </w:divBdr>
                </w:div>
                <w:div w:id="5479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4321">
          <w:marLeft w:val="-225"/>
          <w:marRight w:val="-225"/>
          <w:marTop w:val="0"/>
          <w:marBottom w:val="0"/>
          <w:divBdr>
            <w:top w:val="none" w:sz="0" w:space="0" w:color="auto"/>
            <w:left w:val="none" w:sz="0" w:space="0" w:color="auto"/>
            <w:bottom w:val="none" w:sz="0" w:space="0" w:color="auto"/>
            <w:right w:val="none" w:sz="0" w:space="0" w:color="auto"/>
          </w:divBdr>
          <w:divsChild>
            <w:div w:id="156655072">
              <w:marLeft w:val="0"/>
              <w:marRight w:val="0"/>
              <w:marTop w:val="0"/>
              <w:marBottom w:val="0"/>
              <w:divBdr>
                <w:top w:val="none" w:sz="0" w:space="0" w:color="auto"/>
                <w:left w:val="none" w:sz="0" w:space="0" w:color="auto"/>
                <w:bottom w:val="none" w:sz="0" w:space="0" w:color="auto"/>
                <w:right w:val="none" w:sz="0" w:space="0" w:color="auto"/>
              </w:divBdr>
              <w:divsChild>
                <w:div w:id="1632635525">
                  <w:marLeft w:val="0"/>
                  <w:marRight w:val="0"/>
                  <w:marTop w:val="0"/>
                  <w:marBottom w:val="0"/>
                  <w:divBdr>
                    <w:top w:val="none" w:sz="0" w:space="0" w:color="auto"/>
                    <w:left w:val="none" w:sz="0" w:space="0" w:color="auto"/>
                    <w:bottom w:val="none" w:sz="0" w:space="0" w:color="auto"/>
                    <w:right w:val="none" w:sz="0" w:space="0" w:color="auto"/>
                  </w:divBdr>
                </w:div>
                <w:div w:id="727654149">
                  <w:marLeft w:val="0"/>
                  <w:marRight w:val="0"/>
                  <w:marTop w:val="0"/>
                  <w:marBottom w:val="0"/>
                  <w:divBdr>
                    <w:top w:val="none" w:sz="0" w:space="0" w:color="auto"/>
                    <w:left w:val="none" w:sz="0" w:space="0" w:color="auto"/>
                    <w:bottom w:val="none" w:sz="0" w:space="0" w:color="auto"/>
                    <w:right w:val="none" w:sz="0" w:space="0" w:color="auto"/>
                  </w:divBdr>
                </w:div>
                <w:div w:id="46354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612">
      <w:bodyDiv w:val="1"/>
      <w:marLeft w:val="0"/>
      <w:marRight w:val="0"/>
      <w:marTop w:val="0"/>
      <w:marBottom w:val="0"/>
      <w:divBdr>
        <w:top w:val="none" w:sz="0" w:space="0" w:color="auto"/>
        <w:left w:val="none" w:sz="0" w:space="0" w:color="auto"/>
        <w:bottom w:val="none" w:sz="0" w:space="0" w:color="auto"/>
        <w:right w:val="none" w:sz="0" w:space="0" w:color="auto"/>
      </w:divBdr>
    </w:div>
    <w:div w:id="842357673">
      <w:bodyDiv w:val="1"/>
      <w:marLeft w:val="0"/>
      <w:marRight w:val="0"/>
      <w:marTop w:val="0"/>
      <w:marBottom w:val="0"/>
      <w:divBdr>
        <w:top w:val="none" w:sz="0" w:space="0" w:color="auto"/>
        <w:left w:val="none" w:sz="0" w:space="0" w:color="auto"/>
        <w:bottom w:val="none" w:sz="0" w:space="0" w:color="auto"/>
        <w:right w:val="none" w:sz="0" w:space="0" w:color="auto"/>
      </w:divBdr>
    </w:div>
    <w:div w:id="884760819">
      <w:bodyDiv w:val="1"/>
      <w:marLeft w:val="0"/>
      <w:marRight w:val="0"/>
      <w:marTop w:val="0"/>
      <w:marBottom w:val="0"/>
      <w:divBdr>
        <w:top w:val="none" w:sz="0" w:space="0" w:color="auto"/>
        <w:left w:val="none" w:sz="0" w:space="0" w:color="auto"/>
        <w:bottom w:val="none" w:sz="0" w:space="0" w:color="auto"/>
        <w:right w:val="none" w:sz="0" w:space="0" w:color="auto"/>
      </w:divBdr>
    </w:div>
    <w:div w:id="1079404064">
      <w:bodyDiv w:val="1"/>
      <w:marLeft w:val="0"/>
      <w:marRight w:val="0"/>
      <w:marTop w:val="0"/>
      <w:marBottom w:val="0"/>
      <w:divBdr>
        <w:top w:val="none" w:sz="0" w:space="0" w:color="auto"/>
        <w:left w:val="none" w:sz="0" w:space="0" w:color="auto"/>
        <w:bottom w:val="none" w:sz="0" w:space="0" w:color="auto"/>
        <w:right w:val="none" w:sz="0" w:space="0" w:color="auto"/>
      </w:divBdr>
    </w:div>
    <w:div w:id="1099059717">
      <w:bodyDiv w:val="1"/>
      <w:marLeft w:val="0"/>
      <w:marRight w:val="0"/>
      <w:marTop w:val="0"/>
      <w:marBottom w:val="0"/>
      <w:divBdr>
        <w:top w:val="none" w:sz="0" w:space="0" w:color="auto"/>
        <w:left w:val="none" w:sz="0" w:space="0" w:color="auto"/>
        <w:bottom w:val="none" w:sz="0" w:space="0" w:color="auto"/>
        <w:right w:val="none" w:sz="0" w:space="0" w:color="auto"/>
      </w:divBdr>
    </w:div>
    <w:div w:id="1201893116">
      <w:bodyDiv w:val="1"/>
      <w:marLeft w:val="0"/>
      <w:marRight w:val="0"/>
      <w:marTop w:val="0"/>
      <w:marBottom w:val="0"/>
      <w:divBdr>
        <w:top w:val="none" w:sz="0" w:space="0" w:color="auto"/>
        <w:left w:val="none" w:sz="0" w:space="0" w:color="auto"/>
        <w:bottom w:val="none" w:sz="0" w:space="0" w:color="auto"/>
        <w:right w:val="none" w:sz="0" w:space="0" w:color="auto"/>
      </w:divBdr>
    </w:div>
    <w:div w:id="1278293879">
      <w:bodyDiv w:val="1"/>
      <w:marLeft w:val="0"/>
      <w:marRight w:val="0"/>
      <w:marTop w:val="0"/>
      <w:marBottom w:val="0"/>
      <w:divBdr>
        <w:top w:val="none" w:sz="0" w:space="0" w:color="auto"/>
        <w:left w:val="none" w:sz="0" w:space="0" w:color="auto"/>
        <w:bottom w:val="none" w:sz="0" w:space="0" w:color="auto"/>
        <w:right w:val="none" w:sz="0" w:space="0" w:color="auto"/>
      </w:divBdr>
    </w:div>
    <w:div w:id="1401831790">
      <w:bodyDiv w:val="1"/>
      <w:marLeft w:val="0"/>
      <w:marRight w:val="0"/>
      <w:marTop w:val="0"/>
      <w:marBottom w:val="0"/>
      <w:divBdr>
        <w:top w:val="none" w:sz="0" w:space="0" w:color="auto"/>
        <w:left w:val="none" w:sz="0" w:space="0" w:color="auto"/>
        <w:bottom w:val="none" w:sz="0" w:space="0" w:color="auto"/>
        <w:right w:val="none" w:sz="0" w:space="0" w:color="auto"/>
      </w:divBdr>
    </w:div>
    <w:div w:id="1455562444">
      <w:bodyDiv w:val="1"/>
      <w:marLeft w:val="0"/>
      <w:marRight w:val="0"/>
      <w:marTop w:val="0"/>
      <w:marBottom w:val="0"/>
      <w:divBdr>
        <w:top w:val="none" w:sz="0" w:space="0" w:color="auto"/>
        <w:left w:val="none" w:sz="0" w:space="0" w:color="auto"/>
        <w:bottom w:val="none" w:sz="0" w:space="0" w:color="auto"/>
        <w:right w:val="none" w:sz="0" w:space="0" w:color="auto"/>
      </w:divBdr>
    </w:div>
    <w:div w:id="1478111727">
      <w:bodyDiv w:val="1"/>
      <w:marLeft w:val="0"/>
      <w:marRight w:val="0"/>
      <w:marTop w:val="0"/>
      <w:marBottom w:val="0"/>
      <w:divBdr>
        <w:top w:val="none" w:sz="0" w:space="0" w:color="auto"/>
        <w:left w:val="none" w:sz="0" w:space="0" w:color="auto"/>
        <w:bottom w:val="none" w:sz="0" w:space="0" w:color="auto"/>
        <w:right w:val="none" w:sz="0" w:space="0" w:color="auto"/>
      </w:divBdr>
      <w:divsChild>
        <w:div w:id="1879968105">
          <w:marLeft w:val="0"/>
          <w:marRight w:val="0"/>
          <w:marTop w:val="0"/>
          <w:marBottom w:val="0"/>
          <w:divBdr>
            <w:top w:val="none" w:sz="0" w:space="0" w:color="auto"/>
            <w:left w:val="none" w:sz="0" w:space="0" w:color="auto"/>
            <w:bottom w:val="none" w:sz="0" w:space="0" w:color="auto"/>
            <w:right w:val="none" w:sz="0" w:space="0" w:color="auto"/>
          </w:divBdr>
        </w:div>
        <w:div w:id="245463271">
          <w:marLeft w:val="0"/>
          <w:marRight w:val="0"/>
          <w:marTop w:val="0"/>
          <w:marBottom w:val="0"/>
          <w:divBdr>
            <w:top w:val="none" w:sz="0" w:space="0" w:color="auto"/>
            <w:left w:val="none" w:sz="0" w:space="0" w:color="auto"/>
            <w:bottom w:val="none" w:sz="0" w:space="0" w:color="auto"/>
            <w:right w:val="none" w:sz="0" w:space="0" w:color="auto"/>
          </w:divBdr>
        </w:div>
      </w:divsChild>
    </w:div>
    <w:div w:id="1522282742">
      <w:bodyDiv w:val="1"/>
      <w:marLeft w:val="0"/>
      <w:marRight w:val="0"/>
      <w:marTop w:val="0"/>
      <w:marBottom w:val="0"/>
      <w:divBdr>
        <w:top w:val="none" w:sz="0" w:space="0" w:color="auto"/>
        <w:left w:val="none" w:sz="0" w:space="0" w:color="auto"/>
        <w:bottom w:val="none" w:sz="0" w:space="0" w:color="auto"/>
        <w:right w:val="none" w:sz="0" w:space="0" w:color="auto"/>
      </w:divBdr>
    </w:div>
    <w:div w:id="1668054281">
      <w:bodyDiv w:val="1"/>
      <w:marLeft w:val="0"/>
      <w:marRight w:val="0"/>
      <w:marTop w:val="0"/>
      <w:marBottom w:val="0"/>
      <w:divBdr>
        <w:top w:val="none" w:sz="0" w:space="0" w:color="auto"/>
        <w:left w:val="none" w:sz="0" w:space="0" w:color="auto"/>
        <w:bottom w:val="none" w:sz="0" w:space="0" w:color="auto"/>
        <w:right w:val="none" w:sz="0" w:space="0" w:color="auto"/>
      </w:divBdr>
    </w:div>
    <w:div w:id="1749813360">
      <w:bodyDiv w:val="1"/>
      <w:marLeft w:val="0"/>
      <w:marRight w:val="0"/>
      <w:marTop w:val="0"/>
      <w:marBottom w:val="0"/>
      <w:divBdr>
        <w:top w:val="none" w:sz="0" w:space="0" w:color="auto"/>
        <w:left w:val="none" w:sz="0" w:space="0" w:color="auto"/>
        <w:bottom w:val="none" w:sz="0" w:space="0" w:color="auto"/>
        <w:right w:val="none" w:sz="0" w:space="0" w:color="auto"/>
      </w:divBdr>
    </w:div>
    <w:div w:id="1976255261">
      <w:bodyDiv w:val="1"/>
      <w:marLeft w:val="0"/>
      <w:marRight w:val="0"/>
      <w:marTop w:val="0"/>
      <w:marBottom w:val="0"/>
      <w:divBdr>
        <w:top w:val="none" w:sz="0" w:space="0" w:color="auto"/>
        <w:left w:val="none" w:sz="0" w:space="0" w:color="auto"/>
        <w:bottom w:val="none" w:sz="0" w:space="0" w:color="auto"/>
        <w:right w:val="none" w:sz="0" w:space="0" w:color="auto"/>
      </w:divBdr>
    </w:div>
    <w:div w:id="2026402787">
      <w:bodyDiv w:val="1"/>
      <w:marLeft w:val="0"/>
      <w:marRight w:val="0"/>
      <w:marTop w:val="0"/>
      <w:marBottom w:val="0"/>
      <w:divBdr>
        <w:top w:val="none" w:sz="0" w:space="0" w:color="auto"/>
        <w:left w:val="none" w:sz="0" w:space="0" w:color="auto"/>
        <w:bottom w:val="none" w:sz="0" w:space="0" w:color="auto"/>
        <w:right w:val="none" w:sz="0" w:space="0" w:color="auto"/>
      </w:divBdr>
      <w:divsChild>
        <w:div w:id="133791262">
          <w:marLeft w:val="-720"/>
          <w:marRight w:val="0"/>
          <w:marTop w:val="0"/>
          <w:marBottom w:val="0"/>
          <w:divBdr>
            <w:top w:val="none" w:sz="0" w:space="0" w:color="auto"/>
            <w:left w:val="none" w:sz="0" w:space="0" w:color="auto"/>
            <w:bottom w:val="none" w:sz="0" w:space="0" w:color="auto"/>
            <w:right w:val="none" w:sz="0" w:space="0" w:color="auto"/>
          </w:divBdr>
        </w:div>
      </w:divsChild>
    </w:div>
    <w:div w:id="2043438235">
      <w:bodyDiv w:val="1"/>
      <w:marLeft w:val="0"/>
      <w:marRight w:val="0"/>
      <w:marTop w:val="0"/>
      <w:marBottom w:val="0"/>
      <w:divBdr>
        <w:top w:val="none" w:sz="0" w:space="0" w:color="auto"/>
        <w:left w:val="none" w:sz="0" w:space="0" w:color="auto"/>
        <w:bottom w:val="none" w:sz="0" w:space="0" w:color="auto"/>
        <w:right w:val="none" w:sz="0" w:space="0" w:color="auto"/>
      </w:divBdr>
    </w:div>
    <w:div w:id="2057730981">
      <w:bodyDiv w:val="1"/>
      <w:marLeft w:val="0"/>
      <w:marRight w:val="0"/>
      <w:marTop w:val="0"/>
      <w:marBottom w:val="0"/>
      <w:divBdr>
        <w:top w:val="none" w:sz="0" w:space="0" w:color="auto"/>
        <w:left w:val="none" w:sz="0" w:space="0" w:color="auto"/>
        <w:bottom w:val="none" w:sz="0" w:space="0" w:color="auto"/>
        <w:right w:val="none" w:sz="0" w:space="0" w:color="auto"/>
      </w:divBdr>
      <w:divsChild>
        <w:div w:id="1441218351">
          <w:marLeft w:val="-720"/>
          <w:marRight w:val="0"/>
          <w:marTop w:val="0"/>
          <w:marBottom w:val="0"/>
          <w:divBdr>
            <w:top w:val="none" w:sz="0" w:space="0" w:color="auto"/>
            <w:left w:val="none" w:sz="0" w:space="0" w:color="auto"/>
            <w:bottom w:val="none" w:sz="0" w:space="0" w:color="auto"/>
            <w:right w:val="none" w:sz="0" w:space="0" w:color="auto"/>
          </w:divBdr>
        </w:div>
      </w:divsChild>
    </w:div>
    <w:div w:id="2084453099">
      <w:bodyDiv w:val="1"/>
      <w:marLeft w:val="0"/>
      <w:marRight w:val="0"/>
      <w:marTop w:val="0"/>
      <w:marBottom w:val="0"/>
      <w:divBdr>
        <w:top w:val="none" w:sz="0" w:space="0" w:color="auto"/>
        <w:left w:val="none" w:sz="0" w:space="0" w:color="auto"/>
        <w:bottom w:val="none" w:sz="0" w:space="0" w:color="auto"/>
        <w:right w:val="none" w:sz="0" w:space="0" w:color="auto"/>
      </w:divBdr>
    </w:div>
    <w:div w:id="20898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1796</TotalTime>
  <Pages>7</Pages>
  <Words>3371</Words>
  <Characters>19217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32</cp:revision>
  <dcterms:created xsi:type="dcterms:W3CDTF">2024-07-23T19:30:00Z</dcterms:created>
  <dcterms:modified xsi:type="dcterms:W3CDTF">2025-06-26T07:37:00Z</dcterms:modified>
</cp:coreProperties>
</file>