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33D17" w14:textId="77777777" w:rsidR="00E8481D" w:rsidRPr="00762824" w:rsidRDefault="00A70E34" w:rsidP="00E8481D">
      <w:pPr>
        <w:jc w:val="both"/>
        <w:rPr>
          <w:rFonts w:asciiTheme="majorBidi" w:hAnsiTheme="majorBidi" w:cstheme="majorBidi"/>
          <w:b/>
          <w:bCs/>
          <w:sz w:val="24"/>
          <w:szCs w:val="24"/>
        </w:rPr>
      </w:pPr>
      <w:r w:rsidRPr="00762824">
        <w:rPr>
          <w:rFonts w:asciiTheme="majorBidi" w:hAnsiTheme="majorBidi" w:cstheme="majorBidi"/>
          <w:b/>
          <w:bCs/>
          <w:sz w:val="24"/>
          <w:szCs w:val="24"/>
        </w:rPr>
        <w:t xml:space="preserve">Genetic investigation of osteoporosis genes in postmenopausal and association of vitamin D receptor gene </w:t>
      </w:r>
      <w:proofErr w:type="spellStart"/>
      <w:r w:rsidRPr="00762824">
        <w:rPr>
          <w:rFonts w:asciiTheme="majorBidi" w:hAnsiTheme="majorBidi" w:cstheme="majorBidi"/>
          <w:b/>
          <w:bCs/>
          <w:sz w:val="24"/>
          <w:szCs w:val="24"/>
        </w:rPr>
        <w:t>TaqIrs</w:t>
      </w:r>
      <w:proofErr w:type="spellEnd"/>
      <w:r w:rsidRPr="00762824">
        <w:rPr>
          <w:rFonts w:asciiTheme="majorBidi" w:hAnsiTheme="majorBidi" w:cstheme="majorBidi"/>
          <w:b/>
          <w:bCs/>
          <w:sz w:val="24"/>
          <w:szCs w:val="24"/>
        </w:rPr>
        <w:t xml:space="preserve"> (731236) with type 2 diabetes</w:t>
      </w:r>
    </w:p>
    <w:p w14:paraId="3A875F54" w14:textId="77777777" w:rsidR="005B5DEB" w:rsidRPr="00762824" w:rsidRDefault="005B5DEB" w:rsidP="005B5DEB">
      <w:pPr>
        <w:rPr>
          <w:rFonts w:asciiTheme="majorBidi" w:hAnsiTheme="majorBidi" w:cstheme="majorBidi"/>
          <w:b/>
          <w:bCs/>
          <w:sz w:val="24"/>
          <w:szCs w:val="24"/>
        </w:rPr>
      </w:pPr>
      <w:r w:rsidRPr="00762824">
        <w:rPr>
          <w:rFonts w:asciiTheme="majorBidi" w:hAnsiTheme="majorBidi" w:cstheme="majorBidi"/>
          <w:b/>
          <w:bCs/>
          <w:sz w:val="24"/>
          <w:szCs w:val="24"/>
        </w:rPr>
        <w:t>Abstract</w:t>
      </w:r>
    </w:p>
    <w:p w14:paraId="7660F274" w14:textId="77777777" w:rsidR="004038A0" w:rsidRPr="00762824" w:rsidRDefault="007D4FCD" w:rsidP="000C7DCD">
      <w:pPr>
        <w:spacing w:after="0" w:line="240" w:lineRule="auto"/>
        <w:jc w:val="both"/>
        <w:rPr>
          <w:rFonts w:asciiTheme="majorBidi" w:hAnsiTheme="majorBidi" w:cstheme="majorBidi"/>
          <w:sz w:val="24"/>
          <w:szCs w:val="24"/>
        </w:rPr>
      </w:pPr>
      <w:r w:rsidRPr="00762824">
        <w:rPr>
          <w:rFonts w:asciiTheme="majorBidi" w:hAnsiTheme="majorBidi" w:cstheme="majorBidi"/>
          <w:sz w:val="24"/>
          <w:szCs w:val="24"/>
        </w:rPr>
        <w:t>This study aims to investigate how the body interacts with medications that genetically influence osteoporosis, which helps in diagnosing, treating, and preventing fractures and reducing their negative effects.</w:t>
      </w:r>
      <w:r w:rsidRPr="00762824">
        <w:rPr>
          <w:rFonts w:asciiTheme="majorBidi" w:hAnsiTheme="majorBidi" w:cstheme="majorBidi"/>
          <w:sz w:val="24"/>
          <w:szCs w:val="24"/>
          <w:rtl/>
        </w:rPr>
        <w:t xml:space="preserve"> </w:t>
      </w:r>
      <w:r w:rsidR="003902DD" w:rsidRPr="00762824">
        <w:rPr>
          <w:rFonts w:asciiTheme="majorBidi" w:hAnsiTheme="majorBidi" w:cstheme="majorBidi"/>
          <w:sz w:val="24"/>
          <w:szCs w:val="24"/>
        </w:rPr>
        <w:t xml:space="preserve">The study was conducted on </w:t>
      </w:r>
      <w:r w:rsidR="00FE0656">
        <w:rPr>
          <w:rFonts w:asciiTheme="majorBidi" w:hAnsiTheme="majorBidi" w:cstheme="majorBidi"/>
          <w:sz w:val="24"/>
          <w:szCs w:val="24"/>
        </w:rPr>
        <w:t>(</w:t>
      </w:r>
      <w:r w:rsidR="003902DD" w:rsidRPr="00762824">
        <w:rPr>
          <w:rFonts w:asciiTheme="majorBidi" w:hAnsiTheme="majorBidi" w:cstheme="majorBidi"/>
          <w:sz w:val="24"/>
          <w:szCs w:val="24"/>
        </w:rPr>
        <w:t>100 women</w:t>
      </w:r>
      <w:r w:rsidR="00FE0656">
        <w:rPr>
          <w:rFonts w:asciiTheme="majorBidi" w:hAnsiTheme="majorBidi" w:cstheme="majorBidi"/>
          <w:sz w:val="24"/>
          <w:szCs w:val="24"/>
        </w:rPr>
        <w:t>)</w:t>
      </w:r>
      <w:r w:rsidR="003902DD" w:rsidRPr="00762824">
        <w:rPr>
          <w:rFonts w:asciiTheme="majorBidi" w:hAnsiTheme="majorBidi" w:cstheme="majorBidi"/>
          <w:sz w:val="24"/>
          <w:szCs w:val="24"/>
        </w:rPr>
        <w:t xml:space="preserve"> with osteoporosis, 80 women with postmenopausal osteoporosis, and 20 healthy women who were randomly selected to study the relationship between osteoporosis and the Taq1 (rs731236) single nucleotide polymorphism (SNP) in the VDR gene using PCR. Among 60 patients, 15 (25%) TT, 24 (40%) GG, and 21 (35%) TC heterozygotes were found.</w:t>
      </w:r>
      <w:r w:rsidR="00724730" w:rsidRPr="00762824">
        <w:rPr>
          <w:rFonts w:asciiTheme="majorBidi" w:eastAsia="Times New Roman" w:hAnsiTheme="majorBidi" w:cstheme="majorBidi"/>
          <w:sz w:val="24"/>
          <w:szCs w:val="24"/>
        </w:rPr>
        <w:t xml:space="preserve"> TT</w:t>
      </w:r>
      <w:r w:rsidR="00AF7BBE" w:rsidRPr="00762824">
        <w:rPr>
          <w:rFonts w:asciiTheme="majorBidi" w:eastAsia="Times New Roman" w:hAnsiTheme="majorBidi" w:cstheme="majorBidi"/>
          <w:sz w:val="24"/>
          <w:szCs w:val="24"/>
        </w:rPr>
        <w:t>,</w:t>
      </w:r>
      <w:r w:rsidR="00724730" w:rsidRPr="00762824">
        <w:rPr>
          <w:rFonts w:asciiTheme="majorBidi" w:eastAsia="Times New Roman" w:hAnsiTheme="majorBidi" w:cstheme="majorBidi"/>
          <w:sz w:val="24"/>
          <w:szCs w:val="24"/>
        </w:rPr>
        <w:t xml:space="preserve"> </w:t>
      </w:r>
      <w:r w:rsidR="00AF7BBE" w:rsidRPr="00762824">
        <w:rPr>
          <w:rFonts w:asciiTheme="majorBidi" w:eastAsia="Times New Roman" w:hAnsiTheme="majorBidi" w:cstheme="majorBidi"/>
          <w:sz w:val="24"/>
          <w:szCs w:val="24"/>
        </w:rPr>
        <w:t xml:space="preserve">CC and TC </w:t>
      </w:r>
      <w:r w:rsidR="00724730" w:rsidRPr="00762824">
        <w:rPr>
          <w:rFonts w:asciiTheme="majorBidi" w:eastAsia="Times New Roman" w:hAnsiTheme="majorBidi" w:cstheme="majorBidi"/>
          <w:sz w:val="24"/>
          <w:szCs w:val="24"/>
        </w:rPr>
        <w:t>(31, 25.</w:t>
      </w:r>
      <w:r w:rsidR="006C7E63" w:rsidRPr="00762824">
        <w:rPr>
          <w:rFonts w:asciiTheme="majorBidi" w:eastAsia="Times New Roman" w:hAnsiTheme="majorBidi" w:cstheme="majorBidi"/>
          <w:sz w:val="24"/>
          <w:szCs w:val="24"/>
        </w:rPr>
        <w:t>4</w:t>
      </w:r>
      <w:r w:rsidR="00724730" w:rsidRPr="00762824">
        <w:rPr>
          <w:rFonts w:asciiTheme="majorBidi" w:eastAsia="Times New Roman" w:hAnsiTheme="majorBidi" w:cstheme="majorBidi"/>
          <w:sz w:val="24"/>
          <w:szCs w:val="24"/>
        </w:rPr>
        <w:t>; 10, 4.</w:t>
      </w:r>
      <w:r w:rsidR="006C7E63" w:rsidRPr="00762824">
        <w:rPr>
          <w:rFonts w:asciiTheme="majorBidi" w:eastAsia="Times New Roman" w:hAnsiTheme="majorBidi" w:cstheme="majorBidi"/>
          <w:sz w:val="24"/>
          <w:szCs w:val="24"/>
        </w:rPr>
        <w:t>3</w:t>
      </w:r>
      <w:r w:rsidR="00724730" w:rsidRPr="00762824">
        <w:rPr>
          <w:rFonts w:asciiTheme="majorBidi" w:eastAsia="Times New Roman" w:hAnsiTheme="majorBidi" w:cstheme="majorBidi"/>
          <w:sz w:val="24"/>
          <w:szCs w:val="24"/>
        </w:rPr>
        <w:t>; 9, 20.</w:t>
      </w:r>
      <w:r w:rsidR="006C7E63" w:rsidRPr="00762824">
        <w:rPr>
          <w:rFonts w:asciiTheme="majorBidi" w:eastAsia="Times New Roman" w:hAnsiTheme="majorBidi" w:cstheme="majorBidi"/>
          <w:sz w:val="24"/>
          <w:szCs w:val="24"/>
        </w:rPr>
        <w:t>4</w:t>
      </w:r>
      <w:r w:rsidR="00724730" w:rsidRPr="00762824">
        <w:rPr>
          <w:rFonts w:asciiTheme="majorBidi" w:eastAsia="Times New Roman" w:hAnsiTheme="majorBidi" w:cstheme="majorBidi"/>
          <w:sz w:val="24"/>
          <w:szCs w:val="24"/>
        </w:rPr>
        <w:t>)</w:t>
      </w:r>
      <w:r w:rsidR="00AF7BBE" w:rsidRPr="00762824">
        <w:rPr>
          <w:rFonts w:asciiTheme="majorBidi" w:eastAsia="Times New Roman" w:hAnsiTheme="majorBidi" w:cstheme="majorBidi"/>
          <w:sz w:val="24"/>
          <w:szCs w:val="24"/>
        </w:rPr>
        <w:t xml:space="preserve"> respectively, are</w:t>
      </w:r>
      <w:r w:rsidR="00724730" w:rsidRPr="00762824">
        <w:rPr>
          <w:rFonts w:asciiTheme="majorBidi" w:eastAsia="Times New Roman" w:hAnsiTheme="majorBidi" w:cstheme="majorBidi"/>
          <w:sz w:val="24"/>
          <w:szCs w:val="24"/>
        </w:rPr>
        <w:t xml:space="preserve"> the</w:t>
      </w:r>
      <w:r w:rsidR="006C7E63" w:rsidRPr="00762824">
        <w:rPr>
          <w:rFonts w:asciiTheme="majorBidi" w:eastAsia="Times New Roman" w:hAnsiTheme="majorBidi" w:cstheme="majorBidi"/>
          <w:sz w:val="24"/>
          <w:szCs w:val="24"/>
        </w:rPr>
        <w:t xml:space="preserve"> proportion</w:t>
      </w:r>
      <w:r w:rsidR="00724730" w:rsidRPr="00762824">
        <w:rPr>
          <w:rFonts w:asciiTheme="majorBidi" w:eastAsia="Times New Roman" w:hAnsiTheme="majorBidi" w:cstheme="majorBidi"/>
          <w:sz w:val="24"/>
          <w:szCs w:val="24"/>
        </w:rPr>
        <w:t xml:space="preserve"> and </w:t>
      </w:r>
      <w:r w:rsidR="006C7E63" w:rsidRPr="00762824">
        <w:rPr>
          <w:rFonts w:asciiTheme="majorBidi" w:eastAsia="Times New Roman" w:hAnsiTheme="majorBidi" w:cstheme="majorBidi"/>
          <w:sz w:val="24"/>
          <w:szCs w:val="24"/>
        </w:rPr>
        <w:t>distribution</w:t>
      </w:r>
      <w:r w:rsidR="00724730" w:rsidRPr="00762824">
        <w:rPr>
          <w:rFonts w:asciiTheme="majorBidi" w:eastAsia="Times New Roman" w:hAnsiTheme="majorBidi" w:cstheme="majorBidi"/>
          <w:sz w:val="24"/>
          <w:szCs w:val="24"/>
        </w:rPr>
        <w:t xml:space="preserve"> of people with (</w:t>
      </w:r>
      <w:proofErr w:type="spellStart"/>
      <w:r w:rsidR="00724730" w:rsidRPr="00762824">
        <w:rPr>
          <w:rFonts w:asciiTheme="majorBidi" w:eastAsia="Times New Roman" w:hAnsiTheme="majorBidi" w:cstheme="majorBidi"/>
          <w:sz w:val="24"/>
          <w:szCs w:val="24"/>
        </w:rPr>
        <w:t>rs</w:t>
      </w:r>
      <w:proofErr w:type="spellEnd"/>
      <w:r w:rsidR="00724730" w:rsidRPr="00762824">
        <w:rPr>
          <w:rFonts w:asciiTheme="majorBidi" w:eastAsia="Times New Roman" w:hAnsiTheme="majorBidi" w:cstheme="majorBidi"/>
          <w:sz w:val="24"/>
          <w:szCs w:val="24"/>
        </w:rPr>
        <w:t xml:space="preserve"> 731236) that deviate from those predicted under Hardy–Weinberg equilibrium. (p &lt; 0.001}), 15.843, and </w:t>
      </w:r>
      <w:proofErr w:type="spellStart"/>
      <w:r w:rsidR="00724730" w:rsidRPr="00762824">
        <w:rPr>
          <w:rFonts w:asciiTheme="majorBidi" w:eastAsia="Times New Roman" w:hAnsiTheme="majorBidi" w:cstheme="majorBidi"/>
          <w:sz w:val="24"/>
          <w:szCs w:val="24"/>
        </w:rPr>
        <w:t>rs</w:t>
      </w:r>
      <w:proofErr w:type="spellEnd"/>
      <w:r w:rsidR="00724730" w:rsidRPr="00762824">
        <w:rPr>
          <w:rFonts w:asciiTheme="majorBidi" w:eastAsia="Times New Roman" w:hAnsiTheme="majorBidi" w:cstheme="majorBidi"/>
          <w:sz w:val="24"/>
          <w:szCs w:val="24"/>
        </w:rPr>
        <w:t xml:space="preserve"> 731236), making it statistically significant.</w:t>
      </w:r>
      <w:r w:rsidR="00724730" w:rsidRPr="00762824">
        <w:rPr>
          <w:rFonts w:asciiTheme="majorBidi" w:eastAsia="Times New Roman" w:hAnsiTheme="majorBidi" w:cstheme="majorBidi"/>
          <w:sz w:val="24"/>
          <w:szCs w:val="24"/>
          <w:rtl/>
        </w:rPr>
        <w:t xml:space="preserve"> </w:t>
      </w:r>
      <w:r w:rsidR="00724730" w:rsidRPr="00762824">
        <w:rPr>
          <w:rFonts w:asciiTheme="majorBidi" w:eastAsia="Times New Roman" w:hAnsiTheme="majorBidi" w:cstheme="majorBidi"/>
          <w:sz w:val="24"/>
          <w:szCs w:val="24"/>
        </w:rPr>
        <w:t>The (</w:t>
      </w:r>
      <w:proofErr w:type="spellStart"/>
      <w:r w:rsidR="00724730" w:rsidRPr="00762824">
        <w:rPr>
          <w:rFonts w:asciiTheme="majorBidi" w:eastAsia="Times New Roman" w:hAnsiTheme="majorBidi" w:cstheme="majorBidi"/>
          <w:sz w:val="24"/>
          <w:szCs w:val="24"/>
        </w:rPr>
        <w:t>rs</w:t>
      </w:r>
      <w:proofErr w:type="spellEnd"/>
      <w:r w:rsidR="00724730" w:rsidRPr="00762824">
        <w:rPr>
          <w:rFonts w:asciiTheme="majorBidi" w:eastAsia="Times New Roman" w:hAnsiTheme="majorBidi" w:cstheme="majorBidi"/>
          <w:sz w:val="24"/>
          <w:szCs w:val="24"/>
        </w:rPr>
        <w:t xml:space="preserve"> 731236) SNP did not differ statistically significantly from the other mean of the biomarkers (D3, ALP, PTH, Progesterone, and E2). Mean age, BMI, T-score, </w:t>
      </w:r>
      <w:r w:rsidR="00DA40A4" w:rsidRPr="00762824">
        <w:rPr>
          <w:rFonts w:asciiTheme="majorBidi" w:eastAsia="Times New Roman" w:hAnsiTheme="majorBidi" w:cstheme="majorBidi"/>
          <w:sz w:val="24"/>
          <w:szCs w:val="24"/>
        </w:rPr>
        <w:t>using one-way analysis of variance, the study groups were compared.</w:t>
      </w:r>
      <w:r w:rsidR="00724730" w:rsidRPr="00762824">
        <w:rPr>
          <w:rFonts w:asciiTheme="majorBidi" w:eastAsia="Times New Roman" w:hAnsiTheme="majorBidi" w:cstheme="majorBidi"/>
          <w:sz w:val="24"/>
          <w:szCs w:val="24"/>
        </w:rPr>
        <w:t xml:space="preserve"> The mean T. score of the controls did not differ significantly. The mean BMI differed significantly (p = 0.02). Patients' </w:t>
      </w:r>
      <w:r w:rsidR="000C7DCD" w:rsidRPr="00762824">
        <w:rPr>
          <w:rFonts w:asciiTheme="majorBidi" w:hAnsiTheme="majorBidi" w:cstheme="majorBidi"/>
          <w:sz w:val="24"/>
          <w:szCs w:val="24"/>
        </w:rPr>
        <w:t xml:space="preserve">bone mineral </w:t>
      </w:r>
      <w:proofErr w:type="gramStart"/>
      <w:r w:rsidR="000C7DCD" w:rsidRPr="00762824">
        <w:rPr>
          <w:rFonts w:asciiTheme="majorBidi" w:hAnsiTheme="majorBidi" w:cstheme="majorBidi"/>
          <w:sz w:val="24"/>
          <w:szCs w:val="24"/>
        </w:rPr>
        <w:t>density</w:t>
      </w:r>
      <w:r w:rsidR="000C7DCD" w:rsidRPr="00762824">
        <w:rPr>
          <w:rFonts w:asciiTheme="majorBidi" w:eastAsia="Times New Roman" w:hAnsiTheme="majorBidi" w:cstheme="majorBidi"/>
          <w:sz w:val="24"/>
          <w:szCs w:val="24"/>
        </w:rPr>
        <w:t xml:space="preserve"> </w:t>
      </w:r>
      <w:r w:rsidR="000C7DCD">
        <w:rPr>
          <w:rFonts w:asciiTheme="majorBidi" w:eastAsia="Times New Roman" w:hAnsiTheme="majorBidi" w:cstheme="majorBidi" w:hint="cs"/>
          <w:sz w:val="24"/>
          <w:szCs w:val="24"/>
          <w:rtl/>
        </w:rPr>
        <w:t>)</w:t>
      </w:r>
      <w:r w:rsidR="000C7DCD" w:rsidRPr="00762824">
        <w:rPr>
          <w:rFonts w:asciiTheme="majorBidi" w:eastAsia="Times New Roman" w:hAnsiTheme="majorBidi" w:cstheme="majorBidi"/>
          <w:sz w:val="24"/>
          <w:szCs w:val="24"/>
        </w:rPr>
        <w:t>BMD</w:t>
      </w:r>
      <w:proofErr w:type="gramEnd"/>
      <w:r w:rsidR="000C7DCD">
        <w:rPr>
          <w:rFonts w:asciiTheme="majorBidi" w:eastAsia="Times New Roman" w:hAnsiTheme="majorBidi" w:cstheme="majorBidi" w:hint="cs"/>
          <w:sz w:val="24"/>
          <w:szCs w:val="24"/>
          <w:rtl/>
        </w:rPr>
        <w:t>(</w:t>
      </w:r>
      <w:r w:rsidR="00724730" w:rsidRPr="00762824">
        <w:rPr>
          <w:rFonts w:asciiTheme="majorBidi" w:eastAsia="Times New Roman" w:hAnsiTheme="majorBidi" w:cstheme="majorBidi"/>
          <w:sz w:val="24"/>
          <w:szCs w:val="24"/>
        </w:rPr>
        <w:t xml:space="preserve"> (p = 0.026) and mean T. score (-3.27 ± 0.53) for the TT allele are substantially greater than those for the CC allele (-2.66 ± 0.80), </w:t>
      </w:r>
      <w:r w:rsidRPr="00762824">
        <w:rPr>
          <w:rFonts w:asciiTheme="majorBidi" w:hAnsiTheme="majorBidi" w:cstheme="majorBidi"/>
          <w:sz w:val="24"/>
          <w:szCs w:val="24"/>
        </w:rPr>
        <w:t xml:space="preserve">According to post hoc analysis using </w:t>
      </w:r>
      <w:r w:rsidR="00FE0656">
        <w:rPr>
          <w:rFonts w:asciiTheme="majorBidi" w:hAnsiTheme="majorBidi" w:cstheme="majorBidi"/>
          <w:sz w:val="24"/>
          <w:szCs w:val="24"/>
        </w:rPr>
        <w:t>(</w:t>
      </w:r>
      <w:r w:rsidRPr="00762824">
        <w:rPr>
          <w:rFonts w:asciiTheme="majorBidi" w:hAnsiTheme="majorBidi" w:cstheme="majorBidi"/>
          <w:sz w:val="24"/>
          <w:szCs w:val="24"/>
        </w:rPr>
        <w:t>LSD</w:t>
      </w:r>
      <w:r w:rsidR="00FE0656">
        <w:rPr>
          <w:rFonts w:asciiTheme="majorBidi" w:hAnsiTheme="majorBidi" w:cstheme="majorBidi"/>
          <w:sz w:val="24"/>
          <w:szCs w:val="24"/>
        </w:rPr>
        <w:t>)</w:t>
      </w:r>
      <w:r w:rsidRPr="00762824">
        <w:rPr>
          <w:rFonts w:asciiTheme="majorBidi" w:hAnsiTheme="majorBidi" w:cstheme="majorBidi"/>
          <w:sz w:val="24"/>
          <w:szCs w:val="24"/>
        </w:rPr>
        <w:t xml:space="preserve"> </w:t>
      </w:r>
      <w:r w:rsidR="00FE0656" w:rsidRPr="00FE0656">
        <w:rPr>
          <w:rFonts w:asciiTheme="majorBidi" w:hAnsiTheme="majorBidi" w:cstheme="majorBidi"/>
          <w:sz w:val="24"/>
          <w:szCs w:val="24"/>
        </w:rPr>
        <w:t>amendment</w:t>
      </w:r>
      <w:r w:rsidRPr="00762824">
        <w:rPr>
          <w:rFonts w:asciiTheme="majorBidi" w:hAnsiTheme="majorBidi" w:cstheme="majorBidi"/>
          <w:sz w:val="24"/>
          <w:szCs w:val="24"/>
        </w:rPr>
        <w:t>, the results showed tha</w:t>
      </w:r>
      <w:bookmarkStart w:id="0" w:name="_GoBack"/>
      <w:bookmarkEnd w:id="0"/>
      <w:r w:rsidRPr="00762824">
        <w:rPr>
          <w:rFonts w:asciiTheme="majorBidi" w:hAnsiTheme="majorBidi" w:cstheme="majorBidi"/>
          <w:sz w:val="24"/>
          <w:szCs w:val="24"/>
        </w:rPr>
        <w:t xml:space="preserve">t the mean BMD of CC alleles </w:t>
      </w:r>
      <w:r w:rsidRPr="00762824">
        <w:rPr>
          <w:rFonts w:asciiTheme="majorBidi" w:eastAsia="Times New Roman" w:hAnsiTheme="majorBidi" w:cstheme="majorBidi"/>
          <w:sz w:val="24"/>
          <w:szCs w:val="24"/>
        </w:rPr>
        <w:t>(0.75 ± 0.04)</w:t>
      </w:r>
      <w:r w:rsidRPr="00762824">
        <w:rPr>
          <w:rFonts w:asciiTheme="majorBidi" w:eastAsia="Times New Roman" w:hAnsiTheme="majorBidi" w:cstheme="majorBidi"/>
          <w:sz w:val="24"/>
          <w:szCs w:val="24"/>
          <w:rtl/>
        </w:rPr>
        <w:t xml:space="preserve"> </w:t>
      </w:r>
      <w:r w:rsidRPr="00762824">
        <w:rPr>
          <w:rFonts w:asciiTheme="majorBidi" w:hAnsiTheme="majorBidi" w:cstheme="majorBidi"/>
          <w:sz w:val="24"/>
          <w:szCs w:val="24"/>
        </w:rPr>
        <w:t>was significantly lower than the mean BMD of the TT allele</w:t>
      </w:r>
      <w:r w:rsidRPr="00762824">
        <w:rPr>
          <w:rFonts w:asciiTheme="majorBidi" w:hAnsiTheme="majorBidi" w:cstheme="majorBidi"/>
          <w:sz w:val="24"/>
          <w:szCs w:val="24"/>
          <w:rtl/>
        </w:rPr>
        <w:t xml:space="preserve"> </w:t>
      </w:r>
      <w:r w:rsidRPr="00762824">
        <w:rPr>
          <w:rFonts w:asciiTheme="majorBidi" w:eastAsia="Times New Roman" w:hAnsiTheme="majorBidi" w:cstheme="majorBidi"/>
          <w:sz w:val="24"/>
          <w:szCs w:val="24"/>
        </w:rPr>
        <w:t xml:space="preserve">(0.80 ± </w:t>
      </w:r>
      <w:r w:rsidRPr="00762824">
        <w:rPr>
          <w:rFonts w:asciiTheme="majorBidi" w:hAnsiTheme="majorBidi" w:cstheme="majorBidi"/>
          <w:color w:val="010205"/>
          <w:sz w:val="24"/>
          <w:szCs w:val="24"/>
          <w:lang w:val="en-GB"/>
        </w:rPr>
        <w:t>0.06</w:t>
      </w:r>
      <w:r w:rsidRPr="00762824">
        <w:rPr>
          <w:rFonts w:asciiTheme="majorBidi" w:eastAsia="Times New Roman" w:hAnsiTheme="majorBidi" w:cstheme="majorBidi"/>
          <w:sz w:val="24"/>
          <w:szCs w:val="24"/>
        </w:rPr>
        <w:t>)</w:t>
      </w:r>
      <w:r w:rsidRPr="00762824">
        <w:rPr>
          <w:rFonts w:asciiTheme="majorBidi" w:hAnsiTheme="majorBidi" w:cstheme="majorBidi"/>
          <w:sz w:val="24"/>
          <w:szCs w:val="24"/>
        </w:rPr>
        <w:t>.</w:t>
      </w:r>
      <w:r w:rsidR="00724730" w:rsidRPr="00762824">
        <w:rPr>
          <w:rFonts w:asciiTheme="majorBidi" w:eastAsia="Times New Roman" w:hAnsiTheme="majorBidi" w:cstheme="majorBidi"/>
          <w:sz w:val="24"/>
          <w:szCs w:val="24"/>
        </w:rPr>
        <w:t xml:space="preserve"> The T-score and BMD showed a significant difference, however the demographic characteristics of PMO patients with DM type 2 and PMO patients without DM type 2 did not differ significantly in the (</w:t>
      </w:r>
      <w:proofErr w:type="spellStart"/>
      <w:r w:rsidR="00724730" w:rsidRPr="00762824">
        <w:rPr>
          <w:rFonts w:asciiTheme="majorBidi" w:eastAsia="Times New Roman" w:hAnsiTheme="majorBidi" w:cstheme="majorBidi"/>
          <w:sz w:val="24"/>
          <w:szCs w:val="24"/>
        </w:rPr>
        <w:t>rs</w:t>
      </w:r>
      <w:proofErr w:type="spellEnd"/>
      <w:r w:rsidR="00724730" w:rsidRPr="00762824">
        <w:rPr>
          <w:rFonts w:asciiTheme="majorBidi" w:eastAsia="Times New Roman" w:hAnsiTheme="majorBidi" w:cstheme="majorBidi"/>
          <w:sz w:val="24"/>
          <w:szCs w:val="24"/>
        </w:rPr>
        <w:t xml:space="preserve"> 731236) SNP.</w:t>
      </w:r>
    </w:p>
    <w:p w14:paraId="00423D49" w14:textId="77777777" w:rsidR="00247497" w:rsidRPr="00762824" w:rsidRDefault="00247497">
      <w:pPr>
        <w:rPr>
          <w:rFonts w:asciiTheme="majorBidi" w:hAnsiTheme="majorBidi" w:cstheme="majorBidi"/>
          <w:sz w:val="24"/>
          <w:szCs w:val="24"/>
        </w:rPr>
      </w:pPr>
    </w:p>
    <w:p w14:paraId="0835D7CA" w14:textId="77777777" w:rsidR="00247497" w:rsidRPr="00762824" w:rsidRDefault="00E8481D" w:rsidP="00874B9E">
      <w:pPr>
        <w:rPr>
          <w:rFonts w:asciiTheme="majorBidi" w:hAnsiTheme="majorBidi" w:cstheme="majorBidi"/>
          <w:sz w:val="24"/>
          <w:szCs w:val="24"/>
        </w:rPr>
      </w:pPr>
      <w:r w:rsidRPr="00762824">
        <w:rPr>
          <w:rFonts w:asciiTheme="majorBidi" w:hAnsiTheme="majorBidi" w:cstheme="majorBidi"/>
          <w:b/>
          <w:bCs/>
          <w:sz w:val="24"/>
          <w:szCs w:val="24"/>
        </w:rPr>
        <w:t>Key</w:t>
      </w:r>
      <w:r w:rsidR="00874B9E" w:rsidRPr="00762824">
        <w:rPr>
          <w:rFonts w:asciiTheme="majorBidi" w:hAnsiTheme="majorBidi" w:cstheme="majorBidi"/>
          <w:b/>
          <w:bCs/>
          <w:sz w:val="24"/>
          <w:szCs w:val="24"/>
        </w:rPr>
        <w:t>words:</w:t>
      </w:r>
      <w:r w:rsidR="00874B9E" w:rsidRPr="00762824">
        <w:rPr>
          <w:rFonts w:asciiTheme="majorBidi" w:hAnsiTheme="majorBidi" w:cstheme="majorBidi"/>
          <w:sz w:val="24"/>
          <w:szCs w:val="24"/>
        </w:rPr>
        <w:t xml:space="preserve"> Molecular, Osteoporosis, Genes, Postmenopausal Women, Type 2 Diabetes.</w:t>
      </w:r>
    </w:p>
    <w:p w14:paraId="14A411B1" w14:textId="77777777" w:rsidR="00E8481D" w:rsidRPr="00762824" w:rsidRDefault="00E8481D" w:rsidP="00FD63D3">
      <w:pPr>
        <w:rPr>
          <w:rFonts w:asciiTheme="majorBidi" w:hAnsiTheme="majorBidi" w:cstheme="majorBidi"/>
          <w:b/>
          <w:bCs/>
          <w:sz w:val="24"/>
          <w:szCs w:val="24"/>
        </w:rPr>
      </w:pPr>
    </w:p>
    <w:p w14:paraId="754762B8" w14:textId="77777777" w:rsidR="00E8481D" w:rsidRPr="00762824" w:rsidRDefault="00E8481D" w:rsidP="00FD63D3">
      <w:pPr>
        <w:rPr>
          <w:rFonts w:asciiTheme="majorBidi" w:hAnsiTheme="majorBidi" w:cstheme="majorBidi"/>
          <w:b/>
          <w:bCs/>
          <w:sz w:val="24"/>
          <w:szCs w:val="24"/>
        </w:rPr>
      </w:pPr>
    </w:p>
    <w:p w14:paraId="4EA31CF9" w14:textId="77777777" w:rsidR="00FD63D3" w:rsidRPr="00762824" w:rsidRDefault="00247497" w:rsidP="00FD63D3">
      <w:pPr>
        <w:rPr>
          <w:rFonts w:asciiTheme="majorBidi" w:hAnsiTheme="majorBidi" w:cstheme="majorBidi"/>
          <w:b/>
          <w:bCs/>
          <w:sz w:val="24"/>
          <w:szCs w:val="24"/>
        </w:rPr>
      </w:pPr>
      <w:r w:rsidRPr="00762824">
        <w:rPr>
          <w:rFonts w:asciiTheme="majorBidi" w:hAnsiTheme="majorBidi" w:cstheme="majorBidi"/>
          <w:b/>
          <w:bCs/>
          <w:sz w:val="24"/>
          <w:szCs w:val="24"/>
        </w:rPr>
        <w:t>Introduction</w:t>
      </w:r>
    </w:p>
    <w:p w14:paraId="629B62E2" w14:textId="77777777" w:rsidR="00724730" w:rsidRPr="00762824" w:rsidRDefault="00724730" w:rsidP="003902DD">
      <w:pPr>
        <w:jc w:val="both"/>
        <w:rPr>
          <w:rFonts w:asciiTheme="majorBidi" w:hAnsiTheme="majorBidi" w:cstheme="majorBidi"/>
          <w:sz w:val="24"/>
          <w:szCs w:val="24"/>
        </w:rPr>
      </w:pPr>
      <w:r w:rsidRPr="00762824">
        <w:rPr>
          <w:rFonts w:asciiTheme="majorBidi" w:hAnsiTheme="majorBidi" w:cstheme="majorBidi"/>
          <w:sz w:val="24"/>
          <w:szCs w:val="24"/>
        </w:rPr>
        <w:t>Osteoporosis is a common condition that causes fragility fractures by causing a systemic decrease of bone mass and microarchitecture. The medical and societal consequences of osteoporosis, especially postmenopausal osteoporosis, will increase as the population ages [1]. A number of environmental factors influence pathogenesis. The fact that several aspects of bone strength are heritable shows that genes also have a significant impact [2]. Since osteoporosis is mostly genetically determined, it is impossible to fully and publicly demonstrate the etiology of osteoporosis until the processes of gene activity that underlie the condition are understood.</w:t>
      </w:r>
      <w:r w:rsidRPr="00762824">
        <w:rPr>
          <w:rFonts w:asciiTheme="majorBidi" w:hAnsiTheme="majorBidi" w:cstheme="majorBidi"/>
          <w:sz w:val="24"/>
          <w:szCs w:val="24"/>
          <w:rtl/>
        </w:rPr>
        <w:t xml:space="preserve"> </w:t>
      </w:r>
      <w:r w:rsidRPr="00762824">
        <w:rPr>
          <w:rFonts w:asciiTheme="majorBidi" w:eastAsia="Times New Roman" w:hAnsiTheme="majorBidi" w:cstheme="majorBidi"/>
          <w:sz w:val="24"/>
          <w:szCs w:val="24"/>
        </w:rPr>
        <w:t xml:space="preserve">Some of this </w:t>
      </w:r>
      <w:r w:rsidR="00AA584E" w:rsidRPr="00762824">
        <w:rPr>
          <w:rFonts w:asciiTheme="majorBidi" w:eastAsia="Times New Roman" w:hAnsiTheme="majorBidi" w:cstheme="majorBidi"/>
          <w:sz w:val="24"/>
          <w:szCs w:val="24"/>
        </w:rPr>
        <w:t>issue</w:t>
      </w:r>
      <w:r w:rsidRPr="00762824">
        <w:rPr>
          <w:rFonts w:asciiTheme="majorBidi" w:eastAsia="Times New Roman" w:hAnsiTheme="majorBidi" w:cstheme="majorBidi"/>
          <w:sz w:val="24"/>
          <w:szCs w:val="24"/>
        </w:rPr>
        <w:t xml:space="preserve"> has been addressed by osteoporosis gene expression investigations. Instead of looking at the DNA level, gene expression studies look at the relationships between particular genes and diseases at the mRNA level. </w:t>
      </w:r>
      <w:r w:rsidR="003902DD" w:rsidRPr="00762824">
        <w:rPr>
          <w:rFonts w:asciiTheme="majorBidi" w:eastAsia="Times New Roman" w:hAnsiTheme="majorBidi" w:cstheme="majorBidi"/>
          <w:sz w:val="24"/>
          <w:szCs w:val="24"/>
        </w:rPr>
        <w:t xml:space="preserve">Many studies have shown that the vitamin D receptor (VDR) gene, which belongs to the group of nuclear receptors and is located on the long arm of the chromosome, plays a major and </w:t>
      </w:r>
      <w:r w:rsidR="003902DD" w:rsidRPr="00762824">
        <w:rPr>
          <w:rFonts w:asciiTheme="majorBidi" w:eastAsia="Times New Roman" w:hAnsiTheme="majorBidi" w:cstheme="majorBidi"/>
          <w:sz w:val="24"/>
          <w:szCs w:val="24"/>
        </w:rPr>
        <w:lastRenderedPageBreak/>
        <w:t>pivotal role in determining the causes of osteoporosis. This method can provide a deeper understanding to determine how genes work and to identify some of the metabolic processes that lead to this disease</w:t>
      </w:r>
      <w:r w:rsidR="003902DD" w:rsidRPr="00762824">
        <w:rPr>
          <w:rFonts w:asciiTheme="majorBidi" w:eastAsia="Times New Roman" w:hAnsiTheme="majorBidi" w:cstheme="majorBidi"/>
          <w:sz w:val="24"/>
          <w:szCs w:val="24"/>
          <w:rtl/>
        </w:rPr>
        <w:t xml:space="preserve"> </w:t>
      </w:r>
      <w:r w:rsidR="003902DD" w:rsidRPr="00762824">
        <w:rPr>
          <w:rFonts w:asciiTheme="majorBidi" w:eastAsia="Times New Roman" w:hAnsiTheme="majorBidi" w:cstheme="majorBidi"/>
          <w:sz w:val="24"/>
          <w:szCs w:val="24"/>
        </w:rPr>
        <w:t>[3].</w:t>
      </w:r>
      <w:r w:rsidRPr="00762824">
        <w:rPr>
          <w:rFonts w:asciiTheme="majorBidi" w:eastAsia="Times New Roman" w:hAnsiTheme="majorBidi" w:cstheme="majorBidi"/>
          <w:sz w:val="24"/>
          <w:szCs w:val="24"/>
        </w:rPr>
        <w:t xml:space="preserve"> </w:t>
      </w:r>
    </w:p>
    <w:p w14:paraId="7E2D5D8D" w14:textId="77777777" w:rsidR="00176798" w:rsidRPr="00762824" w:rsidRDefault="00176798" w:rsidP="003902DD">
      <w:pPr>
        <w:ind w:firstLine="720"/>
        <w:jc w:val="both"/>
        <w:rPr>
          <w:rFonts w:asciiTheme="majorBidi" w:hAnsiTheme="majorBidi" w:cstheme="majorBidi"/>
          <w:sz w:val="24"/>
          <w:szCs w:val="24"/>
        </w:rPr>
      </w:pPr>
      <w:r w:rsidRPr="00762824">
        <w:rPr>
          <w:rFonts w:asciiTheme="majorBidi" w:hAnsiTheme="majorBidi" w:cstheme="majorBidi"/>
          <w:sz w:val="24"/>
          <w:szCs w:val="24"/>
        </w:rPr>
        <w:t xml:space="preserve">One of the potential genes controlling bone strength and metabolism is thought to be the one encoding the vitamin D receptor [4]. The nuclear transcription factor VDR mediates </w:t>
      </w:r>
      <w:r w:rsidR="00C74E08" w:rsidRPr="00762824">
        <w:rPr>
          <w:rFonts w:asciiTheme="majorBidi" w:hAnsiTheme="majorBidi" w:cstheme="majorBidi"/>
          <w:sz w:val="24"/>
          <w:szCs w:val="24"/>
        </w:rPr>
        <w:t>(</w:t>
      </w:r>
      <w:r w:rsidRPr="00762824">
        <w:rPr>
          <w:rFonts w:asciiTheme="majorBidi" w:hAnsiTheme="majorBidi" w:cstheme="majorBidi"/>
          <w:sz w:val="24"/>
          <w:szCs w:val="24"/>
        </w:rPr>
        <w:t>1,25(OH)2D3</w:t>
      </w:r>
      <w:r w:rsidR="00C74E08" w:rsidRPr="00762824">
        <w:rPr>
          <w:rFonts w:asciiTheme="majorBidi" w:hAnsiTheme="majorBidi" w:cstheme="majorBidi"/>
          <w:sz w:val="24"/>
          <w:szCs w:val="24"/>
        </w:rPr>
        <w:t>)</w:t>
      </w:r>
      <w:r w:rsidRPr="00762824">
        <w:rPr>
          <w:rFonts w:asciiTheme="majorBidi" w:hAnsiTheme="majorBidi" w:cstheme="majorBidi"/>
          <w:sz w:val="24"/>
          <w:szCs w:val="24"/>
        </w:rPr>
        <w:t xml:space="preserve"> activity to affect </w:t>
      </w:r>
      <w:r w:rsidR="00C74E08" w:rsidRPr="00762824">
        <w:rPr>
          <w:rFonts w:asciiTheme="majorBidi" w:hAnsiTheme="majorBidi" w:cstheme="majorBidi"/>
          <w:sz w:val="24"/>
          <w:szCs w:val="24"/>
        </w:rPr>
        <w:t>bone remodeling, calcium absorption</w:t>
      </w:r>
      <w:r w:rsidRPr="00762824">
        <w:rPr>
          <w:rFonts w:asciiTheme="majorBidi" w:hAnsiTheme="majorBidi" w:cstheme="majorBidi"/>
          <w:sz w:val="24"/>
          <w:szCs w:val="24"/>
        </w:rPr>
        <w:t>, and mineralization rate. 1α,25(OH)2D3/VDR Osteoporosis, cancer, type 1 and type 2 diabetes, arteriosclerosis, vascular disease, and infections are among the chronic illnesses of aging that can be avoided by managing gene expression and acting promptly [5].</w:t>
      </w:r>
      <w:r w:rsidRPr="00762824">
        <w:rPr>
          <w:rFonts w:asciiTheme="majorBidi" w:hAnsiTheme="majorBidi" w:cstheme="majorBidi"/>
          <w:sz w:val="24"/>
          <w:szCs w:val="24"/>
          <w:rtl/>
        </w:rPr>
        <w:t xml:space="preserve"> </w:t>
      </w:r>
      <w:r w:rsidRPr="00762824">
        <w:rPr>
          <w:rFonts w:asciiTheme="majorBidi" w:eastAsia="Times New Roman" w:hAnsiTheme="majorBidi" w:cstheme="majorBidi"/>
          <w:sz w:val="24"/>
          <w:szCs w:val="24"/>
        </w:rPr>
        <w:t>Studies have shown that postmenopausal women with type 2 diabetes mellitus (T2DM) had a higher prevalence of osteoporosis and related fractures. A research found that 25% of postmenopausal women with type 2 diabetes developed osteoporosis, and that traits like less physical activity were strongly correlated with lower (BMD) and osteocalcin levels [6]. According to a different study, T2DM patients generally have higher BMD than non-diabetic controls, which may be due to body mass index (BMI) and fasting insulin levels [7]. Numerous research has looked at genetic differences linked to osteoporosis in postmenopausal women.</w:t>
      </w:r>
    </w:p>
    <w:p w14:paraId="2D6AE82E" w14:textId="77777777" w:rsidR="007D6ECE" w:rsidRPr="00762824" w:rsidRDefault="00D72687" w:rsidP="00176798">
      <w:pPr>
        <w:jc w:val="both"/>
        <w:rPr>
          <w:rFonts w:asciiTheme="majorBidi" w:hAnsiTheme="majorBidi" w:cstheme="majorBidi"/>
          <w:sz w:val="24"/>
          <w:szCs w:val="24"/>
        </w:rPr>
      </w:pPr>
      <w:r w:rsidRPr="00762824">
        <w:rPr>
          <w:rFonts w:asciiTheme="majorBidi" w:hAnsiTheme="majorBidi" w:cstheme="majorBidi"/>
          <w:sz w:val="24"/>
          <w:szCs w:val="24"/>
        </w:rPr>
        <w:t xml:space="preserve"> </w:t>
      </w:r>
    </w:p>
    <w:p w14:paraId="7959ED39" w14:textId="77777777" w:rsidR="00176798" w:rsidRPr="00762824" w:rsidRDefault="00C74E08" w:rsidP="00AF7BBE">
      <w:pPr>
        <w:spacing w:after="0" w:line="240" w:lineRule="auto"/>
        <w:jc w:val="both"/>
        <w:rPr>
          <w:rFonts w:asciiTheme="majorBidi" w:eastAsia="Times New Roman" w:hAnsiTheme="majorBidi" w:cstheme="majorBidi"/>
          <w:sz w:val="24"/>
          <w:szCs w:val="24"/>
        </w:rPr>
      </w:pPr>
      <w:r w:rsidRPr="00762824">
        <w:rPr>
          <w:rFonts w:asciiTheme="majorBidi" w:eastAsia="Times New Roman" w:hAnsiTheme="majorBidi" w:cstheme="majorBidi"/>
          <w:sz w:val="24"/>
          <w:szCs w:val="24"/>
        </w:rPr>
        <w:t>In osteoporotic postmenopausal women</w:t>
      </w:r>
      <w:r w:rsidR="00176798" w:rsidRPr="00762824">
        <w:rPr>
          <w:rFonts w:asciiTheme="majorBidi" w:eastAsia="Times New Roman" w:hAnsiTheme="majorBidi" w:cstheme="majorBidi"/>
          <w:sz w:val="24"/>
          <w:szCs w:val="24"/>
        </w:rPr>
        <w:t xml:space="preserve">, variations in bone mineral density (BMD) have been linked to the LRP5 gene polymorphism, notably the A1330V variant, although it is not significantly associated with type 2 diabetes [7][8]. Additionally, the lactose intolerance variant of the MCM6 gene (rs4988235) was associated with lower BMD and a higher risk of </w:t>
      </w:r>
      <w:r w:rsidR="00CB7392" w:rsidRPr="00762824">
        <w:rPr>
          <w:rFonts w:asciiTheme="majorBidi" w:eastAsia="Times New Roman" w:hAnsiTheme="majorBidi" w:cstheme="majorBidi"/>
          <w:sz w:val="24"/>
          <w:szCs w:val="24"/>
        </w:rPr>
        <w:t xml:space="preserve">DM type 2 </w:t>
      </w:r>
      <w:r w:rsidR="00176798" w:rsidRPr="00762824">
        <w:rPr>
          <w:rFonts w:asciiTheme="majorBidi" w:eastAsia="Times New Roman" w:hAnsiTheme="majorBidi" w:cstheme="majorBidi"/>
          <w:sz w:val="24"/>
          <w:szCs w:val="24"/>
        </w:rPr>
        <w:t xml:space="preserve">in postmenopausal women [9]. Variants in the DKK1 gene have been connected to abnormal bone metabolism in postmenopausal women with </w:t>
      </w:r>
      <w:r w:rsidR="00CB7392" w:rsidRPr="00762824">
        <w:rPr>
          <w:rFonts w:asciiTheme="majorBidi" w:eastAsia="Times New Roman" w:hAnsiTheme="majorBidi" w:cstheme="majorBidi"/>
          <w:sz w:val="24"/>
          <w:szCs w:val="24"/>
        </w:rPr>
        <w:t>DM type 2</w:t>
      </w:r>
      <w:r w:rsidR="00176798" w:rsidRPr="00762824">
        <w:rPr>
          <w:rFonts w:asciiTheme="majorBidi" w:eastAsia="Times New Roman" w:hAnsiTheme="majorBidi" w:cstheme="majorBidi"/>
          <w:sz w:val="24"/>
          <w:szCs w:val="24"/>
        </w:rPr>
        <w:t>, indicating a potential hereditary component to the risk of osteoporosis [10].</w:t>
      </w:r>
    </w:p>
    <w:p w14:paraId="09EE8C9C" w14:textId="77777777" w:rsidR="00AF7BBE" w:rsidRPr="00762824" w:rsidRDefault="00AF7BBE" w:rsidP="00AF7BBE">
      <w:pPr>
        <w:spacing w:after="0" w:line="240" w:lineRule="auto"/>
        <w:jc w:val="both"/>
        <w:rPr>
          <w:rFonts w:asciiTheme="majorBidi" w:eastAsia="Times New Roman" w:hAnsiTheme="majorBidi" w:cstheme="majorBidi"/>
          <w:sz w:val="24"/>
          <w:szCs w:val="24"/>
        </w:rPr>
      </w:pPr>
    </w:p>
    <w:p w14:paraId="1F94FB8A" w14:textId="77777777" w:rsidR="00176798" w:rsidRPr="00762824" w:rsidRDefault="00D72687" w:rsidP="00AF7BBE">
      <w:pPr>
        <w:jc w:val="both"/>
        <w:rPr>
          <w:rFonts w:asciiTheme="majorBidi" w:hAnsiTheme="majorBidi" w:cstheme="majorBidi"/>
          <w:sz w:val="24"/>
          <w:szCs w:val="24"/>
        </w:rPr>
      </w:pPr>
      <w:r w:rsidRPr="00762824">
        <w:rPr>
          <w:rFonts w:asciiTheme="majorBidi" w:hAnsiTheme="majorBidi" w:cstheme="majorBidi"/>
          <w:sz w:val="24"/>
          <w:szCs w:val="24"/>
        </w:rPr>
        <w:t xml:space="preserve"> </w:t>
      </w:r>
      <w:r w:rsidR="00176798" w:rsidRPr="00762824">
        <w:rPr>
          <w:rFonts w:asciiTheme="majorBidi" w:eastAsia="Times New Roman" w:hAnsiTheme="majorBidi" w:cstheme="majorBidi"/>
          <w:sz w:val="24"/>
          <w:szCs w:val="24"/>
        </w:rPr>
        <w:t xml:space="preserve">Furthermore, the population's genetically complicated osteoporosis has been demonstrated by </w:t>
      </w:r>
      <w:r w:rsidR="00CB7392" w:rsidRPr="00762824">
        <w:rPr>
          <w:rFonts w:asciiTheme="majorBidi" w:hAnsiTheme="majorBidi" w:cstheme="majorBidi"/>
          <w:sz w:val="24"/>
          <w:szCs w:val="24"/>
        </w:rPr>
        <w:t xml:space="preserve">The association between TS and MTHFR gene polymorphisms </w:t>
      </w:r>
      <w:r w:rsidR="00176798" w:rsidRPr="00762824">
        <w:rPr>
          <w:rFonts w:asciiTheme="majorBidi" w:eastAsia="Times New Roman" w:hAnsiTheme="majorBidi" w:cstheme="majorBidi"/>
          <w:sz w:val="24"/>
          <w:szCs w:val="24"/>
        </w:rPr>
        <w:t xml:space="preserve">with a tendency to osteoporotic spinal compression fractures [11]. Genetic variables, including as polymorphisms in genes like VDR, OPG, ESR1, Col1A1, </w:t>
      </w:r>
      <w:proofErr w:type="spellStart"/>
      <w:r w:rsidR="00176798" w:rsidRPr="00762824">
        <w:rPr>
          <w:rFonts w:asciiTheme="majorBidi" w:eastAsia="Times New Roman" w:hAnsiTheme="majorBidi" w:cstheme="majorBidi"/>
          <w:sz w:val="24"/>
          <w:szCs w:val="24"/>
        </w:rPr>
        <w:t>eNOS</w:t>
      </w:r>
      <w:proofErr w:type="spellEnd"/>
      <w:r w:rsidR="00176798" w:rsidRPr="00762824">
        <w:rPr>
          <w:rFonts w:asciiTheme="majorBidi" w:eastAsia="Times New Roman" w:hAnsiTheme="majorBidi" w:cstheme="majorBidi"/>
          <w:sz w:val="24"/>
          <w:szCs w:val="24"/>
        </w:rPr>
        <w:t>, WNT16, and LRP5, significantly impact women's risk of osteoporosis. These hereditary traits impact fracture risk and bone mineral density, highlighting the need of genetic testing in assessing an individual's susceptibility to osteoporosis. The goal of this study is to better understand the genetic consequences of the VDR gene in order to create targeted treatments and preventative measures for osteoporosis in Iraqi women.</w:t>
      </w:r>
    </w:p>
    <w:p w14:paraId="31829FD2" w14:textId="77777777" w:rsidR="006C68FE" w:rsidRPr="00762824" w:rsidRDefault="006C68FE" w:rsidP="00176798">
      <w:pPr>
        <w:ind w:firstLine="720"/>
        <w:jc w:val="both"/>
        <w:rPr>
          <w:rFonts w:asciiTheme="majorBidi" w:hAnsiTheme="majorBidi" w:cstheme="majorBidi"/>
          <w:b/>
          <w:bCs/>
          <w:sz w:val="24"/>
          <w:szCs w:val="24"/>
        </w:rPr>
      </w:pPr>
    </w:p>
    <w:p w14:paraId="7B3A0816" w14:textId="77777777" w:rsidR="00D35D20" w:rsidRPr="00762824" w:rsidRDefault="00D35D20" w:rsidP="006C68FE">
      <w:pPr>
        <w:spacing w:after="0" w:line="240" w:lineRule="auto"/>
        <w:jc w:val="both"/>
        <w:rPr>
          <w:rFonts w:asciiTheme="majorBidi" w:eastAsia="Times New Roman" w:hAnsiTheme="majorBidi" w:cstheme="majorBidi"/>
          <w:sz w:val="24"/>
          <w:szCs w:val="24"/>
        </w:rPr>
      </w:pPr>
    </w:p>
    <w:p w14:paraId="7C553B29" w14:textId="77777777" w:rsidR="00D35D20" w:rsidRPr="00762824" w:rsidRDefault="00D81051" w:rsidP="00D35D20">
      <w:pPr>
        <w:spacing w:after="0" w:line="240" w:lineRule="auto"/>
        <w:rPr>
          <w:rFonts w:asciiTheme="majorBidi" w:eastAsia="Times New Roman" w:hAnsiTheme="majorBidi" w:cstheme="majorBidi"/>
          <w:b/>
          <w:bCs/>
          <w:sz w:val="24"/>
          <w:szCs w:val="24"/>
        </w:rPr>
      </w:pPr>
      <w:r w:rsidRPr="00762824">
        <w:rPr>
          <w:rFonts w:asciiTheme="majorBidi" w:eastAsia="Times New Roman" w:hAnsiTheme="majorBidi" w:cstheme="majorBidi"/>
          <w:b/>
          <w:bCs/>
          <w:sz w:val="24"/>
          <w:szCs w:val="24"/>
        </w:rPr>
        <w:t>Material and method</w:t>
      </w:r>
    </w:p>
    <w:p w14:paraId="6CCB87CE" w14:textId="77777777" w:rsidR="00FD63D3" w:rsidRPr="00762824" w:rsidRDefault="00FD63D3" w:rsidP="00D35D20">
      <w:pPr>
        <w:spacing w:after="0" w:line="240" w:lineRule="auto"/>
        <w:rPr>
          <w:rFonts w:asciiTheme="majorBidi" w:eastAsia="Times New Roman" w:hAnsiTheme="majorBidi" w:cstheme="majorBidi"/>
          <w:b/>
          <w:bCs/>
          <w:sz w:val="24"/>
          <w:szCs w:val="24"/>
        </w:rPr>
      </w:pPr>
    </w:p>
    <w:p w14:paraId="5725EA0A" w14:textId="77777777" w:rsidR="00DD565E" w:rsidRPr="00762824" w:rsidRDefault="00C6296F" w:rsidP="00C6296F">
      <w:pPr>
        <w:jc w:val="both"/>
        <w:rPr>
          <w:rFonts w:asciiTheme="majorBidi" w:eastAsia="Times New Roman" w:hAnsiTheme="majorBidi" w:cstheme="majorBidi"/>
          <w:sz w:val="24"/>
          <w:szCs w:val="24"/>
          <w:rtl/>
        </w:rPr>
      </w:pPr>
      <w:r w:rsidRPr="00C6296F">
        <w:rPr>
          <w:rFonts w:asciiTheme="majorBidi" w:eastAsia="Times New Roman" w:hAnsiTheme="majorBidi" w:cstheme="majorBidi"/>
          <w:sz w:val="24"/>
          <w:szCs w:val="24"/>
        </w:rPr>
        <w:t>The study was conducted on 100</w:t>
      </w:r>
      <w:r>
        <w:rPr>
          <w:rFonts w:asciiTheme="majorBidi" w:eastAsia="Times New Roman" w:hAnsiTheme="majorBidi" w:cstheme="majorBidi"/>
          <w:sz w:val="24"/>
          <w:szCs w:val="24"/>
        </w:rPr>
        <w:t xml:space="preserve"> specimens; </w:t>
      </w:r>
      <w:r w:rsidRPr="00C6296F">
        <w:rPr>
          <w:rFonts w:asciiTheme="majorBidi" w:eastAsia="Times New Roman" w:hAnsiTheme="majorBidi" w:cstheme="majorBidi"/>
          <w:sz w:val="24"/>
          <w:szCs w:val="24"/>
        </w:rPr>
        <w:t>they</w:t>
      </w:r>
      <w:r w:rsidRPr="00762824">
        <w:rPr>
          <w:rFonts w:asciiTheme="majorBidi" w:eastAsia="Times New Roman" w:hAnsiTheme="majorBidi" w:cstheme="majorBidi"/>
          <w:sz w:val="24"/>
          <w:szCs w:val="24"/>
        </w:rPr>
        <w:t xml:space="preserve"> were chosen at random from the teaching hospi</w:t>
      </w:r>
      <w:r>
        <w:rPr>
          <w:rFonts w:asciiTheme="majorBidi" w:eastAsia="Times New Roman" w:hAnsiTheme="majorBidi" w:cstheme="majorBidi"/>
          <w:sz w:val="24"/>
          <w:szCs w:val="24"/>
        </w:rPr>
        <w:t>tal of Al-Hussein Medical City</w:t>
      </w:r>
      <w:r w:rsidRPr="00C6296F">
        <w:rPr>
          <w:rFonts w:asciiTheme="majorBidi" w:eastAsia="Times New Roman" w:hAnsiTheme="majorBidi" w:cstheme="majorBidi"/>
          <w:sz w:val="24"/>
          <w:szCs w:val="24"/>
        </w:rPr>
        <w:t xml:space="preserve"> </w:t>
      </w:r>
      <w:r w:rsidRPr="00762824">
        <w:rPr>
          <w:rFonts w:asciiTheme="majorBidi" w:eastAsia="Times New Roman" w:hAnsiTheme="majorBidi" w:cstheme="majorBidi"/>
          <w:sz w:val="24"/>
          <w:szCs w:val="24"/>
        </w:rPr>
        <w:t xml:space="preserve">from the Karbala </w:t>
      </w:r>
      <w:r>
        <w:rPr>
          <w:rFonts w:asciiTheme="majorBidi" w:eastAsia="Times New Roman" w:hAnsiTheme="majorBidi" w:cstheme="majorBidi"/>
          <w:sz w:val="24"/>
          <w:szCs w:val="24"/>
        </w:rPr>
        <w:t xml:space="preserve">City. </w:t>
      </w:r>
      <w:r w:rsidR="00CB7392" w:rsidRPr="00762824">
        <w:rPr>
          <w:rFonts w:asciiTheme="majorBidi" w:eastAsia="Times New Roman" w:hAnsiTheme="majorBidi" w:cstheme="majorBidi"/>
          <w:sz w:val="24"/>
          <w:szCs w:val="24"/>
        </w:rPr>
        <w:t xml:space="preserve">this cross-sectional study was </w:t>
      </w:r>
      <w:r w:rsidR="00CB7392" w:rsidRPr="00762824">
        <w:rPr>
          <w:rFonts w:asciiTheme="majorBidi" w:eastAsia="Times New Roman" w:hAnsiTheme="majorBidi" w:cstheme="majorBidi"/>
          <w:sz w:val="24"/>
          <w:szCs w:val="24"/>
        </w:rPr>
        <w:lastRenderedPageBreak/>
        <w:t>to investigate</w:t>
      </w:r>
      <w:r w:rsidR="00176798" w:rsidRPr="00762824">
        <w:rPr>
          <w:rFonts w:asciiTheme="majorBidi" w:eastAsia="Times New Roman" w:hAnsiTheme="majorBidi" w:cstheme="majorBidi"/>
          <w:sz w:val="24"/>
          <w:szCs w:val="24"/>
        </w:rPr>
        <w:t xml:space="preserve"> the connection between patients with osteoporosis and the Taq1(rs731236) SNP in the VDR gene polymorphism. </w:t>
      </w:r>
      <w:r w:rsidR="000C7DCD" w:rsidRPr="000C7DCD">
        <w:rPr>
          <w:rFonts w:asciiTheme="majorBidi" w:eastAsia="Times New Roman" w:hAnsiTheme="majorBidi" w:cstheme="majorBidi"/>
          <w:sz w:val="24"/>
          <w:szCs w:val="24"/>
        </w:rPr>
        <w:t>eighty</w:t>
      </w:r>
      <w:r w:rsidR="00176798" w:rsidRPr="00762824">
        <w:rPr>
          <w:rFonts w:asciiTheme="majorBidi" w:eastAsia="Times New Roman" w:hAnsiTheme="majorBidi" w:cstheme="majorBidi"/>
          <w:sz w:val="24"/>
          <w:szCs w:val="24"/>
        </w:rPr>
        <w:t xml:space="preserve"> postmenopausal women with osteoporosis were included in the population survey. These patients, who vary in age from 55 to 70, have </w:t>
      </w:r>
      <w:r w:rsidR="00176798" w:rsidRPr="00762824">
        <w:rPr>
          <w:rFonts w:asciiTheme="majorBidi" w:eastAsia="Times New Roman" w:hAnsiTheme="majorBidi" w:cstheme="majorBidi"/>
          <w:sz w:val="24"/>
          <w:szCs w:val="24"/>
          <w:rtl/>
        </w:rPr>
        <w:t>4</w:t>
      </w:r>
      <w:r w:rsidR="00176798" w:rsidRPr="00762824">
        <w:rPr>
          <w:rFonts w:asciiTheme="majorBidi" w:eastAsia="Times New Roman" w:hAnsiTheme="majorBidi" w:cstheme="majorBidi"/>
          <w:sz w:val="24"/>
          <w:szCs w:val="24"/>
        </w:rPr>
        <w:t xml:space="preserve">0 T2DM diagnoses and </w:t>
      </w:r>
      <w:r w:rsidR="00176798" w:rsidRPr="00762824">
        <w:rPr>
          <w:rFonts w:asciiTheme="majorBidi" w:eastAsia="Times New Roman" w:hAnsiTheme="majorBidi" w:cstheme="majorBidi"/>
          <w:sz w:val="24"/>
          <w:szCs w:val="24"/>
          <w:rtl/>
        </w:rPr>
        <w:t>4</w:t>
      </w:r>
      <w:r w:rsidR="00176798" w:rsidRPr="00762824">
        <w:rPr>
          <w:rFonts w:asciiTheme="majorBidi" w:eastAsia="Times New Roman" w:hAnsiTheme="majorBidi" w:cstheme="majorBidi"/>
          <w:sz w:val="24"/>
          <w:szCs w:val="24"/>
        </w:rPr>
        <w:t xml:space="preserve">0 non-T2DM diagnoses. and </w:t>
      </w:r>
      <w:r w:rsidR="00176798" w:rsidRPr="00762824">
        <w:rPr>
          <w:rFonts w:asciiTheme="majorBidi" w:eastAsia="Times New Roman" w:hAnsiTheme="majorBidi" w:cstheme="majorBidi"/>
          <w:sz w:val="24"/>
          <w:szCs w:val="24"/>
          <w:rtl/>
        </w:rPr>
        <w:t>2</w:t>
      </w:r>
      <w:r w:rsidR="00176798" w:rsidRPr="00762824">
        <w:rPr>
          <w:rFonts w:asciiTheme="majorBidi" w:eastAsia="Times New Roman" w:hAnsiTheme="majorBidi" w:cstheme="majorBidi"/>
          <w:sz w:val="24"/>
          <w:szCs w:val="24"/>
        </w:rPr>
        <w:t>0 people who seemed to be healthy postmenopausal women were chosen at random from the general population with comparable age and location to act as controls.</w:t>
      </w:r>
      <w:r w:rsidR="00176798" w:rsidRPr="00762824">
        <w:rPr>
          <w:rFonts w:asciiTheme="majorBidi" w:eastAsia="Times New Roman" w:hAnsiTheme="majorBidi" w:cstheme="majorBidi"/>
          <w:sz w:val="24"/>
          <w:szCs w:val="24"/>
          <w:rtl/>
        </w:rPr>
        <w:t xml:space="preserve"> </w:t>
      </w:r>
      <w:r w:rsidR="00176798" w:rsidRPr="00762824">
        <w:rPr>
          <w:rFonts w:asciiTheme="majorBidi" w:eastAsia="Times New Roman" w:hAnsiTheme="majorBidi" w:cstheme="majorBidi"/>
          <w:sz w:val="24"/>
          <w:szCs w:val="24"/>
        </w:rPr>
        <w:t xml:space="preserve">for the extraction of DNA. Peripheral blood samples from patients and controls were obtained using EDTA tubes. </w:t>
      </w:r>
      <w:proofErr w:type="spellStart"/>
      <w:proofErr w:type="gramStart"/>
      <w:r w:rsidR="00D40461" w:rsidRPr="00762824">
        <w:rPr>
          <w:rFonts w:asciiTheme="majorBidi" w:eastAsia="Times New Roman" w:hAnsiTheme="majorBidi" w:cstheme="majorBidi"/>
          <w:sz w:val="24"/>
          <w:szCs w:val="24"/>
        </w:rPr>
        <w:t>Next,a</w:t>
      </w:r>
      <w:proofErr w:type="spellEnd"/>
      <w:proofErr w:type="gramEnd"/>
      <w:r w:rsidR="00D40461" w:rsidRPr="00762824">
        <w:rPr>
          <w:rFonts w:asciiTheme="majorBidi" w:eastAsia="Times New Roman" w:hAnsiTheme="majorBidi" w:cstheme="majorBidi"/>
          <w:sz w:val="24"/>
          <w:szCs w:val="24"/>
        </w:rPr>
        <w:t xml:space="preserve"> </w:t>
      </w:r>
      <w:proofErr w:type="spellStart"/>
      <w:r w:rsidR="00D40461" w:rsidRPr="00762824">
        <w:rPr>
          <w:rFonts w:asciiTheme="majorBidi" w:eastAsia="Times New Roman" w:hAnsiTheme="majorBidi" w:cstheme="majorBidi"/>
          <w:sz w:val="24"/>
          <w:szCs w:val="24"/>
        </w:rPr>
        <w:t>ReliaPrepTM</w:t>
      </w:r>
      <w:proofErr w:type="spellEnd"/>
      <w:r w:rsidR="00D40461" w:rsidRPr="00762824">
        <w:rPr>
          <w:rFonts w:asciiTheme="majorBidi" w:eastAsia="Times New Roman" w:hAnsiTheme="majorBidi" w:cstheme="majorBidi"/>
          <w:sz w:val="24"/>
          <w:szCs w:val="24"/>
        </w:rPr>
        <w:t xml:space="preserve"> Blood DNA Miniprep System (Promega) was used to extract DNA from entire blood samples.</w:t>
      </w:r>
      <w:r w:rsidR="00176798" w:rsidRPr="00762824">
        <w:rPr>
          <w:rFonts w:asciiTheme="majorBidi" w:eastAsia="Times New Roman" w:hAnsiTheme="majorBidi" w:cstheme="majorBidi"/>
          <w:sz w:val="24"/>
          <w:szCs w:val="24"/>
        </w:rPr>
        <w:t xml:space="preserve"> Following the determination of the DNA's content and purity [12], we carried out a polymerase chain reaction (PCR). </w:t>
      </w:r>
    </w:p>
    <w:p w14:paraId="64905361" w14:textId="77777777" w:rsidR="00DD565E" w:rsidRPr="00762824" w:rsidRDefault="00DD565E" w:rsidP="00176798">
      <w:pPr>
        <w:spacing w:after="0" w:line="240" w:lineRule="auto"/>
        <w:jc w:val="both"/>
        <w:rPr>
          <w:rFonts w:asciiTheme="majorBidi" w:eastAsia="Times New Roman" w:hAnsiTheme="majorBidi" w:cstheme="majorBidi"/>
          <w:sz w:val="24"/>
          <w:szCs w:val="24"/>
          <w:rtl/>
        </w:rPr>
      </w:pPr>
    </w:p>
    <w:p w14:paraId="0FDB9099" w14:textId="77777777" w:rsidR="00390C8A" w:rsidRPr="00762824" w:rsidRDefault="00176798" w:rsidP="00C6296F">
      <w:pPr>
        <w:jc w:val="both"/>
        <w:rPr>
          <w:rFonts w:asciiTheme="majorBidi" w:hAnsiTheme="majorBidi" w:cstheme="majorBidi"/>
          <w:sz w:val="24"/>
          <w:szCs w:val="24"/>
        </w:rPr>
      </w:pPr>
      <w:r w:rsidRPr="00762824">
        <w:rPr>
          <w:rFonts w:asciiTheme="majorBidi" w:eastAsia="Times New Roman" w:hAnsiTheme="majorBidi" w:cstheme="majorBidi"/>
          <w:sz w:val="24"/>
          <w:szCs w:val="24"/>
        </w:rPr>
        <w:t xml:space="preserve">Using a particular primer, </w:t>
      </w:r>
      <w:r w:rsidR="00AF7BBE" w:rsidRPr="00762824">
        <w:rPr>
          <w:rFonts w:asciiTheme="majorBidi" w:eastAsia="Times New Roman" w:hAnsiTheme="majorBidi" w:cstheme="majorBidi"/>
          <w:sz w:val="24"/>
          <w:szCs w:val="24"/>
        </w:rPr>
        <w:t>allele specific</w:t>
      </w:r>
      <w:r w:rsidRPr="00762824">
        <w:rPr>
          <w:rFonts w:asciiTheme="majorBidi" w:eastAsia="Times New Roman" w:hAnsiTheme="majorBidi" w:cstheme="majorBidi"/>
          <w:sz w:val="24"/>
          <w:szCs w:val="24"/>
        </w:rPr>
        <w:t xml:space="preserve"> PCR was used to amplify the target gene (VDR gene) [13]. Under sterile circumstances, the ALLEL SPECIFIC PCR reactions were c</w:t>
      </w:r>
      <w:r w:rsidR="00AF7BBE" w:rsidRPr="00762824">
        <w:rPr>
          <w:rFonts w:asciiTheme="majorBidi" w:eastAsia="Times New Roman" w:hAnsiTheme="majorBidi" w:cstheme="majorBidi"/>
          <w:sz w:val="24"/>
          <w:szCs w:val="24"/>
        </w:rPr>
        <w:t>arried out in PCR tubes with 25</w:t>
      </w:r>
      <w:r w:rsidRPr="00762824">
        <w:rPr>
          <w:rFonts w:asciiTheme="majorBidi" w:eastAsia="Times New Roman" w:hAnsiTheme="majorBidi" w:cstheme="majorBidi"/>
          <w:sz w:val="24"/>
          <w:szCs w:val="24"/>
        </w:rPr>
        <w:t>μl volumes. DDH2O and the master mix, which comprised the ideal quantities of the reaction need</w:t>
      </w:r>
      <w:r w:rsidR="00AF7BBE" w:rsidRPr="00762824">
        <w:rPr>
          <w:rFonts w:asciiTheme="majorBidi" w:eastAsia="Times New Roman" w:hAnsiTheme="majorBidi" w:cstheme="majorBidi"/>
          <w:sz w:val="24"/>
          <w:szCs w:val="24"/>
        </w:rPr>
        <w:t>s (MgCl</w:t>
      </w:r>
      <w:r w:rsidR="00AF7BBE" w:rsidRPr="00C6296F">
        <w:rPr>
          <w:rFonts w:asciiTheme="majorBidi" w:eastAsia="Times New Roman" w:hAnsiTheme="majorBidi" w:cstheme="majorBidi"/>
          <w:sz w:val="24"/>
          <w:szCs w:val="24"/>
          <w:vertAlign w:val="subscript"/>
        </w:rPr>
        <w:t>2</w:t>
      </w:r>
      <w:r w:rsidR="00AF7BBE" w:rsidRPr="00762824">
        <w:rPr>
          <w:rFonts w:asciiTheme="majorBidi" w:eastAsia="Times New Roman" w:hAnsiTheme="majorBidi" w:cstheme="majorBidi"/>
          <w:sz w:val="24"/>
          <w:szCs w:val="24"/>
        </w:rPr>
        <w:t xml:space="preserve"> 1.5 mM</w:t>
      </w:r>
      <w:r w:rsidR="00C6296F">
        <w:rPr>
          <w:rFonts w:asciiTheme="majorBidi" w:eastAsia="Times New Roman" w:hAnsiTheme="majorBidi" w:cstheme="majorBidi"/>
          <w:sz w:val="24"/>
          <w:szCs w:val="24"/>
        </w:rPr>
        <w:t>)</w:t>
      </w:r>
      <w:r w:rsidR="00AF7BBE" w:rsidRPr="00762824">
        <w:rPr>
          <w:rFonts w:asciiTheme="majorBidi" w:eastAsia="Times New Roman" w:hAnsiTheme="majorBidi" w:cstheme="majorBidi"/>
          <w:sz w:val="24"/>
          <w:szCs w:val="24"/>
        </w:rPr>
        <w:t xml:space="preserve">, </w:t>
      </w:r>
      <w:r w:rsidR="00C6296F">
        <w:rPr>
          <w:rFonts w:asciiTheme="majorBidi" w:eastAsia="Times New Roman" w:hAnsiTheme="majorBidi" w:cstheme="majorBidi"/>
          <w:sz w:val="24"/>
          <w:szCs w:val="24"/>
        </w:rPr>
        <w:t>(</w:t>
      </w:r>
      <w:r w:rsidR="00AF7BBE" w:rsidRPr="00762824">
        <w:rPr>
          <w:rFonts w:asciiTheme="majorBidi" w:eastAsia="Times New Roman" w:hAnsiTheme="majorBidi" w:cstheme="majorBidi"/>
          <w:sz w:val="24"/>
          <w:szCs w:val="24"/>
        </w:rPr>
        <w:t>polymerase Taq</w:t>
      </w:r>
      <w:r w:rsidRPr="00762824">
        <w:rPr>
          <w:rFonts w:asciiTheme="majorBidi" w:eastAsia="Times New Roman" w:hAnsiTheme="majorBidi" w:cstheme="majorBidi"/>
          <w:sz w:val="24"/>
          <w:szCs w:val="24"/>
        </w:rPr>
        <w:t>1 U</w:t>
      </w:r>
      <w:r w:rsidR="00C6296F">
        <w:rPr>
          <w:rFonts w:asciiTheme="majorBidi" w:eastAsia="Times New Roman" w:hAnsiTheme="majorBidi" w:cstheme="majorBidi"/>
          <w:sz w:val="24"/>
          <w:szCs w:val="24"/>
        </w:rPr>
        <w:t>) and (</w:t>
      </w:r>
      <w:r w:rsidRPr="00762824">
        <w:rPr>
          <w:rFonts w:asciiTheme="majorBidi" w:eastAsia="Times New Roman" w:hAnsiTheme="majorBidi" w:cstheme="majorBidi"/>
          <w:sz w:val="24"/>
          <w:szCs w:val="24"/>
        </w:rPr>
        <w:t xml:space="preserve">dNTP 200 </w:t>
      </w:r>
      <w:proofErr w:type="spellStart"/>
      <w:r w:rsidRPr="00762824">
        <w:rPr>
          <w:rFonts w:asciiTheme="majorBidi" w:eastAsia="Times New Roman" w:hAnsiTheme="majorBidi" w:cstheme="majorBidi"/>
          <w:sz w:val="24"/>
          <w:szCs w:val="24"/>
        </w:rPr>
        <w:t>μM</w:t>
      </w:r>
      <w:proofErr w:type="spellEnd"/>
      <w:r w:rsidRPr="00762824">
        <w:rPr>
          <w:rFonts w:asciiTheme="majorBidi" w:eastAsia="Times New Roman" w:hAnsiTheme="majorBidi" w:cstheme="majorBidi"/>
          <w:sz w:val="24"/>
          <w:szCs w:val="24"/>
        </w:rPr>
        <w:t>), were used to fi</w:t>
      </w:r>
      <w:r w:rsidR="00AF7BBE" w:rsidRPr="00762824">
        <w:rPr>
          <w:rFonts w:asciiTheme="majorBidi" w:eastAsia="Times New Roman" w:hAnsiTheme="majorBidi" w:cstheme="majorBidi"/>
          <w:sz w:val="24"/>
          <w:szCs w:val="24"/>
        </w:rPr>
        <w:t>nish the reaction mixture to 25</w:t>
      </w:r>
      <w:r w:rsidRPr="00762824">
        <w:rPr>
          <w:rFonts w:asciiTheme="majorBidi" w:eastAsia="Times New Roman" w:hAnsiTheme="majorBidi" w:cstheme="majorBidi"/>
          <w:sz w:val="24"/>
          <w:szCs w:val="24"/>
        </w:rPr>
        <w:t>μl.</w:t>
      </w:r>
      <w:r w:rsidRPr="00762824">
        <w:rPr>
          <w:rFonts w:asciiTheme="majorBidi" w:eastAsia="Times New Roman" w:hAnsiTheme="majorBidi" w:cstheme="majorBidi"/>
          <w:sz w:val="24"/>
          <w:szCs w:val="24"/>
          <w:rtl/>
        </w:rPr>
        <w:t xml:space="preserve"> </w:t>
      </w:r>
      <w:r w:rsidR="000C54C3" w:rsidRPr="00762824">
        <w:rPr>
          <w:rFonts w:asciiTheme="majorBidi" w:eastAsia="Times New Roman" w:hAnsiTheme="majorBidi" w:cstheme="majorBidi"/>
          <w:sz w:val="24"/>
          <w:szCs w:val="24"/>
        </w:rPr>
        <w:t>in a microcentrifuge to fully combine the solutions at room temperature the PCR tube is Centrifuged at (2000 rm) for 30 seconds. A number of primer quantities and template DNA volumes (0.5, 1, 1.5; 1, 2,3, 4, 5</w:t>
      </w:r>
      <w:r w:rsidR="00762824" w:rsidRPr="00762824">
        <w:rPr>
          <w:rFonts w:asciiTheme="majorBidi" w:eastAsia="Times New Roman" w:hAnsiTheme="majorBidi" w:cstheme="majorBidi"/>
          <w:sz w:val="24"/>
          <w:szCs w:val="24"/>
        </w:rPr>
        <w:t>,</w:t>
      </w:r>
      <w:r w:rsidR="000C54C3" w:rsidRPr="00762824">
        <w:rPr>
          <w:rFonts w:asciiTheme="majorBidi" w:eastAsia="Times New Roman" w:hAnsiTheme="majorBidi" w:cstheme="majorBidi"/>
          <w:sz w:val="24"/>
          <w:szCs w:val="24"/>
        </w:rPr>
        <w:t xml:space="preserve"> 6μl) respectively, were examined to enhance the reaction conditions</w:t>
      </w:r>
      <w:r w:rsidRPr="00762824">
        <w:rPr>
          <w:rFonts w:asciiTheme="majorBidi" w:eastAsia="Times New Roman" w:hAnsiTheme="majorBidi" w:cstheme="majorBidi"/>
          <w:sz w:val="24"/>
          <w:szCs w:val="24"/>
        </w:rPr>
        <w:t xml:space="preserve"> Reaction programs for the Taq1 VDR gene polymorphism (rs731236) using the PCR technique.</w:t>
      </w:r>
      <w:r w:rsidR="00DD565E" w:rsidRPr="00762824">
        <w:rPr>
          <w:rFonts w:asciiTheme="majorBidi" w:eastAsia="Times New Roman" w:hAnsiTheme="majorBidi" w:cstheme="majorBidi"/>
          <w:sz w:val="24"/>
          <w:szCs w:val="24"/>
          <w:rtl/>
        </w:rPr>
        <w:t xml:space="preserve"> </w:t>
      </w:r>
      <w:r w:rsidR="00762824" w:rsidRPr="00762824">
        <w:rPr>
          <w:rFonts w:asciiTheme="majorBidi" w:eastAsia="Times New Roman" w:hAnsiTheme="majorBidi" w:cstheme="majorBidi"/>
          <w:sz w:val="24"/>
          <w:szCs w:val="24"/>
        </w:rPr>
        <w:t>Based on the NCBI database, to retrieve all gene information and SNP details and to perform PCR, Genius software and a primer pair specifically designed for the VDR gene were used.</w:t>
      </w:r>
      <w:r w:rsidRPr="00762824">
        <w:rPr>
          <w:rFonts w:asciiTheme="majorBidi" w:eastAsia="Times New Roman" w:hAnsiTheme="majorBidi" w:cstheme="majorBidi"/>
          <w:sz w:val="24"/>
          <w:szCs w:val="24"/>
        </w:rPr>
        <w:t xml:space="preserve"> Following gene amplification, agar gel electrophoresis was carried out using Robinson and La Fleche's methodology [14].</w:t>
      </w:r>
    </w:p>
    <w:p w14:paraId="754707AF" w14:textId="77777777" w:rsidR="00390C8A" w:rsidRPr="00762824" w:rsidRDefault="00390C8A" w:rsidP="00390C8A">
      <w:pPr>
        <w:spacing w:line="360" w:lineRule="auto"/>
        <w:jc w:val="both"/>
        <w:rPr>
          <w:rFonts w:asciiTheme="majorBidi" w:hAnsiTheme="majorBidi" w:cstheme="majorBidi"/>
          <w:b/>
          <w:bCs/>
          <w:sz w:val="24"/>
          <w:szCs w:val="24"/>
          <w:lang w:bidi="ar-IQ"/>
        </w:rPr>
      </w:pPr>
    </w:p>
    <w:p w14:paraId="40FEB711" w14:textId="77777777" w:rsidR="00390C8A" w:rsidRPr="00762824" w:rsidRDefault="00390C8A" w:rsidP="00390C8A">
      <w:pPr>
        <w:spacing w:line="360" w:lineRule="auto"/>
        <w:jc w:val="both"/>
        <w:rPr>
          <w:rFonts w:asciiTheme="majorBidi" w:hAnsiTheme="majorBidi" w:cstheme="majorBidi"/>
          <w:b/>
          <w:bCs/>
          <w:sz w:val="24"/>
          <w:szCs w:val="24"/>
          <w:lang w:bidi="ar-IQ"/>
        </w:rPr>
      </w:pPr>
      <w:r w:rsidRPr="00762824">
        <w:rPr>
          <w:rFonts w:asciiTheme="majorBidi" w:hAnsiTheme="majorBidi" w:cstheme="majorBidi"/>
          <w:b/>
          <w:bCs/>
          <w:sz w:val="24"/>
          <w:szCs w:val="24"/>
          <w:lang w:bidi="ar-IQ"/>
        </w:rPr>
        <w:t xml:space="preserve">Statistical analyses </w:t>
      </w:r>
    </w:p>
    <w:p w14:paraId="06C1CFA3" w14:textId="77777777" w:rsidR="00390C8A" w:rsidRDefault="002671EE" w:rsidP="00D20ABE">
      <w:pPr>
        <w:spacing w:line="240" w:lineRule="auto"/>
        <w:jc w:val="both"/>
        <w:rPr>
          <w:rFonts w:asciiTheme="majorBidi" w:hAnsiTheme="majorBidi" w:cstheme="majorBidi"/>
          <w:sz w:val="24"/>
          <w:szCs w:val="24"/>
        </w:rPr>
      </w:pPr>
      <w:r w:rsidRPr="002671EE">
        <w:rPr>
          <w:rFonts w:asciiTheme="majorBidi" w:hAnsiTheme="majorBidi" w:cstheme="majorBidi"/>
          <w:sz w:val="24"/>
          <w:szCs w:val="24"/>
          <w:lang w:bidi="ar-IQ"/>
        </w:rPr>
        <w:t>Using t-test were evaluated utilizing the patients, the mean values for the two groups patient (women with postmenopausal osteoporosis) and control group (healthy women)</w:t>
      </w:r>
      <w:r w:rsidR="00D40461" w:rsidRPr="00762824">
        <w:rPr>
          <w:rFonts w:asciiTheme="majorBidi" w:hAnsiTheme="majorBidi" w:cstheme="majorBidi"/>
          <w:sz w:val="24"/>
          <w:szCs w:val="24"/>
          <w:lang w:bidi="ar-IQ"/>
        </w:rPr>
        <w:t xml:space="preserve">, which provides variables that are continuous as mean standard deviation. </w:t>
      </w:r>
      <w:r w:rsidR="00595992" w:rsidRPr="00762824">
        <w:rPr>
          <w:rFonts w:asciiTheme="majorBidi" w:hAnsiTheme="majorBidi" w:cstheme="majorBidi"/>
          <w:sz w:val="24"/>
          <w:szCs w:val="24"/>
          <w:lang w:bidi="ar-IQ"/>
        </w:rPr>
        <w:t xml:space="preserve">Mean levels of continuous characteristics between genotypes were assessed using SPSS 28.0, which included Student's t -test and ANOVA. </w:t>
      </w:r>
      <w:r w:rsidR="0023756A" w:rsidRPr="00762824">
        <w:rPr>
          <w:rFonts w:asciiTheme="majorBidi" w:hAnsiTheme="majorBidi" w:cstheme="majorBidi"/>
          <w:sz w:val="24"/>
          <w:szCs w:val="24"/>
          <w:lang w:bidi="ar-IQ"/>
        </w:rPr>
        <w:t>Alleles and gen</w:t>
      </w:r>
      <w:r w:rsidR="00653FE5" w:rsidRPr="00762824">
        <w:rPr>
          <w:rFonts w:asciiTheme="majorBidi" w:hAnsiTheme="majorBidi" w:cstheme="majorBidi"/>
          <w:sz w:val="24"/>
          <w:szCs w:val="24"/>
          <w:lang w:bidi="ar-IQ"/>
        </w:rPr>
        <w:t>o</w:t>
      </w:r>
      <w:r w:rsidR="0023756A" w:rsidRPr="00762824">
        <w:rPr>
          <w:rFonts w:asciiTheme="majorBidi" w:hAnsiTheme="majorBidi" w:cstheme="majorBidi"/>
          <w:sz w:val="24"/>
          <w:szCs w:val="24"/>
          <w:lang w:bidi="ar-IQ"/>
        </w:rPr>
        <w:t>types were categorical data published as frequencies. Every statistical analysis has a significance level of 0.05 [15].</w:t>
      </w:r>
      <w:r w:rsidR="00DD565E" w:rsidRPr="00762824">
        <w:rPr>
          <w:rFonts w:asciiTheme="majorBidi" w:hAnsiTheme="majorBidi" w:cstheme="majorBidi"/>
          <w:sz w:val="24"/>
          <w:szCs w:val="24"/>
          <w:rtl/>
          <w:lang w:bidi="ar-IQ"/>
        </w:rPr>
        <w:t xml:space="preserve"> </w:t>
      </w:r>
      <w:r w:rsidR="0023756A" w:rsidRPr="00762824">
        <w:rPr>
          <w:rFonts w:asciiTheme="majorBidi" w:eastAsia="Times New Roman" w:hAnsiTheme="majorBidi" w:cstheme="majorBidi"/>
          <w:sz w:val="24"/>
          <w:szCs w:val="24"/>
        </w:rPr>
        <w:t xml:space="preserve">A mathematical formula known as the Hardy-Weinberg equilibrium (HWE) connected allele frequencies to genotypes [16] [17]. </w:t>
      </w:r>
      <w:r w:rsidRPr="002671EE">
        <w:rPr>
          <w:rFonts w:asciiTheme="majorBidi" w:eastAsia="Times New Roman" w:hAnsiTheme="majorBidi" w:cstheme="majorBidi"/>
          <w:sz w:val="24"/>
          <w:szCs w:val="24"/>
        </w:rPr>
        <w:t xml:space="preserve">The following formula </w:t>
      </w:r>
      <w:r w:rsidR="00D20ABE" w:rsidRPr="002671EE">
        <w:rPr>
          <w:rFonts w:asciiTheme="majorBidi" w:eastAsia="Times New Roman" w:hAnsiTheme="majorBidi" w:cstheme="majorBidi"/>
          <w:sz w:val="24"/>
          <w:szCs w:val="24"/>
        </w:rPr>
        <w:t>display</w:t>
      </w:r>
      <w:r w:rsidRPr="002671EE">
        <w:rPr>
          <w:rFonts w:asciiTheme="majorBidi" w:eastAsia="Times New Roman" w:hAnsiTheme="majorBidi" w:cstheme="majorBidi"/>
          <w:sz w:val="24"/>
          <w:szCs w:val="24"/>
        </w:rPr>
        <w:t>, p2+2pq+q2 = 1Since (p</w:t>
      </w:r>
      <w:r w:rsidR="00D20ABE">
        <w:rPr>
          <w:rFonts w:asciiTheme="majorBidi" w:eastAsia="Times New Roman" w:hAnsiTheme="majorBidi" w:cstheme="majorBidi"/>
          <w:sz w:val="24"/>
          <w:szCs w:val="24"/>
        </w:rPr>
        <w:t xml:space="preserve"> </w:t>
      </w:r>
      <w:r w:rsidRPr="002671EE">
        <w:rPr>
          <w:rFonts w:asciiTheme="majorBidi" w:eastAsia="Times New Roman" w:hAnsiTheme="majorBidi" w:cstheme="majorBidi"/>
          <w:sz w:val="24"/>
          <w:szCs w:val="24"/>
        </w:rPr>
        <w:t xml:space="preserve">and q) denote the minor and major </w:t>
      </w:r>
      <w:r w:rsidR="00D20ABE" w:rsidRPr="00D20ABE">
        <w:rPr>
          <w:rFonts w:asciiTheme="majorBidi" w:eastAsia="Times New Roman" w:hAnsiTheme="majorBidi" w:cstheme="majorBidi"/>
          <w:sz w:val="24"/>
          <w:szCs w:val="24"/>
        </w:rPr>
        <w:t>distributions</w:t>
      </w:r>
      <w:r w:rsidR="00D20ABE">
        <w:rPr>
          <w:rFonts w:asciiTheme="majorBidi" w:eastAsia="Times New Roman" w:hAnsiTheme="majorBidi" w:cstheme="majorBidi"/>
          <w:sz w:val="24"/>
          <w:szCs w:val="24"/>
        </w:rPr>
        <w:t xml:space="preserve"> of</w:t>
      </w:r>
      <w:r w:rsidR="00D20ABE" w:rsidRPr="00D20ABE">
        <w:rPr>
          <w:rFonts w:asciiTheme="majorBidi" w:eastAsia="Times New Roman" w:hAnsiTheme="majorBidi" w:cstheme="majorBidi"/>
          <w:sz w:val="24"/>
          <w:szCs w:val="24"/>
        </w:rPr>
        <w:t xml:space="preserve"> Allele </w:t>
      </w:r>
      <w:r w:rsidRPr="002671EE">
        <w:rPr>
          <w:rFonts w:asciiTheme="majorBidi" w:eastAsia="Times New Roman" w:hAnsiTheme="majorBidi" w:cstheme="majorBidi"/>
          <w:sz w:val="24"/>
          <w:szCs w:val="24"/>
        </w:rPr>
        <w:t>respectively. allelic frequencies will stay remain throughout generations in the absence of mutation, gene migration, selection, or genetic drift, which provides a quantitative explanation, ensures that in a sizable population that reproduces at random.</w:t>
      </w:r>
      <w:r w:rsidR="00390C8A" w:rsidRPr="00762824">
        <w:rPr>
          <w:rFonts w:asciiTheme="majorBidi" w:hAnsiTheme="majorBidi" w:cstheme="majorBidi"/>
          <w:sz w:val="24"/>
          <w:szCs w:val="24"/>
        </w:rPr>
        <w:t xml:space="preserve"> </w:t>
      </w:r>
    </w:p>
    <w:p w14:paraId="54474621" w14:textId="77777777" w:rsidR="00D20ABE" w:rsidRPr="00762824" w:rsidRDefault="00D20ABE" w:rsidP="00D20ABE">
      <w:pPr>
        <w:spacing w:line="240" w:lineRule="auto"/>
        <w:jc w:val="both"/>
        <w:rPr>
          <w:rFonts w:asciiTheme="majorBidi" w:hAnsiTheme="majorBidi" w:cstheme="majorBidi"/>
          <w:sz w:val="24"/>
          <w:szCs w:val="24"/>
          <w:lang w:bidi="ar-IQ"/>
        </w:rPr>
      </w:pPr>
    </w:p>
    <w:p w14:paraId="4D5A3661" w14:textId="77777777" w:rsidR="0023756A" w:rsidRPr="00762824" w:rsidRDefault="00FD77D7" w:rsidP="0050509A">
      <w:pPr>
        <w:ind w:firstLine="720"/>
        <w:jc w:val="both"/>
        <w:rPr>
          <w:rFonts w:asciiTheme="majorBidi" w:hAnsiTheme="majorBidi" w:cstheme="majorBidi"/>
          <w:sz w:val="24"/>
          <w:szCs w:val="24"/>
        </w:rPr>
      </w:pPr>
      <w:r w:rsidRPr="00762824">
        <w:rPr>
          <w:rFonts w:asciiTheme="majorBidi" w:hAnsiTheme="majorBidi" w:cstheme="majorBidi"/>
          <w:sz w:val="24"/>
          <w:szCs w:val="24"/>
        </w:rPr>
        <w:lastRenderedPageBreak/>
        <w:t xml:space="preserve">Using the previously described technique, </w:t>
      </w:r>
      <w:r w:rsidR="00352C5F" w:rsidRPr="00D20ABE">
        <w:rPr>
          <w:rFonts w:asciiTheme="majorBidi" w:eastAsia="Times New Roman" w:hAnsiTheme="majorBidi" w:cstheme="majorBidi"/>
          <w:sz w:val="24"/>
          <w:szCs w:val="24"/>
        </w:rPr>
        <w:t>distributions</w:t>
      </w:r>
      <w:r w:rsidR="00352C5F">
        <w:rPr>
          <w:rFonts w:asciiTheme="majorBidi" w:eastAsia="Times New Roman" w:hAnsiTheme="majorBidi" w:cstheme="majorBidi"/>
          <w:sz w:val="24"/>
          <w:szCs w:val="24"/>
        </w:rPr>
        <w:t xml:space="preserve"> of</w:t>
      </w:r>
      <w:r w:rsidR="00352C5F" w:rsidRPr="00D20ABE">
        <w:rPr>
          <w:rFonts w:asciiTheme="majorBidi" w:eastAsia="Times New Roman" w:hAnsiTheme="majorBidi" w:cstheme="majorBidi"/>
          <w:sz w:val="24"/>
          <w:szCs w:val="24"/>
        </w:rPr>
        <w:t xml:space="preserve"> Allele</w:t>
      </w:r>
      <w:r w:rsidRPr="00762824">
        <w:rPr>
          <w:rFonts w:asciiTheme="majorBidi" w:hAnsiTheme="majorBidi" w:cstheme="majorBidi"/>
          <w:sz w:val="24"/>
          <w:szCs w:val="24"/>
        </w:rPr>
        <w:t xml:space="preserve"> </w:t>
      </w:r>
      <w:r w:rsidR="00352C5F">
        <w:rPr>
          <w:rFonts w:asciiTheme="majorBidi" w:hAnsiTheme="majorBidi" w:cstheme="majorBidi"/>
          <w:sz w:val="24"/>
          <w:szCs w:val="24"/>
        </w:rPr>
        <w:t>(</w:t>
      </w:r>
      <w:r w:rsidRPr="00762824">
        <w:rPr>
          <w:rFonts w:asciiTheme="majorBidi" w:hAnsiTheme="majorBidi" w:cstheme="majorBidi"/>
          <w:sz w:val="24"/>
          <w:szCs w:val="24"/>
        </w:rPr>
        <w:t>frequencies</w:t>
      </w:r>
      <w:r w:rsidR="00352C5F">
        <w:rPr>
          <w:rFonts w:asciiTheme="majorBidi" w:hAnsiTheme="majorBidi" w:cstheme="majorBidi"/>
          <w:sz w:val="24"/>
          <w:szCs w:val="24"/>
        </w:rPr>
        <w:t>)</w:t>
      </w:r>
      <w:r w:rsidRPr="00762824">
        <w:rPr>
          <w:rFonts w:asciiTheme="majorBidi" w:hAnsiTheme="majorBidi" w:cstheme="majorBidi"/>
          <w:sz w:val="24"/>
          <w:szCs w:val="24"/>
        </w:rPr>
        <w:t xml:space="preserve"> were </w:t>
      </w:r>
      <w:r w:rsidR="00352C5F" w:rsidRPr="00352C5F">
        <w:rPr>
          <w:rFonts w:asciiTheme="majorBidi" w:hAnsiTheme="majorBidi" w:cstheme="majorBidi"/>
          <w:sz w:val="24"/>
          <w:szCs w:val="24"/>
        </w:rPr>
        <w:t>calculate</w:t>
      </w:r>
      <w:r w:rsidRPr="00762824">
        <w:rPr>
          <w:rFonts w:asciiTheme="majorBidi" w:hAnsiTheme="majorBidi" w:cstheme="majorBidi"/>
          <w:sz w:val="24"/>
          <w:szCs w:val="24"/>
        </w:rPr>
        <w:t xml:space="preserve"> </w:t>
      </w:r>
      <w:r w:rsidR="0023756A" w:rsidRPr="00762824">
        <w:rPr>
          <w:rFonts w:asciiTheme="majorBidi" w:hAnsiTheme="majorBidi" w:cstheme="majorBidi"/>
          <w:sz w:val="24"/>
          <w:szCs w:val="24"/>
        </w:rPr>
        <w:t xml:space="preserve">in order to evaluate HWE. By comparing observed genotypes to expected values, the chi-squared test can be used to assess how far a population deviates from HWE. Next, the anticipated genotype frequencies were ascertained. </w:t>
      </w:r>
      <w:r w:rsidR="00352C5F" w:rsidRPr="00352C5F">
        <w:rPr>
          <w:rFonts w:asciiTheme="majorBidi" w:hAnsiTheme="majorBidi" w:cstheme="majorBidi"/>
          <w:sz w:val="24"/>
          <w:szCs w:val="24"/>
        </w:rPr>
        <w:t xml:space="preserve">The P value indicates the number of </w:t>
      </w:r>
      <w:r w:rsidR="00352C5F" w:rsidRPr="002671EE">
        <w:rPr>
          <w:rFonts w:asciiTheme="majorBidi" w:eastAsia="Times New Roman" w:hAnsiTheme="majorBidi" w:cstheme="majorBidi"/>
          <w:sz w:val="24"/>
          <w:szCs w:val="24"/>
        </w:rPr>
        <w:t>population</w:t>
      </w:r>
      <w:r w:rsidR="00352C5F" w:rsidRPr="00352C5F">
        <w:rPr>
          <w:rFonts w:asciiTheme="majorBidi" w:hAnsiTheme="majorBidi" w:cstheme="majorBidi"/>
          <w:sz w:val="24"/>
          <w:szCs w:val="24"/>
        </w:rPr>
        <w:t xml:space="preserve"> where it appears less than </w:t>
      </w:r>
      <w:r w:rsidR="0050509A">
        <w:rPr>
          <w:rFonts w:asciiTheme="majorBidi" w:hAnsiTheme="majorBidi" w:cstheme="majorBidi"/>
          <w:sz w:val="24"/>
          <w:szCs w:val="24"/>
        </w:rPr>
        <w:t>(</w:t>
      </w:r>
      <w:r w:rsidR="00352C5F" w:rsidRPr="00352C5F">
        <w:rPr>
          <w:rFonts w:asciiTheme="majorBidi" w:hAnsiTheme="majorBidi" w:cstheme="majorBidi"/>
          <w:sz w:val="24"/>
          <w:szCs w:val="24"/>
        </w:rPr>
        <w:t>0.05</w:t>
      </w:r>
      <w:r w:rsidR="0050509A">
        <w:rPr>
          <w:rFonts w:asciiTheme="majorBidi" w:hAnsiTheme="majorBidi" w:cstheme="majorBidi"/>
          <w:sz w:val="24"/>
          <w:szCs w:val="24"/>
        </w:rPr>
        <w:t>)</w:t>
      </w:r>
      <w:r w:rsidR="00352C5F" w:rsidRPr="00352C5F">
        <w:rPr>
          <w:rFonts w:asciiTheme="majorBidi" w:hAnsiTheme="majorBidi" w:cstheme="majorBidi"/>
          <w:sz w:val="24"/>
          <w:szCs w:val="24"/>
        </w:rPr>
        <w:t xml:space="preserve">, </w:t>
      </w:r>
      <w:r w:rsidR="0050509A" w:rsidRPr="0050509A">
        <w:rPr>
          <w:rFonts w:asciiTheme="majorBidi" w:hAnsiTheme="majorBidi" w:cstheme="majorBidi"/>
          <w:sz w:val="24"/>
          <w:szCs w:val="24"/>
        </w:rPr>
        <w:t>In terms of indicating the small population size</w:t>
      </w:r>
      <w:r w:rsidR="00352C5F" w:rsidRPr="00352C5F">
        <w:rPr>
          <w:rFonts w:asciiTheme="majorBidi" w:hAnsiTheme="majorBidi" w:cstheme="majorBidi"/>
          <w:sz w:val="24"/>
          <w:szCs w:val="24"/>
        </w:rPr>
        <w:t xml:space="preserve"> based on the mean standard deviation from HWE</w:t>
      </w:r>
      <w:r w:rsidR="0023756A" w:rsidRPr="00762824">
        <w:rPr>
          <w:rFonts w:asciiTheme="majorBidi" w:hAnsiTheme="majorBidi" w:cstheme="majorBidi"/>
          <w:sz w:val="24"/>
          <w:szCs w:val="24"/>
        </w:rPr>
        <w:t>. The online program web-</w:t>
      </w:r>
      <w:proofErr w:type="spellStart"/>
      <w:r w:rsidR="0023756A" w:rsidRPr="00762824">
        <w:rPr>
          <w:rFonts w:asciiTheme="majorBidi" w:hAnsiTheme="majorBidi" w:cstheme="majorBidi"/>
          <w:sz w:val="24"/>
          <w:szCs w:val="24"/>
        </w:rPr>
        <w:t>Assotest</w:t>
      </w:r>
      <w:proofErr w:type="spellEnd"/>
      <w:r w:rsidR="0023756A" w:rsidRPr="00762824">
        <w:rPr>
          <w:rFonts w:asciiTheme="majorBidi" w:hAnsiTheme="majorBidi" w:cstheme="majorBidi"/>
          <w:sz w:val="24"/>
          <w:szCs w:val="24"/>
        </w:rPr>
        <w:t xml:space="preserve"> (www.ekstoem.com) was used to calculate HWE.</w:t>
      </w:r>
      <w:r w:rsidR="00D20ABE">
        <w:rPr>
          <w:rFonts w:asciiTheme="majorBidi" w:hAnsiTheme="majorBidi" w:cstheme="majorBidi"/>
          <w:sz w:val="24"/>
          <w:szCs w:val="24"/>
        </w:rPr>
        <w:t xml:space="preserve"> </w:t>
      </w:r>
      <w:r w:rsidR="0023756A" w:rsidRPr="00762824">
        <w:rPr>
          <w:rFonts w:asciiTheme="majorBidi" w:hAnsiTheme="majorBidi" w:cstheme="majorBidi"/>
          <w:sz w:val="24"/>
          <w:szCs w:val="24"/>
        </w:rPr>
        <w:t xml:space="preserve">Using multiple inheritance patterns, </w:t>
      </w:r>
      <w:r w:rsidR="0050509A" w:rsidRPr="0050509A">
        <w:rPr>
          <w:rFonts w:asciiTheme="majorBidi" w:hAnsiTheme="majorBidi" w:cstheme="majorBidi"/>
          <w:sz w:val="24"/>
          <w:szCs w:val="24"/>
        </w:rPr>
        <w:t>In Windows system and using SPSS program, multinomial logistic regression was read</w:t>
      </w:r>
      <w:r w:rsidR="0050509A">
        <w:rPr>
          <w:rFonts w:asciiTheme="majorBidi" w:hAnsiTheme="majorBidi" w:cstheme="majorBidi"/>
          <w:sz w:val="24"/>
          <w:szCs w:val="24"/>
        </w:rPr>
        <w:t xml:space="preserve"> </w:t>
      </w:r>
      <w:proofErr w:type="gramStart"/>
      <w:r w:rsidR="0050509A">
        <w:rPr>
          <w:rFonts w:asciiTheme="majorBidi" w:hAnsiTheme="majorBidi" w:cstheme="majorBidi"/>
          <w:sz w:val="24"/>
          <w:szCs w:val="24"/>
        </w:rPr>
        <w:t xml:space="preserve">and </w:t>
      </w:r>
      <w:r w:rsidR="00AB09D4" w:rsidRPr="00AB09D4">
        <w:rPr>
          <w:rFonts w:asciiTheme="majorBidi" w:hAnsiTheme="majorBidi" w:cstheme="majorBidi"/>
          <w:sz w:val="24"/>
          <w:szCs w:val="24"/>
        </w:rPr>
        <w:t xml:space="preserve"> was</w:t>
      </w:r>
      <w:proofErr w:type="gramEnd"/>
      <w:r w:rsidR="00AB09D4" w:rsidRPr="00AB09D4">
        <w:rPr>
          <w:rFonts w:asciiTheme="majorBidi" w:hAnsiTheme="majorBidi" w:cstheme="majorBidi"/>
          <w:sz w:val="24"/>
          <w:szCs w:val="24"/>
        </w:rPr>
        <w:t xml:space="preserve"> examined the associated with osteoporosis and the association between allele frequencies and genotype</w:t>
      </w:r>
      <w:r w:rsidR="00AB09D4">
        <w:rPr>
          <w:rFonts w:asciiTheme="majorBidi" w:hAnsiTheme="majorBidi" w:cstheme="majorBidi"/>
          <w:sz w:val="24"/>
          <w:szCs w:val="24"/>
        </w:rPr>
        <w:t>.</w:t>
      </w:r>
      <w:r w:rsidR="0023756A" w:rsidRPr="00762824">
        <w:rPr>
          <w:rFonts w:asciiTheme="majorBidi" w:hAnsiTheme="majorBidi" w:cstheme="majorBidi"/>
          <w:sz w:val="24"/>
          <w:szCs w:val="24"/>
        </w:rPr>
        <w:t xml:space="preserve"> the reference wild type, TT. T was the dominant allele, and C was the minor allele.</w:t>
      </w:r>
    </w:p>
    <w:p w14:paraId="18E511A4" w14:textId="77777777" w:rsidR="00390C8A" w:rsidRPr="00762824" w:rsidRDefault="00390C8A" w:rsidP="007D6ECE">
      <w:pPr>
        <w:adjustRightInd w:val="0"/>
        <w:spacing w:line="240" w:lineRule="auto"/>
        <w:ind w:firstLine="720"/>
        <w:jc w:val="both"/>
        <w:rPr>
          <w:rFonts w:asciiTheme="majorBidi" w:hAnsiTheme="majorBidi" w:cstheme="majorBidi"/>
          <w:sz w:val="24"/>
          <w:szCs w:val="24"/>
        </w:rPr>
      </w:pPr>
    </w:p>
    <w:p w14:paraId="26E2715C" w14:textId="77777777" w:rsidR="008372D3" w:rsidRPr="00762824" w:rsidRDefault="008372D3">
      <w:pPr>
        <w:rPr>
          <w:rFonts w:asciiTheme="majorBidi" w:hAnsiTheme="majorBidi" w:cstheme="majorBidi"/>
          <w:sz w:val="24"/>
          <w:szCs w:val="24"/>
        </w:rPr>
      </w:pPr>
    </w:p>
    <w:p w14:paraId="5823936A" w14:textId="77777777" w:rsidR="008372D3" w:rsidRPr="00762824" w:rsidRDefault="00390C8A">
      <w:pPr>
        <w:rPr>
          <w:rFonts w:asciiTheme="majorBidi" w:hAnsiTheme="majorBidi" w:cstheme="majorBidi"/>
          <w:b/>
          <w:bCs/>
          <w:sz w:val="24"/>
          <w:szCs w:val="24"/>
        </w:rPr>
      </w:pPr>
      <w:r w:rsidRPr="00762824">
        <w:rPr>
          <w:rFonts w:asciiTheme="majorBidi" w:hAnsiTheme="majorBidi" w:cstheme="majorBidi"/>
          <w:b/>
          <w:bCs/>
          <w:sz w:val="24"/>
          <w:szCs w:val="24"/>
        </w:rPr>
        <w:t xml:space="preserve">Results </w:t>
      </w:r>
    </w:p>
    <w:p w14:paraId="67DB1DCD" w14:textId="77777777" w:rsidR="0023756A" w:rsidRPr="00762824" w:rsidRDefault="00A76730" w:rsidP="00BE7379">
      <w:pPr>
        <w:shd w:val="clear" w:color="auto" w:fill="FFFFFF" w:themeFill="background1"/>
        <w:adjustRightInd w:val="0"/>
        <w:spacing w:line="360" w:lineRule="auto"/>
        <w:jc w:val="both"/>
        <w:rPr>
          <w:rFonts w:asciiTheme="majorBidi" w:hAnsiTheme="majorBidi" w:cstheme="majorBidi"/>
          <w:sz w:val="24"/>
          <w:szCs w:val="24"/>
        </w:rPr>
      </w:pPr>
      <w:r w:rsidRPr="00A76730">
        <w:rPr>
          <w:rFonts w:asciiTheme="majorBidi" w:hAnsiTheme="majorBidi" w:cstheme="majorBidi"/>
          <w:sz w:val="24"/>
          <w:szCs w:val="24"/>
        </w:rPr>
        <w:t>Through the results that appeared, the study obtained association rates between osteoporosis and the gene associated with it. The P value, 95% confidence interval, and odds ratio (OR) were used. Also, adjustments were made to the data based on age and body mass index to display the output data. The P values, 95% confidence interval, and odds ratio were recalculated.</w:t>
      </w:r>
    </w:p>
    <w:p w14:paraId="5C132893" w14:textId="77777777" w:rsidR="0023756A" w:rsidRPr="00762824" w:rsidRDefault="0023756A" w:rsidP="00F014C0">
      <w:pPr>
        <w:shd w:val="clear" w:color="auto" w:fill="FFFFFF" w:themeFill="background1"/>
        <w:adjustRightInd w:val="0"/>
        <w:spacing w:line="360" w:lineRule="auto"/>
        <w:jc w:val="center"/>
        <w:rPr>
          <w:rFonts w:asciiTheme="majorBidi" w:hAnsiTheme="majorBidi" w:cstheme="majorBidi"/>
          <w:b/>
          <w:bCs/>
          <w:sz w:val="24"/>
          <w:szCs w:val="24"/>
          <w:rtl/>
        </w:rPr>
      </w:pPr>
    </w:p>
    <w:p w14:paraId="660866D7" w14:textId="77777777" w:rsidR="00F014C0" w:rsidRPr="00762824" w:rsidRDefault="00F014C0" w:rsidP="006B126D">
      <w:pPr>
        <w:shd w:val="clear" w:color="auto" w:fill="FFFFFF" w:themeFill="background1"/>
        <w:adjustRightInd w:val="0"/>
        <w:spacing w:line="360" w:lineRule="auto"/>
        <w:rPr>
          <w:rFonts w:asciiTheme="majorBidi" w:hAnsiTheme="majorBidi" w:cstheme="majorBidi"/>
          <w:sz w:val="24"/>
          <w:szCs w:val="24"/>
        </w:rPr>
      </w:pPr>
      <w:r w:rsidRPr="00762824">
        <w:rPr>
          <w:rFonts w:asciiTheme="majorBidi" w:hAnsiTheme="majorBidi" w:cstheme="majorBidi"/>
          <w:b/>
          <w:bCs/>
          <w:sz w:val="24"/>
          <w:szCs w:val="24"/>
        </w:rPr>
        <w:t xml:space="preserve">Table </w:t>
      </w:r>
      <w:r w:rsidR="006B126D">
        <w:rPr>
          <w:rFonts w:asciiTheme="majorBidi" w:hAnsiTheme="majorBidi" w:cstheme="majorBidi"/>
          <w:b/>
          <w:bCs/>
          <w:sz w:val="24"/>
          <w:szCs w:val="24"/>
        </w:rPr>
        <w:t>.1</w:t>
      </w:r>
      <w:r w:rsidRPr="00762824">
        <w:rPr>
          <w:rFonts w:asciiTheme="majorBidi" w:hAnsiTheme="majorBidi" w:cstheme="majorBidi"/>
          <w:b/>
          <w:bCs/>
          <w:sz w:val="24"/>
          <w:szCs w:val="24"/>
        </w:rPr>
        <w:t xml:space="preserve"> </w:t>
      </w:r>
      <w:r w:rsidRPr="00762824">
        <w:rPr>
          <w:rFonts w:asciiTheme="majorBidi" w:hAnsiTheme="majorBidi" w:cstheme="majorBidi"/>
          <w:sz w:val="24"/>
          <w:szCs w:val="24"/>
        </w:rPr>
        <w:t>Genetic paradigms of inheritance.</w:t>
      </w:r>
    </w:p>
    <w:tbl>
      <w:tblPr>
        <w:tblStyle w:val="TableGrid3"/>
        <w:tblW w:w="8197" w:type="dxa"/>
        <w:tblLook w:val="04A0" w:firstRow="1" w:lastRow="0" w:firstColumn="1" w:lastColumn="0" w:noHBand="0" w:noVBand="1"/>
      </w:tblPr>
      <w:tblGrid>
        <w:gridCol w:w="3815"/>
        <w:gridCol w:w="4382"/>
      </w:tblGrid>
      <w:tr w:rsidR="00DD565E" w:rsidRPr="00762824" w14:paraId="231FB366" w14:textId="77777777" w:rsidTr="00BE7379">
        <w:trPr>
          <w:trHeight w:val="308"/>
        </w:trPr>
        <w:tc>
          <w:tcPr>
            <w:tcW w:w="3815" w:type="dxa"/>
          </w:tcPr>
          <w:p w14:paraId="6B5E4555" w14:textId="77777777" w:rsidR="00DD565E" w:rsidRPr="00762824" w:rsidRDefault="00DD565E" w:rsidP="00DD565E">
            <w:pPr>
              <w:shd w:val="clear" w:color="auto" w:fill="FFFFFF" w:themeFill="background1"/>
              <w:adjustRightInd w:val="0"/>
              <w:jc w:val="center"/>
              <w:rPr>
                <w:rFonts w:asciiTheme="majorBidi" w:hAnsiTheme="majorBidi" w:cstheme="majorBidi"/>
                <w:b/>
                <w:bCs/>
                <w:sz w:val="24"/>
                <w:szCs w:val="24"/>
              </w:rPr>
            </w:pPr>
            <w:r w:rsidRPr="00762824">
              <w:rPr>
                <w:rFonts w:asciiTheme="majorBidi" w:hAnsiTheme="majorBidi" w:cstheme="majorBidi"/>
                <w:b/>
                <w:bCs/>
                <w:sz w:val="24"/>
                <w:szCs w:val="24"/>
              </w:rPr>
              <w:t>VDR gene</w:t>
            </w:r>
          </w:p>
        </w:tc>
        <w:tc>
          <w:tcPr>
            <w:tcW w:w="4382" w:type="dxa"/>
          </w:tcPr>
          <w:p w14:paraId="1A96B80E" w14:textId="77777777" w:rsidR="00DD565E" w:rsidRPr="00762824" w:rsidRDefault="00DD565E" w:rsidP="00DD565E">
            <w:pPr>
              <w:shd w:val="clear" w:color="auto" w:fill="FFFFFF" w:themeFill="background1"/>
              <w:adjustRightInd w:val="0"/>
              <w:jc w:val="center"/>
              <w:rPr>
                <w:rFonts w:asciiTheme="majorBidi" w:hAnsiTheme="majorBidi" w:cstheme="majorBidi"/>
                <w:color w:val="000000" w:themeColor="text1"/>
                <w:sz w:val="24"/>
                <w:szCs w:val="24"/>
              </w:rPr>
            </w:pPr>
            <w:r w:rsidRPr="00762824">
              <w:rPr>
                <w:rFonts w:asciiTheme="majorBidi" w:hAnsiTheme="majorBidi" w:cstheme="majorBidi"/>
                <w:b/>
                <w:bCs/>
                <w:color w:val="000000" w:themeColor="text1"/>
                <w:sz w:val="24"/>
                <w:szCs w:val="24"/>
              </w:rPr>
              <w:t>Genetic model</w:t>
            </w:r>
          </w:p>
        </w:tc>
      </w:tr>
      <w:tr w:rsidR="00DD565E" w:rsidRPr="00762824" w14:paraId="2E11FA90" w14:textId="77777777" w:rsidTr="00BE7379">
        <w:trPr>
          <w:trHeight w:val="297"/>
        </w:trPr>
        <w:tc>
          <w:tcPr>
            <w:tcW w:w="3815" w:type="dxa"/>
          </w:tcPr>
          <w:p w14:paraId="12322062" w14:textId="77777777" w:rsidR="00DD565E" w:rsidRPr="00762824" w:rsidRDefault="00DD565E" w:rsidP="00DD565E">
            <w:pPr>
              <w:shd w:val="clear" w:color="auto" w:fill="FFFFFF" w:themeFill="background1"/>
              <w:adjustRightInd w:val="0"/>
              <w:jc w:val="center"/>
              <w:rPr>
                <w:rFonts w:asciiTheme="majorBidi" w:hAnsiTheme="majorBidi" w:cstheme="majorBidi"/>
                <w:sz w:val="24"/>
                <w:szCs w:val="24"/>
              </w:rPr>
            </w:pPr>
            <w:r w:rsidRPr="00762824">
              <w:rPr>
                <w:rFonts w:asciiTheme="majorBidi" w:hAnsiTheme="majorBidi" w:cstheme="majorBidi"/>
                <w:sz w:val="24"/>
                <w:szCs w:val="24"/>
              </w:rPr>
              <w:t>T vs. C</w:t>
            </w:r>
          </w:p>
        </w:tc>
        <w:tc>
          <w:tcPr>
            <w:tcW w:w="4382" w:type="dxa"/>
          </w:tcPr>
          <w:p w14:paraId="2810F84A" w14:textId="77777777" w:rsidR="00DD565E" w:rsidRPr="00762824" w:rsidRDefault="00DD565E" w:rsidP="00DD565E">
            <w:pPr>
              <w:shd w:val="clear" w:color="auto" w:fill="FFFFFF" w:themeFill="background1"/>
              <w:adjustRightInd w:val="0"/>
              <w:jc w:val="center"/>
              <w:rPr>
                <w:rFonts w:asciiTheme="majorBidi" w:hAnsiTheme="majorBidi" w:cstheme="majorBidi"/>
                <w:sz w:val="24"/>
                <w:szCs w:val="24"/>
              </w:rPr>
            </w:pPr>
            <w:r w:rsidRPr="00762824">
              <w:rPr>
                <w:rFonts w:asciiTheme="majorBidi" w:hAnsiTheme="majorBidi" w:cstheme="majorBidi"/>
                <w:sz w:val="24"/>
                <w:szCs w:val="24"/>
              </w:rPr>
              <w:t>Allelic model</w:t>
            </w:r>
          </w:p>
        </w:tc>
      </w:tr>
      <w:tr w:rsidR="00DD565E" w:rsidRPr="00762824" w14:paraId="407BB8E5" w14:textId="77777777" w:rsidTr="00BE7379">
        <w:trPr>
          <w:trHeight w:val="308"/>
        </w:trPr>
        <w:tc>
          <w:tcPr>
            <w:tcW w:w="3815" w:type="dxa"/>
          </w:tcPr>
          <w:p w14:paraId="02C62B53" w14:textId="77777777" w:rsidR="00DD565E" w:rsidRPr="00762824" w:rsidRDefault="00DD565E" w:rsidP="00DD565E">
            <w:pPr>
              <w:shd w:val="clear" w:color="auto" w:fill="FFFFFF" w:themeFill="background1"/>
              <w:adjustRightInd w:val="0"/>
              <w:jc w:val="center"/>
              <w:rPr>
                <w:rFonts w:asciiTheme="majorBidi" w:hAnsiTheme="majorBidi" w:cstheme="majorBidi"/>
                <w:sz w:val="24"/>
                <w:szCs w:val="24"/>
              </w:rPr>
            </w:pPr>
            <w:r w:rsidRPr="00762824">
              <w:rPr>
                <w:rFonts w:asciiTheme="majorBidi" w:hAnsiTheme="majorBidi" w:cstheme="majorBidi"/>
                <w:sz w:val="24"/>
                <w:szCs w:val="24"/>
              </w:rPr>
              <w:t>CC+ TC</w:t>
            </w:r>
          </w:p>
        </w:tc>
        <w:tc>
          <w:tcPr>
            <w:tcW w:w="4382" w:type="dxa"/>
          </w:tcPr>
          <w:p w14:paraId="0778CDCC" w14:textId="77777777" w:rsidR="00DD565E" w:rsidRPr="00762824" w:rsidRDefault="00DD565E" w:rsidP="00DD565E">
            <w:pPr>
              <w:shd w:val="clear" w:color="auto" w:fill="FFFFFF" w:themeFill="background1"/>
              <w:adjustRightInd w:val="0"/>
              <w:jc w:val="center"/>
              <w:rPr>
                <w:rFonts w:asciiTheme="majorBidi" w:hAnsiTheme="majorBidi" w:cstheme="majorBidi"/>
                <w:sz w:val="24"/>
                <w:szCs w:val="24"/>
              </w:rPr>
            </w:pPr>
            <w:r w:rsidRPr="00762824">
              <w:rPr>
                <w:rFonts w:asciiTheme="majorBidi" w:hAnsiTheme="majorBidi" w:cstheme="majorBidi"/>
                <w:sz w:val="24"/>
                <w:szCs w:val="24"/>
              </w:rPr>
              <w:t>Dominant model|</w:t>
            </w:r>
          </w:p>
        </w:tc>
      </w:tr>
      <w:tr w:rsidR="00DD565E" w:rsidRPr="00762824" w14:paraId="191E705E" w14:textId="77777777" w:rsidTr="00BE7379">
        <w:trPr>
          <w:trHeight w:val="297"/>
        </w:trPr>
        <w:tc>
          <w:tcPr>
            <w:tcW w:w="3815" w:type="dxa"/>
          </w:tcPr>
          <w:p w14:paraId="6570F2FC" w14:textId="77777777" w:rsidR="00DD565E" w:rsidRPr="00762824" w:rsidRDefault="00DD565E" w:rsidP="00DD565E">
            <w:pPr>
              <w:shd w:val="clear" w:color="auto" w:fill="FFFFFF" w:themeFill="background1"/>
              <w:adjustRightInd w:val="0"/>
              <w:jc w:val="center"/>
              <w:rPr>
                <w:rFonts w:asciiTheme="majorBidi" w:hAnsiTheme="majorBidi" w:cstheme="majorBidi"/>
                <w:sz w:val="24"/>
                <w:szCs w:val="24"/>
              </w:rPr>
            </w:pPr>
            <w:r w:rsidRPr="00762824">
              <w:rPr>
                <w:rFonts w:asciiTheme="majorBidi" w:hAnsiTheme="majorBidi" w:cstheme="majorBidi"/>
                <w:sz w:val="24"/>
                <w:szCs w:val="24"/>
              </w:rPr>
              <w:t>TT+ TC</w:t>
            </w:r>
          </w:p>
        </w:tc>
        <w:tc>
          <w:tcPr>
            <w:tcW w:w="4382" w:type="dxa"/>
          </w:tcPr>
          <w:p w14:paraId="39269B3E" w14:textId="77777777" w:rsidR="00DD565E" w:rsidRPr="00762824" w:rsidRDefault="00DD565E" w:rsidP="00DD565E">
            <w:pPr>
              <w:shd w:val="clear" w:color="auto" w:fill="FFFFFF" w:themeFill="background1"/>
              <w:adjustRightInd w:val="0"/>
              <w:jc w:val="center"/>
              <w:rPr>
                <w:rFonts w:asciiTheme="majorBidi" w:hAnsiTheme="majorBidi" w:cstheme="majorBidi"/>
                <w:sz w:val="24"/>
                <w:szCs w:val="24"/>
              </w:rPr>
            </w:pPr>
            <w:r w:rsidRPr="00762824">
              <w:rPr>
                <w:rFonts w:asciiTheme="majorBidi" w:hAnsiTheme="majorBidi" w:cstheme="majorBidi"/>
                <w:sz w:val="24"/>
                <w:szCs w:val="24"/>
              </w:rPr>
              <w:t>Recessive model</w:t>
            </w:r>
          </w:p>
        </w:tc>
      </w:tr>
      <w:tr w:rsidR="00DD565E" w:rsidRPr="00762824" w14:paraId="0BA09C4F" w14:textId="77777777" w:rsidTr="002B084E">
        <w:trPr>
          <w:trHeight w:val="305"/>
        </w:trPr>
        <w:tc>
          <w:tcPr>
            <w:tcW w:w="3815" w:type="dxa"/>
          </w:tcPr>
          <w:p w14:paraId="3FC98DA1" w14:textId="77777777" w:rsidR="00DD565E" w:rsidRPr="00762824" w:rsidRDefault="00DD565E" w:rsidP="00DD565E">
            <w:pPr>
              <w:shd w:val="clear" w:color="auto" w:fill="FFFFFF" w:themeFill="background1"/>
              <w:adjustRightInd w:val="0"/>
              <w:jc w:val="center"/>
              <w:rPr>
                <w:rFonts w:asciiTheme="majorBidi" w:hAnsiTheme="majorBidi" w:cstheme="majorBidi"/>
                <w:sz w:val="24"/>
                <w:szCs w:val="24"/>
              </w:rPr>
            </w:pPr>
            <w:r w:rsidRPr="00762824">
              <w:rPr>
                <w:rFonts w:asciiTheme="majorBidi" w:hAnsiTheme="majorBidi" w:cstheme="majorBidi"/>
                <w:sz w:val="24"/>
                <w:szCs w:val="24"/>
              </w:rPr>
              <w:t>TT,TC,CC</w:t>
            </w:r>
          </w:p>
        </w:tc>
        <w:tc>
          <w:tcPr>
            <w:tcW w:w="4382" w:type="dxa"/>
          </w:tcPr>
          <w:p w14:paraId="324B3E45" w14:textId="77777777" w:rsidR="00DD565E" w:rsidRPr="00762824" w:rsidRDefault="00DD565E" w:rsidP="00DD565E">
            <w:pPr>
              <w:shd w:val="clear" w:color="auto" w:fill="FFFFFF" w:themeFill="background1"/>
              <w:adjustRightInd w:val="0"/>
              <w:jc w:val="center"/>
              <w:rPr>
                <w:rFonts w:asciiTheme="majorBidi" w:hAnsiTheme="majorBidi" w:cstheme="majorBidi"/>
                <w:sz w:val="24"/>
                <w:szCs w:val="24"/>
              </w:rPr>
            </w:pPr>
            <w:r w:rsidRPr="00762824">
              <w:rPr>
                <w:rFonts w:asciiTheme="majorBidi" w:hAnsiTheme="majorBidi" w:cstheme="majorBidi"/>
                <w:sz w:val="24"/>
                <w:szCs w:val="24"/>
              </w:rPr>
              <w:t>Co-dominant model</w:t>
            </w:r>
          </w:p>
        </w:tc>
      </w:tr>
      <w:tr w:rsidR="00896B5C" w:rsidRPr="00762824" w14:paraId="2D9AD627" w14:textId="77777777" w:rsidTr="00BE7379">
        <w:trPr>
          <w:trHeight w:val="308"/>
        </w:trPr>
        <w:tc>
          <w:tcPr>
            <w:tcW w:w="3815" w:type="dxa"/>
          </w:tcPr>
          <w:p w14:paraId="2B9941DE" w14:textId="77777777" w:rsidR="00896B5C" w:rsidRPr="00762824" w:rsidRDefault="00896B5C" w:rsidP="00896B5C">
            <w:pPr>
              <w:shd w:val="clear" w:color="auto" w:fill="FFFFFF" w:themeFill="background1"/>
              <w:adjustRightInd w:val="0"/>
              <w:jc w:val="center"/>
              <w:rPr>
                <w:rFonts w:asciiTheme="majorBidi" w:hAnsiTheme="majorBidi" w:cstheme="majorBidi"/>
                <w:sz w:val="24"/>
                <w:szCs w:val="24"/>
              </w:rPr>
            </w:pPr>
            <w:r w:rsidRPr="00762824">
              <w:rPr>
                <w:rFonts w:asciiTheme="majorBidi" w:hAnsiTheme="majorBidi" w:cstheme="majorBidi"/>
                <w:sz w:val="24"/>
                <w:szCs w:val="24"/>
              </w:rPr>
              <w:t>2CC*+TC</w:t>
            </w:r>
          </w:p>
        </w:tc>
        <w:tc>
          <w:tcPr>
            <w:tcW w:w="4382" w:type="dxa"/>
          </w:tcPr>
          <w:p w14:paraId="318099D9" w14:textId="77777777" w:rsidR="00896B5C" w:rsidRPr="00762824" w:rsidRDefault="00896B5C" w:rsidP="00896B5C">
            <w:pPr>
              <w:shd w:val="clear" w:color="auto" w:fill="FFFFFF" w:themeFill="background1"/>
              <w:adjustRightInd w:val="0"/>
              <w:jc w:val="center"/>
              <w:rPr>
                <w:rFonts w:asciiTheme="majorBidi" w:hAnsiTheme="majorBidi" w:cstheme="majorBidi"/>
                <w:sz w:val="24"/>
                <w:szCs w:val="24"/>
              </w:rPr>
            </w:pPr>
            <w:r w:rsidRPr="00762824">
              <w:rPr>
                <w:rFonts w:asciiTheme="majorBidi" w:hAnsiTheme="majorBidi" w:cstheme="majorBidi"/>
                <w:sz w:val="24"/>
                <w:szCs w:val="24"/>
              </w:rPr>
              <w:t>Additive model</w:t>
            </w:r>
          </w:p>
        </w:tc>
      </w:tr>
    </w:tbl>
    <w:p w14:paraId="2816521D" w14:textId="77777777" w:rsidR="00C26898" w:rsidRPr="00762824" w:rsidRDefault="002B084E" w:rsidP="00C26898">
      <w:pPr>
        <w:adjustRightInd w:val="0"/>
        <w:spacing w:line="360" w:lineRule="auto"/>
        <w:jc w:val="both"/>
        <w:rPr>
          <w:rFonts w:asciiTheme="majorBidi" w:hAnsiTheme="majorBidi" w:cstheme="majorBidi"/>
          <w:sz w:val="24"/>
          <w:szCs w:val="24"/>
          <w:rtl/>
        </w:rPr>
      </w:pPr>
      <w:r w:rsidRPr="00762824">
        <w:rPr>
          <w:rFonts w:asciiTheme="majorBidi" w:hAnsiTheme="majorBidi" w:cstheme="majorBidi"/>
          <w:sz w:val="24"/>
          <w:szCs w:val="24"/>
        </w:rPr>
        <w:t>*mutant type</w:t>
      </w:r>
    </w:p>
    <w:p w14:paraId="7B58E1FF" w14:textId="77777777" w:rsidR="00F014C0" w:rsidRPr="00762824" w:rsidRDefault="00F014C0" w:rsidP="006B126D">
      <w:pPr>
        <w:adjustRightInd w:val="0"/>
        <w:spacing w:line="360" w:lineRule="auto"/>
        <w:jc w:val="both"/>
        <w:rPr>
          <w:rFonts w:asciiTheme="majorBidi" w:hAnsiTheme="majorBidi" w:cstheme="majorBidi"/>
          <w:sz w:val="24"/>
          <w:szCs w:val="24"/>
        </w:rPr>
      </w:pPr>
      <w:r w:rsidRPr="00762824">
        <w:rPr>
          <w:rFonts w:asciiTheme="majorBidi" w:hAnsiTheme="majorBidi" w:cstheme="majorBidi"/>
          <w:b/>
          <w:bCs/>
          <w:sz w:val="24"/>
          <w:szCs w:val="24"/>
          <w:lang w:bidi="ar-IQ"/>
        </w:rPr>
        <w:t xml:space="preserve">Table </w:t>
      </w:r>
      <w:r w:rsidR="006B126D">
        <w:rPr>
          <w:rFonts w:asciiTheme="majorBidi" w:hAnsiTheme="majorBidi" w:cstheme="majorBidi"/>
          <w:b/>
          <w:bCs/>
          <w:sz w:val="24"/>
          <w:szCs w:val="24"/>
          <w:lang w:bidi="ar-IQ"/>
        </w:rPr>
        <w:t>.2</w:t>
      </w:r>
      <w:r w:rsidRPr="00762824">
        <w:rPr>
          <w:rFonts w:asciiTheme="majorBidi" w:hAnsiTheme="majorBidi" w:cstheme="majorBidi"/>
          <w:b/>
          <w:bCs/>
          <w:sz w:val="24"/>
          <w:szCs w:val="24"/>
          <w:lang w:bidi="ar-IQ"/>
        </w:rPr>
        <w:t xml:space="preserve"> </w:t>
      </w:r>
      <w:r w:rsidR="00896B5C" w:rsidRPr="00762824">
        <w:rPr>
          <w:rFonts w:asciiTheme="majorBidi" w:hAnsiTheme="majorBidi" w:cstheme="majorBidi"/>
          <w:sz w:val="24"/>
          <w:szCs w:val="24"/>
          <w:lang w:bidi="ar-IQ"/>
        </w:rPr>
        <w:t>DNA</w:t>
      </w:r>
      <w:r w:rsidR="00900B47" w:rsidRPr="00762824">
        <w:rPr>
          <w:rFonts w:asciiTheme="majorBidi" w:hAnsiTheme="majorBidi" w:cstheme="majorBidi"/>
          <w:sz w:val="24"/>
          <w:szCs w:val="24"/>
          <w:lang w:bidi="ar-IQ"/>
        </w:rPr>
        <w:t xml:space="preserve"> purity and</w:t>
      </w:r>
      <w:r w:rsidR="00896B5C" w:rsidRPr="00762824">
        <w:rPr>
          <w:rFonts w:asciiTheme="majorBidi" w:hAnsiTheme="majorBidi" w:cstheme="majorBidi"/>
          <w:sz w:val="24"/>
          <w:szCs w:val="24"/>
          <w:lang w:bidi="ar-IQ"/>
        </w:rPr>
        <w:t xml:space="preserve"> concentration of patient groups</w:t>
      </w:r>
      <w:r w:rsidR="006B126D" w:rsidRPr="006B126D">
        <w:rPr>
          <w:rFonts w:asciiTheme="majorBidi" w:hAnsiTheme="majorBidi" w:cstheme="majorBidi"/>
          <w:sz w:val="24"/>
          <w:szCs w:val="24"/>
        </w:rPr>
        <w:t xml:space="preserve"> </w:t>
      </w:r>
      <w:r w:rsidR="006B126D">
        <w:rPr>
          <w:rFonts w:asciiTheme="majorBidi" w:hAnsiTheme="majorBidi" w:cstheme="majorBidi"/>
          <w:sz w:val="24"/>
          <w:szCs w:val="24"/>
        </w:rPr>
        <w:t>(</w:t>
      </w:r>
      <w:r w:rsidR="006B126D" w:rsidRPr="00762824">
        <w:rPr>
          <w:rFonts w:asciiTheme="majorBidi" w:hAnsiTheme="majorBidi" w:cstheme="majorBidi"/>
          <w:sz w:val="24"/>
          <w:szCs w:val="24"/>
        </w:rPr>
        <w:t>postmenopausal osteoporosis, and healthy women</w:t>
      </w:r>
      <w:r w:rsidR="006B126D">
        <w:rPr>
          <w:rFonts w:asciiTheme="majorBidi" w:hAnsiTheme="majorBidi" w:cstheme="majorBidi"/>
          <w:sz w:val="24"/>
          <w:szCs w:val="24"/>
        </w:rPr>
        <w:t>)</w:t>
      </w:r>
      <w:r w:rsidR="00896B5C" w:rsidRPr="00762824">
        <w:rPr>
          <w:rFonts w:asciiTheme="majorBidi" w:hAnsiTheme="majorBidi" w:cstheme="majorBidi"/>
          <w:sz w:val="24"/>
          <w:szCs w:val="24"/>
          <w:lang w:bidi="ar-IQ"/>
        </w:rPr>
        <w:t>.</w:t>
      </w:r>
    </w:p>
    <w:tbl>
      <w:tblPr>
        <w:tblStyle w:val="TableGrid3"/>
        <w:tblW w:w="8975" w:type="dxa"/>
        <w:tblLook w:val="0000" w:firstRow="0" w:lastRow="0" w:firstColumn="0" w:lastColumn="0" w:noHBand="0" w:noVBand="0"/>
      </w:tblPr>
      <w:tblGrid>
        <w:gridCol w:w="4242"/>
        <w:gridCol w:w="4733"/>
      </w:tblGrid>
      <w:tr w:rsidR="00F014C0" w:rsidRPr="00762824" w14:paraId="3E4CA1D8" w14:textId="77777777" w:rsidTr="00896B5C">
        <w:trPr>
          <w:trHeight w:val="431"/>
        </w:trPr>
        <w:tc>
          <w:tcPr>
            <w:tcW w:w="4242" w:type="dxa"/>
          </w:tcPr>
          <w:p w14:paraId="1BE2EE12" w14:textId="77777777" w:rsidR="00F014C0" w:rsidRPr="00762824" w:rsidRDefault="00F014C0" w:rsidP="008750CB">
            <w:pPr>
              <w:jc w:val="center"/>
              <w:rPr>
                <w:rFonts w:asciiTheme="majorBidi" w:hAnsiTheme="majorBidi" w:cstheme="majorBidi"/>
                <w:sz w:val="24"/>
                <w:szCs w:val="24"/>
                <w:lang w:bidi="ar-IQ"/>
              </w:rPr>
            </w:pPr>
            <w:r w:rsidRPr="00762824">
              <w:rPr>
                <w:rFonts w:asciiTheme="majorBidi" w:hAnsiTheme="majorBidi" w:cstheme="majorBidi"/>
                <w:sz w:val="24"/>
                <w:szCs w:val="24"/>
                <w:lang w:bidi="ar-IQ"/>
              </w:rPr>
              <w:t>DNA</w:t>
            </w:r>
          </w:p>
        </w:tc>
        <w:tc>
          <w:tcPr>
            <w:tcW w:w="4733" w:type="dxa"/>
          </w:tcPr>
          <w:p w14:paraId="6BD3FAE2" w14:textId="77777777" w:rsidR="00F014C0" w:rsidRPr="00762824" w:rsidRDefault="00F014C0" w:rsidP="008750CB">
            <w:pPr>
              <w:jc w:val="center"/>
              <w:rPr>
                <w:rFonts w:asciiTheme="majorBidi" w:hAnsiTheme="majorBidi" w:cstheme="majorBidi"/>
                <w:sz w:val="24"/>
                <w:szCs w:val="24"/>
                <w:lang w:bidi="ar-IQ"/>
              </w:rPr>
            </w:pPr>
            <w:r w:rsidRPr="00762824">
              <w:rPr>
                <w:rFonts w:asciiTheme="majorBidi" w:hAnsiTheme="majorBidi" w:cstheme="majorBidi"/>
                <w:sz w:val="24"/>
                <w:szCs w:val="24"/>
                <w:lang w:bidi="ar-IQ"/>
              </w:rPr>
              <w:t>Mean ± SD</w:t>
            </w:r>
          </w:p>
        </w:tc>
      </w:tr>
      <w:tr w:rsidR="00896B5C" w:rsidRPr="00762824" w14:paraId="4FB7F9C5" w14:textId="77777777" w:rsidTr="00896B5C">
        <w:trPr>
          <w:trHeight w:val="431"/>
        </w:trPr>
        <w:tc>
          <w:tcPr>
            <w:tcW w:w="4242" w:type="dxa"/>
          </w:tcPr>
          <w:p w14:paraId="1CE9AB1F" w14:textId="77777777" w:rsidR="00896B5C" w:rsidRPr="00762824" w:rsidRDefault="00896B5C" w:rsidP="00896B5C">
            <w:pPr>
              <w:jc w:val="center"/>
              <w:rPr>
                <w:rFonts w:asciiTheme="majorBidi" w:hAnsiTheme="majorBidi" w:cstheme="majorBidi"/>
                <w:sz w:val="24"/>
                <w:szCs w:val="24"/>
                <w:lang w:bidi="ar-IQ"/>
              </w:rPr>
            </w:pPr>
            <w:r w:rsidRPr="00762824">
              <w:rPr>
                <w:rFonts w:asciiTheme="majorBidi" w:hAnsiTheme="majorBidi" w:cstheme="majorBidi"/>
                <w:sz w:val="24"/>
                <w:szCs w:val="24"/>
                <w:lang w:bidi="ar-IQ"/>
              </w:rPr>
              <w:t xml:space="preserve">Purity of </w:t>
            </w:r>
            <w:r w:rsidR="006B126D">
              <w:rPr>
                <w:rFonts w:asciiTheme="majorBidi" w:hAnsiTheme="majorBidi" w:cstheme="majorBidi"/>
                <w:sz w:val="24"/>
                <w:szCs w:val="24"/>
                <w:lang w:bidi="ar-IQ"/>
              </w:rPr>
              <w:t>(</w:t>
            </w:r>
            <w:r w:rsidRPr="00762824">
              <w:rPr>
                <w:rFonts w:asciiTheme="majorBidi" w:hAnsiTheme="majorBidi" w:cstheme="majorBidi"/>
                <w:sz w:val="24"/>
                <w:szCs w:val="24"/>
                <w:lang w:bidi="ar-IQ"/>
              </w:rPr>
              <w:t>DNA</w:t>
            </w:r>
            <w:r w:rsidR="006B126D">
              <w:rPr>
                <w:rFonts w:asciiTheme="majorBidi" w:hAnsiTheme="majorBidi" w:cstheme="majorBidi"/>
                <w:sz w:val="24"/>
                <w:szCs w:val="24"/>
                <w:lang w:bidi="ar-IQ"/>
              </w:rPr>
              <w:t>)</w:t>
            </w:r>
          </w:p>
        </w:tc>
        <w:tc>
          <w:tcPr>
            <w:tcW w:w="4733" w:type="dxa"/>
          </w:tcPr>
          <w:p w14:paraId="4B567AF6" w14:textId="77777777" w:rsidR="00896B5C" w:rsidRPr="00762824" w:rsidRDefault="00896B5C" w:rsidP="00896B5C">
            <w:pPr>
              <w:jc w:val="center"/>
              <w:rPr>
                <w:rFonts w:asciiTheme="majorBidi" w:hAnsiTheme="majorBidi" w:cstheme="majorBidi"/>
                <w:sz w:val="24"/>
                <w:szCs w:val="24"/>
                <w:lang w:bidi="ar-IQ"/>
              </w:rPr>
            </w:pPr>
            <w:r w:rsidRPr="00762824">
              <w:rPr>
                <w:rFonts w:asciiTheme="majorBidi" w:hAnsiTheme="majorBidi" w:cstheme="majorBidi"/>
                <w:sz w:val="24"/>
                <w:szCs w:val="24"/>
                <w:lang w:bidi="ar-IQ"/>
              </w:rPr>
              <w:t xml:space="preserve">1.90 </w:t>
            </w:r>
            <w:r w:rsidRPr="00762824">
              <w:rPr>
                <w:rFonts w:asciiTheme="majorBidi" w:hAnsiTheme="majorBidi" w:cstheme="majorBidi"/>
                <w:sz w:val="24"/>
                <w:szCs w:val="24"/>
              </w:rPr>
              <w:t xml:space="preserve">± </w:t>
            </w:r>
            <w:r w:rsidRPr="00762824">
              <w:rPr>
                <w:rFonts w:asciiTheme="majorBidi" w:hAnsiTheme="majorBidi" w:cstheme="majorBidi"/>
                <w:sz w:val="24"/>
                <w:szCs w:val="24"/>
                <w:lang w:bidi="ar-IQ"/>
              </w:rPr>
              <w:t>0.10</w:t>
            </w:r>
          </w:p>
        </w:tc>
      </w:tr>
      <w:tr w:rsidR="00F014C0" w:rsidRPr="00762824" w14:paraId="173D47DE" w14:textId="77777777" w:rsidTr="00896B5C">
        <w:trPr>
          <w:trHeight w:val="440"/>
        </w:trPr>
        <w:tc>
          <w:tcPr>
            <w:tcW w:w="4242" w:type="dxa"/>
          </w:tcPr>
          <w:p w14:paraId="5FF5E291" w14:textId="77777777" w:rsidR="00F014C0" w:rsidRPr="00762824" w:rsidRDefault="00F014C0" w:rsidP="006B126D">
            <w:pPr>
              <w:jc w:val="center"/>
              <w:rPr>
                <w:rFonts w:asciiTheme="majorBidi" w:hAnsiTheme="majorBidi" w:cstheme="majorBidi"/>
                <w:sz w:val="24"/>
                <w:szCs w:val="24"/>
                <w:lang w:bidi="ar-IQ"/>
              </w:rPr>
            </w:pPr>
            <w:r w:rsidRPr="00762824">
              <w:rPr>
                <w:rFonts w:asciiTheme="majorBidi" w:hAnsiTheme="majorBidi" w:cstheme="majorBidi"/>
                <w:sz w:val="24"/>
                <w:szCs w:val="24"/>
                <w:lang w:bidi="ar-IQ"/>
              </w:rPr>
              <w:lastRenderedPageBreak/>
              <w:t>Con</w:t>
            </w:r>
            <w:r w:rsidR="006B126D">
              <w:rPr>
                <w:rFonts w:asciiTheme="majorBidi" w:hAnsiTheme="majorBidi" w:cstheme="majorBidi"/>
                <w:sz w:val="24"/>
                <w:szCs w:val="24"/>
                <w:lang w:bidi="ar-IQ"/>
              </w:rPr>
              <w:t>.</w:t>
            </w:r>
            <w:r w:rsidRPr="00762824">
              <w:rPr>
                <w:rFonts w:asciiTheme="majorBidi" w:hAnsiTheme="majorBidi" w:cstheme="majorBidi"/>
                <w:sz w:val="24"/>
                <w:szCs w:val="24"/>
                <w:lang w:bidi="ar-IQ"/>
              </w:rPr>
              <w:t xml:space="preserve"> of DNA(µg/ml)</w:t>
            </w:r>
          </w:p>
        </w:tc>
        <w:tc>
          <w:tcPr>
            <w:tcW w:w="4733" w:type="dxa"/>
          </w:tcPr>
          <w:p w14:paraId="7701B302" w14:textId="77777777" w:rsidR="00F014C0" w:rsidRPr="00762824" w:rsidRDefault="00F014C0" w:rsidP="006B126D">
            <w:pPr>
              <w:jc w:val="center"/>
              <w:rPr>
                <w:rFonts w:asciiTheme="majorBidi" w:hAnsiTheme="majorBidi" w:cstheme="majorBidi"/>
                <w:sz w:val="24"/>
                <w:szCs w:val="24"/>
                <w:lang w:bidi="ar-IQ"/>
              </w:rPr>
            </w:pPr>
            <w:r w:rsidRPr="00762824">
              <w:rPr>
                <w:rFonts w:asciiTheme="majorBidi" w:hAnsiTheme="majorBidi" w:cstheme="majorBidi"/>
                <w:sz w:val="24"/>
                <w:szCs w:val="24"/>
                <w:lang w:bidi="ar-IQ"/>
              </w:rPr>
              <w:t>3</w:t>
            </w:r>
            <w:r w:rsidR="006B126D">
              <w:rPr>
                <w:rFonts w:asciiTheme="majorBidi" w:hAnsiTheme="majorBidi" w:cstheme="majorBidi"/>
                <w:sz w:val="24"/>
                <w:szCs w:val="24"/>
                <w:lang w:bidi="ar-IQ"/>
              </w:rPr>
              <w:t>9</w:t>
            </w:r>
            <w:r w:rsidRPr="00762824">
              <w:rPr>
                <w:rFonts w:asciiTheme="majorBidi" w:hAnsiTheme="majorBidi" w:cstheme="majorBidi"/>
                <w:sz w:val="24"/>
                <w:szCs w:val="24"/>
                <w:lang w:bidi="ar-IQ"/>
              </w:rPr>
              <w:t>.</w:t>
            </w:r>
            <w:r w:rsidR="006B126D">
              <w:rPr>
                <w:rFonts w:asciiTheme="majorBidi" w:hAnsiTheme="majorBidi" w:cstheme="majorBidi"/>
                <w:sz w:val="24"/>
                <w:szCs w:val="24"/>
                <w:lang w:bidi="ar-IQ"/>
              </w:rPr>
              <w:t>1</w:t>
            </w:r>
            <w:r w:rsidR="002B084E" w:rsidRPr="00762824">
              <w:rPr>
                <w:rFonts w:asciiTheme="majorBidi" w:hAnsiTheme="majorBidi" w:cstheme="majorBidi"/>
                <w:sz w:val="24"/>
                <w:szCs w:val="24"/>
                <w:lang w:bidi="ar-IQ"/>
              </w:rPr>
              <w:t>2</w:t>
            </w:r>
            <w:r w:rsidRPr="00762824">
              <w:rPr>
                <w:rFonts w:asciiTheme="majorBidi" w:hAnsiTheme="majorBidi" w:cstheme="majorBidi"/>
                <w:sz w:val="24"/>
                <w:szCs w:val="24"/>
                <w:lang w:bidi="ar-IQ"/>
              </w:rPr>
              <w:t xml:space="preserve"> </w:t>
            </w:r>
            <w:r w:rsidRPr="00762824">
              <w:rPr>
                <w:rFonts w:asciiTheme="majorBidi" w:hAnsiTheme="majorBidi" w:cstheme="majorBidi"/>
                <w:sz w:val="24"/>
                <w:szCs w:val="24"/>
              </w:rPr>
              <w:t>±</w:t>
            </w:r>
            <w:r w:rsidRPr="00762824">
              <w:rPr>
                <w:rFonts w:asciiTheme="majorBidi" w:hAnsiTheme="majorBidi" w:cstheme="majorBidi"/>
                <w:sz w:val="24"/>
                <w:szCs w:val="24"/>
                <w:lang w:bidi="ar-IQ"/>
              </w:rPr>
              <w:t xml:space="preserve"> 1</w:t>
            </w:r>
            <w:r w:rsidR="006B126D">
              <w:rPr>
                <w:rFonts w:asciiTheme="majorBidi" w:hAnsiTheme="majorBidi" w:cstheme="majorBidi"/>
                <w:sz w:val="24"/>
                <w:szCs w:val="24"/>
                <w:lang w:bidi="ar-IQ"/>
              </w:rPr>
              <w:t>8</w:t>
            </w:r>
            <w:r w:rsidRPr="00762824">
              <w:rPr>
                <w:rFonts w:asciiTheme="majorBidi" w:hAnsiTheme="majorBidi" w:cstheme="majorBidi"/>
                <w:sz w:val="24"/>
                <w:szCs w:val="24"/>
                <w:lang w:bidi="ar-IQ"/>
              </w:rPr>
              <w:t>.</w:t>
            </w:r>
            <w:r w:rsidR="006B126D">
              <w:rPr>
                <w:rFonts w:asciiTheme="majorBidi" w:hAnsiTheme="majorBidi" w:cstheme="majorBidi"/>
                <w:sz w:val="24"/>
                <w:szCs w:val="24"/>
                <w:lang w:bidi="ar-IQ"/>
              </w:rPr>
              <w:t>41</w:t>
            </w:r>
          </w:p>
        </w:tc>
      </w:tr>
    </w:tbl>
    <w:p w14:paraId="24FAD81B" w14:textId="77777777" w:rsidR="006B126D" w:rsidRDefault="006B126D" w:rsidP="00900B47">
      <w:pPr>
        <w:pStyle w:val="Heading2"/>
        <w:rPr>
          <w:rFonts w:asciiTheme="majorBidi" w:hAnsiTheme="majorBidi"/>
          <w:b/>
          <w:bCs/>
          <w:color w:val="auto"/>
          <w:sz w:val="24"/>
          <w:szCs w:val="24"/>
        </w:rPr>
      </w:pPr>
    </w:p>
    <w:p w14:paraId="46415016" w14:textId="77777777" w:rsidR="006B126D" w:rsidRDefault="006B126D" w:rsidP="00900B47">
      <w:pPr>
        <w:pStyle w:val="Heading2"/>
        <w:rPr>
          <w:rFonts w:asciiTheme="majorBidi" w:hAnsiTheme="majorBidi"/>
          <w:b/>
          <w:bCs/>
          <w:color w:val="auto"/>
          <w:sz w:val="24"/>
          <w:szCs w:val="24"/>
        </w:rPr>
      </w:pPr>
    </w:p>
    <w:p w14:paraId="52AA3262" w14:textId="77777777" w:rsidR="00F014C0" w:rsidRPr="00762824" w:rsidRDefault="00900B47" w:rsidP="00900B47">
      <w:pPr>
        <w:pStyle w:val="Heading2"/>
        <w:rPr>
          <w:rFonts w:asciiTheme="majorBidi" w:hAnsiTheme="majorBidi"/>
          <w:b/>
          <w:bCs/>
          <w:color w:val="auto"/>
          <w:sz w:val="24"/>
          <w:szCs w:val="24"/>
        </w:rPr>
      </w:pPr>
      <w:r w:rsidRPr="00762824">
        <w:rPr>
          <w:rFonts w:asciiTheme="majorBidi" w:hAnsiTheme="majorBidi"/>
          <w:b/>
          <w:bCs/>
          <w:color w:val="auto"/>
          <w:sz w:val="24"/>
          <w:szCs w:val="24"/>
        </w:rPr>
        <w:t>reactions of amplification</w:t>
      </w:r>
    </w:p>
    <w:p w14:paraId="665BC3FF" w14:textId="77777777" w:rsidR="0023756A" w:rsidRPr="00762824" w:rsidRDefault="0023756A" w:rsidP="00D524D3">
      <w:pPr>
        <w:spacing w:line="240" w:lineRule="auto"/>
        <w:jc w:val="both"/>
        <w:rPr>
          <w:rFonts w:asciiTheme="majorBidi" w:hAnsiTheme="majorBidi" w:cstheme="majorBidi"/>
          <w:sz w:val="24"/>
          <w:szCs w:val="24"/>
        </w:rPr>
      </w:pPr>
      <w:r w:rsidRPr="00762824">
        <w:rPr>
          <w:rFonts w:asciiTheme="majorBidi" w:hAnsiTheme="majorBidi" w:cstheme="majorBidi"/>
          <w:sz w:val="24"/>
          <w:szCs w:val="24"/>
        </w:rPr>
        <w:t>The VDR gene's rs731236 SNP genotypes were assayed using allele-specific PCR to quickly screen for polymorphism in the patients. For rs731236, amplification products with a size of 148 bp were produced. Following electrophoresis, the PCR result was directly visible on an agarose gel that was stained with ethidium bromide when</w:t>
      </w:r>
      <w:r w:rsidR="00967C57" w:rsidRPr="00762824">
        <w:rPr>
          <w:rFonts w:asciiTheme="majorBidi" w:hAnsiTheme="majorBidi" w:cstheme="majorBidi"/>
          <w:sz w:val="24"/>
          <w:szCs w:val="24"/>
        </w:rPr>
        <w:t xml:space="preserve"> exposed to ultraviolet light. </w:t>
      </w:r>
      <w:r w:rsidRPr="00762824">
        <w:rPr>
          <w:rFonts w:asciiTheme="majorBidi" w:hAnsiTheme="majorBidi" w:cstheme="majorBidi"/>
          <w:sz w:val="24"/>
          <w:szCs w:val="24"/>
        </w:rPr>
        <w:t xml:space="preserve">Three genotypes for each SNP were determined by analyzing the amplification results: for </w:t>
      </w:r>
      <w:proofErr w:type="spellStart"/>
      <w:r w:rsidRPr="00762824">
        <w:rPr>
          <w:rFonts w:asciiTheme="majorBidi" w:hAnsiTheme="majorBidi" w:cstheme="majorBidi"/>
          <w:sz w:val="24"/>
          <w:szCs w:val="24"/>
        </w:rPr>
        <w:t>rs</w:t>
      </w:r>
      <w:proofErr w:type="spellEnd"/>
      <w:r w:rsidRPr="00762824">
        <w:rPr>
          <w:rFonts w:asciiTheme="majorBidi" w:hAnsiTheme="majorBidi" w:cstheme="majorBidi"/>
          <w:sz w:val="24"/>
          <w:szCs w:val="24"/>
        </w:rPr>
        <w:t xml:space="preserve"> 731236, the genotypes are</w:t>
      </w:r>
      <w:r w:rsidR="00D524D3" w:rsidRPr="00762824">
        <w:rPr>
          <w:rFonts w:asciiTheme="majorBidi" w:hAnsiTheme="majorBidi" w:cstheme="majorBidi"/>
          <w:sz w:val="24"/>
          <w:szCs w:val="24"/>
        </w:rPr>
        <w:t xml:space="preserve"> CC (mutant type),</w:t>
      </w:r>
      <w:r w:rsidRPr="00762824">
        <w:rPr>
          <w:rFonts w:asciiTheme="majorBidi" w:hAnsiTheme="majorBidi" w:cstheme="majorBidi"/>
          <w:sz w:val="24"/>
          <w:szCs w:val="24"/>
        </w:rPr>
        <w:t xml:space="preserve"> TT (homozygous wild type), </w:t>
      </w:r>
      <w:r w:rsidR="00D524D3" w:rsidRPr="00762824">
        <w:rPr>
          <w:rFonts w:asciiTheme="majorBidi" w:hAnsiTheme="majorBidi" w:cstheme="majorBidi"/>
          <w:sz w:val="24"/>
          <w:szCs w:val="24"/>
        </w:rPr>
        <w:t xml:space="preserve">and </w:t>
      </w:r>
      <w:r w:rsidRPr="00762824">
        <w:rPr>
          <w:rFonts w:asciiTheme="majorBidi" w:hAnsiTheme="majorBidi" w:cstheme="majorBidi"/>
          <w:sz w:val="24"/>
          <w:szCs w:val="24"/>
        </w:rPr>
        <w:t>TC (heterozygous type) in the (fig.1).</w:t>
      </w:r>
    </w:p>
    <w:p w14:paraId="697B0B24" w14:textId="77777777" w:rsidR="00F014C0" w:rsidRPr="00762824" w:rsidRDefault="00F014C0" w:rsidP="00F014C0">
      <w:pPr>
        <w:spacing w:line="240" w:lineRule="auto"/>
        <w:jc w:val="both"/>
        <w:rPr>
          <w:rFonts w:asciiTheme="majorBidi" w:hAnsiTheme="majorBidi" w:cstheme="majorBidi"/>
          <w:sz w:val="24"/>
          <w:szCs w:val="24"/>
          <w:shd w:val="clear" w:color="auto" w:fill="FFFFFF" w:themeFill="background1"/>
        </w:rPr>
      </w:pPr>
    </w:p>
    <w:p w14:paraId="3067476F" w14:textId="77777777" w:rsidR="008372D3" w:rsidRPr="00762824" w:rsidRDefault="00F014C0" w:rsidP="00F54DE3">
      <w:pPr>
        <w:spacing w:line="240" w:lineRule="auto"/>
        <w:jc w:val="center"/>
        <w:rPr>
          <w:rFonts w:asciiTheme="majorBidi" w:hAnsiTheme="majorBidi" w:cstheme="majorBidi"/>
          <w:b/>
          <w:bCs/>
          <w:sz w:val="24"/>
          <w:szCs w:val="24"/>
        </w:rPr>
      </w:pPr>
      <w:r w:rsidRPr="00762824">
        <w:rPr>
          <w:rFonts w:asciiTheme="majorBidi" w:hAnsiTheme="majorBidi" w:cstheme="majorBidi"/>
          <w:noProof/>
          <w:color w:val="000000" w:themeColor="text1"/>
          <w:sz w:val="24"/>
          <w:szCs w:val="24"/>
        </w:rPr>
        <w:drawing>
          <wp:inline distT="0" distB="0" distL="0" distR="0" wp14:anchorId="79BDEC9D" wp14:editId="062B3797">
            <wp:extent cx="4696963" cy="2527935"/>
            <wp:effectExtent l="0" t="0" r="889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a:extLst>
                        <a:ext uri="{28A0092B-C50C-407E-A947-70E740481C1C}">
                          <a14:useLocalDpi xmlns:a14="http://schemas.microsoft.com/office/drawing/2010/main" val="0"/>
                        </a:ext>
                      </a:extLst>
                    </a:blip>
                    <a:srcRect l="1255" t="610" r="1615" b="2484"/>
                    <a:stretch/>
                  </pic:blipFill>
                  <pic:spPr bwMode="auto">
                    <a:xfrm>
                      <a:off x="0" y="0"/>
                      <a:ext cx="4704685" cy="2532091"/>
                    </a:xfrm>
                    <a:prstGeom prst="rect">
                      <a:avLst/>
                    </a:prstGeom>
                    <a:ln>
                      <a:noFill/>
                    </a:ln>
                    <a:extLst>
                      <a:ext uri="{53640926-AAD7-44D8-BBD7-CCE9431645EC}">
                        <a14:shadowObscured xmlns:a14="http://schemas.microsoft.com/office/drawing/2010/main"/>
                      </a:ext>
                    </a:extLst>
                  </pic:spPr>
                </pic:pic>
              </a:graphicData>
            </a:graphic>
          </wp:inline>
        </w:drawing>
      </w:r>
    </w:p>
    <w:p w14:paraId="052C419F" w14:textId="77777777" w:rsidR="00D524D3" w:rsidRPr="00762824" w:rsidRDefault="00F014C0" w:rsidP="00D524D3">
      <w:pPr>
        <w:jc w:val="center"/>
        <w:rPr>
          <w:rFonts w:asciiTheme="majorBidi" w:hAnsiTheme="majorBidi" w:cstheme="majorBidi"/>
          <w:b/>
          <w:bCs/>
          <w:sz w:val="24"/>
          <w:szCs w:val="24"/>
          <w:lang w:val="en-GB"/>
        </w:rPr>
      </w:pPr>
      <w:r w:rsidRPr="00762824">
        <w:rPr>
          <w:rFonts w:asciiTheme="majorBidi" w:eastAsia="Calibri" w:hAnsiTheme="majorBidi" w:cstheme="majorBidi"/>
          <w:b/>
          <w:bCs/>
          <w:sz w:val="24"/>
          <w:szCs w:val="24"/>
        </w:rPr>
        <w:t>Fig.1.</w:t>
      </w:r>
      <w:r w:rsidR="00D524D3" w:rsidRPr="00762824">
        <w:rPr>
          <w:rFonts w:asciiTheme="majorBidi" w:hAnsiTheme="majorBidi" w:cstheme="majorBidi"/>
          <w:sz w:val="24"/>
          <w:szCs w:val="24"/>
          <w:lang w:val="en-GB"/>
        </w:rPr>
        <w:t xml:space="preserve"> VDR (</w:t>
      </w:r>
      <w:proofErr w:type="spellStart"/>
      <w:r w:rsidR="00D524D3" w:rsidRPr="00762824">
        <w:rPr>
          <w:rFonts w:asciiTheme="majorBidi" w:hAnsiTheme="majorBidi" w:cstheme="majorBidi"/>
          <w:color w:val="000000" w:themeColor="text1"/>
          <w:sz w:val="24"/>
          <w:szCs w:val="24"/>
        </w:rPr>
        <w:t>rs</w:t>
      </w:r>
      <w:proofErr w:type="spellEnd"/>
      <w:r w:rsidR="00D524D3" w:rsidRPr="00762824">
        <w:rPr>
          <w:rFonts w:asciiTheme="majorBidi" w:hAnsiTheme="majorBidi" w:cstheme="majorBidi"/>
          <w:color w:val="000000" w:themeColor="text1"/>
          <w:sz w:val="24"/>
          <w:szCs w:val="24"/>
        </w:rPr>
        <w:t xml:space="preserve"> </w:t>
      </w:r>
      <w:r w:rsidR="00D524D3" w:rsidRPr="00762824">
        <w:rPr>
          <w:rFonts w:asciiTheme="majorBidi" w:hAnsiTheme="majorBidi" w:cstheme="majorBidi"/>
          <w:sz w:val="24"/>
          <w:szCs w:val="24"/>
          <w:lang w:val="en-GB"/>
        </w:rPr>
        <w:t>731236) gene</w:t>
      </w:r>
      <w:r w:rsidR="00D524D3" w:rsidRPr="00762824">
        <w:rPr>
          <w:rFonts w:asciiTheme="majorBidi" w:eastAsia="Calibri" w:hAnsiTheme="majorBidi" w:cstheme="majorBidi"/>
          <w:sz w:val="24"/>
          <w:szCs w:val="24"/>
        </w:rPr>
        <w:t xml:space="preserve"> Genotyping.</w:t>
      </w:r>
    </w:p>
    <w:p w14:paraId="0DDE3181" w14:textId="77777777" w:rsidR="007D6ECE" w:rsidRPr="00762824" w:rsidRDefault="007D6ECE" w:rsidP="005317A8">
      <w:pPr>
        <w:pStyle w:val="Heading2"/>
        <w:rPr>
          <w:rFonts w:asciiTheme="majorBidi" w:hAnsiTheme="majorBidi"/>
          <w:b/>
          <w:bCs/>
          <w:color w:val="auto"/>
          <w:sz w:val="24"/>
          <w:szCs w:val="24"/>
        </w:rPr>
      </w:pPr>
    </w:p>
    <w:p w14:paraId="201DD2F2" w14:textId="77777777" w:rsidR="00144DA7" w:rsidRPr="00762824" w:rsidRDefault="00144DA7" w:rsidP="00B66B71">
      <w:pPr>
        <w:spacing w:after="0" w:line="240" w:lineRule="auto"/>
        <w:jc w:val="both"/>
        <w:rPr>
          <w:rFonts w:asciiTheme="majorBidi" w:eastAsiaTheme="majorEastAsia" w:hAnsiTheme="majorBidi" w:cstheme="majorBidi"/>
          <w:b/>
          <w:bCs/>
          <w:sz w:val="24"/>
          <w:szCs w:val="24"/>
        </w:rPr>
      </w:pPr>
      <w:r w:rsidRPr="00762824">
        <w:rPr>
          <w:rFonts w:asciiTheme="majorBidi" w:eastAsiaTheme="majorEastAsia" w:hAnsiTheme="majorBidi" w:cstheme="majorBidi"/>
          <w:b/>
          <w:bCs/>
          <w:sz w:val="24"/>
          <w:szCs w:val="24"/>
        </w:rPr>
        <w:t>Frequency of the rs731236 T/C allele in the study populations and genotype distribution.</w:t>
      </w:r>
    </w:p>
    <w:p w14:paraId="3332406B" w14:textId="77777777" w:rsidR="00967C57" w:rsidRPr="00762824" w:rsidRDefault="00967C57" w:rsidP="00896422">
      <w:pPr>
        <w:spacing w:after="0" w:line="240" w:lineRule="auto"/>
        <w:jc w:val="both"/>
        <w:rPr>
          <w:rFonts w:asciiTheme="majorBidi" w:eastAsia="Times New Roman" w:hAnsiTheme="majorBidi" w:cstheme="majorBidi"/>
          <w:sz w:val="24"/>
          <w:szCs w:val="24"/>
        </w:rPr>
      </w:pPr>
      <w:r w:rsidRPr="00762824">
        <w:rPr>
          <w:rFonts w:asciiTheme="majorBidi" w:eastAsia="Times New Roman" w:hAnsiTheme="majorBidi" w:cstheme="majorBidi"/>
          <w:sz w:val="24"/>
          <w:szCs w:val="24"/>
        </w:rPr>
        <w:t xml:space="preserve">For the VDR gene (T&gt;C) (rs731236), the study participants were split into three genotypes: one heterozygous (TC), </w:t>
      </w:r>
      <w:r w:rsidR="00144DA7" w:rsidRPr="00762824">
        <w:rPr>
          <w:rFonts w:asciiTheme="majorBidi" w:eastAsia="Times New Roman" w:hAnsiTheme="majorBidi" w:cstheme="majorBidi"/>
          <w:sz w:val="24"/>
          <w:szCs w:val="24"/>
        </w:rPr>
        <w:t>One homozygous for the mutation type C (CC) allele</w:t>
      </w:r>
      <w:r w:rsidRPr="00762824">
        <w:rPr>
          <w:rFonts w:asciiTheme="majorBidi" w:eastAsia="Times New Roman" w:hAnsiTheme="majorBidi" w:cstheme="majorBidi"/>
          <w:sz w:val="24"/>
          <w:szCs w:val="24"/>
        </w:rPr>
        <w:t>. There were 15 (TT) genotypes (25%), 24 (</w:t>
      </w:r>
      <w:r w:rsidR="00204377" w:rsidRPr="00762824">
        <w:rPr>
          <w:rFonts w:asciiTheme="majorBidi" w:eastAsia="Times New Roman" w:hAnsiTheme="majorBidi" w:cstheme="majorBidi"/>
          <w:sz w:val="24"/>
          <w:szCs w:val="24"/>
        </w:rPr>
        <w:t>CC</w:t>
      </w:r>
      <w:r w:rsidRPr="00762824">
        <w:rPr>
          <w:rFonts w:asciiTheme="majorBidi" w:eastAsia="Times New Roman" w:hAnsiTheme="majorBidi" w:cstheme="majorBidi"/>
          <w:sz w:val="24"/>
          <w:szCs w:val="24"/>
        </w:rPr>
        <w:t xml:space="preserve">) genotypes (40%), and 21 heterozygous (TC) genotypes (35%), among 60 patients. For SNP rs731236 in the VDR gene, </w:t>
      </w:r>
      <w:r w:rsidR="00896422" w:rsidRPr="00896422">
        <w:rPr>
          <w:rFonts w:asciiTheme="majorBidi" w:eastAsia="Times New Roman" w:hAnsiTheme="majorBidi" w:cstheme="majorBidi"/>
          <w:sz w:val="24"/>
          <w:szCs w:val="24"/>
        </w:rPr>
        <w:t>Using Fisher's exact test, the genotype results of the current study are presented in Table 3. A summary of the genotypes of the study participants, based on the VDR gene (rs731236) polymorphism</w:t>
      </w:r>
      <w:r w:rsidR="00896422">
        <w:rPr>
          <w:rFonts w:asciiTheme="majorBidi" w:eastAsia="Times New Roman" w:hAnsiTheme="majorBidi" w:cstheme="majorBidi"/>
          <w:sz w:val="24"/>
          <w:szCs w:val="24"/>
        </w:rPr>
        <w:t>s in the patient group, the C and</w:t>
      </w:r>
      <w:r w:rsidR="00896422" w:rsidRPr="00896422">
        <w:rPr>
          <w:rFonts w:asciiTheme="majorBidi" w:eastAsia="Times New Roman" w:hAnsiTheme="majorBidi" w:cstheme="majorBidi"/>
          <w:sz w:val="24"/>
          <w:szCs w:val="24"/>
        </w:rPr>
        <w:t xml:space="preserve"> T allele</w:t>
      </w:r>
      <w:r w:rsidR="00896422">
        <w:rPr>
          <w:rFonts w:asciiTheme="majorBidi" w:eastAsia="Times New Roman" w:hAnsiTheme="majorBidi" w:cstheme="majorBidi"/>
          <w:sz w:val="24"/>
          <w:szCs w:val="24"/>
        </w:rPr>
        <w:t>s</w:t>
      </w:r>
      <w:r w:rsidR="00896422" w:rsidRPr="00896422">
        <w:rPr>
          <w:rFonts w:asciiTheme="majorBidi" w:eastAsia="Times New Roman" w:hAnsiTheme="majorBidi" w:cstheme="majorBidi"/>
          <w:sz w:val="24"/>
          <w:szCs w:val="24"/>
        </w:rPr>
        <w:t xml:space="preserve"> (57%</w:t>
      </w:r>
      <w:r w:rsidR="00896422">
        <w:rPr>
          <w:rFonts w:asciiTheme="majorBidi" w:eastAsia="Times New Roman" w:hAnsiTheme="majorBidi" w:cstheme="majorBidi"/>
          <w:sz w:val="24"/>
          <w:szCs w:val="24"/>
        </w:rPr>
        <w:t xml:space="preserve"> and </w:t>
      </w:r>
      <w:r w:rsidR="00896422" w:rsidRPr="00896422">
        <w:rPr>
          <w:rFonts w:asciiTheme="majorBidi" w:eastAsia="Times New Roman" w:hAnsiTheme="majorBidi" w:cstheme="majorBidi"/>
          <w:sz w:val="24"/>
          <w:szCs w:val="24"/>
        </w:rPr>
        <w:t xml:space="preserve">42%), is presented for the </w:t>
      </w:r>
      <w:r w:rsidR="00896422">
        <w:rPr>
          <w:rFonts w:asciiTheme="majorBidi" w:eastAsia="Times New Roman" w:hAnsiTheme="majorBidi" w:cstheme="majorBidi"/>
          <w:sz w:val="24"/>
          <w:szCs w:val="24"/>
        </w:rPr>
        <w:t>8</w:t>
      </w:r>
      <w:r w:rsidR="00896422" w:rsidRPr="00896422">
        <w:rPr>
          <w:rFonts w:asciiTheme="majorBidi" w:eastAsia="Times New Roman" w:hAnsiTheme="majorBidi" w:cstheme="majorBidi"/>
          <w:sz w:val="24"/>
          <w:szCs w:val="24"/>
        </w:rPr>
        <w:t xml:space="preserve">0 women who participated in our study. There were </w:t>
      </w:r>
      <w:r w:rsidR="00896422">
        <w:rPr>
          <w:rFonts w:asciiTheme="majorBidi" w:eastAsia="Times New Roman" w:hAnsiTheme="majorBidi" w:cstheme="majorBidi"/>
          <w:sz w:val="24"/>
          <w:szCs w:val="24"/>
        </w:rPr>
        <w:t xml:space="preserve">(TC, </w:t>
      </w:r>
      <w:r w:rsidR="00896422" w:rsidRPr="00896422">
        <w:rPr>
          <w:rFonts w:asciiTheme="majorBidi" w:eastAsia="Times New Roman" w:hAnsiTheme="majorBidi" w:cstheme="majorBidi"/>
          <w:sz w:val="24"/>
          <w:szCs w:val="24"/>
        </w:rPr>
        <w:t>CC</w:t>
      </w:r>
      <w:r w:rsidR="00896422">
        <w:rPr>
          <w:rFonts w:asciiTheme="majorBidi" w:eastAsia="Times New Roman" w:hAnsiTheme="majorBidi" w:cstheme="majorBidi"/>
          <w:sz w:val="24"/>
          <w:szCs w:val="24"/>
        </w:rPr>
        <w:t xml:space="preserve"> and </w:t>
      </w:r>
      <w:r w:rsidR="00896422" w:rsidRPr="00896422">
        <w:rPr>
          <w:rFonts w:asciiTheme="majorBidi" w:eastAsia="Times New Roman" w:hAnsiTheme="majorBidi" w:cstheme="majorBidi"/>
          <w:sz w:val="24"/>
          <w:szCs w:val="24"/>
        </w:rPr>
        <w:t>TT) genotypes</w:t>
      </w:r>
      <w:r w:rsidR="00896422">
        <w:rPr>
          <w:rFonts w:asciiTheme="majorBidi" w:eastAsia="Times New Roman" w:hAnsiTheme="majorBidi" w:cstheme="majorBidi"/>
          <w:sz w:val="24"/>
          <w:szCs w:val="24"/>
        </w:rPr>
        <w:t xml:space="preserve"> 9</w:t>
      </w:r>
      <w:r w:rsidR="00896422" w:rsidRPr="00896422">
        <w:rPr>
          <w:rFonts w:asciiTheme="majorBidi" w:eastAsia="Times New Roman" w:hAnsiTheme="majorBidi" w:cstheme="majorBidi"/>
          <w:sz w:val="24"/>
          <w:szCs w:val="24"/>
        </w:rPr>
        <w:t xml:space="preserve">(18%), </w:t>
      </w:r>
      <w:r w:rsidR="00896422">
        <w:rPr>
          <w:rFonts w:asciiTheme="majorBidi" w:eastAsia="Times New Roman" w:hAnsiTheme="majorBidi" w:cstheme="majorBidi"/>
          <w:sz w:val="24"/>
          <w:szCs w:val="24"/>
        </w:rPr>
        <w:t>10</w:t>
      </w:r>
      <w:r w:rsidR="00896422" w:rsidRPr="00896422">
        <w:rPr>
          <w:rFonts w:asciiTheme="majorBidi" w:eastAsia="Times New Roman" w:hAnsiTheme="majorBidi" w:cstheme="majorBidi"/>
          <w:sz w:val="24"/>
          <w:szCs w:val="24"/>
        </w:rPr>
        <w:t xml:space="preserve">(20%), and </w:t>
      </w:r>
      <w:r w:rsidR="00896422">
        <w:rPr>
          <w:rFonts w:asciiTheme="majorBidi" w:eastAsia="Times New Roman" w:hAnsiTheme="majorBidi" w:cstheme="majorBidi"/>
          <w:sz w:val="24"/>
          <w:szCs w:val="24"/>
        </w:rPr>
        <w:t>31</w:t>
      </w:r>
      <w:r w:rsidR="00896422" w:rsidRPr="00896422">
        <w:rPr>
          <w:rFonts w:asciiTheme="majorBidi" w:eastAsia="Times New Roman" w:hAnsiTheme="majorBidi" w:cstheme="majorBidi"/>
          <w:sz w:val="24"/>
          <w:szCs w:val="24"/>
        </w:rPr>
        <w:t xml:space="preserve">(62%) </w:t>
      </w:r>
      <w:r w:rsidR="00896422">
        <w:rPr>
          <w:rFonts w:asciiTheme="majorBidi" w:eastAsia="Times New Roman" w:hAnsiTheme="majorBidi" w:cstheme="majorBidi"/>
          <w:sz w:val="24"/>
          <w:szCs w:val="24"/>
        </w:rPr>
        <w:t xml:space="preserve">respectively, </w:t>
      </w:r>
      <w:r w:rsidR="00896422" w:rsidRPr="00896422">
        <w:rPr>
          <w:rFonts w:asciiTheme="majorBidi" w:eastAsia="Times New Roman" w:hAnsiTheme="majorBidi" w:cstheme="majorBidi"/>
          <w:sz w:val="24"/>
          <w:szCs w:val="24"/>
        </w:rPr>
        <w:t xml:space="preserve">in the </w:t>
      </w:r>
      <w:r w:rsidR="00896422">
        <w:rPr>
          <w:rFonts w:asciiTheme="majorBidi" w:eastAsia="Times New Roman" w:hAnsiTheme="majorBidi" w:cstheme="majorBidi"/>
          <w:sz w:val="24"/>
          <w:szCs w:val="24"/>
        </w:rPr>
        <w:t>twenty</w:t>
      </w:r>
      <w:r w:rsidR="00896422" w:rsidRPr="00896422">
        <w:rPr>
          <w:rFonts w:asciiTheme="majorBidi" w:eastAsia="Times New Roman" w:hAnsiTheme="majorBidi" w:cstheme="majorBidi"/>
          <w:sz w:val="24"/>
          <w:szCs w:val="24"/>
        </w:rPr>
        <w:t>-control group. Both the T allele</w:t>
      </w:r>
      <w:r w:rsidR="00896422">
        <w:rPr>
          <w:rFonts w:asciiTheme="majorBidi" w:eastAsia="Times New Roman" w:hAnsiTheme="majorBidi" w:cstheme="majorBidi"/>
          <w:sz w:val="24"/>
          <w:szCs w:val="24"/>
        </w:rPr>
        <w:t xml:space="preserve"> was</w:t>
      </w:r>
      <w:r w:rsidR="00896422" w:rsidRPr="00896422">
        <w:rPr>
          <w:rFonts w:asciiTheme="majorBidi" w:eastAsia="Times New Roman" w:hAnsiTheme="majorBidi" w:cstheme="majorBidi"/>
          <w:sz w:val="24"/>
          <w:szCs w:val="24"/>
        </w:rPr>
        <w:t xml:space="preserve"> (75%) and the C allele</w:t>
      </w:r>
      <w:r w:rsidR="00896422">
        <w:rPr>
          <w:rFonts w:asciiTheme="majorBidi" w:eastAsia="Times New Roman" w:hAnsiTheme="majorBidi" w:cstheme="majorBidi"/>
          <w:sz w:val="24"/>
          <w:szCs w:val="24"/>
        </w:rPr>
        <w:t xml:space="preserve"> was</w:t>
      </w:r>
      <w:r w:rsidR="00896422" w:rsidRPr="00896422">
        <w:rPr>
          <w:rFonts w:asciiTheme="majorBidi" w:eastAsia="Times New Roman" w:hAnsiTheme="majorBidi" w:cstheme="majorBidi"/>
          <w:sz w:val="24"/>
          <w:szCs w:val="24"/>
        </w:rPr>
        <w:t xml:space="preserve"> (25%)</w:t>
      </w:r>
      <w:r w:rsidR="00896422">
        <w:rPr>
          <w:rFonts w:asciiTheme="majorBidi" w:eastAsia="Times New Roman" w:hAnsiTheme="majorBidi" w:cstheme="majorBidi"/>
          <w:sz w:val="24"/>
          <w:szCs w:val="24"/>
        </w:rPr>
        <w:t xml:space="preserve"> from the size of the samples (80 patients)</w:t>
      </w:r>
      <w:r w:rsidR="00896422" w:rsidRPr="00896422">
        <w:rPr>
          <w:rFonts w:asciiTheme="majorBidi" w:eastAsia="Times New Roman" w:hAnsiTheme="majorBidi" w:cstheme="majorBidi"/>
          <w:sz w:val="24"/>
          <w:szCs w:val="24"/>
        </w:rPr>
        <w:t xml:space="preserve"> of the VDR gene (rs731236) SNP were found in the control group.</w:t>
      </w:r>
    </w:p>
    <w:p w14:paraId="29DE0CAF" w14:textId="77777777" w:rsidR="005317A8" w:rsidRPr="00762824" w:rsidRDefault="005317A8" w:rsidP="007D6ECE">
      <w:pPr>
        <w:spacing w:after="0" w:line="240" w:lineRule="auto"/>
        <w:ind w:firstLine="720"/>
        <w:jc w:val="both"/>
        <w:rPr>
          <w:rFonts w:asciiTheme="majorBidi" w:eastAsia="Times New Roman" w:hAnsiTheme="majorBidi" w:cstheme="majorBidi"/>
          <w:sz w:val="24"/>
          <w:szCs w:val="24"/>
        </w:rPr>
      </w:pPr>
    </w:p>
    <w:p w14:paraId="469957D0" w14:textId="77777777" w:rsidR="007D6ECE" w:rsidRPr="00762824" w:rsidRDefault="007D6ECE" w:rsidP="005317A8">
      <w:pPr>
        <w:spacing w:after="0" w:line="240" w:lineRule="auto"/>
        <w:jc w:val="center"/>
        <w:rPr>
          <w:rFonts w:asciiTheme="majorBidi" w:eastAsia="Times New Roman" w:hAnsiTheme="majorBidi" w:cstheme="majorBidi"/>
          <w:b/>
          <w:bCs/>
          <w:color w:val="000000"/>
          <w:sz w:val="24"/>
          <w:szCs w:val="24"/>
          <w:shd w:val="clear" w:color="auto" w:fill="FFFFFF" w:themeFill="background1"/>
          <w:lang w:val="en-GB" w:eastAsia="en-GB"/>
        </w:rPr>
      </w:pPr>
    </w:p>
    <w:p w14:paraId="03CA8FEC" w14:textId="77777777" w:rsidR="00204377" w:rsidRPr="00762824" w:rsidRDefault="005317A8" w:rsidP="006B126D">
      <w:pPr>
        <w:spacing w:after="0" w:line="240" w:lineRule="auto"/>
        <w:jc w:val="both"/>
        <w:rPr>
          <w:rFonts w:asciiTheme="majorBidi" w:eastAsiaTheme="majorEastAsia" w:hAnsiTheme="majorBidi" w:cstheme="majorBidi"/>
          <w:sz w:val="24"/>
          <w:szCs w:val="24"/>
        </w:rPr>
      </w:pPr>
      <w:r w:rsidRPr="00762824">
        <w:rPr>
          <w:rFonts w:asciiTheme="majorBidi" w:eastAsia="Times New Roman" w:hAnsiTheme="majorBidi" w:cstheme="majorBidi"/>
          <w:b/>
          <w:bCs/>
          <w:color w:val="000000"/>
          <w:sz w:val="24"/>
          <w:szCs w:val="24"/>
          <w:shd w:val="clear" w:color="auto" w:fill="FFFFFF" w:themeFill="background1"/>
          <w:lang w:val="en-GB" w:eastAsia="en-GB"/>
        </w:rPr>
        <w:t xml:space="preserve">Table </w:t>
      </w:r>
      <w:r w:rsidR="006B126D">
        <w:rPr>
          <w:rFonts w:asciiTheme="majorBidi" w:eastAsia="Times New Roman" w:hAnsiTheme="majorBidi" w:cstheme="majorBidi"/>
          <w:b/>
          <w:bCs/>
          <w:color w:val="000000"/>
          <w:sz w:val="24"/>
          <w:szCs w:val="24"/>
          <w:shd w:val="clear" w:color="auto" w:fill="FFFFFF" w:themeFill="background1"/>
          <w:lang w:val="en-GB" w:eastAsia="en-GB"/>
        </w:rPr>
        <w:t>3</w:t>
      </w:r>
      <w:r w:rsidRPr="00762824">
        <w:rPr>
          <w:rFonts w:asciiTheme="majorBidi" w:eastAsia="Times New Roman" w:hAnsiTheme="majorBidi" w:cstheme="majorBidi"/>
          <w:b/>
          <w:bCs/>
          <w:color w:val="000000"/>
          <w:sz w:val="24"/>
          <w:szCs w:val="24"/>
          <w:shd w:val="clear" w:color="auto" w:fill="FFFFFF" w:themeFill="background1"/>
          <w:lang w:val="en-GB" w:eastAsia="en-GB"/>
        </w:rPr>
        <w:t>.</w:t>
      </w:r>
      <w:r w:rsidRPr="00762824">
        <w:rPr>
          <w:rFonts w:asciiTheme="majorBidi" w:eastAsia="Times New Roman" w:hAnsiTheme="majorBidi" w:cstheme="majorBidi"/>
          <w:b/>
          <w:bCs/>
          <w:color w:val="000000"/>
          <w:sz w:val="24"/>
          <w:szCs w:val="24"/>
          <w:lang w:val="en-GB" w:eastAsia="en-GB"/>
        </w:rPr>
        <w:t xml:space="preserve"> </w:t>
      </w:r>
      <w:r w:rsidR="00204377" w:rsidRPr="00762824">
        <w:rPr>
          <w:rFonts w:asciiTheme="majorBidi" w:eastAsiaTheme="majorEastAsia" w:hAnsiTheme="majorBidi" w:cstheme="majorBidi"/>
          <w:sz w:val="24"/>
          <w:szCs w:val="24"/>
        </w:rPr>
        <w:t>Frequency of the rs731236 T/C allele in the study populations and genotype distribution.</w:t>
      </w:r>
    </w:p>
    <w:tbl>
      <w:tblPr>
        <w:tblStyle w:val="TableGrid"/>
        <w:tblpPr w:leftFromText="180" w:rightFromText="180" w:vertAnchor="text" w:horzAnchor="margin" w:tblpY="291"/>
        <w:tblW w:w="8194" w:type="dxa"/>
        <w:tblLook w:val="04A0" w:firstRow="1" w:lastRow="0" w:firstColumn="1" w:lastColumn="0" w:noHBand="0" w:noVBand="1"/>
      </w:tblPr>
      <w:tblGrid>
        <w:gridCol w:w="1109"/>
        <w:gridCol w:w="1156"/>
        <w:gridCol w:w="1079"/>
        <w:gridCol w:w="780"/>
        <w:gridCol w:w="1144"/>
        <w:gridCol w:w="741"/>
        <w:gridCol w:w="771"/>
        <w:gridCol w:w="1414"/>
      </w:tblGrid>
      <w:tr w:rsidR="007707C6" w:rsidRPr="007707C6" w14:paraId="69C2E900" w14:textId="77777777" w:rsidTr="007707C6">
        <w:trPr>
          <w:trHeight w:val="267"/>
        </w:trPr>
        <w:tc>
          <w:tcPr>
            <w:tcW w:w="6780" w:type="dxa"/>
            <w:gridSpan w:val="7"/>
          </w:tcPr>
          <w:p w14:paraId="0CFFFD8C" w14:textId="77777777" w:rsidR="007707C6" w:rsidRPr="007707C6" w:rsidRDefault="007707C6" w:rsidP="007707C6">
            <w:pPr>
              <w:jc w:val="center"/>
              <w:rPr>
                <w:rFonts w:asciiTheme="majorBidi" w:hAnsiTheme="majorBidi" w:cstheme="majorBidi"/>
                <w:b/>
                <w:bCs/>
                <w:sz w:val="20"/>
                <w:szCs w:val="20"/>
                <w:lang w:val="en-GB"/>
              </w:rPr>
            </w:pPr>
            <w:r w:rsidRPr="007707C6">
              <w:rPr>
                <w:rFonts w:asciiTheme="majorBidi" w:hAnsiTheme="majorBidi" w:cstheme="majorBidi"/>
                <w:b/>
                <w:bCs/>
                <w:sz w:val="20"/>
                <w:szCs w:val="20"/>
                <w:lang w:val="en-GB"/>
              </w:rPr>
              <w:t>Alleles Genotype</w:t>
            </w:r>
          </w:p>
        </w:tc>
        <w:tc>
          <w:tcPr>
            <w:tcW w:w="1414" w:type="dxa"/>
          </w:tcPr>
          <w:p w14:paraId="53AE88CC" w14:textId="77777777" w:rsidR="007707C6" w:rsidRPr="007707C6" w:rsidRDefault="007707C6" w:rsidP="007707C6">
            <w:pPr>
              <w:jc w:val="center"/>
              <w:rPr>
                <w:rFonts w:asciiTheme="majorBidi" w:hAnsiTheme="majorBidi" w:cstheme="majorBidi"/>
                <w:b/>
                <w:bCs/>
                <w:sz w:val="20"/>
                <w:szCs w:val="20"/>
                <w:lang w:val="en-GB"/>
              </w:rPr>
            </w:pPr>
          </w:p>
        </w:tc>
      </w:tr>
      <w:tr w:rsidR="007707C6" w:rsidRPr="007707C6" w14:paraId="7F360C60" w14:textId="77777777" w:rsidTr="007707C6">
        <w:trPr>
          <w:trHeight w:val="257"/>
        </w:trPr>
        <w:tc>
          <w:tcPr>
            <w:tcW w:w="1109" w:type="dxa"/>
          </w:tcPr>
          <w:p w14:paraId="75719E9B" w14:textId="77777777" w:rsidR="007707C6" w:rsidRPr="007707C6" w:rsidRDefault="007707C6" w:rsidP="007707C6">
            <w:pPr>
              <w:jc w:val="center"/>
              <w:rPr>
                <w:rFonts w:asciiTheme="majorBidi" w:hAnsiTheme="majorBidi" w:cstheme="majorBidi"/>
                <w:b/>
                <w:bCs/>
                <w:sz w:val="20"/>
                <w:szCs w:val="20"/>
                <w:lang w:val="en-GB"/>
              </w:rPr>
            </w:pPr>
            <w:r w:rsidRPr="007707C6">
              <w:rPr>
                <w:rFonts w:asciiTheme="majorBidi" w:hAnsiTheme="majorBidi" w:cstheme="majorBidi"/>
                <w:b/>
                <w:bCs/>
                <w:sz w:val="20"/>
                <w:szCs w:val="20"/>
                <w:lang w:val="en-GB"/>
              </w:rPr>
              <w:t>T/C</w:t>
            </w:r>
          </w:p>
        </w:tc>
        <w:tc>
          <w:tcPr>
            <w:tcW w:w="1156" w:type="dxa"/>
          </w:tcPr>
          <w:p w14:paraId="22DE98F2" w14:textId="77777777" w:rsidR="007707C6" w:rsidRPr="007707C6" w:rsidRDefault="007707C6" w:rsidP="007707C6">
            <w:pPr>
              <w:jc w:val="center"/>
              <w:rPr>
                <w:rFonts w:asciiTheme="majorBidi" w:hAnsiTheme="majorBidi" w:cstheme="majorBidi"/>
                <w:b/>
                <w:bCs/>
                <w:sz w:val="20"/>
                <w:szCs w:val="20"/>
                <w:lang w:val="en-GB"/>
              </w:rPr>
            </w:pPr>
            <w:r w:rsidRPr="007707C6">
              <w:rPr>
                <w:rFonts w:asciiTheme="majorBidi" w:hAnsiTheme="majorBidi" w:cstheme="majorBidi"/>
                <w:b/>
                <w:bCs/>
                <w:sz w:val="20"/>
                <w:szCs w:val="20"/>
                <w:lang w:val="en-GB"/>
              </w:rPr>
              <w:t>TT</w:t>
            </w:r>
          </w:p>
        </w:tc>
        <w:tc>
          <w:tcPr>
            <w:tcW w:w="1079" w:type="dxa"/>
          </w:tcPr>
          <w:p w14:paraId="509E4079" w14:textId="77777777" w:rsidR="007707C6" w:rsidRPr="007707C6" w:rsidRDefault="007707C6" w:rsidP="007707C6">
            <w:pPr>
              <w:jc w:val="center"/>
              <w:rPr>
                <w:rFonts w:asciiTheme="majorBidi" w:hAnsiTheme="majorBidi" w:cstheme="majorBidi"/>
                <w:b/>
                <w:bCs/>
                <w:sz w:val="20"/>
                <w:szCs w:val="20"/>
                <w:lang w:val="en-GB"/>
              </w:rPr>
            </w:pPr>
            <w:r w:rsidRPr="007707C6">
              <w:rPr>
                <w:rFonts w:asciiTheme="majorBidi" w:hAnsiTheme="majorBidi" w:cstheme="majorBidi"/>
                <w:b/>
                <w:bCs/>
                <w:sz w:val="20"/>
                <w:szCs w:val="20"/>
                <w:lang w:val="en-GB"/>
              </w:rPr>
              <w:t>TC</w:t>
            </w:r>
          </w:p>
        </w:tc>
        <w:tc>
          <w:tcPr>
            <w:tcW w:w="780" w:type="dxa"/>
          </w:tcPr>
          <w:p w14:paraId="621C4383" w14:textId="77777777" w:rsidR="007707C6" w:rsidRPr="007707C6" w:rsidRDefault="007707C6" w:rsidP="007707C6">
            <w:pPr>
              <w:jc w:val="center"/>
              <w:rPr>
                <w:rFonts w:asciiTheme="majorBidi" w:hAnsiTheme="majorBidi" w:cstheme="majorBidi"/>
                <w:b/>
                <w:bCs/>
                <w:sz w:val="20"/>
                <w:szCs w:val="20"/>
                <w:lang w:val="en-GB"/>
              </w:rPr>
            </w:pPr>
            <w:r w:rsidRPr="007707C6">
              <w:rPr>
                <w:rFonts w:asciiTheme="majorBidi" w:hAnsiTheme="majorBidi" w:cstheme="majorBidi"/>
                <w:b/>
                <w:bCs/>
                <w:sz w:val="20"/>
                <w:szCs w:val="20"/>
                <w:lang w:val="en-GB"/>
              </w:rPr>
              <w:t>CC</w:t>
            </w:r>
          </w:p>
        </w:tc>
        <w:tc>
          <w:tcPr>
            <w:tcW w:w="1144" w:type="dxa"/>
          </w:tcPr>
          <w:p w14:paraId="7156E575" w14:textId="77777777" w:rsidR="007707C6" w:rsidRPr="007707C6" w:rsidRDefault="007707C6" w:rsidP="007707C6">
            <w:pPr>
              <w:jc w:val="center"/>
              <w:rPr>
                <w:rFonts w:asciiTheme="majorBidi" w:hAnsiTheme="majorBidi" w:cstheme="majorBidi"/>
                <w:b/>
                <w:bCs/>
                <w:sz w:val="20"/>
                <w:szCs w:val="20"/>
                <w:lang w:val="en-GB"/>
              </w:rPr>
            </w:pPr>
            <w:r w:rsidRPr="007707C6">
              <w:rPr>
                <w:rFonts w:asciiTheme="majorBidi" w:hAnsiTheme="majorBidi" w:cstheme="majorBidi"/>
                <w:b/>
                <w:bCs/>
                <w:sz w:val="20"/>
                <w:szCs w:val="20"/>
                <w:lang w:val="en-GB"/>
              </w:rPr>
              <w:t>Total</w:t>
            </w:r>
          </w:p>
        </w:tc>
        <w:tc>
          <w:tcPr>
            <w:tcW w:w="741" w:type="dxa"/>
          </w:tcPr>
          <w:p w14:paraId="2DADB6C9" w14:textId="77777777" w:rsidR="007707C6" w:rsidRPr="007707C6" w:rsidRDefault="007707C6" w:rsidP="007707C6">
            <w:pPr>
              <w:jc w:val="center"/>
              <w:rPr>
                <w:rFonts w:asciiTheme="majorBidi" w:hAnsiTheme="majorBidi" w:cstheme="majorBidi"/>
                <w:b/>
                <w:bCs/>
                <w:sz w:val="20"/>
                <w:szCs w:val="20"/>
                <w:lang w:val="en-GB"/>
              </w:rPr>
            </w:pPr>
            <w:r w:rsidRPr="007707C6">
              <w:rPr>
                <w:rFonts w:asciiTheme="majorBidi" w:hAnsiTheme="majorBidi" w:cstheme="majorBidi"/>
                <w:b/>
                <w:bCs/>
                <w:sz w:val="20"/>
                <w:szCs w:val="20"/>
                <w:lang w:val="en-GB"/>
              </w:rPr>
              <w:t>T</w:t>
            </w:r>
          </w:p>
        </w:tc>
        <w:tc>
          <w:tcPr>
            <w:tcW w:w="771" w:type="dxa"/>
          </w:tcPr>
          <w:p w14:paraId="7C4A0B77" w14:textId="77777777" w:rsidR="007707C6" w:rsidRPr="007707C6" w:rsidRDefault="007707C6" w:rsidP="007707C6">
            <w:pPr>
              <w:jc w:val="center"/>
              <w:rPr>
                <w:rFonts w:asciiTheme="majorBidi" w:hAnsiTheme="majorBidi" w:cstheme="majorBidi"/>
                <w:b/>
                <w:bCs/>
                <w:sz w:val="20"/>
                <w:szCs w:val="20"/>
                <w:lang w:val="en-GB"/>
              </w:rPr>
            </w:pPr>
            <w:r w:rsidRPr="007707C6">
              <w:rPr>
                <w:rFonts w:asciiTheme="majorBidi" w:hAnsiTheme="majorBidi" w:cstheme="majorBidi"/>
                <w:b/>
                <w:bCs/>
                <w:sz w:val="20"/>
                <w:szCs w:val="20"/>
                <w:lang w:val="en-GB"/>
              </w:rPr>
              <w:t>C</w:t>
            </w:r>
          </w:p>
        </w:tc>
        <w:tc>
          <w:tcPr>
            <w:tcW w:w="1414" w:type="dxa"/>
          </w:tcPr>
          <w:p w14:paraId="3FA6DB40" w14:textId="77777777" w:rsidR="007707C6" w:rsidRPr="007707C6" w:rsidRDefault="007707C6" w:rsidP="007707C6">
            <w:pPr>
              <w:jc w:val="center"/>
              <w:rPr>
                <w:rFonts w:asciiTheme="majorBidi" w:hAnsiTheme="majorBidi" w:cstheme="majorBidi"/>
                <w:b/>
                <w:bCs/>
                <w:sz w:val="20"/>
                <w:szCs w:val="20"/>
                <w:lang w:val="en-GB"/>
              </w:rPr>
            </w:pPr>
            <w:r w:rsidRPr="007707C6">
              <w:rPr>
                <w:rFonts w:asciiTheme="majorBidi" w:hAnsiTheme="majorBidi" w:cstheme="majorBidi"/>
                <w:b/>
                <w:bCs/>
                <w:sz w:val="20"/>
                <w:szCs w:val="20"/>
                <w:lang w:val="en-GB"/>
              </w:rPr>
              <w:t>Frequencies</w:t>
            </w:r>
          </w:p>
        </w:tc>
      </w:tr>
      <w:tr w:rsidR="007707C6" w:rsidRPr="007707C6" w14:paraId="1825F9E0" w14:textId="77777777" w:rsidTr="007707C6">
        <w:trPr>
          <w:trHeight w:val="524"/>
        </w:trPr>
        <w:tc>
          <w:tcPr>
            <w:tcW w:w="1109" w:type="dxa"/>
          </w:tcPr>
          <w:p w14:paraId="5785AED1" w14:textId="77777777" w:rsidR="007707C6" w:rsidRPr="007707C6" w:rsidRDefault="007707C6" w:rsidP="007707C6">
            <w:pPr>
              <w:jc w:val="center"/>
              <w:rPr>
                <w:rFonts w:asciiTheme="majorBidi" w:hAnsiTheme="majorBidi" w:cstheme="majorBidi"/>
                <w:b/>
                <w:bCs/>
                <w:sz w:val="20"/>
                <w:szCs w:val="20"/>
                <w:lang w:val="en-GB"/>
              </w:rPr>
            </w:pPr>
            <w:r w:rsidRPr="007707C6">
              <w:rPr>
                <w:rFonts w:asciiTheme="majorBidi" w:hAnsiTheme="majorBidi" w:cstheme="majorBidi"/>
                <w:b/>
                <w:bCs/>
                <w:sz w:val="20"/>
                <w:szCs w:val="20"/>
                <w:lang w:val="en-GB"/>
              </w:rPr>
              <w:t>Control</w:t>
            </w:r>
          </w:p>
          <w:p w14:paraId="3E907027" w14:textId="77777777" w:rsidR="007707C6" w:rsidRPr="007707C6" w:rsidRDefault="007707C6" w:rsidP="007707C6">
            <w:pPr>
              <w:jc w:val="center"/>
              <w:rPr>
                <w:rFonts w:asciiTheme="majorBidi" w:hAnsiTheme="majorBidi" w:cstheme="majorBidi"/>
                <w:b/>
                <w:bCs/>
                <w:sz w:val="20"/>
                <w:szCs w:val="20"/>
                <w:lang w:val="en-GB"/>
              </w:rPr>
            </w:pPr>
            <w:r w:rsidRPr="007707C6">
              <w:rPr>
                <w:rFonts w:asciiTheme="majorBidi" w:hAnsiTheme="majorBidi" w:cstheme="majorBidi"/>
                <w:b/>
                <w:bCs/>
                <w:sz w:val="20"/>
                <w:szCs w:val="20"/>
                <w:lang w:val="en-GB"/>
              </w:rPr>
              <w:t>No. (%)</w:t>
            </w:r>
          </w:p>
        </w:tc>
        <w:tc>
          <w:tcPr>
            <w:tcW w:w="1156" w:type="dxa"/>
          </w:tcPr>
          <w:p w14:paraId="462B550B" w14:textId="77777777" w:rsidR="007707C6" w:rsidRPr="007707C6" w:rsidRDefault="007707C6" w:rsidP="007707C6">
            <w:pPr>
              <w:jc w:val="center"/>
              <w:rPr>
                <w:rFonts w:asciiTheme="majorBidi" w:hAnsiTheme="majorBidi" w:cstheme="majorBidi"/>
                <w:sz w:val="20"/>
                <w:szCs w:val="20"/>
                <w:lang w:val="en-GB"/>
              </w:rPr>
            </w:pPr>
            <w:r w:rsidRPr="007707C6">
              <w:rPr>
                <w:rFonts w:asciiTheme="majorBidi" w:hAnsiTheme="majorBidi" w:cstheme="majorBidi"/>
                <w:sz w:val="20"/>
                <w:szCs w:val="20"/>
                <w:lang w:val="en-GB"/>
              </w:rPr>
              <w:t>15 (62)</w:t>
            </w:r>
          </w:p>
        </w:tc>
        <w:tc>
          <w:tcPr>
            <w:tcW w:w="1079" w:type="dxa"/>
          </w:tcPr>
          <w:p w14:paraId="076A6EC7" w14:textId="77777777" w:rsidR="007707C6" w:rsidRPr="007707C6" w:rsidRDefault="007707C6" w:rsidP="007707C6">
            <w:pPr>
              <w:jc w:val="center"/>
              <w:rPr>
                <w:rFonts w:asciiTheme="majorBidi" w:hAnsiTheme="majorBidi" w:cstheme="majorBidi"/>
                <w:sz w:val="20"/>
                <w:szCs w:val="20"/>
                <w:lang w:val="en-GB"/>
              </w:rPr>
            </w:pPr>
            <w:r w:rsidRPr="007707C6">
              <w:rPr>
                <w:rFonts w:asciiTheme="majorBidi" w:hAnsiTheme="majorBidi" w:cstheme="majorBidi"/>
                <w:sz w:val="20"/>
                <w:szCs w:val="20"/>
                <w:lang w:val="en-GB"/>
              </w:rPr>
              <w:t>1 (18)</w:t>
            </w:r>
          </w:p>
        </w:tc>
        <w:tc>
          <w:tcPr>
            <w:tcW w:w="780" w:type="dxa"/>
          </w:tcPr>
          <w:p w14:paraId="19286B5D" w14:textId="77777777" w:rsidR="007707C6" w:rsidRPr="007707C6" w:rsidRDefault="007707C6" w:rsidP="007707C6">
            <w:pPr>
              <w:jc w:val="center"/>
              <w:rPr>
                <w:rFonts w:asciiTheme="majorBidi" w:hAnsiTheme="majorBidi" w:cstheme="majorBidi"/>
                <w:sz w:val="20"/>
                <w:szCs w:val="20"/>
                <w:lang w:val="en-GB"/>
              </w:rPr>
            </w:pPr>
            <w:r w:rsidRPr="007707C6">
              <w:rPr>
                <w:rFonts w:asciiTheme="majorBidi" w:hAnsiTheme="majorBidi" w:cstheme="majorBidi"/>
                <w:sz w:val="20"/>
                <w:szCs w:val="20"/>
                <w:lang w:val="en-GB"/>
              </w:rPr>
              <w:t>4(20)</w:t>
            </w:r>
          </w:p>
        </w:tc>
        <w:tc>
          <w:tcPr>
            <w:tcW w:w="1144" w:type="dxa"/>
          </w:tcPr>
          <w:p w14:paraId="3EAB8290" w14:textId="77777777" w:rsidR="007707C6" w:rsidRPr="007707C6" w:rsidRDefault="007707C6" w:rsidP="007707C6">
            <w:pPr>
              <w:jc w:val="center"/>
              <w:rPr>
                <w:rFonts w:asciiTheme="majorBidi" w:hAnsiTheme="majorBidi" w:cstheme="majorBidi"/>
                <w:sz w:val="20"/>
                <w:szCs w:val="20"/>
                <w:lang w:val="en-GB"/>
              </w:rPr>
            </w:pPr>
            <w:r w:rsidRPr="007707C6">
              <w:rPr>
                <w:rFonts w:asciiTheme="majorBidi" w:hAnsiTheme="majorBidi" w:cstheme="majorBidi"/>
                <w:sz w:val="20"/>
                <w:szCs w:val="20"/>
                <w:lang w:val="en-GB"/>
              </w:rPr>
              <w:t>20(100%)</w:t>
            </w:r>
          </w:p>
        </w:tc>
        <w:tc>
          <w:tcPr>
            <w:tcW w:w="741" w:type="dxa"/>
          </w:tcPr>
          <w:p w14:paraId="54BC957E" w14:textId="77777777" w:rsidR="007707C6" w:rsidRPr="007707C6" w:rsidRDefault="007707C6" w:rsidP="007707C6">
            <w:pPr>
              <w:jc w:val="center"/>
              <w:rPr>
                <w:rFonts w:asciiTheme="majorBidi" w:hAnsiTheme="majorBidi" w:cstheme="majorBidi"/>
                <w:sz w:val="20"/>
                <w:szCs w:val="20"/>
                <w:lang w:val="en-GB"/>
              </w:rPr>
            </w:pPr>
            <w:r w:rsidRPr="007707C6">
              <w:rPr>
                <w:rFonts w:asciiTheme="majorBidi" w:hAnsiTheme="majorBidi" w:cstheme="majorBidi"/>
                <w:sz w:val="20"/>
                <w:szCs w:val="20"/>
                <w:lang w:val="en-GB"/>
              </w:rPr>
              <w:t>0.75</w:t>
            </w:r>
          </w:p>
        </w:tc>
        <w:tc>
          <w:tcPr>
            <w:tcW w:w="771" w:type="dxa"/>
          </w:tcPr>
          <w:p w14:paraId="61BFF20A" w14:textId="77777777" w:rsidR="007707C6" w:rsidRPr="007707C6" w:rsidRDefault="007707C6" w:rsidP="007707C6">
            <w:pPr>
              <w:jc w:val="center"/>
              <w:rPr>
                <w:rFonts w:asciiTheme="majorBidi" w:hAnsiTheme="majorBidi" w:cstheme="majorBidi"/>
                <w:sz w:val="20"/>
                <w:szCs w:val="20"/>
              </w:rPr>
            </w:pPr>
            <w:r w:rsidRPr="007707C6">
              <w:rPr>
                <w:rFonts w:asciiTheme="majorBidi" w:hAnsiTheme="majorBidi" w:cstheme="majorBidi"/>
                <w:sz w:val="20"/>
                <w:szCs w:val="20"/>
                <w:lang w:val="en-GB"/>
              </w:rPr>
              <w:t>0.25</w:t>
            </w:r>
          </w:p>
        </w:tc>
        <w:tc>
          <w:tcPr>
            <w:tcW w:w="1414" w:type="dxa"/>
          </w:tcPr>
          <w:p w14:paraId="1BB55FB9" w14:textId="77777777" w:rsidR="007707C6" w:rsidRPr="007707C6" w:rsidRDefault="007707C6" w:rsidP="007707C6">
            <w:pPr>
              <w:jc w:val="center"/>
              <w:rPr>
                <w:rFonts w:asciiTheme="majorBidi" w:hAnsiTheme="majorBidi" w:cstheme="majorBidi"/>
                <w:sz w:val="20"/>
                <w:szCs w:val="20"/>
                <w:lang w:val="en-GB"/>
              </w:rPr>
            </w:pPr>
            <w:r w:rsidRPr="007707C6">
              <w:rPr>
                <w:rFonts w:asciiTheme="majorBidi" w:hAnsiTheme="majorBidi" w:cstheme="majorBidi"/>
                <w:sz w:val="20"/>
                <w:szCs w:val="20"/>
              </w:rPr>
              <w:t>2.68</w:t>
            </w:r>
          </w:p>
        </w:tc>
      </w:tr>
      <w:tr w:rsidR="007707C6" w:rsidRPr="007707C6" w14:paraId="191EBD27" w14:textId="77777777" w:rsidTr="007707C6">
        <w:trPr>
          <w:trHeight w:val="524"/>
        </w:trPr>
        <w:tc>
          <w:tcPr>
            <w:tcW w:w="1109" w:type="dxa"/>
          </w:tcPr>
          <w:p w14:paraId="03EFCCA9" w14:textId="77777777" w:rsidR="007707C6" w:rsidRPr="007707C6" w:rsidRDefault="007707C6" w:rsidP="007707C6">
            <w:pPr>
              <w:jc w:val="center"/>
              <w:rPr>
                <w:rFonts w:asciiTheme="majorBidi" w:hAnsiTheme="majorBidi" w:cstheme="majorBidi"/>
                <w:b/>
                <w:bCs/>
                <w:sz w:val="20"/>
                <w:szCs w:val="20"/>
                <w:lang w:val="en-GB"/>
              </w:rPr>
            </w:pPr>
            <w:r w:rsidRPr="007707C6">
              <w:rPr>
                <w:rFonts w:asciiTheme="majorBidi" w:hAnsiTheme="majorBidi" w:cstheme="majorBidi"/>
                <w:b/>
                <w:bCs/>
                <w:sz w:val="20"/>
                <w:szCs w:val="20"/>
              </w:rPr>
              <w:t>patient</w:t>
            </w:r>
            <w:r w:rsidRPr="007707C6">
              <w:rPr>
                <w:rFonts w:asciiTheme="majorBidi" w:hAnsiTheme="majorBidi" w:cstheme="majorBidi"/>
                <w:b/>
                <w:bCs/>
                <w:sz w:val="20"/>
                <w:szCs w:val="20"/>
                <w:lang w:val="en-GB"/>
              </w:rPr>
              <w:t xml:space="preserve"> No. (%)</w:t>
            </w:r>
          </w:p>
        </w:tc>
        <w:tc>
          <w:tcPr>
            <w:tcW w:w="1156" w:type="dxa"/>
          </w:tcPr>
          <w:p w14:paraId="218B3169" w14:textId="77777777" w:rsidR="007707C6" w:rsidRPr="007707C6" w:rsidRDefault="007707C6" w:rsidP="007707C6">
            <w:pPr>
              <w:jc w:val="center"/>
              <w:rPr>
                <w:rFonts w:asciiTheme="majorBidi" w:hAnsiTheme="majorBidi" w:cstheme="majorBidi"/>
                <w:sz w:val="20"/>
                <w:szCs w:val="20"/>
                <w:lang w:val="en-GB"/>
              </w:rPr>
            </w:pPr>
            <w:r w:rsidRPr="007707C6">
              <w:rPr>
                <w:rFonts w:asciiTheme="majorBidi" w:hAnsiTheme="majorBidi" w:cstheme="majorBidi"/>
                <w:sz w:val="20"/>
                <w:szCs w:val="20"/>
                <w:lang w:val="en-GB"/>
              </w:rPr>
              <w:t>19(25)</w:t>
            </w:r>
          </w:p>
        </w:tc>
        <w:tc>
          <w:tcPr>
            <w:tcW w:w="1079" w:type="dxa"/>
          </w:tcPr>
          <w:p w14:paraId="73F33D97" w14:textId="77777777" w:rsidR="007707C6" w:rsidRPr="007707C6" w:rsidRDefault="007707C6" w:rsidP="007707C6">
            <w:pPr>
              <w:jc w:val="center"/>
              <w:rPr>
                <w:rFonts w:asciiTheme="majorBidi" w:hAnsiTheme="majorBidi" w:cstheme="majorBidi"/>
                <w:sz w:val="20"/>
                <w:szCs w:val="20"/>
                <w:lang w:val="en-GB"/>
              </w:rPr>
            </w:pPr>
            <w:r w:rsidRPr="007707C6">
              <w:rPr>
                <w:rFonts w:asciiTheme="majorBidi" w:hAnsiTheme="majorBidi" w:cstheme="majorBidi"/>
                <w:sz w:val="20"/>
                <w:szCs w:val="20"/>
                <w:lang w:val="en-GB"/>
              </w:rPr>
              <w:t>26 (35)</w:t>
            </w:r>
          </w:p>
        </w:tc>
        <w:tc>
          <w:tcPr>
            <w:tcW w:w="780" w:type="dxa"/>
          </w:tcPr>
          <w:p w14:paraId="558ECFC0" w14:textId="77777777" w:rsidR="007707C6" w:rsidRPr="007707C6" w:rsidRDefault="007707C6" w:rsidP="007707C6">
            <w:pPr>
              <w:rPr>
                <w:rFonts w:asciiTheme="majorBidi" w:hAnsiTheme="majorBidi" w:cstheme="majorBidi"/>
                <w:sz w:val="20"/>
                <w:szCs w:val="20"/>
                <w:lang w:val="en-GB"/>
              </w:rPr>
            </w:pPr>
            <w:r w:rsidRPr="007707C6">
              <w:rPr>
                <w:rFonts w:asciiTheme="majorBidi" w:hAnsiTheme="majorBidi" w:cstheme="majorBidi"/>
                <w:sz w:val="20"/>
                <w:szCs w:val="20"/>
                <w:lang w:val="en-GB"/>
              </w:rPr>
              <w:t>35 (40)</w:t>
            </w:r>
          </w:p>
        </w:tc>
        <w:tc>
          <w:tcPr>
            <w:tcW w:w="1144" w:type="dxa"/>
          </w:tcPr>
          <w:p w14:paraId="62C4E95E" w14:textId="77777777" w:rsidR="007707C6" w:rsidRPr="007707C6" w:rsidRDefault="007707C6" w:rsidP="007707C6">
            <w:pPr>
              <w:jc w:val="center"/>
              <w:rPr>
                <w:rFonts w:asciiTheme="majorBidi" w:hAnsiTheme="majorBidi" w:cstheme="majorBidi"/>
                <w:sz w:val="20"/>
                <w:szCs w:val="20"/>
                <w:lang w:val="en-GB"/>
              </w:rPr>
            </w:pPr>
            <w:r w:rsidRPr="007707C6">
              <w:rPr>
                <w:rFonts w:asciiTheme="majorBidi" w:hAnsiTheme="majorBidi" w:cstheme="majorBidi"/>
                <w:sz w:val="20"/>
                <w:szCs w:val="20"/>
                <w:lang w:val="en-GB"/>
              </w:rPr>
              <w:t>80(100%)</w:t>
            </w:r>
          </w:p>
        </w:tc>
        <w:tc>
          <w:tcPr>
            <w:tcW w:w="741" w:type="dxa"/>
          </w:tcPr>
          <w:p w14:paraId="37399537" w14:textId="77777777" w:rsidR="007707C6" w:rsidRPr="007707C6" w:rsidRDefault="007707C6" w:rsidP="007707C6">
            <w:pPr>
              <w:jc w:val="center"/>
              <w:rPr>
                <w:rFonts w:asciiTheme="majorBidi" w:hAnsiTheme="majorBidi" w:cstheme="majorBidi"/>
                <w:sz w:val="20"/>
                <w:szCs w:val="20"/>
                <w:lang w:val="en-GB"/>
              </w:rPr>
            </w:pPr>
            <w:r w:rsidRPr="007707C6">
              <w:rPr>
                <w:rFonts w:asciiTheme="majorBidi" w:hAnsiTheme="majorBidi" w:cstheme="majorBidi"/>
                <w:sz w:val="20"/>
                <w:szCs w:val="20"/>
                <w:lang w:val="en-GB"/>
              </w:rPr>
              <w:t>0.423</w:t>
            </w:r>
          </w:p>
        </w:tc>
        <w:tc>
          <w:tcPr>
            <w:tcW w:w="771" w:type="dxa"/>
          </w:tcPr>
          <w:p w14:paraId="371E1F32" w14:textId="77777777" w:rsidR="007707C6" w:rsidRPr="007707C6" w:rsidRDefault="007707C6" w:rsidP="007707C6">
            <w:pPr>
              <w:jc w:val="center"/>
              <w:rPr>
                <w:rFonts w:asciiTheme="majorBidi" w:hAnsiTheme="majorBidi" w:cstheme="majorBidi"/>
                <w:b/>
                <w:bCs/>
                <w:sz w:val="20"/>
                <w:szCs w:val="20"/>
                <w:lang w:val="en-GB"/>
              </w:rPr>
            </w:pPr>
            <w:r w:rsidRPr="007707C6">
              <w:rPr>
                <w:rFonts w:asciiTheme="majorBidi" w:hAnsiTheme="majorBidi" w:cstheme="majorBidi"/>
                <w:sz w:val="20"/>
                <w:szCs w:val="20"/>
                <w:lang w:val="en-GB"/>
              </w:rPr>
              <w:t>0.577</w:t>
            </w:r>
          </w:p>
        </w:tc>
        <w:tc>
          <w:tcPr>
            <w:tcW w:w="1414" w:type="dxa"/>
          </w:tcPr>
          <w:p w14:paraId="199F8E31" w14:textId="77777777" w:rsidR="007707C6" w:rsidRPr="007707C6" w:rsidRDefault="007707C6" w:rsidP="007707C6">
            <w:pPr>
              <w:jc w:val="center"/>
              <w:rPr>
                <w:rFonts w:asciiTheme="majorBidi" w:hAnsiTheme="majorBidi" w:cstheme="majorBidi"/>
                <w:sz w:val="20"/>
                <w:szCs w:val="20"/>
                <w:lang w:val="en-GB"/>
              </w:rPr>
            </w:pPr>
            <w:r w:rsidRPr="007707C6">
              <w:rPr>
                <w:rFonts w:asciiTheme="majorBidi" w:hAnsiTheme="majorBidi" w:cstheme="majorBidi"/>
                <w:sz w:val="20"/>
                <w:szCs w:val="20"/>
              </w:rPr>
              <w:t>0.984</w:t>
            </w:r>
          </w:p>
        </w:tc>
      </w:tr>
      <w:tr w:rsidR="007707C6" w:rsidRPr="007707C6" w14:paraId="5DCDC716" w14:textId="77777777" w:rsidTr="007707C6">
        <w:trPr>
          <w:trHeight w:val="267"/>
        </w:trPr>
        <w:tc>
          <w:tcPr>
            <w:tcW w:w="1109" w:type="dxa"/>
          </w:tcPr>
          <w:p w14:paraId="4B4B425B" w14:textId="77777777" w:rsidR="007707C6" w:rsidRPr="007707C6" w:rsidRDefault="007707C6" w:rsidP="007707C6">
            <w:pPr>
              <w:jc w:val="center"/>
              <w:rPr>
                <w:rFonts w:asciiTheme="majorBidi" w:hAnsiTheme="majorBidi" w:cstheme="majorBidi"/>
                <w:b/>
                <w:bCs/>
                <w:sz w:val="20"/>
                <w:szCs w:val="20"/>
                <w:lang w:val="en-GB"/>
              </w:rPr>
            </w:pPr>
            <w:r w:rsidRPr="007707C6">
              <w:rPr>
                <w:rFonts w:asciiTheme="majorBidi" w:hAnsiTheme="majorBidi" w:cstheme="majorBidi"/>
                <w:b/>
                <w:bCs/>
                <w:sz w:val="20"/>
                <w:szCs w:val="20"/>
                <w:lang w:val="en-GB"/>
              </w:rPr>
              <w:t>95% CI</w:t>
            </w:r>
          </w:p>
        </w:tc>
        <w:tc>
          <w:tcPr>
            <w:tcW w:w="1156" w:type="dxa"/>
          </w:tcPr>
          <w:p w14:paraId="213D77F3" w14:textId="77777777" w:rsidR="007707C6" w:rsidRPr="007707C6" w:rsidRDefault="007707C6" w:rsidP="007707C6">
            <w:pPr>
              <w:jc w:val="center"/>
              <w:rPr>
                <w:rFonts w:asciiTheme="majorBidi" w:hAnsiTheme="majorBidi" w:cstheme="majorBidi"/>
                <w:sz w:val="20"/>
                <w:szCs w:val="20"/>
                <w:lang w:val="en-GB"/>
              </w:rPr>
            </w:pPr>
          </w:p>
        </w:tc>
        <w:tc>
          <w:tcPr>
            <w:tcW w:w="1079" w:type="dxa"/>
          </w:tcPr>
          <w:p w14:paraId="4E2F656A" w14:textId="77777777" w:rsidR="007707C6" w:rsidRPr="007707C6" w:rsidRDefault="007707C6" w:rsidP="007707C6">
            <w:pPr>
              <w:jc w:val="center"/>
              <w:rPr>
                <w:rFonts w:asciiTheme="majorBidi" w:hAnsiTheme="majorBidi" w:cstheme="majorBidi"/>
                <w:sz w:val="20"/>
                <w:szCs w:val="20"/>
                <w:lang w:val="en-GB"/>
              </w:rPr>
            </w:pPr>
          </w:p>
        </w:tc>
        <w:tc>
          <w:tcPr>
            <w:tcW w:w="780" w:type="dxa"/>
          </w:tcPr>
          <w:p w14:paraId="0B527FEF" w14:textId="77777777" w:rsidR="007707C6" w:rsidRPr="007707C6" w:rsidRDefault="007707C6" w:rsidP="007707C6">
            <w:pPr>
              <w:rPr>
                <w:rFonts w:asciiTheme="majorBidi" w:hAnsiTheme="majorBidi" w:cstheme="majorBidi"/>
                <w:sz w:val="20"/>
                <w:szCs w:val="20"/>
                <w:lang w:val="en-GB"/>
              </w:rPr>
            </w:pPr>
          </w:p>
        </w:tc>
        <w:tc>
          <w:tcPr>
            <w:tcW w:w="1144" w:type="dxa"/>
          </w:tcPr>
          <w:p w14:paraId="7702A0EE" w14:textId="77777777" w:rsidR="007707C6" w:rsidRPr="007707C6" w:rsidRDefault="007707C6" w:rsidP="007707C6">
            <w:pPr>
              <w:jc w:val="center"/>
              <w:rPr>
                <w:rFonts w:asciiTheme="majorBidi" w:hAnsiTheme="majorBidi" w:cstheme="majorBidi"/>
                <w:sz w:val="20"/>
                <w:szCs w:val="20"/>
                <w:lang w:val="en-GB"/>
              </w:rPr>
            </w:pPr>
          </w:p>
        </w:tc>
        <w:tc>
          <w:tcPr>
            <w:tcW w:w="741" w:type="dxa"/>
          </w:tcPr>
          <w:p w14:paraId="3AE4B1A3" w14:textId="77777777" w:rsidR="007707C6" w:rsidRPr="007707C6" w:rsidRDefault="007707C6" w:rsidP="007707C6">
            <w:pPr>
              <w:jc w:val="center"/>
              <w:rPr>
                <w:rFonts w:asciiTheme="majorBidi" w:hAnsiTheme="majorBidi" w:cstheme="majorBidi"/>
                <w:sz w:val="20"/>
                <w:szCs w:val="20"/>
                <w:lang w:val="en-GB"/>
              </w:rPr>
            </w:pPr>
          </w:p>
        </w:tc>
        <w:tc>
          <w:tcPr>
            <w:tcW w:w="771" w:type="dxa"/>
          </w:tcPr>
          <w:p w14:paraId="727F98B2" w14:textId="77777777" w:rsidR="007707C6" w:rsidRPr="007707C6" w:rsidRDefault="007707C6" w:rsidP="007707C6">
            <w:pPr>
              <w:jc w:val="center"/>
              <w:rPr>
                <w:rFonts w:asciiTheme="majorBidi" w:hAnsiTheme="majorBidi" w:cstheme="majorBidi"/>
                <w:b/>
                <w:bCs/>
                <w:sz w:val="20"/>
                <w:szCs w:val="20"/>
                <w:lang w:val="en-GB"/>
              </w:rPr>
            </w:pPr>
          </w:p>
        </w:tc>
        <w:tc>
          <w:tcPr>
            <w:tcW w:w="1414" w:type="dxa"/>
          </w:tcPr>
          <w:p w14:paraId="2411E6BE" w14:textId="77777777" w:rsidR="007707C6" w:rsidRPr="007707C6" w:rsidRDefault="007707C6" w:rsidP="007707C6">
            <w:pPr>
              <w:jc w:val="center"/>
              <w:rPr>
                <w:rFonts w:asciiTheme="majorBidi" w:hAnsiTheme="majorBidi" w:cstheme="majorBidi"/>
                <w:b/>
                <w:bCs/>
                <w:sz w:val="20"/>
                <w:szCs w:val="20"/>
                <w:lang w:val="en-GB"/>
              </w:rPr>
            </w:pPr>
            <w:r w:rsidRPr="007707C6">
              <w:rPr>
                <w:rFonts w:asciiTheme="majorBidi" w:hAnsiTheme="majorBidi" w:cstheme="majorBidi"/>
                <w:sz w:val="20"/>
                <w:szCs w:val="20"/>
                <w:lang w:val="en-GB"/>
              </w:rPr>
              <w:t>0.159</w:t>
            </w:r>
          </w:p>
        </w:tc>
      </w:tr>
      <w:tr w:rsidR="007707C6" w:rsidRPr="007707C6" w14:paraId="13BEB25F" w14:textId="77777777" w:rsidTr="007707C6">
        <w:trPr>
          <w:trHeight w:val="524"/>
        </w:trPr>
        <w:tc>
          <w:tcPr>
            <w:tcW w:w="1109" w:type="dxa"/>
          </w:tcPr>
          <w:p w14:paraId="3A5B7C72" w14:textId="77777777" w:rsidR="007707C6" w:rsidRPr="007707C6" w:rsidRDefault="007707C6" w:rsidP="007707C6">
            <w:pPr>
              <w:jc w:val="center"/>
              <w:rPr>
                <w:rFonts w:asciiTheme="majorBidi" w:hAnsiTheme="majorBidi" w:cstheme="majorBidi"/>
                <w:b/>
                <w:bCs/>
                <w:sz w:val="20"/>
                <w:szCs w:val="20"/>
                <w:lang w:val="en-GB"/>
              </w:rPr>
            </w:pPr>
            <w:r w:rsidRPr="007707C6">
              <w:rPr>
                <w:rFonts w:asciiTheme="majorBidi" w:hAnsiTheme="majorBidi" w:cstheme="majorBidi"/>
                <w:b/>
                <w:bCs/>
                <w:sz w:val="20"/>
                <w:szCs w:val="20"/>
                <w:lang w:val="en-GB"/>
              </w:rPr>
              <w:t>Odd</w:t>
            </w:r>
          </w:p>
          <w:p w14:paraId="62C1F901" w14:textId="77777777" w:rsidR="007707C6" w:rsidRPr="007707C6" w:rsidRDefault="007707C6" w:rsidP="007707C6">
            <w:pPr>
              <w:jc w:val="center"/>
              <w:rPr>
                <w:rFonts w:asciiTheme="majorBidi" w:hAnsiTheme="majorBidi" w:cstheme="majorBidi"/>
                <w:b/>
                <w:bCs/>
                <w:sz w:val="20"/>
                <w:szCs w:val="20"/>
                <w:lang w:val="en-GB"/>
              </w:rPr>
            </w:pPr>
            <w:r w:rsidRPr="007707C6">
              <w:rPr>
                <w:rFonts w:asciiTheme="majorBidi" w:hAnsiTheme="majorBidi" w:cstheme="majorBidi"/>
                <w:b/>
                <w:bCs/>
                <w:sz w:val="20"/>
                <w:szCs w:val="20"/>
                <w:lang w:val="en-GB"/>
              </w:rPr>
              <w:t>ratios</w:t>
            </w:r>
          </w:p>
        </w:tc>
        <w:tc>
          <w:tcPr>
            <w:tcW w:w="1156" w:type="dxa"/>
          </w:tcPr>
          <w:p w14:paraId="467A822A" w14:textId="77777777" w:rsidR="007707C6" w:rsidRPr="007707C6" w:rsidRDefault="007707C6" w:rsidP="007707C6">
            <w:pPr>
              <w:jc w:val="center"/>
              <w:rPr>
                <w:rFonts w:asciiTheme="majorBidi" w:hAnsiTheme="majorBidi" w:cstheme="majorBidi"/>
                <w:sz w:val="20"/>
                <w:szCs w:val="20"/>
                <w:lang w:val="en-GB"/>
              </w:rPr>
            </w:pPr>
            <w:r w:rsidRPr="007707C6">
              <w:rPr>
                <w:rFonts w:asciiTheme="majorBidi" w:hAnsiTheme="majorBidi" w:cstheme="majorBidi"/>
                <w:sz w:val="20"/>
                <w:szCs w:val="20"/>
                <w:lang w:val="en-GB"/>
              </w:rPr>
              <w:t>Reference</w:t>
            </w:r>
          </w:p>
        </w:tc>
        <w:tc>
          <w:tcPr>
            <w:tcW w:w="1079" w:type="dxa"/>
          </w:tcPr>
          <w:p w14:paraId="64E06730" w14:textId="77777777" w:rsidR="007707C6" w:rsidRPr="007707C6" w:rsidRDefault="007707C6" w:rsidP="007707C6">
            <w:pPr>
              <w:jc w:val="center"/>
              <w:rPr>
                <w:rFonts w:asciiTheme="majorBidi" w:hAnsiTheme="majorBidi" w:cstheme="majorBidi"/>
                <w:sz w:val="20"/>
                <w:szCs w:val="20"/>
                <w:lang w:val="en-GB"/>
              </w:rPr>
            </w:pPr>
            <w:r w:rsidRPr="007707C6">
              <w:rPr>
                <w:rFonts w:asciiTheme="majorBidi" w:hAnsiTheme="majorBidi" w:cstheme="majorBidi"/>
                <w:sz w:val="20"/>
                <w:szCs w:val="20"/>
                <w:lang w:val="en-GB"/>
              </w:rPr>
              <w:t>0.433</w:t>
            </w:r>
          </w:p>
        </w:tc>
        <w:tc>
          <w:tcPr>
            <w:tcW w:w="780" w:type="dxa"/>
          </w:tcPr>
          <w:p w14:paraId="0FE385CA" w14:textId="77777777" w:rsidR="007707C6" w:rsidRPr="007707C6" w:rsidRDefault="007707C6" w:rsidP="007707C6">
            <w:pPr>
              <w:rPr>
                <w:rFonts w:asciiTheme="majorBidi" w:hAnsiTheme="majorBidi" w:cstheme="majorBidi"/>
                <w:b/>
                <w:bCs/>
                <w:sz w:val="20"/>
                <w:szCs w:val="20"/>
              </w:rPr>
            </w:pPr>
            <w:r w:rsidRPr="007707C6">
              <w:rPr>
                <w:rFonts w:asciiTheme="majorBidi" w:hAnsiTheme="majorBidi" w:cstheme="majorBidi"/>
                <w:sz w:val="20"/>
                <w:szCs w:val="20"/>
                <w:lang w:val="en-GB"/>
              </w:rPr>
              <w:t>0.366</w:t>
            </w:r>
          </w:p>
        </w:tc>
        <w:tc>
          <w:tcPr>
            <w:tcW w:w="1144" w:type="dxa"/>
          </w:tcPr>
          <w:p w14:paraId="269058B2" w14:textId="77777777" w:rsidR="007707C6" w:rsidRPr="007707C6" w:rsidRDefault="007707C6" w:rsidP="007707C6">
            <w:pPr>
              <w:rPr>
                <w:rFonts w:asciiTheme="majorBidi" w:hAnsiTheme="majorBidi" w:cstheme="majorBidi"/>
                <w:b/>
                <w:bCs/>
                <w:sz w:val="20"/>
                <w:szCs w:val="20"/>
              </w:rPr>
            </w:pPr>
          </w:p>
        </w:tc>
        <w:tc>
          <w:tcPr>
            <w:tcW w:w="741" w:type="dxa"/>
          </w:tcPr>
          <w:p w14:paraId="0AA774FE" w14:textId="77777777" w:rsidR="007707C6" w:rsidRPr="007707C6" w:rsidRDefault="007707C6" w:rsidP="007707C6">
            <w:pPr>
              <w:rPr>
                <w:rFonts w:asciiTheme="majorBidi" w:hAnsiTheme="majorBidi" w:cstheme="majorBidi"/>
                <w:b/>
                <w:bCs/>
                <w:sz w:val="20"/>
                <w:szCs w:val="20"/>
              </w:rPr>
            </w:pPr>
          </w:p>
        </w:tc>
        <w:tc>
          <w:tcPr>
            <w:tcW w:w="771" w:type="dxa"/>
          </w:tcPr>
          <w:p w14:paraId="553FDCF5" w14:textId="77777777" w:rsidR="007707C6" w:rsidRPr="007707C6" w:rsidRDefault="007707C6" w:rsidP="007707C6">
            <w:pPr>
              <w:rPr>
                <w:rFonts w:asciiTheme="majorBidi" w:hAnsiTheme="majorBidi" w:cstheme="majorBidi"/>
                <w:b/>
                <w:bCs/>
                <w:sz w:val="20"/>
                <w:szCs w:val="20"/>
              </w:rPr>
            </w:pPr>
          </w:p>
        </w:tc>
        <w:tc>
          <w:tcPr>
            <w:tcW w:w="1414" w:type="dxa"/>
          </w:tcPr>
          <w:p w14:paraId="0E0C950C" w14:textId="77777777" w:rsidR="007707C6" w:rsidRPr="007707C6" w:rsidRDefault="007707C6" w:rsidP="007707C6">
            <w:pPr>
              <w:rPr>
                <w:rFonts w:asciiTheme="majorBidi" w:hAnsiTheme="majorBidi" w:cstheme="majorBidi"/>
                <w:b/>
                <w:bCs/>
                <w:sz w:val="20"/>
                <w:szCs w:val="20"/>
              </w:rPr>
            </w:pPr>
          </w:p>
        </w:tc>
      </w:tr>
      <w:tr w:rsidR="007707C6" w:rsidRPr="007707C6" w14:paraId="66933E4D" w14:textId="77777777" w:rsidTr="007707C6">
        <w:trPr>
          <w:trHeight w:val="267"/>
        </w:trPr>
        <w:tc>
          <w:tcPr>
            <w:tcW w:w="1109" w:type="dxa"/>
          </w:tcPr>
          <w:p w14:paraId="15CDA528" w14:textId="77777777" w:rsidR="007707C6" w:rsidRPr="007707C6" w:rsidRDefault="007707C6" w:rsidP="007707C6">
            <w:pPr>
              <w:jc w:val="center"/>
              <w:rPr>
                <w:rFonts w:asciiTheme="majorBidi" w:hAnsiTheme="majorBidi" w:cstheme="majorBidi"/>
                <w:b/>
                <w:bCs/>
                <w:i/>
                <w:iCs/>
                <w:sz w:val="20"/>
                <w:szCs w:val="20"/>
                <w:lang w:val="en-GB"/>
              </w:rPr>
            </w:pPr>
            <w:r w:rsidRPr="007707C6">
              <w:rPr>
                <w:rFonts w:asciiTheme="majorBidi" w:hAnsiTheme="majorBidi" w:cstheme="majorBidi"/>
                <w:b/>
                <w:bCs/>
                <w:i/>
                <w:iCs/>
                <w:sz w:val="20"/>
                <w:szCs w:val="20"/>
                <w:lang w:val="en-GB"/>
              </w:rPr>
              <w:t>P value</w:t>
            </w:r>
          </w:p>
        </w:tc>
        <w:tc>
          <w:tcPr>
            <w:tcW w:w="1156" w:type="dxa"/>
          </w:tcPr>
          <w:p w14:paraId="0D459D51" w14:textId="77777777" w:rsidR="007707C6" w:rsidRPr="007707C6" w:rsidRDefault="007707C6" w:rsidP="007707C6">
            <w:pPr>
              <w:rPr>
                <w:rFonts w:asciiTheme="majorBidi" w:hAnsiTheme="majorBidi" w:cstheme="majorBidi"/>
                <w:b/>
                <w:bCs/>
                <w:sz w:val="20"/>
                <w:szCs w:val="20"/>
              </w:rPr>
            </w:pPr>
            <w:r w:rsidRPr="007707C6">
              <w:rPr>
                <w:rFonts w:asciiTheme="majorBidi" w:hAnsiTheme="majorBidi" w:cstheme="majorBidi"/>
                <w:b/>
                <w:bCs/>
                <w:sz w:val="20"/>
                <w:szCs w:val="20"/>
              </w:rPr>
              <w:t>-</w:t>
            </w:r>
          </w:p>
        </w:tc>
        <w:tc>
          <w:tcPr>
            <w:tcW w:w="1079" w:type="dxa"/>
          </w:tcPr>
          <w:p w14:paraId="42B0DF3A" w14:textId="77777777" w:rsidR="007707C6" w:rsidRPr="007707C6" w:rsidRDefault="007707C6" w:rsidP="007707C6">
            <w:pPr>
              <w:rPr>
                <w:rFonts w:asciiTheme="majorBidi" w:hAnsiTheme="majorBidi" w:cstheme="majorBidi"/>
                <w:b/>
                <w:bCs/>
                <w:sz w:val="20"/>
                <w:szCs w:val="20"/>
              </w:rPr>
            </w:pPr>
            <w:r w:rsidRPr="007707C6">
              <w:rPr>
                <w:rFonts w:asciiTheme="majorBidi" w:hAnsiTheme="majorBidi" w:cstheme="majorBidi"/>
                <w:b/>
                <w:bCs/>
                <w:sz w:val="20"/>
                <w:szCs w:val="20"/>
                <w:lang w:val="en-GB"/>
              </w:rPr>
              <w:t>0.007</w:t>
            </w:r>
          </w:p>
        </w:tc>
        <w:tc>
          <w:tcPr>
            <w:tcW w:w="780" w:type="dxa"/>
          </w:tcPr>
          <w:p w14:paraId="167093C2" w14:textId="77777777" w:rsidR="007707C6" w:rsidRPr="007707C6" w:rsidRDefault="007707C6" w:rsidP="007707C6">
            <w:pPr>
              <w:rPr>
                <w:rFonts w:asciiTheme="majorBidi" w:hAnsiTheme="majorBidi" w:cstheme="majorBidi"/>
                <w:b/>
                <w:bCs/>
                <w:sz w:val="20"/>
                <w:szCs w:val="20"/>
              </w:rPr>
            </w:pPr>
            <w:r w:rsidRPr="007707C6">
              <w:rPr>
                <w:rFonts w:asciiTheme="majorBidi" w:hAnsiTheme="majorBidi" w:cstheme="majorBidi"/>
                <w:b/>
                <w:bCs/>
                <w:sz w:val="20"/>
                <w:szCs w:val="20"/>
                <w:lang w:val="en-GB"/>
              </w:rPr>
              <w:t>&lt;0.001</w:t>
            </w:r>
          </w:p>
        </w:tc>
        <w:tc>
          <w:tcPr>
            <w:tcW w:w="1144" w:type="dxa"/>
          </w:tcPr>
          <w:p w14:paraId="77E12B3A" w14:textId="77777777" w:rsidR="007707C6" w:rsidRPr="007707C6" w:rsidRDefault="007707C6" w:rsidP="007707C6">
            <w:pPr>
              <w:rPr>
                <w:rFonts w:asciiTheme="majorBidi" w:hAnsiTheme="majorBidi" w:cstheme="majorBidi"/>
                <w:b/>
                <w:bCs/>
                <w:sz w:val="20"/>
                <w:szCs w:val="20"/>
              </w:rPr>
            </w:pPr>
          </w:p>
        </w:tc>
        <w:tc>
          <w:tcPr>
            <w:tcW w:w="741" w:type="dxa"/>
          </w:tcPr>
          <w:p w14:paraId="1444414A" w14:textId="77777777" w:rsidR="007707C6" w:rsidRPr="007707C6" w:rsidRDefault="007707C6" w:rsidP="007707C6">
            <w:pPr>
              <w:rPr>
                <w:rFonts w:asciiTheme="majorBidi" w:hAnsiTheme="majorBidi" w:cstheme="majorBidi"/>
                <w:b/>
                <w:bCs/>
                <w:sz w:val="20"/>
                <w:szCs w:val="20"/>
              </w:rPr>
            </w:pPr>
          </w:p>
        </w:tc>
        <w:tc>
          <w:tcPr>
            <w:tcW w:w="771" w:type="dxa"/>
          </w:tcPr>
          <w:p w14:paraId="1989790B" w14:textId="77777777" w:rsidR="007707C6" w:rsidRPr="007707C6" w:rsidRDefault="007707C6" w:rsidP="007707C6">
            <w:pPr>
              <w:rPr>
                <w:rFonts w:asciiTheme="majorBidi" w:hAnsiTheme="majorBidi" w:cstheme="majorBidi"/>
                <w:b/>
                <w:bCs/>
                <w:sz w:val="20"/>
                <w:szCs w:val="20"/>
              </w:rPr>
            </w:pPr>
          </w:p>
        </w:tc>
        <w:tc>
          <w:tcPr>
            <w:tcW w:w="1414" w:type="dxa"/>
          </w:tcPr>
          <w:p w14:paraId="49F56793" w14:textId="77777777" w:rsidR="007707C6" w:rsidRPr="007707C6" w:rsidRDefault="007707C6" w:rsidP="007707C6">
            <w:pPr>
              <w:rPr>
                <w:rFonts w:asciiTheme="majorBidi" w:hAnsiTheme="majorBidi" w:cstheme="majorBidi"/>
                <w:b/>
                <w:bCs/>
                <w:sz w:val="20"/>
                <w:szCs w:val="20"/>
              </w:rPr>
            </w:pPr>
          </w:p>
        </w:tc>
      </w:tr>
    </w:tbl>
    <w:p w14:paraId="39CA1040" w14:textId="77777777" w:rsidR="005317A8" w:rsidRPr="00762824" w:rsidRDefault="005317A8" w:rsidP="00204377">
      <w:pPr>
        <w:spacing w:after="0" w:line="240" w:lineRule="auto"/>
        <w:jc w:val="center"/>
        <w:rPr>
          <w:rFonts w:asciiTheme="majorBidi" w:eastAsia="Times New Roman" w:hAnsiTheme="majorBidi" w:cstheme="majorBidi"/>
          <w:sz w:val="24"/>
          <w:szCs w:val="24"/>
        </w:rPr>
      </w:pPr>
    </w:p>
    <w:p w14:paraId="17DE3FE5" w14:textId="77777777" w:rsidR="00EB3562" w:rsidRPr="00762824" w:rsidRDefault="00EB3562" w:rsidP="005317A8">
      <w:pPr>
        <w:rPr>
          <w:rFonts w:asciiTheme="majorBidi" w:hAnsiTheme="majorBidi" w:cstheme="majorBidi"/>
          <w:b/>
          <w:bCs/>
          <w:sz w:val="24"/>
          <w:szCs w:val="24"/>
        </w:rPr>
      </w:pPr>
    </w:p>
    <w:p w14:paraId="4445E319" w14:textId="77777777" w:rsidR="009A2702" w:rsidRPr="00762824" w:rsidRDefault="009A2702" w:rsidP="009A2702">
      <w:pPr>
        <w:spacing w:after="0" w:line="240" w:lineRule="auto"/>
        <w:rPr>
          <w:rFonts w:asciiTheme="majorBidi" w:eastAsia="Times New Roman" w:hAnsiTheme="majorBidi" w:cstheme="majorBidi"/>
          <w:b/>
          <w:bCs/>
          <w:sz w:val="24"/>
          <w:szCs w:val="24"/>
        </w:rPr>
      </w:pPr>
      <w:r w:rsidRPr="00762824">
        <w:rPr>
          <w:rFonts w:asciiTheme="majorBidi" w:eastAsia="Times New Roman" w:hAnsiTheme="majorBidi" w:cstheme="majorBidi"/>
          <w:b/>
          <w:bCs/>
          <w:sz w:val="24"/>
          <w:szCs w:val="24"/>
        </w:rPr>
        <w:t>Assessment of Hardy-Weinberg equilibrium and genetic power estimation for gene polymorphism (VDR-Taq1).</w:t>
      </w:r>
    </w:p>
    <w:p w14:paraId="482604AE" w14:textId="77777777" w:rsidR="00F54DE3" w:rsidRPr="00762824" w:rsidRDefault="00F54DE3" w:rsidP="00F54DE3">
      <w:pPr>
        <w:pStyle w:val="Default"/>
        <w:rPr>
          <w:rFonts w:asciiTheme="majorBidi" w:hAnsiTheme="majorBidi" w:cstheme="majorBidi"/>
          <w:color w:val="auto"/>
        </w:rPr>
      </w:pPr>
    </w:p>
    <w:p w14:paraId="758E75CD" w14:textId="77777777" w:rsidR="00F54DE3" w:rsidRPr="00762824" w:rsidRDefault="00F54DE3" w:rsidP="00221119">
      <w:pPr>
        <w:jc w:val="both"/>
        <w:rPr>
          <w:rFonts w:asciiTheme="majorBidi" w:hAnsiTheme="majorBidi" w:cstheme="majorBidi"/>
          <w:sz w:val="24"/>
          <w:szCs w:val="24"/>
        </w:rPr>
      </w:pPr>
      <w:r w:rsidRPr="00762824">
        <w:rPr>
          <w:rFonts w:asciiTheme="majorBidi" w:hAnsiTheme="majorBidi" w:cstheme="majorBidi"/>
          <w:sz w:val="24"/>
          <w:szCs w:val="24"/>
        </w:rPr>
        <w:t xml:space="preserve"> </w:t>
      </w:r>
      <w:r w:rsidR="00967C57" w:rsidRPr="00762824">
        <w:rPr>
          <w:rFonts w:asciiTheme="majorBidi" w:hAnsiTheme="majorBidi" w:cstheme="majorBidi"/>
          <w:sz w:val="24"/>
          <w:szCs w:val="24"/>
        </w:rPr>
        <w:t>The results of comparing the tested population's observed and expected SNIP values with (</w:t>
      </w:r>
      <w:proofErr w:type="spellStart"/>
      <w:r w:rsidR="00967C57" w:rsidRPr="00762824">
        <w:rPr>
          <w:rFonts w:asciiTheme="majorBidi" w:hAnsiTheme="majorBidi" w:cstheme="majorBidi"/>
          <w:sz w:val="24"/>
          <w:szCs w:val="24"/>
        </w:rPr>
        <w:t>rs</w:t>
      </w:r>
      <w:proofErr w:type="spellEnd"/>
      <w:r w:rsidR="00967C57" w:rsidRPr="00762824">
        <w:rPr>
          <w:rFonts w:asciiTheme="majorBidi" w:hAnsiTheme="majorBidi" w:cstheme="majorBidi"/>
          <w:sz w:val="24"/>
          <w:szCs w:val="24"/>
        </w:rPr>
        <w:t xml:space="preserve"> 731236) are displayed in Table </w:t>
      </w:r>
      <w:r w:rsidR="006B126D">
        <w:rPr>
          <w:rFonts w:asciiTheme="majorBidi" w:hAnsiTheme="majorBidi" w:cstheme="majorBidi"/>
          <w:sz w:val="24"/>
          <w:szCs w:val="24"/>
        </w:rPr>
        <w:t>4</w:t>
      </w:r>
      <w:r w:rsidR="00967C57" w:rsidRPr="00762824">
        <w:rPr>
          <w:rFonts w:asciiTheme="majorBidi" w:hAnsiTheme="majorBidi" w:cstheme="majorBidi"/>
          <w:sz w:val="24"/>
          <w:szCs w:val="24"/>
        </w:rPr>
        <w:t xml:space="preserve"> and Fig. 2. </w:t>
      </w:r>
      <w:r w:rsidR="00C43224" w:rsidRPr="00762824">
        <w:rPr>
          <w:rFonts w:asciiTheme="majorBidi" w:hAnsiTheme="majorBidi" w:cstheme="majorBidi"/>
          <w:sz w:val="24"/>
          <w:szCs w:val="24"/>
        </w:rPr>
        <w:t>Since both the distribution and the proportion of individuals with rs731236 differed from what would be expected under</w:t>
      </w:r>
      <w:r w:rsidR="00253F9F" w:rsidRPr="00762824">
        <w:rPr>
          <w:rFonts w:asciiTheme="majorBidi" w:hAnsiTheme="majorBidi" w:cstheme="majorBidi"/>
          <w:sz w:val="24"/>
          <w:szCs w:val="24"/>
        </w:rPr>
        <w:t xml:space="preserve"> the equilibrium of</w:t>
      </w:r>
      <w:r w:rsidR="00C43224" w:rsidRPr="00762824">
        <w:rPr>
          <w:rFonts w:asciiTheme="majorBidi" w:hAnsiTheme="majorBidi" w:cstheme="majorBidi"/>
          <w:sz w:val="24"/>
          <w:szCs w:val="24"/>
        </w:rPr>
        <w:t xml:space="preserve"> Hardy-Weinberg, </w:t>
      </w:r>
      <w:r w:rsidR="00221119" w:rsidRPr="007707C6">
        <w:rPr>
          <w:rFonts w:asciiTheme="majorBidi" w:hAnsiTheme="majorBidi" w:cstheme="majorBidi"/>
          <w:sz w:val="24"/>
          <w:szCs w:val="24"/>
        </w:rPr>
        <w:t>the</w:t>
      </w:r>
      <w:r w:rsidR="007707C6" w:rsidRPr="007707C6">
        <w:rPr>
          <w:rFonts w:asciiTheme="majorBidi" w:hAnsiTheme="majorBidi" w:cstheme="majorBidi"/>
          <w:sz w:val="24"/>
          <w:szCs w:val="24"/>
        </w:rPr>
        <w:t xml:space="preserve"> results showed statistically significant, the most important of which were these results:</w:t>
      </w:r>
      <w:r w:rsidR="00967C57" w:rsidRPr="00762824">
        <w:rPr>
          <w:rFonts w:asciiTheme="majorBidi" w:hAnsiTheme="majorBidi" w:cstheme="majorBidi"/>
          <w:sz w:val="24"/>
          <w:szCs w:val="24"/>
        </w:rPr>
        <w:t xml:space="preserve"> TT</w:t>
      </w:r>
      <w:r w:rsidR="00221119">
        <w:rPr>
          <w:rFonts w:asciiTheme="majorBidi" w:hAnsiTheme="majorBidi" w:cstheme="majorBidi"/>
          <w:sz w:val="24"/>
          <w:szCs w:val="24"/>
        </w:rPr>
        <w:t>,</w:t>
      </w:r>
      <w:r w:rsidR="00967C57" w:rsidRPr="00762824">
        <w:rPr>
          <w:rFonts w:asciiTheme="majorBidi" w:hAnsiTheme="majorBidi" w:cstheme="majorBidi"/>
          <w:sz w:val="24"/>
          <w:szCs w:val="24"/>
        </w:rPr>
        <w:t xml:space="preserve"> </w:t>
      </w:r>
      <w:r w:rsidR="00221119" w:rsidRPr="00967C57">
        <w:rPr>
          <w:rFonts w:asciiTheme="majorBidi" w:hAnsiTheme="majorBidi" w:cstheme="majorBidi"/>
          <w:sz w:val="24"/>
          <w:szCs w:val="24"/>
        </w:rPr>
        <w:t>CC</w:t>
      </w:r>
      <w:r w:rsidR="00221119">
        <w:rPr>
          <w:rFonts w:asciiTheme="majorBidi" w:hAnsiTheme="majorBidi" w:cstheme="majorBidi"/>
          <w:sz w:val="24"/>
          <w:szCs w:val="24"/>
        </w:rPr>
        <w:t xml:space="preserve"> and </w:t>
      </w:r>
      <w:r w:rsidR="00221119" w:rsidRPr="00967C57">
        <w:rPr>
          <w:rFonts w:asciiTheme="majorBidi" w:hAnsiTheme="majorBidi" w:cstheme="majorBidi"/>
          <w:sz w:val="24"/>
          <w:szCs w:val="24"/>
        </w:rPr>
        <w:t>TC (31, 25.</w:t>
      </w:r>
      <w:r w:rsidR="00221119">
        <w:rPr>
          <w:rFonts w:asciiTheme="majorBidi" w:hAnsiTheme="majorBidi" w:cstheme="majorBidi"/>
          <w:sz w:val="24"/>
          <w:szCs w:val="24"/>
        </w:rPr>
        <w:t>3</w:t>
      </w:r>
      <w:r w:rsidR="00221119" w:rsidRPr="00967C57">
        <w:rPr>
          <w:rFonts w:asciiTheme="majorBidi" w:hAnsiTheme="majorBidi" w:cstheme="majorBidi"/>
          <w:sz w:val="24"/>
          <w:szCs w:val="24"/>
        </w:rPr>
        <w:t>; 10, 4.</w:t>
      </w:r>
      <w:r w:rsidR="00221119">
        <w:rPr>
          <w:rFonts w:asciiTheme="majorBidi" w:hAnsiTheme="majorBidi" w:cstheme="majorBidi"/>
          <w:sz w:val="24"/>
          <w:szCs w:val="24"/>
        </w:rPr>
        <w:t>6</w:t>
      </w:r>
      <w:r w:rsidR="00221119" w:rsidRPr="00967C57">
        <w:rPr>
          <w:rFonts w:asciiTheme="majorBidi" w:hAnsiTheme="majorBidi" w:cstheme="majorBidi"/>
          <w:sz w:val="24"/>
          <w:szCs w:val="24"/>
        </w:rPr>
        <w:t>; 9, 20.</w:t>
      </w:r>
      <w:r w:rsidR="00221119">
        <w:rPr>
          <w:rFonts w:asciiTheme="majorBidi" w:hAnsiTheme="majorBidi" w:cstheme="majorBidi"/>
          <w:sz w:val="24"/>
          <w:szCs w:val="24"/>
        </w:rPr>
        <w:t>5)</w:t>
      </w:r>
      <w:r w:rsidR="00967C57" w:rsidRPr="00762824">
        <w:rPr>
          <w:rFonts w:asciiTheme="majorBidi" w:hAnsiTheme="majorBidi" w:cstheme="majorBidi"/>
          <w:sz w:val="24"/>
          <w:szCs w:val="24"/>
        </w:rPr>
        <w:t xml:space="preserve"> </w:t>
      </w:r>
      <w:r w:rsidR="005C1418">
        <w:rPr>
          <w:rFonts w:asciiTheme="majorBidi" w:hAnsiTheme="majorBidi" w:cstheme="majorBidi"/>
          <w:sz w:val="24"/>
          <w:szCs w:val="24"/>
        </w:rPr>
        <w:t xml:space="preserve">respectively, </w:t>
      </w:r>
      <w:r w:rsidR="00967C57" w:rsidRPr="00762824">
        <w:rPr>
          <w:rFonts w:asciiTheme="majorBidi" w:hAnsiTheme="majorBidi" w:cstheme="majorBidi"/>
          <w:sz w:val="24"/>
          <w:szCs w:val="24"/>
        </w:rPr>
        <w:t>{</w:t>
      </w:r>
      <w:r w:rsidR="00814FF0" w:rsidRPr="00762824">
        <w:rPr>
          <w:rFonts w:asciiTheme="majorBidi" w:hAnsiTheme="majorBidi" w:cstheme="majorBidi"/>
          <w:color w:val="000000" w:themeColor="text1"/>
          <w:sz w:val="24"/>
          <w:szCs w:val="24"/>
        </w:rPr>
        <w:t>X</w:t>
      </w:r>
      <w:r w:rsidR="00814FF0" w:rsidRPr="00762824">
        <w:rPr>
          <w:rFonts w:asciiTheme="majorBidi" w:hAnsiTheme="majorBidi" w:cstheme="majorBidi"/>
          <w:color w:val="000000" w:themeColor="text1"/>
          <w:sz w:val="24"/>
          <w:szCs w:val="24"/>
          <w:vertAlign w:val="superscript"/>
        </w:rPr>
        <w:t>2</w:t>
      </w:r>
      <w:r w:rsidR="00814FF0" w:rsidRPr="00762824">
        <w:rPr>
          <w:rFonts w:asciiTheme="majorBidi" w:hAnsiTheme="majorBidi" w:cstheme="majorBidi"/>
          <w:color w:val="000000" w:themeColor="text1"/>
          <w:sz w:val="24"/>
          <w:szCs w:val="24"/>
        </w:rPr>
        <w:t>=</w:t>
      </w:r>
      <w:r w:rsidR="00967C57" w:rsidRPr="00762824">
        <w:rPr>
          <w:rFonts w:asciiTheme="majorBidi" w:hAnsiTheme="majorBidi" w:cstheme="majorBidi"/>
          <w:sz w:val="24"/>
          <w:szCs w:val="24"/>
        </w:rPr>
        <w:t>15.84</w:t>
      </w:r>
      <w:r w:rsidR="00814FF0" w:rsidRPr="00762824">
        <w:rPr>
          <w:rFonts w:asciiTheme="majorBidi" w:hAnsiTheme="majorBidi" w:cstheme="majorBidi"/>
          <w:sz w:val="24"/>
          <w:szCs w:val="24"/>
        </w:rPr>
        <w:t>2</w:t>
      </w:r>
      <w:r w:rsidR="00967C57" w:rsidRPr="00762824">
        <w:rPr>
          <w:rFonts w:asciiTheme="majorBidi" w:hAnsiTheme="majorBidi" w:cstheme="majorBidi"/>
          <w:sz w:val="24"/>
          <w:szCs w:val="24"/>
        </w:rPr>
        <w:t>, P &lt; 0.001}.</w:t>
      </w:r>
    </w:p>
    <w:p w14:paraId="754A3D91" w14:textId="77777777" w:rsidR="00C26898" w:rsidRPr="00762824" w:rsidRDefault="00C26898" w:rsidP="00C26898">
      <w:pPr>
        <w:tabs>
          <w:tab w:val="left" w:pos="6784"/>
        </w:tabs>
        <w:rPr>
          <w:rFonts w:asciiTheme="majorBidi" w:hAnsiTheme="majorBidi" w:cstheme="majorBidi"/>
          <w:b/>
          <w:bCs/>
          <w:color w:val="000000" w:themeColor="text1"/>
          <w:sz w:val="24"/>
          <w:szCs w:val="24"/>
          <w:rtl/>
        </w:rPr>
      </w:pPr>
    </w:p>
    <w:p w14:paraId="3C28ECDF" w14:textId="77777777" w:rsidR="00F61AF8" w:rsidRPr="00762824" w:rsidRDefault="00F54DE3" w:rsidP="006B126D">
      <w:pPr>
        <w:rPr>
          <w:rFonts w:asciiTheme="majorBidi" w:eastAsia="Times New Roman" w:hAnsiTheme="majorBidi" w:cstheme="majorBidi"/>
          <w:b/>
          <w:bCs/>
          <w:sz w:val="24"/>
          <w:szCs w:val="24"/>
        </w:rPr>
      </w:pPr>
      <w:r w:rsidRPr="00762824">
        <w:rPr>
          <w:rFonts w:asciiTheme="majorBidi" w:hAnsiTheme="majorBidi" w:cstheme="majorBidi"/>
          <w:b/>
          <w:bCs/>
          <w:color w:val="000000" w:themeColor="text1"/>
          <w:sz w:val="24"/>
          <w:szCs w:val="24"/>
        </w:rPr>
        <w:t xml:space="preserve">Table </w:t>
      </w:r>
      <w:r w:rsidR="006B126D">
        <w:rPr>
          <w:rFonts w:asciiTheme="majorBidi" w:hAnsiTheme="majorBidi" w:cstheme="majorBidi"/>
          <w:b/>
          <w:bCs/>
          <w:color w:val="000000" w:themeColor="text1"/>
          <w:sz w:val="24"/>
          <w:szCs w:val="24"/>
        </w:rPr>
        <w:t>4</w:t>
      </w:r>
      <w:r w:rsidRPr="00762824">
        <w:rPr>
          <w:rFonts w:asciiTheme="majorBidi" w:hAnsiTheme="majorBidi" w:cstheme="majorBidi"/>
          <w:b/>
          <w:bCs/>
          <w:color w:val="000000" w:themeColor="text1"/>
          <w:sz w:val="24"/>
          <w:szCs w:val="24"/>
        </w:rPr>
        <w:t xml:space="preserve">. </w:t>
      </w:r>
      <w:r w:rsidR="00F61AF8" w:rsidRPr="00221119">
        <w:rPr>
          <w:rFonts w:asciiTheme="majorBidi" w:eastAsia="Times New Roman" w:hAnsiTheme="majorBidi" w:cstheme="majorBidi"/>
          <w:sz w:val="24"/>
          <w:szCs w:val="24"/>
        </w:rPr>
        <w:t>Hardy-Weinberg equilibrium based on the genotype (</w:t>
      </w:r>
      <w:proofErr w:type="spellStart"/>
      <w:r w:rsidR="00F61AF8" w:rsidRPr="00221119">
        <w:rPr>
          <w:rFonts w:asciiTheme="majorBidi" w:eastAsia="Times New Roman" w:hAnsiTheme="majorBidi" w:cstheme="majorBidi"/>
          <w:sz w:val="24"/>
          <w:szCs w:val="24"/>
        </w:rPr>
        <w:t>rs</w:t>
      </w:r>
      <w:proofErr w:type="spellEnd"/>
      <w:r w:rsidR="00F61AF8" w:rsidRPr="00221119">
        <w:rPr>
          <w:rFonts w:asciiTheme="majorBidi" w:eastAsia="Times New Roman" w:hAnsiTheme="majorBidi" w:cstheme="majorBidi"/>
          <w:sz w:val="24"/>
          <w:szCs w:val="24"/>
        </w:rPr>
        <w:t xml:space="preserve"> 731236) in the control group.</w:t>
      </w:r>
    </w:p>
    <w:tbl>
      <w:tblPr>
        <w:tblStyle w:val="TableGrid3"/>
        <w:tblpPr w:leftFromText="180" w:rightFromText="180" w:vertAnchor="text" w:horzAnchor="margin" w:tblpXSpec="center" w:tblpY="13"/>
        <w:tblW w:w="9108" w:type="dxa"/>
        <w:tblLayout w:type="fixed"/>
        <w:tblLook w:val="04A0" w:firstRow="1" w:lastRow="0" w:firstColumn="1" w:lastColumn="0" w:noHBand="0" w:noVBand="1"/>
      </w:tblPr>
      <w:tblGrid>
        <w:gridCol w:w="3393"/>
        <w:gridCol w:w="1460"/>
        <w:gridCol w:w="800"/>
        <w:gridCol w:w="673"/>
        <w:gridCol w:w="719"/>
        <w:gridCol w:w="2063"/>
      </w:tblGrid>
      <w:tr w:rsidR="00F54DE3" w:rsidRPr="00762824" w14:paraId="110E5C73" w14:textId="77777777" w:rsidTr="00204377">
        <w:trPr>
          <w:trHeight w:val="593"/>
        </w:trPr>
        <w:tc>
          <w:tcPr>
            <w:tcW w:w="5653" w:type="dxa"/>
            <w:gridSpan w:val="3"/>
            <w:vMerge w:val="restart"/>
          </w:tcPr>
          <w:p w14:paraId="0913F0F8" w14:textId="77777777" w:rsidR="00F54DE3" w:rsidRPr="00762824" w:rsidRDefault="00F54DE3" w:rsidP="007D6ECE">
            <w:pPr>
              <w:jc w:val="center"/>
              <w:rPr>
                <w:rFonts w:asciiTheme="majorBidi" w:hAnsiTheme="majorBidi" w:cstheme="majorBidi"/>
                <w:b/>
                <w:bCs/>
                <w:color w:val="000000" w:themeColor="text1"/>
                <w:sz w:val="24"/>
                <w:szCs w:val="24"/>
              </w:rPr>
            </w:pPr>
            <w:r w:rsidRPr="00762824">
              <w:rPr>
                <w:rFonts w:asciiTheme="majorBidi" w:hAnsiTheme="majorBidi" w:cstheme="majorBidi"/>
                <w:b/>
                <w:bCs/>
                <w:color w:val="000000" w:themeColor="text1"/>
                <w:sz w:val="24"/>
                <w:szCs w:val="24"/>
              </w:rPr>
              <w:t>Genotypes</w:t>
            </w:r>
          </w:p>
        </w:tc>
        <w:tc>
          <w:tcPr>
            <w:tcW w:w="1392" w:type="dxa"/>
            <w:gridSpan w:val="2"/>
          </w:tcPr>
          <w:p w14:paraId="5D101848" w14:textId="77777777" w:rsidR="00F54DE3" w:rsidRPr="00762824" w:rsidRDefault="00F54DE3" w:rsidP="007D6ECE">
            <w:pPr>
              <w:jc w:val="center"/>
              <w:rPr>
                <w:rFonts w:asciiTheme="majorBidi" w:hAnsiTheme="majorBidi" w:cstheme="majorBidi"/>
                <w:b/>
                <w:bCs/>
                <w:color w:val="000000" w:themeColor="text1"/>
                <w:sz w:val="24"/>
                <w:szCs w:val="24"/>
              </w:rPr>
            </w:pPr>
            <w:r w:rsidRPr="00762824">
              <w:rPr>
                <w:rFonts w:asciiTheme="majorBidi" w:hAnsiTheme="majorBidi" w:cstheme="majorBidi"/>
                <w:b/>
                <w:bCs/>
                <w:color w:val="000000" w:themeColor="text1"/>
                <w:sz w:val="24"/>
                <w:szCs w:val="24"/>
              </w:rPr>
              <w:t>Alleles</w:t>
            </w:r>
          </w:p>
        </w:tc>
        <w:tc>
          <w:tcPr>
            <w:tcW w:w="2063" w:type="dxa"/>
            <w:vMerge w:val="restart"/>
          </w:tcPr>
          <w:p w14:paraId="4D807938" w14:textId="77777777" w:rsidR="00C43224" w:rsidRPr="00762824" w:rsidRDefault="00253F9F" w:rsidP="00204377">
            <w:pPr>
              <w:jc w:val="center"/>
              <w:rPr>
                <w:rFonts w:asciiTheme="majorBidi" w:hAnsiTheme="majorBidi" w:cstheme="majorBidi"/>
                <w:b/>
                <w:bCs/>
                <w:color w:val="000000" w:themeColor="text1"/>
                <w:sz w:val="24"/>
                <w:szCs w:val="24"/>
              </w:rPr>
            </w:pPr>
            <w:r w:rsidRPr="00762824">
              <w:rPr>
                <w:rFonts w:asciiTheme="majorBidi" w:hAnsiTheme="majorBidi" w:cstheme="majorBidi"/>
                <w:b/>
                <w:bCs/>
                <w:color w:val="000000" w:themeColor="text1"/>
                <w:sz w:val="24"/>
                <w:szCs w:val="24"/>
              </w:rPr>
              <w:t>The equilibrium</w:t>
            </w:r>
            <w:r w:rsidR="00204377" w:rsidRPr="00762824">
              <w:rPr>
                <w:rFonts w:asciiTheme="majorBidi" w:hAnsiTheme="majorBidi" w:cstheme="majorBidi"/>
                <w:b/>
                <w:bCs/>
                <w:color w:val="000000" w:themeColor="text1"/>
                <w:sz w:val="24"/>
                <w:szCs w:val="24"/>
              </w:rPr>
              <w:t xml:space="preserve"> of </w:t>
            </w:r>
            <w:r w:rsidR="00F54DE3" w:rsidRPr="00762824">
              <w:rPr>
                <w:rFonts w:asciiTheme="majorBidi" w:hAnsiTheme="majorBidi" w:cstheme="majorBidi"/>
                <w:b/>
                <w:bCs/>
                <w:color w:val="000000" w:themeColor="text1"/>
                <w:sz w:val="24"/>
                <w:szCs w:val="24"/>
              </w:rPr>
              <w:t xml:space="preserve">Hardy–Weinberg </w:t>
            </w:r>
          </w:p>
          <w:p w14:paraId="54B724DF" w14:textId="77777777" w:rsidR="00F54DE3" w:rsidRPr="00762824" w:rsidRDefault="00C43224" w:rsidP="007D6ECE">
            <w:pPr>
              <w:jc w:val="center"/>
              <w:rPr>
                <w:rFonts w:asciiTheme="majorBidi" w:hAnsiTheme="majorBidi" w:cstheme="majorBidi"/>
                <w:b/>
                <w:bCs/>
                <w:color w:val="000000" w:themeColor="text1"/>
                <w:sz w:val="24"/>
                <w:szCs w:val="24"/>
              </w:rPr>
            </w:pPr>
            <w:r w:rsidRPr="00762824">
              <w:rPr>
                <w:rFonts w:asciiTheme="majorBidi" w:hAnsiTheme="majorBidi" w:cstheme="majorBidi"/>
                <w:b/>
                <w:bCs/>
                <w:color w:val="000000" w:themeColor="text1"/>
                <w:sz w:val="24"/>
                <w:szCs w:val="24"/>
              </w:rPr>
              <w:t>(</w:t>
            </w:r>
            <w:r w:rsidR="00F54DE3" w:rsidRPr="00762824">
              <w:rPr>
                <w:rFonts w:asciiTheme="majorBidi" w:hAnsiTheme="majorBidi" w:cstheme="majorBidi"/>
                <w:b/>
                <w:bCs/>
                <w:color w:val="000000" w:themeColor="text1"/>
                <w:sz w:val="24"/>
                <w:szCs w:val="24"/>
              </w:rPr>
              <w:t xml:space="preserve"> X</w:t>
            </w:r>
            <w:r w:rsidR="00F54DE3" w:rsidRPr="00762824">
              <w:rPr>
                <w:rFonts w:asciiTheme="majorBidi" w:hAnsiTheme="majorBidi" w:cstheme="majorBidi"/>
                <w:b/>
                <w:bCs/>
                <w:color w:val="000000" w:themeColor="text1"/>
                <w:sz w:val="24"/>
                <w:szCs w:val="24"/>
                <w:vertAlign w:val="superscript"/>
              </w:rPr>
              <w:t xml:space="preserve">2 </w:t>
            </w:r>
            <w:r w:rsidR="00F54DE3" w:rsidRPr="00762824">
              <w:rPr>
                <w:rFonts w:asciiTheme="majorBidi" w:hAnsiTheme="majorBidi" w:cstheme="majorBidi"/>
                <w:b/>
                <w:bCs/>
                <w:color w:val="000000" w:themeColor="text1"/>
                <w:sz w:val="24"/>
                <w:szCs w:val="24"/>
              </w:rPr>
              <w:t>test</w:t>
            </w:r>
            <w:r w:rsidRPr="00762824">
              <w:rPr>
                <w:rFonts w:asciiTheme="majorBidi" w:hAnsiTheme="majorBidi" w:cstheme="majorBidi"/>
                <w:b/>
                <w:bCs/>
                <w:color w:val="000000" w:themeColor="text1"/>
                <w:sz w:val="24"/>
                <w:szCs w:val="24"/>
              </w:rPr>
              <w:t>)</w:t>
            </w:r>
          </w:p>
        </w:tc>
      </w:tr>
      <w:tr w:rsidR="00F54DE3" w:rsidRPr="00762824" w14:paraId="70834439" w14:textId="77777777" w:rsidTr="00204377">
        <w:trPr>
          <w:trHeight w:val="92"/>
        </w:trPr>
        <w:tc>
          <w:tcPr>
            <w:tcW w:w="5653" w:type="dxa"/>
            <w:gridSpan w:val="3"/>
            <w:vMerge/>
          </w:tcPr>
          <w:p w14:paraId="6EFD6EA8" w14:textId="77777777" w:rsidR="00F54DE3" w:rsidRPr="00762824" w:rsidRDefault="00F54DE3" w:rsidP="007D6ECE">
            <w:pPr>
              <w:jc w:val="center"/>
              <w:rPr>
                <w:rFonts w:asciiTheme="majorBidi" w:hAnsiTheme="majorBidi" w:cstheme="majorBidi"/>
                <w:color w:val="000000" w:themeColor="text1"/>
                <w:sz w:val="24"/>
                <w:szCs w:val="24"/>
              </w:rPr>
            </w:pPr>
          </w:p>
        </w:tc>
        <w:tc>
          <w:tcPr>
            <w:tcW w:w="673" w:type="dxa"/>
          </w:tcPr>
          <w:p w14:paraId="0B8B1CCB" w14:textId="77777777" w:rsidR="00F54DE3" w:rsidRPr="00762824" w:rsidRDefault="00F54DE3" w:rsidP="007D6ECE">
            <w:pPr>
              <w:jc w:val="center"/>
              <w:rPr>
                <w:rFonts w:asciiTheme="majorBidi" w:hAnsiTheme="majorBidi" w:cstheme="majorBidi"/>
                <w:color w:val="000000" w:themeColor="text1"/>
                <w:sz w:val="24"/>
                <w:szCs w:val="24"/>
              </w:rPr>
            </w:pPr>
            <w:r w:rsidRPr="00762824">
              <w:rPr>
                <w:rFonts w:asciiTheme="majorBidi" w:hAnsiTheme="majorBidi" w:cstheme="majorBidi"/>
                <w:color w:val="000000" w:themeColor="text1"/>
                <w:sz w:val="24"/>
                <w:szCs w:val="24"/>
              </w:rPr>
              <w:t>T</w:t>
            </w:r>
          </w:p>
        </w:tc>
        <w:tc>
          <w:tcPr>
            <w:tcW w:w="719" w:type="dxa"/>
          </w:tcPr>
          <w:p w14:paraId="72DC51AA" w14:textId="77777777" w:rsidR="00F54DE3" w:rsidRPr="00762824" w:rsidRDefault="00F54DE3" w:rsidP="007D6ECE">
            <w:pPr>
              <w:jc w:val="center"/>
              <w:rPr>
                <w:rFonts w:asciiTheme="majorBidi" w:hAnsiTheme="majorBidi" w:cstheme="majorBidi"/>
                <w:color w:val="000000" w:themeColor="text1"/>
                <w:sz w:val="24"/>
                <w:szCs w:val="24"/>
              </w:rPr>
            </w:pPr>
            <w:r w:rsidRPr="00762824">
              <w:rPr>
                <w:rFonts w:asciiTheme="majorBidi" w:hAnsiTheme="majorBidi" w:cstheme="majorBidi"/>
                <w:color w:val="000000" w:themeColor="text1"/>
                <w:sz w:val="24"/>
                <w:szCs w:val="24"/>
              </w:rPr>
              <w:t>C</w:t>
            </w:r>
          </w:p>
        </w:tc>
        <w:tc>
          <w:tcPr>
            <w:tcW w:w="2063" w:type="dxa"/>
            <w:vMerge/>
          </w:tcPr>
          <w:p w14:paraId="0935D043" w14:textId="77777777" w:rsidR="00F54DE3" w:rsidRPr="00762824" w:rsidRDefault="00F54DE3" w:rsidP="007D6ECE">
            <w:pPr>
              <w:jc w:val="center"/>
              <w:rPr>
                <w:rFonts w:asciiTheme="majorBidi" w:hAnsiTheme="majorBidi" w:cstheme="majorBidi"/>
                <w:color w:val="000000" w:themeColor="text1"/>
                <w:sz w:val="24"/>
                <w:szCs w:val="24"/>
              </w:rPr>
            </w:pPr>
          </w:p>
        </w:tc>
      </w:tr>
      <w:tr w:rsidR="00F54DE3" w:rsidRPr="00762824" w14:paraId="670CE9F5" w14:textId="77777777" w:rsidTr="00204377">
        <w:trPr>
          <w:trHeight w:val="260"/>
        </w:trPr>
        <w:tc>
          <w:tcPr>
            <w:tcW w:w="3393" w:type="dxa"/>
          </w:tcPr>
          <w:p w14:paraId="76DD2D26" w14:textId="77777777" w:rsidR="00F54DE3" w:rsidRPr="00762824" w:rsidRDefault="00F54DE3" w:rsidP="007D6ECE">
            <w:pPr>
              <w:jc w:val="center"/>
              <w:rPr>
                <w:rFonts w:asciiTheme="majorBidi" w:hAnsiTheme="majorBidi" w:cstheme="majorBidi"/>
                <w:b/>
                <w:bCs/>
                <w:color w:val="000000" w:themeColor="text1"/>
                <w:sz w:val="24"/>
                <w:szCs w:val="24"/>
              </w:rPr>
            </w:pPr>
            <w:r w:rsidRPr="00762824">
              <w:rPr>
                <w:rFonts w:asciiTheme="majorBidi" w:hAnsiTheme="majorBidi" w:cstheme="majorBidi"/>
                <w:b/>
                <w:bCs/>
                <w:color w:val="000000" w:themeColor="text1"/>
                <w:sz w:val="24"/>
                <w:szCs w:val="24"/>
              </w:rPr>
              <w:t>Genotype N=50</w:t>
            </w:r>
          </w:p>
        </w:tc>
        <w:tc>
          <w:tcPr>
            <w:tcW w:w="1460" w:type="dxa"/>
          </w:tcPr>
          <w:p w14:paraId="1E1A011E" w14:textId="77777777" w:rsidR="00F54DE3" w:rsidRPr="00762824" w:rsidRDefault="00F54DE3" w:rsidP="00F05C6A">
            <w:pPr>
              <w:jc w:val="center"/>
              <w:rPr>
                <w:rFonts w:asciiTheme="majorBidi" w:hAnsiTheme="majorBidi" w:cstheme="majorBidi"/>
                <w:b/>
                <w:bCs/>
                <w:color w:val="000000" w:themeColor="text1"/>
                <w:sz w:val="24"/>
                <w:szCs w:val="24"/>
              </w:rPr>
            </w:pPr>
            <w:r w:rsidRPr="00762824">
              <w:rPr>
                <w:rFonts w:asciiTheme="majorBidi" w:hAnsiTheme="majorBidi" w:cstheme="majorBidi"/>
                <w:b/>
                <w:bCs/>
                <w:color w:val="000000" w:themeColor="text1"/>
                <w:sz w:val="24"/>
                <w:szCs w:val="24"/>
              </w:rPr>
              <w:t>Frequenc</w:t>
            </w:r>
            <w:r w:rsidR="00F05C6A" w:rsidRPr="00762824">
              <w:rPr>
                <w:rFonts w:asciiTheme="majorBidi" w:hAnsiTheme="majorBidi" w:cstheme="majorBidi"/>
                <w:b/>
                <w:bCs/>
                <w:color w:val="000000" w:themeColor="text1"/>
                <w:sz w:val="24"/>
                <w:szCs w:val="24"/>
              </w:rPr>
              <w:t>ies</w:t>
            </w:r>
          </w:p>
        </w:tc>
        <w:tc>
          <w:tcPr>
            <w:tcW w:w="800" w:type="dxa"/>
          </w:tcPr>
          <w:p w14:paraId="66A9AE8B" w14:textId="77777777" w:rsidR="00F54DE3" w:rsidRPr="00762824" w:rsidRDefault="00F54DE3" w:rsidP="007D6ECE">
            <w:pPr>
              <w:jc w:val="center"/>
              <w:rPr>
                <w:rFonts w:asciiTheme="majorBidi" w:hAnsiTheme="majorBidi" w:cstheme="majorBidi"/>
                <w:b/>
                <w:bCs/>
                <w:color w:val="000000" w:themeColor="text1"/>
                <w:sz w:val="24"/>
                <w:szCs w:val="24"/>
              </w:rPr>
            </w:pPr>
            <w:r w:rsidRPr="00762824">
              <w:rPr>
                <w:rFonts w:asciiTheme="majorBidi" w:hAnsiTheme="majorBidi" w:cstheme="majorBidi"/>
                <w:b/>
                <w:bCs/>
                <w:color w:val="000000" w:themeColor="text1"/>
                <w:sz w:val="24"/>
                <w:szCs w:val="24"/>
              </w:rPr>
              <w:t>%</w:t>
            </w:r>
          </w:p>
        </w:tc>
        <w:tc>
          <w:tcPr>
            <w:tcW w:w="673" w:type="dxa"/>
            <w:vMerge w:val="restart"/>
          </w:tcPr>
          <w:p w14:paraId="1699F1C0" w14:textId="77777777" w:rsidR="00F54DE3" w:rsidRPr="00762824" w:rsidRDefault="00F54DE3" w:rsidP="007D6ECE">
            <w:pPr>
              <w:jc w:val="center"/>
              <w:rPr>
                <w:rFonts w:asciiTheme="majorBidi" w:hAnsiTheme="majorBidi" w:cstheme="majorBidi"/>
                <w:color w:val="000000" w:themeColor="text1"/>
                <w:sz w:val="24"/>
                <w:szCs w:val="24"/>
              </w:rPr>
            </w:pPr>
            <w:r w:rsidRPr="00762824">
              <w:rPr>
                <w:rFonts w:asciiTheme="majorBidi" w:hAnsiTheme="majorBidi" w:cstheme="majorBidi"/>
                <w:color w:val="000000" w:themeColor="text1"/>
                <w:sz w:val="24"/>
                <w:szCs w:val="24"/>
              </w:rPr>
              <w:t>0.71</w:t>
            </w:r>
          </w:p>
        </w:tc>
        <w:tc>
          <w:tcPr>
            <w:tcW w:w="719" w:type="dxa"/>
            <w:vMerge w:val="restart"/>
          </w:tcPr>
          <w:p w14:paraId="2ADC11C4" w14:textId="77777777" w:rsidR="00F54DE3" w:rsidRPr="00762824" w:rsidRDefault="00F54DE3" w:rsidP="007D6ECE">
            <w:pPr>
              <w:jc w:val="center"/>
              <w:rPr>
                <w:rFonts w:asciiTheme="majorBidi" w:hAnsiTheme="majorBidi" w:cstheme="majorBidi"/>
                <w:color w:val="000000" w:themeColor="text1"/>
                <w:sz w:val="24"/>
                <w:szCs w:val="24"/>
              </w:rPr>
            </w:pPr>
            <w:r w:rsidRPr="00762824">
              <w:rPr>
                <w:rFonts w:asciiTheme="majorBidi" w:hAnsiTheme="majorBidi" w:cstheme="majorBidi"/>
                <w:color w:val="000000" w:themeColor="text1"/>
                <w:sz w:val="24"/>
                <w:szCs w:val="24"/>
              </w:rPr>
              <w:t>0.29</w:t>
            </w:r>
          </w:p>
        </w:tc>
        <w:tc>
          <w:tcPr>
            <w:tcW w:w="2063" w:type="dxa"/>
            <w:vMerge w:val="restart"/>
          </w:tcPr>
          <w:p w14:paraId="57A25CD3" w14:textId="77777777" w:rsidR="00F54DE3" w:rsidRPr="00762824" w:rsidRDefault="00F54DE3" w:rsidP="00814FF0">
            <w:pPr>
              <w:jc w:val="center"/>
              <w:rPr>
                <w:rFonts w:asciiTheme="majorBidi" w:hAnsiTheme="majorBidi" w:cstheme="majorBidi"/>
                <w:color w:val="000000" w:themeColor="text1"/>
                <w:sz w:val="24"/>
                <w:szCs w:val="24"/>
              </w:rPr>
            </w:pPr>
            <w:r w:rsidRPr="00762824">
              <w:rPr>
                <w:rFonts w:asciiTheme="majorBidi" w:hAnsiTheme="majorBidi" w:cstheme="majorBidi"/>
                <w:color w:val="000000" w:themeColor="text1"/>
                <w:sz w:val="24"/>
                <w:szCs w:val="24"/>
              </w:rPr>
              <w:t>X</w:t>
            </w:r>
            <w:r w:rsidRPr="00762824">
              <w:rPr>
                <w:rFonts w:asciiTheme="majorBidi" w:hAnsiTheme="majorBidi" w:cstheme="majorBidi"/>
                <w:color w:val="000000" w:themeColor="text1"/>
                <w:sz w:val="24"/>
                <w:szCs w:val="24"/>
                <w:vertAlign w:val="superscript"/>
              </w:rPr>
              <w:t>2</w:t>
            </w:r>
            <w:r w:rsidRPr="00762824">
              <w:rPr>
                <w:rFonts w:asciiTheme="majorBidi" w:hAnsiTheme="majorBidi" w:cstheme="majorBidi"/>
                <w:color w:val="000000" w:themeColor="text1"/>
                <w:sz w:val="24"/>
                <w:szCs w:val="24"/>
              </w:rPr>
              <w:t>= 15.84</w:t>
            </w:r>
            <w:r w:rsidR="00814FF0" w:rsidRPr="00762824">
              <w:rPr>
                <w:rFonts w:asciiTheme="majorBidi" w:hAnsiTheme="majorBidi" w:cstheme="majorBidi"/>
                <w:color w:val="000000" w:themeColor="text1"/>
                <w:sz w:val="24"/>
                <w:szCs w:val="24"/>
              </w:rPr>
              <w:t>2</w:t>
            </w:r>
          </w:p>
          <w:p w14:paraId="0ACFF594" w14:textId="77777777" w:rsidR="00F54DE3" w:rsidRPr="00762824" w:rsidRDefault="00F54DE3" w:rsidP="00F61AF8">
            <w:pPr>
              <w:jc w:val="center"/>
              <w:rPr>
                <w:rFonts w:asciiTheme="majorBidi" w:hAnsiTheme="majorBidi" w:cstheme="majorBidi"/>
                <w:color w:val="000000" w:themeColor="text1"/>
                <w:sz w:val="24"/>
                <w:szCs w:val="24"/>
              </w:rPr>
            </w:pPr>
            <w:r w:rsidRPr="00762824">
              <w:rPr>
                <w:rFonts w:asciiTheme="majorBidi" w:hAnsiTheme="majorBidi" w:cstheme="majorBidi"/>
                <w:color w:val="000000" w:themeColor="text1"/>
                <w:sz w:val="24"/>
                <w:szCs w:val="24"/>
              </w:rPr>
              <w:t xml:space="preserve">P &lt; </w:t>
            </w:r>
            <w:r w:rsidRPr="00762824">
              <w:rPr>
                <w:rFonts w:asciiTheme="majorBidi" w:hAnsiTheme="majorBidi" w:cstheme="majorBidi"/>
                <w:b/>
                <w:bCs/>
                <w:color w:val="000000" w:themeColor="text1"/>
                <w:sz w:val="24"/>
                <w:szCs w:val="24"/>
              </w:rPr>
              <w:t xml:space="preserve">0.001 </w:t>
            </w:r>
            <w:r w:rsidR="00F61AF8" w:rsidRPr="00762824">
              <w:rPr>
                <w:rFonts w:asciiTheme="majorBidi" w:hAnsiTheme="majorBidi" w:cstheme="majorBidi"/>
                <w:color w:val="000000" w:themeColor="text1"/>
                <w:sz w:val="24"/>
                <w:szCs w:val="24"/>
              </w:rPr>
              <w:t>*</w:t>
            </w:r>
          </w:p>
        </w:tc>
      </w:tr>
      <w:tr w:rsidR="00F54DE3" w:rsidRPr="00762824" w14:paraId="081E7193" w14:textId="77777777" w:rsidTr="00204377">
        <w:trPr>
          <w:trHeight w:val="352"/>
        </w:trPr>
        <w:tc>
          <w:tcPr>
            <w:tcW w:w="3393" w:type="dxa"/>
          </w:tcPr>
          <w:p w14:paraId="757848DF" w14:textId="77777777" w:rsidR="00F54DE3" w:rsidRPr="00762824" w:rsidRDefault="00F54DE3" w:rsidP="00F61AF8">
            <w:pPr>
              <w:rPr>
                <w:rFonts w:asciiTheme="majorBidi" w:hAnsiTheme="majorBidi" w:cstheme="majorBidi"/>
                <w:color w:val="000000" w:themeColor="text1"/>
                <w:sz w:val="24"/>
                <w:szCs w:val="24"/>
              </w:rPr>
            </w:pPr>
            <w:r w:rsidRPr="00762824">
              <w:rPr>
                <w:rFonts w:asciiTheme="majorBidi" w:hAnsiTheme="majorBidi" w:cstheme="majorBidi"/>
                <w:color w:val="000000" w:themeColor="text1"/>
                <w:sz w:val="24"/>
                <w:szCs w:val="24"/>
              </w:rPr>
              <w:t>TT</w:t>
            </w:r>
            <w:r w:rsidR="007D6ECE" w:rsidRPr="00762824">
              <w:rPr>
                <w:rFonts w:asciiTheme="majorBidi" w:hAnsiTheme="majorBidi" w:cstheme="majorBidi"/>
                <w:color w:val="000000" w:themeColor="text1"/>
                <w:sz w:val="24"/>
                <w:szCs w:val="24"/>
              </w:rPr>
              <w:t xml:space="preserve"> </w:t>
            </w:r>
            <w:r w:rsidRPr="00762824">
              <w:rPr>
                <w:rFonts w:asciiTheme="majorBidi" w:hAnsiTheme="majorBidi" w:cstheme="majorBidi"/>
                <w:color w:val="000000" w:themeColor="text1"/>
                <w:sz w:val="24"/>
                <w:szCs w:val="24"/>
              </w:rPr>
              <w:t>(Wild)</w:t>
            </w:r>
          </w:p>
        </w:tc>
        <w:tc>
          <w:tcPr>
            <w:tcW w:w="1460" w:type="dxa"/>
          </w:tcPr>
          <w:p w14:paraId="2290904B" w14:textId="77777777" w:rsidR="00F54DE3" w:rsidRPr="00762824" w:rsidRDefault="00F54DE3" w:rsidP="007D6ECE">
            <w:pPr>
              <w:jc w:val="center"/>
              <w:rPr>
                <w:rFonts w:asciiTheme="majorBidi" w:hAnsiTheme="majorBidi" w:cstheme="majorBidi"/>
                <w:color w:val="000000" w:themeColor="text1"/>
                <w:sz w:val="24"/>
                <w:szCs w:val="24"/>
              </w:rPr>
            </w:pPr>
            <w:r w:rsidRPr="00762824">
              <w:rPr>
                <w:rFonts w:asciiTheme="majorBidi" w:hAnsiTheme="majorBidi" w:cstheme="majorBidi"/>
                <w:color w:val="000000"/>
                <w:sz w:val="24"/>
                <w:szCs w:val="24"/>
              </w:rPr>
              <w:t>31</w:t>
            </w:r>
          </w:p>
        </w:tc>
        <w:tc>
          <w:tcPr>
            <w:tcW w:w="800" w:type="dxa"/>
          </w:tcPr>
          <w:p w14:paraId="1EFC5BB3" w14:textId="77777777" w:rsidR="00F54DE3" w:rsidRPr="00762824" w:rsidRDefault="00F54DE3" w:rsidP="007D6ECE">
            <w:pPr>
              <w:jc w:val="center"/>
              <w:rPr>
                <w:rFonts w:asciiTheme="majorBidi" w:hAnsiTheme="majorBidi" w:cstheme="majorBidi"/>
                <w:color w:val="000000" w:themeColor="text1"/>
                <w:sz w:val="24"/>
                <w:szCs w:val="24"/>
              </w:rPr>
            </w:pPr>
            <w:r w:rsidRPr="00762824">
              <w:rPr>
                <w:rFonts w:asciiTheme="majorBidi" w:hAnsiTheme="majorBidi" w:cstheme="majorBidi"/>
                <w:color w:val="000000" w:themeColor="text1"/>
                <w:sz w:val="24"/>
                <w:szCs w:val="24"/>
              </w:rPr>
              <w:t>62</w:t>
            </w:r>
          </w:p>
        </w:tc>
        <w:tc>
          <w:tcPr>
            <w:tcW w:w="673" w:type="dxa"/>
            <w:vMerge/>
          </w:tcPr>
          <w:p w14:paraId="52569C52" w14:textId="77777777" w:rsidR="00F54DE3" w:rsidRPr="00762824" w:rsidRDefault="00F54DE3" w:rsidP="007D6ECE">
            <w:pPr>
              <w:jc w:val="center"/>
              <w:rPr>
                <w:rFonts w:asciiTheme="majorBidi" w:hAnsiTheme="majorBidi" w:cstheme="majorBidi"/>
                <w:color w:val="000000" w:themeColor="text1"/>
                <w:sz w:val="24"/>
                <w:szCs w:val="24"/>
              </w:rPr>
            </w:pPr>
          </w:p>
        </w:tc>
        <w:tc>
          <w:tcPr>
            <w:tcW w:w="719" w:type="dxa"/>
            <w:vMerge/>
          </w:tcPr>
          <w:p w14:paraId="5FB7DBC4" w14:textId="77777777" w:rsidR="00F54DE3" w:rsidRPr="00762824" w:rsidRDefault="00F54DE3" w:rsidP="007D6ECE">
            <w:pPr>
              <w:jc w:val="center"/>
              <w:rPr>
                <w:rFonts w:asciiTheme="majorBidi" w:hAnsiTheme="majorBidi" w:cstheme="majorBidi"/>
                <w:color w:val="000000" w:themeColor="text1"/>
                <w:sz w:val="24"/>
                <w:szCs w:val="24"/>
              </w:rPr>
            </w:pPr>
          </w:p>
        </w:tc>
        <w:tc>
          <w:tcPr>
            <w:tcW w:w="2063" w:type="dxa"/>
            <w:vMerge/>
          </w:tcPr>
          <w:p w14:paraId="2B76D036" w14:textId="77777777" w:rsidR="00F54DE3" w:rsidRPr="00762824" w:rsidRDefault="00F54DE3" w:rsidP="007D6ECE">
            <w:pPr>
              <w:jc w:val="center"/>
              <w:rPr>
                <w:rFonts w:asciiTheme="majorBidi" w:hAnsiTheme="majorBidi" w:cstheme="majorBidi"/>
                <w:color w:val="000000" w:themeColor="text1"/>
                <w:sz w:val="24"/>
                <w:szCs w:val="24"/>
              </w:rPr>
            </w:pPr>
          </w:p>
        </w:tc>
      </w:tr>
      <w:tr w:rsidR="00605A1C" w:rsidRPr="00762824" w14:paraId="3CEE730C" w14:textId="77777777" w:rsidTr="00204377">
        <w:trPr>
          <w:trHeight w:val="433"/>
        </w:trPr>
        <w:tc>
          <w:tcPr>
            <w:tcW w:w="3393" w:type="dxa"/>
          </w:tcPr>
          <w:p w14:paraId="12F7D299" w14:textId="77777777" w:rsidR="00605A1C" w:rsidRPr="00762824" w:rsidRDefault="00605A1C" w:rsidP="00605A1C">
            <w:pPr>
              <w:rPr>
                <w:rFonts w:asciiTheme="majorBidi" w:hAnsiTheme="majorBidi" w:cstheme="majorBidi"/>
                <w:color w:val="000000" w:themeColor="text1"/>
                <w:sz w:val="24"/>
                <w:szCs w:val="24"/>
              </w:rPr>
            </w:pPr>
            <w:r w:rsidRPr="00762824">
              <w:rPr>
                <w:rFonts w:asciiTheme="majorBidi" w:hAnsiTheme="majorBidi" w:cstheme="majorBidi"/>
                <w:color w:val="000000" w:themeColor="text1"/>
                <w:sz w:val="24"/>
                <w:szCs w:val="24"/>
              </w:rPr>
              <w:t>CC(homozygous mutant)</w:t>
            </w:r>
          </w:p>
        </w:tc>
        <w:tc>
          <w:tcPr>
            <w:tcW w:w="1460" w:type="dxa"/>
          </w:tcPr>
          <w:p w14:paraId="4856E1EB" w14:textId="77777777" w:rsidR="00605A1C" w:rsidRPr="00762824" w:rsidRDefault="00605A1C" w:rsidP="00605A1C">
            <w:pPr>
              <w:jc w:val="center"/>
              <w:rPr>
                <w:rFonts w:asciiTheme="majorBidi" w:hAnsiTheme="majorBidi" w:cstheme="majorBidi"/>
                <w:color w:val="000000" w:themeColor="text1"/>
                <w:sz w:val="24"/>
                <w:szCs w:val="24"/>
              </w:rPr>
            </w:pPr>
            <w:r w:rsidRPr="00762824">
              <w:rPr>
                <w:rFonts w:asciiTheme="majorBidi" w:hAnsiTheme="majorBidi" w:cstheme="majorBidi"/>
                <w:color w:val="000000"/>
                <w:sz w:val="24"/>
                <w:szCs w:val="24"/>
              </w:rPr>
              <w:t>10</w:t>
            </w:r>
          </w:p>
        </w:tc>
        <w:tc>
          <w:tcPr>
            <w:tcW w:w="800" w:type="dxa"/>
          </w:tcPr>
          <w:p w14:paraId="4825BFE6" w14:textId="77777777" w:rsidR="00605A1C" w:rsidRPr="00762824" w:rsidRDefault="00605A1C" w:rsidP="00605A1C">
            <w:pPr>
              <w:jc w:val="center"/>
              <w:rPr>
                <w:rFonts w:asciiTheme="majorBidi" w:hAnsiTheme="majorBidi" w:cstheme="majorBidi"/>
                <w:color w:val="000000" w:themeColor="text1"/>
                <w:sz w:val="24"/>
                <w:szCs w:val="24"/>
              </w:rPr>
            </w:pPr>
            <w:r w:rsidRPr="00762824">
              <w:rPr>
                <w:rFonts w:asciiTheme="majorBidi" w:hAnsiTheme="majorBidi" w:cstheme="majorBidi"/>
                <w:color w:val="000000" w:themeColor="text1"/>
                <w:sz w:val="24"/>
                <w:szCs w:val="24"/>
              </w:rPr>
              <w:t>20</w:t>
            </w:r>
          </w:p>
        </w:tc>
        <w:tc>
          <w:tcPr>
            <w:tcW w:w="673" w:type="dxa"/>
            <w:vMerge/>
          </w:tcPr>
          <w:p w14:paraId="6B3FB7FD" w14:textId="77777777" w:rsidR="00605A1C" w:rsidRPr="00762824" w:rsidRDefault="00605A1C" w:rsidP="00605A1C">
            <w:pPr>
              <w:jc w:val="center"/>
              <w:rPr>
                <w:rFonts w:asciiTheme="majorBidi" w:hAnsiTheme="majorBidi" w:cstheme="majorBidi"/>
                <w:color w:val="000000" w:themeColor="text1"/>
                <w:sz w:val="24"/>
                <w:szCs w:val="24"/>
              </w:rPr>
            </w:pPr>
          </w:p>
        </w:tc>
        <w:tc>
          <w:tcPr>
            <w:tcW w:w="719" w:type="dxa"/>
            <w:vMerge/>
          </w:tcPr>
          <w:p w14:paraId="06825229" w14:textId="77777777" w:rsidR="00605A1C" w:rsidRPr="00762824" w:rsidRDefault="00605A1C" w:rsidP="00605A1C">
            <w:pPr>
              <w:jc w:val="center"/>
              <w:rPr>
                <w:rFonts w:asciiTheme="majorBidi" w:hAnsiTheme="majorBidi" w:cstheme="majorBidi"/>
                <w:color w:val="000000" w:themeColor="text1"/>
                <w:sz w:val="24"/>
                <w:szCs w:val="24"/>
              </w:rPr>
            </w:pPr>
          </w:p>
        </w:tc>
        <w:tc>
          <w:tcPr>
            <w:tcW w:w="2063" w:type="dxa"/>
            <w:vMerge/>
          </w:tcPr>
          <w:p w14:paraId="50969C13" w14:textId="77777777" w:rsidR="00605A1C" w:rsidRPr="00762824" w:rsidRDefault="00605A1C" w:rsidP="00605A1C">
            <w:pPr>
              <w:jc w:val="center"/>
              <w:rPr>
                <w:rFonts w:asciiTheme="majorBidi" w:hAnsiTheme="majorBidi" w:cstheme="majorBidi"/>
                <w:color w:val="000000" w:themeColor="text1"/>
                <w:sz w:val="24"/>
                <w:szCs w:val="24"/>
              </w:rPr>
            </w:pPr>
          </w:p>
        </w:tc>
      </w:tr>
      <w:tr w:rsidR="00605A1C" w:rsidRPr="00762824" w14:paraId="2B52A328" w14:textId="77777777" w:rsidTr="00204377">
        <w:trPr>
          <w:trHeight w:val="442"/>
        </w:trPr>
        <w:tc>
          <w:tcPr>
            <w:tcW w:w="3393" w:type="dxa"/>
          </w:tcPr>
          <w:p w14:paraId="22C06DA6" w14:textId="77777777" w:rsidR="00605A1C" w:rsidRPr="00762824" w:rsidRDefault="00605A1C" w:rsidP="00605A1C">
            <w:pPr>
              <w:rPr>
                <w:rFonts w:asciiTheme="majorBidi" w:hAnsiTheme="majorBidi" w:cstheme="majorBidi"/>
                <w:color w:val="000000" w:themeColor="text1"/>
                <w:sz w:val="24"/>
                <w:szCs w:val="24"/>
              </w:rPr>
            </w:pPr>
            <w:r w:rsidRPr="00762824">
              <w:rPr>
                <w:rFonts w:asciiTheme="majorBidi" w:hAnsiTheme="majorBidi" w:cstheme="majorBidi"/>
                <w:color w:val="000000" w:themeColor="text1"/>
                <w:sz w:val="24"/>
                <w:szCs w:val="24"/>
              </w:rPr>
              <w:t>TC( heterozygous mutant )</w:t>
            </w:r>
          </w:p>
        </w:tc>
        <w:tc>
          <w:tcPr>
            <w:tcW w:w="1460" w:type="dxa"/>
          </w:tcPr>
          <w:p w14:paraId="4B3B4E6C" w14:textId="77777777" w:rsidR="00605A1C" w:rsidRPr="00762824" w:rsidRDefault="00605A1C" w:rsidP="00605A1C">
            <w:pPr>
              <w:jc w:val="center"/>
              <w:rPr>
                <w:rFonts w:asciiTheme="majorBidi" w:hAnsiTheme="majorBidi" w:cstheme="majorBidi"/>
                <w:color w:val="000000" w:themeColor="text1"/>
                <w:sz w:val="24"/>
                <w:szCs w:val="24"/>
              </w:rPr>
            </w:pPr>
            <w:r w:rsidRPr="00762824">
              <w:rPr>
                <w:rFonts w:asciiTheme="majorBidi" w:hAnsiTheme="majorBidi" w:cstheme="majorBidi"/>
                <w:color w:val="000000"/>
                <w:sz w:val="24"/>
                <w:szCs w:val="24"/>
              </w:rPr>
              <w:t>9</w:t>
            </w:r>
          </w:p>
        </w:tc>
        <w:tc>
          <w:tcPr>
            <w:tcW w:w="800" w:type="dxa"/>
          </w:tcPr>
          <w:p w14:paraId="3D3C6C43" w14:textId="77777777" w:rsidR="00605A1C" w:rsidRPr="00762824" w:rsidRDefault="00605A1C" w:rsidP="00605A1C">
            <w:pPr>
              <w:jc w:val="center"/>
              <w:rPr>
                <w:rFonts w:asciiTheme="majorBidi" w:hAnsiTheme="majorBidi" w:cstheme="majorBidi"/>
                <w:color w:val="000000" w:themeColor="text1"/>
                <w:sz w:val="24"/>
                <w:szCs w:val="24"/>
              </w:rPr>
            </w:pPr>
            <w:r w:rsidRPr="00762824">
              <w:rPr>
                <w:rFonts w:asciiTheme="majorBidi" w:hAnsiTheme="majorBidi" w:cstheme="majorBidi"/>
                <w:color w:val="000000" w:themeColor="text1"/>
                <w:sz w:val="24"/>
                <w:szCs w:val="24"/>
              </w:rPr>
              <w:t>18</w:t>
            </w:r>
          </w:p>
        </w:tc>
        <w:tc>
          <w:tcPr>
            <w:tcW w:w="673" w:type="dxa"/>
            <w:vMerge/>
          </w:tcPr>
          <w:p w14:paraId="521216D0" w14:textId="77777777" w:rsidR="00605A1C" w:rsidRPr="00762824" w:rsidRDefault="00605A1C" w:rsidP="00605A1C">
            <w:pPr>
              <w:jc w:val="center"/>
              <w:rPr>
                <w:rFonts w:asciiTheme="majorBidi" w:hAnsiTheme="majorBidi" w:cstheme="majorBidi"/>
                <w:color w:val="000000" w:themeColor="text1"/>
                <w:sz w:val="24"/>
                <w:szCs w:val="24"/>
              </w:rPr>
            </w:pPr>
          </w:p>
        </w:tc>
        <w:tc>
          <w:tcPr>
            <w:tcW w:w="719" w:type="dxa"/>
            <w:vMerge/>
          </w:tcPr>
          <w:p w14:paraId="1B02068D" w14:textId="77777777" w:rsidR="00605A1C" w:rsidRPr="00762824" w:rsidRDefault="00605A1C" w:rsidP="00605A1C">
            <w:pPr>
              <w:jc w:val="center"/>
              <w:rPr>
                <w:rFonts w:asciiTheme="majorBidi" w:hAnsiTheme="majorBidi" w:cstheme="majorBidi"/>
                <w:color w:val="000000" w:themeColor="text1"/>
                <w:sz w:val="24"/>
                <w:szCs w:val="24"/>
              </w:rPr>
            </w:pPr>
          </w:p>
        </w:tc>
        <w:tc>
          <w:tcPr>
            <w:tcW w:w="2063" w:type="dxa"/>
            <w:vMerge/>
          </w:tcPr>
          <w:p w14:paraId="37C212A9" w14:textId="77777777" w:rsidR="00605A1C" w:rsidRPr="00762824" w:rsidRDefault="00605A1C" w:rsidP="00605A1C">
            <w:pPr>
              <w:jc w:val="center"/>
              <w:rPr>
                <w:rFonts w:asciiTheme="majorBidi" w:hAnsiTheme="majorBidi" w:cstheme="majorBidi"/>
                <w:color w:val="000000" w:themeColor="text1"/>
                <w:sz w:val="24"/>
                <w:szCs w:val="24"/>
              </w:rPr>
            </w:pPr>
          </w:p>
        </w:tc>
      </w:tr>
      <w:tr w:rsidR="00F61AF8" w:rsidRPr="00762824" w14:paraId="5B1ADC49" w14:textId="77777777" w:rsidTr="00204377">
        <w:trPr>
          <w:trHeight w:val="442"/>
        </w:trPr>
        <w:tc>
          <w:tcPr>
            <w:tcW w:w="9108" w:type="dxa"/>
            <w:gridSpan w:val="6"/>
          </w:tcPr>
          <w:p w14:paraId="1C49ED21" w14:textId="77777777" w:rsidR="00F61AF8" w:rsidRPr="00762824" w:rsidRDefault="00F61AF8" w:rsidP="007D6ECE">
            <w:pPr>
              <w:jc w:val="center"/>
              <w:rPr>
                <w:rFonts w:asciiTheme="majorBidi" w:hAnsiTheme="majorBidi" w:cstheme="majorBidi"/>
                <w:color w:val="000000" w:themeColor="text1"/>
                <w:sz w:val="24"/>
                <w:szCs w:val="24"/>
              </w:rPr>
            </w:pPr>
            <w:r w:rsidRPr="00762824">
              <w:rPr>
                <w:rFonts w:asciiTheme="majorBidi" w:hAnsiTheme="majorBidi" w:cstheme="majorBidi"/>
                <w:color w:val="000000" w:themeColor="text1"/>
                <w:sz w:val="24"/>
                <w:szCs w:val="24"/>
              </w:rPr>
              <w:t>*</w:t>
            </w:r>
            <w:r w:rsidRPr="00762824">
              <w:rPr>
                <w:rFonts w:asciiTheme="majorBidi" w:hAnsiTheme="majorBidi" w:cstheme="majorBidi"/>
                <w:sz w:val="24"/>
                <w:szCs w:val="24"/>
              </w:rPr>
              <w:t xml:space="preserve"> statistically significant</w:t>
            </w:r>
          </w:p>
        </w:tc>
      </w:tr>
    </w:tbl>
    <w:p w14:paraId="3081B96F" w14:textId="77777777" w:rsidR="008372D3" w:rsidRPr="00762824" w:rsidRDefault="00967C57" w:rsidP="00F61AF8">
      <w:pPr>
        <w:tabs>
          <w:tab w:val="left" w:pos="6784"/>
        </w:tabs>
        <w:spacing w:line="360" w:lineRule="auto"/>
        <w:jc w:val="center"/>
        <w:rPr>
          <w:rFonts w:asciiTheme="majorBidi" w:hAnsiTheme="majorBidi" w:cstheme="majorBidi"/>
          <w:color w:val="000000" w:themeColor="text1"/>
          <w:sz w:val="24"/>
          <w:szCs w:val="24"/>
        </w:rPr>
      </w:pPr>
      <w:r w:rsidRPr="00762824">
        <w:rPr>
          <w:rFonts w:asciiTheme="majorBidi" w:hAnsiTheme="majorBidi" w:cstheme="majorBidi"/>
          <w:noProof/>
          <w:color w:val="000000" w:themeColor="text1"/>
          <w:sz w:val="24"/>
          <w:szCs w:val="24"/>
        </w:rPr>
        <w:lastRenderedPageBreak/>
        <w:drawing>
          <wp:inline distT="0" distB="0" distL="0" distR="0" wp14:anchorId="430050FB" wp14:editId="7E2F7EB4">
            <wp:extent cx="5429250" cy="2531110"/>
            <wp:effectExtent l="0" t="0" r="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B393CA" w14:textId="77777777" w:rsidR="003152A8" w:rsidRPr="00762824" w:rsidRDefault="007D6ECE" w:rsidP="00253F9F">
      <w:pPr>
        <w:jc w:val="center"/>
        <w:rPr>
          <w:rFonts w:asciiTheme="majorBidi" w:eastAsia="Times New Roman" w:hAnsiTheme="majorBidi" w:cstheme="majorBidi"/>
          <w:sz w:val="24"/>
          <w:szCs w:val="24"/>
        </w:rPr>
      </w:pPr>
      <w:r w:rsidRPr="00762824">
        <w:rPr>
          <w:rFonts w:asciiTheme="majorBidi" w:eastAsia="Calibri" w:hAnsiTheme="majorBidi" w:cstheme="majorBidi"/>
          <w:b/>
          <w:bCs/>
          <w:color w:val="000000" w:themeColor="text1"/>
          <w:sz w:val="24"/>
          <w:szCs w:val="24"/>
        </w:rPr>
        <w:t xml:space="preserve">Fig </w:t>
      </w:r>
      <w:r w:rsidR="00F54DE3" w:rsidRPr="00762824">
        <w:rPr>
          <w:rFonts w:asciiTheme="majorBidi" w:eastAsia="Calibri" w:hAnsiTheme="majorBidi" w:cstheme="majorBidi"/>
          <w:b/>
          <w:bCs/>
          <w:color w:val="000000" w:themeColor="text1"/>
          <w:sz w:val="24"/>
          <w:szCs w:val="24"/>
        </w:rPr>
        <w:t>2</w:t>
      </w:r>
      <w:r w:rsidR="00F54DE3" w:rsidRPr="00762824">
        <w:rPr>
          <w:rFonts w:asciiTheme="majorBidi" w:eastAsia="Calibri" w:hAnsiTheme="majorBidi" w:cstheme="majorBidi"/>
          <w:color w:val="000000" w:themeColor="text1"/>
          <w:sz w:val="24"/>
          <w:szCs w:val="24"/>
        </w:rPr>
        <w:t xml:space="preserve">. </w:t>
      </w:r>
      <w:r w:rsidR="003152A8" w:rsidRPr="00762824">
        <w:rPr>
          <w:rFonts w:asciiTheme="majorBidi" w:eastAsia="Times New Roman" w:hAnsiTheme="majorBidi" w:cstheme="majorBidi"/>
          <w:sz w:val="24"/>
          <w:szCs w:val="24"/>
        </w:rPr>
        <w:t xml:space="preserve">Frequencies % of the VDR observed </w:t>
      </w:r>
      <w:r w:rsidR="00253F9F" w:rsidRPr="00762824">
        <w:rPr>
          <w:rFonts w:asciiTheme="majorBidi" w:eastAsia="Times New Roman" w:hAnsiTheme="majorBidi" w:cstheme="majorBidi"/>
          <w:sz w:val="24"/>
          <w:szCs w:val="24"/>
        </w:rPr>
        <w:t>versus</w:t>
      </w:r>
      <w:r w:rsidR="003152A8" w:rsidRPr="00762824">
        <w:rPr>
          <w:rFonts w:asciiTheme="majorBidi" w:eastAsia="Times New Roman" w:hAnsiTheme="majorBidi" w:cstheme="majorBidi"/>
          <w:sz w:val="24"/>
          <w:szCs w:val="24"/>
        </w:rPr>
        <w:t xml:space="preserve"> expected genotypes of </w:t>
      </w:r>
      <w:proofErr w:type="spellStart"/>
      <w:r w:rsidR="003152A8" w:rsidRPr="00762824">
        <w:rPr>
          <w:rFonts w:asciiTheme="majorBidi" w:eastAsia="Times New Roman" w:hAnsiTheme="majorBidi" w:cstheme="majorBidi"/>
          <w:sz w:val="24"/>
          <w:szCs w:val="24"/>
        </w:rPr>
        <w:t>rs</w:t>
      </w:r>
      <w:proofErr w:type="spellEnd"/>
      <w:r w:rsidR="003152A8" w:rsidRPr="00762824">
        <w:rPr>
          <w:rFonts w:asciiTheme="majorBidi" w:eastAsia="Times New Roman" w:hAnsiTheme="majorBidi" w:cstheme="majorBidi"/>
          <w:sz w:val="24"/>
          <w:szCs w:val="24"/>
        </w:rPr>
        <w:t xml:space="preserve"> 731236 for the sample of people.</w:t>
      </w:r>
    </w:p>
    <w:p w14:paraId="33399CA0" w14:textId="77777777" w:rsidR="00F05C6A" w:rsidRPr="00762824" w:rsidRDefault="00253F9F" w:rsidP="00253F9F">
      <w:pPr>
        <w:spacing w:after="0" w:line="240" w:lineRule="auto"/>
        <w:jc w:val="both"/>
        <w:rPr>
          <w:rFonts w:asciiTheme="majorBidi" w:hAnsiTheme="majorBidi" w:cstheme="majorBidi"/>
          <w:b/>
          <w:bCs/>
          <w:sz w:val="24"/>
          <w:szCs w:val="24"/>
        </w:rPr>
      </w:pPr>
      <w:r w:rsidRPr="00762824">
        <w:rPr>
          <w:rFonts w:asciiTheme="majorBidi" w:hAnsiTheme="majorBidi" w:cstheme="majorBidi"/>
          <w:b/>
          <w:bCs/>
          <w:sz w:val="24"/>
          <w:szCs w:val="24"/>
        </w:rPr>
        <w:t>Demographic parameters evaluation in the VDR rs731236 genotype.</w:t>
      </w:r>
      <w:r w:rsidR="003152A8" w:rsidRPr="00762824">
        <w:rPr>
          <w:rFonts w:asciiTheme="majorBidi" w:hAnsiTheme="majorBidi" w:cstheme="majorBidi"/>
          <w:b/>
          <w:bCs/>
          <w:sz w:val="24"/>
          <w:szCs w:val="24"/>
        </w:rPr>
        <w:t xml:space="preserve"> </w:t>
      </w:r>
    </w:p>
    <w:p w14:paraId="443A83DC" w14:textId="77777777" w:rsidR="00967C57" w:rsidRPr="00762824" w:rsidRDefault="00407EDC" w:rsidP="00336DA7">
      <w:pPr>
        <w:spacing w:before="240" w:after="0" w:line="240" w:lineRule="auto"/>
        <w:jc w:val="both"/>
        <w:rPr>
          <w:rFonts w:asciiTheme="majorBidi" w:eastAsia="Times New Roman" w:hAnsiTheme="majorBidi" w:cstheme="majorBidi"/>
          <w:sz w:val="24"/>
          <w:szCs w:val="24"/>
        </w:rPr>
      </w:pPr>
      <w:r w:rsidRPr="00762824">
        <w:rPr>
          <w:rFonts w:asciiTheme="majorBidi" w:eastAsia="Times New Roman" w:hAnsiTheme="majorBidi" w:cstheme="majorBidi"/>
          <w:sz w:val="24"/>
          <w:szCs w:val="24"/>
        </w:rPr>
        <w:t>For</w:t>
      </w:r>
      <w:r w:rsidR="00F05C6A" w:rsidRPr="00762824">
        <w:rPr>
          <w:rFonts w:asciiTheme="majorBidi" w:eastAsia="Times New Roman" w:hAnsiTheme="majorBidi" w:cstheme="majorBidi"/>
          <w:sz w:val="24"/>
          <w:szCs w:val="24"/>
        </w:rPr>
        <w:t xml:space="preserve"> demonstrat</w:t>
      </w:r>
      <w:r w:rsidRPr="00762824">
        <w:rPr>
          <w:rFonts w:asciiTheme="majorBidi" w:eastAsia="Times New Roman" w:hAnsiTheme="majorBidi" w:cstheme="majorBidi"/>
          <w:sz w:val="24"/>
          <w:szCs w:val="24"/>
        </w:rPr>
        <w:t xml:space="preserve">ing </w:t>
      </w:r>
      <w:r w:rsidR="00F05C6A" w:rsidRPr="00762824">
        <w:rPr>
          <w:rFonts w:asciiTheme="majorBidi" w:eastAsia="Times New Roman" w:hAnsiTheme="majorBidi" w:cstheme="majorBidi"/>
          <w:sz w:val="24"/>
          <w:szCs w:val="24"/>
        </w:rPr>
        <w:t>the difference between demographic data and the (</w:t>
      </w:r>
      <w:proofErr w:type="spellStart"/>
      <w:r w:rsidR="00F05C6A" w:rsidRPr="00762824">
        <w:rPr>
          <w:rFonts w:asciiTheme="majorBidi" w:eastAsia="Times New Roman" w:hAnsiTheme="majorBidi" w:cstheme="majorBidi"/>
          <w:sz w:val="24"/>
          <w:szCs w:val="24"/>
        </w:rPr>
        <w:t>rs</w:t>
      </w:r>
      <w:proofErr w:type="spellEnd"/>
      <w:r w:rsidR="00F05C6A" w:rsidRPr="00762824">
        <w:rPr>
          <w:rFonts w:asciiTheme="majorBidi" w:eastAsia="Times New Roman" w:hAnsiTheme="majorBidi" w:cstheme="majorBidi"/>
          <w:sz w:val="24"/>
          <w:szCs w:val="24"/>
        </w:rPr>
        <w:t xml:space="preserve"> 731236) SNP </w:t>
      </w:r>
      <w:r w:rsidR="00DA6875" w:rsidRPr="00762824">
        <w:rPr>
          <w:rFonts w:asciiTheme="majorBidi" w:eastAsia="Times New Roman" w:hAnsiTheme="majorBidi" w:cstheme="majorBidi"/>
          <w:sz w:val="24"/>
          <w:szCs w:val="24"/>
        </w:rPr>
        <w:t xml:space="preserve">in </w:t>
      </w:r>
      <w:r w:rsidR="00F05C6A" w:rsidRPr="00762824">
        <w:rPr>
          <w:rFonts w:asciiTheme="majorBidi" w:eastAsia="Times New Roman" w:hAnsiTheme="majorBidi" w:cstheme="majorBidi"/>
          <w:sz w:val="24"/>
          <w:szCs w:val="24"/>
        </w:rPr>
        <w:t xml:space="preserve">table </w:t>
      </w:r>
      <w:r w:rsidR="003A242A">
        <w:rPr>
          <w:rFonts w:asciiTheme="majorBidi" w:eastAsia="Times New Roman" w:hAnsiTheme="majorBidi" w:cstheme="majorBidi"/>
          <w:sz w:val="24"/>
          <w:szCs w:val="24"/>
        </w:rPr>
        <w:t>5</w:t>
      </w:r>
      <w:r w:rsidR="00DA6875" w:rsidRPr="00762824">
        <w:rPr>
          <w:rFonts w:asciiTheme="majorBidi" w:eastAsia="Times New Roman" w:hAnsiTheme="majorBidi" w:cstheme="majorBidi"/>
          <w:sz w:val="24"/>
          <w:szCs w:val="24"/>
        </w:rPr>
        <w:t xml:space="preserve"> (in control) and table </w:t>
      </w:r>
      <w:r w:rsidR="003A242A">
        <w:rPr>
          <w:rFonts w:asciiTheme="majorBidi" w:eastAsia="Times New Roman" w:hAnsiTheme="majorBidi" w:cstheme="majorBidi"/>
          <w:sz w:val="24"/>
          <w:szCs w:val="24"/>
        </w:rPr>
        <w:t>6</w:t>
      </w:r>
      <w:r w:rsidR="00DA6875" w:rsidRPr="00762824">
        <w:rPr>
          <w:rFonts w:asciiTheme="majorBidi" w:eastAsia="Times New Roman" w:hAnsiTheme="majorBidi" w:cstheme="majorBidi"/>
          <w:sz w:val="24"/>
          <w:szCs w:val="24"/>
        </w:rPr>
        <w:t xml:space="preserve"> (in patients)</w:t>
      </w:r>
      <w:r w:rsidR="00F05C6A" w:rsidRPr="00762824">
        <w:rPr>
          <w:rFonts w:asciiTheme="majorBidi" w:eastAsia="Times New Roman" w:hAnsiTheme="majorBidi" w:cstheme="majorBidi"/>
          <w:sz w:val="24"/>
          <w:szCs w:val="24"/>
        </w:rPr>
        <w:t xml:space="preserve">, a one-way ANOVA test was used to compare </w:t>
      </w:r>
      <w:r w:rsidR="0035144D" w:rsidRPr="00762824">
        <w:rPr>
          <w:rFonts w:asciiTheme="majorBidi" w:hAnsiTheme="majorBidi" w:cstheme="majorBidi"/>
          <w:color w:val="000000" w:themeColor="text1"/>
          <w:sz w:val="24"/>
          <w:szCs w:val="24"/>
        </w:rPr>
        <w:t>BMI</w:t>
      </w:r>
      <w:r w:rsidR="0035144D" w:rsidRPr="00762824">
        <w:rPr>
          <w:rFonts w:asciiTheme="majorBidi" w:eastAsia="Times New Roman" w:hAnsiTheme="majorBidi" w:cstheme="majorBidi"/>
          <w:sz w:val="24"/>
          <w:szCs w:val="24"/>
        </w:rPr>
        <w:t xml:space="preserve">, </w:t>
      </w:r>
      <w:r w:rsidR="00253F9F" w:rsidRPr="00762824">
        <w:rPr>
          <w:rFonts w:asciiTheme="majorBidi" w:eastAsia="Times New Roman" w:hAnsiTheme="majorBidi" w:cstheme="majorBidi"/>
          <w:sz w:val="24"/>
          <w:szCs w:val="24"/>
        </w:rPr>
        <w:t>age,</w:t>
      </w:r>
      <w:r w:rsidR="0035144D" w:rsidRPr="00762824">
        <w:rPr>
          <w:rFonts w:asciiTheme="majorBidi" w:eastAsia="Times New Roman" w:hAnsiTheme="majorBidi" w:cstheme="majorBidi"/>
          <w:sz w:val="24"/>
          <w:szCs w:val="24"/>
        </w:rPr>
        <w:t xml:space="preserve"> </w:t>
      </w:r>
      <w:r w:rsidR="00F05C6A" w:rsidRPr="00762824">
        <w:rPr>
          <w:rFonts w:asciiTheme="majorBidi" w:eastAsia="Times New Roman" w:hAnsiTheme="majorBidi" w:cstheme="majorBidi"/>
          <w:sz w:val="24"/>
          <w:szCs w:val="24"/>
        </w:rPr>
        <w:t>T. score</w:t>
      </w:r>
      <w:r w:rsidR="0035144D" w:rsidRPr="00762824">
        <w:rPr>
          <w:rFonts w:asciiTheme="majorBidi" w:eastAsia="Times New Roman" w:hAnsiTheme="majorBidi" w:cstheme="majorBidi"/>
          <w:sz w:val="24"/>
          <w:szCs w:val="24"/>
        </w:rPr>
        <w:t xml:space="preserve"> and </w:t>
      </w:r>
      <w:r w:rsidR="0035144D" w:rsidRPr="00762824">
        <w:rPr>
          <w:rFonts w:asciiTheme="majorBidi" w:hAnsiTheme="majorBidi" w:cstheme="majorBidi"/>
          <w:color w:val="000000" w:themeColor="text1"/>
          <w:sz w:val="24"/>
          <w:szCs w:val="24"/>
        </w:rPr>
        <w:t>BMD</w:t>
      </w:r>
      <w:r w:rsidR="0035144D" w:rsidRPr="00762824">
        <w:rPr>
          <w:rFonts w:asciiTheme="majorBidi" w:eastAsia="Times New Roman" w:hAnsiTheme="majorBidi" w:cstheme="majorBidi"/>
          <w:sz w:val="24"/>
          <w:szCs w:val="24"/>
        </w:rPr>
        <w:t xml:space="preserve"> </w:t>
      </w:r>
      <w:r w:rsidR="00DA6875" w:rsidRPr="00762824">
        <w:rPr>
          <w:rFonts w:asciiTheme="majorBidi" w:eastAsia="Times New Roman" w:hAnsiTheme="majorBidi" w:cstheme="majorBidi"/>
          <w:sz w:val="24"/>
          <w:szCs w:val="24"/>
        </w:rPr>
        <w:t>in</w:t>
      </w:r>
      <w:r w:rsidR="00F05C6A" w:rsidRPr="00762824">
        <w:rPr>
          <w:rFonts w:asciiTheme="majorBidi" w:eastAsia="Times New Roman" w:hAnsiTheme="majorBidi" w:cstheme="majorBidi"/>
          <w:sz w:val="24"/>
          <w:szCs w:val="24"/>
        </w:rPr>
        <w:t xml:space="preserve"> study groups. </w:t>
      </w:r>
      <w:r w:rsidR="00967C57" w:rsidRPr="00762824">
        <w:rPr>
          <w:rFonts w:asciiTheme="majorBidi" w:eastAsia="Times New Roman" w:hAnsiTheme="majorBidi" w:cstheme="majorBidi"/>
          <w:sz w:val="24"/>
          <w:szCs w:val="24"/>
        </w:rPr>
        <w:t xml:space="preserve">The mean T. score of the controls did not differ significantly. Patients' mean BMIs varied significantly (p = 0.02), as shown in Table </w:t>
      </w:r>
      <w:r w:rsidR="003A242A">
        <w:rPr>
          <w:rFonts w:asciiTheme="majorBidi" w:eastAsia="Times New Roman" w:hAnsiTheme="majorBidi" w:cstheme="majorBidi"/>
          <w:sz w:val="24"/>
          <w:szCs w:val="24"/>
        </w:rPr>
        <w:t>6</w:t>
      </w:r>
      <w:r w:rsidR="00967C57" w:rsidRPr="00762824">
        <w:rPr>
          <w:rFonts w:asciiTheme="majorBidi" w:eastAsia="Times New Roman" w:hAnsiTheme="majorBidi" w:cstheme="majorBidi"/>
          <w:sz w:val="24"/>
          <w:szCs w:val="24"/>
        </w:rPr>
        <w:t xml:space="preserve">. Patients' BMD </w:t>
      </w:r>
      <w:r w:rsidR="00081DDB" w:rsidRPr="00762824">
        <w:rPr>
          <w:rFonts w:asciiTheme="majorBidi" w:eastAsia="Times New Roman" w:hAnsiTheme="majorBidi" w:cstheme="majorBidi"/>
          <w:sz w:val="24"/>
          <w:szCs w:val="24"/>
        </w:rPr>
        <w:t>(p = 0.026) and mean T. score (-3.27 ± 0.53</w:t>
      </w:r>
      <w:r w:rsidR="00967C57" w:rsidRPr="00762824">
        <w:rPr>
          <w:rFonts w:asciiTheme="majorBidi" w:eastAsia="Times New Roman" w:hAnsiTheme="majorBidi" w:cstheme="majorBidi"/>
          <w:sz w:val="24"/>
          <w:szCs w:val="24"/>
        </w:rPr>
        <w:t>) for the TT allele are substantially greater than those for the CC allele (-2.6</w:t>
      </w:r>
      <w:r w:rsidR="00081DDB" w:rsidRPr="00762824">
        <w:rPr>
          <w:rFonts w:asciiTheme="majorBidi" w:eastAsia="Times New Roman" w:hAnsiTheme="majorBidi" w:cstheme="majorBidi"/>
          <w:sz w:val="24"/>
          <w:szCs w:val="24"/>
        </w:rPr>
        <w:t>7</w:t>
      </w:r>
      <w:r w:rsidR="00967C57" w:rsidRPr="00762824">
        <w:rPr>
          <w:rFonts w:asciiTheme="majorBidi" w:eastAsia="Times New Roman" w:hAnsiTheme="majorBidi" w:cstheme="majorBidi"/>
          <w:sz w:val="24"/>
          <w:szCs w:val="24"/>
        </w:rPr>
        <w:t xml:space="preserve"> ± 0.80), </w:t>
      </w:r>
      <w:r w:rsidR="00950C38" w:rsidRPr="00762824">
        <w:rPr>
          <w:rFonts w:asciiTheme="majorBidi" w:eastAsia="Times New Roman" w:hAnsiTheme="majorBidi" w:cstheme="majorBidi"/>
          <w:sz w:val="24"/>
          <w:szCs w:val="24"/>
        </w:rPr>
        <w:t>according to (post-hoc testing) with LSD modification</w:t>
      </w:r>
      <w:r w:rsidR="00967C57" w:rsidRPr="00762824">
        <w:rPr>
          <w:rFonts w:asciiTheme="majorBidi" w:eastAsia="Times New Roman" w:hAnsiTheme="majorBidi" w:cstheme="majorBidi"/>
          <w:sz w:val="24"/>
          <w:szCs w:val="24"/>
        </w:rPr>
        <w:t xml:space="preserve">. </w:t>
      </w:r>
      <w:r w:rsidR="00336DA7">
        <w:rPr>
          <w:rFonts w:asciiTheme="majorBidi" w:eastAsia="Times New Roman" w:hAnsiTheme="majorBidi" w:cstheme="majorBidi"/>
          <w:sz w:val="24"/>
          <w:szCs w:val="24"/>
        </w:rPr>
        <w:t>The results were display t</w:t>
      </w:r>
      <w:r w:rsidR="00967C57" w:rsidRPr="00762824">
        <w:rPr>
          <w:rFonts w:asciiTheme="majorBidi" w:eastAsia="Times New Roman" w:hAnsiTheme="majorBidi" w:cstheme="majorBidi"/>
          <w:sz w:val="24"/>
          <w:szCs w:val="24"/>
        </w:rPr>
        <w:t>he mean BMD for the TT (</w:t>
      </w:r>
      <w:r w:rsidR="00081DDB" w:rsidRPr="00762824">
        <w:rPr>
          <w:rFonts w:asciiTheme="majorBidi" w:hAnsiTheme="majorBidi" w:cstheme="majorBidi"/>
          <w:color w:val="010205"/>
          <w:sz w:val="24"/>
          <w:szCs w:val="24"/>
          <w:lang w:val="en-GB"/>
        </w:rPr>
        <w:t>0.80 ± 0.06</w:t>
      </w:r>
      <w:r w:rsidR="00967C57" w:rsidRPr="00762824">
        <w:rPr>
          <w:rFonts w:asciiTheme="majorBidi" w:eastAsia="Times New Roman" w:hAnsiTheme="majorBidi" w:cstheme="majorBidi"/>
          <w:sz w:val="24"/>
          <w:szCs w:val="24"/>
        </w:rPr>
        <w:t>) is substantially greater than that of the CC (0.75 ± 0.0</w:t>
      </w:r>
      <w:r w:rsidR="00081DDB" w:rsidRPr="00762824">
        <w:rPr>
          <w:rFonts w:asciiTheme="majorBidi" w:eastAsia="Times New Roman" w:hAnsiTheme="majorBidi" w:cstheme="majorBidi"/>
          <w:sz w:val="24"/>
          <w:szCs w:val="24"/>
        </w:rPr>
        <w:t>4</w:t>
      </w:r>
      <w:r w:rsidR="00967C57" w:rsidRPr="00762824">
        <w:rPr>
          <w:rFonts w:asciiTheme="majorBidi" w:eastAsia="Times New Roman" w:hAnsiTheme="majorBidi" w:cstheme="majorBidi"/>
          <w:sz w:val="24"/>
          <w:szCs w:val="24"/>
        </w:rPr>
        <w:t>), according to post-hoc analysis with LSD adjustment.</w:t>
      </w:r>
    </w:p>
    <w:p w14:paraId="13E171AE" w14:textId="77777777" w:rsidR="00B835F9" w:rsidRPr="00762824" w:rsidRDefault="00B835F9" w:rsidP="0035144D">
      <w:pPr>
        <w:spacing w:after="0" w:line="240" w:lineRule="auto"/>
        <w:jc w:val="both"/>
        <w:rPr>
          <w:rFonts w:asciiTheme="majorBidi" w:eastAsia="Times New Roman" w:hAnsiTheme="majorBidi" w:cstheme="majorBidi"/>
          <w:sz w:val="24"/>
          <w:szCs w:val="24"/>
        </w:rPr>
      </w:pPr>
    </w:p>
    <w:p w14:paraId="4AD2E31F" w14:textId="77777777" w:rsidR="007D6ECE" w:rsidRPr="00762824" w:rsidRDefault="007D6ECE" w:rsidP="007D6ECE">
      <w:pPr>
        <w:spacing w:line="360" w:lineRule="auto"/>
        <w:rPr>
          <w:rFonts w:asciiTheme="majorBidi" w:eastAsia="Calibri" w:hAnsiTheme="majorBidi" w:cstheme="majorBidi"/>
          <w:b/>
          <w:bCs/>
          <w:color w:val="000000" w:themeColor="text1"/>
          <w:sz w:val="24"/>
          <w:szCs w:val="24"/>
        </w:rPr>
      </w:pPr>
    </w:p>
    <w:p w14:paraId="175FFDF9" w14:textId="77777777" w:rsidR="00B835F9" w:rsidRPr="00762824" w:rsidRDefault="00B835F9" w:rsidP="00F95205">
      <w:pPr>
        <w:spacing w:line="360" w:lineRule="auto"/>
        <w:rPr>
          <w:rFonts w:asciiTheme="majorBidi" w:hAnsiTheme="majorBidi" w:cstheme="majorBidi"/>
          <w:color w:val="000000" w:themeColor="text1"/>
          <w:sz w:val="24"/>
          <w:szCs w:val="24"/>
          <w:lang w:val="en-GB"/>
        </w:rPr>
      </w:pPr>
      <w:r w:rsidRPr="00762824">
        <w:rPr>
          <w:rFonts w:asciiTheme="majorBidi" w:eastAsia="Calibri" w:hAnsiTheme="majorBidi" w:cstheme="majorBidi"/>
          <w:b/>
          <w:bCs/>
          <w:color w:val="000000" w:themeColor="text1"/>
          <w:sz w:val="24"/>
          <w:szCs w:val="24"/>
        </w:rPr>
        <w:t xml:space="preserve">Table </w:t>
      </w:r>
      <w:r w:rsidR="005C1418">
        <w:rPr>
          <w:rFonts w:asciiTheme="majorBidi" w:eastAsia="Calibri" w:hAnsiTheme="majorBidi" w:cstheme="majorBidi"/>
          <w:b/>
          <w:bCs/>
          <w:color w:val="000000" w:themeColor="text1"/>
          <w:sz w:val="24"/>
          <w:szCs w:val="24"/>
        </w:rPr>
        <w:t>5</w:t>
      </w:r>
      <w:r w:rsidR="00407EDC" w:rsidRPr="00762824">
        <w:rPr>
          <w:rFonts w:asciiTheme="majorBidi" w:eastAsia="Calibri" w:hAnsiTheme="majorBidi" w:cstheme="majorBidi"/>
          <w:color w:val="000000" w:themeColor="text1"/>
          <w:sz w:val="24"/>
          <w:szCs w:val="24"/>
        </w:rPr>
        <w:t xml:space="preserve">. </w:t>
      </w:r>
      <w:r w:rsidR="00F95205">
        <w:rPr>
          <w:rFonts w:asciiTheme="majorBidi" w:eastAsia="Calibri" w:hAnsiTheme="majorBidi" w:cstheme="majorBidi"/>
          <w:color w:val="000000" w:themeColor="text1"/>
          <w:sz w:val="24"/>
          <w:szCs w:val="24"/>
        </w:rPr>
        <w:t xml:space="preserve">The </w:t>
      </w:r>
      <w:r w:rsidR="00F95205" w:rsidRPr="00762824">
        <w:rPr>
          <w:rFonts w:asciiTheme="majorBidi" w:eastAsia="Calibri" w:hAnsiTheme="majorBidi" w:cstheme="majorBidi"/>
          <w:color w:val="000000" w:themeColor="text1"/>
          <w:sz w:val="24"/>
          <w:szCs w:val="24"/>
        </w:rPr>
        <w:t>characteristic</w:t>
      </w:r>
      <w:r w:rsidR="00F95205" w:rsidRPr="00F95205">
        <w:rPr>
          <w:rFonts w:asciiTheme="majorBidi" w:eastAsia="Calibri" w:hAnsiTheme="majorBidi" w:cstheme="majorBidi"/>
          <w:color w:val="000000" w:themeColor="text1"/>
          <w:sz w:val="24"/>
          <w:szCs w:val="24"/>
        </w:rPr>
        <w:t xml:space="preserve"> associated with </w:t>
      </w:r>
      <w:r w:rsidR="0050509A" w:rsidRPr="00762824">
        <w:rPr>
          <w:rFonts w:asciiTheme="majorBidi" w:hAnsiTheme="majorBidi" w:cstheme="majorBidi"/>
          <w:color w:val="000000" w:themeColor="text1"/>
          <w:kern w:val="36"/>
          <w:sz w:val="24"/>
          <w:szCs w:val="24"/>
        </w:rPr>
        <w:t>control</w:t>
      </w:r>
      <w:r w:rsidR="0050509A" w:rsidRPr="00762824">
        <w:rPr>
          <w:rFonts w:asciiTheme="majorBidi" w:eastAsia="Calibri" w:hAnsiTheme="majorBidi" w:cstheme="majorBidi"/>
          <w:color w:val="000000" w:themeColor="text1"/>
          <w:sz w:val="24"/>
          <w:szCs w:val="24"/>
        </w:rPr>
        <w:t xml:space="preserve"> </w:t>
      </w:r>
      <w:r w:rsidR="0050509A">
        <w:rPr>
          <w:rFonts w:asciiTheme="majorBidi" w:eastAsia="Calibri" w:hAnsiTheme="majorBidi" w:cstheme="majorBidi"/>
          <w:color w:val="000000" w:themeColor="text1"/>
          <w:sz w:val="24"/>
          <w:szCs w:val="24"/>
        </w:rPr>
        <w:t>(</w:t>
      </w:r>
      <w:proofErr w:type="spellStart"/>
      <w:r w:rsidRPr="00762824">
        <w:rPr>
          <w:rFonts w:asciiTheme="majorBidi" w:hAnsiTheme="majorBidi" w:cstheme="majorBidi"/>
          <w:color w:val="000000" w:themeColor="text1"/>
          <w:sz w:val="24"/>
          <w:szCs w:val="24"/>
        </w:rPr>
        <w:t>rs</w:t>
      </w:r>
      <w:proofErr w:type="spellEnd"/>
      <w:r w:rsidRPr="00762824">
        <w:rPr>
          <w:rFonts w:asciiTheme="majorBidi" w:hAnsiTheme="majorBidi" w:cstheme="majorBidi"/>
          <w:color w:val="000000" w:themeColor="text1"/>
          <w:sz w:val="24"/>
          <w:szCs w:val="24"/>
        </w:rPr>
        <w:t xml:space="preserve"> </w:t>
      </w:r>
      <w:r w:rsidRPr="00762824">
        <w:rPr>
          <w:rFonts w:asciiTheme="majorBidi" w:hAnsiTheme="majorBidi" w:cstheme="majorBidi"/>
          <w:sz w:val="24"/>
          <w:szCs w:val="24"/>
          <w:lang w:val="en-GB"/>
        </w:rPr>
        <w:t xml:space="preserve">731236) </w:t>
      </w:r>
      <w:r w:rsidRPr="00762824">
        <w:rPr>
          <w:rFonts w:asciiTheme="majorBidi" w:eastAsia="Calibri" w:hAnsiTheme="majorBidi" w:cstheme="majorBidi"/>
          <w:color w:val="000000" w:themeColor="text1"/>
          <w:sz w:val="24"/>
          <w:szCs w:val="24"/>
        </w:rPr>
        <w:t>SNP</w:t>
      </w:r>
      <w:r w:rsidRPr="00762824">
        <w:rPr>
          <w:rFonts w:asciiTheme="majorBidi" w:hAnsiTheme="majorBidi" w:cstheme="majorBidi"/>
          <w:color w:val="000000" w:themeColor="text1"/>
          <w:kern w:val="36"/>
          <w:sz w:val="24"/>
          <w:szCs w:val="24"/>
        </w:rPr>
        <w:t>.</w:t>
      </w:r>
    </w:p>
    <w:tbl>
      <w:tblPr>
        <w:tblStyle w:val="TableGrid3"/>
        <w:tblpPr w:leftFromText="180" w:rightFromText="180" w:vertAnchor="text" w:tblpXSpec="center" w:tblpY="229"/>
        <w:tblW w:w="9776" w:type="dxa"/>
        <w:tblLayout w:type="fixed"/>
        <w:tblLook w:val="0000" w:firstRow="0" w:lastRow="0" w:firstColumn="0" w:lastColumn="0" w:noHBand="0" w:noVBand="0"/>
      </w:tblPr>
      <w:tblGrid>
        <w:gridCol w:w="1818"/>
        <w:gridCol w:w="1801"/>
        <w:gridCol w:w="1801"/>
        <w:gridCol w:w="2088"/>
        <w:gridCol w:w="2268"/>
      </w:tblGrid>
      <w:tr w:rsidR="001700EC" w:rsidRPr="00762824" w14:paraId="49E905AB" w14:textId="77777777" w:rsidTr="001700EC">
        <w:trPr>
          <w:trHeight w:val="439"/>
        </w:trPr>
        <w:tc>
          <w:tcPr>
            <w:tcW w:w="1818" w:type="dxa"/>
            <w:vMerge w:val="restart"/>
          </w:tcPr>
          <w:p w14:paraId="589EE789" w14:textId="77777777" w:rsidR="001700EC" w:rsidRPr="00762824" w:rsidRDefault="001700EC" w:rsidP="00690162">
            <w:pPr>
              <w:jc w:val="center"/>
              <w:rPr>
                <w:rFonts w:asciiTheme="majorBidi" w:hAnsiTheme="majorBidi" w:cstheme="majorBidi"/>
                <w:b/>
                <w:bCs/>
                <w:color w:val="000000" w:themeColor="text1"/>
                <w:sz w:val="24"/>
                <w:szCs w:val="24"/>
                <w:lang w:val="en-AU" w:eastAsia="en-AU"/>
              </w:rPr>
            </w:pPr>
            <w:r w:rsidRPr="00762824">
              <w:rPr>
                <w:rFonts w:asciiTheme="majorBidi" w:hAnsiTheme="majorBidi" w:cstheme="majorBidi"/>
                <w:b/>
                <w:bCs/>
                <w:color w:val="000000" w:themeColor="text1"/>
                <w:sz w:val="24"/>
                <w:szCs w:val="24"/>
                <w:lang w:val="en-AU" w:eastAsia="en-AU"/>
              </w:rPr>
              <w:t>Demographic parameters</w:t>
            </w:r>
          </w:p>
        </w:tc>
        <w:tc>
          <w:tcPr>
            <w:tcW w:w="5690" w:type="dxa"/>
            <w:gridSpan w:val="3"/>
          </w:tcPr>
          <w:p w14:paraId="632567CE" w14:textId="77777777" w:rsidR="001700EC" w:rsidRPr="00762824" w:rsidRDefault="001700EC" w:rsidP="008C09FD">
            <w:pPr>
              <w:autoSpaceDE w:val="0"/>
              <w:autoSpaceDN w:val="0"/>
              <w:adjustRightInd w:val="0"/>
              <w:ind w:right="60"/>
              <w:jc w:val="center"/>
              <w:rPr>
                <w:rFonts w:asciiTheme="majorBidi" w:hAnsiTheme="majorBidi" w:cstheme="majorBidi"/>
                <w:b/>
                <w:bCs/>
                <w:color w:val="000000" w:themeColor="text1"/>
                <w:sz w:val="24"/>
                <w:szCs w:val="24"/>
                <w:lang w:val="en-AU" w:eastAsia="en-AU"/>
              </w:rPr>
            </w:pPr>
            <w:r>
              <w:rPr>
                <w:rFonts w:asciiTheme="majorBidi" w:hAnsiTheme="majorBidi" w:cstheme="majorBidi"/>
                <w:b/>
                <w:bCs/>
                <w:color w:val="000000" w:themeColor="text1"/>
                <w:sz w:val="24"/>
                <w:szCs w:val="24"/>
                <w:lang w:val="en-AU" w:eastAsia="en-AU"/>
              </w:rPr>
              <w:t>The</w:t>
            </w:r>
            <w:r w:rsidRPr="00762824">
              <w:rPr>
                <w:rFonts w:asciiTheme="majorBidi" w:hAnsiTheme="majorBidi" w:cstheme="majorBidi"/>
                <w:color w:val="000000" w:themeColor="text1"/>
                <w:sz w:val="24"/>
                <w:szCs w:val="24"/>
              </w:rPr>
              <w:t xml:space="preserve"> </w:t>
            </w:r>
            <w:r w:rsidRPr="001700EC">
              <w:rPr>
                <w:rFonts w:asciiTheme="majorBidi" w:hAnsiTheme="majorBidi" w:cstheme="majorBidi"/>
                <w:b/>
                <w:bCs/>
                <w:color w:val="000000" w:themeColor="text1"/>
                <w:sz w:val="24"/>
                <w:szCs w:val="24"/>
              </w:rPr>
              <w:t>SNP</w:t>
            </w:r>
            <w:r>
              <w:rPr>
                <w:rFonts w:asciiTheme="majorBidi" w:hAnsiTheme="majorBidi" w:cstheme="majorBidi"/>
                <w:b/>
                <w:bCs/>
                <w:color w:val="000000" w:themeColor="text1"/>
                <w:sz w:val="24"/>
                <w:szCs w:val="24"/>
                <w:lang w:val="en-AU" w:eastAsia="en-AU"/>
              </w:rPr>
              <w:t xml:space="preserve">  (</w:t>
            </w:r>
            <w:r w:rsidRPr="00762824">
              <w:rPr>
                <w:rFonts w:asciiTheme="majorBidi" w:hAnsiTheme="majorBidi" w:cstheme="majorBidi"/>
                <w:b/>
                <w:bCs/>
                <w:color w:val="000000" w:themeColor="text1"/>
                <w:sz w:val="24"/>
                <w:szCs w:val="24"/>
                <w:lang w:val="en-AU" w:eastAsia="en-AU"/>
              </w:rPr>
              <w:t>rs 731236</w:t>
            </w:r>
            <w:r>
              <w:rPr>
                <w:rFonts w:asciiTheme="majorBidi" w:eastAsiaTheme="minorHAnsi" w:hAnsiTheme="majorBidi" w:cstheme="majorBidi"/>
                <w:b/>
                <w:bCs/>
                <w:sz w:val="24"/>
                <w:szCs w:val="24"/>
                <w:lang w:val="en-GB"/>
              </w:rPr>
              <w:t xml:space="preserve">) </w:t>
            </w:r>
            <w:r w:rsidRPr="00762824">
              <w:rPr>
                <w:rFonts w:asciiTheme="majorBidi" w:hAnsiTheme="majorBidi" w:cstheme="majorBidi"/>
                <w:b/>
                <w:bCs/>
                <w:color w:val="000000" w:themeColor="text1"/>
                <w:sz w:val="24"/>
                <w:szCs w:val="24"/>
                <w:lang w:val="en-AU" w:eastAsia="en-AU"/>
              </w:rPr>
              <w:t>(n= 50)</w:t>
            </w:r>
          </w:p>
        </w:tc>
        <w:tc>
          <w:tcPr>
            <w:tcW w:w="2268" w:type="dxa"/>
          </w:tcPr>
          <w:p w14:paraId="2D0C3F66" w14:textId="77777777" w:rsidR="001700EC" w:rsidRPr="00762824" w:rsidRDefault="001700EC" w:rsidP="00690162">
            <w:pPr>
              <w:ind w:right="60"/>
              <w:jc w:val="center"/>
              <w:rPr>
                <w:rFonts w:asciiTheme="majorBidi" w:hAnsiTheme="majorBidi" w:cstheme="majorBidi"/>
                <w:b/>
                <w:bCs/>
                <w:color w:val="000000" w:themeColor="text1"/>
                <w:sz w:val="24"/>
                <w:szCs w:val="24"/>
                <w:lang w:val="en-AU" w:eastAsia="en-AU"/>
              </w:rPr>
            </w:pPr>
            <w:r w:rsidRPr="00762824">
              <w:rPr>
                <w:rFonts w:asciiTheme="majorBidi" w:hAnsiTheme="majorBidi" w:cstheme="majorBidi"/>
                <w:b/>
                <w:bCs/>
                <w:color w:val="000000" w:themeColor="text1"/>
                <w:sz w:val="24"/>
                <w:szCs w:val="24"/>
                <w:lang w:val="en-AU" w:eastAsia="en-AU"/>
              </w:rPr>
              <w:t>P-Value</w:t>
            </w:r>
          </w:p>
        </w:tc>
      </w:tr>
      <w:tr w:rsidR="001700EC" w:rsidRPr="00762824" w14:paraId="415FD509" w14:textId="77777777" w:rsidTr="001700EC">
        <w:trPr>
          <w:trHeight w:val="259"/>
        </w:trPr>
        <w:tc>
          <w:tcPr>
            <w:tcW w:w="1818" w:type="dxa"/>
            <w:vMerge/>
          </w:tcPr>
          <w:p w14:paraId="0B8B5441" w14:textId="77777777" w:rsidR="001700EC" w:rsidRPr="00762824" w:rsidRDefault="001700EC" w:rsidP="001700EC">
            <w:pPr>
              <w:jc w:val="center"/>
              <w:rPr>
                <w:rFonts w:asciiTheme="majorBidi" w:hAnsiTheme="majorBidi" w:cstheme="majorBidi"/>
                <w:color w:val="000000" w:themeColor="text1"/>
                <w:sz w:val="24"/>
                <w:szCs w:val="24"/>
                <w:lang w:val="en-AU" w:eastAsia="en-AU"/>
              </w:rPr>
            </w:pPr>
          </w:p>
        </w:tc>
        <w:tc>
          <w:tcPr>
            <w:tcW w:w="1801" w:type="dxa"/>
          </w:tcPr>
          <w:p w14:paraId="7B2C0100" w14:textId="77777777" w:rsidR="001700EC" w:rsidRPr="00762824" w:rsidRDefault="001700EC" w:rsidP="001700EC">
            <w:pPr>
              <w:jc w:val="center"/>
              <w:rPr>
                <w:rFonts w:asciiTheme="majorBidi" w:hAnsiTheme="majorBidi" w:cstheme="majorBidi"/>
                <w:b/>
                <w:bCs/>
                <w:color w:val="000000" w:themeColor="text1"/>
                <w:sz w:val="24"/>
                <w:szCs w:val="24"/>
                <w:rtl/>
                <w:lang w:val="en-AU"/>
              </w:rPr>
            </w:pPr>
            <w:r w:rsidRPr="00762824">
              <w:rPr>
                <w:rFonts w:asciiTheme="majorBidi" w:hAnsiTheme="majorBidi" w:cstheme="majorBidi"/>
                <w:b/>
                <w:bCs/>
                <w:color w:val="000000" w:themeColor="text1"/>
                <w:sz w:val="24"/>
                <w:szCs w:val="24"/>
                <w:lang w:val="en-AU"/>
              </w:rPr>
              <w:t>TC (n=9)</w:t>
            </w:r>
          </w:p>
        </w:tc>
        <w:tc>
          <w:tcPr>
            <w:tcW w:w="1801" w:type="dxa"/>
          </w:tcPr>
          <w:p w14:paraId="622F5076" w14:textId="77777777" w:rsidR="001700EC" w:rsidRPr="00762824" w:rsidRDefault="001700EC" w:rsidP="001700EC">
            <w:pPr>
              <w:jc w:val="center"/>
              <w:rPr>
                <w:rFonts w:asciiTheme="majorBidi" w:hAnsiTheme="majorBidi" w:cstheme="majorBidi"/>
                <w:b/>
                <w:bCs/>
                <w:color w:val="000000" w:themeColor="text1"/>
                <w:sz w:val="24"/>
                <w:szCs w:val="24"/>
                <w:rtl/>
                <w:lang w:val="en-AU"/>
              </w:rPr>
            </w:pPr>
            <w:r w:rsidRPr="00762824">
              <w:rPr>
                <w:rFonts w:asciiTheme="majorBidi" w:hAnsiTheme="majorBidi" w:cstheme="majorBidi"/>
                <w:b/>
                <w:bCs/>
                <w:color w:val="000000" w:themeColor="text1"/>
                <w:sz w:val="24"/>
                <w:szCs w:val="24"/>
                <w:lang w:val="en-AU"/>
              </w:rPr>
              <w:t>CC (n=10)</w:t>
            </w:r>
          </w:p>
        </w:tc>
        <w:tc>
          <w:tcPr>
            <w:tcW w:w="2088" w:type="dxa"/>
          </w:tcPr>
          <w:p w14:paraId="4C2EBB9F" w14:textId="77777777" w:rsidR="001700EC" w:rsidRPr="00762824" w:rsidRDefault="001700EC" w:rsidP="001700EC">
            <w:pPr>
              <w:jc w:val="center"/>
              <w:rPr>
                <w:rFonts w:asciiTheme="majorBidi" w:hAnsiTheme="majorBidi" w:cstheme="majorBidi"/>
                <w:b/>
                <w:bCs/>
                <w:color w:val="000000" w:themeColor="text1"/>
                <w:sz w:val="24"/>
                <w:szCs w:val="24"/>
                <w:rtl/>
                <w:lang w:val="en-AU"/>
              </w:rPr>
            </w:pPr>
            <w:r w:rsidRPr="00762824">
              <w:rPr>
                <w:rFonts w:asciiTheme="majorBidi" w:hAnsiTheme="majorBidi" w:cstheme="majorBidi"/>
                <w:b/>
                <w:bCs/>
                <w:color w:val="000000" w:themeColor="text1"/>
                <w:sz w:val="24"/>
                <w:szCs w:val="24"/>
                <w:lang w:val="en-AU"/>
              </w:rPr>
              <w:t>TT(n=31)</w:t>
            </w:r>
          </w:p>
        </w:tc>
        <w:tc>
          <w:tcPr>
            <w:tcW w:w="2268" w:type="dxa"/>
          </w:tcPr>
          <w:p w14:paraId="37E0AD29" w14:textId="77777777" w:rsidR="001700EC" w:rsidRPr="00762824" w:rsidRDefault="001700EC" w:rsidP="001700EC">
            <w:pPr>
              <w:jc w:val="center"/>
              <w:rPr>
                <w:rFonts w:asciiTheme="majorBidi" w:hAnsiTheme="majorBidi" w:cstheme="majorBidi"/>
                <w:color w:val="000000" w:themeColor="text1"/>
                <w:sz w:val="24"/>
                <w:szCs w:val="24"/>
                <w:lang w:val="en-AU"/>
              </w:rPr>
            </w:pPr>
          </w:p>
        </w:tc>
      </w:tr>
      <w:tr w:rsidR="001700EC" w:rsidRPr="00762824" w14:paraId="0338D40C" w14:textId="77777777" w:rsidTr="001700EC">
        <w:trPr>
          <w:trHeight w:val="421"/>
        </w:trPr>
        <w:tc>
          <w:tcPr>
            <w:tcW w:w="1818" w:type="dxa"/>
          </w:tcPr>
          <w:p w14:paraId="147C9DA1" w14:textId="77777777" w:rsidR="001700EC" w:rsidRPr="00762824" w:rsidRDefault="001700EC" w:rsidP="001700EC">
            <w:pPr>
              <w:jc w:val="center"/>
              <w:rPr>
                <w:rFonts w:asciiTheme="majorBidi" w:hAnsiTheme="majorBidi" w:cstheme="majorBidi"/>
                <w:b/>
                <w:bCs/>
                <w:color w:val="000000" w:themeColor="text1"/>
                <w:sz w:val="24"/>
                <w:szCs w:val="24"/>
              </w:rPr>
            </w:pPr>
            <w:r w:rsidRPr="00762824">
              <w:rPr>
                <w:rFonts w:asciiTheme="majorBidi" w:hAnsiTheme="majorBidi" w:cstheme="majorBidi"/>
                <w:b/>
                <w:bCs/>
                <w:color w:val="000000" w:themeColor="text1"/>
                <w:sz w:val="24"/>
                <w:szCs w:val="24"/>
              </w:rPr>
              <w:t>BMI</w:t>
            </w:r>
          </w:p>
        </w:tc>
        <w:tc>
          <w:tcPr>
            <w:tcW w:w="1801" w:type="dxa"/>
          </w:tcPr>
          <w:p w14:paraId="0BB7D76C" w14:textId="77777777" w:rsidR="001700EC" w:rsidRPr="00762824" w:rsidRDefault="001700EC" w:rsidP="001700EC">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29.87 ± 1.79</w:t>
            </w:r>
          </w:p>
        </w:tc>
        <w:tc>
          <w:tcPr>
            <w:tcW w:w="1801" w:type="dxa"/>
          </w:tcPr>
          <w:p w14:paraId="26D00AF9" w14:textId="77777777" w:rsidR="001700EC" w:rsidRPr="00762824" w:rsidRDefault="001700EC" w:rsidP="001700EC">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30.69 ± 5.76</w:t>
            </w:r>
          </w:p>
        </w:tc>
        <w:tc>
          <w:tcPr>
            <w:tcW w:w="2088" w:type="dxa"/>
          </w:tcPr>
          <w:p w14:paraId="1641C9E7" w14:textId="77777777" w:rsidR="001700EC" w:rsidRPr="00762824" w:rsidRDefault="001700EC" w:rsidP="001700EC">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29.79 ± 5.26</w:t>
            </w:r>
          </w:p>
        </w:tc>
        <w:tc>
          <w:tcPr>
            <w:tcW w:w="2268" w:type="dxa"/>
          </w:tcPr>
          <w:p w14:paraId="74EB556B" w14:textId="77777777" w:rsidR="001700EC" w:rsidRPr="00762824" w:rsidRDefault="001700EC" w:rsidP="001700EC">
            <w:pPr>
              <w:jc w:val="center"/>
              <w:rPr>
                <w:rFonts w:asciiTheme="majorBidi" w:hAnsiTheme="majorBidi" w:cstheme="majorBidi"/>
                <w:color w:val="000000" w:themeColor="text1"/>
                <w:sz w:val="24"/>
                <w:szCs w:val="24"/>
                <w:lang w:val="en-GB"/>
              </w:rPr>
            </w:pPr>
            <w:r w:rsidRPr="00762824">
              <w:rPr>
                <w:rFonts w:asciiTheme="majorBidi" w:hAnsiTheme="majorBidi" w:cstheme="majorBidi"/>
                <w:color w:val="000000" w:themeColor="text1"/>
                <w:sz w:val="24"/>
                <w:szCs w:val="24"/>
                <w:lang w:val="en-GB"/>
              </w:rPr>
              <w:t>0.882</w:t>
            </w:r>
          </w:p>
        </w:tc>
      </w:tr>
      <w:tr w:rsidR="001700EC" w:rsidRPr="00762824" w14:paraId="5D8617D8" w14:textId="77777777" w:rsidTr="001700EC">
        <w:trPr>
          <w:trHeight w:val="349"/>
        </w:trPr>
        <w:tc>
          <w:tcPr>
            <w:tcW w:w="1818" w:type="dxa"/>
          </w:tcPr>
          <w:p w14:paraId="362B92AC" w14:textId="77777777" w:rsidR="001700EC" w:rsidRPr="00762824" w:rsidRDefault="001700EC" w:rsidP="001700EC">
            <w:pPr>
              <w:jc w:val="center"/>
              <w:rPr>
                <w:rFonts w:asciiTheme="majorBidi" w:hAnsiTheme="majorBidi" w:cstheme="majorBidi"/>
                <w:b/>
                <w:bCs/>
                <w:color w:val="000000" w:themeColor="text1"/>
                <w:sz w:val="24"/>
                <w:szCs w:val="24"/>
                <w:lang w:val="en-GB"/>
              </w:rPr>
            </w:pPr>
            <w:r w:rsidRPr="00762824">
              <w:rPr>
                <w:rFonts w:asciiTheme="majorBidi" w:hAnsiTheme="majorBidi" w:cstheme="majorBidi"/>
                <w:b/>
                <w:bCs/>
                <w:color w:val="000000" w:themeColor="text1"/>
                <w:sz w:val="24"/>
                <w:szCs w:val="24"/>
                <w:lang w:val="en-GB"/>
              </w:rPr>
              <w:t>BMD</w:t>
            </w:r>
          </w:p>
        </w:tc>
        <w:tc>
          <w:tcPr>
            <w:tcW w:w="1801" w:type="dxa"/>
          </w:tcPr>
          <w:p w14:paraId="40A6A0CF" w14:textId="77777777" w:rsidR="001700EC" w:rsidRPr="00762824" w:rsidRDefault="001700EC" w:rsidP="001700EC">
            <w:pPr>
              <w:jc w:val="center"/>
              <w:rPr>
                <w:rFonts w:asciiTheme="majorBidi" w:hAnsiTheme="majorBidi" w:cstheme="majorBidi"/>
                <w:color w:val="010205"/>
                <w:sz w:val="24"/>
                <w:szCs w:val="24"/>
                <w:lang w:val="en-GB"/>
              </w:rPr>
            </w:pPr>
            <w:r w:rsidRPr="00762824">
              <w:rPr>
                <w:rFonts w:asciiTheme="majorBidi" w:hAnsiTheme="majorBidi" w:cstheme="majorBidi"/>
                <w:color w:val="010205"/>
                <w:sz w:val="24"/>
                <w:szCs w:val="24"/>
                <w:lang w:val="en-GB"/>
              </w:rPr>
              <w:t>0.87 ± 0.0</w:t>
            </w:r>
            <w:r>
              <w:rPr>
                <w:rFonts w:asciiTheme="majorBidi" w:hAnsiTheme="majorBidi" w:cstheme="majorBidi"/>
                <w:color w:val="010205"/>
                <w:sz w:val="24"/>
                <w:szCs w:val="24"/>
                <w:lang w:val="en-GB"/>
              </w:rPr>
              <w:t>5</w:t>
            </w:r>
          </w:p>
        </w:tc>
        <w:tc>
          <w:tcPr>
            <w:tcW w:w="1801" w:type="dxa"/>
          </w:tcPr>
          <w:p w14:paraId="53740B40" w14:textId="77777777" w:rsidR="001700EC" w:rsidRPr="00762824" w:rsidRDefault="001700EC" w:rsidP="001700EC">
            <w:pPr>
              <w:jc w:val="center"/>
              <w:rPr>
                <w:rFonts w:asciiTheme="majorBidi" w:hAnsiTheme="majorBidi" w:cstheme="majorBidi"/>
                <w:color w:val="010205"/>
                <w:sz w:val="24"/>
                <w:szCs w:val="24"/>
                <w:lang w:val="en-GB"/>
              </w:rPr>
            </w:pPr>
            <w:r w:rsidRPr="00762824">
              <w:rPr>
                <w:rFonts w:asciiTheme="majorBidi" w:hAnsiTheme="majorBidi" w:cstheme="majorBidi"/>
                <w:color w:val="010205"/>
                <w:sz w:val="24"/>
                <w:szCs w:val="24"/>
                <w:lang w:val="en-GB"/>
              </w:rPr>
              <w:t>0.85 ± 0.0</w:t>
            </w:r>
            <w:r>
              <w:rPr>
                <w:rFonts w:asciiTheme="majorBidi" w:hAnsiTheme="majorBidi" w:cstheme="majorBidi"/>
                <w:color w:val="010205"/>
                <w:sz w:val="24"/>
                <w:szCs w:val="24"/>
                <w:lang w:val="en-GB"/>
              </w:rPr>
              <w:t>5</w:t>
            </w:r>
          </w:p>
        </w:tc>
        <w:tc>
          <w:tcPr>
            <w:tcW w:w="2088" w:type="dxa"/>
          </w:tcPr>
          <w:p w14:paraId="25E07F3A" w14:textId="77777777" w:rsidR="001700EC" w:rsidRPr="00762824" w:rsidRDefault="001700EC" w:rsidP="001700EC">
            <w:pPr>
              <w:jc w:val="center"/>
              <w:rPr>
                <w:rFonts w:asciiTheme="majorBidi" w:hAnsiTheme="majorBidi" w:cstheme="majorBidi"/>
                <w:color w:val="010205"/>
                <w:sz w:val="24"/>
                <w:szCs w:val="24"/>
                <w:lang w:val="en-GB"/>
              </w:rPr>
            </w:pPr>
            <w:r w:rsidRPr="00762824">
              <w:rPr>
                <w:rFonts w:asciiTheme="majorBidi" w:hAnsiTheme="majorBidi" w:cstheme="majorBidi"/>
                <w:color w:val="010205"/>
                <w:sz w:val="24"/>
                <w:szCs w:val="24"/>
                <w:lang w:val="en-GB"/>
              </w:rPr>
              <w:t>0.</w:t>
            </w:r>
            <w:r>
              <w:rPr>
                <w:rFonts w:asciiTheme="majorBidi" w:hAnsiTheme="majorBidi" w:cstheme="majorBidi"/>
                <w:color w:val="010205"/>
                <w:sz w:val="24"/>
                <w:szCs w:val="24"/>
                <w:lang w:val="en-GB"/>
              </w:rPr>
              <w:t>79</w:t>
            </w:r>
            <w:r w:rsidRPr="00762824">
              <w:rPr>
                <w:rFonts w:asciiTheme="majorBidi" w:hAnsiTheme="majorBidi" w:cstheme="majorBidi"/>
                <w:color w:val="010205"/>
                <w:sz w:val="24"/>
                <w:szCs w:val="24"/>
                <w:lang w:val="en-GB"/>
              </w:rPr>
              <w:t xml:space="preserve"> ± 0.0</w:t>
            </w:r>
            <w:r>
              <w:rPr>
                <w:rFonts w:asciiTheme="majorBidi" w:hAnsiTheme="majorBidi" w:cstheme="majorBidi"/>
                <w:color w:val="010205"/>
                <w:sz w:val="24"/>
                <w:szCs w:val="24"/>
                <w:lang w:val="en-GB"/>
              </w:rPr>
              <w:t>5</w:t>
            </w:r>
          </w:p>
        </w:tc>
        <w:tc>
          <w:tcPr>
            <w:tcW w:w="2268" w:type="dxa"/>
          </w:tcPr>
          <w:p w14:paraId="307D99E8" w14:textId="77777777" w:rsidR="001700EC" w:rsidRPr="00762824" w:rsidRDefault="001700EC" w:rsidP="001700EC">
            <w:pPr>
              <w:jc w:val="center"/>
              <w:rPr>
                <w:rFonts w:asciiTheme="majorBidi" w:hAnsiTheme="majorBidi" w:cstheme="majorBidi"/>
                <w:color w:val="000000" w:themeColor="text1"/>
                <w:sz w:val="24"/>
                <w:szCs w:val="24"/>
                <w:lang w:val="en-GB"/>
              </w:rPr>
            </w:pPr>
            <w:r w:rsidRPr="00762824">
              <w:rPr>
                <w:rFonts w:asciiTheme="majorBidi" w:hAnsiTheme="majorBidi" w:cstheme="majorBidi"/>
                <w:color w:val="000000" w:themeColor="text1"/>
                <w:sz w:val="24"/>
                <w:szCs w:val="24"/>
                <w:lang w:val="en-GB"/>
              </w:rPr>
              <w:t>0.</w:t>
            </w:r>
            <w:r>
              <w:rPr>
                <w:rFonts w:asciiTheme="majorBidi" w:hAnsiTheme="majorBidi" w:cstheme="majorBidi"/>
                <w:color w:val="000000" w:themeColor="text1"/>
                <w:sz w:val="24"/>
                <w:szCs w:val="24"/>
                <w:lang w:val="en-GB"/>
              </w:rPr>
              <w:t>478</w:t>
            </w:r>
          </w:p>
        </w:tc>
      </w:tr>
      <w:tr w:rsidR="001700EC" w:rsidRPr="00762824" w14:paraId="1C5D4E41" w14:textId="77777777" w:rsidTr="001700EC">
        <w:trPr>
          <w:trHeight w:val="349"/>
        </w:trPr>
        <w:tc>
          <w:tcPr>
            <w:tcW w:w="1818" w:type="dxa"/>
          </w:tcPr>
          <w:p w14:paraId="7C4DAD01" w14:textId="77777777" w:rsidR="001700EC" w:rsidRPr="00762824" w:rsidRDefault="001700EC" w:rsidP="001700EC">
            <w:pPr>
              <w:jc w:val="center"/>
              <w:rPr>
                <w:rFonts w:asciiTheme="majorBidi" w:hAnsiTheme="majorBidi" w:cstheme="majorBidi"/>
                <w:b/>
                <w:bCs/>
                <w:color w:val="000000" w:themeColor="text1"/>
                <w:sz w:val="24"/>
                <w:szCs w:val="24"/>
              </w:rPr>
            </w:pPr>
            <w:r w:rsidRPr="00762824">
              <w:rPr>
                <w:rFonts w:asciiTheme="majorBidi" w:hAnsiTheme="majorBidi" w:cstheme="majorBidi"/>
                <w:b/>
                <w:bCs/>
                <w:color w:val="000000" w:themeColor="text1"/>
                <w:sz w:val="24"/>
                <w:szCs w:val="24"/>
                <w:lang w:val="en-GB"/>
              </w:rPr>
              <w:t>Age</w:t>
            </w:r>
          </w:p>
        </w:tc>
        <w:tc>
          <w:tcPr>
            <w:tcW w:w="1801" w:type="dxa"/>
          </w:tcPr>
          <w:p w14:paraId="4AF30303" w14:textId="77777777" w:rsidR="001700EC" w:rsidRPr="00762824" w:rsidRDefault="001700EC" w:rsidP="001700EC">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52.78 ± 3.15</w:t>
            </w:r>
          </w:p>
        </w:tc>
        <w:tc>
          <w:tcPr>
            <w:tcW w:w="1801" w:type="dxa"/>
          </w:tcPr>
          <w:p w14:paraId="67C76979" w14:textId="77777777" w:rsidR="001700EC" w:rsidRPr="00762824" w:rsidRDefault="001700EC" w:rsidP="001700EC">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54.80 ± 3.77</w:t>
            </w:r>
          </w:p>
        </w:tc>
        <w:tc>
          <w:tcPr>
            <w:tcW w:w="2088" w:type="dxa"/>
          </w:tcPr>
          <w:p w14:paraId="6826298F" w14:textId="77777777" w:rsidR="001700EC" w:rsidRPr="00762824" w:rsidRDefault="001700EC" w:rsidP="001700EC">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58.10 ± 9.11</w:t>
            </w:r>
          </w:p>
        </w:tc>
        <w:tc>
          <w:tcPr>
            <w:tcW w:w="2268" w:type="dxa"/>
          </w:tcPr>
          <w:p w14:paraId="1B1554A7" w14:textId="77777777" w:rsidR="001700EC" w:rsidRPr="00762824" w:rsidRDefault="001700EC" w:rsidP="001700EC">
            <w:pPr>
              <w:jc w:val="center"/>
              <w:rPr>
                <w:rFonts w:asciiTheme="majorBidi" w:hAnsiTheme="majorBidi" w:cstheme="majorBidi"/>
                <w:color w:val="000000" w:themeColor="text1"/>
                <w:sz w:val="24"/>
                <w:szCs w:val="24"/>
                <w:lang w:val="en-GB"/>
              </w:rPr>
            </w:pPr>
            <w:r w:rsidRPr="00762824">
              <w:rPr>
                <w:rFonts w:asciiTheme="majorBidi" w:hAnsiTheme="majorBidi" w:cstheme="majorBidi"/>
                <w:color w:val="000000" w:themeColor="text1"/>
                <w:sz w:val="24"/>
                <w:szCs w:val="24"/>
                <w:lang w:val="en-GB"/>
              </w:rPr>
              <w:t>0.143</w:t>
            </w:r>
          </w:p>
        </w:tc>
      </w:tr>
      <w:tr w:rsidR="001700EC" w:rsidRPr="00762824" w14:paraId="57184ACF" w14:textId="77777777" w:rsidTr="001700EC">
        <w:trPr>
          <w:trHeight w:val="448"/>
        </w:trPr>
        <w:tc>
          <w:tcPr>
            <w:tcW w:w="1818" w:type="dxa"/>
          </w:tcPr>
          <w:p w14:paraId="428FE74F" w14:textId="77777777" w:rsidR="001700EC" w:rsidRPr="00762824" w:rsidRDefault="001700EC" w:rsidP="001700EC">
            <w:pPr>
              <w:jc w:val="center"/>
              <w:rPr>
                <w:rFonts w:asciiTheme="majorBidi" w:hAnsiTheme="majorBidi" w:cstheme="majorBidi"/>
                <w:b/>
                <w:bCs/>
                <w:color w:val="000000" w:themeColor="text1"/>
                <w:sz w:val="24"/>
                <w:szCs w:val="24"/>
              </w:rPr>
            </w:pPr>
            <w:r w:rsidRPr="00762824">
              <w:rPr>
                <w:rFonts w:asciiTheme="majorBidi" w:hAnsiTheme="majorBidi" w:cstheme="majorBidi"/>
                <w:b/>
                <w:bCs/>
                <w:color w:val="000000" w:themeColor="text1"/>
                <w:sz w:val="24"/>
                <w:szCs w:val="24"/>
                <w:lang w:val="en-GB"/>
              </w:rPr>
              <w:t xml:space="preserve"> T. Score</w:t>
            </w:r>
          </w:p>
        </w:tc>
        <w:tc>
          <w:tcPr>
            <w:tcW w:w="1801" w:type="dxa"/>
          </w:tcPr>
          <w:p w14:paraId="25A9976B" w14:textId="77777777" w:rsidR="001700EC" w:rsidRPr="00762824" w:rsidRDefault="001700EC" w:rsidP="001700EC">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-1.61 ± 0.40</w:t>
            </w:r>
          </w:p>
        </w:tc>
        <w:tc>
          <w:tcPr>
            <w:tcW w:w="1801" w:type="dxa"/>
          </w:tcPr>
          <w:p w14:paraId="7622B5EA" w14:textId="77777777" w:rsidR="001700EC" w:rsidRPr="00762824" w:rsidRDefault="001700EC" w:rsidP="001700EC">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-1.66 ± 0.48</w:t>
            </w:r>
          </w:p>
        </w:tc>
        <w:tc>
          <w:tcPr>
            <w:tcW w:w="2088" w:type="dxa"/>
          </w:tcPr>
          <w:p w14:paraId="2CA9CE3E" w14:textId="77777777" w:rsidR="001700EC" w:rsidRPr="00762824" w:rsidRDefault="001700EC" w:rsidP="001700EC">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-1.68 ± 0.39</w:t>
            </w:r>
          </w:p>
        </w:tc>
        <w:tc>
          <w:tcPr>
            <w:tcW w:w="2268" w:type="dxa"/>
          </w:tcPr>
          <w:p w14:paraId="0959DA4C" w14:textId="77777777" w:rsidR="001700EC" w:rsidRPr="00762824" w:rsidRDefault="001700EC" w:rsidP="001700EC">
            <w:pPr>
              <w:jc w:val="center"/>
              <w:rPr>
                <w:rFonts w:asciiTheme="majorBidi" w:hAnsiTheme="majorBidi" w:cstheme="majorBidi"/>
                <w:color w:val="000000" w:themeColor="text1"/>
                <w:sz w:val="24"/>
                <w:szCs w:val="24"/>
                <w:lang w:val="en-GB"/>
              </w:rPr>
            </w:pPr>
            <w:r w:rsidRPr="00762824">
              <w:rPr>
                <w:rFonts w:asciiTheme="majorBidi" w:hAnsiTheme="majorBidi" w:cstheme="majorBidi"/>
                <w:color w:val="000000" w:themeColor="text1"/>
                <w:sz w:val="24"/>
                <w:szCs w:val="24"/>
                <w:lang w:val="en-GB"/>
              </w:rPr>
              <w:t>0.</w:t>
            </w:r>
            <w:r>
              <w:rPr>
                <w:rFonts w:asciiTheme="majorBidi" w:hAnsiTheme="majorBidi" w:cstheme="majorBidi"/>
                <w:color w:val="000000" w:themeColor="text1"/>
                <w:sz w:val="24"/>
                <w:szCs w:val="24"/>
                <w:lang w:val="en-GB"/>
              </w:rPr>
              <w:t>899</w:t>
            </w:r>
          </w:p>
        </w:tc>
      </w:tr>
    </w:tbl>
    <w:p w14:paraId="59FABFB0" w14:textId="77777777" w:rsidR="00B835F9" w:rsidRPr="00705066" w:rsidRDefault="003A242A" w:rsidP="003A242A">
      <w:pPr>
        <w:spacing w:line="360" w:lineRule="auto"/>
        <w:rPr>
          <w:rFonts w:asciiTheme="majorBidi" w:hAnsiTheme="majorBidi" w:cstheme="majorBidi"/>
          <w:sz w:val="20"/>
          <w:szCs w:val="20"/>
        </w:rPr>
      </w:pPr>
      <w:r w:rsidRPr="00705066">
        <w:rPr>
          <w:rFonts w:asciiTheme="majorBidi" w:hAnsiTheme="majorBidi" w:cstheme="majorBidi"/>
          <w:sz w:val="20"/>
          <w:szCs w:val="20"/>
        </w:rPr>
        <w:t>n= number of subjects</w:t>
      </w:r>
      <w:r>
        <w:rPr>
          <w:rFonts w:asciiTheme="majorBidi" w:hAnsiTheme="majorBidi" w:cstheme="majorBidi"/>
          <w:sz w:val="20"/>
          <w:szCs w:val="20"/>
        </w:rPr>
        <w:t>,</w:t>
      </w:r>
      <w:r w:rsidRPr="00705066">
        <w:rPr>
          <w:rFonts w:asciiTheme="majorBidi" w:hAnsiTheme="majorBidi" w:cstheme="majorBidi"/>
          <w:sz w:val="20"/>
          <w:szCs w:val="20"/>
        </w:rPr>
        <w:t xml:space="preserve"> percentage</w:t>
      </w:r>
      <w:r>
        <w:rPr>
          <w:rFonts w:asciiTheme="majorBidi" w:hAnsiTheme="majorBidi" w:cstheme="majorBidi"/>
          <w:sz w:val="20"/>
          <w:szCs w:val="20"/>
        </w:rPr>
        <w:t xml:space="preserve">% </w:t>
      </w:r>
      <w:r w:rsidRPr="00705066">
        <w:rPr>
          <w:rFonts w:asciiTheme="majorBidi" w:hAnsiTheme="majorBidi" w:cstheme="majorBidi"/>
          <w:sz w:val="20"/>
          <w:szCs w:val="20"/>
        </w:rPr>
        <w:t xml:space="preserve">and </w:t>
      </w:r>
      <w:r w:rsidR="00B835F9" w:rsidRPr="00705066">
        <w:rPr>
          <w:rFonts w:asciiTheme="majorBidi" w:hAnsiTheme="majorBidi" w:cstheme="majorBidi"/>
          <w:sz w:val="20"/>
          <w:szCs w:val="20"/>
        </w:rPr>
        <w:t>mean ± SD</w:t>
      </w:r>
      <w:r>
        <w:rPr>
          <w:rFonts w:asciiTheme="majorBidi" w:hAnsiTheme="majorBidi" w:cstheme="majorBidi"/>
          <w:sz w:val="20"/>
          <w:szCs w:val="20"/>
        </w:rPr>
        <w:t xml:space="preserve">. </w:t>
      </w:r>
      <w:r w:rsidRPr="003A242A">
        <w:rPr>
          <w:rFonts w:asciiTheme="majorBidi" w:hAnsiTheme="majorBidi" w:cstheme="majorBidi"/>
          <w:sz w:val="20"/>
          <w:szCs w:val="20"/>
        </w:rPr>
        <w:t>This is how the result was displayed</w:t>
      </w:r>
    </w:p>
    <w:p w14:paraId="0398B0A3" w14:textId="77777777" w:rsidR="007D6ECE" w:rsidRPr="00762824" w:rsidRDefault="007D6ECE" w:rsidP="0035144D">
      <w:pPr>
        <w:rPr>
          <w:rFonts w:asciiTheme="majorBidi" w:eastAsia="Calibri" w:hAnsiTheme="majorBidi" w:cstheme="majorBidi"/>
          <w:b/>
          <w:bCs/>
          <w:color w:val="000000" w:themeColor="text1"/>
          <w:sz w:val="24"/>
          <w:szCs w:val="24"/>
        </w:rPr>
      </w:pPr>
    </w:p>
    <w:p w14:paraId="13BD0DB2" w14:textId="77777777" w:rsidR="00B835F9" w:rsidRPr="00762824" w:rsidRDefault="00B835F9" w:rsidP="005C1418">
      <w:pPr>
        <w:jc w:val="center"/>
        <w:rPr>
          <w:rFonts w:asciiTheme="majorBidi" w:hAnsiTheme="majorBidi" w:cstheme="majorBidi"/>
          <w:b/>
          <w:bCs/>
          <w:color w:val="000000" w:themeColor="text1"/>
          <w:sz w:val="24"/>
          <w:szCs w:val="24"/>
        </w:rPr>
      </w:pPr>
      <w:r w:rsidRPr="00762824">
        <w:rPr>
          <w:rFonts w:asciiTheme="majorBidi" w:eastAsia="Calibri" w:hAnsiTheme="majorBidi" w:cstheme="majorBidi"/>
          <w:b/>
          <w:bCs/>
          <w:color w:val="000000" w:themeColor="text1"/>
          <w:sz w:val="24"/>
          <w:szCs w:val="24"/>
        </w:rPr>
        <w:lastRenderedPageBreak/>
        <w:t xml:space="preserve">Table </w:t>
      </w:r>
      <w:r w:rsidR="005C1418">
        <w:rPr>
          <w:rFonts w:asciiTheme="majorBidi" w:eastAsia="Calibri" w:hAnsiTheme="majorBidi" w:cstheme="majorBidi"/>
          <w:b/>
          <w:bCs/>
          <w:color w:val="000000" w:themeColor="text1"/>
          <w:sz w:val="24"/>
          <w:szCs w:val="24"/>
        </w:rPr>
        <w:t>6</w:t>
      </w:r>
      <w:r w:rsidRPr="00762824">
        <w:rPr>
          <w:rFonts w:asciiTheme="majorBidi" w:eastAsia="Calibri" w:hAnsiTheme="majorBidi" w:cstheme="majorBidi"/>
          <w:b/>
          <w:bCs/>
          <w:color w:val="000000" w:themeColor="text1"/>
          <w:sz w:val="24"/>
          <w:szCs w:val="24"/>
        </w:rPr>
        <w:t xml:space="preserve">. </w:t>
      </w:r>
      <w:r w:rsidR="008C09FD" w:rsidRPr="00762824">
        <w:rPr>
          <w:rFonts w:asciiTheme="majorBidi" w:eastAsia="Calibri" w:hAnsiTheme="majorBidi" w:cstheme="majorBidi"/>
          <w:color w:val="000000" w:themeColor="text1"/>
          <w:sz w:val="24"/>
          <w:szCs w:val="24"/>
        </w:rPr>
        <w:t>D</w:t>
      </w:r>
      <w:r w:rsidRPr="00762824">
        <w:rPr>
          <w:rFonts w:asciiTheme="majorBidi" w:eastAsia="Calibri" w:hAnsiTheme="majorBidi" w:cstheme="majorBidi"/>
          <w:color w:val="000000" w:themeColor="text1"/>
          <w:sz w:val="24"/>
          <w:szCs w:val="24"/>
        </w:rPr>
        <w:t>emographic characteristic in (</w:t>
      </w:r>
      <w:proofErr w:type="spellStart"/>
      <w:r w:rsidRPr="00762824">
        <w:rPr>
          <w:rFonts w:asciiTheme="majorBidi" w:hAnsiTheme="majorBidi" w:cstheme="majorBidi"/>
          <w:color w:val="000000" w:themeColor="text1"/>
          <w:sz w:val="24"/>
          <w:szCs w:val="24"/>
        </w:rPr>
        <w:t>rs</w:t>
      </w:r>
      <w:proofErr w:type="spellEnd"/>
      <w:r w:rsidRPr="00762824">
        <w:rPr>
          <w:rFonts w:asciiTheme="majorBidi" w:hAnsiTheme="majorBidi" w:cstheme="majorBidi"/>
          <w:color w:val="000000" w:themeColor="text1"/>
          <w:sz w:val="24"/>
          <w:szCs w:val="24"/>
        </w:rPr>
        <w:t xml:space="preserve"> </w:t>
      </w:r>
      <w:r w:rsidRPr="00762824">
        <w:rPr>
          <w:rFonts w:asciiTheme="majorBidi" w:hAnsiTheme="majorBidi" w:cstheme="majorBidi"/>
          <w:sz w:val="24"/>
          <w:szCs w:val="24"/>
          <w:lang w:val="en-GB"/>
        </w:rPr>
        <w:t xml:space="preserve">731236) </w:t>
      </w:r>
      <w:r w:rsidRPr="00762824">
        <w:rPr>
          <w:rFonts w:asciiTheme="majorBidi" w:eastAsia="Calibri" w:hAnsiTheme="majorBidi" w:cstheme="majorBidi"/>
          <w:color w:val="000000" w:themeColor="text1"/>
          <w:sz w:val="24"/>
          <w:szCs w:val="24"/>
        </w:rPr>
        <w:t>SNP in patients with PMO (with and without DM type 2)</w:t>
      </w:r>
      <w:r w:rsidR="008C09FD" w:rsidRPr="00762824">
        <w:rPr>
          <w:rFonts w:asciiTheme="majorBidi" w:eastAsia="Calibri" w:hAnsiTheme="majorBidi" w:cstheme="majorBidi"/>
          <w:color w:val="000000" w:themeColor="text1"/>
          <w:sz w:val="24"/>
          <w:szCs w:val="24"/>
        </w:rPr>
        <w:t>.</w:t>
      </w:r>
    </w:p>
    <w:tbl>
      <w:tblPr>
        <w:tblStyle w:val="TableGrid3"/>
        <w:tblpPr w:leftFromText="180" w:rightFromText="180" w:vertAnchor="text" w:tblpXSpec="center" w:tblpY="229"/>
        <w:tblW w:w="9104" w:type="dxa"/>
        <w:tblLayout w:type="fixed"/>
        <w:tblLook w:val="0000" w:firstRow="0" w:lastRow="0" w:firstColumn="0" w:lastColumn="0" w:noHBand="0" w:noVBand="0"/>
      </w:tblPr>
      <w:tblGrid>
        <w:gridCol w:w="777"/>
        <w:gridCol w:w="1336"/>
        <w:gridCol w:w="2362"/>
        <w:gridCol w:w="21"/>
        <w:gridCol w:w="1569"/>
        <w:gridCol w:w="21"/>
        <w:gridCol w:w="1566"/>
        <w:gridCol w:w="21"/>
        <w:gridCol w:w="1411"/>
        <w:gridCol w:w="20"/>
      </w:tblGrid>
      <w:tr w:rsidR="00B835F9" w:rsidRPr="00762824" w14:paraId="4CE47F71" w14:textId="77777777" w:rsidTr="0035144D">
        <w:trPr>
          <w:gridAfter w:val="1"/>
          <w:wAfter w:w="20" w:type="dxa"/>
          <w:trHeight w:val="337"/>
        </w:trPr>
        <w:tc>
          <w:tcPr>
            <w:tcW w:w="2113" w:type="dxa"/>
            <w:gridSpan w:val="2"/>
            <w:vMerge w:val="restart"/>
          </w:tcPr>
          <w:p w14:paraId="56C32D25" w14:textId="77777777" w:rsidR="00B835F9" w:rsidRPr="00762824" w:rsidRDefault="00B835F9" w:rsidP="00950C38">
            <w:pPr>
              <w:spacing w:line="360" w:lineRule="auto"/>
              <w:rPr>
                <w:rFonts w:asciiTheme="majorBidi" w:hAnsiTheme="majorBidi" w:cstheme="majorBidi"/>
                <w:b/>
                <w:bCs/>
                <w:color w:val="000000" w:themeColor="text1"/>
                <w:sz w:val="24"/>
                <w:szCs w:val="24"/>
                <w:lang w:val="en-AU" w:eastAsia="en-AU"/>
              </w:rPr>
            </w:pPr>
            <w:r w:rsidRPr="00762824">
              <w:rPr>
                <w:rFonts w:asciiTheme="majorBidi" w:hAnsiTheme="majorBidi" w:cstheme="majorBidi"/>
                <w:b/>
                <w:bCs/>
                <w:color w:val="000000" w:themeColor="text1"/>
                <w:sz w:val="24"/>
                <w:szCs w:val="24"/>
                <w:lang w:val="en-AU" w:eastAsia="en-AU"/>
              </w:rPr>
              <w:t>Demographic parameters</w:t>
            </w:r>
          </w:p>
        </w:tc>
        <w:tc>
          <w:tcPr>
            <w:tcW w:w="5539" w:type="dxa"/>
            <w:gridSpan w:val="5"/>
          </w:tcPr>
          <w:p w14:paraId="18A7C939" w14:textId="77777777" w:rsidR="00B835F9" w:rsidRPr="00762824" w:rsidRDefault="00B835F9" w:rsidP="008C09FD">
            <w:pPr>
              <w:autoSpaceDE w:val="0"/>
              <w:autoSpaceDN w:val="0"/>
              <w:adjustRightInd w:val="0"/>
              <w:spacing w:line="360" w:lineRule="auto"/>
              <w:ind w:right="60"/>
              <w:jc w:val="center"/>
              <w:rPr>
                <w:rFonts w:asciiTheme="majorBidi" w:hAnsiTheme="majorBidi" w:cstheme="majorBidi"/>
                <w:b/>
                <w:bCs/>
                <w:color w:val="000000" w:themeColor="text1"/>
                <w:sz w:val="24"/>
                <w:szCs w:val="24"/>
                <w:lang w:val="en-AU" w:eastAsia="en-AU"/>
              </w:rPr>
            </w:pPr>
            <w:r w:rsidRPr="00762824">
              <w:rPr>
                <w:rFonts w:asciiTheme="majorBidi" w:hAnsiTheme="majorBidi" w:cstheme="majorBidi"/>
                <w:b/>
                <w:bCs/>
                <w:color w:val="000000" w:themeColor="text1"/>
                <w:sz w:val="24"/>
                <w:szCs w:val="24"/>
                <w:lang w:val="en-AU" w:eastAsia="en-AU"/>
              </w:rPr>
              <w:t>rs 731236</w:t>
            </w:r>
            <w:r w:rsidRPr="00762824">
              <w:rPr>
                <w:rFonts w:asciiTheme="majorBidi" w:eastAsiaTheme="minorHAnsi" w:hAnsiTheme="majorBidi" w:cstheme="majorBidi"/>
                <w:b/>
                <w:bCs/>
                <w:sz w:val="24"/>
                <w:szCs w:val="24"/>
                <w:lang w:val="en-GB"/>
              </w:rPr>
              <w:t xml:space="preserve"> </w:t>
            </w:r>
            <w:r w:rsidRPr="00762824">
              <w:rPr>
                <w:rFonts w:asciiTheme="majorBidi" w:hAnsiTheme="majorBidi" w:cstheme="majorBidi"/>
                <w:b/>
                <w:bCs/>
                <w:color w:val="000000" w:themeColor="text1"/>
                <w:sz w:val="24"/>
                <w:szCs w:val="24"/>
                <w:lang w:val="en-AU" w:eastAsia="en-AU"/>
              </w:rPr>
              <w:t>(</w:t>
            </w:r>
            <w:r w:rsidR="008C09FD" w:rsidRPr="00762824">
              <w:rPr>
                <w:rFonts w:asciiTheme="majorBidi" w:hAnsiTheme="majorBidi" w:cstheme="majorBidi"/>
                <w:b/>
                <w:bCs/>
                <w:color w:val="000000" w:themeColor="text1"/>
                <w:sz w:val="24"/>
                <w:szCs w:val="24"/>
                <w:lang w:val="en-AU" w:eastAsia="en-AU"/>
              </w:rPr>
              <w:t>n</w:t>
            </w:r>
            <w:r w:rsidRPr="00762824">
              <w:rPr>
                <w:rFonts w:asciiTheme="majorBidi" w:hAnsiTheme="majorBidi" w:cstheme="majorBidi"/>
                <w:b/>
                <w:bCs/>
                <w:color w:val="000000" w:themeColor="text1"/>
                <w:sz w:val="24"/>
                <w:szCs w:val="24"/>
                <w:lang w:val="en-AU" w:eastAsia="en-AU"/>
              </w:rPr>
              <w:t>= 60)</w:t>
            </w:r>
          </w:p>
        </w:tc>
        <w:tc>
          <w:tcPr>
            <w:tcW w:w="1432" w:type="dxa"/>
            <w:gridSpan w:val="2"/>
            <w:vMerge w:val="restart"/>
          </w:tcPr>
          <w:p w14:paraId="77DF4EF2" w14:textId="77777777" w:rsidR="00B835F9" w:rsidRPr="00762824" w:rsidRDefault="00B835F9" w:rsidP="008750CB">
            <w:pPr>
              <w:spacing w:line="360" w:lineRule="auto"/>
              <w:ind w:right="60"/>
              <w:jc w:val="center"/>
              <w:rPr>
                <w:rFonts w:asciiTheme="majorBidi" w:hAnsiTheme="majorBidi" w:cstheme="majorBidi"/>
                <w:b/>
                <w:bCs/>
                <w:color w:val="000000" w:themeColor="text1"/>
                <w:sz w:val="24"/>
                <w:szCs w:val="24"/>
                <w:lang w:val="en-AU" w:eastAsia="en-AU"/>
              </w:rPr>
            </w:pPr>
            <w:r w:rsidRPr="00762824">
              <w:rPr>
                <w:rFonts w:asciiTheme="majorBidi" w:hAnsiTheme="majorBidi" w:cstheme="majorBidi"/>
                <w:b/>
                <w:bCs/>
                <w:color w:val="000000" w:themeColor="text1"/>
                <w:sz w:val="24"/>
                <w:szCs w:val="24"/>
                <w:lang w:val="en-AU" w:eastAsia="en-AU"/>
              </w:rPr>
              <w:t>P-Value</w:t>
            </w:r>
          </w:p>
        </w:tc>
      </w:tr>
      <w:tr w:rsidR="00950C38" w:rsidRPr="00762824" w14:paraId="4F5EC3C5" w14:textId="77777777" w:rsidTr="0035144D">
        <w:trPr>
          <w:gridAfter w:val="1"/>
          <w:wAfter w:w="20" w:type="dxa"/>
          <w:trHeight w:val="337"/>
        </w:trPr>
        <w:tc>
          <w:tcPr>
            <w:tcW w:w="2113" w:type="dxa"/>
            <w:gridSpan w:val="2"/>
            <w:vMerge/>
          </w:tcPr>
          <w:p w14:paraId="74F9F0AF" w14:textId="77777777" w:rsidR="00950C38" w:rsidRPr="00762824" w:rsidRDefault="00950C38" w:rsidP="008750CB">
            <w:pPr>
              <w:spacing w:line="360" w:lineRule="auto"/>
              <w:jc w:val="center"/>
              <w:rPr>
                <w:rFonts w:asciiTheme="majorBidi" w:hAnsiTheme="majorBidi" w:cstheme="majorBidi"/>
                <w:b/>
                <w:bCs/>
                <w:color w:val="000000" w:themeColor="text1"/>
                <w:sz w:val="24"/>
                <w:szCs w:val="24"/>
                <w:lang w:val="en-AU" w:eastAsia="en-AU"/>
              </w:rPr>
            </w:pPr>
          </w:p>
        </w:tc>
        <w:tc>
          <w:tcPr>
            <w:tcW w:w="5539" w:type="dxa"/>
            <w:gridSpan w:val="5"/>
          </w:tcPr>
          <w:p w14:paraId="33935339" w14:textId="77777777" w:rsidR="00950C38" w:rsidRPr="00762824" w:rsidRDefault="00950C38" w:rsidP="008750CB">
            <w:pPr>
              <w:autoSpaceDE w:val="0"/>
              <w:autoSpaceDN w:val="0"/>
              <w:adjustRightInd w:val="0"/>
              <w:spacing w:line="360" w:lineRule="auto"/>
              <w:ind w:right="60"/>
              <w:jc w:val="center"/>
              <w:rPr>
                <w:rFonts w:asciiTheme="majorBidi" w:hAnsiTheme="majorBidi" w:cstheme="majorBidi"/>
                <w:b/>
                <w:bCs/>
                <w:color w:val="000000" w:themeColor="text1"/>
                <w:sz w:val="24"/>
                <w:szCs w:val="24"/>
                <w:lang w:val="en-AU" w:eastAsia="en-AU"/>
              </w:rPr>
            </w:pPr>
          </w:p>
        </w:tc>
        <w:tc>
          <w:tcPr>
            <w:tcW w:w="1432" w:type="dxa"/>
            <w:gridSpan w:val="2"/>
            <w:vMerge/>
          </w:tcPr>
          <w:p w14:paraId="35EC900B" w14:textId="77777777" w:rsidR="00950C38" w:rsidRPr="00762824" w:rsidRDefault="00950C38" w:rsidP="008750CB">
            <w:pPr>
              <w:spacing w:line="360" w:lineRule="auto"/>
              <w:ind w:right="60"/>
              <w:jc w:val="center"/>
              <w:rPr>
                <w:rFonts w:asciiTheme="majorBidi" w:hAnsiTheme="majorBidi" w:cstheme="majorBidi"/>
                <w:b/>
                <w:bCs/>
                <w:color w:val="000000" w:themeColor="text1"/>
                <w:sz w:val="24"/>
                <w:szCs w:val="24"/>
                <w:lang w:val="en-AU" w:eastAsia="en-AU"/>
              </w:rPr>
            </w:pPr>
          </w:p>
        </w:tc>
      </w:tr>
      <w:tr w:rsidR="0035144D" w:rsidRPr="00762824" w14:paraId="2E4B698F" w14:textId="77777777" w:rsidTr="0035144D">
        <w:trPr>
          <w:gridAfter w:val="1"/>
          <w:wAfter w:w="20" w:type="dxa"/>
          <w:trHeight w:val="337"/>
        </w:trPr>
        <w:tc>
          <w:tcPr>
            <w:tcW w:w="2113" w:type="dxa"/>
            <w:gridSpan w:val="2"/>
            <w:vMerge/>
          </w:tcPr>
          <w:p w14:paraId="01894B3D" w14:textId="77777777" w:rsidR="0035144D" w:rsidRPr="00762824" w:rsidRDefault="0035144D" w:rsidP="0035144D">
            <w:pPr>
              <w:spacing w:line="360" w:lineRule="auto"/>
              <w:jc w:val="center"/>
              <w:rPr>
                <w:rFonts w:asciiTheme="majorBidi" w:hAnsiTheme="majorBidi" w:cstheme="majorBidi"/>
                <w:b/>
                <w:bCs/>
                <w:color w:val="000000" w:themeColor="text1"/>
                <w:sz w:val="24"/>
                <w:szCs w:val="24"/>
                <w:lang w:val="en-AU" w:eastAsia="en-AU"/>
              </w:rPr>
            </w:pPr>
          </w:p>
        </w:tc>
        <w:tc>
          <w:tcPr>
            <w:tcW w:w="2362" w:type="dxa"/>
          </w:tcPr>
          <w:p w14:paraId="0B182181" w14:textId="77777777" w:rsidR="0035144D" w:rsidRPr="00762824" w:rsidRDefault="0035144D" w:rsidP="008C09FD">
            <w:pPr>
              <w:spacing w:line="360" w:lineRule="auto"/>
              <w:rPr>
                <w:rFonts w:asciiTheme="majorBidi" w:hAnsiTheme="majorBidi" w:cstheme="majorBidi"/>
                <w:b/>
                <w:bCs/>
                <w:color w:val="000000" w:themeColor="text1"/>
                <w:sz w:val="24"/>
                <w:szCs w:val="24"/>
                <w:rtl/>
                <w:lang w:val="en-AU"/>
              </w:rPr>
            </w:pPr>
            <w:r w:rsidRPr="00762824">
              <w:rPr>
                <w:rFonts w:asciiTheme="majorBidi" w:hAnsiTheme="majorBidi" w:cstheme="majorBidi"/>
                <w:b/>
                <w:bCs/>
                <w:color w:val="000000" w:themeColor="text1"/>
                <w:sz w:val="24"/>
                <w:szCs w:val="24"/>
                <w:lang w:val="en-AU"/>
              </w:rPr>
              <w:t>TT (</w:t>
            </w:r>
            <w:r w:rsidR="008C09FD" w:rsidRPr="00762824">
              <w:rPr>
                <w:rFonts w:asciiTheme="majorBidi" w:hAnsiTheme="majorBidi" w:cstheme="majorBidi"/>
                <w:b/>
                <w:bCs/>
                <w:color w:val="000000" w:themeColor="text1"/>
                <w:sz w:val="24"/>
                <w:szCs w:val="24"/>
                <w:lang w:val="en-AU"/>
              </w:rPr>
              <w:t>n</w:t>
            </w:r>
            <w:r w:rsidRPr="00762824">
              <w:rPr>
                <w:rFonts w:asciiTheme="majorBidi" w:hAnsiTheme="majorBidi" w:cstheme="majorBidi"/>
                <w:b/>
                <w:bCs/>
                <w:color w:val="000000" w:themeColor="text1"/>
                <w:sz w:val="24"/>
                <w:szCs w:val="24"/>
                <w:lang w:val="en-AU"/>
              </w:rPr>
              <w:t>=15)</w:t>
            </w:r>
          </w:p>
        </w:tc>
        <w:tc>
          <w:tcPr>
            <w:tcW w:w="1590" w:type="dxa"/>
            <w:gridSpan w:val="2"/>
          </w:tcPr>
          <w:p w14:paraId="37CA0A23" w14:textId="77777777" w:rsidR="0035144D" w:rsidRPr="00762824" w:rsidRDefault="0035144D" w:rsidP="008C09FD">
            <w:pPr>
              <w:spacing w:line="360" w:lineRule="auto"/>
              <w:rPr>
                <w:rFonts w:asciiTheme="majorBidi" w:hAnsiTheme="majorBidi" w:cstheme="majorBidi"/>
                <w:b/>
                <w:bCs/>
                <w:color w:val="000000" w:themeColor="text1"/>
                <w:sz w:val="24"/>
                <w:szCs w:val="24"/>
                <w:rtl/>
                <w:lang w:val="en-AU"/>
              </w:rPr>
            </w:pPr>
            <w:r w:rsidRPr="00762824">
              <w:rPr>
                <w:rFonts w:asciiTheme="majorBidi" w:hAnsiTheme="majorBidi" w:cstheme="majorBidi"/>
                <w:b/>
                <w:bCs/>
                <w:color w:val="000000" w:themeColor="text1"/>
                <w:sz w:val="24"/>
                <w:szCs w:val="24"/>
                <w:lang w:val="en-AU"/>
              </w:rPr>
              <w:t>CC (</w:t>
            </w:r>
            <w:r w:rsidR="008C09FD" w:rsidRPr="00762824">
              <w:rPr>
                <w:rFonts w:asciiTheme="majorBidi" w:hAnsiTheme="majorBidi" w:cstheme="majorBidi"/>
                <w:b/>
                <w:bCs/>
                <w:color w:val="000000" w:themeColor="text1"/>
                <w:sz w:val="24"/>
                <w:szCs w:val="24"/>
                <w:lang w:val="en-AU"/>
              </w:rPr>
              <w:t>n</w:t>
            </w:r>
            <w:r w:rsidRPr="00762824">
              <w:rPr>
                <w:rFonts w:asciiTheme="majorBidi" w:hAnsiTheme="majorBidi" w:cstheme="majorBidi"/>
                <w:b/>
                <w:bCs/>
                <w:color w:val="000000" w:themeColor="text1"/>
                <w:sz w:val="24"/>
                <w:szCs w:val="24"/>
                <w:lang w:val="en-AU"/>
              </w:rPr>
              <w:t>=24)</w:t>
            </w:r>
          </w:p>
        </w:tc>
        <w:tc>
          <w:tcPr>
            <w:tcW w:w="1587" w:type="dxa"/>
            <w:gridSpan w:val="2"/>
          </w:tcPr>
          <w:p w14:paraId="5CF3AF80" w14:textId="77777777" w:rsidR="0035144D" w:rsidRPr="00762824" w:rsidRDefault="0035144D" w:rsidP="008C09FD">
            <w:pPr>
              <w:spacing w:line="360" w:lineRule="auto"/>
              <w:ind w:right="60"/>
              <w:rPr>
                <w:rFonts w:asciiTheme="majorBidi" w:hAnsiTheme="majorBidi" w:cstheme="majorBidi"/>
                <w:b/>
                <w:bCs/>
                <w:color w:val="000000" w:themeColor="text1"/>
                <w:sz w:val="24"/>
                <w:szCs w:val="24"/>
                <w:lang w:val="en-AU"/>
              </w:rPr>
            </w:pPr>
            <w:r w:rsidRPr="00762824">
              <w:rPr>
                <w:rFonts w:asciiTheme="majorBidi" w:hAnsiTheme="majorBidi" w:cstheme="majorBidi"/>
                <w:b/>
                <w:bCs/>
                <w:color w:val="000000" w:themeColor="text1"/>
                <w:sz w:val="24"/>
                <w:szCs w:val="24"/>
                <w:lang w:val="en-AU"/>
              </w:rPr>
              <w:t>TC (</w:t>
            </w:r>
            <w:r w:rsidR="008C09FD" w:rsidRPr="00762824">
              <w:rPr>
                <w:rFonts w:asciiTheme="majorBidi" w:hAnsiTheme="majorBidi" w:cstheme="majorBidi"/>
                <w:b/>
                <w:bCs/>
                <w:color w:val="000000" w:themeColor="text1"/>
                <w:sz w:val="24"/>
                <w:szCs w:val="24"/>
                <w:lang w:val="en-AU"/>
              </w:rPr>
              <w:t>n</w:t>
            </w:r>
            <w:r w:rsidRPr="00762824">
              <w:rPr>
                <w:rFonts w:asciiTheme="majorBidi" w:hAnsiTheme="majorBidi" w:cstheme="majorBidi"/>
                <w:b/>
                <w:bCs/>
                <w:color w:val="000000" w:themeColor="text1"/>
                <w:sz w:val="24"/>
                <w:szCs w:val="24"/>
                <w:lang w:val="en-AU"/>
              </w:rPr>
              <w:t>=21)</w:t>
            </w:r>
          </w:p>
        </w:tc>
        <w:tc>
          <w:tcPr>
            <w:tcW w:w="1432" w:type="dxa"/>
            <w:gridSpan w:val="2"/>
            <w:vMerge/>
          </w:tcPr>
          <w:p w14:paraId="0BA0AE4D" w14:textId="77777777" w:rsidR="0035144D" w:rsidRPr="00762824" w:rsidRDefault="0035144D" w:rsidP="0035144D">
            <w:pPr>
              <w:spacing w:line="360" w:lineRule="auto"/>
              <w:jc w:val="center"/>
              <w:rPr>
                <w:rFonts w:asciiTheme="majorBidi" w:hAnsiTheme="majorBidi" w:cstheme="majorBidi"/>
                <w:color w:val="000000" w:themeColor="text1"/>
                <w:sz w:val="24"/>
                <w:szCs w:val="24"/>
                <w:lang w:val="en-AU"/>
              </w:rPr>
            </w:pPr>
          </w:p>
        </w:tc>
      </w:tr>
      <w:tr w:rsidR="0035144D" w:rsidRPr="00762824" w14:paraId="270AAA17" w14:textId="77777777" w:rsidTr="0035144D">
        <w:trPr>
          <w:gridAfter w:val="1"/>
          <w:wAfter w:w="20" w:type="dxa"/>
          <w:trHeight w:val="343"/>
        </w:trPr>
        <w:tc>
          <w:tcPr>
            <w:tcW w:w="2113" w:type="dxa"/>
            <w:gridSpan w:val="2"/>
          </w:tcPr>
          <w:p w14:paraId="1E1D6586" w14:textId="77777777" w:rsidR="0035144D" w:rsidRPr="00762824" w:rsidRDefault="0035144D" w:rsidP="0035144D">
            <w:pPr>
              <w:spacing w:line="360" w:lineRule="auto"/>
              <w:jc w:val="center"/>
              <w:rPr>
                <w:rFonts w:asciiTheme="majorBidi" w:hAnsiTheme="majorBidi" w:cstheme="majorBidi"/>
                <w:b/>
                <w:bCs/>
                <w:color w:val="000000" w:themeColor="text1"/>
                <w:sz w:val="24"/>
                <w:szCs w:val="24"/>
              </w:rPr>
            </w:pPr>
            <w:r w:rsidRPr="00762824">
              <w:rPr>
                <w:rFonts w:asciiTheme="majorBidi" w:hAnsiTheme="majorBidi" w:cstheme="majorBidi"/>
                <w:b/>
                <w:bCs/>
                <w:color w:val="000000" w:themeColor="text1"/>
                <w:sz w:val="24"/>
                <w:szCs w:val="24"/>
              </w:rPr>
              <w:t>BMI</w:t>
            </w:r>
          </w:p>
        </w:tc>
        <w:tc>
          <w:tcPr>
            <w:tcW w:w="2362" w:type="dxa"/>
          </w:tcPr>
          <w:p w14:paraId="68CC7F99" w14:textId="77777777" w:rsidR="0035144D" w:rsidRPr="00762824" w:rsidRDefault="0035144D" w:rsidP="0035144D">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29.36 ± 4.96</w:t>
            </w:r>
          </w:p>
        </w:tc>
        <w:tc>
          <w:tcPr>
            <w:tcW w:w="1590" w:type="dxa"/>
            <w:gridSpan w:val="2"/>
          </w:tcPr>
          <w:p w14:paraId="0847FA16" w14:textId="77777777" w:rsidR="0035144D" w:rsidRPr="00762824" w:rsidRDefault="0035144D" w:rsidP="0035144D">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30.54 ± 5.09</w:t>
            </w:r>
          </w:p>
        </w:tc>
        <w:tc>
          <w:tcPr>
            <w:tcW w:w="1587" w:type="dxa"/>
            <w:gridSpan w:val="2"/>
          </w:tcPr>
          <w:p w14:paraId="4C51C7E0" w14:textId="77777777" w:rsidR="0035144D" w:rsidRPr="00762824" w:rsidRDefault="0035144D" w:rsidP="0035144D">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28.66 ± 3.46</w:t>
            </w:r>
          </w:p>
        </w:tc>
        <w:tc>
          <w:tcPr>
            <w:tcW w:w="1432" w:type="dxa"/>
            <w:gridSpan w:val="2"/>
          </w:tcPr>
          <w:p w14:paraId="786DCAD1" w14:textId="77777777" w:rsidR="0035144D" w:rsidRPr="00762824" w:rsidRDefault="0035144D" w:rsidP="0035144D">
            <w:pPr>
              <w:spacing w:line="360" w:lineRule="auto"/>
              <w:jc w:val="center"/>
              <w:rPr>
                <w:rFonts w:asciiTheme="majorBidi" w:hAnsiTheme="majorBidi" w:cstheme="majorBidi"/>
                <w:color w:val="000000" w:themeColor="text1"/>
                <w:sz w:val="24"/>
                <w:szCs w:val="24"/>
                <w:lang w:val="en-GB"/>
              </w:rPr>
            </w:pPr>
            <w:r w:rsidRPr="00762824">
              <w:rPr>
                <w:rFonts w:asciiTheme="majorBidi" w:hAnsiTheme="majorBidi" w:cstheme="majorBidi"/>
                <w:color w:val="000000" w:themeColor="text1"/>
                <w:sz w:val="24"/>
                <w:szCs w:val="24"/>
                <w:lang w:val="en-GB"/>
              </w:rPr>
              <w:t>0.174</w:t>
            </w:r>
          </w:p>
        </w:tc>
      </w:tr>
      <w:tr w:rsidR="0035144D" w:rsidRPr="00762824" w14:paraId="6AE81DAD" w14:textId="77777777" w:rsidTr="0035144D">
        <w:trPr>
          <w:gridAfter w:val="1"/>
          <w:wAfter w:w="20" w:type="dxa"/>
          <w:trHeight w:val="343"/>
        </w:trPr>
        <w:tc>
          <w:tcPr>
            <w:tcW w:w="2113" w:type="dxa"/>
            <w:gridSpan w:val="2"/>
          </w:tcPr>
          <w:p w14:paraId="5F2BF910" w14:textId="77777777" w:rsidR="0035144D" w:rsidRPr="00762824" w:rsidRDefault="0035144D" w:rsidP="0035144D">
            <w:pPr>
              <w:spacing w:line="360" w:lineRule="auto"/>
              <w:jc w:val="center"/>
              <w:rPr>
                <w:rFonts w:asciiTheme="majorBidi" w:hAnsiTheme="majorBidi" w:cstheme="majorBidi"/>
                <w:b/>
                <w:bCs/>
                <w:color w:val="000000" w:themeColor="text1"/>
                <w:sz w:val="24"/>
                <w:szCs w:val="24"/>
              </w:rPr>
            </w:pPr>
            <w:r w:rsidRPr="00762824">
              <w:rPr>
                <w:rFonts w:asciiTheme="majorBidi" w:hAnsiTheme="majorBidi" w:cstheme="majorBidi"/>
                <w:b/>
                <w:bCs/>
                <w:color w:val="000000" w:themeColor="text1"/>
                <w:sz w:val="24"/>
                <w:szCs w:val="24"/>
                <w:lang w:val="en-GB"/>
              </w:rPr>
              <w:t>Age</w:t>
            </w:r>
          </w:p>
        </w:tc>
        <w:tc>
          <w:tcPr>
            <w:tcW w:w="2362" w:type="dxa"/>
          </w:tcPr>
          <w:p w14:paraId="34FECA4F" w14:textId="77777777" w:rsidR="0035144D" w:rsidRPr="00762824" w:rsidRDefault="0035144D" w:rsidP="0035144D">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65.07 ± 9.25</w:t>
            </w:r>
          </w:p>
        </w:tc>
        <w:tc>
          <w:tcPr>
            <w:tcW w:w="1590" w:type="dxa"/>
            <w:gridSpan w:val="2"/>
          </w:tcPr>
          <w:p w14:paraId="2DA3F6F7" w14:textId="77777777" w:rsidR="0035144D" w:rsidRPr="00762824" w:rsidRDefault="0035144D" w:rsidP="0035144D">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61.92 ± 6.93</w:t>
            </w:r>
          </w:p>
        </w:tc>
        <w:tc>
          <w:tcPr>
            <w:tcW w:w="1587" w:type="dxa"/>
            <w:gridSpan w:val="2"/>
          </w:tcPr>
          <w:p w14:paraId="06463967" w14:textId="77777777" w:rsidR="0035144D" w:rsidRPr="00762824" w:rsidRDefault="0035144D" w:rsidP="0035144D">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65.38 ± 7.16</w:t>
            </w:r>
          </w:p>
        </w:tc>
        <w:tc>
          <w:tcPr>
            <w:tcW w:w="1432" w:type="dxa"/>
            <w:gridSpan w:val="2"/>
          </w:tcPr>
          <w:p w14:paraId="4F14C576" w14:textId="77777777" w:rsidR="0035144D" w:rsidRPr="00762824" w:rsidRDefault="0035144D" w:rsidP="0035144D">
            <w:pPr>
              <w:spacing w:line="360" w:lineRule="auto"/>
              <w:jc w:val="center"/>
              <w:rPr>
                <w:rFonts w:asciiTheme="majorBidi" w:hAnsiTheme="majorBidi" w:cstheme="majorBidi"/>
                <w:color w:val="000000" w:themeColor="text1"/>
                <w:sz w:val="24"/>
                <w:szCs w:val="24"/>
                <w:lang w:val="en-GB"/>
              </w:rPr>
            </w:pPr>
            <w:r w:rsidRPr="00762824">
              <w:rPr>
                <w:rFonts w:asciiTheme="majorBidi" w:hAnsiTheme="majorBidi" w:cstheme="majorBidi"/>
                <w:color w:val="000000" w:themeColor="text1"/>
                <w:sz w:val="24"/>
                <w:szCs w:val="24"/>
                <w:lang w:val="en-GB"/>
              </w:rPr>
              <w:t xml:space="preserve">0.260 </w:t>
            </w:r>
          </w:p>
        </w:tc>
      </w:tr>
      <w:tr w:rsidR="0035144D" w:rsidRPr="00762824" w14:paraId="4A563A7A" w14:textId="77777777" w:rsidTr="0035144D">
        <w:trPr>
          <w:gridAfter w:val="1"/>
          <w:wAfter w:w="20" w:type="dxa"/>
          <w:trHeight w:val="343"/>
        </w:trPr>
        <w:tc>
          <w:tcPr>
            <w:tcW w:w="2113" w:type="dxa"/>
            <w:gridSpan w:val="2"/>
          </w:tcPr>
          <w:p w14:paraId="65C75F92" w14:textId="77777777" w:rsidR="0035144D" w:rsidRPr="00762824" w:rsidRDefault="0035144D" w:rsidP="0035144D">
            <w:pPr>
              <w:spacing w:line="360" w:lineRule="auto"/>
              <w:jc w:val="center"/>
              <w:rPr>
                <w:rFonts w:asciiTheme="majorBidi" w:hAnsiTheme="majorBidi" w:cstheme="majorBidi"/>
                <w:b/>
                <w:bCs/>
                <w:color w:val="000000" w:themeColor="text1"/>
                <w:sz w:val="24"/>
                <w:szCs w:val="24"/>
              </w:rPr>
            </w:pPr>
            <w:proofErr w:type="spellStart"/>
            <w:r w:rsidRPr="00762824">
              <w:rPr>
                <w:rFonts w:asciiTheme="majorBidi" w:hAnsiTheme="majorBidi" w:cstheme="majorBidi"/>
                <w:b/>
                <w:bCs/>
                <w:color w:val="000000" w:themeColor="text1"/>
                <w:sz w:val="24"/>
                <w:szCs w:val="24"/>
                <w:lang w:val="en-GB"/>
              </w:rPr>
              <w:t>T.Score</w:t>
            </w:r>
            <w:proofErr w:type="spellEnd"/>
          </w:p>
        </w:tc>
        <w:tc>
          <w:tcPr>
            <w:tcW w:w="2362" w:type="dxa"/>
          </w:tcPr>
          <w:p w14:paraId="2CAA4945" w14:textId="77777777" w:rsidR="0035144D" w:rsidRPr="00762824" w:rsidRDefault="0035144D" w:rsidP="0035144D">
            <w:pPr>
              <w:jc w:val="center"/>
              <w:rPr>
                <w:rFonts w:asciiTheme="majorBidi" w:hAnsiTheme="majorBidi" w:cstheme="majorBidi"/>
                <w:color w:val="010205"/>
                <w:sz w:val="24"/>
                <w:szCs w:val="24"/>
              </w:rPr>
            </w:pPr>
            <w:r w:rsidRPr="00762824">
              <w:rPr>
                <w:rFonts w:asciiTheme="majorBidi" w:eastAsia="Times New Roman" w:hAnsiTheme="majorBidi" w:cstheme="majorBidi"/>
                <w:sz w:val="24"/>
                <w:szCs w:val="24"/>
              </w:rPr>
              <w:t>-3.27 ± 0.53</w:t>
            </w:r>
          </w:p>
        </w:tc>
        <w:tc>
          <w:tcPr>
            <w:tcW w:w="1590" w:type="dxa"/>
            <w:gridSpan w:val="2"/>
          </w:tcPr>
          <w:p w14:paraId="1BC99EC1" w14:textId="77777777" w:rsidR="0035144D" w:rsidRPr="00762824" w:rsidRDefault="0035144D" w:rsidP="0035144D">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-2.67± 0.80</w:t>
            </w:r>
          </w:p>
        </w:tc>
        <w:tc>
          <w:tcPr>
            <w:tcW w:w="1587" w:type="dxa"/>
            <w:gridSpan w:val="2"/>
          </w:tcPr>
          <w:p w14:paraId="20DC1EEB" w14:textId="77777777" w:rsidR="0035144D" w:rsidRPr="00762824" w:rsidRDefault="0035144D" w:rsidP="0035144D">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-2.63 ± 0.78</w:t>
            </w:r>
          </w:p>
        </w:tc>
        <w:tc>
          <w:tcPr>
            <w:tcW w:w="1432" w:type="dxa"/>
            <w:gridSpan w:val="2"/>
          </w:tcPr>
          <w:p w14:paraId="379AD7D1" w14:textId="77777777" w:rsidR="0035144D" w:rsidRPr="00762824" w:rsidRDefault="0035144D" w:rsidP="0035144D">
            <w:pPr>
              <w:spacing w:line="360" w:lineRule="auto"/>
              <w:jc w:val="center"/>
              <w:rPr>
                <w:rFonts w:asciiTheme="majorBidi" w:hAnsiTheme="majorBidi" w:cstheme="majorBidi"/>
                <w:b/>
                <w:bCs/>
                <w:color w:val="000000" w:themeColor="text1"/>
                <w:sz w:val="24"/>
                <w:szCs w:val="24"/>
                <w:lang w:val="en-GB"/>
              </w:rPr>
            </w:pPr>
            <w:r w:rsidRPr="00762824">
              <w:rPr>
                <w:rFonts w:asciiTheme="majorBidi" w:hAnsiTheme="majorBidi" w:cstheme="majorBidi"/>
                <w:b/>
                <w:bCs/>
                <w:color w:val="000000" w:themeColor="text1"/>
                <w:sz w:val="24"/>
                <w:szCs w:val="24"/>
                <w:lang w:val="en-GB"/>
              </w:rPr>
              <w:t xml:space="preserve">0.020 </w:t>
            </w:r>
            <w:r w:rsidRPr="00762824">
              <w:rPr>
                <w:rFonts w:asciiTheme="majorBidi" w:hAnsiTheme="majorBidi" w:cstheme="majorBidi"/>
                <w:color w:val="000000" w:themeColor="text1"/>
                <w:sz w:val="24"/>
                <w:szCs w:val="24"/>
                <w:lang w:val="en-GB"/>
              </w:rPr>
              <w:t>*</w:t>
            </w:r>
          </w:p>
        </w:tc>
      </w:tr>
      <w:tr w:rsidR="0035144D" w:rsidRPr="00762824" w14:paraId="2248180F" w14:textId="77777777" w:rsidTr="0035144D">
        <w:trPr>
          <w:gridAfter w:val="1"/>
          <w:wAfter w:w="20" w:type="dxa"/>
          <w:trHeight w:val="343"/>
        </w:trPr>
        <w:tc>
          <w:tcPr>
            <w:tcW w:w="2113" w:type="dxa"/>
            <w:gridSpan w:val="2"/>
          </w:tcPr>
          <w:p w14:paraId="690E3415" w14:textId="77777777" w:rsidR="0035144D" w:rsidRPr="00762824" w:rsidRDefault="0035144D" w:rsidP="0035144D">
            <w:pPr>
              <w:spacing w:line="360" w:lineRule="auto"/>
              <w:jc w:val="center"/>
              <w:rPr>
                <w:rFonts w:asciiTheme="majorBidi" w:hAnsiTheme="majorBidi" w:cstheme="majorBidi"/>
                <w:b/>
                <w:bCs/>
                <w:color w:val="000000" w:themeColor="text1"/>
                <w:sz w:val="24"/>
                <w:szCs w:val="24"/>
                <w:lang w:val="en-GB"/>
              </w:rPr>
            </w:pPr>
            <w:r w:rsidRPr="00762824">
              <w:rPr>
                <w:rFonts w:asciiTheme="majorBidi" w:hAnsiTheme="majorBidi" w:cstheme="majorBidi"/>
                <w:b/>
                <w:bCs/>
                <w:color w:val="000000" w:themeColor="text1"/>
                <w:sz w:val="24"/>
                <w:szCs w:val="24"/>
                <w:lang w:val="en-GB"/>
              </w:rPr>
              <w:t>BMD</w:t>
            </w:r>
          </w:p>
        </w:tc>
        <w:tc>
          <w:tcPr>
            <w:tcW w:w="2362" w:type="dxa"/>
          </w:tcPr>
          <w:p w14:paraId="60F0FAB2" w14:textId="77777777" w:rsidR="0035144D" w:rsidRPr="00762824" w:rsidRDefault="0035144D" w:rsidP="0035144D">
            <w:pPr>
              <w:jc w:val="center"/>
              <w:rPr>
                <w:rFonts w:asciiTheme="majorBidi" w:hAnsiTheme="majorBidi" w:cstheme="majorBidi"/>
                <w:color w:val="010205"/>
                <w:sz w:val="24"/>
                <w:szCs w:val="24"/>
                <w:lang w:val="en-GB"/>
              </w:rPr>
            </w:pPr>
            <w:r w:rsidRPr="00762824">
              <w:rPr>
                <w:rFonts w:asciiTheme="majorBidi" w:hAnsiTheme="majorBidi" w:cstheme="majorBidi"/>
                <w:color w:val="010205"/>
                <w:sz w:val="24"/>
                <w:szCs w:val="24"/>
                <w:lang w:val="en-GB"/>
              </w:rPr>
              <w:t>0.80 ± 0.06</w:t>
            </w:r>
          </w:p>
        </w:tc>
        <w:tc>
          <w:tcPr>
            <w:tcW w:w="1590" w:type="dxa"/>
            <w:gridSpan w:val="2"/>
          </w:tcPr>
          <w:p w14:paraId="17CE5C2D" w14:textId="77777777" w:rsidR="0035144D" w:rsidRPr="00762824" w:rsidRDefault="0035144D" w:rsidP="0035144D">
            <w:pPr>
              <w:jc w:val="center"/>
              <w:rPr>
                <w:rFonts w:asciiTheme="majorBidi" w:hAnsiTheme="majorBidi" w:cstheme="majorBidi"/>
                <w:color w:val="010205"/>
                <w:sz w:val="24"/>
                <w:szCs w:val="24"/>
                <w:lang w:val="en-GB"/>
              </w:rPr>
            </w:pPr>
            <w:r w:rsidRPr="00762824">
              <w:rPr>
                <w:rFonts w:asciiTheme="majorBidi" w:hAnsiTheme="majorBidi" w:cstheme="majorBidi"/>
                <w:color w:val="010205"/>
                <w:sz w:val="24"/>
                <w:szCs w:val="24"/>
                <w:lang w:val="en-GB"/>
              </w:rPr>
              <w:t>0.75 ± 0.04</w:t>
            </w:r>
          </w:p>
        </w:tc>
        <w:tc>
          <w:tcPr>
            <w:tcW w:w="1587" w:type="dxa"/>
            <w:gridSpan w:val="2"/>
          </w:tcPr>
          <w:p w14:paraId="62B2F832" w14:textId="77777777" w:rsidR="0035144D" w:rsidRPr="00762824" w:rsidRDefault="0035144D" w:rsidP="0035144D">
            <w:pPr>
              <w:jc w:val="center"/>
              <w:rPr>
                <w:rFonts w:asciiTheme="majorBidi" w:hAnsiTheme="majorBidi" w:cstheme="majorBidi"/>
                <w:color w:val="010205"/>
                <w:sz w:val="24"/>
                <w:szCs w:val="24"/>
                <w:lang w:val="en-GB"/>
              </w:rPr>
            </w:pPr>
            <w:r w:rsidRPr="00762824">
              <w:rPr>
                <w:rFonts w:asciiTheme="majorBidi" w:hAnsiTheme="majorBidi" w:cstheme="majorBidi"/>
                <w:color w:val="010205"/>
                <w:sz w:val="24"/>
                <w:szCs w:val="24"/>
                <w:lang w:val="en-GB"/>
              </w:rPr>
              <w:t>0.76 ± 0.09</w:t>
            </w:r>
          </w:p>
        </w:tc>
        <w:tc>
          <w:tcPr>
            <w:tcW w:w="1432" w:type="dxa"/>
            <w:gridSpan w:val="2"/>
          </w:tcPr>
          <w:p w14:paraId="06E88BCE" w14:textId="77777777" w:rsidR="0035144D" w:rsidRPr="00762824" w:rsidRDefault="0035144D" w:rsidP="0035144D">
            <w:pPr>
              <w:spacing w:line="360" w:lineRule="auto"/>
              <w:jc w:val="center"/>
              <w:rPr>
                <w:rFonts w:asciiTheme="majorBidi" w:hAnsiTheme="majorBidi" w:cstheme="majorBidi"/>
                <w:color w:val="000000" w:themeColor="text1"/>
                <w:sz w:val="24"/>
                <w:szCs w:val="24"/>
                <w:lang w:val="en-GB"/>
              </w:rPr>
            </w:pPr>
            <w:r w:rsidRPr="00762824">
              <w:rPr>
                <w:rFonts w:asciiTheme="majorBidi" w:hAnsiTheme="majorBidi" w:cstheme="majorBidi"/>
                <w:b/>
                <w:bCs/>
                <w:color w:val="000000" w:themeColor="text1"/>
                <w:sz w:val="24"/>
                <w:szCs w:val="24"/>
                <w:lang w:val="en-GB"/>
              </w:rPr>
              <w:t>0.026*</w:t>
            </w:r>
          </w:p>
        </w:tc>
      </w:tr>
      <w:tr w:rsidR="00605A1C" w:rsidRPr="00762824" w14:paraId="30FA7DF1" w14:textId="77777777" w:rsidTr="0035144D">
        <w:trPr>
          <w:trHeight w:val="343"/>
        </w:trPr>
        <w:tc>
          <w:tcPr>
            <w:tcW w:w="777" w:type="dxa"/>
            <w:vMerge w:val="restart"/>
          </w:tcPr>
          <w:p w14:paraId="42CFB018" w14:textId="77777777" w:rsidR="00605A1C" w:rsidRPr="00762824" w:rsidRDefault="00605A1C" w:rsidP="00605A1C">
            <w:pPr>
              <w:spacing w:line="360" w:lineRule="auto"/>
              <w:jc w:val="center"/>
              <w:rPr>
                <w:rFonts w:asciiTheme="majorBidi" w:hAnsiTheme="majorBidi" w:cstheme="majorBidi"/>
                <w:b/>
                <w:bCs/>
                <w:color w:val="000000" w:themeColor="text1"/>
                <w:sz w:val="24"/>
                <w:szCs w:val="24"/>
              </w:rPr>
            </w:pPr>
            <w:r w:rsidRPr="00762824">
              <w:rPr>
                <w:rFonts w:asciiTheme="majorBidi" w:hAnsiTheme="majorBidi" w:cstheme="majorBidi"/>
                <w:b/>
                <w:bCs/>
                <w:color w:val="000000" w:themeColor="text1"/>
                <w:sz w:val="24"/>
                <w:szCs w:val="24"/>
                <w:lang w:val="en-GB"/>
              </w:rPr>
              <w:t>PMO</w:t>
            </w:r>
          </w:p>
        </w:tc>
        <w:tc>
          <w:tcPr>
            <w:tcW w:w="1336" w:type="dxa"/>
          </w:tcPr>
          <w:p w14:paraId="34A36ED9" w14:textId="77777777" w:rsidR="00605A1C" w:rsidRPr="00762824" w:rsidRDefault="00605A1C" w:rsidP="00605A1C">
            <w:pPr>
              <w:autoSpaceDE w:val="0"/>
              <w:autoSpaceDN w:val="0"/>
              <w:adjustRightInd w:val="0"/>
              <w:spacing w:line="320" w:lineRule="atLeast"/>
              <w:ind w:left="60" w:right="60"/>
              <w:jc w:val="center"/>
              <w:rPr>
                <w:rFonts w:asciiTheme="majorBidi" w:hAnsiTheme="majorBidi" w:cstheme="majorBidi"/>
                <w:b/>
                <w:bCs/>
                <w:sz w:val="24"/>
                <w:szCs w:val="24"/>
              </w:rPr>
            </w:pPr>
            <w:r w:rsidRPr="00762824">
              <w:rPr>
                <w:rFonts w:asciiTheme="majorBidi" w:hAnsiTheme="majorBidi" w:cstheme="majorBidi"/>
                <w:b/>
                <w:bCs/>
                <w:sz w:val="24"/>
                <w:szCs w:val="24"/>
              </w:rPr>
              <w:t>With T2DM</w:t>
            </w:r>
          </w:p>
        </w:tc>
        <w:tc>
          <w:tcPr>
            <w:tcW w:w="2383" w:type="dxa"/>
            <w:gridSpan w:val="2"/>
          </w:tcPr>
          <w:p w14:paraId="7CE04469" w14:textId="77777777" w:rsidR="00605A1C" w:rsidRPr="00762824" w:rsidRDefault="00605A1C" w:rsidP="00605A1C">
            <w:pPr>
              <w:autoSpaceDE w:val="0"/>
              <w:autoSpaceDN w:val="0"/>
              <w:adjustRightInd w:val="0"/>
              <w:spacing w:line="320" w:lineRule="atLeast"/>
              <w:ind w:left="60" w:right="60"/>
              <w:jc w:val="center"/>
              <w:rPr>
                <w:rFonts w:asciiTheme="majorBidi" w:hAnsiTheme="majorBidi" w:cstheme="majorBidi"/>
                <w:sz w:val="24"/>
                <w:szCs w:val="24"/>
                <w:lang w:val="en-GB"/>
              </w:rPr>
            </w:pPr>
            <w:r w:rsidRPr="00762824">
              <w:rPr>
                <w:rFonts w:asciiTheme="majorBidi" w:hAnsiTheme="majorBidi" w:cstheme="majorBidi"/>
                <w:sz w:val="24"/>
                <w:szCs w:val="24"/>
                <w:lang w:val="en-GB"/>
              </w:rPr>
              <w:t>7</w:t>
            </w:r>
          </w:p>
        </w:tc>
        <w:tc>
          <w:tcPr>
            <w:tcW w:w="1590" w:type="dxa"/>
            <w:gridSpan w:val="2"/>
          </w:tcPr>
          <w:p w14:paraId="42AD5838" w14:textId="77777777" w:rsidR="00605A1C" w:rsidRPr="00762824" w:rsidRDefault="00605A1C" w:rsidP="00605A1C">
            <w:pPr>
              <w:autoSpaceDE w:val="0"/>
              <w:autoSpaceDN w:val="0"/>
              <w:adjustRightInd w:val="0"/>
              <w:spacing w:line="320" w:lineRule="atLeast"/>
              <w:ind w:left="60" w:right="60"/>
              <w:jc w:val="center"/>
              <w:rPr>
                <w:rFonts w:asciiTheme="majorBidi" w:hAnsiTheme="majorBidi" w:cstheme="majorBidi"/>
                <w:sz w:val="24"/>
                <w:szCs w:val="24"/>
                <w:lang w:val="en-GB"/>
              </w:rPr>
            </w:pPr>
            <w:r w:rsidRPr="00762824">
              <w:rPr>
                <w:rFonts w:asciiTheme="majorBidi" w:hAnsiTheme="majorBidi" w:cstheme="majorBidi"/>
                <w:sz w:val="24"/>
                <w:szCs w:val="24"/>
                <w:lang w:val="en-GB"/>
              </w:rPr>
              <w:t>14</w:t>
            </w:r>
          </w:p>
        </w:tc>
        <w:tc>
          <w:tcPr>
            <w:tcW w:w="1587" w:type="dxa"/>
            <w:gridSpan w:val="2"/>
          </w:tcPr>
          <w:p w14:paraId="0F1E41BA" w14:textId="77777777" w:rsidR="00605A1C" w:rsidRPr="00762824" w:rsidRDefault="00605A1C" w:rsidP="00605A1C">
            <w:pPr>
              <w:autoSpaceDE w:val="0"/>
              <w:autoSpaceDN w:val="0"/>
              <w:adjustRightInd w:val="0"/>
              <w:spacing w:line="320" w:lineRule="atLeast"/>
              <w:ind w:left="60" w:right="60"/>
              <w:jc w:val="center"/>
              <w:rPr>
                <w:rFonts w:asciiTheme="majorBidi" w:hAnsiTheme="majorBidi" w:cstheme="majorBidi"/>
                <w:sz w:val="24"/>
                <w:szCs w:val="24"/>
                <w:lang w:val="en-GB"/>
              </w:rPr>
            </w:pPr>
            <w:r w:rsidRPr="00762824">
              <w:rPr>
                <w:rFonts w:asciiTheme="majorBidi" w:hAnsiTheme="majorBidi" w:cstheme="majorBidi"/>
                <w:sz w:val="24"/>
                <w:szCs w:val="24"/>
                <w:lang w:val="en-GB"/>
              </w:rPr>
              <w:t>9</w:t>
            </w:r>
          </w:p>
        </w:tc>
        <w:tc>
          <w:tcPr>
            <w:tcW w:w="1431" w:type="dxa"/>
            <w:gridSpan w:val="2"/>
            <w:vMerge w:val="restart"/>
          </w:tcPr>
          <w:p w14:paraId="16CC26D5" w14:textId="77777777" w:rsidR="00605A1C" w:rsidRPr="00762824" w:rsidRDefault="00605A1C" w:rsidP="00605A1C">
            <w:pPr>
              <w:spacing w:line="360" w:lineRule="auto"/>
              <w:jc w:val="center"/>
              <w:rPr>
                <w:rFonts w:asciiTheme="majorBidi" w:hAnsiTheme="majorBidi" w:cstheme="majorBidi"/>
                <w:sz w:val="24"/>
                <w:szCs w:val="24"/>
                <w:lang w:val="en-GB"/>
              </w:rPr>
            </w:pPr>
            <w:r w:rsidRPr="00762824">
              <w:rPr>
                <w:rFonts w:asciiTheme="majorBidi" w:hAnsiTheme="majorBidi" w:cstheme="majorBidi"/>
                <w:sz w:val="24"/>
                <w:szCs w:val="24"/>
                <w:lang w:val="en-GB"/>
              </w:rPr>
              <w:t>0.559</w:t>
            </w:r>
          </w:p>
        </w:tc>
      </w:tr>
      <w:tr w:rsidR="00605A1C" w:rsidRPr="00762824" w14:paraId="0088B2D8" w14:textId="77777777" w:rsidTr="0035144D">
        <w:trPr>
          <w:trHeight w:val="343"/>
        </w:trPr>
        <w:tc>
          <w:tcPr>
            <w:tcW w:w="777" w:type="dxa"/>
            <w:vMerge/>
          </w:tcPr>
          <w:p w14:paraId="14BE41BF" w14:textId="77777777" w:rsidR="00605A1C" w:rsidRPr="00762824" w:rsidRDefault="00605A1C" w:rsidP="00605A1C">
            <w:pPr>
              <w:spacing w:line="360" w:lineRule="auto"/>
              <w:jc w:val="center"/>
              <w:rPr>
                <w:rFonts w:asciiTheme="majorBidi" w:hAnsiTheme="majorBidi" w:cstheme="majorBidi"/>
                <w:color w:val="000000" w:themeColor="text1"/>
                <w:sz w:val="24"/>
                <w:szCs w:val="24"/>
                <w:lang w:bidi="ar-IQ"/>
              </w:rPr>
            </w:pPr>
          </w:p>
        </w:tc>
        <w:tc>
          <w:tcPr>
            <w:tcW w:w="1336" w:type="dxa"/>
          </w:tcPr>
          <w:p w14:paraId="61ED02E4" w14:textId="77777777" w:rsidR="00605A1C" w:rsidRPr="00762824" w:rsidRDefault="00605A1C" w:rsidP="00605A1C">
            <w:pPr>
              <w:autoSpaceDE w:val="0"/>
              <w:autoSpaceDN w:val="0"/>
              <w:adjustRightInd w:val="0"/>
              <w:spacing w:line="320" w:lineRule="atLeast"/>
              <w:ind w:right="60"/>
              <w:jc w:val="center"/>
              <w:rPr>
                <w:rFonts w:asciiTheme="majorBidi" w:hAnsiTheme="majorBidi" w:cstheme="majorBidi"/>
                <w:b/>
                <w:bCs/>
                <w:sz w:val="24"/>
                <w:szCs w:val="24"/>
              </w:rPr>
            </w:pPr>
            <w:r w:rsidRPr="00762824">
              <w:rPr>
                <w:rFonts w:asciiTheme="majorBidi" w:hAnsiTheme="majorBidi" w:cstheme="majorBidi"/>
                <w:b/>
                <w:bCs/>
                <w:sz w:val="24"/>
                <w:szCs w:val="24"/>
              </w:rPr>
              <w:t>Without T2DM</w:t>
            </w:r>
          </w:p>
        </w:tc>
        <w:tc>
          <w:tcPr>
            <w:tcW w:w="2383" w:type="dxa"/>
            <w:gridSpan w:val="2"/>
          </w:tcPr>
          <w:p w14:paraId="5C94E21B" w14:textId="77777777" w:rsidR="00605A1C" w:rsidRPr="00762824" w:rsidRDefault="00605A1C" w:rsidP="00605A1C">
            <w:pPr>
              <w:autoSpaceDE w:val="0"/>
              <w:autoSpaceDN w:val="0"/>
              <w:adjustRightInd w:val="0"/>
              <w:spacing w:line="320" w:lineRule="atLeast"/>
              <w:ind w:left="60" w:right="60"/>
              <w:jc w:val="center"/>
              <w:rPr>
                <w:rFonts w:asciiTheme="majorBidi" w:hAnsiTheme="majorBidi" w:cstheme="majorBidi"/>
                <w:color w:val="010205"/>
                <w:sz w:val="24"/>
                <w:szCs w:val="24"/>
                <w:lang w:val="en-GB"/>
              </w:rPr>
            </w:pPr>
            <w:r w:rsidRPr="00762824">
              <w:rPr>
                <w:rFonts w:asciiTheme="majorBidi" w:hAnsiTheme="majorBidi" w:cstheme="majorBidi"/>
                <w:color w:val="010205"/>
                <w:sz w:val="24"/>
                <w:szCs w:val="24"/>
                <w:lang w:val="en-GB"/>
              </w:rPr>
              <w:t>8</w:t>
            </w:r>
          </w:p>
        </w:tc>
        <w:tc>
          <w:tcPr>
            <w:tcW w:w="1590" w:type="dxa"/>
            <w:gridSpan w:val="2"/>
          </w:tcPr>
          <w:p w14:paraId="56B31A9F" w14:textId="77777777" w:rsidR="00605A1C" w:rsidRPr="00762824" w:rsidRDefault="00605A1C" w:rsidP="00605A1C">
            <w:pPr>
              <w:autoSpaceDE w:val="0"/>
              <w:autoSpaceDN w:val="0"/>
              <w:adjustRightInd w:val="0"/>
              <w:spacing w:line="320" w:lineRule="atLeast"/>
              <w:ind w:left="60" w:right="60"/>
              <w:jc w:val="center"/>
              <w:rPr>
                <w:rFonts w:asciiTheme="majorBidi" w:hAnsiTheme="majorBidi" w:cstheme="majorBidi"/>
                <w:color w:val="010205"/>
                <w:sz w:val="24"/>
                <w:szCs w:val="24"/>
                <w:lang w:val="en-GB"/>
              </w:rPr>
            </w:pPr>
            <w:r w:rsidRPr="00762824">
              <w:rPr>
                <w:rFonts w:asciiTheme="majorBidi" w:hAnsiTheme="majorBidi" w:cstheme="majorBidi"/>
                <w:color w:val="010205"/>
                <w:sz w:val="24"/>
                <w:szCs w:val="24"/>
                <w:lang w:val="en-GB"/>
              </w:rPr>
              <w:t>10</w:t>
            </w:r>
          </w:p>
        </w:tc>
        <w:tc>
          <w:tcPr>
            <w:tcW w:w="1587" w:type="dxa"/>
            <w:gridSpan w:val="2"/>
          </w:tcPr>
          <w:p w14:paraId="3011266C" w14:textId="77777777" w:rsidR="00605A1C" w:rsidRPr="00762824" w:rsidRDefault="00605A1C" w:rsidP="00605A1C">
            <w:pPr>
              <w:autoSpaceDE w:val="0"/>
              <w:autoSpaceDN w:val="0"/>
              <w:adjustRightInd w:val="0"/>
              <w:spacing w:line="320" w:lineRule="atLeast"/>
              <w:ind w:left="60" w:right="60"/>
              <w:jc w:val="center"/>
              <w:rPr>
                <w:rFonts w:asciiTheme="majorBidi" w:hAnsiTheme="majorBidi" w:cstheme="majorBidi"/>
                <w:color w:val="010205"/>
                <w:sz w:val="24"/>
                <w:szCs w:val="24"/>
                <w:lang w:val="en-GB"/>
              </w:rPr>
            </w:pPr>
            <w:r w:rsidRPr="00762824">
              <w:rPr>
                <w:rFonts w:asciiTheme="majorBidi" w:hAnsiTheme="majorBidi" w:cstheme="majorBidi"/>
                <w:color w:val="010205"/>
                <w:sz w:val="24"/>
                <w:szCs w:val="24"/>
                <w:lang w:val="en-GB"/>
              </w:rPr>
              <w:t>12</w:t>
            </w:r>
          </w:p>
        </w:tc>
        <w:tc>
          <w:tcPr>
            <w:tcW w:w="1431" w:type="dxa"/>
            <w:gridSpan w:val="2"/>
            <w:vMerge/>
          </w:tcPr>
          <w:p w14:paraId="1CFBBCDA" w14:textId="77777777" w:rsidR="00605A1C" w:rsidRPr="00762824" w:rsidRDefault="00605A1C" w:rsidP="00605A1C">
            <w:pPr>
              <w:spacing w:line="360" w:lineRule="auto"/>
              <w:jc w:val="center"/>
              <w:rPr>
                <w:rFonts w:asciiTheme="majorBidi" w:hAnsiTheme="majorBidi" w:cstheme="majorBidi"/>
                <w:color w:val="000000" w:themeColor="text1"/>
                <w:sz w:val="24"/>
                <w:szCs w:val="24"/>
                <w:lang w:val="en-GB"/>
              </w:rPr>
            </w:pPr>
          </w:p>
        </w:tc>
      </w:tr>
    </w:tbl>
    <w:p w14:paraId="1741AC10" w14:textId="77777777" w:rsidR="007D6ECE" w:rsidRPr="00705066" w:rsidRDefault="00336DA7" w:rsidP="00336DA7">
      <w:pPr>
        <w:autoSpaceDE w:val="0"/>
        <w:autoSpaceDN w:val="0"/>
        <w:adjustRightInd w:val="0"/>
        <w:spacing w:after="0" w:line="240" w:lineRule="auto"/>
        <w:rPr>
          <w:rFonts w:asciiTheme="majorBidi" w:hAnsiTheme="majorBidi" w:cstheme="majorBidi"/>
          <w:sz w:val="20"/>
          <w:szCs w:val="20"/>
        </w:rPr>
      </w:pPr>
      <w:r w:rsidRPr="00705066">
        <w:rPr>
          <w:rFonts w:asciiTheme="majorBidi" w:hAnsiTheme="majorBidi" w:cstheme="majorBidi"/>
          <w:sz w:val="20"/>
          <w:szCs w:val="20"/>
        </w:rPr>
        <w:t xml:space="preserve">n= number of </w:t>
      </w:r>
      <w:r>
        <w:rPr>
          <w:rFonts w:asciiTheme="majorBidi" w:hAnsiTheme="majorBidi" w:cstheme="majorBidi"/>
          <w:sz w:val="20"/>
          <w:szCs w:val="20"/>
        </w:rPr>
        <w:t>patients,</w:t>
      </w:r>
      <w:r w:rsidRPr="00705066">
        <w:rPr>
          <w:rFonts w:asciiTheme="majorBidi" w:hAnsiTheme="majorBidi" w:cstheme="majorBidi"/>
          <w:sz w:val="20"/>
          <w:szCs w:val="20"/>
        </w:rPr>
        <w:t xml:space="preserve"> </w:t>
      </w:r>
      <w:r>
        <w:rPr>
          <w:rFonts w:asciiTheme="majorBidi" w:hAnsiTheme="majorBidi" w:cstheme="majorBidi"/>
          <w:sz w:val="20"/>
          <w:szCs w:val="20"/>
        </w:rPr>
        <w:t xml:space="preserve">p&lt;0.05 and </w:t>
      </w:r>
      <w:r w:rsidRPr="00705066">
        <w:rPr>
          <w:rFonts w:asciiTheme="majorBidi" w:hAnsiTheme="majorBidi" w:cstheme="majorBidi"/>
          <w:sz w:val="20"/>
          <w:szCs w:val="20"/>
        </w:rPr>
        <w:t xml:space="preserve">* </w:t>
      </w:r>
      <w:r>
        <w:rPr>
          <w:rFonts w:asciiTheme="majorBidi" w:hAnsiTheme="majorBidi" w:cstheme="majorBidi"/>
          <w:sz w:val="20"/>
          <w:szCs w:val="20"/>
        </w:rPr>
        <w:t xml:space="preserve">is </w:t>
      </w:r>
      <w:r w:rsidRPr="00336DA7">
        <w:rPr>
          <w:rFonts w:asciiTheme="majorBidi" w:eastAsia="Times New Roman" w:hAnsiTheme="majorBidi" w:cstheme="majorBidi"/>
          <w:sz w:val="20"/>
          <w:szCs w:val="20"/>
        </w:rPr>
        <w:t xml:space="preserve">indicating a significant </w:t>
      </w:r>
      <w:r>
        <w:rPr>
          <w:rFonts w:asciiTheme="majorBidi" w:hAnsiTheme="majorBidi" w:cstheme="majorBidi"/>
          <w:sz w:val="20"/>
          <w:szCs w:val="20"/>
        </w:rPr>
        <w:t xml:space="preserve">and </w:t>
      </w:r>
      <w:r w:rsidR="00B835F9" w:rsidRPr="00705066">
        <w:rPr>
          <w:rFonts w:asciiTheme="majorBidi" w:hAnsiTheme="majorBidi" w:cstheme="majorBidi"/>
          <w:sz w:val="20"/>
          <w:szCs w:val="20"/>
        </w:rPr>
        <w:t>mean ± SD</w:t>
      </w:r>
      <w:r>
        <w:rPr>
          <w:rFonts w:asciiTheme="majorBidi" w:hAnsiTheme="majorBidi" w:cstheme="majorBidi"/>
          <w:sz w:val="20"/>
          <w:szCs w:val="20"/>
        </w:rPr>
        <w:t xml:space="preserve">. </w:t>
      </w:r>
    </w:p>
    <w:p w14:paraId="4D72A001" w14:textId="77777777" w:rsidR="007D6ECE" w:rsidRPr="00762824" w:rsidRDefault="007D6ECE" w:rsidP="007D6ECE">
      <w:pPr>
        <w:autoSpaceDE w:val="0"/>
        <w:autoSpaceDN w:val="0"/>
        <w:adjustRightInd w:val="0"/>
        <w:spacing w:after="0" w:line="240" w:lineRule="auto"/>
        <w:rPr>
          <w:rFonts w:asciiTheme="majorBidi" w:hAnsiTheme="majorBidi" w:cstheme="majorBidi"/>
          <w:sz w:val="24"/>
          <w:szCs w:val="24"/>
        </w:rPr>
      </w:pPr>
    </w:p>
    <w:p w14:paraId="41712290" w14:textId="77777777" w:rsidR="00705066" w:rsidRDefault="00705066" w:rsidP="007D6ECE">
      <w:pPr>
        <w:autoSpaceDE w:val="0"/>
        <w:autoSpaceDN w:val="0"/>
        <w:adjustRightInd w:val="0"/>
        <w:spacing w:after="0" w:line="360" w:lineRule="auto"/>
        <w:rPr>
          <w:rFonts w:asciiTheme="majorBidi" w:hAnsiTheme="majorBidi" w:cstheme="majorBidi"/>
          <w:b/>
          <w:bCs/>
          <w:sz w:val="24"/>
          <w:szCs w:val="24"/>
        </w:rPr>
      </w:pPr>
    </w:p>
    <w:p w14:paraId="2C47C887" w14:textId="77777777" w:rsidR="00B835F9" w:rsidRPr="00762824" w:rsidRDefault="0043091B" w:rsidP="007D6ECE">
      <w:pPr>
        <w:autoSpaceDE w:val="0"/>
        <w:autoSpaceDN w:val="0"/>
        <w:adjustRightInd w:val="0"/>
        <w:spacing w:after="0" w:line="360" w:lineRule="auto"/>
        <w:rPr>
          <w:rFonts w:asciiTheme="majorBidi" w:hAnsiTheme="majorBidi" w:cstheme="majorBidi"/>
          <w:sz w:val="24"/>
          <w:szCs w:val="24"/>
        </w:rPr>
      </w:pPr>
      <w:r w:rsidRPr="00762824">
        <w:rPr>
          <w:rFonts w:asciiTheme="majorBidi" w:hAnsiTheme="majorBidi" w:cstheme="majorBidi"/>
          <w:b/>
          <w:bCs/>
          <w:sz w:val="24"/>
          <w:szCs w:val="24"/>
        </w:rPr>
        <w:t>B</w:t>
      </w:r>
      <w:r w:rsidR="00B835F9" w:rsidRPr="00762824">
        <w:rPr>
          <w:rFonts w:asciiTheme="majorBidi" w:hAnsiTheme="majorBidi" w:cstheme="majorBidi"/>
          <w:b/>
          <w:bCs/>
          <w:sz w:val="24"/>
          <w:szCs w:val="24"/>
        </w:rPr>
        <w:t>iomarkers and (</w:t>
      </w:r>
      <w:proofErr w:type="spellStart"/>
      <w:r w:rsidR="00B835F9" w:rsidRPr="00762824">
        <w:rPr>
          <w:rFonts w:asciiTheme="majorBidi" w:hAnsiTheme="majorBidi" w:cstheme="majorBidi"/>
          <w:b/>
          <w:bCs/>
          <w:sz w:val="24"/>
          <w:szCs w:val="24"/>
        </w:rPr>
        <w:t>rs</w:t>
      </w:r>
      <w:proofErr w:type="spellEnd"/>
      <w:r w:rsidR="00B835F9" w:rsidRPr="00762824">
        <w:rPr>
          <w:rFonts w:asciiTheme="majorBidi" w:hAnsiTheme="majorBidi" w:cstheme="majorBidi"/>
          <w:b/>
          <w:bCs/>
          <w:sz w:val="24"/>
          <w:szCs w:val="24"/>
        </w:rPr>
        <w:t xml:space="preserve"> 731236) Genotypes</w:t>
      </w:r>
      <w:r w:rsidR="00990A5D" w:rsidRPr="00762824">
        <w:rPr>
          <w:rFonts w:asciiTheme="majorBidi" w:hAnsiTheme="majorBidi" w:cstheme="majorBidi"/>
          <w:b/>
          <w:bCs/>
          <w:sz w:val="24"/>
          <w:szCs w:val="24"/>
        </w:rPr>
        <w:t>.</w:t>
      </w:r>
      <w:r w:rsidR="00B835F9" w:rsidRPr="00762824">
        <w:rPr>
          <w:rFonts w:asciiTheme="majorBidi" w:hAnsiTheme="majorBidi" w:cstheme="majorBidi"/>
          <w:b/>
          <w:bCs/>
          <w:sz w:val="24"/>
          <w:szCs w:val="24"/>
        </w:rPr>
        <w:t xml:space="preserve"> </w:t>
      </w:r>
    </w:p>
    <w:p w14:paraId="58E4B131" w14:textId="77777777" w:rsidR="00967C57" w:rsidRPr="00762824" w:rsidRDefault="00967C57" w:rsidP="00F95205">
      <w:pPr>
        <w:shd w:val="clear" w:color="auto" w:fill="FFFFFF" w:themeFill="background1"/>
        <w:spacing w:after="0" w:line="240" w:lineRule="auto"/>
        <w:jc w:val="both"/>
        <w:rPr>
          <w:rFonts w:asciiTheme="majorBidi" w:eastAsia="Times New Roman" w:hAnsiTheme="majorBidi" w:cstheme="majorBidi"/>
          <w:sz w:val="24"/>
          <w:szCs w:val="24"/>
        </w:rPr>
      </w:pPr>
      <w:r w:rsidRPr="00762824">
        <w:rPr>
          <w:rFonts w:asciiTheme="majorBidi" w:eastAsia="Times New Roman" w:hAnsiTheme="majorBidi" w:cstheme="majorBidi"/>
          <w:sz w:val="24"/>
          <w:szCs w:val="24"/>
        </w:rPr>
        <w:t>The mean D3, ALP, PTH, E2, and progesterone were compared using a one-way ANOVA test in order to illustrate the differences between biomarkers and (</w:t>
      </w:r>
      <w:proofErr w:type="spellStart"/>
      <w:r w:rsidRPr="00762824">
        <w:rPr>
          <w:rFonts w:asciiTheme="majorBidi" w:eastAsia="Times New Roman" w:hAnsiTheme="majorBidi" w:cstheme="majorBidi"/>
          <w:sz w:val="24"/>
          <w:szCs w:val="24"/>
        </w:rPr>
        <w:t>rs</w:t>
      </w:r>
      <w:proofErr w:type="spellEnd"/>
      <w:r w:rsidRPr="00762824">
        <w:rPr>
          <w:rFonts w:asciiTheme="majorBidi" w:eastAsia="Times New Roman" w:hAnsiTheme="majorBidi" w:cstheme="majorBidi"/>
          <w:sz w:val="24"/>
          <w:szCs w:val="24"/>
        </w:rPr>
        <w:t xml:space="preserve"> 731236) SNP table 11. The mean D3 of the patients was found to differ significantly (p &lt; 0.001). The mean</w:t>
      </w:r>
      <w:r w:rsidR="00605A1C" w:rsidRPr="00762824">
        <w:rPr>
          <w:rFonts w:asciiTheme="majorBidi" w:eastAsia="Times New Roman" w:hAnsiTheme="majorBidi" w:cstheme="majorBidi"/>
          <w:sz w:val="24"/>
          <w:szCs w:val="24"/>
        </w:rPr>
        <w:t xml:space="preserve"> of E2</w:t>
      </w:r>
      <w:r w:rsidR="001E1382" w:rsidRPr="00762824">
        <w:rPr>
          <w:rFonts w:asciiTheme="majorBidi" w:eastAsia="Times New Roman" w:hAnsiTheme="majorBidi" w:cstheme="majorBidi"/>
          <w:sz w:val="24"/>
          <w:szCs w:val="24"/>
        </w:rPr>
        <w:t xml:space="preserve"> for the TT alleles (</w:t>
      </w:r>
      <w:r w:rsidR="001E1382" w:rsidRPr="00762824">
        <w:rPr>
          <w:rFonts w:asciiTheme="majorBidi" w:hAnsiTheme="majorBidi" w:cstheme="majorBidi"/>
          <w:color w:val="010205"/>
          <w:sz w:val="24"/>
          <w:szCs w:val="24"/>
          <w:lang w:val="en-GB"/>
        </w:rPr>
        <w:t>28.7</w:t>
      </w:r>
      <w:r w:rsidR="0043091B" w:rsidRPr="00762824">
        <w:rPr>
          <w:rFonts w:asciiTheme="majorBidi" w:hAnsiTheme="majorBidi" w:cstheme="majorBidi"/>
          <w:color w:val="010205"/>
          <w:sz w:val="24"/>
          <w:szCs w:val="24"/>
          <w:lang w:val="en-GB"/>
        </w:rPr>
        <w:t>4</w:t>
      </w:r>
      <w:r w:rsidR="001E1382" w:rsidRPr="00762824">
        <w:rPr>
          <w:rFonts w:asciiTheme="majorBidi" w:hAnsiTheme="majorBidi" w:cstheme="majorBidi"/>
          <w:color w:val="010205"/>
          <w:sz w:val="24"/>
          <w:szCs w:val="24"/>
          <w:lang w:val="en-GB"/>
        </w:rPr>
        <w:t xml:space="preserve"> ± 10.2</w:t>
      </w:r>
      <w:r w:rsidR="0043091B" w:rsidRPr="00762824">
        <w:rPr>
          <w:rFonts w:asciiTheme="majorBidi" w:hAnsiTheme="majorBidi" w:cstheme="majorBidi"/>
          <w:color w:val="000000" w:themeColor="text1"/>
          <w:sz w:val="24"/>
          <w:szCs w:val="24"/>
          <w:lang w:val="en-GB"/>
        </w:rPr>
        <w:t>8</w:t>
      </w:r>
      <w:r w:rsidR="001E1382" w:rsidRPr="00762824">
        <w:rPr>
          <w:rFonts w:asciiTheme="majorBidi" w:hAnsiTheme="majorBidi" w:cstheme="majorBidi"/>
          <w:color w:val="000000" w:themeColor="text1"/>
          <w:sz w:val="24"/>
          <w:szCs w:val="24"/>
          <w:lang w:val="en-GB"/>
        </w:rPr>
        <w:t>)</w:t>
      </w:r>
      <w:r w:rsidR="001E1382" w:rsidRPr="00762824">
        <w:rPr>
          <w:rFonts w:asciiTheme="majorBidi" w:eastAsia="Times New Roman" w:hAnsiTheme="majorBidi" w:cstheme="majorBidi"/>
          <w:sz w:val="24"/>
          <w:szCs w:val="24"/>
        </w:rPr>
        <w:t xml:space="preserve"> was higher than that of the CC (</w:t>
      </w:r>
      <w:r w:rsidR="001E1382" w:rsidRPr="00762824">
        <w:rPr>
          <w:rFonts w:asciiTheme="majorBidi" w:hAnsiTheme="majorBidi" w:cstheme="majorBidi"/>
          <w:color w:val="010205"/>
          <w:sz w:val="24"/>
          <w:szCs w:val="24"/>
          <w:lang w:val="en-GB"/>
        </w:rPr>
        <w:t>26.05 ± 6.8</w:t>
      </w:r>
      <w:r w:rsidR="001E1382" w:rsidRPr="00762824">
        <w:rPr>
          <w:rFonts w:asciiTheme="majorBidi" w:hAnsiTheme="majorBidi" w:cstheme="majorBidi"/>
          <w:color w:val="000000" w:themeColor="text1"/>
          <w:sz w:val="24"/>
          <w:szCs w:val="24"/>
          <w:lang w:val="en-GB"/>
        </w:rPr>
        <w:t>7)</w:t>
      </w:r>
      <w:r w:rsidR="001E1382" w:rsidRPr="00762824">
        <w:rPr>
          <w:rFonts w:asciiTheme="majorBidi" w:eastAsia="Times New Roman" w:hAnsiTheme="majorBidi" w:cstheme="majorBidi"/>
          <w:sz w:val="24"/>
          <w:szCs w:val="24"/>
        </w:rPr>
        <w:t xml:space="preserve"> and TC alleles </w:t>
      </w:r>
      <w:r w:rsidR="001E1382" w:rsidRPr="00762824">
        <w:rPr>
          <w:rFonts w:asciiTheme="majorBidi" w:hAnsiTheme="majorBidi" w:cstheme="majorBidi"/>
          <w:color w:val="010205"/>
          <w:sz w:val="24"/>
          <w:szCs w:val="24"/>
          <w:lang w:val="en-GB"/>
        </w:rPr>
        <w:t>25.19 ± 8.30</w:t>
      </w:r>
      <w:r w:rsidR="00605A1C" w:rsidRPr="00762824">
        <w:rPr>
          <w:rFonts w:asciiTheme="majorBidi" w:eastAsia="Times New Roman" w:hAnsiTheme="majorBidi" w:cstheme="majorBidi"/>
          <w:sz w:val="24"/>
          <w:szCs w:val="24"/>
        </w:rPr>
        <w:t xml:space="preserve">, according to post hoc testing with LSD </w:t>
      </w:r>
      <w:r w:rsidR="001E1382" w:rsidRPr="00762824">
        <w:rPr>
          <w:rFonts w:asciiTheme="majorBidi" w:eastAsia="Times New Roman" w:hAnsiTheme="majorBidi" w:cstheme="majorBidi"/>
          <w:sz w:val="24"/>
          <w:szCs w:val="24"/>
        </w:rPr>
        <w:t>correction, and</w:t>
      </w:r>
      <w:r w:rsidRPr="00762824">
        <w:rPr>
          <w:rFonts w:asciiTheme="majorBidi" w:eastAsia="Times New Roman" w:hAnsiTheme="majorBidi" w:cstheme="majorBidi"/>
          <w:sz w:val="24"/>
          <w:szCs w:val="24"/>
        </w:rPr>
        <w:t xml:space="preserve"> that </w:t>
      </w:r>
      <w:r w:rsidR="00605A1C" w:rsidRPr="00762824">
        <w:rPr>
          <w:rFonts w:asciiTheme="majorBidi" w:eastAsia="Times New Roman" w:hAnsiTheme="majorBidi" w:cstheme="majorBidi"/>
          <w:sz w:val="24"/>
          <w:szCs w:val="24"/>
        </w:rPr>
        <w:t>for the TT allele</w:t>
      </w:r>
      <w:r w:rsidR="0043091B" w:rsidRPr="00762824">
        <w:rPr>
          <w:rFonts w:asciiTheme="majorBidi" w:eastAsia="Times New Roman" w:hAnsiTheme="majorBidi" w:cstheme="majorBidi"/>
          <w:sz w:val="24"/>
          <w:szCs w:val="24"/>
        </w:rPr>
        <w:t xml:space="preserve"> of D3</w:t>
      </w:r>
      <w:r w:rsidR="00605A1C" w:rsidRPr="00762824">
        <w:rPr>
          <w:rFonts w:asciiTheme="majorBidi" w:eastAsia="Times New Roman" w:hAnsiTheme="majorBidi" w:cstheme="majorBidi"/>
          <w:sz w:val="24"/>
          <w:szCs w:val="24"/>
        </w:rPr>
        <w:t xml:space="preserve"> </w:t>
      </w:r>
      <w:r w:rsidR="00F95205" w:rsidRPr="00762824">
        <w:rPr>
          <w:rFonts w:asciiTheme="majorBidi" w:eastAsia="Times New Roman" w:hAnsiTheme="majorBidi" w:cstheme="majorBidi"/>
          <w:sz w:val="24"/>
          <w:szCs w:val="24"/>
        </w:rPr>
        <w:t xml:space="preserve">was higher than that </w:t>
      </w:r>
      <w:r w:rsidR="00605A1C" w:rsidRPr="00762824">
        <w:rPr>
          <w:rFonts w:asciiTheme="majorBidi" w:eastAsia="Times New Roman" w:hAnsiTheme="majorBidi" w:cstheme="majorBidi"/>
          <w:sz w:val="24"/>
          <w:szCs w:val="24"/>
        </w:rPr>
        <w:t>(</w:t>
      </w:r>
      <w:r w:rsidR="0043091B" w:rsidRPr="00762824">
        <w:rPr>
          <w:rFonts w:asciiTheme="majorBidi" w:eastAsia="Times New Roman" w:hAnsiTheme="majorBidi" w:cstheme="majorBidi"/>
          <w:sz w:val="24"/>
          <w:szCs w:val="24"/>
        </w:rPr>
        <w:t>41</w:t>
      </w:r>
      <w:r w:rsidR="00605A1C" w:rsidRPr="00762824">
        <w:rPr>
          <w:rFonts w:asciiTheme="majorBidi" w:eastAsia="Times New Roman" w:hAnsiTheme="majorBidi" w:cstheme="majorBidi"/>
          <w:sz w:val="24"/>
          <w:szCs w:val="24"/>
        </w:rPr>
        <w:t>.</w:t>
      </w:r>
      <w:r w:rsidR="0043091B" w:rsidRPr="00762824">
        <w:rPr>
          <w:rFonts w:asciiTheme="majorBidi" w:eastAsia="Times New Roman" w:hAnsiTheme="majorBidi" w:cstheme="majorBidi"/>
          <w:sz w:val="24"/>
          <w:szCs w:val="24"/>
        </w:rPr>
        <w:t>02</w:t>
      </w:r>
      <w:r w:rsidR="00605A1C" w:rsidRPr="00762824">
        <w:rPr>
          <w:rFonts w:asciiTheme="majorBidi" w:eastAsia="Times New Roman" w:hAnsiTheme="majorBidi" w:cstheme="majorBidi"/>
          <w:sz w:val="24"/>
          <w:szCs w:val="24"/>
        </w:rPr>
        <w:t xml:space="preserve"> ± 7.29</w:t>
      </w:r>
      <w:r w:rsidR="006E0BE3" w:rsidRPr="00762824">
        <w:rPr>
          <w:rFonts w:asciiTheme="majorBidi" w:eastAsia="Times New Roman" w:hAnsiTheme="majorBidi" w:cstheme="majorBidi"/>
          <w:sz w:val="24"/>
          <w:szCs w:val="24"/>
        </w:rPr>
        <w:t xml:space="preserve">) </w:t>
      </w:r>
      <w:r w:rsidR="00605A1C" w:rsidRPr="00762824">
        <w:rPr>
          <w:rFonts w:asciiTheme="majorBidi" w:eastAsia="Times New Roman" w:hAnsiTheme="majorBidi" w:cstheme="majorBidi"/>
          <w:sz w:val="24"/>
          <w:szCs w:val="24"/>
        </w:rPr>
        <w:t>of the CC and TC alleles (15.43±</w:t>
      </w:r>
      <w:r w:rsidR="006E0BE3" w:rsidRPr="00762824">
        <w:rPr>
          <w:rFonts w:asciiTheme="majorBidi" w:eastAsia="Times New Roman" w:hAnsiTheme="majorBidi" w:cstheme="majorBidi"/>
          <w:sz w:val="24"/>
          <w:szCs w:val="24"/>
        </w:rPr>
        <w:t>6</w:t>
      </w:r>
      <w:r w:rsidR="00605A1C" w:rsidRPr="00762824">
        <w:rPr>
          <w:rFonts w:asciiTheme="majorBidi" w:eastAsia="Times New Roman" w:hAnsiTheme="majorBidi" w:cstheme="majorBidi"/>
          <w:sz w:val="24"/>
          <w:szCs w:val="24"/>
        </w:rPr>
        <w:t>.</w:t>
      </w:r>
      <w:r w:rsidR="006E0BE3" w:rsidRPr="00762824">
        <w:rPr>
          <w:rFonts w:asciiTheme="majorBidi" w:eastAsia="Times New Roman" w:hAnsiTheme="majorBidi" w:cstheme="majorBidi"/>
          <w:sz w:val="24"/>
          <w:szCs w:val="24"/>
        </w:rPr>
        <w:t>97</w:t>
      </w:r>
      <w:r w:rsidR="00605A1C" w:rsidRPr="00762824">
        <w:rPr>
          <w:rFonts w:asciiTheme="majorBidi" w:eastAsia="Times New Roman" w:hAnsiTheme="majorBidi" w:cstheme="majorBidi"/>
          <w:sz w:val="24"/>
          <w:szCs w:val="24"/>
        </w:rPr>
        <w:t>, 23.64±</w:t>
      </w:r>
      <w:r w:rsidR="006E0BE3" w:rsidRPr="00762824">
        <w:rPr>
          <w:rFonts w:asciiTheme="majorBidi" w:eastAsia="Times New Roman" w:hAnsiTheme="majorBidi" w:cstheme="majorBidi"/>
          <w:sz w:val="24"/>
          <w:szCs w:val="24"/>
        </w:rPr>
        <w:t>6</w:t>
      </w:r>
      <w:r w:rsidR="00605A1C" w:rsidRPr="00762824">
        <w:rPr>
          <w:rFonts w:asciiTheme="majorBidi" w:eastAsia="Times New Roman" w:hAnsiTheme="majorBidi" w:cstheme="majorBidi"/>
          <w:sz w:val="24"/>
          <w:szCs w:val="24"/>
        </w:rPr>
        <w:t>.98) respectively</w:t>
      </w:r>
      <w:r w:rsidRPr="00762824">
        <w:rPr>
          <w:rFonts w:asciiTheme="majorBidi" w:eastAsia="Times New Roman" w:hAnsiTheme="majorBidi" w:cstheme="majorBidi"/>
          <w:sz w:val="24"/>
          <w:szCs w:val="24"/>
        </w:rPr>
        <w:t>.</w:t>
      </w:r>
      <w:r w:rsidR="00605A1C" w:rsidRPr="00762824">
        <w:rPr>
          <w:rFonts w:asciiTheme="majorBidi" w:eastAsia="Times New Roman" w:hAnsiTheme="majorBidi" w:cstheme="majorBidi"/>
          <w:sz w:val="24"/>
          <w:szCs w:val="24"/>
        </w:rPr>
        <w:t xml:space="preserve"> The (</w:t>
      </w:r>
      <w:proofErr w:type="spellStart"/>
      <w:r w:rsidR="00605A1C" w:rsidRPr="00762824">
        <w:rPr>
          <w:rFonts w:asciiTheme="majorBidi" w:eastAsia="Times New Roman" w:hAnsiTheme="majorBidi" w:cstheme="majorBidi"/>
          <w:sz w:val="24"/>
          <w:szCs w:val="24"/>
        </w:rPr>
        <w:t>rs</w:t>
      </w:r>
      <w:proofErr w:type="spellEnd"/>
      <w:r w:rsidR="00605A1C" w:rsidRPr="00762824">
        <w:rPr>
          <w:rFonts w:asciiTheme="majorBidi" w:eastAsia="Times New Roman" w:hAnsiTheme="majorBidi" w:cstheme="majorBidi"/>
          <w:sz w:val="24"/>
          <w:szCs w:val="24"/>
        </w:rPr>
        <w:t xml:space="preserve"> 731236) SNP did not differ statistically significantly from the other biomarker means.</w:t>
      </w:r>
    </w:p>
    <w:p w14:paraId="586E8FF2" w14:textId="77777777" w:rsidR="00B835F9" w:rsidRPr="00762824" w:rsidRDefault="00B835F9" w:rsidP="00990A5D">
      <w:pPr>
        <w:shd w:val="clear" w:color="auto" w:fill="FFFFFF" w:themeFill="background1"/>
        <w:spacing w:after="0" w:line="240" w:lineRule="auto"/>
        <w:jc w:val="both"/>
        <w:rPr>
          <w:rFonts w:asciiTheme="majorBidi" w:eastAsia="Times New Roman" w:hAnsiTheme="majorBidi" w:cstheme="majorBidi"/>
          <w:sz w:val="24"/>
          <w:szCs w:val="24"/>
        </w:rPr>
      </w:pPr>
    </w:p>
    <w:p w14:paraId="24952D61" w14:textId="77777777" w:rsidR="00B835F9" w:rsidRPr="00762824" w:rsidRDefault="00B835F9" w:rsidP="007B640E">
      <w:pPr>
        <w:shd w:val="clear" w:color="auto" w:fill="FFFFFF" w:themeFill="background1"/>
        <w:spacing w:after="0"/>
        <w:ind w:right="-421" w:hanging="142"/>
        <w:jc w:val="center"/>
        <w:rPr>
          <w:rFonts w:asciiTheme="majorBidi" w:hAnsiTheme="majorBidi" w:cstheme="majorBidi"/>
          <w:sz w:val="24"/>
          <w:szCs w:val="24"/>
          <w:lang w:val="en-GB"/>
        </w:rPr>
      </w:pPr>
      <w:r w:rsidRPr="00762824">
        <w:rPr>
          <w:rFonts w:asciiTheme="majorBidi" w:hAnsiTheme="majorBidi" w:cstheme="majorBidi"/>
          <w:b/>
          <w:bCs/>
          <w:color w:val="000000" w:themeColor="text1"/>
          <w:kern w:val="36"/>
          <w:sz w:val="24"/>
          <w:szCs w:val="24"/>
        </w:rPr>
        <w:t xml:space="preserve">Table </w:t>
      </w:r>
      <w:r w:rsidR="007B640E">
        <w:rPr>
          <w:rFonts w:asciiTheme="majorBidi" w:hAnsiTheme="majorBidi" w:cstheme="majorBidi"/>
          <w:b/>
          <w:bCs/>
          <w:color w:val="000000" w:themeColor="text1"/>
          <w:kern w:val="36"/>
          <w:sz w:val="24"/>
          <w:szCs w:val="24"/>
        </w:rPr>
        <w:t>7</w:t>
      </w:r>
      <w:r w:rsidRPr="00762824">
        <w:rPr>
          <w:rFonts w:asciiTheme="majorBidi" w:hAnsiTheme="majorBidi" w:cstheme="majorBidi"/>
          <w:b/>
          <w:bCs/>
          <w:color w:val="000000" w:themeColor="text1"/>
          <w:kern w:val="36"/>
          <w:sz w:val="24"/>
          <w:szCs w:val="24"/>
        </w:rPr>
        <w:t xml:space="preserve">. </w:t>
      </w:r>
      <w:r w:rsidR="007B640E" w:rsidRPr="007B640E">
        <w:rPr>
          <w:rFonts w:asciiTheme="majorBidi" w:hAnsiTheme="majorBidi" w:cstheme="majorBidi"/>
          <w:color w:val="000000" w:themeColor="text1"/>
          <w:kern w:val="36"/>
          <w:sz w:val="24"/>
          <w:szCs w:val="24"/>
        </w:rPr>
        <w:t>The</w:t>
      </w:r>
      <w:r w:rsidR="007B640E">
        <w:rPr>
          <w:rFonts w:asciiTheme="majorBidi" w:hAnsiTheme="majorBidi" w:cstheme="majorBidi"/>
          <w:b/>
          <w:bCs/>
          <w:color w:val="000000" w:themeColor="text1"/>
          <w:kern w:val="36"/>
          <w:sz w:val="24"/>
          <w:szCs w:val="24"/>
        </w:rPr>
        <w:t xml:space="preserve"> </w:t>
      </w:r>
      <w:r w:rsidR="00F95205" w:rsidRPr="00F95205">
        <w:rPr>
          <w:rFonts w:asciiTheme="majorBidi" w:hAnsiTheme="majorBidi" w:cstheme="majorBidi"/>
          <w:color w:val="000000" w:themeColor="text1"/>
          <w:kern w:val="36"/>
          <w:sz w:val="24"/>
          <w:szCs w:val="24"/>
        </w:rPr>
        <w:t>Difference between mean levels of biomarkers with VDR genotype (rs731236) alleles</w:t>
      </w:r>
    </w:p>
    <w:tbl>
      <w:tblPr>
        <w:tblStyle w:val="TableGrid3"/>
        <w:tblpPr w:leftFromText="180" w:rightFromText="180" w:vertAnchor="text" w:tblpXSpec="center" w:tblpY="229"/>
        <w:tblW w:w="9224" w:type="dxa"/>
        <w:tblLayout w:type="fixed"/>
        <w:tblLook w:val="0000" w:firstRow="0" w:lastRow="0" w:firstColumn="0" w:lastColumn="0" w:noHBand="0" w:noVBand="0"/>
      </w:tblPr>
      <w:tblGrid>
        <w:gridCol w:w="2071"/>
        <w:gridCol w:w="1866"/>
        <w:gridCol w:w="1883"/>
        <w:gridCol w:w="1968"/>
        <w:gridCol w:w="1436"/>
      </w:tblGrid>
      <w:tr w:rsidR="00B835F9" w:rsidRPr="00762824" w14:paraId="6C66025E" w14:textId="77777777" w:rsidTr="00605A1C">
        <w:trPr>
          <w:trHeight w:val="248"/>
        </w:trPr>
        <w:tc>
          <w:tcPr>
            <w:tcW w:w="2071" w:type="dxa"/>
            <w:vMerge w:val="restart"/>
          </w:tcPr>
          <w:p w14:paraId="09FA9C63" w14:textId="77777777" w:rsidR="00B835F9" w:rsidRPr="00762824" w:rsidRDefault="00B835F9" w:rsidP="007105B3">
            <w:pPr>
              <w:autoSpaceDE w:val="0"/>
              <w:autoSpaceDN w:val="0"/>
              <w:adjustRightInd w:val="0"/>
              <w:rPr>
                <w:rFonts w:asciiTheme="majorBidi" w:hAnsiTheme="majorBidi" w:cstheme="majorBidi"/>
                <w:color w:val="000000" w:themeColor="text1"/>
                <w:sz w:val="24"/>
                <w:szCs w:val="24"/>
                <w:lang w:val="en-AU" w:eastAsia="en-AU"/>
              </w:rPr>
            </w:pPr>
            <w:r w:rsidRPr="00762824">
              <w:rPr>
                <w:rFonts w:asciiTheme="majorBidi" w:hAnsiTheme="majorBidi" w:cstheme="majorBidi"/>
                <w:b/>
                <w:bCs/>
                <w:color w:val="000000" w:themeColor="text1"/>
                <w:kern w:val="36"/>
                <w:sz w:val="24"/>
                <w:szCs w:val="24"/>
              </w:rPr>
              <w:t>Biomarkers</w:t>
            </w:r>
          </w:p>
        </w:tc>
        <w:tc>
          <w:tcPr>
            <w:tcW w:w="5717" w:type="dxa"/>
            <w:gridSpan w:val="3"/>
          </w:tcPr>
          <w:p w14:paraId="6E4E33A4" w14:textId="77777777" w:rsidR="00B835F9" w:rsidRPr="00762824" w:rsidRDefault="007B640E" w:rsidP="0043091B">
            <w:pPr>
              <w:autoSpaceDE w:val="0"/>
              <w:autoSpaceDN w:val="0"/>
              <w:adjustRightInd w:val="0"/>
              <w:ind w:right="60"/>
              <w:jc w:val="center"/>
              <w:rPr>
                <w:rFonts w:asciiTheme="majorBidi" w:hAnsiTheme="majorBidi" w:cstheme="majorBidi"/>
                <w:b/>
                <w:bCs/>
                <w:color w:val="000000" w:themeColor="text1"/>
                <w:sz w:val="24"/>
                <w:szCs w:val="24"/>
                <w:lang w:val="en-AU" w:eastAsia="en-AU"/>
              </w:rPr>
            </w:pPr>
            <w:r w:rsidRPr="00F95205">
              <w:rPr>
                <w:rFonts w:asciiTheme="majorBidi" w:hAnsiTheme="majorBidi" w:cstheme="majorBidi"/>
                <w:color w:val="000000" w:themeColor="text1"/>
                <w:kern w:val="36"/>
                <w:sz w:val="24"/>
                <w:szCs w:val="24"/>
              </w:rPr>
              <w:t>VDR</w:t>
            </w:r>
            <w:r w:rsidRPr="00762824">
              <w:rPr>
                <w:rFonts w:asciiTheme="majorBidi" w:hAnsiTheme="majorBidi" w:cstheme="majorBidi"/>
                <w:b/>
                <w:bCs/>
                <w:color w:val="000000" w:themeColor="text1"/>
                <w:sz w:val="24"/>
                <w:szCs w:val="24"/>
                <w:lang w:val="en-AU" w:eastAsia="en-AU"/>
              </w:rPr>
              <w:t xml:space="preserve"> </w:t>
            </w:r>
            <w:r>
              <w:rPr>
                <w:rFonts w:asciiTheme="majorBidi" w:hAnsiTheme="majorBidi" w:cstheme="majorBidi"/>
                <w:b/>
                <w:bCs/>
                <w:color w:val="000000" w:themeColor="text1"/>
                <w:sz w:val="24"/>
                <w:szCs w:val="24"/>
                <w:lang w:val="en-AU" w:eastAsia="en-AU"/>
              </w:rPr>
              <w:t>(</w:t>
            </w:r>
            <w:r w:rsidR="00B835F9" w:rsidRPr="00762824">
              <w:rPr>
                <w:rFonts w:asciiTheme="majorBidi" w:hAnsiTheme="majorBidi" w:cstheme="majorBidi"/>
                <w:b/>
                <w:bCs/>
                <w:color w:val="000000" w:themeColor="text1"/>
                <w:sz w:val="24"/>
                <w:szCs w:val="24"/>
                <w:lang w:val="en-AU" w:eastAsia="en-AU"/>
              </w:rPr>
              <w:t xml:space="preserve">rs  </w:t>
            </w:r>
            <w:r w:rsidR="00B835F9" w:rsidRPr="00762824">
              <w:rPr>
                <w:rFonts w:asciiTheme="majorBidi" w:eastAsiaTheme="minorHAnsi" w:hAnsiTheme="majorBidi" w:cstheme="majorBidi"/>
                <w:b/>
                <w:bCs/>
                <w:sz w:val="24"/>
                <w:szCs w:val="24"/>
                <w:lang w:val="en-GB"/>
              </w:rPr>
              <w:t>731236</w:t>
            </w:r>
            <w:r>
              <w:rPr>
                <w:rFonts w:asciiTheme="majorBidi" w:eastAsiaTheme="minorHAnsi" w:hAnsiTheme="majorBidi" w:cstheme="majorBidi"/>
                <w:b/>
                <w:bCs/>
                <w:sz w:val="24"/>
                <w:szCs w:val="24"/>
                <w:lang w:val="en-GB"/>
              </w:rPr>
              <w:t>)</w:t>
            </w:r>
            <w:r w:rsidR="00B835F9" w:rsidRPr="00762824">
              <w:rPr>
                <w:rFonts w:asciiTheme="majorBidi" w:eastAsiaTheme="minorHAnsi" w:hAnsiTheme="majorBidi" w:cstheme="majorBidi"/>
                <w:b/>
                <w:bCs/>
                <w:sz w:val="24"/>
                <w:szCs w:val="24"/>
                <w:lang w:val="en-GB"/>
              </w:rPr>
              <w:t xml:space="preserve"> </w:t>
            </w:r>
            <w:r w:rsidR="00B835F9" w:rsidRPr="00762824">
              <w:rPr>
                <w:rFonts w:asciiTheme="majorBidi" w:hAnsiTheme="majorBidi" w:cstheme="majorBidi"/>
                <w:b/>
                <w:bCs/>
                <w:color w:val="000000" w:themeColor="text1"/>
                <w:sz w:val="24"/>
                <w:szCs w:val="24"/>
                <w:lang w:val="en-AU" w:eastAsia="en-AU"/>
              </w:rPr>
              <w:t>(</w:t>
            </w:r>
            <w:r w:rsidR="0043091B" w:rsidRPr="00762824">
              <w:rPr>
                <w:rFonts w:asciiTheme="majorBidi" w:hAnsiTheme="majorBidi" w:cstheme="majorBidi"/>
                <w:b/>
                <w:bCs/>
                <w:color w:val="000000" w:themeColor="text1"/>
                <w:sz w:val="24"/>
                <w:szCs w:val="24"/>
                <w:lang w:val="en-AU" w:eastAsia="en-AU"/>
              </w:rPr>
              <w:t>n</w:t>
            </w:r>
            <w:r w:rsidR="00B835F9" w:rsidRPr="00762824">
              <w:rPr>
                <w:rFonts w:asciiTheme="majorBidi" w:hAnsiTheme="majorBidi" w:cstheme="majorBidi"/>
                <w:b/>
                <w:bCs/>
                <w:color w:val="000000" w:themeColor="text1"/>
                <w:sz w:val="24"/>
                <w:szCs w:val="24"/>
                <w:lang w:val="en-AU" w:eastAsia="en-AU"/>
              </w:rPr>
              <w:t>= 60 )</w:t>
            </w:r>
          </w:p>
        </w:tc>
        <w:tc>
          <w:tcPr>
            <w:tcW w:w="1436" w:type="dxa"/>
            <w:vMerge w:val="restart"/>
          </w:tcPr>
          <w:p w14:paraId="492004D4" w14:textId="77777777" w:rsidR="00B835F9" w:rsidRPr="00762824" w:rsidRDefault="00B835F9" w:rsidP="007D6ECE">
            <w:pPr>
              <w:autoSpaceDE w:val="0"/>
              <w:autoSpaceDN w:val="0"/>
              <w:adjustRightInd w:val="0"/>
              <w:ind w:right="60"/>
              <w:jc w:val="center"/>
              <w:rPr>
                <w:rFonts w:asciiTheme="majorBidi" w:hAnsiTheme="majorBidi" w:cstheme="majorBidi"/>
                <w:b/>
                <w:bCs/>
                <w:color w:val="000000" w:themeColor="text1"/>
                <w:sz w:val="24"/>
                <w:szCs w:val="24"/>
                <w:lang w:val="en-AU" w:eastAsia="en-AU"/>
              </w:rPr>
            </w:pPr>
            <w:r w:rsidRPr="00762824">
              <w:rPr>
                <w:rFonts w:asciiTheme="majorBidi" w:hAnsiTheme="majorBidi" w:cstheme="majorBidi"/>
                <w:b/>
                <w:bCs/>
                <w:color w:val="000000" w:themeColor="text1"/>
                <w:sz w:val="24"/>
                <w:szCs w:val="24"/>
                <w:lang w:val="en-AU" w:eastAsia="en-AU"/>
              </w:rPr>
              <w:t>P value</w:t>
            </w:r>
          </w:p>
        </w:tc>
      </w:tr>
      <w:tr w:rsidR="007105B3" w:rsidRPr="00762824" w14:paraId="2C738F18" w14:textId="77777777" w:rsidTr="00605A1C">
        <w:trPr>
          <w:trHeight w:val="248"/>
        </w:trPr>
        <w:tc>
          <w:tcPr>
            <w:tcW w:w="2071" w:type="dxa"/>
            <w:vMerge/>
          </w:tcPr>
          <w:p w14:paraId="2075C9AF" w14:textId="77777777" w:rsidR="007105B3" w:rsidRPr="00762824" w:rsidRDefault="007105B3" w:rsidP="007D6ECE">
            <w:pPr>
              <w:autoSpaceDE w:val="0"/>
              <w:autoSpaceDN w:val="0"/>
              <w:adjustRightInd w:val="0"/>
              <w:jc w:val="center"/>
              <w:rPr>
                <w:rFonts w:asciiTheme="majorBidi" w:hAnsiTheme="majorBidi" w:cstheme="majorBidi"/>
                <w:b/>
                <w:bCs/>
                <w:color w:val="000000" w:themeColor="text1"/>
                <w:kern w:val="36"/>
                <w:sz w:val="24"/>
                <w:szCs w:val="24"/>
              </w:rPr>
            </w:pPr>
          </w:p>
        </w:tc>
        <w:tc>
          <w:tcPr>
            <w:tcW w:w="5717" w:type="dxa"/>
            <w:gridSpan w:val="3"/>
          </w:tcPr>
          <w:p w14:paraId="61C70A06" w14:textId="77777777" w:rsidR="007105B3" w:rsidRPr="00762824" w:rsidRDefault="007105B3" w:rsidP="007D6ECE">
            <w:pPr>
              <w:autoSpaceDE w:val="0"/>
              <w:autoSpaceDN w:val="0"/>
              <w:adjustRightInd w:val="0"/>
              <w:ind w:right="60"/>
              <w:jc w:val="center"/>
              <w:rPr>
                <w:rFonts w:asciiTheme="majorBidi" w:hAnsiTheme="majorBidi" w:cstheme="majorBidi"/>
                <w:b/>
                <w:bCs/>
                <w:color w:val="000000" w:themeColor="text1"/>
                <w:sz w:val="24"/>
                <w:szCs w:val="24"/>
                <w:lang w:val="en-AU" w:eastAsia="en-AU"/>
              </w:rPr>
            </w:pPr>
          </w:p>
        </w:tc>
        <w:tc>
          <w:tcPr>
            <w:tcW w:w="1436" w:type="dxa"/>
            <w:vMerge/>
          </w:tcPr>
          <w:p w14:paraId="2BD88503" w14:textId="77777777" w:rsidR="007105B3" w:rsidRPr="00762824" w:rsidRDefault="007105B3" w:rsidP="007D6ECE">
            <w:pPr>
              <w:autoSpaceDE w:val="0"/>
              <w:autoSpaceDN w:val="0"/>
              <w:adjustRightInd w:val="0"/>
              <w:ind w:right="60"/>
              <w:jc w:val="center"/>
              <w:rPr>
                <w:rFonts w:asciiTheme="majorBidi" w:hAnsiTheme="majorBidi" w:cstheme="majorBidi"/>
                <w:b/>
                <w:bCs/>
                <w:color w:val="000000" w:themeColor="text1"/>
                <w:sz w:val="24"/>
                <w:szCs w:val="24"/>
                <w:lang w:val="en-AU" w:eastAsia="en-AU"/>
              </w:rPr>
            </w:pPr>
          </w:p>
        </w:tc>
      </w:tr>
      <w:tr w:rsidR="00B835F9" w:rsidRPr="00762824" w14:paraId="539C6CF1" w14:textId="77777777" w:rsidTr="00605A1C">
        <w:trPr>
          <w:trHeight w:val="248"/>
        </w:trPr>
        <w:tc>
          <w:tcPr>
            <w:tcW w:w="2071" w:type="dxa"/>
            <w:vMerge/>
          </w:tcPr>
          <w:p w14:paraId="68455EBD" w14:textId="77777777" w:rsidR="00B835F9" w:rsidRPr="00762824" w:rsidRDefault="00B835F9" w:rsidP="007D6ECE">
            <w:pPr>
              <w:autoSpaceDE w:val="0"/>
              <w:autoSpaceDN w:val="0"/>
              <w:adjustRightInd w:val="0"/>
              <w:jc w:val="center"/>
              <w:rPr>
                <w:rFonts w:asciiTheme="majorBidi" w:hAnsiTheme="majorBidi" w:cstheme="majorBidi"/>
                <w:b/>
                <w:bCs/>
                <w:color w:val="000000" w:themeColor="text1"/>
                <w:kern w:val="36"/>
                <w:sz w:val="24"/>
                <w:szCs w:val="24"/>
              </w:rPr>
            </w:pPr>
          </w:p>
        </w:tc>
        <w:tc>
          <w:tcPr>
            <w:tcW w:w="5717" w:type="dxa"/>
            <w:gridSpan w:val="3"/>
          </w:tcPr>
          <w:p w14:paraId="48505C64" w14:textId="77777777" w:rsidR="00B835F9" w:rsidRPr="00762824" w:rsidRDefault="00B835F9" w:rsidP="007D6ECE">
            <w:pPr>
              <w:autoSpaceDE w:val="0"/>
              <w:autoSpaceDN w:val="0"/>
              <w:adjustRightInd w:val="0"/>
              <w:ind w:right="60"/>
              <w:jc w:val="center"/>
              <w:rPr>
                <w:rFonts w:asciiTheme="majorBidi" w:hAnsiTheme="majorBidi" w:cstheme="majorBidi"/>
                <w:b/>
                <w:bCs/>
                <w:color w:val="000000" w:themeColor="text1"/>
                <w:sz w:val="24"/>
                <w:szCs w:val="24"/>
                <w:lang w:val="en-AU" w:eastAsia="en-AU"/>
              </w:rPr>
            </w:pPr>
          </w:p>
        </w:tc>
        <w:tc>
          <w:tcPr>
            <w:tcW w:w="1436" w:type="dxa"/>
            <w:vMerge/>
          </w:tcPr>
          <w:p w14:paraId="4DF5391A" w14:textId="77777777" w:rsidR="00B835F9" w:rsidRPr="00762824" w:rsidRDefault="00B835F9" w:rsidP="007D6ECE">
            <w:pPr>
              <w:autoSpaceDE w:val="0"/>
              <w:autoSpaceDN w:val="0"/>
              <w:adjustRightInd w:val="0"/>
              <w:ind w:right="60"/>
              <w:jc w:val="center"/>
              <w:rPr>
                <w:rFonts w:asciiTheme="majorBidi" w:hAnsiTheme="majorBidi" w:cstheme="majorBidi"/>
                <w:b/>
                <w:bCs/>
                <w:color w:val="000000" w:themeColor="text1"/>
                <w:sz w:val="24"/>
                <w:szCs w:val="24"/>
                <w:lang w:val="en-AU" w:eastAsia="en-AU"/>
              </w:rPr>
            </w:pPr>
          </w:p>
        </w:tc>
      </w:tr>
      <w:tr w:rsidR="00605A1C" w:rsidRPr="00762824" w14:paraId="491DF805" w14:textId="77777777" w:rsidTr="00605A1C">
        <w:trPr>
          <w:trHeight w:val="248"/>
        </w:trPr>
        <w:tc>
          <w:tcPr>
            <w:tcW w:w="2071" w:type="dxa"/>
            <w:vMerge/>
          </w:tcPr>
          <w:p w14:paraId="330C32DE" w14:textId="77777777" w:rsidR="00605A1C" w:rsidRPr="00762824" w:rsidRDefault="00605A1C" w:rsidP="00605A1C">
            <w:pPr>
              <w:autoSpaceDE w:val="0"/>
              <w:autoSpaceDN w:val="0"/>
              <w:adjustRightInd w:val="0"/>
              <w:jc w:val="center"/>
              <w:rPr>
                <w:rFonts w:asciiTheme="majorBidi" w:hAnsiTheme="majorBidi" w:cstheme="majorBidi"/>
                <w:color w:val="000000" w:themeColor="text1"/>
                <w:sz w:val="24"/>
                <w:szCs w:val="24"/>
                <w:lang w:val="en-AU" w:eastAsia="en-AU"/>
              </w:rPr>
            </w:pPr>
          </w:p>
        </w:tc>
        <w:tc>
          <w:tcPr>
            <w:tcW w:w="1866" w:type="dxa"/>
          </w:tcPr>
          <w:p w14:paraId="760835E7" w14:textId="77777777" w:rsidR="00605A1C" w:rsidRPr="00762824" w:rsidRDefault="00605A1C" w:rsidP="0043091B">
            <w:pPr>
              <w:jc w:val="center"/>
              <w:rPr>
                <w:rFonts w:asciiTheme="majorBidi" w:hAnsiTheme="majorBidi" w:cstheme="majorBidi"/>
                <w:b/>
                <w:bCs/>
                <w:color w:val="000000" w:themeColor="text1"/>
                <w:sz w:val="24"/>
                <w:szCs w:val="24"/>
                <w:rtl/>
                <w:lang w:val="en-AU"/>
              </w:rPr>
            </w:pPr>
            <w:r w:rsidRPr="00762824">
              <w:rPr>
                <w:rFonts w:asciiTheme="majorBidi" w:hAnsiTheme="majorBidi" w:cstheme="majorBidi"/>
                <w:b/>
                <w:bCs/>
                <w:color w:val="000000" w:themeColor="text1"/>
                <w:sz w:val="24"/>
                <w:szCs w:val="24"/>
                <w:lang w:val="en-AU"/>
              </w:rPr>
              <w:t>TT (</w:t>
            </w:r>
            <w:r w:rsidR="0043091B" w:rsidRPr="00762824">
              <w:rPr>
                <w:rFonts w:asciiTheme="majorBidi" w:hAnsiTheme="majorBidi" w:cstheme="majorBidi"/>
                <w:b/>
                <w:bCs/>
                <w:color w:val="000000" w:themeColor="text1"/>
                <w:sz w:val="24"/>
                <w:szCs w:val="24"/>
                <w:lang w:val="en-AU"/>
              </w:rPr>
              <w:t>n</w:t>
            </w:r>
            <w:r w:rsidRPr="00762824">
              <w:rPr>
                <w:rFonts w:asciiTheme="majorBidi" w:hAnsiTheme="majorBidi" w:cstheme="majorBidi"/>
                <w:b/>
                <w:bCs/>
                <w:color w:val="000000" w:themeColor="text1"/>
                <w:sz w:val="24"/>
                <w:szCs w:val="24"/>
                <w:lang w:val="en-AU"/>
              </w:rPr>
              <w:t>=15)</w:t>
            </w:r>
          </w:p>
        </w:tc>
        <w:tc>
          <w:tcPr>
            <w:tcW w:w="1883" w:type="dxa"/>
          </w:tcPr>
          <w:p w14:paraId="3408D528" w14:textId="77777777" w:rsidR="00605A1C" w:rsidRPr="00762824" w:rsidRDefault="00605A1C" w:rsidP="0043091B">
            <w:pPr>
              <w:jc w:val="center"/>
              <w:rPr>
                <w:rFonts w:asciiTheme="majorBidi" w:hAnsiTheme="majorBidi" w:cstheme="majorBidi"/>
                <w:b/>
                <w:bCs/>
                <w:color w:val="000000" w:themeColor="text1"/>
                <w:sz w:val="24"/>
                <w:szCs w:val="24"/>
                <w:rtl/>
                <w:lang w:val="en-AU"/>
              </w:rPr>
            </w:pPr>
            <w:r w:rsidRPr="00762824">
              <w:rPr>
                <w:rFonts w:asciiTheme="majorBidi" w:hAnsiTheme="majorBidi" w:cstheme="majorBidi"/>
                <w:b/>
                <w:bCs/>
                <w:color w:val="000000" w:themeColor="text1"/>
                <w:sz w:val="24"/>
                <w:szCs w:val="24"/>
                <w:lang w:val="en-AU"/>
              </w:rPr>
              <w:t>CC (</w:t>
            </w:r>
            <w:r w:rsidR="0043091B" w:rsidRPr="00762824">
              <w:rPr>
                <w:rFonts w:asciiTheme="majorBidi" w:hAnsiTheme="majorBidi" w:cstheme="majorBidi"/>
                <w:b/>
                <w:bCs/>
                <w:color w:val="000000" w:themeColor="text1"/>
                <w:sz w:val="24"/>
                <w:szCs w:val="24"/>
                <w:lang w:val="en-AU"/>
              </w:rPr>
              <w:t>n</w:t>
            </w:r>
            <w:r w:rsidRPr="00762824">
              <w:rPr>
                <w:rFonts w:asciiTheme="majorBidi" w:hAnsiTheme="majorBidi" w:cstheme="majorBidi"/>
                <w:b/>
                <w:bCs/>
                <w:color w:val="000000" w:themeColor="text1"/>
                <w:sz w:val="24"/>
                <w:szCs w:val="24"/>
                <w:lang w:val="en-AU"/>
              </w:rPr>
              <w:t>=24)</w:t>
            </w:r>
          </w:p>
        </w:tc>
        <w:tc>
          <w:tcPr>
            <w:tcW w:w="1968" w:type="dxa"/>
          </w:tcPr>
          <w:p w14:paraId="51E62B48" w14:textId="77777777" w:rsidR="00605A1C" w:rsidRPr="00762824" w:rsidRDefault="00605A1C" w:rsidP="0043091B">
            <w:pPr>
              <w:autoSpaceDE w:val="0"/>
              <w:autoSpaceDN w:val="0"/>
              <w:adjustRightInd w:val="0"/>
              <w:ind w:right="60"/>
              <w:jc w:val="center"/>
              <w:rPr>
                <w:rFonts w:asciiTheme="majorBidi" w:hAnsiTheme="majorBidi" w:cstheme="majorBidi"/>
                <w:b/>
                <w:bCs/>
                <w:color w:val="000000" w:themeColor="text1"/>
                <w:sz w:val="24"/>
                <w:szCs w:val="24"/>
                <w:lang w:val="en-AU"/>
              </w:rPr>
            </w:pPr>
            <w:r w:rsidRPr="00762824">
              <w:rPr>
                <w:rFonts w:asciiTheme="majorBidi" w:hAnsiTheme="majorBidi" w:cstheme="majorBidi"/>
                <w:b/>
                <w:bCs/>
                <w:color w:val="000000" w:themeColor="text1"/>
                <w:sz w:val="24"/>
                <w:szCs w:val="24"/>
                <w:lang w:val="en-AU"/>
              </w:rPr>
              <w:t>TC (</w:t>
            </w:r>
            <w:r w:rsidR="0043091B" w:rsidRPr="00762824">
              <w:rPr>
                <w:rFonts w:asciiTheme="majorBidi" w:hAnsiTheme="majorBidi" w:cstheme="majorBidi"/>
                <w:b/>
                <w:bCs/>
                <w:color w:val="000000" w:themeColor="text1"/>
                <w:sz w:val="24"/>
                <w:szCs w:val="24"/>
                <w:lang w:val="en-AU"/>
              </w:rPr>
              <w:t>n</w:t>
            </w:r>
            <w:r w:rsidRPr="00762824">
              <w:rPr>
                <w:rFonts w:asciiTheme="majorBidi" w:hAnsiTheme="majorBidi" w:cstheme="majorBidi"/>
                <w:b/>
                <w:bCs/>
                <w:color w:val="000000" w:themeColor="text1"/>
                <w:sz w:val="24"/>
                <w:szCs w:val="24"/>
                <w:lang w:val="en-AU"/>
              </w:rPr>
              <w:t>=21)</w:t>
            </w:r>
          </w:p>
        </w:tc>
        <w:tc>
          <w:tcPr>
            <w:tcW w:w="1436" w:type="dxa"/>
            <w:vMerge/>
          </w:tcPr>
          <w:p w14:paraId="06175B80" w14:textId="77777777" w:rsidR="00605A1C" w:rsidRPr="00762824" w:rsidRDefault="00605A1C" w:rsidP="00605A1C">
            <w:pPr>
              <w:autoSpaceDE w:val="0"/>
              <w:autoSpaceDN w:val="0"/>
              <w:adjustRightInd w:val="0"/>
              <w:ind w:right="60"/>
              <w:jc w:val="center"/>
              <w:rPr>
                <w:rFonts w:asciiTheme="majorBidi" w:hAnsiTheme="majorBidi" w:cstheme="majorBidi"/>
                <w:color w:val="000000" w:themeColor="text1"/>
                <w:sz w:val="24"/>
                <w:szCs w:val="24"/>
                <w:lang w:val="en-AU" w:eastAsia="en-AU"/>
              </w:rPr>
            </w:pPr>
          </w:p>
        </w:tc>
      </w:tr>
      <w:tr w:rsidR="001E1382" w:rsidRPr="00762824" w14:paraId="3F0B3F2E" w14:textId="77777777" w:rsidTr="00605A1C">
        <w:trPr>
          <w:trHeight w:val="394"/>
        </w:trPr>
        <w:tc>
          <w:tcPr>
            <w:tcW w:w="2071" w:type="dxa"/>
          </w:tcPr>
          <w:p w14:paraId="1DC0AC57" w14:textId="77777777" w:rsidR="001E1382" w:rsidRPr="00762824" w:rsidRDefault="001E1382" w:rsidP="001E1382">
            <w:pPr>
              <w:autoSpaceDE w:val="0"/>
              <w:autoSpaceDN w:val="0"/>
              <w:adjustRightInd w:val="0"/>
              <w:ind w:left="60" w:right="60"/>
              <w:jc w:val="center"/>
              <w:rPr>
                <w:rFonts w:asciiTheme="majorBidi" w:hAnsiTheme="majorBidi" w:cstheme="majorBidi"/>
                <w:b/>
                <w:bCs/>
                <w:sz w:val="24"/>
                <w:szCs w:val="24"/>
              </w:rPr>
            </w:pPr>
            <w:bookmarkStart w:id="1" w:name="_Hlk112799693"/>
            <w:r w:rsidRPr="00762824">
              <w:rPr>
                <w:rFonts w:asciiTheme="majorBidi" w:hAnsiTheme="majorBidi" w:cstheme="majorBidi"/>
                <w:b/>
                <w:bCs/>
                <w:sz w:val="24"/>
                <w:szCs w:val="24"/>
              </w:rPr>
              <w:t>E2</w:t>
            </w:r>
          </w:p>
        </w:tc>
        <w:tc>
          <w:tcPr>
            <w:tcW w:w="1866" w:type="dxa"/>
          </w:tcPr>
          <w:p w14:paraId="03A034E4" w14:textId="77777777" w:rsidR="001E1382" w:rsidRPr="00762824" w:rsidRDefault="001E1382" w:rsidP="0043091B">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28.7</w:t>
            </w:r>
            <w:r w:rsidR="0043091B" w:rsidRPr="00762824">
              <w:rPr>
                <w:rFonts w:asciiTheme="majorBidi" w:hAnsiTheme="majorBidi" w:cstheme="majorBidi"/>
                <w:color w:val="010205"/>
                <w:sz w:val="24"/>
                <w:szCs w:val="24"/>
                <w:lang w:val="en-GB"/>
              </w:rPr>
              <w:t>4</w:t>
            </w:r>
            <w:r w:rsidRPr="00762824">
              <w:rPr>
                <w:rFonts w:asciiTheme="majorBidi" w:hAnsiTheme="majorBidi" w:cstheme="majorBidi"/>
                <w:color w:val="010205"/>
                <w:sz w:val="24"/>
                <w:szCs w:val="24"/>
                <w:lang w:val="en-GB"/>
              </w:rPr>
              <w:t xml:space="preserve"> ± 10.2</w:t>
            </w:r>
            <w:r w:rsidRPr="00762824">
              <w:rPr>
                <w:rFonts w:asciiTheme="majorBidi" w:hAnsiTheme="majorBidi" w:cstheme="majorBidi"/>
                <w:color w:val="000000" w:themeColor="text1"/>
                <w:sz w:val="24"/>
                <w:szCs w:val="24"/>
                <w:lang w:val="en-GB"/>
              </w:rPr>
              <w:t>7</w:t>
            </w:r>
          </w:p>
        </w:tc>
        <w:tc>
          <w:tcPr>
            <w:tcW w:w="1883" w:type="dxa"/>
          </w:tcPr>
          <w:p w14:paraId="3419B38B" w14:textId="77777777" w:rsidR="001E1382" w:rsidRPr="00762824" w:rsidRDefault="001E1382" w:rsidP="001E1382">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26.05 ± 6.8</w:t>
            </w:r>
            <w:r w:rsidRPr="00762824">
              <w:rPr>
                <w:rFonts w:asciiTheme="majorBidi" w:hAnsiTheme="majorBidi" w:cstheme="majorBidi"/>
                <w:color w:val="000000" w:themeColor="text1"/>
                <w:sz w:val="24"/>
                <w:szCs w:val="24"/>
                <w:lang w:val="en-GB"/>
              </w:rPr>
              <w:t>7</w:t>
            </w:r>
          </w:p>
        </w:tc>
        <w:tc>
          <w:tcPr>
            <w:tcW w:w="1968" w:type="dxa"/>
          </w:tcPr>
          <w:p w14:paraId="5909B57C" w14:textId="77777777" w:rsidR="001E1382" w:rsidRPr="00762824" w:rsidRDefault="001E1382" w:rsidP="001E1382">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25.19 ± 8.30</w:t>
            </w:r>
          </w:p>
        </w:tc>
        <w:tc>
          <w:tcPr>
            <w:tcW w:w="1436" w:type="dxa"/>
          </w:tcPr>
          <w:p w14:paraId="648435A7" w14:textId="77777777" w:rsidR="001E1382" w:rsidRPr="00762824" w:rsidRDefault="001E1382" w:rsidP="001E1382">
            <w:pPr>
              <w:jc w:val="center"/>
              <w:rPr>
                <w:rFonts w:asciiTheme="majorBidi" w:hAnsiTheme="majorBidi" w:cstheme="majorBidi"/>
                <w:b/>
                <w:bCs/>
                <w:color w:val="000000" w:themeColor="text1"/>
                <w:sz w:val="24"/>
                <w:szCs w:val="24"/>
                <w:lang w:eastAsia="en-AU" w:bidi="ar-IQ"/>
              </w:rPr>
            </w:pPr>
            <w:r w:rsidRPr="00762824">
              <w:rPr>
                <w:rFonts w:asciiTheme="majorBidi" w:hAnsiTheme="majorBidi" w:cstheme="majorBidi"/>
                <w:b/>
                <w:bCs/>
                <w:color w:val="000000" w:themeColor="text1"/>
                <w:sz w:val="24"/>
                <w:szCs w:val="24"/>
                <w:lang w:eastAsia="en-AU" w:bidi="ar-IQ"/>
              </w:rPr>
              <w:t xml:space="preserve">0.04 </w:t>
            </w:r>
            <w:r w:rsidRPr="00762824">
              <w:rPr>
                <w:rFonts w:asciiTheme="majorBidi" w:hAnsiTheme="majorBidi" w:cstheme="majorBidi"/>
                <w:b/>
                <w:bCs/>
                <w:sz w:val="24"/>
                <w:szCs w:val="24"/>
              </w:rPr>
              <w:t>*</w:t>
            </w:r>
          </w:p>
        </w:tc>
      </w:tr>
      <w:tr w:rsidR="00605A1C" w:rsidRPr="00762824" w14:paraId="43C62B41" w14:textId="77777777" w:rsidTr="00605A1C">
        <w:trPr>
          <w:trHeight w:val="340"/>
        </w:trPr>
        <w:tc>
          <w:tcPr>
            <w:tcW w:w="2071" w:type="dxa"/>
          </w:tcPr>
          <w:p w14:paraId="2D8396B0" w14:textId="77777777" w:rsidR="00605A1C" w:rsidRPr="00762824" w:rsidRDefault="00605A1C" w:rsidP="00605A1C">
            <w:pPr>
              <w:autoSpaceDE w:val="0"/>
              <w:autoSpaceDN w:val="0"/>
              <w:adjustRightInd w:val="0"/>
              <w:ind w:left="60" w:right="60"/>
              <w:jc w:val="center"/>
              <w:rPr>
                <w:rFonts w:asciiTheme="majorBidi" w:hAnsiTheme="majorBidi" w:cstheme="majorBidi"/>
                <w:b/>
                <w:bCs/>
                <w:sz w:val="24"/>
                <w:szCs w:val="24"/>
              </w:rPr>
            </w:pPr>
            <w:r w:rsidRPr="00762824">
              <w:rPr>
                <w:rFonts w:asciiTheme="majorBidi" w:hAnsiTheme="majorBidi" w:cstheme="majorBidi"/>
                <w:b/>
                <w:bCs/>
                <w:sz w:val="24"/>
                <w:szCs w:val="24"/>
              </w:rPr>
              <w:t>PTH</w:t>
            </w:r>
          </w:p>
        </w:tc>
        <w:tc>
          <w:tcPr>
            <w:tcW w:w="1866" w:type="dxa"/>
          </w:tcPr>
          <w:p w14:paraId="2C38A2A6" w14:textId="77777777" w:rsidR="00605A1C" w:rsidRPr="00762824" w:rsidRDefault="00605A1C" w:rsidP="00605A1C">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76.28 ± 24.66</w:t>
            </w:r>
          </w:p>
        </w:tc>
        <w:tc>
          <w:tcPr>
            <w:tcW w:w="1883" w:type="dxa"/>
          </w:tcPr>
          <w:p w14:paraId="13C48370" w14:textId="77777777" w:rsidR="00605A1C" w:rsidRPr="00762824" w:rsidRDefault="00605A1C" w:rsidP="00605A1C">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83.13 ± 32.96</w:t>
            </w:r>
          </w:p>
        </w:tc>
        <w:tc>
          <w:tcPr>
            <w:tcW w:w="1968" w:type="dxa"/>
          </w:tcPr>
          <w:p w14:paraId="74F31DF3" w14:textId="77777777" w:rsidR="00605A1C" w:rsidRPr="00762824" w:rsidRDefault="00605A1C" w:rsidP="00605A1C">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66.23± 26.82</w:t>
            </w:r>
          </w:p>
        </w:tc>
        <w:tc>
          <w:tcPr>
            <w:tcW w:w="1436" w:type="dxa"/>
          </w:tcPr>
          <w:p w14:paraId="2DD0F14F" w14:textId="77777777" w:rsidR="00605A1C" w:rsidRPr="00762824" w:rsidRDefault="00605A1C" w:rsidP="00605A1C">
            <w:pPr>
              <w:jc w:val="center"/>
              <w:rPr>
                <w:rFonts w:asciiTheme="majorBidi" w:hAnsiTheme="majorBidi" w:cstheme="majorBidi"/>
                <w:color w:val="000000" w:themeColor="text1"/>
                <w:sz w:val="24"/>
                <w:szCs w:val="24"/>
                <w:lang w:val="en-AU" w:eastAsia="en-AU"/>
              </w:rPr>
            </w:pPr>
            <w:r w:rsidRPr="00762824">
              <w:rPr>
                <w:rFonts w:asciiTheme="majorBidi" w:hAnsiTheme="majorBidi" w:cstheme="majorBidi"/>
                <w:color w:val="000000" w:themeColor="text1"/>
                <w:sz w:val="24"/>
                <w:szCs w:val="24"/>
                <w:lang w:eastAsia="en-AU" w:bidi="ar-IQ"/>
              </w:rPr>
              <w:t xml:space="preserve">0.126 </w:t>
            </w:r>
          </w:p>
        </w:tc>
      </w:tr>
      <w:tr w:rsidR="00605A1C" w:rsidRPr="00762824" w14:paraId="7D1A0508" w14:textId="77777777" w:rsidTr="00605A1C">
        <w:trPr>
          <w:trHeight w:val="448"/>
        </w:trPr>
        <w:tc>
          <w:tcPr>
            <w:tcW w:w="2071" w:type="dxa"/>
          </w:tcPr>
          <w:p w14:paraId="2476485D" w14:textId="77777777" w:rsidR="00605A1C" w:rsidRPr="00762824" w:rsidRDefault="00605A1C" w:rsidP="00605A1C">
            <w:pPr>
              <w:autoSpaceDE w:val="0"/>
              <w:autoSpaceDN w:val="0"/>
              <w:adjustRightInd w:val="0"/>
              <w:ind w:left="60" w:right="60"/>
              <w:jc w:val="center"/>
              <w:rPr>
                <w:rFonts w:asciiTheme="majorBidi" w:hAnsiTheme="majorBidi" w:cstheme="majorBidi"/>
                <w:b/>
                <w:bCs/>
                <w:sz w:val="24"/>
                <w:szCs w:val="24"/>
              </w:rPr>
            </w:pPr>
            <w:r w:rsidRPr="00762824">
              <w:rPr>
                <w:rFonts w:asciiTheme="majorBidi" w:hAnsiTheme="majorBidi" w:cstheme="majorBidi"/>
                <w:b/>
                <w:bCs/>
                <w:sz w:val="24"/>
                <w:szCs w:val="24"/>
              </w:rPr>
              <w:t>ALP</w:t>
            </w:r>
          </w:p>
        </w:tc>
        <w:tc>
          <w:tcPr>
            <w:tcW w:w="1866" w:type="dxa"/>
          </w:tcPr>
          <w:p w14:paraId="68C2D2E7" w14:textId="77777777" w:rsidR="00605A1C" w:rsidRPr="00762824" w:rsidRDefault="00605A1C" w:rsidP="00605A1C">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226.87 ± 50.22</w:t>
            </w:r>
          </w:p>
        </w:tc>
        <w:tc>
          <w:tcPr>
            <w:tcW w:w="1883" w:type="dxa"/>
          </w:tcPr>
          <w:p w14:paraId="1521CDD3" w14:textId="77777777" w:rsidR="00605A1C" w:rsidRPr="00762824" w:rsidRDefault="00605A1C" w:rsidP="00605A1C">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217.72 ± 46.23</w:t>
            </w:r>
          </w:p>
        </w:tc>
        <w:tc>
          <w:tcPr>
            <w:tcW w:w="1968" w:type="dxa"/>
          </w:tcPr>
          <w:p w14:paraId="4CE1CC54" w14:textId="77777777" w:rsidR="00605A1C" w:rsidRPr="00762824" w:rsidRDefault="00605A1C" w:rsidP="00605A1C">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226.42 ± 48.86</w:t>
            </w:r>
          </w:p>
        </w:tc>
        <w:tc>
          <w:tcPr>
            <w:tcW w:w="1436" w:type="dxa"/>
          </w:tcPr>
          <w:p w14:paraId="0D688098" w14:textId="77777777" w:rsidR="00605A1C" w:rsidRPr="00762824" w:rsidRDefault="00605A1C" w:rsidP="00605A1C">
            <w:pPr>
              <w:jc w:val="center"/>
              <w:rPr>
                <w:rFonts w:asciiTheme="majorBidi" w:hAnsiTheme="majorBidi" w:cstheme="majorBidi"/>
                <w:color w:val="000000" w:themeColor="text1"/>
                <w:sz w:val="24"/>
                <w:szCs w:val="24"/>
                <w:lang w:eastAsia="en-AU" w:bidi="ar-IQ"/>
              </w:rPr>
            </w:pPr>
            <w:r w:rsidRPr="00762824">
              <w:rPr>
                <w:rFonts w:asciiTheme="majorBidi" w:hAnsiTheme="majorBidi" w:cstheme="majorBidi"/>
                <w:color w:val="000000" w:themeColor="text1"/>
                <w:sz w:val="24"/>
                <w:szCs w:val="24"/>
                <w:lang w:val="en-AU" w:eastAsia="en-AU"/>
              </w:rPr>
              <w:t xml:space="preserve">0.594 </w:t>
            </w:r>
          </w:p>
        </w:tc>
      </w:tr>
      <w:tr w:rsidR="001E1382" w:rsidRPr="00762824" w14:paraId="6EB6B8F1" w14:textId="77777777" w:rsidTr="00605A1C">
        <w:trPr>
          <w:trHeight w:val="349"/>
        </w:trPr>
        <w:tc>
          <w:tcPr>
            <w:tcW w:w="2071" w:type="dxa"/>
          </w:tcPr>
          <w:p w14:paraId="6A3FFE7D" w14:textId="77777777" w:rsidR="001E1382" w:rsidRPr="00762824" w:rsidRDefault="001E1382" w:rsidP="001E1382">
            <w:pPr>
              <w:autoSpaceDE w:val="0"/>
              <w:autoSpaceDN w:val="0"/>
              <w:adjustRightInd w:val="0"/>
              <w:ind w:left="60" w:right="60"/>
              <w:jc w:val="center"/>
              <w:rPr>
                <w:rFonts w:asciiTheme="majorBidi" w:hAnsiTheme="majorBidi" w:cstheme="majorBidi"/>
                <w:b/>
                <w:bCs/>
                <w:sz w:val="24"/>
                <w:szCs w:val="24"/>
              </w:rPr>
            </w:pPr>
            <w:r w:rsidRPr="00762824">
              <w:rPr>
                <w:rFonts w:asciiTheme="majorBidi" w:hAnsiTheme="majorBidi" w:cstheme="majorBidi"/>
                <w:b/>
                <w:bCs/>
                <w:sz w:val="24"/>
                <w:szCs w:val="24"/>
              </w:rPr>
              <w:t>D3</w:t>
            </w:r>
          </w:p>
        </w:tc>
        <w:tc>
          <w:tcPr>
            <w:tcW w:w="1866" w:type="dxa"/>
          </w:tcPr>
          <w:p w14:paraId="3412E18B" w14:textId="77777777" w:rsidR="001E1382" w:rsidRPr="00762824" w:rsidRDefault="0043091B" w:rsidP="0043091B">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41</w:t>
            </w:r>
            <w:r w:rsidR="001E1382" w:rsidRPr="00762824">
              <w:rPr>
                <w:rFonts w:asciiTheme="majorBidi" w:hAnsiTheme="majorBidi" w:cstheme="majorBidi"/>
                <w:color w:val="010205"/>
                <w:sz w:val="24"/>
                <w:szCs w:val="24"/>
                <w:lang w:val="en-GB"/>
              </w:rPr>
              <w:t>.</w:t>
            </w:r>
            <w:r w:rsidRPr="00762824">
              <w:rPr>
                <w:rFonts w:asciiTheme="majorBidi" w:hAnsiTheme="majorBidi" w:cstheme="majorBidi"/>
                <w:color w:val="010205"/>
                <w:sz w:val="24"/>
                <w:szCs w:val="24"/>
                <w:lang w:val="en-GB"/>
              </w:rPr>
              <w:t>02</w:t>
            </w:r>
            <w:r w:rsidR="001E1382" w:rsidRPr="00762824">
              <w:rPr>
                <w:rFonts w:asciiTheme="majorBidi" w:hAnsiTheme="majorBidi" w:cstheme="majorBidi"/>
                <w:color w:val="010205"/>
                <w:sz w:val="24"/>
                <w:szCs w:val="24"/>
                <w:lang w:val="en-GB"/>
              </w:rPr>
              <w:t xml:space="preserve"> ± 7.29*</w:t>
            </w:r>
          </w:p>
        </w:tc>
        <w:tc>
          <w:tcPr>
            <w:tcW w:w="1883" w:type="dxa"/>
          </w:tcPr>
          <w:p w14:paraId="53636D0F" w14:textId="77777777" w:rsidR="001E1382" w:rsidRPr="00762824" w:rsidRDefault="001E1382" w:rsidP="006E0BE3">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 xml:space="preserve">15.43 ± </w:t>
            </w:r>
            <w:r w:rsidR="006E0BE3" w:rsidRPr="00762824">
              <w:rPr>
                <w:rFonts w:asciiTheme="majorBidi" w:hAnsiTheme="majorBidi" w:cstheme="majorBidi"/>
                <w:color w:val="010205"/>
                <w:sz w:val="24"/>
                <w:szCs w:val="24"/>
                <w:lang w:val="en-GB"/>
              </w:rPr>
              <w:t>6</w:t>
            </w:r>
            <w:r w:rsidRPr="00762824">
              <w:rPr>
                <w:rFonts w:asciiTheme="majorBidi" w:hAnsiTheme="majorBidi" w:cstheme="majorBidi"/>
                <w:color w:val="010205"/>
                <w:sz w:val="24"/>
                <w:szCs w:val="24"/>
                <w:lang w:val="en-GB"/>
              </w:rPr>
              <w:t>.</w:t>
            </w:r>
            <w:r w:rsidR="006E0BE3" w:rsidRPr="00762824">
              <w:rPr>
                <w:rFonts w:asciiTheme="majorBidi" w:hAnsiTheme="majorBidi" w:cstheme="majorBidi"/>
                <w:color w:val="010205"/>
                <w:sz w:val="24"/>
                <w:szCs w:val="24"/>
                <w:lang w:val="en-GB"/>
              </w:rPr>
              <w:t>97</w:t>
            </w:r>
          </w:p>
        </w:tc>
        <w:tc>
          <w:tcPr>
            <w:tcW w:w="1968" w:type="dxa"/>
          </w:tcPr>
          <w:p w14:paraId="285BB0F1" w14:textId="77777777" w:rsidR="001E1382" w:rsidRPr="00762824" w:rsidRDefault="001E1382" w:rsidP="006E0BE3">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 xml:space="preserve">23.64 ± </w:t>
            </w:r>
            <w:r w:rsidR="006E0BE3" w:rsidRPr="00762824">
              <w:rPr>
                <w:rFonts w:asciiTheme="majorBidi" w:hAnsiTheme="majorBidi" w:cstheme="majorBidi"/>
                <w:color w:val="010205"/>
                <w:sz w:val="24"/>
                <w:szCs w:val="24"/>
                <w:lang w:val="en-GB"/>
              </w:rPr>
              <w:t>6</w:t>
            </w:r>
            <w:r w:rsidRPr="00762824">
              <w:rPr>
                <w:rFonts w:asciiTheme="majorBidi" w:hAnsiTheme="majorBidi" w:cstheme="majorBidi"/>
                <w:color w:val="010205"/>
                <w:sz w:val="24"/>
                <w:szCs w:val="24"/>
                <w:lang w:val="en-GB"/>
              </w:rPr>
              <w:t>.98</w:t>
            </w:r>
          </w:p>
        </w:tc>
        <w:tc>
          <w:tcPr>
            <w:tcW w:w="1436" w:type="dxa"/>
          </w:tcPr>
          <w:p w14:paraId="609FD4E1" w14:textId="77777777" w:rsidR="001E1382" w:rsidRPr="00762824" w:rsidRDefault="001E1382" w:rsidP="001E1382">
            <w:pPr>
              <w:jc w:val="center"/>
              <w:rPr>
                <w:rFonts w:asciiTheme="majorBidi" w:hAnsiTheme="majorBidi" w:cstheme="majorBidi"/>
                <w:b/>
                <w:bCs/>
                <w:color w:val="000000" w:themeColor="text1"/>
                <w:sz w:val="24"/>
                <w:szCs w:val="24"/>
                <w:lang w:eastAsia="en-AU" w:bidi="ar-IQ"/>
              </w:rPr>
            </w:pPr>
            <w:r w:rsidRPr="00762824">
              <w:rPr>
                <w:rFonts w:asciiTheme="majorBidi" w:hAnsiTheme="majorBidi" w:cstheme="majorBidi"/>
                <w:b/>
                <w:bCs/>
                <w:color w:val="000000" w:themeColor="text1"/>
                <w:sz w:val="24"/>
                <w:szCs w:val="24"/>
                <w:lang w:bidi="ar-IQ"/>
              </w:rPr>
              <w:t xml:space="preserve">&lt;0.001 </w:t>
            </w:r>
            <w:r w:rsidRPr="00762824">
              <w:rPr>
                <w:rFonts w:asciiTheme="majorBidi" w:hAnsiTheme="majorBidi" w:cstheme="majorBidi"/>
                <w:color w:val="000000" w:themeColor="text1"/>
                <w:sz w:val="24"/>
                <w:szCs w:val="24"/>
              </w:rPr>
              <w:t>*</w:t>
            </w:r>
          </w:p>
        </w:tc>
      </w:tr>
      <w:tr w:rsidR="00605A1C" w:rsidRPr="00762824" w14:paraId="79E9EB5B" w14:textId="77777777" w:rsidTr="00605A1C">
        <w:trPr>
          <w:trHeight w:val="349"/>
        </w:trPr>
        <w:tc>
          <w:tcPr>
            <w:tcW w:w="2071" w:type="dxa"/>
          </w:tcPr>
          <w:p w14:paraId="72E1E365" w14:textId="77777777" w:rsidR="00605A1C" w:rsidRPr="00762824" w:rsidRDefault="00605A1C" w:rsidP="00605A1C">
            <w:pPr>
              <w:autoSpaceDE w:val="0"/>
              <w:autoSpaceDN w:val="0"/>
              <w:adjustRightInd w:val="0"/>
              <w:ind w:left="60" w:right="60"/>
              <w:jc w:val="center"/>
              <w:rPr>
                <w:rFonts w:asciiTheme="majorBidi" w:hAnsiTheme="majorBidi" w:cstheme="majorBidi"/>
                <w:b/>
                <w:bCs/>
                <w:sz w:val="24"/>
                <w:szCs w:val="24"/>
              </w:rPr>
            </w:pPr>
            <w:r w:rsidRPr="00762824">
              <w:rPr>
                <w:rFonts w:asciiTheme="majorBidi" w:hAnsiTheme="majorBidi" w:cstheme="majorBidi"/>
                <w:b/>
                <w:bCs/>
                <w:sz w:val="24"/>
                <w:szCs w:val="24"/>
              </w:rPr>
              <w:lastRenderedPageBreak/>
              <w:t>Progesterone</w:t>
            </w:r>
          </w:p>
        </w:tc>
        <w:tc>
          <w:tcPr>
            <w:tcW w:w="1866" w:type="dxa"/>
          </w:tcPr>
          <w:p w14:paraId="5EDD7E9E" w14:textId="77777777" w:rsidR="00605A1C" w:rsidRPr="00762824" w:rsidRDefault="00605A1C" w:rsidP="006E0BE3">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0.5</w:t>
            </w:r>
            <w:r w:rsidR="006E0BE3" w:rsidRPr="00762824">
              <w:rPr>
                <w:rFonts w:asciiTheme="majorBidi" w:hAnsiTheme="majorBidi" w:cstheme="majorBidi"/>
                <w:color w:val="010205"/>
                <w:sz w:val="24"/>
                <w:szCs w:val="24"/>
                <w:lang w:val="en-GB"/>
              </w:rPr>
              <w:t>8</w:t>
            </w:r>
            <w:r w:rsidRPr="00762824">
              <w:rPr>
                <w:rFonts w:asciiTheme="majorBidi" w:hAnsiTheme="majorBidi" w:cstheme="majorBidi"/>
                <w:color w:val="010205"/>
                <w:sz w:val="24"/>
                <w:szCs w:val="24"/>
                <w:lang w:val="en-GB"/>
              </w:rPr>
              <w:t xml:space="preserve"> ± 0.1</w:t>
            </w:r>
            <w:r w:rsidR="006E0BE3" w:rsidRPr="00762824">
              <w:rPr>
                <w:rFonts w:asciiTheme="majorBidi" w:hAnsiTheme="majorBidi" w:cstheme="majorBidi"/>
                <w:color w:val="010205"/>
                <w:sz w:val="24"/>
                <w:szCs w:val="24"/>
                <w:lang w:val="en-GB"/>
              </w:rPr>
              <w:t>8</w:t>
            </w:r>
          </w:p>
        </w:tc>
        <w:tc>
          <w:tcPr>
            <w:tcW w:w="1883" w:type="dxa"/>
          </w:tcPr>
          <w:p w14:paraId="724F6703" w14:textId="77777777" w:rsidR="00605A1C" w:rsidRPr="00762824" w:rsidRDefault="00605A1C" w:rsidP="00605A1C">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0.51 ± 0.14</w:t>
            </w:r>
          </w:p>
        </w:tc>
        <w:tc>
          <w:tcPr>
            <w:tcW w:w="1968" w:type="dxa"/>
          </w:tcPr>
          <w:p w14:paraId="6B2FC257" w14:textId="77777777" w:rsidR="00605A1C" w:rsidRPr="00762824" w:rsidRDefault="00605A1C" w:rsidP="00605A1C">
            <w:pPr>
              <w:jc w:val="center"/>
              <w:rPr>
                <w:rFonts w:asciiTheme="majorBidi" w:hAnsiTheme="majorBidi" w:cstheme="majorBidi"/>
                <w:color w:val="010205"/>
                <w:sz w:val="24"/>
                <w:szCs w:val="24"/>
              </w:rPr>
            </w:pPr>
            <w:r w:rsidRPr="00762824">
              <w:rPr>
                <w:rFonts w:asciiTheme="majorBidi" w:hAnsiTheme="majorBidi" w:cstheme="majorBidi"/>
                <w:color w:val="010205"/>
                <w:sz w:val="24"/>
                <w:szCs w:val="24"/>
                <w:lang w:val="en-GB"/>
              </w:rPr>
              <w:t>0.58 ± 0.22</w:t>
            </w:r>
          </w:p>
        </w:tc>
        <w:tc>
          <w:tcPr>
            <w:tcW w:w="1436" w:type="dxa"/>
          </w:tcPr>
          <w:p w14:paraId="223F854F" w14:textId="77777777" w:rsidR="00605A1C" w:rsidRPr="00762824" w:rsidRDefault="00605A1C" w:rsidP="00605A1C">
            <w:pPr>
              <w:jc w:val="center"/>
              <w:rPr>
                <w:rFonts w:asciiTheme="majorBidi" w:hAnsiTheme="majorBidi" w:cstheme="majorBidi"/>
                <w:color w:val="000000" w:themeColor="text1"/>
                <w:sz w:val="24"/>
                <w:szCs w:val="24"/>
                <w:lang w:eastAsia="en-AU" w:bidi="ar-IQ"/>
              </w:rPr>
            </w:pPr>
            <w:r w:rsidRPr="00762824">
              <w:rPr>
                <w:rFonts w:asciiTheme="majorBidi" w:hAnsiTheme="majorBidi" w:cstheme="majorBidi"/>
                <w:color w:val="000000" w:themeColor="text1"/>
                <w:sz w:val="24"/>
                <w:szCs w:val="24"/>
                <w:lang w:eastAsia="en-AU" w:bidi="ar-IQ"/>
              </w:rPr>
              <w:t xml:space="preserve">0.260 </w:t>
            </w:r>
          </w:p>
        </w:tc>
      </w:tr>
    </w:tbl>
    <w:bookmarkEnd w:id="1"/>
    <w:p w14:paraId="1DF70316" w14:textId="77777777" w:rsidR="00336DA7" w:rsidRPr="00705066" w:rsidRDefault="00336DA7" w:rsidP="00336DA7">
      <w:pPr>
        <w:autoSpaceDE w:val="0"/>
        <w:autoSpaceDN w:val="0"/>
        <w:adjustRightInd w:val="0"/>
        <w:spacing w:after="0" w:line="240" w:lineRule="auto"/>
        <w:rPr>
          <w:rFonts w:asciiTheme="majorBidi" w:hAnsiTheme="majorBidi" w:cstheme="majorBidi"/>
          <w:sz w:val="20"/>
          <w:szCs w:val="20"/>
        </w:rPr>
      </w:pPr>
      <w:r w:rsidRPr="00705066">
        <w:rPr>
          <w:rFonts w:asciiTheme="majorBidi" w:hAnsiTheme="majorBidi" w:cstheme="majorBidi"/>
          <w:sz w:val="20"/>
          <w:szCs w:val="20"/>
        </w:rPr>
        <w:t xml:space="preserve">n= number of </w:t>
      </w:r>
      <w:r>
        <w:rPr>
          <w:rFonts w:asciiTheme="majorBidi" w:hAnsiTheme="majorBidi" w:cstheme="majorBidi"/>
          <w:sz w:val="20"/>
          <w:szCs w:val="20"/>
        </w:rPr>
        <w:t>patients,</w:t>
      </w:r>
      <w:r w:rsidRPr="00705066">
        <w:rPr>
          <w:rFonts w:asciiTheme="majorBidi" w:hAnsiTheme="majorBidi" w:cstheme="majorBidi"/>
          <w:sz w:val="20"/>
          <w:szCs w:val="20"/>
        </w:rPr>
        <w:t xml:space="preserve"> </w:t>
      </w:r>
      <w:r>
        <w:rPr>
          <w:rFonts w:asciiTheme="majorBidi" w:hAnsiTheme="majorBidi" w:cstheme="majorBidi"/>
          <w:sz w:val="20"/>
          <w:szCs w:val="20"/>
        </w:rPr>
        <w:t xml:space="preserve">p&lt;0.05 and </w:t>
      </w:r>
      <w:r w:rsidRPr="00705066">
        <w:rPr>
          <w:rFonts w:asciiTheme="majorBidi" w:hAnsiTheme="majorBidi" w:cstheme="majorBidi"/>
          <w:sz w:val="20"/>
          <w:szCs w:val="20"/>
        </w:rPr>
        <w:t xml:space="preserve">* </w:t>
      </w:r>
      <w:r>
        <w:rPr>
          <w:rFonts w:asciiTheme="majorBidi" w:hAnsiTheme="majorBidi" w:cstheme="majorBidi"/>
          <w:sz w:val="20"/>
          <w:szCs w:val="20"/>
        </w:rPr>
        <w:t xml:space="preserve">is </w:t>
      </w:r>
      <w:r w:rsidRPr="00336DA7">
        <w:rPr>
          <w:rFonts w:asciiTheme="majorBidi" w:eastAsia="Times New Roman" w:hAnsiTheme="majorBidi" w:cstheme="majorBidi"/>
          <w:sz w:val="20"/>
          <w:szCs w:val="20"/>
        </w:rPr>
        <w:t xml:space="preserve">indicating a significant </w:t>
      </w:r>
      <w:r>
        <w:rPr>
          <w:rFonts w:asciiTheme="majorBidi" w:hAnsiTheme="majorBidi" w:cstheme="majorBidi"/>
          <w:sz w:val="20"/>
          <w:szCs w:val="20"/>
        </w:rPr>
        <w:t xml:space="preserve">and </w:t>
      </w:r>
      <w:r w:rsidRPr="00705066">
        <w:rPr>
          <w:rFonts w:asciiTheme="majorBidi" w:hAnsiTheme="majorBidi" w:cstheme="majorBidi"/>
          <w:sz w:val="20"/>
          <w:szCs w:val="20"/>
        </w:rPr>
        <w:t>mean ± SD</w:t>
      </w:r>
      <w:r>
        <w:rPr>
          <w:rFonts w:asciiTheme="majorBidi" w:hAnsiTheme="majorBidi" w:cstheme="majorBidi"/>
          <w:sz w:val="20"/>
          <w:szCs w:val="20"/>
        </w:rPr>
        <w:t xml:space="preserve">. </w:t>
      </w:r>
    </w:p>
    <w:p w14:paraId="283E34BE" w14:textId="77777777" w:rsidR="003D7B32" w:rsidRPr="00762824" w:rsidRDefault="003D7B32" w:rsidP="004038A0">
      <w:pPr>
        <w:spacing w:after="0" w:line="240" w:lineRule="auto"/>
        <w:rPr>
          <w:rFonts w:asciiTheme="majorBidi" w:eastAsia="Times New Roman" w:hAnsiTheme="majorBidi" w:cstheme="majorBidi"/>
          <w:sz w:val="24"/>
          <w:szCs w:val="24"/>
        </w:rPr>
      </w:pPr>
    </w:p>
    <w:p w14:paraId="757A1704" w14:textId="77777777" w:rsidR="007B640E" w:rsidRDefault="007B640E" w:rsidP="003D7B32">
      <w:pPr>
        <w:autoSpaceDE w:val="0"/>
        <w:autoSpaceDN w:val="0"/>
        <w:adjustRightInd w:val="0"/>
        <w:spacing w:after="0" w:line="360" w:lineRule="auto"/>
        <w:jc w:val="both"/>
        <w:rPr>
          <w:rFonts w:asciiTheme="majorBidi" w:hAnsiTheme="majorBidi" w:cstheme="majorBidi"/>
          <w:b/>
          <w:bCs/>
          <w:sz w:val="24"/>
          <w:szCs w:val="24"/>
        </w:rPr>
      </w:pPr>
    </w:p>
    <w:p w14:paraId="67D1E4EB" w14:textId="77777777" w:rsidR="007B640E" w:rsidRDefault="007B640E" w:rsidP="003D7B32">
      <w:pPr>
        <w:autoSpaceDE w:val="0"/>
        <w:autoSpaceDN w:val="0"/>
        <w:adjustRightInd w:val="0"/>
        <w:spacing w:after="0" w:line="360" w:lineRule="auto"/>
        <w:jc w:val="both"/>
        <w:rPr>
          <w:rFonts w:asciiTheme="majorBidi" w:hAnsiTheme="majorBidi" w:cstheme="majorBidi"/>
          <w:b/>
          <w:bCs/>
          <w:sz w:val="24"/>
          <w:szCs w:val="24"/>
        </w:rPr>
      </w:pPr>
    </w:p>
    <w:p w14:paraId="7A47FDEF" w14:textId="77777777" w:rsidR="00EF0FC8" w:rsidRPr="00762824" w:rsidRDefault="00EF0FC8" w:rsidP="003D7B32">
      <w:pPr>
        <w:autoSpaceDE w:val="0"/>
        <w:autoSpaceDN w:val="0"/>
        <w:adjustRightInd w:val="0"/>
        <w:spacing w:after="0" w:line="360" w:lineRule="auto"/>
        <w:jc w:val="both"/>
        <w:rPr>
          <w:rFonts w:asciiTheme="majorBidi" w:hAnsiTheme="majorBidi" w:cstheme="majorBidi"/>
          <w:sz w:val="24"/>
          <w:szCs w:val="24"/>
        </w:rPr>
      </w:pPr>
      <w:r w:rsidRPr="00762824">
        <w:rPr>
          <w:rFonts w:asciiTheme="majorBidi" w:hAnsiTheme="majorBidi" w:cstheme="majorBidi"/>
          <w:b/>
          <w:bCs/>
          <w:sz w:val="24"/>
          <w:szCs w:val="24"/>
        </w:rPr>
        <w:t xml:space="preserve">Discussion </w:t>
      </w:r>
    </w:p>
    <w:p w14:paraId="36E5AF9D" w14:textId="77777777" w:rsidR="00967C57" w:rsidRPr="00762824" w:rsidRDefault="00967C57" w:rsidP="008D1817">
      <w:pPr>
        <w:jc w:val="both"/>
        <w:rPr>
          <w:rFonts w:asciiTheme="majorBidi" w:eastAsia="Times New Roman" w:hAnsiTheme="majorBidi" w:cstheme="majorBidi"/>
          <w:sz w:val="24"/>
          <w:szCs w:val="24"/>
          <w:rtl/>
        </w:rPr>
      </w:pPr>
      <w:r w:rsidRPr="00762824">
        <w:rPr>
          <w:rFonts w:asciiTheme="majorBidi" w:hAnsiTheme="majorBidi" w:cstheme="majorBidi"/>
          <w:sz w:val="24"/>
          <w:szCs w:val="24"/>
        </w:rPr>
        <w:t xml:space="preserve">In line with earlier studies, the current analysis finds a substantial correlation between VDR rs731236 and PMO risk. This study </w:t>
      </w:r>
      <w:r w:rsidR="0068027E" w:rsidRPr="00762824">
        <w:rPr>
          <w:rFonts w:asciiTheme="majorBidi" w:hAnsiTheme="majorBidi" w:cstheme="majorBidi"/>
          <w:sz w:val="24"/>
          <w:szCs w:val="24"/>
        </w:rPr>
        <w:t>confirms</w:t>
      </w:r>
      <w:r w:rsidRPr="00762824">
        <w:rPr>
          <w:rFonts w:asciiTheme="majorBidi" w:hAnsiTheme="majorBidi" w:cstheme="majorBidi"/>
          <w:sz w:val="24"/>
          <w:szCs w:val="24"/>
        </w:rPr>
        <w:t xml:space="preserve"> that the </w:t>
      </w:r>
      <w:r w:rsidR="0068027E" w:rsidRPr="00762824">
        <w:rPr>
          <w:rFonts w:asciiTheme="majorBidi" w:hAnsiTheme="majorBidi" w:cstheme="majorBidi"/>
          <w:color w:val="222222"/>
          <w:sz w:val="24"/>
          <w:szCs w:val="24"/>
          <w:shd w:val="clear" w:color="auto" w:fill="FFFFFF"/>
        </w:rPr>
        <w:t>VDR polymorphisms</w:t>
      </w:r>
      <w:r w:rsidR="0068027E" w:rsidRPr="00762824">
        <w:rPr>
          <w:rFonts w:asciiTheme="majorBidi" w:hAnsiTheme="majorBidi" w:cstheme="majorBidi"/>
          <w:i/>
          <w:iCs/>
          <w:color w:val="222222"/>
          <w:sz w:val="24"/>
          <w:szCs w:val="24"/>
          <w:shd w:val="clear" w:color="auto" w:fill="FFFFFF"/>
        </w:rPr>
        <w:t xml:space="preserve"> </w:t>
      </w:r>
      <w:r w:rsidR="0068027E" w:rsidRPr="00762824">
        <w:rPr>
          <w:rFonts w:asciiTheme="majorBidi" w:hAnsiTheme="majorBidi" w:cstheme="majorBidi"/>
          <w:color w:val="222222"/>
          <w:sz w:val="24"/>
          <w:szCs w:val="24"/>
          <w:shd w:val="clear" w:color="auto" w:fill="FFFFFF"/>
        </w:rPr>
        <w:t>rs731236</w:t>
      </w:r>
      <w:r w:rsidRPr="00762824">
        <w:rPr>
          <w:rFonts w:asciiTheme="majorBidi" w:hAnsiTheme="majorBidi" w:cstheme="majorBidi"/>
          <w:sz w:val="24"/>
          <w:szCs w:val="24"/>
        </w:rPr>
        <w:t xml:space="preserve"> was significantly associated with increased risk of osteoporosis, independent of age and BMI. It also found that the VDR gene variant rs731236 had a significant effect on bone mineral density and was associated with the risk of osteoporosis in postmenopausal Iraqi women as well as in Saudi </w:t>
      </w:r>
      <w:r w:rsidR="0068027E" w:rsidRPr="00762824">
        <w:rPr>
          <w:rFonts w:asciiTheme="majorBidi" w:hAnsiTheme="majorBidi" w:cstheme="majorBidi"/>
          <w:sz w:val="24"/>
          <w:szCs w:val="24"/>
        </w:rPr>
        <w:t>Arabia [18]</w:t>
      </w:r>
      <w:r w:rsidRPr="00762824">
        <w:rPr>
          <w:rFonts w:asciiTheme="majorBidi" w:hAnsiTheme="majorBidi" w:cstheme="majorBidi"/>
          <w:sz w:val="24"/>
          <w:szCs w:val="24"/>
        </w:rPr>
        <w:t>. Strongly correlated VDR SNPs with BMD could be employed as genetic markers for disease identification and screening. Early detection of PMO can help treat the condition and slow its progression.</w:t>
      </w:r>
      <w:r w:rsidRPr="00762824">
        <w:rPr>
          <w:rFonts w:asciiTheme="majorBidi" w:hAnsiTheme="majorBidi" w:cstheme="majorBidi"/>
          <w:sz w:val="24"/>
          <w:szCs w:val="24"/>
          <w:rtl/>
        </w:rPr>
        <w:t xml:space="preserve"> </w:t>
      </w:r>
      <w:r w:rsidRPr="00762824">
        <w:rPr>
          <w:rFonts w:asciiTheme="majorBidi" w:hAnsiTheme="majorBidi" w:cstheme="majorBidi"/>
          <w:sz w:val="24"/>
          <w:szCs w:val="24"/>
        </w:rPr>
        <w:t xml:space="preserve">Since polymorphisms in this nuclear receptor gene are crucial to the etiology of the disease, </w:t>
      </w:r>
      <w:r w:rsidR="0068027E" w:rsidRPr="00762824">
        <w:rPr>
          <w:rFonts w:asciiTheme="majorBidi" w:eastAsia="Times New Roman" w:hAnsiTheme="majorBidi" w:cstheme="majorBidi"/>
          <w:sz w:val="24"/>
          <w:szCs w:val="24"/>
        </w:rPr>
        <w:t xml:space="preserve">in postmenopausal Iraqi women with osteoporosis, </w:t>
      </w:r>
      <w:r w:rsidR="00373295" w:rsidRPr="007B640E">
        <w:rPr>
          <w:rFonts w:asciiTheme="majorBidi" w:eastAsia="Times New Roman" w:hAnsiTheme="majorBidi" w:cstheme="majorBidi"/>
          <w:sz w:val="24"/>
          <w:szCs w:val="24"/>
        </w:rPr>
        <w:t>as</w:t>
      </w:r>
      <w:r w:rsidR="007B640E" w:rsidRPr="007B640E">
        <w:rPr>
          <w:rFonts w:asciiTheme="majorBidi" w:eastAsia="Times New Roman" w:hAnsiTheme="majorBidi" w:cstheme="majorBidi"/>
          <w:sz w:val="24"/>
          <w:szCs w:val="24"/>
        </w:rPr>
        <w:t xml:space="preserve"> previously described, the presented results [19] show that the rs731236 polymorphism in the VDR gene is strongly associated with an increased risk of osteoporosis. Therefore, </w:t>
      </w:r>
      <w:r w:rsidR="008D1817" w:rsidRPr="008D1817">
        <w:rPr>
          <w:rFonts w:asciiTheme="majorBidi" w:eastAsia="Times New Roman" w:hAnsiTheme="majorBidi" w:cstheme="majorBidi"/>
          <w:sz w:val="24"/>
          <w:szCs w:val="24"/>
        </w:rPr>
        <w:t>in this study, as the results showed, we evaluated the effect of genetic variations in the gene (VDR rs731236) as a genetic determinant through which bone mineral density and osteoporosis are determined.</w:t>
      </w:r>
      <w:r w:rsidRPr="00762824">
        <w:rPr>
          <w:rFonts w:asciiTheme="majorBidi" w:hAnsiTheme="majorBidi" w:cstheme="majorBidi"/>
          <w:sz w:val="24"/>
          <w:szCs w:val="24"/>
        </w:rPr>
        <w:t xml:space="preserve"> </w:t>
      </w:r>
    </w:p>
    <w:p w14:paraId="248EE231" w14:textId="77777777" w:rsidR="00967C57" w:rsidRPr="00762824" w:rsidRDefault="00967C57" w:rsidP="00967C57">
      <w:pPr>
        <w:autoSpaceDE w:val="0"/>
        <w:autoSpaceDN w:val="0"/>
        <w:adjustRightInd w:val="0"/>
        <w:spacing w:after="0" w:line="360" w:lineRule="auto"/>
        <w:ind w:firstLine="720"/>
        <w:jc w:val="both"/>
        <w:rPr>
          <w:rFonts w:asciiTheme="majorBidi" w:hAnsiTheme="majorBidi" w:cstheme="majorBidi"/>
          <w:sz w:val="24"/>
          <w:szCs w:val="24"/>
          <w:rtl/>
        </w:rPr>
      </w:pPr>
    </w:p>
    <w:p w14:paraId="18884892" w14:textId="77777777" w:rsidR="00967C57" w:rsidRPr="00762824" w:rsidRDefault="00967C57" w:rsidP="00C3109A">
      <w:pPr>
        <w:ind w:firstLine="720"/>
        <w:jc w:val="both"/>
        <w:rPr>
          <w:rFonts w:asciiTheme="majorBidi" w:hAnsiTheme="majorBidi" w:cstheme="majorBidi"/>
          <w:sz w:val="24"/>
          <w:szCs w:val="24"/>
        </w:rPr>
      </w:pPr>
      <w:r w:rsidRPr="00762824">
        <w:rPr>
          <w:rFonts w:asciiTheme="majorBidi" w:hAnsiTheme="majorBidi" w:cstheme="majorBidi"/>
          <w:sz w:val="24"/>
          <w:szCs w:val="24"/>
        </w:rPr>
        <w:t>The distribution and proportion of people with (</w:t>
      </w:r>
      <w:proofErr w:type="spellStart"/>
      <w:r w:rsidRPr="00762824">
        <w:rPr>
          <w:rFonts w:asciiTheme="majorBidi" w:hAnsiTheme="majorBidi" w:cstheme="majorBidi"/>
          <w:sz w:val="24"/>
          <w:szCs w:val="24"/>
        </w:rPr>
        <w:t>rs</w:t>
      </w:r>
      <w:proofErr w:type="spellEnd"/>
      <w:r w:rsidRPr="00762824">
        <w:rPr>
          <w:rFonts w:asciiTheme="majorBidi" w:hAnsiTheme="majorBidi" w:cstheme="majorBidi"/>
          <w:sz w:val="24"/>
          <w:szCs w:val="24"/>
        </w:rPr>
        <w:t xml:space="preserve"> 731236) in this study are different </w:t>
      </w:r>
      <w:r w:rsidR="00C3109A">
        <w:rPr>
          <w:rFonts w:asciiTheme="majorBidi" w:hAnsiTheme="majorBidi" w:cstheme="majorBidi"/>
          <w:sz w:val="24"/>
          <w:szCs w:val="24"/>
        </w:rPr>
        <w:t xml:space="preserve">based on the </w:t>
      </w:r>
      <w:r w:rsidR="00C3109A" w:rsidRPr="00762824">
        <w:rPr>
          <w:rFonts w:asciiTheme="majorBidi" w:hAnsiTheme="majorBidi" w:cstheme="majorBidi"/>
          <w:sz w:val="24"/>
          <w:szCs w:val="24"/>
        </w:rPr>
        <w:t>prediction</w:t>
      </w:r>
      <w:r w:rsidR="00C3109A">
        <w:rPr>
          <w:rFonts w:asciiTheme="majorBidi" w:hAnsiTheme="majorBidi" w:cstheme="majorBidi"/>
          <w:sz w:val="24"/>
          <w:szCs w:val="24"/>
        </w:rPr>
        <w:t>s</w:t>
      </w:r>
      <w:r w:rsidRPr="00762824">
        <w:rPr>
          <w:rFonts w:asciiTheme="majorBidi" w:hAnsiTheme="majorBidi" w:cstheme="majorBidi"/>
          <w:sz w:val="24"/>
          <w:szCs w:val="24"/>
        </w:rPr>
        <w:t xml:space="preserve"> </w:t>
      </w:r>
      <w:r w:rsidR="00C3109A" w:rsidRPr="00762824">
        <w:rPr>
          <w:rFonts w:asciiTheme="majorBidi" w:hAnsiTheme="majorBidi" w:cstheme="majorBidi"/>
          <w:sz w:val="24"/>
          <w:szCs w:val="24"/>
        </w:rPr>
        <w:t xml:space="preserve">by </w:t>
      </w:r>
      <w:r w:rsidR="00C3109A">
        <w:rPr>
          <w:rFonts w:asciiTheme="majorBidi" w:hAnsiTheme="majorBidi" w:cstheme="majorBidi"/>
          <w:sz w:val="24"/>
          <w:szCs w:val="24"/>
        </w:rPr>
        <w:t>(</w:t>
      </w:r>
      <w:r w:rsidR="00C3109A" w:rsidRPr="00762824">
        <w:rPr>
          <w:rFonts w:asciiTheme="majorBidi" w:hAnsiTheme="majorBidi" w:cstheme="majorBidi"/>
          <w:sz w:val="24"/>
          <w:szCs w:val="24"/>
        </w:rPr>
        <w:t>Hardy</w:t>
      </w:r>
      <w:r w:rsidRPr="00762824">
        <w:rPr>
          <w:rFonts w:asciiTheme="majorBidi" w:hAnsiTheme="majorBidi" w:cstheme="majorBidi"/>
          <w:sz w:val="24"/>
          <w:szCs w:val="24"/>
        </w:rPr>
        <w:t xml:space="preserve">-Weinberg </w:t>
      </w:r>
      <w:r w:rsidR="00C3109A" w:rsidRPr="00762824">
        <w:rPr>
          <w:rFonts w:asciiTheme="majorBidi" w:hAnsiTheme="majorBidi" w:cstheme="majorBidi"/>
          <w:sz w:val="24"/>
          <w:szCs w:val="24"/>
        </w:rPr>
        <w:t>equilibrium</w:t>
      </w:r>
      <w:r w:rsidR="00C3109A">
        <w:rPr>
          <w:rFonts w:asciiTheme="majorBidi" w:hAnsiTheme="majorBidi" w:cstheme="majorBidi"/>
          <w:sz w:val="24"/>
          <w:szCs w:val="24"/>
        </w:rPr>
        <w:t xml:space="preserve">). </w:t>
      </w:r>
      <w:r w:rsidR="00373295" w:rsidRPr="00373295">
        <w:rPr>
          <w:rFonts w:asciiTheme="majorBidi" w:hAnsiTheme="majorBidi" w:cstheme="majorBidi"/>
          <w:sz w:val="24"/>
          <w:szCs w:val="24"/>
        </w:rPr>
        <w:t xml:space="preserve">The </w:t>
      </w:r>
      <w:r w:rsidR="008D1817">
        <w:rPr>
          <w:rFonts w:asciiTheme="majorBidi" w:hAnsiTheme="majorBidi" w:cstheme="majorBidi"/>
          <w:sz w:val="24"/>
          <w:szCs w:val="24"/>
        </w:rPr>
        <w:t>noted</w:t>
      </w:r>
      <w:r w:rsidR="00373295" w:rsidRPr="00373295">
        <w:rPr>
          <w:rFonts w:asciiTheme="majorBidi" w:hAnsiTheme="majorBidi" w:cstheme="majorBidi"/>
          <w:sz w:val="24"/>
          <w:szCs w:val="24"/>
        </w:rPr>
        <w:t xml:space="preserve"> numbers in the results versus the expected numbers in the statistic were as follows: TT, CC and TC (31, 25.3; 10, 4.6; 9, 20.5) respectively.</w:t>
      </w:r>
      <w:r w:rsidR="00BB31A7" w:rsidRPr="00762824">
        <w:rPr>
          <w:rFonts w:asciiTheme="majorBidi" w:eastAsia="Times New Roman" w:hAnsiTheme="majorBidi" w:cstheme="majorBidi"/>
          <w:sz w:val="24"/>
          <w:szCs w:val="24"/>
        </w:rPr>
        <w:t xml:space="preserve"> </w:t>
      </w:r>
      <w:r w:rsidRPr="00762824">
        <w:rPr>
          <w:rFonts w:asciiTheme="majorBidi" w:hAnsiTheme="majorBidi" w:cstheme="majorBidi"/>
          <w:sz w:val="24"/>
          <w:szCs w:val="24"/>
        </w:rPr>
        <w:t xml:space="preserve">Another study found that this was statistically significant [20]. </w:t>
      </w:r>
      <w:r w:rsidR="00814FF0" w:rsidRPr="00762824">
        <w:rPr>
          <w:rFonts w:asciiTheme="majorBidi" w:hAnsiTheme="majorBidi" w:cstheme="majorBidi"/>
          <w:sz w:val="24"/>
          <w:szCs w:val="24"/>
        </w:rPr>
        <w:t>O</w:t>
      </w:r>
      <w:r w:rsidR="001364CF" w:rsidRPr="00762824">
        <w:rPr>
          <w:rFonts w:asciiTheme="majorBidi" w:hAnsiTheme="majorBidi" w:cstheme="majorBidi"/>
          <w:sz w:val="24"/>
          <w:szCs w:val="24"/>
        </w:rPr>
        <w:t xml:space="preserve">ur findings agree with a study </w:t>
      </w:r>
      <w:r w:rsidRPr="00762824">
        <w:rPr>
          <w:rFonts w:asciiTheme="majorBidi" w:hAnsiTheme="majorBidi" w:cstheme="majorBidi"/>
          <w:sz w:val="24"/>
          <w:szCs w:val="24"/>
        </w:rPr>
        <w:t xml:space="preserve">in </w:t>
      </w:r>
      <w:r w:rsidR="001364CF" w:rsidRPr="00762824">
        <w:rPr>
          <w:rFonts w:asciiTheme="majorBidi" w:hAnsiTheme="majorBidi" w:cstheme="majorBidi"/>
          <w:sz w:val="24"/>
          <w:szCs w:val="24"/>
        </w:rPr>
        <w:t xml:space="preserve">in Belarusian women showing that the activity of various receptors can alter the pattern of vitamin D </w:t>
      </w:r>
      <w:r w:rsidRPr="00762824">
        <w:rPr>
          <w:rFonts w:asciiTheme="majorBidi" w:hAnsiTheme="majorBidi" w:cstheme="majorBidi"/>
          <w:sz w:val="24"/>
          <w:szCs w:val="24"/>
        </w:rPr>
        <w:t xml:space="preserve">-mediated gene activation, </w:t>
      </w:r>
      <w:r w:rsidR="001364CF" w:rsidRPr="00762824">
        <w:rPr>
          <w:rFonts w:asciiTheme="majorBidi" w:hAnsiTheme="majorBidi" w:cstheme="majorBidi"/>
          <w:sz w:val="24"/>
          <w:szCs w:val="24"/>
        </w:rPr>
        <w:t xml:space="preserve">impacting a range of enzymes involved </w:t>
      </w:r>
      <w:r w:rsidRPr="00762824">
        <w:rPr>
          <w:rFonts w:asciiTheme="majorBidi" w:hAnsiTheme="majorBidi" w:cstheme="majorBidi"/>
          <w:sz w:val="24"/>
          <w:szCs w:val="24"/>
        </w:rPr>
        <w:t xml:space="preserve">in </w:t>
      </w:r>
      <w:r w:rsidR="001364CF" w:rsidRPr="00762824">
        <w:rPr>
          <w:rFonts w:asciiTheme="majorBidi" w:hAnsiTheme="majorBidi" w:cstheme="majorBidi"/>
          <w:sz w:val="24"/>
          <w:szCs w:val="24"/>
        </w:rPr>
        <w:t xml:space="preserve">the formation and elimination of </w:t>
      </w:r>
      <w:r w:rsidRPr="00762824">
        <w:rPr>
          <w:rFonts w:asciiTheme="majorBidi" w:hAnsiTheme="majorBidi" w:cstheme="majorBidi"/>
          <w:sz w:val="24"/>
          <w:szCs w:val="24"/>
        </w:rPr>
        <w:t xml:space="preserve">25(OH)D. The </w:t>
      </w:r>
      <w:proofErr w:type="spellStart"/>
      <w:r w:rsidRPr="00762824">
        <w:rPr>
          <w:rFonts w:asciiTheme="majorBidi" w:hAnsiTheme="majorBidi" w:cstheme="majorBidi"/>
          <w:sz w:val="24"/>
          <w:szCs w:val="24"/>
        </w:rPr>
        <w:t>TaqI</w:t>
      </w:r>
      <w:proofErr w:type="spellEnd"/>
      <w:r w:rsidRPr="00762824">
        <w:rPr>
          <w:rFonts w:asciiTheme="majorBidi" w:hAnsiTheme="majorBidi" w:cstheme="majorBidi"/>
          <w:sz w:val="24"/>
          <w:szCs w:val="24"/>
        </w:rPr>
        <w:t xml:space="preserve"> 731236 variant showed the strongest correlation with BMD (</w:t>
      </w:r>
      <w:proofErr w:type="spellStart"/>
      <w:r w:rsidRPr="00762824">
        <w:rPr>
          <w:rFonts w:asciiTheme="majorBidi" w:hAnsiTheme="majorBidi" w:cstheme="majorBidi"/>
          <w:sz w:val="24"/>
          <w:szCs w:val="24"/>
        </w:rPr>
        <w:t>pFDR</w:t>
      </w:r>
      <w:proofErr w:type="spellEnd"/>
      <w:r w:rsidRPr="00762824">
        <w:rPr>
          <w:rFonts w:asciiTheme="majorBidi" w:hAnsiTheme="majorBidi" w:cstheme="majorBidi"/>
          <w:sz w:val="24"/>
          <w:szCs w:val="24"/>
        </w:rPr>
        <w:t xml:space="preserve"> = 0.0005 for LS and </w:t>
      </w:r>
      <w:proofErr w:type="spellStart"/>
      <w:r w:rsidRPr="00762824">
        <w:rPr>
          <w:rFonts w:asciiTheme="majorBidi" w:hAnsiTheme="majorBidi" w:cstheme="majorBidi"/>
          <w:sz w:val="24"/>
          <w:szCs w:val="24"/>
        </w:rPr>
        <w:t>pFDR</w:t>
      </w:r>
      <w:proofErr w:type="spellEnd"/>
      <w:r w:rsidRPr="00762824">
        <w:rPr>
          <w:rFonts w:asciiTheme="majorBidi" w:hAnsiTheme="majorBidi" w:cstheme="majorBidi"/>
          <w:sz w:val="24"/>
          <w:szCs w:val="24"/>
        </w:rPr>
        <w:t xml:space="preserve"> = 0.001 for FN) [21]. According to another study, women with gestational diabetes may have reduced vitamin D levels.</w:t>
      </w:r>
    </w:p>
    <w:p w14:paraId="3F54C98D" w14:textId="77777777" w:rsidR="00EF0FC8" w:rsidRPr="00762824" w:rsidRDefault="00EF0FC8" w:rsidP="001364CF">
      <w:pPr>
        <w:autoSpaceDE w:val="0"/>
        <w:autoSpaceDN w:val="0"/>
        <w:adjustRightInd w:val="0"/>
        <w:spacing w:after="0" w:line="360" w:lineRule="auto"/>
        <w:jc w:val="both"/>
        <w:rPr>
          <w:rFonts w:asciiTheme="majorBidi" w:hAnsiTheme="majorBidi" w:cstheme="majorBidi"/>
          <w:sz w:val="24"/>
          <w:szCs w:val="24"/>
        </w:rPr>
      </w:pPr>
    </w:p>
    <w:p w14:paraId="32C50F20" w14:textId="77777777" w:rsidR="00EF0FC8" w:rsidRPr="00762824" w:rsidRDefault="00EF0FC8" w:rsidP="001364CF">
      <w:pPr>
        <w:autoSpaceDE w:val="0"/>
        <w:autoSpaceDN w:val="0"/>
        <w:adjustRightInd w:val="0"/>
        <w:spacing w:after="0" w:line="360" w:lineRule="auto"/>
        <w:jc w:val="both"/>
        <w:rPr>
          <w:rFonts w:asciiTheme="majorBidi" w:hAnsiTheme="majorBidi" w:cstheme="majorBidi"/>
          <w:sz w:val="24"/>
          <w:szCs w:val="24"/>
        </w:rPr>
      </w:pPr>
    </w:p>
    <w:p w14:paraId="4CE1FD7D" w14:textId="01B4E6AC" w:rsidR="00911242" w:rsidRPr="00762824" w:rsidRDefault="00967C57" w:rsidP="00373295">
      <w:pPr>
        <w:ind w:firstLine="720"/>
        <w:jc w:val="both"/>
        <w:rPr>
          <w:rFonts w:asciiTheme="majorBidi" w:hAnsiTheme="majorBidi" w:cstheme="majorBidi"/>
          <w:sz w:val="24"/>
          <w:szCs w:val="24"/>
        </w:rPr>
      </w:pPr>
      <w:r w:rsidRPr="00762824">
        <w:rPr>
          <w:rFonts w:asciiTheme="majorBidi" w:hAnsiTheme="majorBidi" w:cstheme="majorBidi"/>
          <w:sz w:val="24"/>
          <w:szCs w:val="24"/>
        </w:rPr>
        <w:t xml:space="preserve">Type 2 diabetes was found to be significantly associated with </w:t>
      </w:r>
      <w:proofErr w:type="spellStart"/>
      <w:r w:rsidRPr="00762824">
        <w:rPr>
          <w:rFonts w:asciiTheme="majorBidi" w:hAnsiTheme="majorBidi" w:cstheme="majorBidi"/>
          <w:sz w:val="24"/>
          <w:szCs w:val="24"/>
        </w:rPr>
        <w:t>FokI</w:t>
      </w:r>
      <w:proofErr w:type="spellEnd"/>
      <w:r w:rsidRPr="00762824">
        <w:rPr>
          <w:rFonts w:asciiTheme="majorBidi" w:hAnsiTheme="majorBidi" w:cstheme="majorBidi"/>
          <w:sz w:val="24"/>
          <w:szCs w:val="24"/>
        </w:rPr>
        <w:t xml:space="preserve">, </w:t>
      </w:r>
      <w:proofErr w:type="spellStart"/>
      <w:r w:rsidRPr="00762824">
        <w:rPr>
          <w:rFonts w:asciiTheme="majorBidi" w:hAnsiTheme="majorBidi" w:cstheme="majorBidi"/>
          <w:sz w:val="24"/>
          <w:szCs w:val="24"/>
        </w:rPr>
        <w:t>TaqI</w:t>
      </w:r>
      <w:proofErr w:type="spellEnd"/>
      <w:r w:rsidRPr="00762824">
        <w:rPr>
          <w:rFonts w:asciiTheme="majorBidi" w:hAnsiTheme="majorBidi" w:cstheme="majorBidi"/>
          <w:sz w:val="24"/>
          <w:szCs w:val="24"/>
        </w:rPr>
        <w:t xml:space="preserve">, and </w:t>
      </w:r>
      <w:proofErr w:type="spellStart"/>
      <w:r w:rsidRPr="00762824">
        <w:rPr>
          <w:rFonts w:asciiTheme="majorBidi" w:hAnsiTheme="majorBidi" w:cstheme="majorBidi"/>
          <w:sz w:val="24"/>
          <w:szCs w:val="24"/>
        </w:rPr>
        <w:t>BsmI</w:t>
      </w:r>
      <w:proofErr w:type="spellEnd"/>
      <w:r w:rsidRPr="00762824">
        <w:rPr>
          <w:rFonts w:asciiTheme="majorBidi" w:hAnsiTheme="majorBidi" w:cstheme="majorBidi"/>
          <w:sz w:val="24"/>
          <w:szCs w:val="24"/>
        </w:rPr>
        <w:t xml:space="preserve"> polymorphisms in some subgroups, according to a prior review that compiled the findings of 47 case-control studies that were part of that meta-analysis [23]. However, the VDR </w:t>
      </w:r>
      <w:proofErr w:type="spellStart"/>
      <w:r w:rsidRPr="00762824">
        <w:rPr>
          <w:rFonts w:asciiTheme="majorBidi" w:hAnsiTheme="majorBidi" w:cstheme="majorBidi"/>
          <w:sz w:val="24"/>
          <w:szCs w:val="24"/>
        </w:rPr>
        <w:t>TaqI</w:t>
      </w:r>
      <w:proofErr w:type="spellEnd"/>
      <w:r w:rsidRPr="00762824">
        <w:rPr>
          <w:rFonts w:asciiTheme="majorBidi" w:hAnsiTheme="majorBidi" w:cstheme="majorBidi"/>
          <w:sz w:val="24"/>
          <w:szCs w:val="24"/>
        </w:rPr>
        <w:t xml:space="preserve"> polymorphism was found to be unrelated to the incidence of type 2 diabetes in our current investigation. Similar findings were made in a study conducted in the Iraqi community [24]</w:t>
      </w:r>
      <w:r w:rsidR="0058104D" w:rsidRPr="00762824">
        <w:rPr>
          <w:rFonts w:asciiTheme="majorBidi" w:hAnsiTheme="majorBidi" w:cstheme="majorBidi"/>
          <w:sz w:val="24"/>
          <w:szCs w:val="24"/>
        </w:rPr>
        <w:t>.</w:t>
      </w:r>
      <w:r w:rsidRPr="00762824">
        <w:rPr>
          <w:rFonts w:asciiTheme="majorBidi" w:hAnsiTheme="majorBidi" w:cstheme="majorBidi"/>
          <w:sz w:val="24"/>
          <w:szCs w:val="24"/>
        </w:rPr>
        <w:t xml:space="preserve"> </w:t>
      </w:r>
      <w:r w:rsidR="00373295" w:rsidRPr="00373295">
        <w:rPr>
          <w:rFonts w:asciiTheme="majorBidi" w:hAnsiTheme="majorBidi" w:cstheme="majorBidi"/>
          <w:sz w:val="24"/>
          <w:szCs w:val="24"/>
        </w:rPr>
        <w:t>In the previous Brasilia study [</w:t>
      </w:r>
      <w:proofErr w:type="gramStart"/>
      <w:r w:rsidR="00373295" w:rsidRPr="00373295">
        <w:rPr>
          <w:rFonts w:asciiTheme="majorBidi" w:hAnsiTheme="majorBidi" w:cstheme="majorBidi"/>
          <w:sz w:val="24"/>
          <w:szCs w:val="24"/>
        </w:rPr>
        <w:t>25]</w:t>
      </w:r>
      <w:r w:rsidR="009332C4">
        <w:rPr>
          <w:rFonts w:asciiTheme="majorBidi" w:hAnsiTheme="majorBidi" w:cstheme="majorBidi"/>
          <w:sz w:val="24"/>
          <w:szCs w:val="24"/>
        </w:rPr>
        <w:t>@</w:t>
      </w:r>
      <w:proofErr w:type="gramEnd"/>
      <w:r w:rsidR="00373295" w:rsidRPr="00373295">
        <w:rPr>
          <w:rFonts w:asciiTheme="majorBidi" w:hAnsiTheme="majorBidi" w:cstheme="majorBidi"/>
          <w:sz w:val="24"/>
          <w:szCs w:val="24"/>
        </w:rPr>
        <w:t xml:space="preserve">, the genotypic and allelic frequencies </w:t>
      </w:r>
      <w:r w:rsidR="00373295" w:rsidRPr="00373295">
        <w:rPr>
          <w:rFonts w:asciiTheme="majorBidi" w:hAnsiTheme="majorBidi" w:cstheme="majorBidi"/>
          <w:sz w:val="24"/>
          <w:szCs w:val="24"/>
        </w:rPr>
        <w:lastRenderedPageBreak/>
        <w:t>of VDR polymorphisms in the control group and the group with type 2 diabetes were not different.</w:t>
      </w:r>
    </w:p>
    <w:p w14:paraId="14C68D76" w14:textId="77777777" w:rsidR="0058104D" w:rsidRPr="00762824" w:rsidRDefault="0058104D" w:rsidP="0058104D">
      <w:pPr>
        <w:rPr>
          <w:rFonts w:asciiTheme="majorBidi" w:hAnsiTheme="majorBidi" w:cstheme="majorBidi"/>
          <w:sz w:val="24"/>
          <w:szCs w:val="24"/>
        </w:rPr>
      </w:pPr>
    </w:p>
    <w:p w14:paraId="202DB4AC" w14:textId="77777777" w:rsidR="00B835F9" w:rsidRPr="00762824" w:rsidRDefault="00B835F9" w:rsidP="00B835F9">
      <w:pPr>
        <w:autoSpaceDE w:val="0"/>
        <w:autoSpaceDN w:val="0"/>
        <w:adjustRightInd w:val="0"/>
        <w:spacing w:after="0" w:line="360" w:lineRule="auto"/>
        <w:jc w:val="both"/>
        <w:rPr>
          <w:rFonts w:asciiTheme="majorBidi" w:hAnsiTheme="majorBidi" w:cstheme="majorBidi"/>
          <w:b/>
          <w:bCs/>
          <w:sz w:val="24"/>
          <w:szCs w:val="24"/>
        </w:rPr>
      </w:pPr>
      <w:r w:rsidRPr="00762824">
        <w:rPr>
          <w:rFonts w:asciiTheme="majorBidi" w:hAnsiTheme="majorBidi" w:cstheme="majorBidi"/>
          <w:b/>
          <w:bCs/>
          <w:sz w:val="24"/>
          <w:szCs w:val="24"/>
        </w:rPr>
        <w:t xml:space="preserve">Conclusion </w:t>
      </w:r>
    </w:p>
    <w:p w14:paraId="1478E4EE" w14:textId="77777777" w:rsidR="00967C57" w:rsidRPr="00762824" w:rsidRDefault="0058104D" w:rsidP="00967C57">
      <w:pPr>
        <w:autoSpaceDE w:val="0"/>
        <w:autoSpaceDN w:val="0"/>
        <w:adjustRightInd w:val="0"/>
        <w:spacing w:after="0" w:line="360" w:lineRule="auto"/>
        <w:jc w:val="both"/>
        <w:rPr>
          <w:rFonts w:asciiTheme="majorBidi" w:hAnsiTheme="majorBidi" w:cstheme="majorBidi"/>
          <w:sz w:val="24"/>
          <w:szCs w:val="24"/>
        </w:rPr>
      </w:pPr>
      <w:r w:rsidRPr="00762824">
        <w:rPr>
          <w:rFonts w:asciiTheme="majorBidi" w:hAnsiTheme="majorBidi" w:cstheme="majorBidi"/>
          <w:sz w:val="24"/>
          <w:szCs w:val="24"/>
        </w:rPr>
        <w:t xml:space="preserve">Osteoporosis is multifactorial in postmenopausal women, especially those with type 2 diabetes, according to researches. </w:t>
      </w:r>
      <w:r w:rsidR="00967C57" w:rsidRPr="00762824">
        <w:rPr>
          <w:rFonts w:asciiTheme="majorBidi" w:hAnsiTheme="majorBidi" w:cstheme="majorBidi"/>
          <w:sz w:val="24"/>
          <w:szCs w:val="24"/>
        </w:rPr>
        <w:t>The incidence and prevalence of osteoporosis are influenced by genetic polymorphisms, lifestyle choices, and metabolic disorders, making a thorough approach to risk assessment and therapy necessary. Early PMO diagnosis can help treat the condition and limit its progression. The etiology of the disease is significantly influenced by genetic variants (VDR rs731236) polymorphisms in the nuclear receptor gene.</w:t>
      </w:r>
    </w:p>
    <w:p w14:paraId="7CF34C02" w14:textId="77777777" w:rsidR="00E46C10" w:rsidRPr="00762824" w:rsidRDefault="00E46C10" w:rsidP="003D7B32">
      <w:pPr>
        <w:autoSpaceDE w:val="0"/>
        <w:autoSpaceDN w:val="0"/>
        <w:adjustRightInd w:val="0"/>
        <w:spacing w:after="0" w:line="360" w:lineRule="auto"/>
        <w:jc w:val="both"/>
        <w:rPr>
          <w:rFonts w:asciiTheme="majorBidi" w:hAnsiTheme="majorBidi" w:cstheme="majorBidi"/>
          <w:sz w:val="24"/>
          <w:szCs w:val="24"/>
        </w:rPr>
      </w:pPr>
    </w:p>
    <w:p w14:paraId="1CB7E8DB" w14:textId="77777777" w:rsidR="00B835F9" w:rsidRPr="00762824" w:rsidRDefault="00B835F9" w:rsidP="00B835F9">
      <w:pPr>
        <w:autoSpaceDE w:val="0"/>
        <w:autoSpaceDN w:val="0"/>
        <w:adjustRightInd w:val="0"/>
        <w:spacing w:after="0" w:line="360" w:lineRule="auto"/>
        <w:jc w:val="both"/>
        <w:rPr>
          <w:rFonts w:asciiTheme="majorBidi" w:hAnsiTheme="majorBidi" w:cstheme="majorBidi"/>
          <w:sz w:val="24"/>
          <w:szCs w:val="24"/>
        </w:rPr>
      </w:pPr>
    </w:p>
    <w:p w14:paraId="566CE469" w14:textId="77777777" w:rsidR="008372D3" w:rsidRPr="00762824" w:rsidRDefault="008372D3">
      <w:pPr>
        <w:rPr>
          <w:rFonts w:asciiTheme="majorBidi" w:hAnsiTheme="majorBidi" w:cstheme="majorBidi"/>
          <w:b/>
          <w:bCs/>
          <w:sz w:val="24"/>
          <w:szCs w:val="24"/>
        </w:rPr>
      </w:pPr>
      <w:r w:rsidRPr="00762824">
        <w:rPr>
          <w:rFonts w:asciiTheme="majorBidi" w:hAnsiTheme="majorBidi" w:cstheme="majorBidi"/>
          <w:b/>
          <w:bCs/>
          <w:sz w:val="24"/>
          <w:szCs w:val="24"/>
        </w:rPr>
        <w:t xml:space="preserve">References </w:t>
      </w:r>
    </w:p>
    <w:p w14:paraId="2A837B98" w14:textId="77777777" w:rsidR="008372D3" w:rsidRPr="00762824" w:rsidRDefault="008372D3" w:rsidP="003D7B32">
      <w:pPr>
        <w:pStyle w:val="ListParagraph"/>
        <w:numPr>
          <w:ilvl w:val="0"/>
          <w:numId w:val="1"/>
        </w:numPr>
        <w:ind w:left="360" w:hanging="270"/>
        <w:jc w:val="both"/>
        <w:rPr>
          <w:rFonts w:asciiTheme="majorBidi" w:hAnsiTheme="majorBidi" w:cstheme="majorBidi"/>
          <w:b/>
          <w:bCs/>
          <w:sz w:val="24"/>
          <w:szCs w:val="24"/>
        </w:rPr>
      </w:pPr>
      <w:proofErr w:type="spellStart"/>
      <w:r w:rsidRPr="00762824">
        <w:rPr>
          <w:rFonts w:asciiTheme="majorBidi" w:hAnsiTheme="majorBidi" w:cstheme="majorBidi"/>
          <w:color w:val="222222"/>
          <w:sz w:val="24"/>
          <w:szCs w:val="24"/>
          <w:shd w:val="clear" w:color="auto" w:fill="FFFFFF"/>
        </w:rPr>
        <w:t>Rachner</w:t>
      </w:r>
      <w:proofErr w:type="spellEnd"/>
      <w:r w:rsidRPr="00762824">
        <w:rPr>
          <w:rFonts w:asciiTheme="majorBidi" w:hAnsiTheme="majorBidi" w:cstheme="majorBidi"/>
          <w:color w:val="222222"/>
          <w:sz w:val="24"/>
          <w:szCs w:val="24"/>
          <w:shd w:val="clear" w:color="auto" w:fill="FFFFFF"/>
        </w:rPr>
        <w:t>, T. D., Khosla, S., &amp; Hofbauer, L. C. (2011). Osteoporosis: now and the future. </w:t>
      </w:r>
      <w:r w:rsidRPr="00762824">
        <w:rPr>
          <w:rFonts w:asciiTheme="majorBidi" w:hAnsiTheme="majorBidi" w:cstheme="majorBidi"/>
          <w:i/>
          <w:iCs/>
          <w:color w:val="222222"/>
          <w:sz w:val="24"/>
          <w:szCs w:val="24"/>
          <w:shd w:val="clear" w:color="auto" w:fill="FFFFFF"/>
        </w:rPr>
        <w:t>The Lancet</w:t>
      </w:r>
      <w:r w:rsidRPr="00762824">
        <w:rPr>
          <w:rFonts w:asciiTheme="majorBidi" w:hAnsiTheme="majorBidi" w:cstheme="majorBidi"/>
          <w:color w:val="222222"/>
          <w:sz w:val="24"/>
          <w:szCs w:val="24"/>
          <w:shd w:val="clear" w:color="auto" w:fill="FFFFFF"/>
        </w:rPr>
        <w:t>, </w:t>
      </w:r>
      <w:r w:rsidRPr="00762824">
        <w:rPr>
          <w:rFonts w:asciiTheme="majorBidi" w:hAnsiTheme="majorBidi" w:cstheme="majorBidi"/>
          <w:i/>
          <w:iCs/>
          <w:color w:val="222222"/>
          <w:sz w:val="24"/>
          <w:szCs w:val="24"/>
          <w:shd w:val="clear" w:color="auto" w:fill="FFFFFF"/>
        </w:rPr>
        <w:t>377</w:t>
      </w:r>
      <w:r w:rsidRPr="00762824">
        <w:rPr>
          <w:rFonts w:asciiTheme="majorBidi" w:hAnsiTheme="majorBidi" w:cstheme="majorBidi"/>
          <w:color w:val="222222"/>
          <w:sz w:val="24"/>
          <w:szCs w:val="24"/>
          <w:shd w:val="clear" w:color="auto" w:fill="FFFFFF"/>
        </w:rPr>
        <w:t>(9773), 1276-</w:t>
      </w:r>
      <w:r w:rsidR="006C68FE" w:rsidRPr="00762824">
        <w:rPr>
          <w:rFonts w:asciiTheme="majorBidi" w:hAnsiTheme="majorBidi" w:cstheme="majorBidi"/>
          <w:color w:val="222222"/>
          <w:sz w:val="24"/>
          <w:szCs w:val="24"/>
          <w:shd w:val="clear" w:color="auto" w:fill="FFFFFF"/>
        </w:rPr>
        <w:t>1287.</w:t>
      </w:r>
      <w:r w:rsidR="006C68FE" w:rsidRPr="00762824">
        <w:rPr>
          <w:rFonts w:asciiTheme="majorBidi" w:hAnsiTheme="majorBidi" w:cstheme="majorBidi"/>
          <w:color w:val="222222"/>
          <w:sz w:val="24"/>
          <w:szCs w:val="24"/>
          <w:shd w:val="clear" w:color="auto" w:fill="FFFFFF"/>
          <w:rtl/>
        </w:rPr>
        <w:t xml:space="preserve"> ‏</w:t>
      </w:r>
    </w:p>
    <w:p w14:paraId="11293BD5" w14:textId="77777777" w:rsidR="00D35D20" w:rsidRPr="00762824" w:rsidRDefault="00D35D20" w:rsidP="003D7B32">
      <w:pPr>
        <w:pStyle w:val="ListParagraph"/>
        <w:numPr>
          <w:ilvl w:val="0"/>
          <w:numId w:val="1"/>
        </w:numPr>
        <w:ind w:left="360" w:hanging="270"/>
        <w:jc w:val="both"/>
        <w:rPr>
          <w:rFonts w:asciiTheme="majorBidi" w:hAnsiTheme="majorBidi" w:cstheme="majorBidi"/>
          <w:b/>
          <w:bCs/>
          <w:sz w:val="24"/>
          <w:szCs w:val="24"/>
        </w:rPr>
      </w:pPr>
      <w:r w:rsidRPr="00762824">
        <w:rPr>
          <w:rFonts w:asciiTheme="majorBidi" w:hAnsiTheme="majorBidi" w:cstheme="majorBidi"/>
          <w:color w:val="222222"/>
          <w:sz w:val="24"/>
          <w:szCs w:val="24"/>
          <w:shd w:val="clear" w:color="auto" w:fill="FFFFFF"/>
        </w:rPr>
        <w:t xml:space="preserve">Peacock, M., Turner, C. H., </w:t>
      </w:r>
      <w:proofErr w:type="spellStart"/>
      <w:r w:rsidRPr="00762824">
        <w:rPr>
          <w:rFonts w:asciiTheme="majorBidi" w:hAnsiTheme="majorBidi" w:cstheme="majorBidi"/>
          <w:color w:val="222222"/>
          <w:sz w:val="24"/>
          <w:szCs w:val="24"/>
          <w:shd w:val="clear" w:color="auto" w:fill="FFFFFF"/>
        </w:rPr>
        <w:t>Econs</w:t>
      </w:r>
      <w:proofErr w:type="spellEnd"/>
      <w:r w:rsidRPr="00762824">
        <w:rPr>
          <w:rFonts w:asciiTheme="majorBidi" w:hAnsiTheme="majorBidi" w:cstheme="majorBidi"/>
          <w:color w:val="222222"/>
          <w:sz w:val="24"/>
          <w:szCs w:val="24"/>
          <w:shd w:val="clear" w:color="auto" w:fill="FFFFFF"/>
        </w:rPr>
        <w:t>, M. J., &amp; Foroud, T. (2002). Genetics of osteoporosis. </w:t>
      </w:r>
      <w:r w:rsidRPr="00762824">
        <w:rPr>
          <w:rFonts w:asciiTheme="majorBidi" w:hAnsiTheme="majorBidi" w:cstheme="majorBidi"/>
          <w:i/>
          <w:iCs/>
          <w:color w:val="222222"/>
          <w:sz w:val="24"/>
          <w:szCs w:val="24"/>
          <w:shd w:val="clear" w:color="auto" w:fill="FFFFFF"/>
        </w:rPr>
        <w:t>Endocrine reviews</w:t>
      </w:r>
      <w:r w:rsidRPr="00762824">
        <w:rPr>
          <w:rFonts w:asciiTheme="majorBidi" w:hAnsiTheme="majorBidi" w:cstheme="majorBidi"/>
          <w:color w:val="222222"/>
          <w:sz w:val="24"/>
          <w:szCs w:val="24"/>
          <w:shd w:val="clear" w:color="auto" w:fill="FFFFFF"/>
        </w:rPr>
        <w:t>, </w:t>
      </w:r>
      <w:r w:rsidRPr="00762824">
        <w:rPr>
          <w:rFonts w:asciiTheme="majorBidi" w:hAnsiTheme="majorBidi" w:cstheme="majorBidi"/>
          <w:i/>
          <w:iCs/>
          <w:color w:val="222222"/>
          <w:sz w:val="24"/>
          <w:szCs w:val="24"/>
          <w:shd w:val="clear" w:color="auto" w:fill="FFFFFF"/>
        </w:rPr>
        <w:t>23</w:t>
      </w:r>
      <w:r w:rsidRPr="00762824">
        <w:rPr>
          <w:rFonts w:asciiTheme="majorBidi" w:hAnsiTheme="majorBidi" w:cstheme="majorBidi"/>
          <w:color w:val="222222"/>
          <w:sz w:val="24"/>
          <w:szCs w:val="24"/>
          <w:shd w:val="clear" w:color="auto" w:fill="FFFFFF"/>
        </w:rPr>
        <w:t>(3), 303-</w:t>
      </w:r>
      <w:r w:rsidR="006C68FE" w:rsidRPr="00762824">
        <w:rPr>
          <w:rFonts w:asciiTheme="majorBidi" w:hAnsiTheme="majorBidi" w:cstheme="majorBidi"/>
          <w:color w:val="222222"/>
          <w:sz w:val="24"/>
          <w:szCs w:val="24"/>
          <w:shd w:val="clear" w:color="auto" w:fill="FFFFFF"/>
        </w:rPr>
        <w:t>326.</w:t>
      </w:r>
      <w:r w:rsidR="006C68FE" w:rsidRPr="00762824">
        <w:rPr>
          <w:rFonts w:asciiTheme="majorBidi" w:hAnsiTheme="majorBidi" w:cstheme="majorBidi"/>
          <w:color w:val="222222"/>
          <w:sz w:val="24"/>
          <w:szCs w:val="24"/>
          <w:shd w:val="clear" w:color="auto" w:fill="FFFFFF"/>
          <w:rtl/>
        </w:rPr>
        <w:t xml:space="preserve"> ‏</w:t>
      </w:r>
    </w:p>
    <w:p w14:paraId="75E90409" w14:textId="77777777" w:rsidR="00071CEB" w:rsidRPr="00762824" w:rsidRDefault="00071CEB" w:rsidP="003D7B32">
      <w:pPr>
        <w:pStyle w:val="ListParagraph"/>
        <w:widowControl w:val="0"/>
        <w:numPr>
          <w:ilvl w:val="0"/>
          <w:numId w:val="1"/>
        </w:numPr>
        <w:autoSpaceDE w:val="0"/>
        <w:autoSpaceDN w:val="0"/>
        <w:adjustRightInd w:val="0"/>
        <w:spacing w:before="241" w:after="0" w:line="240" w:lineRule="auto"/>
        <w:ind w:left="360" w:hanging="270"/>
        <w:contextualSpacing w:val="0"/>
        <w:jc w:val="both"/>
        <w:rPr>
          <w:rFonts w:asciiTheme="majorBidi" w:hAnsiTheme="majorBidi" w:cstheme="majorBidi"/>
          <w:noProof/>
          <w:sz w:val="24"/>
          <w:szCs w:val="24"/>
        </w:rPr>
      </w:pPr>
      <w:r w:rsidRPr="00762824">
        <w:rPr>
          <w:rFonts w:asciiTheme="majorBidi" w:hAnsiTheme="majorBidi" w:cstheme="majorBidi"/>
          <w:noProof/>
          <w:sz w:val="24"/>
          <w:szCs w:val="24"/>
        </w:rPr>
        <w:t xml:space="preserve">Ali, S.M. and Jebor, M.A. </w:t>
      </w:r>
      <w:r w:rsidRPr="00762824">
        <w:rPr>
          <w:rFonts w:asciiTheme="majorBidi" w:hAnsiTheme="majorBidi" w:cstheme="majorBidi"/>
          <w:b/>
          <w:bCs/>
          <w:noProof/>
          <w:sz w:val="24"/>
          <w:szCs w:val="24"/>
        </w:rPr>
        <w:t>(2021)</w:t>
      </w:r>
      <w:r w:rsidRPr="00762824">
        <w:rPr>
          <w:rFonts w:asciiTheme="majorBidi" w:hAnsiTheme="majorBidi" w:cstheme="majorBidi"/>
          <w:noProof/>
          <w:sz w:val="24"/>
          <w:szCs w:val="24"/>
        </w:rPr>
        <w:t xml:space="preserve"> ‘Vitamin-D Receptor ( VDR ) Gene Polymorphisms ( Apai &amp; Bsmi ) In Iraqi Osteoporosis Patients’, 25(4), : 13842–13852.</w:t>
      </w:r>
    </w:p>
    <w:p w14:paraId="074CCD2D" w14:textId="77777777" w:rsidR="006C68FE" w:rsidRPr="00762824" w:rsidRDefault="006C68FE" w:rsidP="003D7B32">
      <w:pPr>
        <w:pStyle w:val="ListParagraph"/>
        <w:widowControl w:val="0"/>
        <w:numPr>
          <w:ilvl w:val="0"/>
          <w:numId w:val="1"/>
        </w:numPr>
        <w:autoSpaceDE w:val="0"/>
        <w:autoSpaceDN w:val="0"/>
        <w:adjustRightInd w:val="0"/>
        <w:spacing w:before="241" w:after="0" w:line="240" w:lineRule="auto"/>
        <w:ind w:left="360" w:hanging="270"/>
        <w:contextualSpacing w:val="0"/>
        <w:jc w:val="both"/>
        <w:rPr>
          <w:rFonts w:asciiTheme="majorBidi" w:hAnsiTheme="majorBidi" w:cstheme="majorBidi"/>
          <w:noProof/>
          <w:sz w:val="24"/>
          <w:szCs w:val="24"/>
        </w:rPr>
      </w:pPr>
      <w:r w:rsidRPr="00762824">
        <w:rPr>
          <w:rFonts w:asciiTheme="majorBidi" w:hAnsiTheme="majorBidi" w:cstheme="majorBidi"/>
          <w:noProof/>
          <w:sz w:val="24"/>
          <w:szCs w:val="24"/>
        </w:rPr>
        <w:t xml:space="preserve">Wu, J. </w:t>
      </w:r>
      <w:r w:rsidRPr="00762824">
        <w:rPr>
          <w:rFonts w:asciiTheme="majorBidi" w:hAnsiTheme="majorBidi" w:cstheme="majorBidi"/>
          <w:i/>
          <w:iCs/>
          <w:noProof/>
          <w:sz w:val="24"/>
          <w:szCs w:val="24"/>
        </w:rPr>
        <w:t>et al.</w:t>
      </w:r>
      <w:r w:rsidRPr="00762824">
        <w:rPr>
          <w:rFonts w:asciiTheme="majorBidi" w:hAnsiTheme="majorBidi" w:cstheme="majorBidi"/>
          <w:noProof/>
          <w:sz w:val="24"/>
          <w:szCs w:val="24"/>
        </w:rPr>
        <w:t xml:space="preserve"> (2016) ‘Association between the vitamin D receptor gene polymorphism and osteoporosis’, </w:t>
      </w:r>
      <w:r w:rsidRPr="00762824">
        <w:rPr>
          <w:rFonts w:asciiTheme="majorBidi" w:hAnsiTheme="majorBidi" w:cstheme="majorBidi"/>
          <w:i/>
          <w:iCs/>
          <w:noProof/>
          <w:sz w:val="24"/>
          <w:szCs w:val="24"/>
        </w:rPr>
        <w:t>Biomedical Reports</w:t>
      </w:r>
      <w:r w:rsidRPr="00762824">
        <w:rPr>
          <w:rFonts w:asciiTheme="majorBidi" w:hAnsiTheme="majorBidi" w:cstheme="majorBidi"/>
          <w:noProof/>
          <w:sz w:val="24"/>
          <w:szCs w:val="24"/>
        </w:rPr>
        <w:t>, 5(2), :. 233–236. Available at: https://doi.org/10.3892/br.2016.697.</w:t>
      </w:r>
    </w:p>
    <w:p w14:paraId="2867ED39" w14:textId="77777777" w:rsidR="006C68FE" w:rsidRPr="00762824" w:rsidRDefault="006C68FE" w:rsidP="003D7B32">
      <w:pPr>
        <w:pStyle w:val="CommentText"/>
        <w:numPr>
          <w:ilvl w:val="0"/>
          <w:numId w:val="1"/>
        </w:numPr>
        <w:ind w:left="360" w:hanging="270"/>
        <w:jc w:val="both"/>
        <w:rPr>
          <w:rFonts w:asciiTheme="majorBidi" w:hAnsiTheme="majorBidi" w:cstheme="majorBidi"/>
          <w:sz w:val="24"/>
          <w:szCs w:val="24"/>
        </w:rPr>
      </w:pPr>
      <w:r w:rsidRPr="00762824">
        <w:rPr>
          <w:rFonts w:asciiTheme="majorBidi" w:hAnsiTheme="majorBidi" w:cstheme="majorBidi"/>
          <w:color w:val="222222"/>
          <w:sz w:val="24"/>
          <w:szCs w:val="24"/>
          <w:shd w:val="clear" w:color="auto" w:fill="FFFFFF"/>
        </w:rPr>
        <w:t xml:space="preserve">Haussler, M. R., </w:t>
      </w:r>
      <w:proofErr w:type="spellStart"/>
      <w:r w:rsidRPr="00762824">
        <w:rPr>
          <w:rFonts w:asciiTheme="majorBidi" w:hAnsiTheme="majorBidi" w:cstheme="majorBidi"/>
          <w:color w:val="222222"/>
          <w:sz w:val="24"/>
          <w:szCs w:val="24"/>
          <w:shd w:val="clear" w:color="auto" w:fill="FFFFFF"/>
        </w:rPr>
        <w:t>Jurutka</w:t>
      </w:r>
      <w:proofErr w:type="spellEnd"/>
      <w:r w:rsidRPr="00762824">
        <w:rPr>
          <w:rFonts w:asciiTheme="majorBidi" w:hAnsiTheme="majorBidi" w:cstheme="majorBidi"/>
          <w:color w:val="222222"/>
          <w:sz w:val="24"/>
          <w:szCs w:val="24"/>
          <w:shd w:val="clear" w:color="auto" w:fill="FFFFFF"/>
        </w:rPr>
        <w:t>, P. W., Mizwicki, M., &amp; Norman, A. W. (2011). Vitamin D receptor (VDR)-mediated actions of 1α, 25 (OH) 2vitamin D3: Genomic and non-genomic mechanisms. </w:t>
      </w:r>
      <w:r w:rsidRPr="00762824">
        <w:rPr>
          <w:rFonts w:asciiTheme="majorBidi" w:hAnsiTheme="majorBidi" w:cstheme="majorBidi"/>
          <w:i/>
          <w:iCs/>
          <w:color w:val="222222"/>
          <w:sz w:val="24"/>
          <w:szCs w:val="24"/>
          <w:shd w:val="clear" w:color="auto" w:fill="FFFFFF"/>
        </w:rPr>
        <w:t>Best practice &amp; research Clinical endocrinology &amp; metabolism</w:t>
      </w:r>
      <w:r w:rsidRPr="00762824">
        <w:rPr>
          <w:rFonts w:asciiTheme="majorBidi" w:hAnsiTheme="majorBidi" w:cstheme="majorBidi"/>
          <w:color w:val="222222"/>
          <w:sz w:val="24"/>
          <w:szCs w:val="24"/>
          <w:shd w:val="clear" w:color="auto" w:fill="FFFFFF"/>
        </w:rPr>
        <w:t>, </w:t>
      </w:r>
      <w:r w:rsidRPr="00762824">
        <w:rPr>
          <w:rFonts w:asciiTheme="majorBidi" w:hAnsiTheme="majorBidi" w:cstheme="majorBidi"/>
          <w:i/>
          <w:iCs/>
          <w:color w:val="222222"/>
          <w:sz w:val="24"/>
          <w:szCs w:val="24"/>
          <w:shd w:val="clear" w:color="auto" w:fill="FFFFFF"/>
        </w:rPr>
        <w:t>25</w:t>
      </w:r>
      <w:r w:rsidRPr="00762824">
        <w:rPr>
          <w:rFonts w:asciiTheme="majorBidi" w:hAnsiTheme="majorBidi" w:cstheme="majorBidi"/>
          <w:color w:val="222222"/>
          <w:sz w:val="24"/>
          <w:szCs w:val="24"/>
          <w:shd w:val="clear" w:color="auto" w:fill="FFFFFF"/>
        </w:rPr>
        <w:t>(4), 543-559.</w:t>
      </w:r>
      <w:r w:rsidRPr="00762824">
        <w:rPr>
          <w:rFonts w:asciiTheme="majorBidi" w:hAnsiTheme="majorBidi" w:cstheme="majorBidi"/>
          <w:color w:val="222222"/>
          <w:sz w:val="24"/>
          <w:szCs w:val="24"/>
          <w:shd w:val="clear" w:color="auto" w:fill="FFFFFF"/>
          <w:rtl/>
        </w:rPr>
        <w:t>‏</w:t>
      </w:r>
    </w:p>
    <w:p w14:paraId="36046E30" w14:textId="77777777" w:rsidR="006C68FE" w:rsidRPr="00762824" w:rsidRDefault="006C68FE" w:rsidP="003D7B32">
      <w:pPr>
        <w:pStyle w:val="ListParagraph"/>
        <w:numPr>
          <w:ilvl w:val="0"/>
          <w:numId w:val="1"/>
        </w:numPr>
        <w:ind w:left="360" w:hanging="270"/>
        <w:jc w:val="both"/>
        <w:rPr>
          <w:rFonts w:asciiTheme="majorBidi" w:hAnsiTheme="majorBidi" w:cstheme="majorBidi"/>
          <w:color w:val="28333D"/>
          <w:sz w:val="24"/>
          <w:szCs w:val="24"/>
        </w:rPr>
      </w:pPr>
      <w:proofErr w:type="spellStart"/>
      <w:r w:rsidRPr="00762824">
        <w:rPr>
          <w:rFonts w:asciiTheme="majorBidi" w:hAnsiTheme="majorBidi" w:cstheme="majorBidi"/>
          <w:color w:val="28333D"/>
          <w:sz w:val="24"/>
          <w:szCs w:val="24"/>
        </w:rPr>
        <w:t>Raška</w:t>
      </w:r>
      <w:proofErr w:type="spellEnd"/>
      <w:r w:rsidRPr="00762824">
        <w:rPr>
          <w:rFonts w:asciiTheme="majorBidi" w:hAnsiTheme="majorBidi" w:cstheme="majorBidi"/>
          <w:color w:val="28333D"/>
          <w:sz w:val="24"/>
          <w:szCs w:val="24"/>
        </w:rPr>
        <w:t xml:space="preserve">, I., </w:t>
      </w:r>
      <w:proofErr w:type="spellStart"/>
      <w:r w:rsidRPr="00762824">
        <w:rPr>
          <w:rFonts w:asciiTheme="majorBidi" w:hAnsiTheme="majorBidi" w:cstheme="majorBidi"/>
          <w:color w:val="28333D"/>
          <w:sz w:val="24"/>
          <w:szCs w:val="24"/>
        </w:rPr>
        <w:t>Rasková</w:t>
      </w:r>
      <w:proofErr w:type="spellEnd"/>
      <w:r w:rsidRPr="00762824">
        <w:rPr>
          <w:rFonts w:asciiTheme="majorBidi" w:hAnsiTheme="majorBidi" w:cstheme="majorBidi"/>
          <w:color w:val="28333D"/>
          <w:sz w:val="24"/>
          <w:szCs w:val="24"/>
        </w:rPr>
        <w:t xml:space="preserve">, M., </w:t>
      </w:r>
      <w:proofErr w:type="spellStart"/>
      <w:r w:rsidRPr="00762824">
        <w:rPr>
          <w:rFonts w:asciiTheme="majorBidi" w:hAnsiTheme="majorBidi" w:cstheme="majorBidi"/>
          <w:color w:val="28333D"/>
          <w:sz w:val="24"/>
          <w:szCs w:val="24"/>
        </w:rPr>
        <w:t>Zikán</w:t>
      </w:r>
      <w:proofErr w:type="spellEnd"/>
      <w:r w:rsidRPr="00762824">
        <w:rPr>
          <w:rFonts w:asciiTheme="majorBidi" w:hAnsiTheme="majorBidi" w:cstheme="majorBidi"/>
          <w:color w:val="28333D"/>
          <w:sz w:val="24"/>
          <w:szCs w:val="24"/>
        </w:rPr>
        <w:t xml:space="preserve">, V., &amp; </w:t>
      </w:r>
      <w:proofErr w:type="spellStart"/>
      <w:r w:rsidRPr="00762824">
        <w:rPr>
          <w:rFonts w:asciiTheme="majorBidi" w:hAnsiTheme="majorBidi" w:cstheme="majorBidi"/>
          <w:color w:val="28333D"/>
          <w:sz w:val="24"/>
          <w:szCs w:val="24"/>
        </w:rPr>
        <w:t>Škrha</w:t>
      </w:r>
      <w:proofErr w:type="spellEnd"/>
      <w:r w:rsidRPr="00762824">
        <w:rPr>
          <w:rFonts w:asciiTheme="majorBidi" w:hAnsiTheme="majorBidi" w:cstheme="majorBidi"/>
          <w:color w:val="28333D"/>
          <w:sz w:val="24"/>
          <w:szCs w:val="24"/>
        </w:rPr>
        <w:t>, J. (2017). Prevalence and Risk Factors of Osteoporosis in Postmenopausal Women with Type 2 Diabetes Mellitus. </w:t>
      </w:r>
      <w:r w:rsidRPr="00762824">
        <w:rPr>
          <w:rStyle w:val="Emphasis"/>
          <w:rFonts w:asciiTheme="majorBidi" w:hAnsiTheme="majorBidi" w:cstheme="majorBidi"/>
          <w:color w:val="28333D"/>
          <w:sz w:val="24"/>
          <w:szCs w:val="24"/>
          <w:bdr w:val="single" w:sz="2" w:space="0" w:color="DEE0E3" w:frame="1"/>
        </w:rPr>
        <w:t>Central European journal of public health</w:t>
      </w:r>
      <w:r w:rsidRPr="00762824">
        <w:rPr>
          <w:rFonts w:asciiTheme="majorBidi" w:hAnsiTheme="majorBidi" w:cstheme="majorBidi"/>
          <w:color w:val="28333D"/>
          <w:sz w:val="24"/>
          <w:szCs w:val="24"/>
        </w:rPr>
        <w:t xml:space="preserve">, 25 1, 3-10. </w:t>
      </w:r>
      <w:hyperlink r:id="rId10" w:history="1">
        <w:r w:rsidRPr="00762824">
          <w:rPr>
            <w:rStyle w:val="Hyperlink"/>
            <w:rFonts w:asciiTheme="majorBidi" w:hAnsiTheme="majorBidi" w:cstheme="majorBidi"/>
            <w:sz w:val="24"/>
            <w:szCs w:val="24"/>
          </w:rPr>
          <w:t>https://doi.org/10.21101/cejph.a4717</w:t>
        </w:r>
      </w:hyperlink>
      <w:r w:rsidRPr="00762824">
        <w:rPr>
          <w:rFonts w:asciiTheme="majorBidi" w:hAnsiTheme="majorBidi" w:cstheme="majorBidi"/>
          <w:color w:val="28333D"/>
          <w:sz w:val="24"/>
          <w:szCs w:val="24"/>
        </w:rPr>
        <w:t>.</w:t>
      </w:r>
    </w:p>
    <w:p w14:paraId="6303F00B" w14:textId="77777777" w:rsidR="006C68FE" w:rsidRPr="00762824" w:rsidRDefault="006C68FE" w:rsidP="003D7B32">
      <w:pPr>
        <w:pStyle w:val="ListParagraph"/>
        <w:numPr>
          <w:ilvl w:val="0"/>
          <w:numId w:val="1"/>
        </w:numPr>
        <w:ind w:left="360" w:hanging="270"/>
        <w:jc w:val="both"/>
        <w:rPr>
          <w:rFonts w:asciiTheme="majorBidi" w:hAnsiTheme="majorBidi" w:cstheme="majorBidi"/>
          <w:color w:val="28333D"/>
          <w:sz w:val="24"/>
          <w:szCs w:val="24"/>
        </w:rPr>
      </w:pPr>
      <w:r w:rsidRPr="00762824">
        <w:rPr>
          <w:rFonts w:asciiTheme="majorBidi" w:hAnsiTheme="majorBidi" w:cstheme="majorBidi"/>
          <w:color w:val="28333D"/>
          <w:sz w:val="24"/>
          <w:szCs w:val="24"/>
        </w:rPr>
        <w:t>Xuan, M., Wang, Y., Wang, W., Yang, J., Li, Y., &amp; Zhang, X. (2014). Association of LRP5 gene polymorphism with type 2 diabetes mellitus and osteoporosis in postmenopausal women. </w:t>
      </w:r>
      <w:r w:rsidRPr="00762824">
        <w:rPr>
          <w:rStyle w:val="Emphasis"/>
          <w:rFonts w:asciiTheme="majorBidi" w:hAnsiTheme="majorBidi" w:cstheme="majorBidi"/>
          <w:color w:val="28333D"/>
          <w:sz w:val="24"/>
          <w:szCs w:val="24"/>
          <w:bdr w:val="single" w:sz="2" w:space="0" w:color="DEE0E3" w:frame="1"/>
        </w:rPr>
        <w:t>International journal of clinical and experimental medicine</w:t>
      </w:r>
      <w:r w:rsidRPr="00762824">
        <w:rPr>
          <w:rFonts w:asciiTheme="majorBidi" w:hAnsiTheme="majorBidi" w:cstheme="majorBidi"/>
          <w:color w:val="28333D"/>
          <w:sz w:val="24"/>
          <w:szCs w:val="24"/>
        </w:rPr>
        <w:t>, 7 1, 247-54.</w:t>
      </w:r>
    </w:p>
    <w:p w14:paraId="291CB036" w14:textId="77777777" w:rsidR="006C68FE" w:rsidRPr="00762824" w:rsidRDefault="00D72687" w:rsidP="003D7B32">
      <w:pPr>
        <w:pStyle w:val="ListParagraph"/>
        <w:numPr>
          <w:ilvl w:val="0"/>
          <w:numId w:val="1"/>
        </w:numPr>
        <w:ind w:left="360" w:hanging="270"/>
        <w:jc w:val="both"/>
        <w:rPr>
          <w:rFonts w:asciiTheme="majorBidi" w:hAnsiTheme="majorBidi" w:cstheme="majorBidi"/>
          <w:color w:val="28333D"/>
          <w:sz w:val="24"/>
          <w:szCs w:val="24"/>
        </w:rPr>
      </w:pPr>
      <w:r w:rsidRPr="00762824">
        <w:rPr>
          <w:rFonts w:asciiTheme="majorBidi" w:hAnsiTheme="majorBidi" w:cstheme="majorBidi"/>
          <w:color w:val="28333D"/>
          <w:sz w:val="24"/>
          <w:szCs w:val="24"/>
        </w:rPr>
        <w:t>Yong-La, W. (2014). Association of LRP5 gene polymorphism with osteoporosis in postmenopausal type 2 diabetic women. </w:t>
      </w:r>
    </w:p>
    <w:p w14:paraId="4CA0D5C4" w14:textId="77777777" w:rsidR="00D72687" w:rsidRPr="00762824" w:rsidRDefault="00D72687" w:rsidP="003D7B32">
      <w:pPr>
        <w:pStyle w:val="ListParagraph"/>
        <w:numPr>
          <w:ilvl w:val="0"/>
          <w:numId w:val="1"/>
        </w:numPr>
        <w:ind w:left="360" w:hanging="270"/>
        <w:jc w:val="both"/>
        <w:rPr>
          <w:rFonts w:asciiTheme="majorBidi" w:hAnsiTheme="majorBidi" w:cstheme="majorBidi"/>
          <w:color w:val="28333D"/>
          <w:sz w:val="24"/>
          <w:szCs w:val="24"/>
        </w:rPr>
      </w:pPr>
      <w:proofErr w:type="spellStart"/>
      <w:r w:rsidRPr="00762824">
        <w:rPr>
          <w:rFonts w:asciiTheme="majorBidi" w:hAnsiTheme="majorBidi" w:cstheme="majorBidi"/>
          <w:color w:val="28333D"/>
          <w:sz w:val="24"/>
          <w:szCs w:val="24"/>
        </w:rPr>
        <w:lastRenderedPageBreak/>
        <w:t>Górczyńska-Kosiorz</w:t>
      </w:r>
      <w:proofErr w:type="spellEnd"/>
      <w:r w:rsidRPr="00762824">
        <w:rPr>
          <w:rFonts w:asciiTheme="majorBidi" w:hAnsiTheme="majorBidi" w:cstheme="majorBidi"/>
          <w:color w:val="28333D"/>
          <w:sz w:val="24"/>
          <w:szCs w:val="24"/>
        </w:rPr>
        <w:t xml:space="preserve">, S., Cichocka, E., Niemiec, P., </w:t>
      </w:r>
      <w:proofErr w:type="spellStart"/>
      <w:r w:rsidRPr="00762824">
        <w:rPr>
          <w:rFonts w:asciiTheme="majorBidi" w:hAnsiTheme="majorBidi" w:cstheme="majorBidi"/>
          <w:color w:val="28333D"/>
          <w:sz w:val="24"/>
          <w:szCs w:val="24"/>
        </w:rPr>
        <w:t>Trautsolt</w:t>
      </w:r>
      <w:proofErr w:type="spellEnd"/>
      <w:r w:rsidRPr="00762824">
        <w:rPr>
          <w:rFonts w:asciiTheme="majorBidi" w:hAnsiTheme="majorBidi" w:cstheme="majorBidi"/>
          <w:color w:val="28333D"/>
          <w:sz w:val="24"/>
          <w:szCs w:val="24"/>
        </w:rPr>
        <w:t xml:space="preserve">, W., </w:t>
      </w:r>
      <w:proofErr w:type="spellStart"/>
      <w:r w:rsidRPr="00762824">
        <w:rPr>
          <w:rFonts w:asciiTheme="majorBidi" w:hAnsiTheme="majorBidi" w:cstheme="majorBidi"/>
          <w:color w:val="28333D"/>
          <w:sz w:val="24"/>
          <w:szCs w:val="24"/>
        </w:rPr>
        <w:t>Pluskiewicz</w:t>
      </w:r>
      <w:proofErr w:type="spellEnd"/>
      <w:r w:rsidRPr="00762824">
        <w:rPr>
          <w:rFonts w:asciiTheme="majorBidi" w:hAnsiTheme="majorBidi" w:cstheme="majorBidi"/>
          <w:color w:val="28333D"/>
          <w:sz w:val="24"/>
          <w:szCs w:val="24"/>
        </w:rPr>
        <w:t>, W., &amp; Gumprecht, J. (2024). Bone Mineral Density and the Risk of Type-2 Diabetes in Postmenopausal Women: rs4988235 Polymorphism Associated with Lactose Intolerance Effects. </w:t>
      </w:r>
      <w:r w:rsidRPr="00762824">
        <w:rPr>
          <w:rStyle w:val="Emphasis"/>
          <w:rFonts w:asciiTheme="majorBidi" w:hAnsiTheme="majorBidi" w:cstheme="majorBidi"/>
          <w:color w:val="28333D"/>
          <w:sz w:val="24"/>
          <w:szCs w:val="24"/>
          <w:bdr w:val="single" w:sz="2" w:space="0" w:color="DEE0E3" w:frame="1"/>
        </w:rPr>
        <w:t>Nutrients</w:t>
      </w:r>
      <w:r w:rsidRPr="00762824">
        <w:rPr>
          <w:rFonts w:asciiTheme="majorBidi" w:hAnsiTheme="majorBidi" w:cstheme="majorBidi"/>
          <w:color w:val="28333D"/>
          <w:sz w:val="24"/>
          <w:szCs w:val="24"/>
        </w:rPr>
        <w:t xml:space="preserve">, 16. </w:t>
      </w:r>
      <w:hyperlink r:id="rId11" w:history="1">
        <w:r w:rsidRPr="00762824">
          <w:rPr>
            <w:rStyle w:val="Hyperlink"/>
            <w:rFonts w:asciiTheme="majorBidi" w:hAnsiTheme="majorBidi" w:cstheme="majorBidi"/>
            <w:sz w:val="24"/>
            <w:szCs w:val="24"/>
          </w:rPr>
          <w:t>https://doi.org/10.3390/nu16173002</w:t>
        </w:r>
      </w:hyperlink>
      <w:r w:rsidRPr="00762824">
        <w:rPr>
          <w:rFonts w:asciiTheme="majorBidi" w:hAnsiTheme="majorBidi" w:cstheme="majorBidi"/>
          <w:color w:val="28333D"/>
          <w:sz w:val="24"/>
          <w:szCs w:val="24"/>
        </w:rPr>
        <w:t>.</w:t>
      </w:r>
    </w:p>
    <w:p w14:paraId="5135AB5A" w14:textId="77777777" w:rsidR="00D72687" w:rsidRPr="00762824" w:rsidRDefault="00D72687" w:rsidP="003D7B32">
      <w:pPr>
        <w:pStyle w:val="ListParagraph"/>
        <w:numPr>
          <w:ilvl w:val="0"/>
          <w:numId w:val="1"/>
        </w:numPr>
        <w:ind w:left="360" w:hanging="270"/>
        <w:jc w:val="both"/>
        <w:rPr>
          <w:rFonts w:asciiTheme="majorBidi" w:hAnsiTheme="majorBidi" w:cstheme="majorBidi"/>
          <w:color w:val="28333D"/>
          <w:sz w:val="24"/>
          <w:szCs w:val="24"/>
        </w:rPr>
      </w:pPr>
      <w:r w:rsidRPr="00762824">
        <w:rPr>
          <w:rFonts w:asciiTheme="majorBidi" w:hAnsiTheme="majorBidi" w:cstheme="majorBidi"/>
          <w:color w:val="28333D"/>
          <w:sz w:val="24"/>
          <w:szCs w:val="24"/>
        </w:rPr>
        <w:t>Zhang, W., Luo, J., Shi, H., Wang, C., Fu, X., &amp; Li, X. (2021). Analysis of bone metabolism mechanisms in postmenopausal females with type 2 diabetes and DKK1 gene polymorphisms and the effects of polymer nanomaterials on wound infection in patients. </w:t>
      </w:r>
      <w:r w:rsidRPr="00762824">
        <w:rPr>
          <w:rStyle w:val="Emphasis"/>
          <w:rFonts w:asciiTheme="majorBidi" w:hAnsiTheme="majorBidi" w:cstheme="majorBidi"/>
          <w:color w:val="28333D"/>
          <w:sz w:val="24"/>
          <w:szCs w:val="24"/>
          <w:bdr w:val="single" w:sz="2" w:space="0" w:color="DEE0E3" w:frame="1"/>
        </w:rPr>
        <w:t>Materials Express</w:t>
      </w:r>
      <w:r w:rsidRPr="00762824">
        <w:rPr>
          <w:rFonts w:asciiTheme="majorBidi" w:hAnsiTheme="majorBidi" w:cstheme="majorBidi"/>
          <w:color w:val="28333D"/>
          <w:sz w:val="24"/>
          <w:szCs w:val="24"/>
        </w:rPr>
        <w:t xml:space="preserve">. </w:t>
      </w:r>
      <w:hyperlink r:id="rId12" w:history="1">
        <w:r w:rsidRPr="00762824">
          <w:rPr>
            <w:rStyle w:val="Hyperlink"/>
            <w:rFonts w:asciiTheme="majorBidi" w:hAnsiTheme="majorBidi" w:cstheme="majorBidi"/>
            <w:sz w:val="24"/>
            <w:szCs w:val="24"/>
          </w:rPr>
          <w:t>https://doi.org/10.1166/mex.2021.1985</w:t>
        </w:r>
      </w:hyperlink>
    </w:p>
    <w:p w14:paraId="12FB6BCC" w14:textId="77777777" w:rsidR="00D72687" w:rsidRPr="00762824" w:rsidRDefault="00D72687" w:rsidP="003D7B32">
      <w:pPr>
        <w:pStyle w:val="ListParagraph"/>
        <w:numPr>
          <w:ilvl w:val="0"/>
          <w:numId w:val="1"/>
        </w:numPr>
        <w:ind w:left="360" w:hanging="270"/>
        <w:jc w:val="both"/>
        <w:rPr>
          <w:rFonts w:asciiTheme="majorBidi" w:hAnsiTheme="majorBidi" w:cstheme="majorBidi"/>
          <w:color w:val="28333D"/>
          <w:sz w:val="24"/>
          <w:szCs w:val="24"/>
        </w:rPr>
      </w:pPr>
      <w:r w:rsidRPr="00762824">
        <w:rPr>
          <w:rFonts w:asciiTheme="majorBidi" w:hAnsiTheme="majorBidi" w:cstheme="majorBidi"/>
          <w:color w:val="28333D"/>
          <w:sz w:val="24"/>
          <w:szCs w:val="24"/>
        </w:rPr>
        <w:t>Ahn, T., Kim, J., Kim, H., Park, H., Shim, J., Ropper, A., Han, I., &amp; Kim, N. (2018). 3′-UTR Polymorphisms of MTHFR and TS Associated with Osteoporotic Vertebral Compression Fracture Susceptibility in Postmenopausal Women. </w:t>
      </w:r>
      <w:r w:rsidRPr="00762824">
        <w:rPr>
          <w:rStyle w:val="Emphasis"/>
          <w:rFonts w:asciiTheme="majorBidi" w:hAnsiTheme="majorBidi" w:cstheme="majorBidi"/>
          <w:color w:val="28333D"/>
          <w:sz w:val="24"/>
          <w:szCs w:val="24"/>
          <w:bdr w:val="single" w:sz="2" w:space="0" w:color="DEE0E3" w:frame="1"/>
        </w:rPr>
        <w:t>International Journal of Molecular Sciences</w:t>
      </w:r>
      <w:r w:rsidRPr="00762824">
        <w:rPr>
          <w:rFonts w:asciiTheme="majorBidi" w:hAnsiTheme="majorBidi" w:cstheme="majorBidi"/>
          <w:color w:val="28333D"/>
          <w:sz w:val="24"/>
          <w:szCs w:val="24"/>
        </w:rPr>
        <w:t xml:space="preserve">, 19. </w:t>
      </w:r>
      <w:hyperlink r:id="rId13" w:history="1">
        <w:r w:rsidRPr="00762824">
          <w:rPr>
            <w:rStyle w:val="Hyperlink"/>
            <w:rFonts w:asciiTheme="majorBidi" w:hAnsiTheme="majorBidi" w:cstheme="majorBidi"/>
            <w:sz w:val="24"/>
            <w:szCs w:val="24"/>
          </w:rPr>
          <w:t>https://doi.org/10.3390/ijms19030824</w:t>
        </w:r>
      </w:hyperlink>
      <w:r w:rsidRPr="00762824">
        <w:rPr>
          <w:rFonts w:asciiTheme="majorBidi" w:hAnsiTheme="majorBidi" w:cstheme="majorBidi"/>
          <w:color w:val="28333D"/>
          <w:sz w:val="24"/>
          <w:szCs w:val="24"/>
        </w:rPr>
        <w:t>.</w:t>
      </w:r>
    </w:p>
    <w:p w14:paraId="52632B41" w14:textId="77777777" w:rsidR="00FD63D3" w:rsidRPr="00762824" w:rsidRDefault="00FD63D3" w:rsidP="003D7B32">
      <w:pPr>
        <w:pStyle w:val="CommentText"/>
        <w:numPr>
          <w:ilvl w:val="0"/>
          <w:numId w:val="1"/>
        </w:numPr>
        <w:ind w:left="360" w:hanging="270"/>
        <w:jc w:val="both"/>
        <w:rPr>
          <w:rFonts w:asciiTheme="majorBidi" w:hAnsiTheme="majorBidi" w:cstheme="majorBidi"/>
          <w:sz w:val="24"/>
          <w:szCs w:val="24"/>
          <w:lang w:bidi="ar-IQ"/>
        </w:rPr>
      </w:pPr>
      <w:r w:rsidRPr="00762824">
        <w:rPr>
          <w:rFonts w:asciiTheme="majorBidi" w:hAnsiTheme="majorBidi" w:cstheme="majorBidi"/>
          <w:color w:val="222222"/>
          <w:sz w:val="24"/>
          <w:szCs w:val="24"/>
          <w:shd w:val="clear" w:color="auto" w:fill="FFFFFF"/>
        </w:rPr>
        <w:t xml:space="preserve">Wilfinger, W. W., Mackey, K., &amp; </w:t>
      </w:r>
      <w:proofErr w:type="spellStart"/>
      <w:r w:rsidRPr="00762824">
        <w:rPr>
          <w:rFonts w:asciiTheme="majorBidi" w:hAnsiTheme="majorBidi" w:cstheme="majorBidi"/>
          <w:color w:val="222222"/>
          <w:sz w:val="24"/>
          <w:szCs w:val="24"/>
          <w:shd w:val="clear" w:color="auto" w:fill="FFFFFF"/>
        </w:rPr>
        <w:t>Chomczynski</w:t>
      </w:r>
      <w:proofErr w:type="spellEnd"/>
      <w:r w:rsidRPr="00762824">
        <w:rPr>
          <w:rFonts w:asciiTheme="majorBidi" w:hAnsiTheme="majorBidi" w:cstheme="majorBidi"/>
          <w:color w:val="222222"/>
          <w:sz w:val="24"/>
          <w:szCs w:val="24"/>
          <w:shd w:val="clear" w:color="auto" w:fill="FFFFFF"/>
        </w:rPr>
        <w:t>, P. (2006). Assessing the quantity, purity and integrity of RNA and DNA following nucleic acid purification. </w:t>
      </w:r>
      <w:r w:rsidRPr="00762824">
        <w:rPr>
          <w:rFonts w:asciiTheme="majorBidi" w:hAnsiTheme="majorBidi" w:cstheme="majorBidi"/>
          <w:i/>
          <w:iCs/>
          <w:color w:val="222222"/>
          <w:sz w:val="24"/>
          <w:szCs w:val="24"/>
          <w:shd w:val="clear" w:color="auto" w:fill="FFFFFF"/>
        </w:rPr>
        <w:t>DNA sequencing II optimizing preparation and cleanup</w:t>
      </w:r>
      <w:r w:rsidRPr="00762824">
        <w:rPr>
          <w:rFonts w:asciiTheme="majorBidi" w:hAnsiTheme="majorBidi" w:cstheme="majorBidi"/>
          <w:color w:val="222222"/>
          <w:sz w:val="24"/>
          <w:szCs w:val="24"/>
          <w:shd w:val="clear" w:color="auto" w:fill="FFFFFF"/>
        </w:rPr>
        <w:t>, </w:t>
      </w:r>
      <w:r w:rsidRPr="00762824">
        <w:rPr>
          <w:rFonts w:asciiTheme="majorBidi" w:hAnsiTheme="majorBidi" w:cstheme="majorBidi"/>
          <w:i/>
          <w:iCs/>
          <w:color w:val="222222"/>
          <w:sz w:val="24"/>
          <w:szCs w:val="24"/>
          <w:shd w:val="clear" w:color="auto" w:fill="FFFFFF"/>
        </w:rPr>
        <w:t>291</w:t>
      </w:r>
      <w:r w:rsidRPr="00762824">
        <w:rPr>
          <w:rFonts w:asciiTheme="majorBidi" w:hAnsiTheme="majorBidi" w:cstheme="majorBidi"/>
          <w:color w:val="222222"/>
          <w:sz w:val="24"/>
          <w:szCs w:val="24"/>
          <w:shd w:val="clear" w:color="auto" w:fill="FFFFFF"/>
        </w:rPr>
        <w:t xml:space="preserve">, </w:t>
      </w:r>
      <w:r w:rsidR="005F3725" w:rsidRPr="00762824">
        <w:rPr>
          <w:rFonts w:asciiTheme="majorBidi" w:hAnsiTheme="majorBidi" w:cstheme="majorBidi"/>
          <w:color w:val="222222"/>
          <w:sz w:val="24"/>
          <w:szCs w:val="24"/>
          <w:shd w:val="clear" w:color="auto" w:fill="FFFFFF"/>
        </w:rPr>
        <w:t>312.</w:t>
      </w:r>
      <w:r w:rsidR="005F3725" w:rsidRPr="00762824">
        <w:rPr>
          <w:rFonts w:asciiTheme="majorBidi" w:hAnsiTheme="majorBidi" w:cstheme="majorBidi"/>
          <w:color w:val="222222"/>
          <w:sz w:val="24"/>
          <w:szCs w:val="24"/>
          <w:shd w:val="clear" w:color="auto" w:fill="FFFFFF"/>
          <w:rtl/>
        </w:rPr>
        <w:t xml:space="preserve"> ‏</w:t>
      </w:r>
    </w:p>
    <w:p w14:paraId="417F34A7" w14:textId="77777777" w:rsidR="00FD63D3" w:rsidRPr="00762824" w:rsidRDefault="00FD63D3" w:rsidP="003D7B32">
      <w:pPr>
        <w:pStyle w:val="CommentText"/>
        <w:numPr>
          <w:ilvl w:val="0"/>
          <w:numId w:val="1"/>
        </w:numPr>
        <w:ind w:left="360" w:hanging="270"/>
        <w:jc w:val="both"/>
        <w:rPr>
          <w:rFonts w:asciiTheme="majorBidi" w:hAnsiTheme="majorBidi" w:cstheme="majorBidi"/>
          <w:sz w:val="24"/>
          <w:szCs w:val="24"/>
        </w:rPr>
      </w:pPr>
      <w:r w:rsidRPr="00762824">
        <w:rPr>
          <w:rFonts w:asciiTheme="majorBidi" w:hAnsiTheme="majorBidi" w:cstheme="majorBidi"/>
          <w:color w:val="222222"/>
          <w:sz w:val="24"/>
          <w:szCs w:val="24"/>
          <w:shd w:val="clear" w:color="auto" w:fill="FFFFFF"/>
        </w:rPr>
        <w:t>van Pelt-</w:t>
      </w:r>
      <w:proofErr w:type="spellStart"/>
      <w:r w:rsidRPr="00762824">
        <w:rPr>
          <w:rFonts w:asciiTheme="majorBidi" w:hAnsiTheme="majorBidi" w:cstheme="majorBidi"/>
          <w:color w:val="222222"/>
          <w:sz w:val="24"/>
          <w:szCs w:val="24"/>
          <w:shd w:val="clear" w:color="auto" w:fill="FFFFFF"/>
        </w:rPr>
        <w:t>Verkuil</w:t>
      </w:r>
      <w:proofErr w:type="spellEnd"/>
      <w:r w:rsidRPr="00762824">
        <w:rPr>
          <w:rFonts w:asciiTheme="majorBidi" w:hAnsiTheme="majorBidi" w:cstheme="majorBidi"/>
          <w:color w:val="222222"/>
          <w:sz w:val="24"/>
          <w:szCs w:val="24"/>
          <w:shd w:val="clear" w:color="auto" w:fill="FFFFFF"/>
        </w:rPr>
        <w:t xml:space="preserve">, E., Van </w:t>
      </w:r>
      <w:proofErr w:type="spellStart"/>
      <w:r w:rsidRPr="00762824">
        <w:rPr>
          <w:rFonts w:asciiTheme="majorBidi" w:hAnsiTheme="majorBidi" w:cstheme="majorBidi"/>
          <w:color w:val="222222"/>
          <w:sz w:val="24"/>
          <w:szCs w:val="24"/>
          <w:shd w:val="clear" w:color="auto" w:fill="FFFFFF"/>
        </w:rPr>
        <w:t>Belkum</w:t>
      </w:r>
      <w:proofErr w:type="spellEnd"/>
      <w:r w:rsidRPr="00762824">
        <w:rPr>
          <w:rFonts w:asciiTheme="majorBidi" w:hAnsiTheme="majorBidi" w:cstheme="majorBidi"/>
          <w:color w:val="222222"/>
          <w:sz w:val="24"/>
          <w:szCs w:val="24"/>
          <w:shd w:val="clear" w:color="auto" w:fill="FFFFFF"/>
        </w:rPr>
        <w:t>, A., &amp; Hays, J. P. (2008). </w:t>
      </w:r>
      <w:r w:rsidRPr="00762824">
        <w:rPr>
          <w:rFonts w:asciiTheme="majorBidi" w:hAnsiTheme="majorBidi" w:cstheme="majorBidi"/>
          <w:i/>
          <w:iCs/>
          <w:color w:val="222222"/>
          <w:sz w:val="24"/>
          <w:szCs w:val="24"/>
          <w:shd w:val="clear" w:color="auto" w:fill="FFFFFF"/>
        </w:rPr>
        <w:t>Principles and technical aspects of PCR amplification</w:t>
      </w:r>
      <w:r w:rsidRPr="00762824">
        <w:rPr>
          <w:rFonts w:asciiTheme="majorBidi" w:hAnsiTheme="majorBidi" w:cstheme="majorBidi"/>
          <w:color w:val="222222"/>
          <w:sz w:val="24"/>
          <w:szCs w:val="24"/>
          <w:shd w:val="clear" w:color="auto" w:fill="FFFFFF"/>
        </w:rPr>
        <w:t xml:space="preserve">. Springer Science &amp; Business </w:t>
      </w:r>
      <w:r w:rsidR="005F3725" w:rsidRPr="00762824">
        <w:rPr>
          <w:rFonts w:asciiTheme="majorBidi" w:hAnsiTheme="majorBidi" w:cstheme="majorBidi"/>
          <w:color w:val="222222"/>
          <w:sz w:val="24"/>
          <w:szCs w:val="24"/>
          <w:shd w:val="clear" w:color="auto" w:fill="FFFFFF"/>
        </w:rPr>
        <w:t>Media.</w:t>
      </w:r>
      <w:r w:rsidR="005F3725" w:rsidRPr="00762824">
        <w:rPr>
          <w:rFonts w:asciiTheme="majorBidi" w:hAnsiTheme="majorBidi" w:cstheme="majorBidi"/>
          <w:color w:val="222222"/>
          <w:sz w:val="24"/>
          <w:szCs w:val="24"/>
          <w:shd w:val="clear" w:color="auto" w:fill="FFFFFF"/>
          <w:rtl/>
        </w:rPr>
        <w:t xml:space="preserve"> ‏</w:t>
      </w:r>
    </w:p>
    <w:p w14:paraId="4813D4EB" w14:textId="77777777" w:rsidR="00390C8A" w:rsidRPr="00762824" w:rsidRDefault="00390C8A" w:rsidP="003D7B32">
      <w:pPr>
        <w:pStyle w:val="ListParagraph"/>
        <w:widowControl w:val="0"/>
        <w:numPr>
          <w:ilvl w:val="0"/>
          <w:numId w:val="1"/>
        </w:numPr>
        <w:autoSpaceDE w:val="0"/>
        <w:autoSpaceDN w:val="0"/>
        <w:adjustRightInd w:val="0"/>
        <w:spacing w:before="241" w:after="0" w:line="240" w:lineRule="auto"/>
        <w:ind w:left="360" w:hanging="270"/>
        <w:contextualSpacing w:val="0"/>
        <w:jc w:val="both"/>
        <w:rPr>
          <w:rFonts w:asciiTheme="majorBidi" w:hAnsiTheme="majorBidi" w:cstheme="majorBidi"/>
          <w:noProof/>
          <w:sz w:val="24"/>
          <w:szCs w:val="24"/>
        </w:rPr>
      </w:pPr>
      <w:r w:rsidRPr="00762824">
        <w:rPr>
          <w:rFonts w:asciiTheme="majorBidi" w:hAnsiTheme="majorBidi" w:cstheme="majorBidi"/>
          <w:noProof/>
          <w:sz w:val="24"/>
          <w:szCs w:val="24"/>
        </w:rPr>
        <w:t xml:space="preserve">Robinson, D.H. and Lafleche, G.J. (2000) ‘Nucleic acid electrophoresis in agarose gels’, </w:t>
      </w:r>
      <w:r w:rsidRPr="00762824">
        <w:rPr>
          <w:rFonts w:asciiTheme="majorBidi" w:hAnsiTheme="majorBidi" w:cstheme="majorBidi"/>
          <w:i/>
          <w:iCs/>
          <w:noProof/>
          <w:sz w:val="24"/>
          <w:szCs w:val="24"/>
        </w:rPr>
        <w:t>Essential Molecular Biology: A Practical A:roach</w:t>
      </w:r>
      <w:r w:rsidRPr="00762824">
        <w:rPr>
          <w:rFonts w:asciiTheme="majorBidi" w:hAnsiTheme="majorBidi" w:cstheme="majorBidi"/>
          <w:noProof/>
          <w:sz w:val="24"/>
          <w:szCs w:val="24"/>
        </w:rPr>
        <w:t>, 1, :. 89–119.</w:t>
      </w:r>
    </w:p>
    <w:p w14:paraId="3BDC0494" w14:textId="77777777" w:rsidR="00390C8A" w:rsidRPr="00762824" w:rsidRDefault="00390C8A" w:rsidP="003D7B32">
      <w:pPr>
        <w:pStyle w:val="CommentText"/>
        <w:numPr>
          <w:ilvl w:val="0"/>
          <w:numId w:val="1"/>
        </w:numPr>
        <w:ind w:left="360" w:hanging="270"/>
        <w:jc w:val="both"/>
        <w:rPr>
          <w:rFonts w:asciiTheme="majorBidi" w:hAnsiTheme="majorBidi" w:cstheme="majorBidi"/>
          <w:sz w:val="24"/>
          <w:szCs w:val="24"/>
        </w:rPr>
      </w:pPr>
      <w:r w:rsidRPr="00762824">
        <w:rPr>
          <w:rFonts w:asciiTheme="majorBidi" w:hAnsiTheme="majorBidi" w:cstheme="majorBidi"/>
          <w:color w:val="222222"/>
          <w:sz w:val="24"/>
          <w:szCs w:val="24"/>
          <w:shd w:val="clear" w:color="auto" w:fill="FFFFFF"/>
        </w:rPr>
        <w:t>Munro, B. H. (2005). </w:t>
      </w:r>
      <w:r w:rsidRPr="00762824">
        <w:rPr>
          <w:rFonts w:asciiTheme="majorBidi" w:hAnsiTheme="majorBidi" w:cstheme="majorBidi"/>
          <w:i/>
          <w:iCs/>
          <w:color w:val="222222"/>
          <w:sz w:val="24"/>
          <w:szCs w:val="24"/>
          <w:shd w:val="clear" w:color="auto" w:fill="FFFFFF"/>
        </w:rPr>
        <w:t>Statistical methods for health care research</w:t>
      </w:r>
      <w:r w:rsidRPr="00762824">
        <w:rPr>
          <w:rFonts w:asciiTheme="majorBidi" w:hAnsiTheme="majorBidi" w:cstheme="majorBidi"/>
          <w:color w:val="222222"/>
          <w:sz w:val="24"/>
          <w:szCs w:val="24"/>
          <w:shd w:val="clear" w:color="auto" w:fill="FFFFFF"/>
        </w:rPr>
        <w:t xml:space="preserve"> (Vol. 1). </w:t>
      </w:r>
      <w:proofErr w:type="spellStart"/>
      <w:r w:rsidRPr="00762824">
        <w:rPr>
          <w:rFonts w:asciiTheme="majorBidi" w:hAnsiTheme="majorBidi" w:cstheme="majorBidi"/>
          <w:color w:val="222222"/>
          <w:sz w:val="24"/>
          <w:szCs w:val="24"/>
          <w:shd w:val="clear" w:color="auto" w:fill="FFFFFF"/>
        </w:rPr>
        <w:t>lippincott</w:t>
      </w:r>
      <w:proofErr w:type="spellEnd"/>
      <w:r w:rsidRPr="00762824">
        <w:rPr>
          <w:rFonts w:asciiTheme="majorBidi" w:hAnsiTheme="majorBidi" w:cstheme="majorBidi"/>
          <w:color w:val="222222"/>
          <w:sz w:val="24"/>
          <w:szCs w:val="24"/>
          <w:shd w:val="clear" w:color="auto" w:fill="FFFFFF"/>
        </w:rPr>
        <w:t xml:space="preserve"> </w:t>
      </w:r>
      <w:proofErr w:type="spellStart"/>
      <w:r w:rsidRPr="00762824">
        <w:rPr>
          <w:rFonts w:asciiTheme="majorBidi" w:hAnsiTheme="majorBidi" w:cstheme="majorBidi"/>
          <w:color w:val="222222"/>
          <w:sz w:val="24"/>
          <w:szCs w:val="24"/>
          <w:shd w:val="clear" w:color="auto" w:fill="FFFFFF"/>
        </w:rPr>
        <w:t>williams</w:t>
      </w:r>
      <w:proofErr w:type="spellEnd"/>
      <w:r w:rsidRPr="00762824">
        <w:rPr>
          <w:rFonts w:asciiTheme="majorBidi" w:hAnsiTheme="majorBidi" w:cstheme="majorBidi"/>
          <w:color w:val="222222"/>
          <w:sz w:val="24"/>
          <w:szCs w:val="24"/>
          <w:shd w:val="clear" w:color="auto" w:fill="FFFFFF"/>
        </w:rPr>
        <w:t xml:space="preserve"> &amp; </w:t>
      </w:r>
      <w:proofErr w:type="spellStart"/>
      <w:r w:rsidRPr="00762824">
        <w:rPr>
          <w:rFonts w:asciiTheme="majorBidi" w:hAnsiTheme="majorBidi" w:cstheme="majorBidi"/>
          <w:color w:val="222222"/>
          <w:sz w:val="24"/>
          <w:szCs w:val="24"/>
          <w:shd w:val="clear" w:color="auto" w:fill="FFFFFF"/>
        </w:rPr>
        <w:t>wilkins</w:t>
      </w:r>
      <w:proofErr w:type="spellEnd"/>
      <w:r w:rsidRPr="00762824">
        <w:rPr>
          <w:rFonts w:asciiTheme="majorBidi" w:hAnsiTheme="majorBidi" w:cstheme="majorBidi"/>
          <w:color w:val="222222"/>
          <w:sz w:val="24"/>
          <w:szCs w:val="24"/>
          <w:shd w:val="clear" w:color="auto" w:fill="FFFFFF"/>
        </w:rPr>
        <w:t>.</w:t>
      </w:r>
      <w:r w:rsidRPr="00762824">
        <w:rPr>
          <w:rFonts w:asciiTheme="majorBidi" w:hAnsiTheme="majorBidi" w:cstheme="majorBidi"/>
          <w:color w:val="222222"/>
          <w:sz w:val="24"/>
          <w:szCs w:val="24"/>
          <w:shd w:val="clear" w:color="auto" w:fill="FFFFFF"/>
          <w:rtl/>
        </w:rPr>
        <w:t>‏</w:t>
      </w:r>
    </w:p>
    <w:p w14:paraId="02A86701" w14:textId="77777777" w:rsidR="00FD63D3" w:rsidRPr="00762824" w:rsidRDefault="00390C8A" w:rsidP="003D7B32">
      <w:pPr>
        <w:pStyle w:val="CommentText"/>
        <w:numPr>
          <w:ilvl w:val="0"/>
          <w:numId w:val="1"/>
        </w:numPr>
        <w:ind w:left="360" w:hanging="270"/>
        <w:jc w:val="both"/>
        <w:rPr>
          <w:rFonts w:asciiTheme="majorBidi" w:hAnsiTheme="majorBidi" w:cstheme="majorBidi"/>
          <w:sz w:val="24"/>
          <w:szCs w:val="24"/>
        </w:rPr>
      </w:pPr>
      <w:r w:rsidRPr="00762824">
        <w:rPr>
          <w:rFonts w:asciiTheme="majorBidi" w:hAnsiTheme="majorBidi" w:cstheme="majorBidi"/>
          <w:color w:val="222222"/>
          <w:sz w:val="24"/>
          <w:szCs w:val="24"/>
          <w:shd w:val="clear" w:color="auto" w:fill="FFFFFF"/>
        </w:rPr>
        <w:t>Leal, S. M. (2005). Detection of genotyping errors and pseudo‐SNPs via deviations from Hardy‐Weinberg equilibrium. </w:t>
      </w:r>
      <w:r w:rsidRPr="00762824">
        <w:rPr>
          <w:rFonts w:asciiTheme="majorBidi" w:hAnsiTheme="majorBidi" w:cstheme="majorBidi"/>
          <w:i/>
          <w:iCs/>
          <w:color w:val="222222"/>
          <w:sz w:val="24"/>
          <w:szCs w:val="24"/>
          <w:shd w:val="clear" w:color="auto" w:fill="FFFFFF"/>
        </w:rPr>
        <w:t>Genetic Epidemiology: The Official Publication of the International Genetic Epidemiology Society</w:t>
      </w:r>
      <w:r w:rsidRPr="00762824">
        <w:rPr>
          <w:rFonts w:asciiTheme="majorBidi" w:hAnsiTheme="majorBidi" w:cstheme="majorBidi"/>
          <w:color w:val="222222"/>
          <w:sz w:val="24"/>
          <w:szCs w:val="24"/>
          <w:shd w:val="clear" w:color="auto" w:fill="FFFFFF"/>
        </w:rPr>
        <w:t>, </w:t>
      </w:r>
      <w:r w:rsidRPr="00762824">
        <w:rPr>
          <w:rFonts w:asciiTheme="majorBidi" w:hAnsiTheme="majorBidi" w:cstheme="majorBidi"/>
          <w:i/>
          <w:iCs/>
          <w:color w:val="222222"/>
          <w:sz w:val="24"/>
          <w:szCs w:val="24"/>
          <w:shd w:val="clear" w:color="auto" w:fill="FFFFFF"/>
        </w:rPr>
        <w:t>29</w:t>
      </w:r>
      <w:r w:rsidRPr="00762824">
        <w:rPr>
          <w:rFonts w:asciiTheme="majorBidi" w:hAnsiTheme="majorBidi" w:cstheme="majorBidi"/>
          <w:color w:val="222222"/>
          <w:sz w:val="24"/>
          <w:szCs w:val="24"/>
          <w:shd w:val="clear" w:color="auto" w:fill="FFFFFF"/>
        </w:rPr>
        <w:t>(3), 204-214.</w:t>
      </w:r>
      <w:r w:rsidRPr="00762824">
        <w:rPr>
          <w:rFonts w:asciiTheme="majorBidi" w:hAnsiTheme="majorBidi" w:cstheme="majorBidi"/>
          <w:color w:val="222222"/>
          <w:sz w:val="24"/>
          <w:szCs w:val="24"/>
          <w:shd w:val="clear" w:color="auto" w:fill="FFFFFF"/>
          <w:rtl/>
        </w:rPr>
        <w:t>‏</w:t>
      </w:r>
    </w:p>
    <w:p w14:paraId="11843E8C" w14:textId="77777777" w:rsidR="00390C8A" w:rsidRPr="00762824" w:rsidRDefault="00390C8A" w:rsidP="003D7B32">
      <w:pPr>
        <w:pStyle w:val="CommentText"/>
        <w:numPr>
          <w:ilvl w:val="0"/>
          <w:numId w:val="1"/>
        </w:numPr>
        <w:ind w:left="360" w:hanging="270"/>
        <w:jc w:val="both"/>
        <w:rPr>
          <w:rFonts w:asciiTheme="majorBidi" w:hAnsiTheme="majorBidi" w:cstheme="majorBidi"/>
          <w:sz w:val="24"/>
          <w:szCs w:val="24"/>
        </w:rPr>
      </w:pPr>
      <w:r w:rsidRPr="00762824">
        <w:rPr>
          <w:rFonts w:asciiTheme="majorBidi" w:hAnsiTheme="majorBidi" w:cstheme="majorBidi"/>
          <w:color w:val="222222"/>
          <w:sz w:val="24"/>
          <w:szCs w:val="24"/>
          <w:shd w:val="clear" w:color="auto" w:fill="FFFFFF"/>
        </w:rPr>
        <w:t>Zhang, L. (2021). </w:t>
      </w:r>
      <w:r w:rsidRPr="00762824">
        <w:rPr>
          <w:rFonts w:asciiTheme="majorBidi" w:hAnsiTheme="majorBidi" w:cstheme="majorBidi"/>
          <w:i/>
          <w:iCs/>
          <w:color w:val="222222"/>
          <w:sz w:val="24"/>
          <w:szCs w:val="24"/>
          <w:shd w:val="clear" w:color="auto" w:fill="FFFFFF"/>
        </w:rPr>
        <w:t>A General Study of Genetic Association Tests and the Test of Hardy-Weinberg Equilibrium</w:t>
      </w:r>
      <w:r w:rsidRPr="00762824">
        <w:rPr>
          <w:rFonts w:asciiTheme="majorBidi" w:hAnsiTheme="majorBidi" w:cstheme="majorBidi"/>
          <w:color w:val="222222"/>
          <w:sz w:val="24"/>
          <w:szCs w:val="24"/>
          <w:shd w:val="clear" w:color="auto" w:fill="FFFFFF"/>
        </w:rPr>
        <w:t> (Doctoral dissertation, University of Toronto (Canada)).</w:t>
      </w:r>
      <w:r w:rsidRPr="00762824">
        <w:rPr>
          <w:rFonts w:asciiTheme="majorBidi" w:hAnsiTheme="majorBidi" w:cstheme="majorBidi"/>
          <w:color w:val="222222"/>
          <w:sz w:val="24"/>
          <w:szCs w:val="24"/>
          <w:shd w:val="clear" w:color="auto" w:fill="FFFFFF"/>
          <w:rtl/>
        </w:rPr>
        <w:t>‏</w:t>
      </w:r>
    </w:p>
    <w:p w14:paraId="196048A5" w14:textId="77777777" w:rsidR="00071CEB" w:rsidRPr="00762824" w:rsidRDefault="00CC3067" w:rsidP="003D7B32">
      <w:pPr>
        <w:pStyle w:val="ListParagraph"/>
        <w:numPr>
          <w:ilvl w:val="0"/>
          <w:numId w:val="1"/>
        </w:numPr>
        <w:ind w:left="360" w:hanging="270"/>
        <w:jc w:val="both"/>
        <w:rPr>
          <w:rFonts w:asciiTheme="majorBidi" w:hAnsiTheme="majorBidi" w:cstheme="majorBidi"/>
          <w:b/>
          <w:bCs/>
          <w:sz w:val="24"/>
          <w:szCs w:val="24"/>
        </w:rPr>
      </w:pPr>
      <w:r w:rsidRPr="00762824">
        <w:rPr>
          <w:rFonts w:asciiTheme="majorBidi" w:hAnsiTheme="majorBidi" w:cstheme="majorBidi"/>
          <w:color w:val="222222"/>
          <w:sz w:val="24"/>
          <w:szCs w:val="24"/>
          <w:shd w:val="clear" w:color="auto" w:fill="FFFFFF"/>
        </w:rPr>
        <w:t xml:space="preserve">Ansari, M. G., Mohammed, A. K., Wani, K. A., Hussain, S. D., </w:t>
      </w:r>
      <w:proofErr w:type="spellStart"/>
      <w:r w:rsidRPr="00762824">
        <w:rPr>
          <w:rFonts w:asciiTheme="majorBidi" w:hAnsiTheme="majorBidi" w:cstheme="majorBidi"/>
          <w:color w:val="222222"/>
          <w:sz w:val="24"/>
          <w:szCs w:val="24"/>
          <w:shd w:val="clear" w:color="auto" w:fill="FFFFFF"/>
        </w:rPr>
        <w:t>Alnaami</w:t>
      </w:r>
      <w:proofErr w:type="spellEnd"/>
      <w:r w:rsidRPr="00762824">
        <w:rPr>
          <w:rFonts w:asciiTheme="majorBidi" w:hAnsiTheme="majorBidi" w:cstheme="majorBidi"/>
          <w:color w:val="222222"/>
          <w:sz w:val="24"/>
          <w:szCs w:val="24"/>
          <w:shd w:val="clear" w:color="auto" w:fill="FFFFFF"/>
        </w:rPr>
        <w:t>, A. M., Abdi, S., ... &amp; Al-</w:t>
      </w:r>
      <w:proofErr w:type="spellStart"/>
      <w:r w:rsidRPr="00762824">
        <w:rPr>
          <w:rFonts w:asciiTheme="majorBidi" w:hAnsiTheme="majorBidi" w:cstheme="majorBidi"/>
          <w:color w:val="222222"/>
          <w:sz w:val="24"/>
          <w:szCs w:val="24"/>
          <w:shd w:val="clear" w:color="auto" w:fill="FFFFFF"/>
        </w:rPr>
        <w:t>Daghri</w:t>
      </w:r>
      <w:proofErr w:type="spellEnd"/>
      <w:r w:rsidRPr="00762824">
        <w:rPr>
          <w:rFonts w:asciiTheme="majorBidi" w:hAnsiTheme="majorBidi" w:cstheme="majorBidi"/>
          <w:color w:val="222222"/>
          <w:sz w:val="24"/>
          <w:szCs w:val="24"/>
          <w:shd w:val="clear" w:color="auto" w:fill="FFFFFF"/>
        </w:rPr>
        <w:t xml:space="preserve">, N. M. (2021). Vitamin D receptor gene variants susceptible to osteoporosis in </w:t>
      </w:r>
      <w:proofErr w:type="spellStart"/>
      <w:r w:rsidRPr="00762824">
        <w:rPr>
          <w:rFonts w:asciiTheme="majorBidi" w:hAnsiTheme="majorBidi" w:cstheme="majorBidi"/>
          <w:color w:val="222222"/>
          <w:sz w:val="24"/>
          <w:szCs w:val="24"/>
          <w:shd w:val="clear" w:color="auto" w:fill="FFFFFF"/>
        </w:rPr>
        <w:t>arab</w:t>
      </w:r>
      <w:proofErr w:type="spellEnd"/>
      <w:r w:rsidRPr="00762824">
        <w:rPr>
          <w:rFonts w:asciiTheme="majorBidi" w:hAnsiTheme="majorBidi" w:cstheme="majorBidi"/>
          <w:color w:val="222222"/>
          <w:sz w:val="24"/>
          <w:szCs w:val="24"/>
          <w:shd w:val="clear" w:color="auto" w:fill="FFFFFF"/>
        </w:rPr>
        <w:t xml:space="preserve"> post-menopausal women. </w:t>
      </w:r>
      <w:r w:rsidRPr="00762824">
        <w:rPr>
          <w:rFonts w:asciiTheme="majorBidi" w:hAnsiTheme="majorBidi" w:cstheme="majorBidi"/>
          <w:i/>
          <w:iCs/>
          <w:color w:val="222222"/>
          <w:sz w:val="24"/>
          <w:szCs w:val="24"/>
          <w:shd w:val="clear" w:color="auto" w:fill="FFFFFF"/>
        </w:rPr>
        <w:t>Current Issues in Molecular Biology</w:t>
      </w:r>
      <w:r w:rsidRPr="00762824">
        <w:rPr>
          <w:rFonts w:asciiTheme="majorBidi" w:hAnsiTheme="majorBidi" w:cstheme="majorBidi"/>
          <w:color w:val="222222"/>
          <w:sz w:val="24"/>
          <w:szCs w:val="24"/>
          <w:shd w:val="clear" w:color="auto" w:fill="FFFFFF"/>
        </w:rPr>
        <w:t>, </w:t>
      </w:r>
      <w:r w:rsidRPr="00762824">
        <w:rPr>
          <w:rFonts w:asciiTheme="majorBidi" w:hAnsiTheme="majorBidi" w:cstheme="majorBidi"/>
          <w:i/>
          <w:iCs/>
          <w:color w:val="222222"/>
          <w:sz w:val="24"/>
          <w:szCs w:val="24"/>
          <w:shd w:val="clear" w:color="auto" w:fill="FFFFFF"/>
        </w:rPr>
        <w:t>43</w:t>
      </w:r>
      <w:r w:rsidRPr="00762824">
        <w:rPr>
          <w:rFonts w:asciiTheme="majorBidi" w:hAnsiTheme="majorBidi" w:cstheme="majorBidi"/>
          <w:color w:val="222222"/>
          <w:sz w:val="24"/>
          <w:szCs w:val="24"/>
          <w:shd w:val="clear" w:color="auto" w:fill="FFFFFF"/>
        </w:rPr>
        <w:t>(3), 1325-</w:t>
      </w:r>
      <w:r w:rsidR="00911242" w:rsidRPr="00762824">
        <w:rPr>
          <w:rFonts w:asciiTheme="majorBidi" w:hAnsiTheme="majorBidi" w:cstheme="majorBidi"/>
          <w:color w:val="222222"/>
          <w:sz w:val="24"/>
          <w:szCs w:val="24"/>
          <w:shd w:val="clear" w:color="auto" w:fill="FFFFFF"/>
        </w:rPr>
        <w:t>1334.</w:t>
      </w:r>
      <w:r w:rsidR="00911242" w:rsidRPr="00762824">
        <w:rPr>
          <w:rFonts w:asciiTheme="majorBidi" w:hAnsiTheme="majorBidi" w:cstheme="majorBidi"/>
          <w:color w:val="222222"/>
          <w:sz w:val="24"/>
          <w:szCs w:val="24"/>
          <w:shd w:val="clear" w:color="auto" w:fill="FFFFFF"/>
          <w:rtl/>
        </w:rPr>
        <w:t xml:space="preserve"> ‏</w:t>
      </w:r>
    </w:p>
    <w:p w14:paraId="1DCFACDF" w14:textId="77777777" w:rsidR="00E46C10" w:rsidRPr="00762824" w:rsidRDefault="00E46C10" w:rsidP="003D7B32">
      <w:pPr>
        <w:pStyle w:val="ListParagraph"/>
        <w:numPr>
          <w:ilvl w:val="0"/>
          <w:numId w:val="1"/>
        </w:numPr>
        <w:ind w:left="360" w:hanging="270"/>
        <w:jc w:val="both"/>
        <w:rPr>
          <w:rFonts w:asciiTheme="majorBidi" w:hAnsiTheme="majorBidi" w:cstheme="majorBidi"/>
          <w:b/>
          <w:bCs/>
          <w:sz w:val="24"/>
          <w:szCs w:val="24"/>
        </w:rPr>
      </w:pPr>
      <w:r w:rsidRPr="00762824">
        <w:rPr>
          <w:rFonts w:asciiTheme="majorBidi" w:hAnsiTheme="majorBidi" w:cstheme="majorBidi"/>
          <w:color w:val="222222"/>
          <w:sz w:val="24"/>
          <w:szCs w:val="24"/>
          <w:shd w:val="clear" w:color="auto" w:fill="FFFFFF"/>
        </w:rPr>
        <w:t>Mishra, A., &amp; Agnihotri, S. (2018). VDR Taq1 gene polymorphism in osteoporosis: A study from central India. </w:t>
      </w:r>
      <w:r w:rsidRPr="00762824">
        <w:rPr>
          <w:rFonts w:asciiTheme="majorBidi" w:hAnsiTheme="majorBidi" w:cstheme="majorBidi"/>
          <w:i/>
          <w:iCs/>
          <w:color w:val="222222"/>
          <w:sz w:val="24"/>
          <w:szCs w:val="24"/>
          <w:shd w:val="clear" w:color="auto" w:fill="FFFFFF"/>
        </w:rPr>
        <w:t>International Journal of Pharmacy &amp; Life Sciences</w:t>
      </w:r>
      <w:r w:rsidRPr="00762824">
        <w:rPr>
          <w:rFonts w:asciiTheme="majorBidi" w:hAnsiTheme="majorBidi" w:cstheme="majorBidi"/>
          <w:color w:val="222222"/>
          <w:sz w:val="24"/>
          <w:szCs w:val="24"/>
          <w:shd w:val="clear" w:color="auto" w:fill="FFFFFF"/>
        </w:rPr>
        <w:t>, </w:t>
      </w:r>
      <w:r w:rsidRPr="00762824">
        <w:rPr>
          <w:rFonts w:asciiTheme="majorBidi" w:hAnsiTheme="majorBidi" w:cstheme="majorBidi"/>
          <w:i/>
          <w:iCs/>
          <w:color w:val="222222"/>
          <w:sz w:val="24"/>
          <w:szCs w:val="24"/>
          <w:shd w:val="clear" w:color="auto" w:fill="FFFFFF"/>
        </w:rPr>
        <w:t>9</w:t>
      </w:r>
      <w:r w:rsidRPr="00762824">
        <w:rPr>
          <w:rFonts w:asciiTheme="majorBidi" w:hAnsiTheme="majorBidi" w:cstheme="majorBidi"/>
          <w:color w:val="222222"/>
          <w:sz w:val="24"/>
          <w:szCs w:val="24"/>
          <w:shd w:val="clear" w:color="auto" w:fill="FFFFFF"/>
        </w:rPr>
        <w:t>(3).</w:t>
      </w:r>
      <w:r w:rsidRPr="00762824">
        <w:rPr>
          <w:rFonts w:asciiTheme="majorBidi" w:hAnsiTheme="majorBidi" w:cstheme="majorBidi"/>
          <w:color w:val="222222"/>
          <w:sz w:val="24"/>
          <w:szCs w:val="24"/>
          <w:shd w:val="clear" w:color="auto" w:fill="FFFFFF"/>
          <w:rtl/>
        </w:rPr>
        <w:t>‏</w:t>
      </w:r>
    </w:p>
    <w:p w14:paraId="4327B310" w14:textId="77777777" w:rsidR="00911242" w:rsidRPr="00762824" w:rsidRDefault="00911242" w:rsidP="003D7B32">
      <w:pPr>
        <w:pStyle w:val="ListParagraph"/>
        <w:numPr>
          <w:ilvl w:val="0"/>
          <w:numId w:val="1"/>
        </w:numPr>
        <w:ind w:left="360" w:hanging="270"/>
        <w:jc w:val="both"/>
        <w:rPr>
          <w:rFonts w:asciiTheme="majorBidi" w:hAnsiTheme="majorBidi" w:cstheme="majorBidi"/>
          <w:sz w:val="24"/>
          <w:szCs w:val="24"/>
        </w:rPr>
      </w:pPr>
      <w:r w:rsidRPr="00762824">
        <w:rPr>
          <w:rFonts w:asciiTheme="majorBidi" w:hAnsiTheme="majorBidi" w:cstheme="majorBidi"/>
          <w:color w:val="222222"/>
          <w:sz w:val="24"/>
          <w:szCs w:val="24"/>
          <w:shd w:val="clear" w:color="auto" w:fill="FFFFFF"/>
        </w:rPr>
        <w:t xml:space="preserve">Ramírez Ruiz, C., Varo </w:t>
      </w:r>
      <w:proofErr w:type="spellStart"/>
      <w:r w:rsidRPr="00762824">
        <w:rPr>
          <w:rFonts w:asciiTheme="majorBidi" w:hAnsiTheme="majorBidi" w:cstheme="majorBidi"/>
          <w:color w:val="222222"/>
          <w:sz w:val="24"/>
          <w:szCs w:val="24"/>
          <w:shd w:val="clear" w:color="auto" w:fill="FFFFFF"/>
        </w:rPr>
        <w:t>Cenarruzabeitia</w:t>
      </w:r>
      <w:proofErr w:type="spellEnd"/>
      <w:r w:rsidRPr="00762824">
        <w:rPr>
          <w:rFonts w:asciiTheme="majorBidi" w:hAnsiTheme="majorBidi" w:cstheme="majorBidi"/>
          <w:color w:val="222222"/>
          <w:sz w:val="24"/>
          <w:szCs w:val="24"/>
          <w:shd w:val="clear" w:color="auto" w:fill="FFFFFF"/>
        </w:rPr>
        <w:t>, N., Martínez Villanueva, M., Hernández Martínez, A. M., &amp; Noguera Velasco, J. A. (2024). Osteocalcin associates with bone mineral density and VDR gene polymorphisms in type 1 and type 2 diabetes. </w:t>
      </w:r>
      <w:r w:rsidRPr="00762824">
        <w:rPr>
          <w:rFonts w:asciiTheme="majorBidi" w:hAnsiTheme="majorBidi" w:cstheme="majorBidi"/>
          <w:i/>
          <w:iCs/>
          <w:color w:val="222222"/>
          <w:sz w:val="24"/>
          <w:szCs w:val="24"/>
          <w:shd w:val="clear" w:color="auto" w:fill="FFFFFF"/>
        </w:rPr>
        <w:t>Advances in Laboratory Medicine/</w:t>
      </w:r>
      <w:proofErr w:type="spellStart"/>
      <w:r w:rsidRPr="00762824">
        <w:rPr>
          <w:rFonts w:asciiTheme="majorBidi" w:hAnsiTheme="majorBidi" w:cstheme="majorBidi"/>
          <w:i/>
          <w:iCs/>
          <w:color w:val="222222"/>
          <w:sz w:val="24"/>
          <w:szCs w:val="24"/>
          <w:shd w:val="clear" w:color="auto" w:fill="FFFFFF"/>
        </w:rPr>
        <w:t>Avances</w:t>
      </w:r>
      <w:proofErr w:type="spellEnd"/>
      <w:r w:rsidRPr="00762824">
        <w:rPr>
          <w:rFonts w:asciiTheme="majorBidi" w:hAnsiTheme="majorBidi" w:cstheme="majorBidi"/>
          <w:i/>
          <w:iCs/>
          <w:color w:val="222222"/>
          <w:sz w:val="24"/>
          <w:szCs w:val="24"/>
          <w:shd w:val="clear" w:color="auto" w:fill="FFFFFF"/>
        </w:rPr>
        <w:t xml:space="preserve"> </w:t>
      </w:r>
      <w:proofErr w:type="spellStart"/>
      <w:r w:rsidRPr="00762824">
        <w:rPr>
          <w:rFonts w:asciiTheme="majorBidi" w:hAnsiTheme="majorBidi" w:cstheme="majorBidi"/>
          <w:i/>
          <w:iCs/>
          <w:color w:val="222222"/>
          <w:sz w:val="24"/>
          <w:szCs w:val="24"/>
          <w:shd w:val="clear" w:color="auto" w:fill="FFFFFF"/>
        </w:rPr>
        <w:t>en</w:t>
      </w:r>
      <w:proofErr w:type="spellEnd"/>
      <w:r w:rsidRPr="00762824">
        <w:rPr>
          <w:rFonts w:asciiTheme="majorBidi" w:hAnsiTheme="majorBidi" w:cstheme="majorBidi"/>
          <w:i/>
          <w:iCs/>
          <w:color w:val="222222"/>
          <w:sz w:val="24"/>
          <w:szCs w:val="24"/>
          <w:shd w:val="clear" w:color="auto" w:fill="FFFFFF"/>
        </w:rPr>
        <w:t xml:space="preserve"> </w:t>
      </w:r>
      <w:proofErr w:type="spellStart"/>
      <w:r w:rsidRPr="00762824">
        <w:rPr>
          <w:rFonts w:asciiTheme="majorBidi" w:hAnsiTheme="majorBidi" w:cstheme="majorBidi"/>
          <w:i/>
          <w:iCs/>
          <w:color w:val="222222"/>
          <w:sz w:val="24"/>
          <w:szCs w:val="24"/>
          <w:shd w:val="clear" w:color="auto" w:fill="FFFFFF"/>
        </w:rPr>
        <w:t>Medicina</w:t>
      </w:r>
      <w:proofErr w:type="spellEnd"/>
      <w:r w:rsidRPr="00762824">
        <w:rPr>
          <w:rFonts w:asciiTheme="majorBidi" w:hAnsiTheme="majorBidi" w:cstheme="majorBidi"/>
          <w:i/>
          <w:iCs/>
          <w:color w:val="222222"/>
          <w:sz w:val="24"/>
          <w:szCs w:val="24"/>
          <w:shd w:val="clear" w:color="auto" w:fill="FFFFFF"/>
        </w:rPr>
        <w:t xml:space="preserve"> de Laboratorio</w:t>
      </w:r>
      <w:r w:rsidRPr="00762824">
        <w:rPr>
          <w:rFonts w:asciiTheme="majorBidi" w:hAnsiTheme="majorBidi" w:cstheme="majorBidi"/>
          <w:color w:val="222222"/>
          <w:sz w:val="24"/>
          <w:szCs w:val="24"/>
          <w:shd w:val="clear" w:color="auto" w:fill="FFFFFF"/>
        </w:rPr>
        <w:t>, </w:t>
      </w:r>
      <w:r w:rsidRPr="00762824">
        <w:rPr>
          <w:rFonts w:asciiTheme="majorBidi" w:hAnsiTheme="majorBidi" w:cstheme="majorBidi"/>
          <w:i/>
          <w:iCs/>
          <w:color w:val="222222"/>
          <w:sz w:val="24"/>
          <w:szCs w:val="24"/>
          <w:shd w:val="clear" w:color="auto" w:fill="FFFFFF"/>
        </w:rPr>
        <w:t>5</w:t>
      </w:r>
      <w:r w:rsidRPr="00762824">
        <w:rPr>
          <w:rFonts w:asciiTheme="majorBidi" w:hAnsiTheme="majorBidi" w:cstheme="majorBidi"/>
          <w:color w:val="222222"/>
          <w:sz w:val="24"/>
          <w:szCs w:val="24"/>
          <w:shd w:val="clear" w:color="auto" w:fill="FFFFFF"/>
        </w:rPr>
        <w:t>(1), 46-55.</w:t>
      </w:r>
      <w:r w:rsidRPr="00762824">
        <w:rPr>
          <w:rFonts w:asciiTheme="majorBidi" w:hAnsiTheme="majorBidi" w:cstheme="majorBidi"/>
          <w:color w:val="222222"/>
          <w:sz w:val="24"/>
          <w:szCs w:val="24"/>
          <w:shd w:val="clear" w:color="auto" w:fill="FFFFFF"/>
          <w:rtl/>
        </w:rPr>
        <w:t xml:space="preserve"> ‏</w:t>
      </w:r>
    </w:p>
    <w:p w14:paraId="650D54A9" w14:textId="77777777" w:rsidR="00911242" w:rsidRPr="00762824" w:rsidRDefault="002D16E7" w:rsidP="003D7B32">
      <w:pPr>
        <w:pStyle w:val="ListParagraph"/>
        <w:numPr>
          <w:ilvl w:val="0"/>
          <w:numId w:val="1"/>
        </w:numPr>
        <w:ind w:left="360" w:hanging="270"/>
        <w:jc w:val="both"/>
        <w:rPr>
          <w:rFonts w:asciiTheme="majorBidi" w:hAnsiTheme="majorBidi" w:cstheme="majorBidi"/>
          <w:color w:val="222222"/>
          <w:sz w:val="24"/>
          <w:szCs w:val="24"/>
          <w:shd w:val="clear" w:color="auto" w:fill="FFFFFF"/>
        </w:rPr>
      </w:pPr>
      <w:proofErr w:type="spellStart"/>
      <w:r w:rsidRPr="00762824">
        <w:rPr>
          <w:rFonts w:asciiTheme="majorBidi" w:hAnsiTheme="majorBidi" w:cstheme="majorBidi"/>
          <w:color w:val="222222"/>
          <w:sz w:val="24"/>
          <w:szCs w:val="24"/>
          <w:shd w:val="clear" w:color="auto" w:fill="FFFFFF"/>
        </w:rPr>
        <w:t>Rudenka</w:t>
      </w:r>
      <w:proofErr w:type="spellEnd"/>
      <w:r w:rsidRPr="00762824">
        <w:rPr>
          <w:rFonts w:asciiTheme="majorBidi" w:hAnsiTheme="majorBidi" w:cstheme="majorBidi"/>
          <w:color w:val="222222"/>
          <w:sz w:val="24"/>
          <w:szCs w:val="24"/>
          <w:shd w:val="clear" w:color="auto" w:fill="FFFFFF"/>
        </w:rPr>
        <w:t xml:space="preserve">, A. V., </w:t>
      </w:r>
      <w:proofErr w:type="spellStart"/>
      <w:r w:rsidRPr="00762824">
        <w:rPr>
          <w:rFonts w:asciiTheme="majorBidi" w:hAnsiTheme="majorBidi" w:cstheme="majorBidi"/>
          <w:color w:val="222222"/>
          <w:sz w:val="24"/>
          <w:szCs w:val="24"/>
          <w:shd w:val="clear" w:color="auto" w:fill="FFFFFF"/>
        </w:rPr>
        <w:t>Rudenka</w:t>
      </w:r>
      <w:proofErr w:type="spellEnd"/>
      <w:r w:rsidRPr="00762824">
        <w:rPr>
          <w:rFonts w:asciiTheme="majorBidi" w:hAnsiTheme="majorBidi" w:cstheme="majorBidi"/>
          <w:color w:val="222222"/>
          <w:sz w:val="24"/>
          <w:szCs w:val="24"/>
          <w:shd w:val="clear" w:color="auto" w:fill="FFFFFF"/>
        </w:rPr>
        <w:t xml:space="preserve">, E. V., </w:t>
      </w:r>
      <w:proofErr w:type="spellStart"/>
      <w:r w:rsidRPr="00762824">
        <w:rPr>
          <w:rFonts w:asciiTheme="majorBidi" w:hAnsiTheme="majorBidi" w:cstheme="majorBidi"/>
          <w:color w:val="222222"/>
          <w:sz w:val="24"/>
          <w:szCs w:val="24"/>
          <w:shd w:val="clear" w:color="auto" w:fill="FFFFFF"/>
        </w:rPr>
        <w:t>Samokhovec</w:t>
      </w:r>
      <w:proofErr w:type="spellEnd"/>
      <w:r w:rsidRPr="00762824">
        <w:rPr>
          <w:rFonts w:asciiTheme="majorBidi" w:hAnsiTheme="majorBidi" w:cstheme="majorBidi"/>
          <w:color w:val="222222"/>
          <w:sz w:val="24"/>
          <w:szCs w:val="24"/>
          <w:shd w:val="clear" w:color="auto" w:fill="FFFFFF"/>
        </w:rPr>
        <w:t xml:space="preserve">, V. Y., Kobets, K. V., &amp; </w:t>
      </w:r>
      <w:proofErr w:type="spellStart"/>
      <w:r w:rsidRPr="00762824">
        <w:rPr>
          <w:rFonts w:asciiTheme="majorBidi" w:hAnsiTheme="majorBidi" w:cstheme="majorBidi"/>
          <w:color w:val="222222"/>
          <w:sz w:val="24"/>
          <w:szCs w:val="24"/>
          <w:shd w:val="clear" w:color="auto" w:fill="FFFFFF"/>
        </w:rPr>
        <w:t>Marozik</w:t>
      </w:r>
      <w:proofErr w:type="spellEnd"/>
      <w:r w:rsidRPr="00762824">
        <w:rPr>
          <w:rFonts w:asciiTheme="majorBidi" w:hAnsiTheme="majorBidi" w:cstheme="majorBidi"/>
          <w:color w:val="222222"/>
          <w:sz w:val="24"/>
          <w:szCs w:val="24"/>
          <w:shd w:val="clear" w:color="auto" w:fill="FFFFFF"/>
        </w:rPr>
        <w:t>, P. M. (2020). Vitamin D receptor gene polymorphism, bone mineral density and 25 (OH) D level in women with osteoporosis. </w:t>
      </w:r>
      <w:proofErr w:type="spellStart"/>
      <w:r w:rsidRPr="00762824">
        <w:rPr>
          <w:rFonts w:asciiTheme="majorBidi" w:hAnsiTheme="majorBidi" w:cstheme="majorBidi"/>
          <w:i/>
          <w:iCs/>
          <w:color w:val="222222"/>
          <w:sz w:val="24"/>
          <w:szCs w:val="24"/>
          <w:shd w:val="clear" w:color="auto" w:fill="FFFFFF"/>
        </w:rPr>
        <w:t>Весці</w:t>
      </w:r>
      <w:proofErr w:type="spellEnd"/>
      <w:r w:rsidRPr="00762824">
        <w:rPr>
          <w:rFonts w:asciiTheme="majorBidi" w:hAnsiTheme="majorBidi" w:cstheme="majorBidi"/>
          <w:i/>
          <w:iCs/>
          <w:color w:val="222222"/>
          <w:sz w:val="24"/>
          <w:szCs w:val="24"/>
          <w:shd w:val="clear" w:color="auto" w:fill="FFFFFF"/>
        </w:rPr>
        <w:t xml:space="preserve"> </w:t>
      </w:r>
      <w:proofErr w:type="spellStart"/>
      <w:r w:rsidRPr="00762824">
        <w:rPr>
          <w:rFonts w:asciiTheme="majorBidi" w:hAnsiTheme="majorBidi" w:cstheme="majorBidi"/>
          <w:i/>
          <w:iCs/>
          <w:color w:val="222222"/>
          <w:sz w:val="24"/>
          <w:szCs w:val="24"/>
          <w:shd w:val="clear" w:color="auto" w:fill="FFFFFF"/>
        </w:rPr>
        <w:t>Нацыянальнай</w:t>
      </w:r>
      <w:proofErr w:type="spellEnd"/>
      <w:r w:rsidRPr="00762824">
        <w:rPr>
          <w:rFonts w:asciiTheme="majorBidi" w:hAnsiTheme="majorBidi" w:cstheme="majorBidi"/>
          <w:i/>
          <w:iCs/>
          <w:color w:val="222222"/>
          <w:sz w:val="24"/>
          <w:szCs w:val="24"/>
          <w:shd w:val="clear" w:color="auto" w:fill="FFFFFF"/>
        </w:rPr>
        <w:t xml:space="preserve"> </w:t>
      </w:r>
      <w:proofErr w:type="spellStart"/>
      <w:r w:rsidRPr="00762824">
        <w:rPr>
          <w:rFonts w:asciiTheme="majorBidi" w:hAnsiTheme="majorBidi" w:cstheme="majorBidi"/>
          <w:i/>
          <w:iCs/>
          <w:color w:val="222222"/>
          <w:sz w:val="24"/>
          <w:szCs w:val="24"/>
          <w:shd w:val="clear" w:color="auto" w:fill="FFFFFF"/>
        </w:rPr>
        <w:t>акадэміі</w:t>
      </w:r>
      <w:proofErr w:type="spellEnd"/>
      <w:r w:rsidRPr="00762824">
        <w:rPr>
          <w:rFonts w:asciiTheme="majorBidi" w:hAnsiTheme="majorBidi" w:cstheme="majorBidi"/>
          <w:i/>
          <w:iCs/>
          <w:color w:val="222222"/>
          <w:sz w:val="24"/>
          <w:szCs w:val="24"/>
          <w:shd w:val="clear" w:color="auto" w:fill="FFFFFF"/>
        </w:rPr>
        <w:t xml:space="preserve"> </w:t>
      </w:r>
      <w:proofErr w:type="spellStart"/>
      <w:r w:rsidRPr="00762824">
        <w:rPr>
          <w:rFonts w:asciiTheme="majorBidi" w:hAnsiTheme="majorBidi" w:cstheme="majorBidi"/>
          <w:i/>
          <w:iCs/>
          <w:color w:val="222222"/>
          <w:sz w:val="24"/>
          <w:szCs w:val="24"/>
          <w:shd w:val="clear" w:color="auto" w:fill="FFFFFF"/>
        </w:rPr>
        <w:t>навук</w:t>
      </w:r>
      <w:proofErr w:type="spellEnd"/>
      <w:r w:rsidRPr="00762824">
        <w:rPr>
          <w:rFonts w:asciiTheme="majorBidi" w:hAnsiTheme="majorBidi" w:cstheme="majorBidi"/>
          <w:i/>
          <w:iCs/>
          <w:color w:val="222222"/>
          <w:sz w:val="24"/>
          <w:szCs w:val="24"/>
          <w:shd w:val="clear" w:color="auto" w:fill="FFFFFF"/>
        </w:rPr>
        <w:t xml:space="preserve"> </w:t>
      </w:r>
      <w:proofErr w:type="spellStart"/>
      <w:r w:rsidRPr="00762824">
        <w:rPr>
          <w:rFonts w:asciiTheme="majorBidi" w:hAnsiTheme="majorBidi" w:cstheme="majorBidi"/>
          <w:i/>
          <w:iCs/>
          <w:color w:val="222222"/>
          <w:sz w:val="24"/>
          <w:szCs w:val="24"/>
          <w:shd w:val="clear" w:color="auto" w:fill="FFFFFF"/>
        </w:rPr>
        <w:t>Беларусі</w:t>
      </w:r>
      <w:proofErr w:type="spellEnd"/>
      <w:r w:rsidRPr="00762824">
        <w:rPr>
          <w:rFonts w:asciiTheme="majorBidi" w:hAnsiTheme="majorBidi" w:cstheme="majorBidi"/>
          <w:i/>
          <w:iCs/>
          <w:color w:val="222222"/>
          <w:sz w:val="24"/>
          <w:szCs w:val="24"/>
          <w:shd w:val="clear" w:color="auto" w:fill="FFFFFF"/>
        </w:rPr>
        <w:t xml:space="preserve">. </w:t>
      </w:r>
      <w:proofErr w:type="spellStart"/>
      <w:r w:rsidRPr="00762824">
        <w:rPr>
          <w:rFonts w:asciiTheme="majorBidi" w:hAnsiTheme="majorBidi" w:cstheme="majorBidi"/>
          <w:i/>
          <w:iCs/>
          <w:color w:val="222222"/>
          <w:sz w:val="24"/>
          <w:szCs w:val="24"/>
          <w:shd w:val="clear" w:color="auto" w:fill="FFFFFF"/>
        </w:rPr>
        <w:t>Серыя</w:t>
      </w:r>
      <w:proofErr w:type="spellEnd"/>
      <w:r w:rsidRPr="00762824">
        <w:rPr>
          <w:rFonts w:asciiTheme="majorBidi" w:hAnsiTheme="majorBidi" w:cstheme="majorBidi"/>
          <w:i/>
          <w:iCs/>
          <w:color w:val="222222"/>
          <w:sz w:val="24"/>
          <w:szCs w:val="24"/>
          <w:shd w:val="clear" w:color="auto" w:fill="FFFFFF"/>
        </w:rPr>
        <w:t xml:space="preserve"> </w:t>
      </w:r>
      <w:proofErr w:type="spellStart"/>
      <w:r w:rsidRPr="00762824">
        <w:rPr>
          <w:rFonts w:asciiTheme="majorBidi" w:hAnsiTheme="majorBidi" w:cstheme="majorBidi"/>
          <w:i/>
          <w:iCs/>
          <w:color w:val="222222"/>
          <w:sz w:val="24"/>
          <w:szCs w:val="24"/>
          <w:shd w:val="clear" w:color="auto" w:fill="FFFFFF"/>
        </w:rPr>
        <w:t>медыцынскіх</w:t>
      </w:r>
      <w:proofErr w:type="spellEnd"/>
      <w:r w:rsidRPr="00762824">
        <w:rPr>
          <w:rFonts w:asciiTheme="majorBidi" w:hAnsiTheme="majorBidi" w:cstheme="majorBidi"/>
          <w:i/>
          <w:iCs/>
          <w:color w:val="222222"/>
          <w:sz w:val="24"/>
          <w:szCs w:val="24"/>
          <w:shd w:val="clear" w:color="auto" w:fill="FFFFFF"/>
        </w:rPr>
        <w:t xml:space="preserve"> </w:t>
      </w:r>
      <w:proofErr w:type="spellStart"/>
      <w:r w:rsidRPr="00762824">
        <w:rPr>
          <w:rFonts w:asciiTheme="majorBidi" w:hAnsiTheme="majorBidi" w:cstheme="majorBidi"/>
          <w:i/>
          <w:iCs/>
          <w:color w:val="222222"/>
          <w:sz w:val="24"/>
          <w:szCs w:val="24"/>
          <w:shd w:val="clear" w:color="auto" w:fill="FFFFFF"/>
        </w:rPr>
        <w:t>навук</w:t>
      </w:r>
      <w:proofErr w:type="spellEnd"/>
      <w:r w:rsidRPr="00762824">
        <w:rPr>
          <w:rFonts w:asciiTheme="majorBidi" w:hAnsiTheme="majorBidi" w:cstheme="majorBidi"/>
          <w:color w:val="222222"/>
          <w:sz w:val="24"/>
          <w:szCs w:val="24"/>
          <w:shd w:val="clear" w:color="auto" w:fill="FFFFFF"/>
        </w:rPr>
        <w:t>, </w:t>
      </w:r>
      <w:r w:rsidRPr="00762824">
        <w:rPr>
          <w:rFonts w:asciiTheme="majorBidi" w:hAnsiTheme="majorBidi" w:cstheme="majorBidi"/>
          <w:i/>
          <w:iCs/>
          <w:color w:val="222222"/>
          <w:sz w:val="24"/>
          <w:szCs w:val="24"/>
          <w:shd w:val="clear" w:color="auto" w:fill="FFFFFF"/>
        </w:rPr>
        <w:t>17</w:t>
      </w:r>
      <w:r w:rsidRPr="00762824">
        <w:rPr>
          <w:rFonts w:asciiTheme="majorBidi" w:hAnsiTheme="majorBidi" w:cstheme="majorBidi"/>
          <w:color w:val="222222"/>
          <w:sz w:val="24"/>
          <w:szCs w:val="24"/>
          <w:shd w:val="clear" w:color="auto" w:fill="FFFFFF"/>
        </w:rPr>
        <w:t>(4), 480-492.</w:t>
      </w:r>
    </w:p>
    <w:p w14:paraId="4B75CE28" w14:textId="77777777" w:rsidR="00196B28" w:rsidRPr="00762824" w:rsidRDefault="00196B28" w:rsidP="003D7B32">
      <w:pPr>
        <w:pStyle w:val="ListParagraph"/>
        <w:numPr>
          <w:ilvl w:val="0"/>
          <w:numId w:val="1"/>
        </w:numPr>
        <w:ind w:left="360" w:hanging="270"/>
        <w:jc w:val="both"/>
        <w:rPr>
          <w:rFonts w:asciiTheme="majorBidi" w:hAnsiTheme="majorBidi" w:cstheme="majorBidi"/>
          <w:color w:val="222222"/>
          <w:sz w:val="24"/>
          <w:szCs w:val="24"/>
          <w:shd w:val="clear" w:color="auto" w:fill="FFFFFF"/>
        </w:rPr>
      </w:pPr>
      <w:proofErr w:type="spellStart"/>
      <w:r w:rsidRPr="00762824">
        <w:rPr>
          <w:rFonts w:asciiTheme="majorBidi" w:hAnsiTheme="majorBidi" w:cstheme="majorBidi"/>
          <w:color w:val="222222"/>
          <w:sz w:val="24"/>
          <w:szCs w:val="24"/>
          <w:shd w:val="clear" w:color="auto" w:fill="FFFFFF"/>
        </w:rPr>
        <w:lastRenderedPageBreak/>
        <w:t>Alzaim</w:t>
      </w:r>
      <w:proofErr w:type="spellEnd"/>
      <w:r w:rsidRPr="00762824">
        <w:rPr>
          <w:rFonts w:asciiTheme="majorBidi" w:hAnsiTheme="majorBidi" w:cstheme="majorBidi"/>
          <w:color w:val="222222"/>
          <w:sz w:val="24"/>
          <w:szCs w:val="24"/>
          <w:shd w:val="clear" w:color="auto" w:fill="FFFFFF"/>
        </w:rPr>
        <w:t xml:space="preserve">, M., Ansari, M. G., Al-Masri, A. A., Khattak, M. N., </w:t>
      </w:r>
      <w:proofErr w:type="spellStart"/>
      <w:r w:rsidRPr="00762824">
        <w:rPr>
          <w:rFonts w:asciiTheme="majorBidi" w:hAnsiTheme="majorBidi" w:cstheme="majorBidi"/>
          <w:color w:val="222222"/>
          <w:sz w:val="24"/>
          <w:szCs w:val="24"/>
          <w:shd w:val="clear" w:color="auto" w:fill="FFFFFF"/>
        </w:rPr>
        <w:t>Alamro</w:t>
      </w:r>
      <w:proofErr w:type="spellEnd"/>
      <w:r w:rsidRPr="00762824">
        <w:rPr>
          <w:rFonts w:asciiTheme="majorBidi" w:hAnsiTheme="majorBidi" w:cstheme="majorBidi"/>
          <w:color w:val="222222"/>
          <w:sz w:val="24"/>
          <w:szCs w:val="24"/>
          <w:shd w:val="clear" w:color="auto" w:fill="FFFFFF"/>
        </w:rPr>
        <w:t>, A., Alghamdi, A., ... &amp; Al-</w:t>
      </w:r>
      <w:proofErr w:type="spellStart"/>
      <w:r w:rsidRPr="00762824">
        <w:rPr>
          <w:rFonts w:asciiTheme="majorBidi" w:hAnsiTheme="majorBidi" w:cstheme="majorBidi"/>
          <w:color w:val="222222"/>
          <w:sz w:val="24"/>
          <w:szCs w:val="24"/>
          <w:shd w:val="clear" w:color="auto" w:fill="FFFFFF"/>
        </w:rPr>
        <w:t>Daghri</w:t>
      </w:r>
      <w:proofErr w:type="spellEnd"/>
      <w:r w:rsidRPr="00762824">
        <w:rPr>
          <w:rFonts w:asciiTheme="majorBidi" w:hAnsiTheme="majorBidi" w:cstheme="majorBidi"/>
          <w:color w:val="222222"/>
          <w:sz w:val="24"/>
          <w:szCs w:val="24"/>
          <w:shd w:val="clear" w:color="auto" w:fill="FFFFFF"/>
        </w:rPr>
        <w:t>, N. M. (2024). Association of VDR gene variant rs2228570-FokI with gestational diabetes mellitus susceptibility in Arab women. </w:t>
      </w:r>
      <w:proofErr w:type="spellStart"/>
      <w:r w:rsidRPr="00762824">
        <w:rPr>
          <w:rFonts w:asciiTheme="majorBidi" w:hAnsiTheme="majorBidi" w:cstheme="majorBidi"/>
          <w:i/>
          <w:iCs/>
          <w:color w:val="222222"/>
          <w:sz w:val="24"/>
          <w:szCs w:val="24"/>
          <w:shd w:val="clear" w:color="auto" w:fill="FFFFFF"/>
        </w:rPr>
        <w:t>Heliyon</w:t>
      </w:r>
      <w:proofErr w:type="spellEnd"/>
      <w:r w:rsidRPr="00762824">
        <w:rPr>
          <w:rFonts w:asciiTheme="majorBidi" w:hAnsiTheme="majorBidi" w:cstheme="majorBidi"/>
          <w:color w:val="222222"/>
          <w:sz w:val="24"/>
          <w:szCs w:val="24"/>
          <w:shd w:val="clear" w:color="auto" w:fill="FFFFFF"/>
        </w:rPr>
        <w:t>.</w:t>
      </w:r>
      <w:r w:rsidRPr="00762824">
        <w:rPr>
          <w:rFonts w:asciiTheme="majorBidi" w:hAnsiTheme="majorBidi" w:cstheme="majorBidi"/>
          <w:color w:val="222222"/>
          <w:sz w:val="24"/>
          <w:szCs w:val="24"/>
          <w:shd w:val="clear" w:color="auto" w:fill="FFFFFF"/>
          <w:rtl/>
        </w:rPr>
        <w:t>‏</w:t>
      </w:r>
    </w:p>
    <w:p w14:paraId="0172AA8E" w14:textId="77777777" w:rsidR="00196B28" w:rsidRPr="00762824" w:rsidRDefault="00196B28" w:rsidP="003D7B32">
      <w:pPr>
        <w:pStyle w:val="ListParagraph"/>
        <w:numPr>
          <w:ilvl w:val="0"/>
          <w:numId w:val="1"/>
        </w:numPr>
        <w:ind w:left="360" w:hanging="270"/>
        <w:jc w:val="both"/>
        <w:rPr>
          <w:rFonts w:asciiTheme="majorBidi" w:hAnsiTheme="majorBidi" w:cstheme="majorBidi"/>
          <w:color w:val="222222"/>
          <w:sz w:val="24"/>
          <w:szCs w:val="24"/>
          <w:shd w:val="clear" w:color="auto" w:fill="FFFFFF"/>
        </w:rPr>
      </w:pPr>
      <w:r w:rsidRPr="00762824">
        <w:rPr>
          <w:rFonts w:asciiTheme="majorBidi" w:hAnsiTheme="majorBidi" w:cstheme="majorBidi"/>
          <w:color w:val="222222"/>
          <w:sz w:val="24"/>
          <w:szCs w:val="24"/>
          <w:shd w:val="clear" w:color="auto" w:fill="FFFFFF"/>
        </w:rPr>
        <w:t xml:space="preserve">Aravindhan, S., </w:t>
      </w:r>
      <w:proofErr w:type="spellStart"/>
      <w:r w:rsidRPr="00762824">
        <w:rPr>
          <w:rFonts w:asciiTheme="majorBidi" w:hAnsiTheme="majorBidi" w:cstheme="majorBidi"/>
          <w:color w:val="222222"/>
          <w:sz w:val="24"/>
          <w:szCs w:val="24"/>
          <w:shd w:val="clear" w:color="auto" w:fill="FFFFFF"/>
        </w:rPr>
        <w:t>Almasoody</w:t>
      </w:r>
      <w:proofErr w:type="spellEnd"/>
      <w:r w:rsidRPr="00762824">
        <w:rPr>
          <w:rFonts w:asciiTheme="majorBidi" w:hAnsiTheme="majorBidi" w:cstheme="majorBidi"/>
          <w:color w:val="222222"/>
          <w:sz w:val="24"/>
          <w:szCs w:val="24"/>
          <w:shd w:val="clear" w:color="auto" w:fill="FFFFFF"/>
        </w:rPr>
        <w:t>, M. F. M., Selman, N. A., Andreevna, A. N., Ravali, S., Mohammadi, P., ... &amp; Imani, D. (2021). Vitamin D Receptor gene polymorphisms and susceptibility to type 2 diabetes: evidence from a meta-regression and meta-analysis based on 47 studies. </w:t>
      </w:r>
      <w:r w:rsidRPr="00762824">
        <w:rPr>
          <w:rFonts w:asciiTheme="majorBidi" w:hAnsiTheme="majorBidi" w:cstheme="majorBidi"/>
          <w:i/>
          <w:iCs/>
          <w:color w:val="222222"/>
          <w:sz w:val="24"/>
          <w:szCs w:val="24"/>
          <w:shd w:val="clear" w:color="auto" w:fill="FFFFFF"/>
        </w:rPr>
        <w:t>Journal of Diabetes &amp; Metabolic Disorders</w:t>
      </w:r>
      <w:r w:rsidRPr="00762824">
        <w:rPr>
          <w:rFonts w:asciiTheme="majorBidi" w:hAnsiTheme="majorBidi" w:cstheme="majorBidi"/>
          <w:color w:val="222222"/>
          <w:sz w:val="24"/>
          <w:szCs w:val="24"/>
          <w:shd w:val="clear" w:color="auto" w:fill="FFFFFF"/>
        </w:rPr>
        <w:t>, </w:t>
      </w:r>
      <w:r w:rsidRPr="00762824">
        <w:rPr>
          <w:rFonts w:asciiTheme="majorBidi" w:hAnsiTheme="majorBidi" w:cstheme="majorBidi"/>
          <w:i/>
          <w:iCs/>
          <w:color w:val="222222"/>
          <w:sz w:val="24"/>
          <w:szCs w:val="24"/>
          <w:shd w:val="clear" w:color="auto" w:fill="FFFFFF"/>
        </w:rPr>
        <w:t>20</w:t>
      </w:r>
      <w:r w:rsidRPr="00762824">
        <w:rPr>
          <w:rFonts w:asciiTheme="majorBidi" w:hAnsiTheme="majorBidi" w:cstheme="majorBidi"/>
          <w:color w:val="222222"/>
          <w:sz w:val="24"/>
          <w:szCs w:val="24"/>
          <w:shd w:val="clear" w:color="auto" w:fill="FFFFFF"/>
        </w:rPr>
        <w:t>, 845-867.</w:t>
      </w:r>
      <w:r w:rsidRPr="00762824">
        <w:rPr>
          <w:rFonts w:asciiTheme="majorBidi" w:hAnsiTheme="majorBidi" w:cstheme="majorBidi"/>
          <w:color w:val="222222"/>
          <w:sz w:val="24"/>
          <w:szCs w:val="24"/>
          <w:shd w:val="clear" w:color="auto" w:fill="FFFFFF"/>
          <w:rtl/>
        </w:rPr>
        <w:t xml:space="preserve"> ‏</w:t>
      </w:r>
    </w:p>
    <w:p w14:paraId="2705AAC8" w14:textId="77777777" w:rsidR="00196B28" w:rsidRPr="00762824" w:rsidRDefault="00196B28" w:rsidP="003D7B32">
      <w:pPr>
        <w:pStyle w:val="ListParagraph"/>
        <w:numPr>
          <w:ilvl w:val="0"/>
          <w:numId w:val="1"/>
        </w:numPr>
        <w:ind w:left="360" w:hanging="270"/>
        <w:jc w:val="both"/>
        <w:rPr>
          <w:rFonts w:asciiTheme="majorBidi" w:hAnsiTheme="majorBidi" w:cstheme="majorBidi"/>
          <w:color w:val="222222"/>
          <w:sz w:val="24"/>
          <w:szCs w:val="24"/>
          <w:shd w:val="clear" w:color="auto" w:fill="FFFFFF"/>
        </w:rPr>
      </w:pPr>
      <w:r w:rsidRPr="00762824">
        <w:rPr>
          <w:rFonts w:asciiTheme="majorBidi" w:hAnsiTheme="majorBidi" w:cstheme="majorBidi"/>
          <w:color w:val="222222"/>
          <w:sz w:val="24"/>
          <w:szCs w:val="24"/>
          <w:shd w:val="clear" w:color="auto" w:fill="FFFFFF"/>
        </w:rPr>
        <w:t>Al-</w:t>
      </w:r>
      <w:proofErr w:type="spellStart"/>
      <w:r w:rsidRPr="00762824">
        <w:rPr>
          <w:rFonts w:asciiTheme="majorBidi" w:hAnsiTheme="majorBidi" w:cstheme="majorBidi"/>
          <w:color w:val="222222"/>
          <w:sz w:val="24"/>
          <w:szCs w:val="24"/>
          <w:shd w:val="clear" w:color="auto" w:fill="FFFFFF"/>
        </w:rPr>
        <w:t>Kashwan</w:t>
      </w:r>
      <w:proofErr w:type="spellEnd"/>
      <w:r w:rsidRPr="00762824">
        <w:rPr>
          <w:rFonts w:asciiTheme="majorBidi" w:hAnsiTheme="majorBidi" w:cstheme="majorBidi"/>
          <w:color w:val="222222"/>
          <w:sz w:val="24"/>
          <w:szCs w:val="24"/>
          <w:shd w:val="clear" w:color="auto" w:fill="FFFFFF"/>
        </w:rPr>
        <w:t xml:space="preserve">, T. A., </w:t>
      </w:r>
      <w:proofErr w:type="spellStart"/>
      <w:r w:rsidRPr="00762824">
        <w:rPr>
          <w:rFonts w:asciiTheme="majorBidi" w:hAnsiTheme="majorBidi" w:cstheme="majorBidi"/>
          <w:color w:val="222222"/>
          <w:sz w:val="24"/>
          <w:szCs w:val="24"/>
          <w:shd w:val="clear" w:color="auto" w:fill="FFFFFF"/>
        </w:rPr>
        <w:t>Algenabi</w:t>
      </w:r>
      <w:proofErr w:type="spellEnd"/>
      <w:r w:rsidRPr="00762824">
        <w:rPr>
          <w:rFonts w:asciiTheme="majorBidi" w:hAnsiTheme="majorBidi" w:cstheme="majorBidi"/>
          <w:color w:val="222222"/>
          <w:sz w:val="24"/>
          <w:szCs w:val="24"/>
          <w:shd w:val="clear" w:color="auto" w:fill="FFFFFF"/>
        </w:rPr>
        <w:t xml:space="preserve">, A. H. A., Omara, A. M., &amp; Kaftan, A. N. (2021). Association of vitamin D receptor gene polymorphisms </w:t>
      </w:r>
      <w:proofErr w:type="spellStart"/>
      <w:r w:rsidRPr="00762824">
        <w:rPr>
          <w:rFonts w:asciiTheme="majorBidi" w:hAnsiTheme="majorBidi" w:cstheme="majorBidi"/>
          <w:color w:val="222222"/>
          <w:sz w:val="24"/>
          <w:szCs w:val="24"/>
          <w:shd w:val="clear" w:color="auto" w:fill="FFFFFF"/>
        </w:rPr>
        <w:t>BsmI</w:t>
      </w:r>
      <w:proofErr w:type="spellEnd"/>
      <w:r w:rsidRPr="00762824">
        <w:rPr>
          <w:rFonts w:asciiTheme="majorBidi" w:hAnsiTheme="majorBidi" w:cstheme="majorBidi"/>
          <w:color w:val="222222"/>
          <w:sz w:val="24"/>
          <w:szCs w:val="24"/>
          <w:shd w:val="clear" w:color="auto" w:fill="FFFFFF"/>
        </w:rPr>
        <w:t xml:space="preserve"> (</w:t>
      </w:r>
      <w:proofErr w:type="spellStart"/>
      <w:r w:rsidRPr="00762824">
        <w:rPr>
          <w:rFonts w:asciiTheme="majorBidi" w:hAnsiTheme="majorBidi" w:cstheme="majorBidi"/>
          <w:color w:val="222222"/>
          <w:sz w:val="24"/>
          <w:szCs w:val="24"/>
          <w:shd w:val="clear" w:color="auto" w:fill="FFFFFF"/>
        </w:rPr>
        <w:t>rs</w:t>
      </w:r>
      <w:proofErr w:type="spellEnd"/>
      <w:r w:rsidRPr="00762824">
        <w:rPr>
          <w:rFonts w:asciiTheme="majorBidi" w:hAnsiTheme="majorBidi" w:cstheme="majorBidi"/>
          <w:color w:val="222222"/>
          <w:sz w:val="24"/>
          <w:szCs w:val="24"/>
          <w:shd w:val="clear" w:color="auto" w:fill="FFFFFF"/>
        </w:rPr>
        <w:t xml:space="preserve"> 1544410) and </w:t>
      </w:r>
      <w:proofErr w:type="spellStart"/>
      <w:r w:rsidRPr="00762824">
        <w:rPr>
          <w:rFonts w:asciiTheme="majorBidi" w:hAnsiTheme="majorBidi" w:cstheme="majorBidi"/>
          <w:color w:val="222222"/>
          <w:sz w:val="24"/>
          <w:szCs w:val="24"/>
          <w:shd w:val="clear" w:color="auto" w:fill="FFFFFF"/>
        </w:rPr>
        <w:t>TaqI</w:t>
      </w:r>
      <w:proofErr w:type="spellEnd"/>
      <w:r w:rsidRPr="00762824">
        <w:rPr>
          <w:rFonts w:asciiTheme="majorBidi" w:hAnsiTheme="majorBidi" w:cstheme="majorBidi"/>
          <w:color w:val="222222"/>
          <w:sz w:val="24"/>
          <w:szCs w:val="24"/>
          <w:shd w:val="clear" w:color="auto" w:fill="FFFFFF"/>
        </w:rPr>
        <w:t xml:space="preserve"> </w:t>
      </w:r>
      <w:proofErr w:type="spellStart"/>
      <w:r w:rsidRPr="00762824">
        <w:rPr>
          <w:rFonts w:asciiTheme="majorBidi" w:hAnsiTheme="majorBidi" w:cstheme="majorBidi"/>
          <w:color w:val="222222"/>
          <w:sz w:val="24"/>
          <w:szCs w:val="24"/>
          <w:shd w:val="clear" w:color="auto" w:fill="FFFFFF"/>
        </w:rPr>
        <w:t>rs</w:t>
      </w:r>
      <w:proofErr w:type="spellEnd"/>
      <w:r w:rsidRPr="00762824">
        <w:rPr>
          <w:rFonts w:asciiTheme="majorBidi" w:hAnsiTheme="majorBidi" w:cstheme="majorBidi"/>
          <w:color w:val="222222"/>
          <w:sz w:val="24"/>
          <w:szCs w:val="24"/>
          <w:shd w:val="clear" w:color="auto" w:fill="FFFFFF"/>
        </w:rPr>
        <w:t xml:space="preserve"> (731236) with the type 2 diabetes mellitus in Iraqi Patients from the middle Euphrates region. </w:t>
      </w:r>
      <w:r w:rsidRPr="00762824">
        <w:rPr>
          <w:rFonts w:asciiTheme="majorBidi" w:hAnsiTheme="majorBidi" w:cstheme="majorBidi"/>
          <w:i/>
          <w:iCs/>
          <w:color w:val="222222"/>
          <w:sz w:val="24"/>
          <w:szCs w:val="24"/>
          <w:shd w:val="clear" w:color="auto" w:fill="FFFFFF"/>
        </w:rPr>
        <w:t>Meta Gene</w:t>
      </w:r>
      <w:r w:rsidRPr="00762824">
        <w:rPr>
          <w:rFonts w:asciiTheme="majorBidi" w:hAnsiTheme="majorBidi" w:cstheme="majorBidi"/>
          <w:color w:val="222222"/>
          <w:sz w:val="24"/>
          <w:szCs w:val="24"/>
          <w:shd w:val="clear" w:color="auto" w:fill="FFFFFF"/>
        </w:rPr>
        <w:t>, </w:t>
      </w:r>
      <w:r w:rsidRPr="00762824">
        <w:rPr>
          <w:rFonts w:asciiTheme="majorBidi" w:hAnsiTheme="majorBidi" w:cstheme="majorBidi"/>
          <w:i/>
          <w:iCs/>
          <w:color w:val="222222"/>
          <w:sz w:val="24"/>
          <w:szCs w:val="24"/>
          <w:shd w:val="clear" w:color="auto" w:fill="FFFFFF"/>
        </w:rPr>
        <w:t>28</w:t>
      </w:r>
      <w:r w:rsidRPr="00762824">
        <w:rPr>
          <w:rFonts w:asciiTheme="majorBidi" w:hAnsiTheme="majorBidi" w:cstheme="majorBidi"/>
          <w:color w:val="222222"/>
          <w:sz w:val="24"/>
          <w:szCs w:val="24"/>
          <w:shd w:val="clear" w:color="auto" w:fill="FFFFFF"/>
        </w:rPr>
        <w:t xml:space="preserve">, </w:t>
      </w:r>
      <w:r w:rsidR="005F3725" w:rsidRPr="00762824">
        <w:rPr>
          <w:rFonts w:asciiTheme="majorBidi" w:hAnsiTheme="majorBidi" w:cstheme="majorBidi"/>
          <w:color w:val="222222"/>
          <w:sz w:val="24"/>
          <w:szCs w:val="24"/>
          <w:shd w:val="clear" w:color="auto" w:fill="FFFFFF"/>
        </w:rPr>
        <w:t>100854.</w:t>
      </w:r>
      <w:r w:rsidR="005F3725" w:rsidRPr="00762824">
        <w:rPr>
          <w:rFonts w:asciiTheme="majorBidi" w:hAnsiTheme="majorBidi" w:cstheme="majorBidi"/>
          <w:color w:val="222222"/>
          <w:sz w:val="24"/>
          <w:szCs w:val="24"/>
          <w:shd w:val="clear" w:color="auto" w:fill="FFFFFF"/>
          <w:rtl/>
        </w:rPr>
        <w:t xml:space="preserve"> ‏</w:t>
      </w:r>
    </w:p>
    <w:p w14:paraId="1F75800B" w14:textId="77777777" w:rsidR="005F3725" w:rsidRPr="00762824" w:rsidRDefault="005F3725" w:rsidP="003D7B32">
      <w:pPr>
        <w:pStyle w:val="ListParagraph"/>
        <w:numPr>
          <w:ilvl w:val="0"/>
          <w:numId w:val="1"/>
        </w:numPr>
        <w:ind w:left="360" w:hanging="270"/>
        <w:jc w:val="both"/>
        <w:rPr>
          <w:rFonts w:asciiTheme="majorBidi" w:hAnsiTheme="majorBidi" w:cstheme="majorBidi"/>
          <w:color w:val="222222"/>
          <w:sz w:val="24"/>
          <w:szCs w:val="24"/>
          <w:shd w:val="clear" w:color="auto" w:fill="FFFFFF"/>
        </w:rPr>
      </w:pPr>
      <w:r w:rsidRPr="00762824">
        <w:rPr>
          <w:rFonts w:asciiTheme="majorBidi" w:hAnsiTheme="majorBidi" w:cstheme="majorBidi"/>
          <w:color w:val="222222"/>
          <w:sz w:val="24"/>
          <w:szCs w:val="24"/>
          <w:shd w:val="clear" w:color="auto" w:fill="FFFFFF"/>
        </w:rPr>
        <w:t xml:space="preserve">Rodrigues, K. F., </w:t>
      </w:r>
      <w:proofErr w:type="spellStart"/>
      <w:r w:rsidRPr="00762824">
        <w:rPr>
          <w:rFonts w:asciiTheme="majorBidi" w:hAnsiTheme="majorBidi" w:cstheme="majorBidi"/>
          <w:color w:val="222222"/>
          <w:sz w:val="24"/>
          <w:szCs w:val="24"/>
          <w:shd w:val="clear" w:color="auto" w:fill="FFFFFF"/>
        </w:rPr>
        <w:t>Pietrani</w:t>
      </w:r>
      <w:proofErr w:type="spellEnd"/>
      <w:r w:rsidRPr="00762824">
        <w:rPr>
          <w:rFonts w:asciiTheme="majorBidi" w:hAnsiTheme="majorBidi" w:cstheme="majorBidi"/>
          <w:color w:val="222222"/>
          <w:sz w:val="24"/>
          <w:szCs w:val="24"/>
          <w:shd w:val="clear" w:color="auto" w:fill="FFFFFF"/>
        </w:rPr>
        <w:t>, N. T., Bosco, A. A., de Sousa, M. C. R., Silva, I. D. F. O., Silveira, J. N., &amp; Gomes, K. B. (2019). Lower vitamin D levels, but not VDR polymorphisms, influence type 2 diabetes mellitus in Brazilian population independently of obesity. </w:t>
      </w:r>
      <w:r w:rsidRPr="00762824">
        <w:rPr>
          <w:rFonts w:asciiTheme="majorBidi" w:hAnsiTheme="majorBidi" w:cstheme="majorBidi"/>
          <w:i/>
          <w:iCs/>
          <w:color w:val="222222"/>
          <w:sz w:val="24"/>
          <w:szCs w:val="24"/>
          <w:shd w:val="clear" w:color="auto" w:fill="FFFFFF"/>
        </w:rPr>
        <w:t>Medicina</w:t>
      </w:r>
      <w:r w:rsidRPr="00762824">
        <w:rPr>
          <w:rFonts w:asciiTheme="majorBidi" w:hAnsiTheme="majorBidi" w:cstheme="majorBidi"/>
          <w:color w:val="222222"/>
          <w:sz w:val="24"/>
          <w:szCs w:val="24"/>
          <w:shd w:val="clear" w:color="auto" w:fill="FFFFFF"/>
        </w:rPr>
        <w:t>, </w:t>
      </w:r>
      <w:r w:rsidRPr="00762824">
        <w:rPr>
          <w:rFonts w:asciiTheme="majorBidi" w:hAnsiTheme="majorBidi" w:cstheme="majorBidi"/>
          <w:i/>
          <w:iCs/>
          <w:color w:val="222222"/>
          <w:sz w:val="24"/>
          <w:szCs w:val="24"/>
          <w:shd w:val="clear" w:color="auto" w:fill="FFFFFF"/>
        </w:rPr>
        <w:t>55</w:t>
      </w:r>
      <w:r w:rsidRPr="00762824">
        <w:rPr>
          <w:rFonts w:asciiTheme="majorBidi" w:hAnsiTheme="majorBidi" w:cstheme="majorBidi"/>
          <w:color w:val="222222"/>
          <w:sz w:val="24"/>
          <w:szCs w:val="24"/>
          <w:shd w:val="clear" w:color="auto" w:fill="FFFFFF"/>
        </w:rPr>
        <w:t>(5), 188.</w:t>
      </w:r>
      <w:r w:rsidRPr="00762824">
        <w:rPr>
          <w:rFonts w:asciiTheme="majorBidi" w:hAnsiTheme="majorBidi" w:cstheme="majorBidi"/>
          <w:color w:val="222222"/>
          <w:sz w:val="24"/>
          <w:szCs w:val="24"/>
          <w:shd w:val="clear" w:color="auto" w:fill="FFFFFF"/>
          <w:rtl/>
        </w:rPr>
        <w:t xml:space="preserve"> ‏</w:t>
      </w:r>
    </w:p>
    <w:sectPr w:rsidR="005F3725" w:rsidRPr="00762824">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714ED" w14:textId="77777777" w:rsidR="00151641" w:rsidRDefault="00151641" w:rsidP="00C74596">
      <w:pPr>
        <w:spacing w:after="0" w:line="240" w:lineRule="auto"/>
      </w:pPr>
      <w:r>
        <w:separator/>
      </w:r>
    </w:p>
  </w:endnote>
  <w:endnote w:type="continuationSeparator" w:id="0">
    <w:p w14:paraId="1B8309CC" w14:textId="77777777" w:rsidR="00151641" w:rsidRDefault="00151641" w:rsidP="00C74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7214F" w14:textId="77777777" w:rsidR="00C74596" w:rsidRDefault="00C745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BA2C" w14:textId="77777777" w:rsidR="00C74596" w:rsidRDefault="00C745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B87E6" w14:textId="77777777" w:rsidR="00C74596" w:rsidRDefault="00C74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9E5D8" w14:textId="77777777" w:rsidR="00151641" w:rsidRDefault="00151641" w:rsidP="00C74596">
      <w:pPr>
        <w:spacing w:after="0" w:line="240" w:lineRule="auto"/>
      </w:pPr>
      <w:r>
        <w:separator/>
      </w:r>
    </w:p>
  </w:footnote>
  <w:footnote w:type="continuationSeparator" w:id="0">
    <w:p w14:paraId="2179D9F5" w14:textId="77777777" w:rsidR="00151641" w:rsidRDefault="00151641" w:rsidP="00C74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CB2C8" w14:textId="21E5BA63" w:rsidR="00C74596" w:rsidRDefault="00C74596">
    <w:pPr>
      <w:pStyle w:val="Header"/>
    </w:pPr>
    <w:r>
      <w:rPr>
        <w:noProof/>
      </w:rPr>
      <w:pict w14:anchorId="6EDCA6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624547"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691E4" w14:textId="55AB0A37" w:rsidR="00C74596" w:rsidRDefault="00C74596">
    <w:pPr>
      <w:pStyle w:val="Header"/>
    </w:pPr>
    <w:r>
      <w:rPr>
        <w:noProof/>
      </w:rPr>
      <w:pict w14:anchorId="33F193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624548"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29AFC" w14:textId="205E31B9" w:rsidR="00C74596" w:rsidRDefault="00C74596">
    <w:pPr>
      <w:pStyle w:val="Header"/>
    </w:pPr>
    <w:r>
      <w:rPr>
        <w:noProof/>
      </w:rPr>
      <w:pict w14:anchorId="2BEF8F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624546"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B07E0A"/>
    <w:multiLevelType w:val="hybridMultilevel"/>
    <w:tmpl w:val="D4B6C992"/>
    <w:lvl w:ilvl="0" w:tplc="AAD68536">
      <w:start w:val="8"/>
      <w:numFmt w:val="bullet"/>
      <w:lvlText w:val=""/>
      <w:lvlJc w:val="left"/>
      <w:pPr>
        <w:ind w:left="720" w:hanging="360"/>
      </w:pPr>
      <w:rPr>
        <w:rFonts w:ascii="Symbol" w:eastAsia="Calibr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CD5283"/>
    <w:multiLevelType w:val="hybridMultilevel"/>
    <w:tmpl w:val="2662F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143364"/>
    <w:multiLevelType w:val="hybridMultilevel"/>
    <w:tmpl w:val="99409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DEB"/>
    <w:rsid w:val="00021610"/>
    <w:rsid w:val="00032D5A"/>
    <w:rsid w:val="00071CEB"/>
    <w:rsid w:val="0008134C"/>
    <w:rsid w:val="00081DDB"/>
    <w:rsid w:val="000C54C3"/>
    <w:rsid w:val="000C7DCD"/>
    <w:rsid w:val="001104A0"/>
    <w:rsid w:val="001364CF"/>
    <w:rsid w:val="00144DA7"/>
    <w:rsid w:val="00151641"/>
    <w:rsid w:val="001700EC"/>
    <w:rsid w:val="00176798"/>
    <w:rsid w:val="00196B28"/>
    <w:rsid w:val="001E1382"/>
    <w:rsid w:val="00204377"/>
    <w:rsid w:val="00221119"/>
    <w:rsid w:val="0023756A"/>
    <w:rsid w:val="00247497"/>
    <w:rsid w:val="00253F9F"/>
    <w:rsid w:val="002671EE"/>
    <w:rsid w:val="002B084E"/>
    <w:rsid w:val="002D16E7"/>
    <w:rsid w:val="0030333C"/>
    <w:rsid w:val="003152A8"/>
    <w:rsid w:val="00336DA7"/>
    <w:rsid w:val="0035144D"/>
    <w:rsid w:val="00352C5F"/>
    <w:rsid w:val="00373295"/>
    <w:rsid w:val="003902DD"/>
    <w:rsid w:val="00390C8A"/>
    <w:rsid w:val="00393F18"/>
    <w:rsid w:val="003A242A"/>
    <w:rsid w:val="003A6ECF"/>
    <w:rsid w:val="003B2A6C"/>
    <w:rsid w:val="003D7B32"/>
    <w:rsid w:val="004038A0"/>
    <w:rsid w:val="00407EDC"/>
    <w:rsid w:val="0043091B"/>
    <w:rsid w:val="0050509A"/>
    <w:rsid w:val="005317A8"/>
    <w:rsid w:val="0058104D"/>
    <w:rsid w:val="005943E7"/>
    <w:rsid w:val="00595992"/>
    <w:rsid w:val="005A2BFF"/>
    <w:rsid w:val="005B5DEB"/>
    <w:rsid w:val="005C1418"/>
    <w:rsid w:val="005F1A82"/>
    <w:rsid w:val="005F3725"/>
    <w:rsid w:val="00605A1C"/>
    <w:rsid w:val="00653FE5"/>
    <w:rsid w:val="00667AB1"/>
    <w:rsid w:val="0068027E"/>
    <w:rsid w:val="00690162"/>
    <w:rsid w:val="006A7C0A"/>
    <w:rsid w:val="006B126D"/>
    <w:rsid w:val="006C68FE"/>
    <w:rsid w:val="006C7E63"/>
    <w:rsid w:val="006E0BE3"/>
    <w:rsid w:val="00701F95"/>
    <w:rsid w:val="00705066"/>
    <w:rsid w:val="007105B3"/>
    <w:rsid w:val="00724730"/>
    <w:rsid w:val="00762824"/>
    <w:rsid w:val="007707C6"/>
    <w:rsid w:val="007B640E"/>
    <w:rsid w:val="007D4FCD"/>
    <w:rsid w:val="007D6ECE"/>
    <w:rsid w:val="007F2013"/>
    <w:rsid w:val="00814FF0"/>
    <w:rsid w:val="008372D3"/>
    <w:rsid w:val="00874B9E"/>
    <w:rsid w:val="008750CB"/>
    <w:rsid w:val="00896422"/>
    <w:rsid w:val="00896B5C"/>
    <w:rsid w:val="008C09FD"/>
    <w:rsid w:val="008C0C53"/>
    <w:rsid w:val="008D1817"/>
    <w:rsid w:val="008F062A"/>
    <w:rsid w:val="00900B47"/>
    <w:rsid w:val="00901893"/>
    <w:rsid w:val="00911242"/>
    <w:rsid w:val="00913752"/>
    <w:rsid w:val="009332C4"/>
    <w:rsid w:val="00942FA2"/>
    <w:rsid w:val="00950C38"/>
    <w:rsid w:val="00967C57"/>
    <w:rsid w:val="00990A5D"/>
    <w:rsid w:val="009A2702"/>
    <w:rsid w:val="009C7879"/>
    <w:rsid w:val="00A41EA6"/>
    <w:rsid w:val="00A70E34"/>
    <w:rsid w:val="00A76730"/>
    <w:rsid w:val="00AA584E"/>
    <w:rsid w:val="00AB09D4"/>
    <w:rsid w:val="00AF7BBE"/>
    <w:rsid w:val="00B53175"/>
    <w:rsid w:val="00B66B71"/>
    <w:rsid w:val="00B835F9"/>
    <w:rsid w:val="00B84684"/>
    <w:rsid w:val="00BB31A7"/>
    <w:rsid w:val="00BB3863"/>
    <w:rsid w:val="00BE7379"/>
    <w:rsid w:val="00C26898"/>
    <w:rsid w:val="00C3109A"/>
    <w:rsid w:val="00C43224"/>
    <w:rsid w:val="00C6296F"/>
    <w:rsid w:val="00C62B1E"/>
    <w:rsid w:val="00C74596"/>
    <w:rsid w:val="00C74E08"/>
    <w:rsid w:val="00CB7392"/>
    <w:rsid w:val="00CC3067"/>
    <w:rsid w:val="00CE405D"/>
    <w:rsid w:val="00D20ABE"/>
    <w:rsid w:val="00D25F60"/>
    <w:rsid w:val="00D35D20"/>
    <w:rsid w:val="00D40461"/>
    <w:rsid w:val="00D524D3"/>
    <w:rsid w:val="00D52A79"/>
    <w:rsid w:val="00D72687"/>
    <w:rsid w:val="00D81051"/>
    <w:rsid w:val="00DA40A4"/>
    <w:rsid w:val="00DA6875"/>
    <w:rsid w:val="00DD565E"/>
    <w:rsid w:val="00E46C10"/>
    <w:rsid w:val="00E8481D"/>
    <w:rsid w:val="00EB3562"/>
    <w:rsid w:val="00EE0E4F"/>
    <w:rsid w:val="00EF0FC8"/>
    <w:rsid w:val="00F014C0"/>
    <w:rsid w:val="00F05C6A"/>
    <w:rsid w:val="00F51A6D"/>
    <w:rsid w:val="00F54DE3"/>
    <w:rsid w:val="00F61AF8"/>
    <w:rsid w:val="00F93076"/>
    <w:rsid w:val="00F95205"/>
    <w:rsid w:val="00FD63D3"/>
    <w:rsid w:val="00FD7256"/>
    <w:rsid w:val="00FD77D7"/>
    <w:rsid w:val="00FE0656"/>
    <w:rsid w:val="00FF0B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411947"/>
  <w15:docId w15:val="{2FDB39C5-0433-4E7C-849D-DD61A8B4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5DEB"/>
    <w:pPr>
      <w:tabs>
        <w:tab w:val="left" w:pos="8160"/>
      </w:tabs>
      <w:spacing w:after="200" w:line="276" w:lineRule="auto"/>
      <w:outlineLvl w:val="0"/>
    </w:pPr>
    <w:rPr>
      <w:rFonts w:asciiTheme="majorBidi" w:hAnsiTheme="majorBidi" w:cstheme="majorBidi"/>
      <w:b/>
      <w:bCs/>
      <w:sz w:val="28"/>
      <w:szCs w:val="28"/>
    </w:rPr>
  </w:style>
  <w:style w:type="paragraph" w:styleId="Heading2">
    <w:name w:val="heading 2"/>
    <w:basedOn w:val="Normal"/>
    <w:next w:val="Normal"/>
    <w:link w:val="Heading2Char"/>
    <w:uiPriority w:val="9"/>
    <w:semiHidden/>
    <w:unhideWhenUsed/>
    <w:qFormat/>
    <w:rsid w:val="00F014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DEB"/>
    <w:rPr>
      <w:rFonts w:asciiTheme="majorBidi" w:hAnsiTheme="majorBidi" w:cstheme="majorBidi"/>
      <w:b/>
      <w:bCs/>
      <w:sz w:val="28"/>
      <w:szCs w:val="28"/>
    </w:rPr>
  </w:style>
  <w:style w:type="paragraph" w:styleId="ListParagraph">
    <w:name w:val="List Paragraph"/>
    <w:basedOn w:val="Normal"/>
    <w:link w:val="ListParagraphChar"/>
    <w:uiPriority w:val="34"/>
    <w:qFormat/>
    <w:rsid w:val="008372D3"/>
    <w:pPr>
      <w:ind w:left="720"/>
      <w:contextualSpacing/>
    </w:pPr>
  </w:style>
  <w:style w:type="character" w:customStyle="1" w:styleId="ListParagraphChar">
    <w:name w:val="List Paragraph Char"/>
    <w:basedOn w:val="DefaultParagraphFont"/>
    <w:link w:val="ListParagraph"/>
    <w:uiPriority w:val="34"/>
    <w:rsid w:val="00071CEB"/>
  </w:style>
  <w:style w:type="character" w:styleId="CommentReference">
    <w:name w:val="annotation reference"/>
    <w:basedOn w:val="DefaultParagraphFont"/>
    <w:uiPriority w:val="99"/>
    <w:semiHidden/>
    <w:unhideWhenUsed/>
    <w:rsid w:val="006C68FE"/>
    <w:rPr>
      <w:sz w:val="16"/>
      <w:szCs w:val="16"/>
    </w:rPr>
  </w:style>
  <w:style w:type="paragraph" w:styleId="CommentText">
    <w:name w:val="annotation text"/>
    <w:basedOn w:val="Normal"/>
    <w:link w:val="CommentTextChar"/>
    <w:uiPriority w:val="99"/>
    <w:semiHidden/>
    <w:unhideWhenUsed/>
    <w:rsid w:val="006C68FE"/>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6C68FE"/>
    <w:rPr>
      <w:sz w:val="20"/>
      <w:szCs w:val="20"/>
    </w:rPr>
  </w:style>
  <w:style w:type="paragraph" w:styleId="BalloonText">
    <w:name w:val="Balloon Text"/>
    <w:basedOn w:val="Normal"/>
    <w:link w:val="BalloonTextChar"/>
    <w:uiPriority w:val="99"/>
    <w:semiHidden/>
    <w:unhideWhenUsed/>
    <w:rsid w:val="006C68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8FE"/>
    <w:rPr>
      <w:rFonts w:ascii="Segoe UI" w:hAnsi="Segoe UI" w:cs="Segoe UI"/>
      <w:sz w:val="18"/>
      <w:szCs w:val="18"/>
    </w:rPr>
  </w:style>
  <w:style w:type="character" w:styleId="Hyperlink">
    <w:name w:val="Hyperlink"/>
    <w:basedOn w:val="DefaultParagraphFont"/>
    <w:uiPriority w:val="99"/>
    <w:unhideWhenUsed/>
    <w:rsid w:val="006C68FE"/>
    <w:rPr>
      <w:color w:val="0563C1" w:themeColor="hyperlink"/>
      <w:u w:val="single"/>
    </w:rPr>
  </w:style>
  <w:style w:type="character" w:styleId="Emphasis">
    <w:name w:val="Emphasis"/>
    <w:basedOn w:val="DefaultParagraphFont"/>
    <w:uiPriority w:val="20"/>
    <w:qFormat/>
    <w:rsid w:val="006C68FE"/>
    <w:rPr>
      <w:i/>
      <w:iCs/>
    </w:rPr>
  </w:style>
  <w:style w:type="table" w:styleId="TableGrid">
    <w:name w:val="Table Grid"/>
    <w:basedOn w:val="TableNormal"/>
    <w:uiPriority w:val="59"/>
    <w:rsid w:val="00FD6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FD63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FD63D3"/>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014C0"/>
    <w:rPr>
      <w:rFonts w:asciiTheme="majorHAnsi" w:eastAsiaTheme="majorEastAsia" w:hAnsiTheme="majorHAnsi" w:cstheme="majorBidi"/>
      <w:color w:val="2E74B5" w:themeColor="accent1" w:themeShade="BF"/>
      <w:sz w:val="26"/>
      <w:szCs w:val="26"/>
    </w:rPr>
  </w:style>
  <w:style w:type="paragraph" w:customStyle="1" w:styleId="Default">
    <w:name w:val="Default"/>
    <w:rsid w:val="00F54DE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3">
    <w:name w:val="Table Grid3"/>
    <w:basedOn w:val="TableNormal"/>
    <w:next w:val="TableGrid"/>
    <w:uiPriority w:val="39"/>
    <w:rsid w:val="00B835F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italic">
    <w:name w:val="html-italic"/>
    <w:basedOn w:val="DefaultParagraphFont"/>
    <w:rsid w:val="00021610"/>
  </w:style>
  <w:style w:type="character" w:styleId="UnresolvedMention">
    <w:name w:val="Unresolved Mention"/>
    <w:basedOn w:val="DefaultParagraphFont"/>
    <w:uiPriority w:val="99"/>
    <w:semiHidden/>
    <w:unhideWhenUsed/>
    <w:rsid w:val="007F2013"/>
    <w:rPr>
      <w:color w:val="605E5C"/>
      <w:shd w:val="clear" w:color="auto" w:fill="E1DFDD"/>
    </w:rPr>
  </w:style>
  <w:style w:type="paragraph" w:styleId="Header">
    <w:name w:val="header"/>
    <w:basedOn w:val="Normal"/>
    <w:link w:val="HeaderChar"/>
    <w:uiPriority w:val="99"/>
    <w:unhideWhenUsed/>
    <w:rsid w:val="00C74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596"/>
  </w:style>
  <w:style w:type="paragraph" w:styleId="Footer">
    <w:name w:val="footer"/>
    <w:basedOn w:val="Normal"/>
    <w:link w:val="FooterChar"/>
    <w:uiPriority w:val="99"/>
    <w:unhideWhenUsed/>
    <w:rsid w:val="00C74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0536">
      <w:bodyDiv w:val="1"/>
      <w:marLeft w:val="0"/>
      <w:marRight w:val="0"/>
      <w:marTop w:val="0"/>
      <w:marBottom w:val="0"/>
      <w:divBdr>
        <w:top w:val="none" w:sz="0" w:space="0" w:color="auto"/>
        <w:left w:val="none" w:sz="0" w:space="0" w:color="auto"/>
        <w:bottom w:val="none" w:sz="0" w:space="0" w:color="auto"/>
        <w:right w:val="none" w:sz="0" w:space="0" w:color="auto"/>
      </w:divBdr>
    </w:div>
    <w:div w:id="134564100">
      <w:bodyDiv w:val="1"/>
      <w:marLeft w:val="0"/>
      <w:marRight w:val="0"/>
      <w:marTop w:val="0"/>
      <w:marBottom w:val="0"/>
      <w:divBdr>
        <w:top w:val="none" w:sz="0" w:space="0" w:color="auto"/>
        <w:left w:val="none" w:sz="0" w:space="0" w:color="auto"/>
        <w:bottom w:val="none" w:sz="0" w:space="0" w:color="auto"/>
        <w:right w:val="none" w:sz="0" w:space="0" w:color="auto"/>
      </w:divBdr>
    </w:div>
    <w:div w:id="194731719">
      <w:bodyDiv w:val="1"/>
      <w:marLeft w:val="0"/>
      <w:marRight w:val="0"/>
      <w:marTop w:val="0"/>
      <w:marBottom w:val="0"/>
      <w:divBdr>
        <w:top w:val="none" w:sz="0" w:space="0" w:color="auto"/>
        <w:left w:val="none" w:sz="0" w:space="0" w:color="auto"/>
        <w:bottom w:val="none" w:sz="0" w:space="0" w:color="auto"/>
        <w:right w:val="none" w:sz="0" w:space="0" w:color="auto"/>
      </w:divBdr>
    </w:div>
    <w:div w:id="255334267">
      <w:bodyDiv w:val="1"/>
      <w:marLeft w:val="0"/>
      <w:marRight w:val="0"/>
      <w:marTop w:val="0"/>
      <w:marBottom w:val="0"/>
      <w:divBdr>
        <w:top w:val="none" w:sz="0" w:space="0" w:color="auto"/>
        <w:left w:val="none" w:sz="0" w:space="0" w:color="auto"/>
        <w:bottom w:val="none" w:sz="0" w:space="0" w:color="auto"/>
        <w:right w:val="none" w:sz="0" w:space="0" w:color="auto"/>
      </w:divBdr>
    </w:div>
    <w:div w:id="256058187">
      <w:bodyDiv w:val="1"/>
      <w:marLeft w:val="0"/>
      <w:marRight w:val="0"/>
      <w:marTop w:val="0"/>
      <w:marBottom w:val="0"/>
      <w:divBdr>
        <w:top w:val="none" w:sz="0" w:space="0" w:color="auto"/>
        <w:left w:val="none" w:sz="0" w:space="0" w:color="auto"/>
        <w:bottom w:val="none" w:sz="0" w:space="0" w:color="auto"/>
        <w:right w:val="none" w:sz="0" w:space="0" w:color="auto"/>
      </w:divBdr>
    </w:div>
    <w:div w:id="350376144">
      <w:bodyDiv w:val="1"/>
      <w:marLeft w:val="0"/>
      <w:marRight w:val="0"/>
      <w:marTop w:val="0"/>
      <w:marBottom w:val="0"/>
      <w:divBdr>
        <w:top w:val="none" w:sz="0" w:space="0" w:color="auto"/>
        <w:left w:val="none" w:sz="0" w:space="0" w:color="auto"/>
        <w:bottom w:val="none" w:sz="0" w:space="0" w:color="auto"/>
        <w:right w:val="none" w:sz="0" w:space="0" w:color="auto"/>
      </w:divBdr>
    </w:div>
    <w:div w:id="368994680">
      <w:bodyDiv w:val="1"/>
      <w:marLeft w:val="0"/>
      <w:marRight w:val="0"/>
      <w:marTop w:val="0"/>
      <w:marBottom w:val="0"/>
      <w:divBdr>
        <w:top w:val="none" w:sz="0" w:space="0" w:color="auto"/>
        <w:left w:val="none" w:sz="0" w:space="0" w:color="auto"/>
        <w:bottom w:val="none" w:sz="0" w:space="0" w:color="auto"/>
        <w:right w:val="none" w:sz="0" w:space="0" w:color="auto"/>
      </w:divBdr>
    </w:div>
    <w:div w:id="380787744">
      <w:bodyDiv w:val="1"/>
      <w:marLeft w:val="0"/>
      <w:marRight w:val="0"/>
      <w:marTop w:val="0"/>
      <w:marBottom w:val="0"/>
      <w:divBdr>
        <w:top w:val="none" w:sz="0" w:space="0" w:color="auto"/>
        <w:left w:val="none" w:sz="0" w:space="0" w:color="auto"/>
        <w:bottom w:val="none" w:sz="0" w:space="0" w:color="auto"/>
        <w:right w:val="none" w:sz="0" w:space="0" w:color="auto"/>
      </w:divBdr>
    </w:div>
    <w:div w:id="415249305">
      <w:bodyDiv w:val="1"/>
      <w:marLeft w:val="0"/>
      <w:marRight w:val="0"/>
      <w:marTop w:val="0"/>
      <w:marBottom w:val="0"/>
      <w:divBdr>
        <w:top w:val="none" w:sz="0" w:space="0" w:color="auto"/>
        <w:left w:val="none" w:sz="0" w:space="0" w:color="auto"/>
        <w:bottom w:val="none" w:sz="0" w:space="0" w:color="auto"/>
        <w:right w:val="none" w:sz="0" w:space="0" w:color="auto"/>
      </w:divBdr>
      <w:divsChild>
        <w:div w:id="512184857">
          <w:marLeft w:val="0"/>
          <w:marRight w:val="0"/>
          <w:marTop w:val="0"/>
          <w:marBottom w:val="0"/>
          <w:divBdr>
            <w:top w:val="none" w:sz="0" w:space="0" w:color="auto"/>
            <w:left w:val="none" w:sz="0" w:space="0" w:color="auto"/>
            <w:bottom w:val="none" w:sz="0" w:space="0" w:color="auto"/>
            <w:right w:val="none" w:sz="0" w:space="0" w:color="auto"/>
          </w:divBdr>
        </w:div>
        <w:div w:id="627660670">
          <w:marLeft w:val="0"/>
          <w:marRight w:val="0"/>
          <w:marTop w:val="240"/>
          <w:marBottom w:val="120"/>
          <w:divBdr>
            <w:top w:val="none" w:sz="0" w:space="0" w:color="auto"/>
            <w:left w:val="none" w:sz="0" w:space="0" w:color="auto"/>
            <w:bottom w:val="none" w:sz="0" w:space="0" w:color="auto"/>
            <w:right w:val="none" w:sz="0" w:space="0" w:color="auto"/>
          </w:divBdr>
        </w:div>
      </w:divsChild>
    </w:div>
    <w:div w:id="427893823">
      <w:bodyDiv w:val="1"/>
      <w:marLeft w:val="0"/>
      <w:marRight w:val="0"/>
      <w:marTop w:val="0"/>
      <w:marBottom w:val="0"/>
      <w:divBdr>
        <w:top w:val="none" w:sz="0" w:space="0" w:color="auto"/>
        <w:left w:val="none" w:sz="0" w:space="0" w:color="auto"/>
        <w:bottom w:val="none" w:sz="0" w:space="0" w:color="auto"/>
        <w:right w:val="none" w:sz="0" w:space="0" w:color="auto"/>
      </w:divBdr>
    </w:div>
    <w:div w:id="455099004">
      <w:bodyDiv w:val="1"/>
      <w:marLeft w:val="0"/>
      <w:marRight w:val="0"/>
      <w:marTop w:val="0"/>
      <w:marBottom w:val="0"/>
      <w:divBdr>
        <w:top w:val="none" w:sz="0" w:space="0" w:color="auto"/>
        <w:left w:val="none" w:sz="0" w:space="0" w:color="auto"/>
        <w:bottom w:val="none" w:sz="0" w:space="0" w:color="auto"/>
        <w:right w:val="none" w:sz="0" w:space="0" w:color="auto"/>
      </w:divBdr>
    </w:div>
    <w:div w:id="473058987">
      <w:bodyDiv w:val="1"/>
      <w:marLeft w:val="0"/>
      <w:marRight w:val="0"/>
      <w:marTop w:val="0"/>
      <w:marBottom w:val="0"/>
      <w:divBdr>
        <w:top w:val="none" w:sz="0" w:space="0" w:color="auto"/>
        <w:left w:val="none" w:sz="0" w:space="0" w:color="auto"/>
        <w:bottom w:val="none" w:sz="0" w:space="0" w:color="auto"/>
        <w:right w:val="none" w:sz="0" w:space="0" w:color="auto"/>
      </w:divBdr>
    </w:div>
    <w:div w:id="489754908">
      <w:bodyDiv w:val="1"/>
      <w:marLeft w:val="0"/>
      <w:marRight w:val="0"/>
      <w:marTop w:val="0"/>
      <w:marBottom w:val="0"/>
      <w:divBdr>
        <w:top w:val="none" w:sz="0" w:space="0" w:color="auto"/>
        <w:left w:val="none" w:sz="0" w:space="0" w:color="auto"/>
        <w:bottom w:val="none" w:sz="0" w:space="0" w:color="auto"/>
        <w:right w:val="none" w:sz="0" w:space="0" w:color="auto"/>
      </w:divBdr>
    </w:div>
    <w:div w:id="567885561">
      <w:bodyDiv w:val="1"/>
      <w:marLeft w:val="0"/>
      <w:marRight w:val="0"/>
      <w:marTop w:val="0"/>
      <w:marBottom w:val="0"/>
      <w:divBdr>
        <w:top w:val="none" w:sz="0" w:space="0" w:color="auto"/>
        <w:left w:val="none" w:sz="0" w:space="0" w:color="auto"/>
        <w:bottom w:val="none" w:sz="0" w:space="0" w:color="auto"/>
        <w:right w:val="none" w:sz="0" w:space="0" w:color="auto"/>
      </w:divBdr>
    </w:div>
    <w:div w:id="617562792">
      <w:bodyDiv w:val="1"/>
      <w:marLeft w:val="0"/>
      <w:marRight w:val="0"/>
      <w:marTop w:val="0"/>
      <w:marBottom w:val="0"/>
      <w:divBdr>
        <w:top w:val="none" w:sz="0" w:space="0" w:color="auto"/>
        <w:left w:val="none" w:sz="0" w:space="0" w:color="auto"/>
        <w:bottom w:val="none" w:sz="0" w:space="0" w:color="auto"/>
        <w:right w:val="none" w:sz="0" w:space="0" w:color="auto"/>
      </w:divBdr>
    </w:div>
    <w:div w:id="619728013">
      <w:bodyDiv w:val="1"/>
      <w:marLeft w:val="0"/>
      <w:marRight w:val="0"/>
      <w:marTop w:val="0"/>
      <w:marBottom w:val="0"/>
      <w:divBdr>
        <w:top w:val="none" w:sz="0" w:space="0" w:color="auto"/>
        <w:left w:val="none" w:sz="0" w:space="0" w:color="auto"/>
        <w:bottom w:val="none" w:sz="0" w:space="0" w:color="auto"/>
        <w:right w:val="none" w:sz="0" w:space="0" w:color="auto"/>
      </w:divBdr>
    </w:div>
    <w:div w:id="630860928">
      <w:bodyDiv w:val="1"/>
      <w:marLeft w:val="0"/>
      <w:marRight w:val="0"/>
      <w:marTop w:val="0"/>
      <w:marBottom w:val="0"/>
      <w:divBdr>
        <w:top w:val="none" w:sz="0" w:space="0" w:color="auto"/>
        <w:left w:val="none" w:sz="0" w:space="0" w:color="auto"/>
        <w:bottom w:val="none" w:sz="0" w:space="0" w:color="auto"/>
        <w:right w:val="none" w:sz="0" w:space="0" w:color="auto"/>
      </w:divBdr>
    </w:div>
    <w:div w:id="750926872">
      <w:bodyDiv w:val="1"/>
      <w:marLeft w:val="0"/>
      <w:marRight w:val="0"/>
      <w:marTop w:val="0"/>
      <w:marBottom w:val="0"/>
      <w:divBdr>
        <w:top w:val="none" w:sz="0" w:space="0" w:color="auto"/>
        <w:left w:val="none" w:sz="0" w:space="0" w:color="auto"/>
        <w:bottom w:val="none" w:sz="0" w:space="0" w:color="auto"/>
        <w:right w:val="none" w:sz="0" w:space="0" w:color="auto"/>
      </w:divBdr>
    </w:div>
    <w:div w:id="789053911">
      <w:bodyDiv w:val="1"/>
      <w:marLeft w:val="0"/>
      <w:marRight w:val="0"/>
      <w:marTop w:val="0"/>
      <w:marBottom w:val="0"/>
      <w:divBdr>
        <w:top w:val="none" w:sz="0" w:space="0" w:color="auto"/>
        <w:left w:val="none" w:sz="0" w:space="0" w:color="auto"/>
        <w:bottom w:val="none" w:sz="0" w:space="0" w:color="auto"/>
        <w:right w:val="none" w:sz="0" w:space="0" w:color="auto"/>
      </w:divBdr>
    </w:div>
    <w:div w:id="973678770">
      <w:bodyDiv w:val="1"/>
      <w:marLeft w:val="0"/>
      <w:marRight w:val="0"/>
      <w:marTop w:val="0"/>
      <w:marBottom w:val="0"/>
      <w:divBdr>
        <w:top w:val="none" w:sz="0" w:space="0" w:color="auto"/>
        <w:left w:val="none" w:sz="0" w:space="0" w:color="auto"/>
        <w:bottom w:val="none" w:sz="0" w:space="0" w:color="auto"/>
        <w:right w:val="none" w:sz="0" w:space="0" w:color="auto"/>
      </w:divBdr>
    </w:div>
    <w:div w:id="1002707849">
      <w:bodyDiv w:val="1"/>
      <w:marLeft w:val="0"/>
      <w:marRight w:val="0"/>
      <w:marTop w:val="0"/>
      <w:marBottom w:val="0"/>
      <w:divBdr>
        <w:top w:val="none" w:sz="0" w:space="0" w:color="auto"/>
        <w:left w:val="none" w:sz="0" w:space="0" w:color="auto"/>
        <w:bottom w:val="none" w:sz="0" w:space="0" w:color="auto"/>
        <w:right w:val="none" w:sz="0" w:space="0" w:color="auto"/>
      </w:divBdr>
    </w:div>
    <w:div w:id="1036352815">
      <w:bodyDiv w:val="1"/>
      <w:marLeft w:val="0"/>
      <w:marRight w:val="0"/>
      <w:marTop w:val="0"/>
      <w:marBottom w:val="0"/>
      <w:divBdr>
        <w:top w:val="none" w:sz="0" w:space="0" w:color="auto"/>
        <w:left w:val="none" w:sz="0" w:space="0" w:color="auto"/>
        <w:bottom w:val="none" w:sz="0" w:space="0" w:color="auto"/>
        <w:right w:val="none" w:sz="0" w:space="0" w:color="auto"/>
      </w:divBdr>
    </w:div>
    <w:div w:id="1040863350">
      <w:bodyDiv w:val="1"/>
      <w:marLeft w:val="0"/>
      <w:marRight w:val="0"/>
      <w:marTop w:val="0"/>
      <w:marBottom w:val="0"/>
      <w:divBdr>
        <w:top w:val="none" w:sz="0" w:space="0" w:color="auto"/>
        <w:left w:val="none" w:sz="0" w:space="0" w:color="auto"/>
        <w:bottom w:val="none" w:sz="0" w:space="0" w:color="auto"/>
        <w:right w:val="none" w:sz="0" w:space="0" w:color="auto"/>
      </w:divBdr>
    </w:div>
    <w:div w:id="1042096099">
      <w:bodyDiv w:val="1"/>
      <w:marLeft w:val="0"/>
      <w:marRight w:val="0"/>
      <w:marTop w:val="0"/>
      <w:marBottom w:val="0"/>
      <w:divBdr>
        <w:top w:val="none" w:sz="0" w:space="0" w:color="auto"/>
        <w:left w:val="none" w:sz="0" w:space="0" w:color="auto"/>
        <w:bottom w:val="none" w:sz="0" w:space="0" w:color="auto"/>
        <w:right w:val="none" w:sz="0" w:space="0" w:color="auto"/>
      </w:divBdr>
    </w:div>
    <w:div w:id="1059596646">
      <w:bodyDiv w:val="1"/>
      <w:marLeft w:val="0"/>
      <w:marRight w:val="0"/>
      <w:marTop w:val="0"/>
      <w:marBottom w:val="0"/>
      <w:divBdr>
        <w:top w:val="none" w:sz="0" w:space="0" w:color="auto"/>
        <w:left w:val="none" w:sz="0" w:space="0" w:color="auto"/>
        <w:bottom w:val="none" w:sz="0" w:space="0" w:color="auto"/>
        <w:right w:val="none" w:sz="0" w:space="0" w:color="auto"/>
      </w:divBdr>
    </w:div>
    <w:div w:id="1072628224">
      <w:bodyDiv w:val="1"/>
      <w:marLeft w:val="0"/>
      <w:marRight w:val="0"/>
      <w:marTop w:val="0"/>
      <w:marBottom w:val="0"/>
      <w:divBdr>
        <w:top w:val="none" w:sz="0" w:space="0" w:color="auto"/>
        <w:left w:val="none" w:sz="0" w:space="0" w:color="auto"/>
        <w:bottom w:val="none" w:sz="0" w:space="0" w:color="auto"/>
        <w:right w:val="none" w:sz="0" w:space="0" w:color="auto"/>
      </w:divBdr>
    </w:div>
    <w:div w:id="1122773472">
      <w:bodyDiv w:val="1"/>
      <w:marLeft w:val="0"/>
      <w:marRight w:val="0"/>
      <w:marTop w:val="0"/>
      <w:marBottom w:val="0"/>
      <w:divBdr>
        <w:top w:val="none" w:sz="0" w:space="0" w:color="auto"/>
        <w:left w:val="none" w:sz="0" w:space="0" w:color="auto"/>
        <w:bottom w:val="none" w:sz="0" w:space="0" w:color="auto"/>
        <w:right w:val="none" w:sz="0" w:space="0" w:color="auto"/>
      </w:divBdr>
    </w:div>
    <w:div w:id="1124470992">
      <w:bodyDiv w:val="1"/>
      <w:marLeft w:val="0"/>
      <w:marRight w:val="0"/>
      <w:marTop w:val="0"/>
      <w:marBottom w:val="0"/>
      <w:divBdr>
        <w:top w:val="none" w:sz="0" w:space="0" w:color="auto"/>
        <w:left w:val="none" w:sz="0" w:space="0" w:color="auto"/>
        <w:bottom w:val="none" w:sz="0" w:space="0" w:color="auto"/>
        <w:right w:val="none" w:sz="0" w:space="0" w:color="auto"/>
      </w:divBdr>
    </w:div>
    <w:div w:id="1161120711">
      <w:bodyDiv w:val="1"/>
      <w:marLeft w:val="0"/>
      <w:marRight w:val="0"/>
      <w:marTop w:val="0"/>
      <w:marBottom w:val="0"/>
      <w:divBdr>
        <w:top w:val="none" w:sz="0" w:space="0" w:color="auto"/>
        <w:left w:val="none" w:sz="0" w:space="0" w:color="auto"/>
        <w:bottom w:val="none" w:sz="0" w:space="0" w:color="auto"/>
        <w:right w:val="none" w:sz="0" w:space="0" w:color="auto"/>
      </w:divBdr>
    </w:div>
    <w:div w:id="1310355191">
      <w:bodyDiv w:val="1"/>
      <w:marLeft w:val="0"/>
      <w:marRight w:val="0"/>
      <w:marTop w:val="0"/>
      <w:marBottom w:val="0"/>
      <w:divBdr>
        <w:top w:val="none" w:sz="0" w:space="0" w:color="auto"/>
        <w:left w:val="none" w:sz="0" w:space="0" w:color="auto"/>
        <w:bottom w:val="none" w:sz="0" w:space="0" w:color="auto"/>
        <w:right w:val="none" w:sz="0" w:space="0" w:color="auto"/>
      </w:divBdr>
    </w:div>
    <w:div w:id="1318530148">
      <w:bodyDiv w:val="1"/>
      <w:marLeft w:val="0"/>
      <w:marRight w:val="0"/>
      <w:marTop w:val="0"/>
      <w:marBottom w:val="0"/>
      <w:divBdr>
        <w:top w:val="none" w:sz="0" w:space="0" w:color="auto"/>
        <w:left w:val="none" w:sz="0" w:space="0" w:color="auto"/>
        <w:bottom w:val="none" w:sz="0" w:space="0" w:color="auto"/>
        <w:right w:val="none" w:sz="0" w:space="0" w:color="auto"/>
      </w:divBdr>
    </w:div>
    <w:div w:id="1334065917">
      <w:bodyDiv w:val="1"/>
      <w:marLeft w:val="0"/>
      <w:marRight w:val="0"/>
      <w:marTop w:val="0"/>
      <w:marBottom w:val="0"/>
      <w:divBdr>
        <w:top w:val="none" w:sz="0" w:space="0" w:color="auto"/>
        <w:left w:val="none" w:sz="0" w:space="0" w:color="auto"/>
        <w:bottom w:val="none" w:sz="0" w:space="0" w:color="auto"/>
        <w:right w:val="none" w:sz="0" w:space="0" w:color="auto"/>
      </w:divBdr>
    </w:div>
    <w:div w:id="1348948839">
      <w:bodyDiv w:val="1"/>
      <w:marLeft w:val="0"/>
      <w:marRight w:val="0"/>
      <w:marTop w:val="0"/>
      <w:marBottom w:val="0"/>
      <w:divBdr>
        <w:top w:val="none" w:sz="0" w:space="0" w:color="auto"/>
        <w:left w:val="none" w:sz="0" w:space="0" w:color="auto"/>
        <w:bottom w:val="none" w:sz="0" w:space="0" w:color="auto"/>
        <w:right w:val="none" w:sz="0" w:space="0" w:color="auto"/>
      </w:divBdr>
    </w:div>
    <w:div w:id="1349680544">
      <w:bodyDiv w:val="1"/>
      <w:marLeft w:val="0"/>
      <w:marRight w:val="0"/>
      <w:marTop w:val="0"/>
      <w:marBottom w:val="0"/>
      <w:divBdr>
        <w:top w:val="none" w:sz="0" w:space="0" w:color="auto"/>
        <w:left w:val="none" w:sz="0" w:space="0" w:color="auto"/>
        <w:bottom w:val="none" w:sz="0" w:space="0" w:color="auto"/>
        <w:right w:val="none" w:sz="0" w:space="0" w:color="auto"/>
      </w:divBdr>
    </w:div>
    <w:div w:id="1364818276">
      <w:bodyDiv w:val="1"/>
      <w:marLeft w:val="0"/>
      <w:marRight w:val="0"/>
      <w:marTop w:val="0"/>
      <w:marBottom w:val="0"/>
      <w:divBdr>
        <w:top w:val="none" w:sz="0" w:space="0" w:color="auto"/>
        <w:left w:val="none" w:sz="0" w:space="0" w:color="auto"/>
        <w:bottom w:val="none" w:sz="0" w:space="0" w:color="auto"/>
        <w:right w:val="none" w:sz="0" w:space="0" w:color="auto"/>
      </w:divBdr>
    </w:div>
    <w:div w:id="1423338545">
      <w:bodyDiv w:val="1"/>
      <w:marLeft w:val="0"/>
      <w:marRight w:val="0"/>
      <w:marTop w:val="0"/>
      <w:marBottom w:val="0"/>
      <w:divBdr>
        <w:top w:val="none" w:sz="0" w:space="0" w:color="auto"/>
        <w:left w:val="none" w:sz="0" w:space="0" w:color="auto"/>
        <w:bottom w:val="none" w:sz="0" w:space="0" w:color="auto"/>
        <w:right w:val="none" w:sz="0" w:space="0" w:color="auto"/>
      </w:divBdr>
    </w:div>
    <w:div w:id="1499349918">
      <w:bodyDiv w:val="1"/>
      <w:marLeft w:val="0"/>
      <w:marRight w:val="0"/>
      <w:marTop w:val="0"/>
      <w:marBottom w:val="0"/>
      <w:divBdr>
        <w:top w:val="none" w:sz="0" w:space="0" w:color="auto"/>
        <w:left w:val="none" w:sz="0" w:space="0" w:color="auto"/>
        <w:bottom w:val="none" w:sz="0" w:space="0" w:color="auto"/>
        <w:right w:val="none" w:sz="0" w:space="0" w:color="auto"/>
      </w:divBdr>
    </w:div>
    <w:div w:id="1533767436">
      <w:bodyDiv w:val="1"/>
      <w:marLeft w:val="0"/>
      <w:marRight w:val="0"/>
      <w:marTop w:val="0"/>
      <w:marBottom w:val="0"/>
      <w:divBdr>
        <w:top w:val="none" w:sz="0" w:space="0" w:color="auto"/>
        <w:left w:val="none" w:sz="0" w:space="0" w:color="auto"/>
        <w:bottom w:val="none" w:sz="0" w:space="0" w:color="auto"/>
        <w:right w:val="none" w:sz="0" w:space="0" w:color="auto"/>
      </w:divBdr>
    </w:div>
    <w:div w:id="1577478053">
      <w:bodyDiv w:val="1"/>
      <w:marLeft w:val="0"/>
      <w:marRight w:val="0"/>
      <w:marTop w:val="0"/>
      <w:marBottom w:val="0"/>
      <w:divBdr>
        <w:top w:val="none" w:sz="0" w:space="0" w:color="auto"/>
        <w:left w:val="none" w:sz="0" w:space="0" w:color="auto"/>
        <w:bottom w:val="none" w:sz="0" w:space="0" w:color="auto"/>
        <w:right w:val="none" w:sz="0" w:space="0" w:color="auto"/>
      </w:divBdr>
    </w:div>
    <w:div w:id="1604611553">
      <w:bodyDiv w:val="1"/>
      <w:marLeft w:val="0"/>
      <w:marRight w:val="0"/>
      <w:marTop w:val="0"/>
      <w:marBottom w:val="0"/>
      <w:divBdr>
        <w:top w:val="none" w:sz="0" w:space="0" w:color="auto"/>
        <w:left w:val="none" w:sz="0" w:space="0" w:color="auto"/>
        <w:bottom w:val="none" w:sz="0" w:space="0" w:color="auto"/>
        <w:right w:val="none" w:sz="0" w:space="0" w:color="auto"/>
      </w:divBdr>
    </w:div>
    <w:div w:id="1716344536">
      <w:bodyDiv w:val="1"/>
      <w:marLeft w:val="0"/>
      <w:marRight w:val="0"/>
      <w:marTop w:val="0"/>
      <w:marBottom w:val="0"/>
      <w:divBdr>
        <w:top w:val="none" w:sz="0" w:space="0" w:color="auto"/>
        <w:left w:val="none" w:sz="0" w:space="0" w:color="auto"/>
        <w:bottom w:val="none" w:sz="0" w:space="0" w:color="auto"/>
        <w:right w:val="none" w:sz="0" w:space="0" w:color="auto"/>
      </w:divBdr>
    </w:div>
    <w:div w:id="1786383017">
      <w:bodyDiv w:val="1"/>
      <w:marLeft w:val="0"/>
      <w:marRight w:val="0"/>
      <w:marTop w:val="0"/>
      <w:marBottom w:val="0"/>
      <w:divBdr>
        <w:top w:val="none" w:sz="0" w:space="0" w:color="auto"/>
        <w:left w:val="none" w:sz="0" w:space="0" w:color="auto"/>
        <w:bottom w:val="none" w:sz="0" w:space="0" w:color="auto"/>
        <w:right w:val="none" w:sz="0" w:space="0" w:color="auto"/>
      </w:divBdr>
    </w:div>
    <w:div w:id="1790395589">
      <w:bodyDiv w:val="1"/>
      <w:marLeft w:val="0"/>
      <w:marRight w:val="0"/>
      <w:marTop w:val="0"/>
      <w:marBottom w:val="0"/>
      <w:divBdr>
        <w:top w:val="none" w:sz="0" w:space="0" w:color="auto"/>
        <w:left w:val="none" w:sz="0" w:space="0" w:color="auto"/>
        <w:bottom w:val="none" w:sz="0" w:space="0" w:color="auto"/>
        <w:right w:val="none" w:sz="0" w:space="0" w:color="auto"/>
      </w:divBdr>
    </w:div>
    <w:div w:id="1795830948">
      <w:bodyDiv w:val="1"/>
      <w:marLeft w:val="0"/>
      <w:marRight w:val="0"/>
      <w:marTop w:val="0"/>
      <w:marBottom w:val="0"/>
      <w:divBdr>
        <w:top w:val="none" w:sz="0" w:space="0" w:color="auto"/>
        <w:left w:val="none" w:sz="0" w:space="0" w:color="auto"/>
        <w:bottom w:val="none" w:sz="0" w:space="0" w:color="auto"/>
        <w:right w:val="none" w:sz="0" w:space="0" w:color="auto"/>
      </w:divBdr>
    </w:div>
    <w:div w:id="1830705502">
      <w:bodyDiv w:val="1"/>
      <w:marLeft w:val="0"/>
      <w:marRight w:val="0"/>
      <w:marTop w:val="0"/>
      <w:marBottom w:val="0"/>
      <w:divBdr>
        <w:top w:val="none" w:sz="0" w:space="0" w:color="auto"/>
        <w:left w:val="none" w:sz="0" w:space="0" w:color="auto"/>
        <w:bottom w:val="none" w:sz="0" w:space="0" w:color="auto"/>
        <w:right w:val="none" w:sz="0" w:space="0" w:color="auto"/>
      </w:divBdr>
    </w:div>
    <w:div w:id="1844933976">
      <w:bodyDiv w:val="1"/>
      <w:marLeft w:val="0"/>
      <w:marRight w:val="0"/>
      <w:marTop w:val="0"/>
      <w:marBottom w:val="0"/>
      <w:divBdr>
        <w:top w:val="none" w:sz="0" w:space="0" w:color="auto"/>
        <w:left w:val="none" w:sz="0" w:space="0" w:color="auto"/>
        <w:bottom w:val="none" w:sz="0" w:space="0" w:color="auto"/>
        <w:right w:val="none" w:sz="0" w:space="0" w:color="auto"/>
      </w:divBdr>
    </w:div>
    <w:div w:id="1861814383">
      <w:bodyDiv w:val="1"/>
      <w:marLeft w:val="0"/>
      <w:marRight w:val="0"/>
      <w:marTop w:val="0"/>
      <w:marBottom w:val="0"/>
      <w:divBdr>
        <w:top w:val="none" w:sz="0" w:space="0" w:color="auto"/>
        <w:left w:val="none" w:sz="0" w:space="0" w:color="auto"/>
        <w:bottom w:val="none" w:sz="0" w:space="0" w:color="auto"/>
        <w:right w:val="none" w:sz="0" w:space="0" w:color="auto"/>
      </w:divBdr>
    </w:div>
    <w:div w:id="1872692282">
      <w:bodyDiv w:val="1"/>
      <w:marLeft w:val="0"/>
      <w:marRight w:val="0"/>
      <w:marTop w:val="0"/>
      <w:marBottom w:val="0"/>
      <w:divBdr>
        <w:top w:val="none" w:sz="0" w:space="0" w:color="auto"/>
        <w:left w:val="none" w:sz="0" w:space="0" w:color="auto"/>
        <w:bottom w:val="none" w:sz="0" w:space="0" w:color="auto"/>
        <w:right w:val="none" w:sz="0" w:space="0" w:color="auto"/>
      </w:divBdr>
    </w:div>
    <w:div w:id="1894585409">
      <w:bodyDiv w:val="1"/>
      <w:marLeft w:val="0"/>
      <w:marRight w:val="0"/>
      <w:marTop w:val="0"/>
      <w:marBottom w:val="0"/>
      <w:divBdr>
        <w:top w:val="none" w:sz="0" w:space="0" w:color="auto"/>
        <w:left w:val="none" w:sz="0" w:space="0" w:color="auto"/>
        <w:bottom w:val="none" w:sz="0" w:space="0" w:color="auto"/>
        <w:right w:val="none" w:sz="0" w:space="0" w:color="auto"/>
      </w:divBdr>
    </w:div>
    <w:div w:id="1936865895">
      <w:bodyDiv w:val="1"/>
      <w:marLeft w:val="0"/>
      <w:marRight w:val="0"/>
      <w:marTop w:val="0"/>
      <w:marBottom w:val="0"/>
      <w:divBdr>
        <w:top w:val="none" w:sz="0" w:space="0" w:color="auto"/>
        <w:left w:val="none" w:sz="0" w:space="0" w:color="auto"/>
        <w:bottom w:val="none" w:sz="0" w:space="0" w:color="auto"/>
        <w:right w:val="none" w:sz="0" w:space="0" w:color="auto"/>
      </w:divBdr>
    </w:div>
    <w:div w:id="1938441850">
      <w:bodyDiv w:val="1"/>
      <w:marLeft w:val="0"/>
      <w:marRight w:val="0"/>
      <w:marTop w:val="0"/>
      <w:marBottom w:val="0"/>
      <w:divBdr>
        <w:top w:val="none" w:sz="0" w:space="0" w:color="auto"/>
        <w:left w:val="none" w:sz="0" w:space="0" w:color="auto"/>
        <w:bottom w:val="none" w:sz="0" w:space="0" w:color="auto"/>
        <w:right w:val="none" w:sz="0" w:space="0" w:color="auto"/>
      </w:divBdr>
    </w:div>
    <w:div w:id="1954943313">
      <w:bodyDiv w:val="1"/>
      <w:marLeft w:val="0"/>
      <w:marRight w:val="0"/>
      <w:marTop w:val="0"/>
      <w:marBottom w:val="0"/>
      <w:divBdr>
        <w:top w:val="none" w:sz="0" w:space="0" w:color="auto"/>
        <w:left w:val="none" w:sz="0" w:space="0" w:color="auto"/>
        <w:bottom w:val="none" w:sz="0" w:space="0" w:color="auto"/>
        <w:right w:val="none" w:sz="0" w:space="0" w:color="auto"/>
      </w:divBdr>
    </w:div>
    <w:div w:id="1980839197">
      <w:bodyDiv w:val="1"/>
      <w:marLeft w:val="0"/>
      <w:marRight w:val="0"/>
      <w:marTop w:val="0"/>
      <w:marBottom w:val="0"/>
      <w:divBdr>
        <w:top w:val="none" w:sz="0" w:space="0" w:color="auto"/>
        <w:left w:val="none" w:sz="0" w:space="0" w:color="auto"/>
        <w:bottom w:val="none" w:sz="0" w:space="0" w:color="auto"/>
        <w:right w:val="none" w:sz="0" w:space="0" w:color="auto"/>
      </w:divBdr>
    </w:div>
    <w:div w:id="2025667325">
      <w:bodyDiv w:val="1"/>
      <w:marLeft w:val="0"/>
      <w:marRight w:val="0"/>
      <w:marTop w:val="0"/>
      <w:marBottom w:val="0"/>
      <w:divBdr>
        <w:top w:val="none" w:sz="0" w:space="0" w:color="auto"/>
        <w:left w:val="none" w:sz="0" w:space="0" w:color="auto"/>
        <w:bottom w:val="none" w:sz="0" w:space="0" w:color="auto"/>
        <w:right w:val="none" w:sz="0" w:space="0" w:color="auto"/>
      </w:divBdr>
    </w:div>
    <w:div w:id="2059039480">
      <w:bodyDiv w:val="1"/>
      <w:marLeft w:val="0"/>
      <w:marRight w:val="0"/>
      <w:marTop w:val="0"/>
      <w:marBottom w:val="0"/>
      <w:divBdr>
        <w:top w:val="none" w:sz="0" w:space="0" w:color="auto"/>
        <w:left w:val="none" w:sz="0" w:space="0" w:color="auto"/>
        <w:bottom w:val="none" w:sz="0" w:space="0" w:color="auto"/>
        <w:right w:val="none" w:sz="0" w:space="0" w:color="auto"/>
      </w:divBdr>
    </w:div>
    <w:div w:id="2098554625">
      <w:bodyDiv w:val="1"/>
      <w:marLeft w:val="0"/>
      <w:marRight w:val="0"/>
      <w:marTop w:val="0"/>
      <w:marBottom w:val="0"/>
      <w:divBdr>
        <w:top w:val="none" w:sz="0" w:space="0" w:color="auto"/>
        <w:left w:val="none" w:sz="0" w:space="0" w:color="auto"/>
        <w:bottom w:val="none" w:sz="0" w:space="0" w:color="auto"/>
        <w:right w:val="none" w:sz="0" w:space="0" w:color="auto"/>
      </w:divBdr>
    </w:div>
    <w:div w:id="210364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oi.org/10.3390/ijms1903082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166/mex.2021.198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nu1617300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21101/cejph.a4717"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a:effectLst/>
              </a:rPr>
              <a:t>rs </a:t>
            </a:r>
            <a:r>
              <a:rPr lang="en-GB" sz="1800" b="1">
                <a:effectLst/>
              </a:rPr>
              <a:t>731236</a:t>
            </a:r>
            <a:endParaRPr lang="x-none" sz="1800">
              <a:effectLst/>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observed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TT (Wild)</c:v>
                </c:pt>
                <c:pt idx="1">
                  <c:v>TC (Hetro)</c:v>
                </c:pt>
                <c:pt idx="2">
                  <c:v>CC (Homo)</c:v>
                </c:pt>
              </c:strCache>
            </c:strRef>
          </c:cat>
          <c:val>
            <c:numRef>
              <c:f>Sheet1!$B$2:$B$4</c:f>
              <c:numCache>
                <c:formatCode>General</c:formatCode>
                <c:ptCount val="3"/>
                <c:pt idx="0">
                  <c:v>31</c:v>
                </c:pt>
                <c:pt idx="1">
                  <c:v>9</c:v>
                </c:pt>
                <c:pt idx="2">
                  <c:v>10</c:v>
                </c:pt>
              </c:numCache>
            </c:numRef>
          </c:val>
          <c:extLst>
            <c:ext xmlns:c16="http://schemas.microsoft.com/office/drawing/2014/chart" uri="{C3380CC4-5D6E-409C-BE32-E72D297353CC}">
              <c16:uniqueId val="{00000000-5CC5-45F5-B09E-3C537F6412D0}"/>
            </c:ext>
          </c:extLst>
        </c:ser>
        <c:ser>
          <c:idx val="1"/>
          <c:order val="1"/>
          <c:tx>
            <c:strRef>
              <c:f>Sheet1!$C$1</c:f>
              <c:strCache>
                <c:ptCount val="1"/>
                <c:pt idx="0">
                  <c:v>expected</c:v>
                </c:pt>
              </c:strCache>
            </c:strRef>
          </c:tx>
          <c:spPr>
            <a:solidFill>
              <a:schemeClr val="accent2"/>
            </a:solidFill>
            <a:ln>
              <a:noFill/>
            </a:ln>
            <a:effectLst/>
          </c:spPr>
          <c:invertIfNegative val="0"/>
          <c:dLbls>
            <c:dLbl>
              <c:idx val="0"/>
              <c:tx>
                <c:rich>
                  <a:bodyPr/>
                  <a:lstStyle/>
                  <a:p>
                    <a:r>
                      <a:rPr lang="en-US"/>
                      <a:t>25.3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39D-446D-BFFD-23ABD7421872}"/>
                </c:ext>
              </c:extLst>
            </c:dLbl>
            <c:dLbl>
              <c:idx val="1"/>
              <c:tx>
                <c:rich>
                  <a:bodyPr/>
                  <a:lstStyle/>
                  <a:p>
                    <a:r>
                      <a:rPr lang="en-US"/>
                      <a:t>20.5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39D-446D-BFFD-23ABD7421872}"/>
                </c:ext>
              </c:extLst>
            </c:dLbl>
            <c:dLbl>
              <c:idx val="2"/>
              <c:tx>
                <c:rich>
                  <a:bodyPr/>
                  <a:lstStyle/>
                  <a:p>
                    <a:r>
                      <a:rPr lang="en-US"/>
                      <a:t>4.6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39D-446D-BFFD-23ABD742187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TT (Wild)</c:v>
                </c:pt>
                <c:pt idx="1">
                  <c:v>TC (Hetro)</c:v>
                </c:pt>
                <c:pt idx="2">
                  <c:v>CC (Homo)</c:v>
                </c:pt>
              </c:strCache>
            </c:strRef>
          </c:cat>
          <c:val>
            <c:numRef>
              <c:f>Sheet1!$C$2:$C$4</c:f>
              <c:numCache>
                <c:formatCode>General</c:formatCode>
                <c:ptCount val="3"/>
                <c:pt idx="0">
                  <c:v>25.2</c:v>
                </c:pt>
                <c:pt idx="1">
                  <c:v>20.7</c:v>
                </c:pt>
                <c:pt idx="2">
                  <c:v>4.3</c:v>
                </c:pt>
              </c:numCache>
            </c:numRef>
          </c:val>
          <c:extLst>
            <c:ext xmlns:c16="http://schemas.microsoft.com/office/drawing/2014/chart" uri="{C3380CC4-5D6E-409C-BE32-E72D297353CC}">
              <c16:uniqueId val="{00000001-5CC5-45F5-B09E-3C537F6412D0}"/>
            </c:ext>
          </c:extLst>
        </c:ser>
        <c:dLbls>
          <c:showLegendKey val="0"/>
          <c:showVal val="0"/>
          <c:showCatName val="0"/>
          <c:showSerName val="0"/>
          <c:showPercent val="0"/>
          <c:showBubbleSize val="0"/>
        </c:dLbls>
        <c:gapWidth val="219"/>
        <c:overlap val="-27"/>
        <c:axId val="225818880"/>
        <c:axId val="225947648"/>
      </c:barChart>
      <c:catAx>
        <c:axId val="225818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5947648"/>
        <c:crosses val="autoZero"/>
        <c:auto val="1"/>
        <c:lblAlgn val="ctr"/>
        <c:lblOffset val="100"/>
        <c:noMultiLvlLbl val="0"/>
      </c:catAx>
      <c:valAx>
        <c:axId val="225947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58188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0DA6B-6C04-4281-A33E-8B123D761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12</Pages>
  <Words>3812</Words>
  <Characters>21734</Characters>
  <Application>Microsoft Office Word</Application>
  <DocSecurity>0</DocSecurity>
  <Lines>181</Lines>
  <Paragraphs>50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25496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SDI 1084</cp:lastModifiedBy>
  <cp:revision>12</cp:revision>
  <dcterms:created xsi:type="dcterms:W3CDTF">2025-04-04T10:30:00Z</dcterms:created>
  <dcterms:modified xsi:type="dcterms:W3CDTF">2025-06-05T08:36:00Z</dcterms:modified>
</cp:coreProperties>
</file>