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F550" w14:textId="35E80932" w:rsidR="00754C9A" w:rsidRPr="00B97B21" w:rsidRDefault="00B97B21" w:rsidP="00441B6F">
      <w:pPr>
        <w:pStyle w:val="Title"/>
        <w:spacing w:after="0"/>
        <w:jc w:val="both"/>
        <w:rPr>
          <w:rFonts w:ascii="Arial" w:hAnsi="Arial" w:cs="Arial"/>
          <w:color w:val="000000" w:themeColor="text1"/>
          <w:sz w:val="28"/>
          <w:szCs w:val="16"/>
          <w:u w:val="single"/>
        </w:rPr>
      </w:pPr>
      <w:r w:rsidRPr="00B97B21">
        <w:rPr>
          <w:rFonts w:ascii="Arial" w:hAnsi="Arial" w:cs="Arial"/>
          <w:color w:val="000000" w:themeColor="text1"/>
          <w:sz w:val="28"/>
          <w:szCs w:val="16"/>
          <w:u w:val="single"/>
        </w:rPr>
        <w:t>Original Research Article</w:t>
      </w:r>
    </w:p>
    <w:p w14:paraId="2F30022A" w14:textId="77777777" w:rsidR="00163BC4" w:rsidRPr="00C777FB" w:rsidRDefault="00C3466B" w:rsidP="00441B6F">
      <w:pPr>
        <w:pStyle w:val="Author"/>
        <w:spacing w:line="240" w:lineRule="auto"/>
        <w:rPr>
          <w:rFonts w:ascii="Arial" w:hAnsi="Arial" w:cs="Arial"/>
          <w:bCs/>
          <w:iCs/>
          <w:color w:val="000000" w:themeColor="text1"/>
          <w:kern w:val="28"/>
          <w:sz w:val="36"/>
        </w:rPr>
      </w:pPr>
      <w:r w:rsidRPr="00C777FB">
        <w:rPr>
          <w:rFonts w:ascii="Arial" w:hAnsi="Arial" w:cs="Arial"/>
          <w:bCs/>
          <w:iCs/>
          <w:color w:val="000000" w:themeColor="text1"/>
          <w:kern w:val="28"/>
          <w:sz w:val="36"/>
        </w:rPr>
        <w:t xml:space="preserve">Haematological Inflammatory Indices and Erythrocyte Sedimentation Rate </w:t>
      </w:r>
      <w:r w:rsidR="002063A4">
        <w:rPr>
          <w:rFonts w:ascii="Arial" w:hAnsi="Arial" w:cs="Arial"/>
          <w:bCs/>
          <w:iCs/>
          <w:color w:val="000000" w:themeColor="text1"/>
          <w:kern w:val="28"/>
          <w:sz w:val="36"/>
        </w:rPr>
        <w:t>among</w:t>
      </w:r>
      <w:r w:rsidRPr="00C777FB">
        <w:rPr>
          <w:rFonts w:ascii="Arial" w:hAnsi="Arial" w:cs="Arial"/>
          <w:bCs/>
          <w:iCs/>
          <w:color w:val="000000" w:themeColor="text1"/>
          <w:kern w:val="28"/>
          <w:sz w:val="36"/>
        </w:rPr>
        <w:t xml:space="preserve"> Patients with Type 2 Diabetes Mellitus Attending Rivers State University Teaching Hospital, Port Harcourt, Nigeria</w:t>
      </w:r>
    </w:p>
    <w:p w14:paraId="5FCFC1B9" w14:textId="77777777" w:rsidR="00A258C3" w:rsidRPr="00C777FB" w:rsidRDefault="00A258C3" w:rsidP="00441B6F">
      <w:pPr>
        <w:pStyle w:val="Author"/>
        <w:spacing w:line="240" w:lineRule="auto"/>
        <w:jc w:val="both"/>
        <w:rPr>
          <w:rFonts w:ascii="Arial" w:hAnsi="Arial" w:cs="Arial"/>
          <w:color w:val="000000" w:themeColor="text1"/>
          <w:sz w:val="36"/>
        </w:rPr>
      </w:pPr>
    </w:p>
    <w:p w14:paraId="580B67D3" w14:textId="77777777" w:rsidR="002C57D2" w:rsidRPr="00C777FB" w:rsidRDefault="002C57D2" w:rsidP="00441B6F">
      <w:pPr>
        <w:pStyle w:val="Affiliation"/>
        <w:spacing w:after="0" w:line="240" w:lineRule="auto"/>
        <w:jc w:val="both"/>
        <w:rPr>
          <w:rFonts w:ascii="Arial" w:hAnsi="Arial" w:cs="Arial"/>
          <w:color w:val="000000" w:themeColor="text1"/>
        </w:rPr>
      </w:pPr>
    </w:p>
    <w:p w14:paraId="489AE524" w14:textId="77777777" w:rsidR="00B01FCD" w:rsidRPr="00C777FB" w:rsidRDefault="009422A2" w:rsidP="00441B6F">
      <w:pPr>
        <w:pStyle w:val="Copyright"/>
        <w:spacing w:after="0" w:line="240" w:lineRule="auto"/>
        <w:jc w:val="both"/>
        <w:rPr>
          <w:rFonts w:ascii="Arial" w:hAnsi="Arial" w:cs="Arial"/>
          <w:color w:val="000000" w:themeColor="text1"/>
        </w:rPr>
        <w:sectPr w:rsidR="00B01FCD" w:rsidRPr="00C777FB" w:rsidSect="009B08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777FB">
        <w:rPr>
          <w:rFonts w:ascii="Arial" w:hAnsi="Arial" w:cs="Arial"/>
          <w:noProof/>
          <w:color w:val="000000" w:themeColor="text1"/>
        </w:rPr>
        <mc:AlternateContent>
          <mc:Choice Requires="wps">
            <w:drawing>
              <wp:inline distT="0" distB="0" distL="0" distR="0" wp14:anchorId="153048E4" wp14:editId="78691D61">
                <wp:extent cx="5303520" cy="0"/>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B85F1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79556799" w14:textId="28FBB8D5" w:rsidR="00790ADA" w:rsidRPr="00C777FB" w:rsidRDefault="005030EB" w:rsidP="00441B6F">
      <w:pPr>
        <w:pStyle w:val="AbstHead"/>
        <w:spacing w:after="0"/>
        <w:jc w:val="both"/>
        <w:rPr>
          <w:rFonts w:ascii="Arial" w:hAnsi="Arial" w:cs="Arial"/>
          <w:color w:val="000000" w:themeColor="text1"/>
        </w:rPr>
      </w:pPr>
      <w:r>
        <w:rPr>
          <w:rFonts w:ascii="Arial" w:hAnsi="Arial" w:cs="Arial"/>
          <w:color w:val="000000" w:themeColor="text1"/>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777FB" w:rsidRPr="00C777FB" w14:paraId="39B511A6" w14:textId="77777777" w:rsidTr="001E44FE">
        <w:tc>
          <w:tcPr>
            <w:tcW w:w="9576" w:type="dxa"/>
            <w:shd w:val="clear" w:color="auto" w:fill="F2F2F2"/>
          </w:tcPr>
          <w:p w14:paraId="5C744A66" w14:textId="77777777"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 xml:space="preserve">Introduction: </w:t>
            </w:r>
            <w:r w:rsidRPr="00C777FB">
              <w:rPr>
                <w:rFonts w:ascii="Arial" w:eastAsia="Calibri" w:hAnsi="Arial" w:cs="Arial"/>
                <w:color w:val="000000" w:themeColor="text1"/>
                <w:szCs w:val="22"/>
              </w:rPr>
              <w:t>Chronic inflammation plays a key role in the development and progression of diabetic complications.</w:t>
            </w:r>
            <w:r w:rsidR="00071105" w:rsidRPr="00C777FB">
              <w:rPr>
                <w:rFonts w:ascii="Arial" w:eastAsia="Calibri" w:hAnsi="Arial" w:cs="Arial"/>
                <w:color w:val="000000" w:themeColor="text1"/>
                <w:szCs w:val="22"/>
              </w:rPr>
              <w:t xml:space="preserve"> </w:t>
            </w:r>
            <w:proofErr w:type="spellStart"/>
            <w:r w:rsidRPr="00C777FB">
              <w:rPr>
                <w:rFonts w:ascii="Arial" w:eastAsia="Calibri" w:hAnsi="Arial" w:cs="Arial"/>
                <w:color w:val="000000" w:themeColor="text1"/>
                <w:szCs w:val="22"/>
              </w:rPr>
              <w:t>Haematological</w:t>
            </w:r>
            <w:proofErr w:type="spellEnd"/>
            <w:r w:rsidRPr="00C777FB">
              <w:rPr>
                <w:rFonts w:ascii="Arial" w:eastAsia="Calibri" w:hAnsi="Arial" w:cs="Arial"/>
                <w:color w:val="000000" w:themeColor="text1"/>
                <w:szCs w:val="22"/>
              </w:rPr>
              <w:t xml:space="preserve"> inflammatory indices have emerged as reliable markers of systemic inflammation in diabetes. </w:t>
            </w:r>
          </w:p>
          <w:p w14:paraId="74570198" w14:textId="77777777" w:rsidR="00C3466B" w:rsidRPr="00C777FB" w:rsidRDefault="00C3466B" w:rsidP="00C3466B">
            <w:pPr>
              <w:pStyle w:val="Body"/>
              <w:spacing w:after="0"/>
              <w:rPr>
                <w:rFonts w:ascii="Arial" w:eastAsia="Calibri" w:hAnsi="Arial" w:cs="Arial"/>
                <w:color w:val="000000" w:themeColor="text1"/>
                <w:szCs w:val="22"/>
              </w:rPr>
            </w:pPr>
          </w:p>
          <w:p w14:paraId="48E51C8E" w14:textId="77777777"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 xml:space="preserve">Aim: </w:t>
            </w:r>
            <w:r w:rsidRPr="00C777FB">
              <w:rPr>
                <w:rFonts w:ascii="Arial" w:eastAsia="Calibri" w:hAnsi="Arial" w:cs="Arial"/>
                <w:color w:val="000000" w:themeColor="text1"/>
                <w:szCs w:val="22"/>
              </w:rPr>
              <w:t xml:space="preserve">This study evaluated neutrophil-to-lymphocyte ratio (NLR), platelet-to-neutrophil ratio (PNR), and platelet-to-lymphocyte ratio (PLR) derived from routine complete blood count (CBC) and </w:t>
            </w:r>
            <w:r w:rsidR="001D2CE5">
              <w:rPr>
                <w:rFonts w:ascii="Arial" w:eastAsia="Calibri" w:hAnsi="Arial" w:cs="Arial"/>
                <w:color w:val="000000" w:themeColor="text1"/>
                <w:szCs w:val="22"/>
              </w:rPr>
              <w:t>erythrocyte sedimentation rate (</w:t>
            </w:r>
            <w:r w:rsidR="00071105" w:rsidRPr="00C777FB">
              <w:rPr>
                <w:rFonts w:ascii="Arial" w:eastAsia="Calibri" w:hAnsi="Arial" w:cs="Arial"/>
                <w:color w:val="000000" w:themeColor="text1"/>
                <w:szCs w:val="22"/>
              </w:rPr>
              <w:t>ESR</w:t>
            </w:r>
            <w:r w:rsidR="001D2CE5">
              <w:rPr>
                <w:rFonts w:ascii="Arial" w:eastAsia="Calibri" w:hAnsi="Arial" w:cs="Arial"/>
                <w:color w:val="000000" w:themeColor="text1"/>
                <w:szCs w:val="22"/>
              </w:rPr>
              <w:t>)</w:t>
            </w:r>
            <w:r w:rsidRPr="00C777FB">
              <w:rPr>
                <w:rFonts w:ascii="Arial" w:eastAsia="Calibri" w:hAnsi="Arial" w:cs="Arial"/>
                <w:color w:val="000000" w:themeColor="text1"/>
                <w:szCs w:val="22"/>
              </w:rPr>
              <w:t xml:space="preserve"> </w:t>
            </w:r>
            <w:r w:rsidR="002063A4">
              <w:rPr>
                <w:rFonts w:ascii="Arial" w:eastAsia="Calibri" w:hAnsi="Arial" w:cs="Arial"/>
                <w:color w:val="000000" w:themeColor="text1"/>
                <w:szCs w:val="22"/>
              </w:rPr>
              <w:t>among</w:t>
            </w:r>
            <w:r w:rsidRPr="00C777FB">
              <w:rPr>
                <w:rFonts w:ascii="Arial" w:eastAsia="Calibri" w:hAnsi="Arial" w:cs="Arial"/>
                <w:color w:val="000000" w:themeColor="text1"/>
                <w:szCs w:val="22"/>
              </w:rPr>
              <w:t xml:space="preserve"> individuals with type 2 diabetes (T2DM) attending the Rivers State University Teaching Hospital in Port Harcourt, Nigeria.</w:t>
            </w:r>
          </w:p>
          <w:p w14:paraId="188542A3" w14:textId="77777777" w:rsidR="00C3466B" w:rsidRPr="00C777FB" w:rsidRDefault="00C3466B" w:rsidP="00C3466B">
            <w:pPr>
              <w:pStyle w:val="Body"/>
              <w:spacing w:after="0"/>
              <w:rPr>
                <w:rFonts w:ascii="Arial" w:eastAsia="Calibri" w:hAnsi="Arial" w:cs="Arial"/>
                <w:color w:val="000000" w:themeColor="text1"/>
                <w:szCs w:val="22"/>
              </w:rPr>
            </w:pPr>
          </w:p>
          <w:p w14:paraId="4B5A32E4" w14:textId="77777777"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bCs/>
                <w:color w:val="000000" w:themeColor="text1"/>
                <w:szCs w:val="22"/>
              </w:rPr>
              <w:t>Method</w:t>
            </w:r>
            <w:r w:rsidR="00071105" w:rsidRPr="00C777FB">
              <w:rPr>
                <w:rFonts w:ascii="Arial" w:eastAsia="Calibri" w:hAnsi="Arial" w:cs="Arial"/>
                <w:b/>
                <w:bCs/>
                <w:color w:val="000000" w:themeColor="text1"/>
                <w:szCs w:val="22"/>
              </w:rPr>
              <w:t>ology</w:t>
            </w:r>
            <w:r w:rsidRPr="00C777FB">
              <w:rPr>
                <w:rFonts w:ascii="Arial" w:eastAsia="Calibri" w:hAnsi="Arial" w:cs="Arial"/>
                <w:b/>
                <w:bCs/>
                <w:color w:val="000000" w:themeColor="text1"/>
                <w:szCs w:val="22"/>
              </w:rPr>
              <w:t>:</w:t>
            </w:r>
            <w:r w:rsidRPr="00C777FB">
              <w:rPr>
                <w:rFonts w:ascii="Arial" w:eastAsia="Calibri" w:hAnsi="Arial" w:cs="Arial"/>
                <w:color w:val="000000" w:themeColor="text1"/>
                <w:szCs w:val="22"/>
              </w:rPr>
              <w:t xml:space="preserve"> This study was conducted among 70 diabetic and 70 non-diabetic subjects </w:t>
            </w:r>
            <w:r w:rsidR="00071105" w:rsidRPr="00C777FB">
              <w:rPr>
                <w:rFonts w:ascii="Arial" w:eastAsia="Calibri" w:hAnsi="Arial" w:cs="Arial"/>
                <w:color w:val="000000" w:themeColor="text1"/>
                <w:szCs w:val="22"/>
              </w:rPr>
              <w:t>comprising of 41 females and 29 males</w:t>
            </w:r>
            <w:r w:rsidRPr="00C777FB">
              <w:rPr>
                <w:rFonts w:ascii="Arial" w:eastAsia="Calibri" w:hAnsi="Arial" w:cs="Arial"/>
                <w:color w:val="000000" w:themeColor="text1"/>
                <w:szCs w:val="22"/>
              </w:rPr>
              <w:t xml:space="preserve"> between the ages of 28-74. The NLR, PNR, and PLR were calculated from CBC results obtained using the Mindray BC-5150 </w:t>
            </w:r>
            <w:proofErr w:type="spellStart"/>
            <w:r w:rsidRPr="00C777FB">
              <w:rPr>
                <w:rFonts w:ascii="Arial" w:eastAsia="Calibri" w:hAnsi="Arial" w:cs="Arial"/>
                <w:color w:val="000000" w:themeColor="text1"/>
                <w:szCs w:val="22"/>
              </w:rPr>
              <w:t>haematology</w:t>
            </w:r>
            <w:proofErr w:type="spellEnd"/>
            <w:r w:rsidRPr="00C777FB">
              <w:rPr>
                <w:rFonts w:ascii="Arial" w:eastAsia="Calibri" w:hAnsi="Arial" w:cs="Arial"/>
                <w:color w:val="000000" w:themeColor="text1"/>
                <w:szCs w:val="22"/>
              </w:rPr>
              <w:t xml:space="preserve"> analyzer. ESR was measured using the Westergren method. Data obtained was analyzed using </w:t>
            </w:r>
            <w:proofErr w:type="spellStart"/>
            <w:r w:rsidRPr="00C777FB">
              <w:rPr>
                <w:rFonts w:ascii="Arial" w:eastAsia="Calibri" w:hAnsi="Arial" w:cs="Arial"/>
                <w:color w:val="000000" w:themeColor="text1"/>
                <w:szCs w:val="22"/>
              </w:rPr>
              <w:t>Graphpad</w:t>
            </w:r>
            <w:proofErr w:type="spellEnd"/>
            <w:r w:rsidRPr="00C777FB">
              <w:rPr>
                <w:rFonts w:ascii="Arial" w:eastAsia="Calibri" w:hAnsi="Arial" w:cs="Arial"/>
                <w:color w:val="000000" w:themeColor="text1"/>
                <w:szCs w:val="22"/>
              </w:rPr>
              <w:t xml:space="preserve"> Software version 8.0.2.</w:t>
            </w:r>
          </w:p>
          <w:p w14:paraId="5E5F4033" w14:textId="77777777" w:rsidR="00C3466B" w:rsidRPr="00C777FB" w:rsidRDefault="00C3466B" w:rsidP="00C3466B">
            <w:pPr>
              <w:pStyle w:val="Body"/>
              <w:spacing w:after="0"/>
              <w:rPr>
                <w:rFonts w:ascii="Arial" w:eastAsia="Calibri" w:hAnsi="Arial" w:cs="Arial"/>
                <w:color w:val="000000" w:themeColor="text1"/>
                <w:szCs w:val="22"/>
              </w:rPr>
            </w:pPr>
          </w:p>
          <w:p w14:paraId="072EC989" w14:textId="77777777"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 xml:space="preserve">Results: </w:t>
            </w:r>
            <w:r w:rsidRPr="00C777FB">
              <w:rPr>
                <w:rFonts w:ascii="Arial" w:eastAsia="Calibri" w:hAnsi="Arial" w:cs="Arial"/>
                <w:color w:val="000000" w:themeColor="text1"/>
                <w:szCs w:val="22"/>
              </w:rPr>
              <w:t>The NLR and ESR were significantly elevated in diabetic subjects compare</w:t>
            </w:r>
            <w:r w:rsidR="00F8329F" w:rsidRPr="00C777FB">
              <w:rPr>
                <w:rFonts w:ascii="Arial" w:eastAsia="Calibri" w:hAnsi="Arial" w:cs="Arial"/>
                <w:color w:val="000000" w:themeColor="text1"/>
                <w:szCs w:val="22"/>
              </w:rPr>
              <w:t xml:space="preserve">d to controls (NLR: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w:t>
            </w:r>
            <w:r w:rsidRPr="00C777FB">
              <w:rPr>
                <w:rFonts w:ascii="Arial" w:eastAsia="Calibri" w:hAnsi="Arial" w:cs="Arial"/>
                <w:color w:val="000000" w:themeColor="text1"/>
                <w:szCs w:val="22"/>
              </w:rPr>
              <w:t xml:space="preserve">0.0004; ESR: </w:t>
            </w:r>
            <w:r w:rsidR="00F8329F" w:rsidRPr="00C777FB">
              <w:rPr>
                <w:rFonts w:ascii="Arial" w:eastAsia="Calibri" w:hAnsi="Arial" w:cs="Arial"/>
                <w:i/>
                <w:color w:val="000000" w:themeColor="text1"/>
                <w:szCs w:val="22"/>
              </w:rPr>
              <w:t>P</w:t>
            </w:r>
            <w:r w:rsidRPr="00C777FB">
              <w:rPr>
                <w:rFonts w:ascii="Arial" w:eastAsia="Calibri" w:hAnsi="Arial" w:cs="Arial"/>
                <w:color w:val="000000" w:themeColor="text1"/>
                <w:szCs w:val="22"/>
              </w:rPr>
              <w:t>&lt;</w:t>
            </w:r>
            <w:r w:rsidR="00F8329F" w:rsidRPr="00C777FB">
              <w:rPr>
                <w:rFonts w:ascii="Arial" w:eastAsia="Calibri" w:hAnsi="Arial" w:cs="Arial"/>
                <w:color w:val="000000" w:themeColor="text1"/>
                <w:szCs w:val="22"/>
              </w:rPr>
              <w:t>0.000</w:t>
            </w:r>
            <w:r w:rsidRPr="00C777FB">
              <w:rPr>
                <w:rFonts w:ascii="Arial" w:eastAsia="Calibri" w:hAnsi="Arial" w:cs="Arial"/>
                <w:color w:val="000000" w:themeColor="text1"/>
                <w:szCs w:val="22"/>
              </w:rPr>
              <w:t>1). In contrast, the PNR and PLR were significantly lower in the diabetic group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&lt;0.000</w:t>
            </w:r>
            <w:r w:rsidRPr="00C777FB">
              <w:rPr>
                <w:rFonts w:ascii="Arial" w:eastAsia="Calibri" w:hAnsi="Arial" w:cs="Arial"/>
                <w:color w:val="000000" w:themeColor="text1"/>
                <w:szCs w:val="22"/>
              </w:rPr>
              <w:t>1). Gender-based analysis revealed that male diabetic subjects had significantly higher NLR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=0.0036) and ESR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=0.0040)</w:t>
            </w:r>
            <w:r w:rsidR="00A52A6E" w:rsidRPr="00C777FB">
              <w:rPr>
                <w:rFonts w:ascii="Arial" w:eastAsia="Calibri" w:hAnsi="Arial" w:cs="Arial"/>
                <w:color w:val="000000" w:themeColor="text1"/>
                <w:szCs w:val="22"/>
              </w:rPr>
              <w:t>,</w:t>
            </w:r>
            <w:r w:rsidRPr="00C777FB">
              <w:rPr>
                <w:rFonts w:ascii="Arial" w:eastAsia="Calibri" w:hAnsi="Arial" w:cs="Arial"/>
                <w:color w:val="000000" w:themeColor="text1"/>
                <w:szCs w:val="22"/>
              </w:rPr>
              <w:t xml:space="preserve"> and lower PNR </w:t>
            </w:r>
            <w:r w:rsidR="00F8329F" w:rsidRPr="00C777FB">
              <w:rPr>
                <w:rFonts w:ascii="Arial" w:eastAsia="Calibri" w:hAnsi="Arial" w:cs="Arial"/>
                <w:color w:val="000000" w:themeColor="text1"/>
                <w:szCs w:val="22"/>
              </w:rPr>
              <w:t>(</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 xml:space="preserve">=0.0001) </w:t>
            </w:r>
            <w:r w:rsidRPr="00C777FB">
              <w:rPr>
                <w:rFonts w:ascii="Arial" w:eastAsia="Calibri" w:hAnsi="Arial" w:cs="Arial"/>
                <w:color w:val="000000" w:themeColor="text1"/>
                <w:szCs w:val="22"/>
              </w:rPr>
              <w:t xml:space="preserve">compared to male controls, </w:t>
            </w:r>
            <w:r w:rsidR="00A52A6E" w:rsidRPr="00C777FB">
              <w:rPr>
                <w:rFonts w:ascii="Arial" w:eastAsia="Calibri" w:hAnsi="Arial" w:cs="Arial"/>
                <w:color w:val="000000" w:themeColor="text1"/>
                <w:szCs w:val="22"/>
              </w:rPr>
              <w:t>with no significant difference in PLR</w:t>
            </w:r>
            <w:r w:rsidRPr="00C777FB">
              <w:rPr>
                <w:rFonts w:ascii="Arial" w:eastAsia="Calibri" w:hAnsi="Arial" w:cs="Arial"/>
                <w:color w:val="000000" w:themeColor="text1"/>
                <w:szCs w:val="22"/>
              </w:rPr>
              <w:t>. Among female subjects, diabetic subjects also had significantly higher NLR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=0.0375) and ESR</w:t>
            </w:r>
            <w:r w:rsidRPr="00C777FB">
              <w:rPr>
                <w:rFonts w:ascii="Arial" w:eastAsia="Calibri" w:hAnsi="Arial" w:cs="Arial"/>
                <w:color w:val="000000" w:themeColor="text1"/>
                <w:szCs w:val="22"/>
              </w:rPr>
              <w:t xml:space="preserve"> </w:t>
            </w:r>
            <w:r w:rsidR="00F8329F" w:rsidRPr="00C777FB">
              <w:rPr>
                <w:rFonts w:ascii="Arial" w:eastAsia="Calibri" w:hAnsi="Arial" w:cs="Arial"/>
                <w:color w:val="000000" w:themeColor="text1"/>
                <w:szCs w:val="22"/>
              </w:rPr>
              <w:t>(</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 xml:space="preserve"> &lt;0.0001)</w:t>
            </w:r>
            <w:r w:rsidR="00A52A6E" w:rsidRPr="00C777FB">
              <w:rPr>
                <w:rFonts w:ascii="Arial" w:eastAsia="Calibri" w:hAnsi="Arial" w:cs="Arial"/>
                <w:color w:val="000000" w:themeColor="text1"/>
                <w:szCs w:val="22"/>
              </w:rPr>
              <w:t>,</w:t>
            </w:r>
            <w:r w:rsidR="00F8329F" w:rsidRPr="00C777FB">
              <w:rPr>
                <w:rFonts w:ascii="Arial" w:eastAsia="Calibri" w:hAnsi="Arial" w:cs="Arial"/>
                <w:color w:val="000000" w:themeColor="text1"/>
                <w:szCs w:val="22"/>
              </w:rPr>
              <w:t xml:space="preserve"> </w:t>
            </w:r>
            <w:r w:rsidR="00A52A6E" w:rsidRPr="00C777FB">
              <w:rPr>
                <w:rFonts w:ascii="Arial" w:eastAsia="Calibri" w:hAnsi="Arial" w:cs="Arial"/>
                <w:color w:val="000000" w:themeColor="text1"/>
                <w:szCs w:val="22"/>
              </w:rPr>
              <w:t>alongside</w:t>
            </w:r>
            <w:r w:rsidRPr="00C777FB">
              <w:rPr>
                <w:rFonts w:ascii="Arial" w:eastAsia="Calibri" w:hAnsi="Arial" w:cs="Arial"/>
                <w:color w:val="000000" w:themeColor="text1"/>
                <w:szCs w:val="22"/>
              </w:rPr>
              <w:t xml:space="preserve"> lower PNR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=0.0003)</w:t>
            </w:r>
            <w:r w:rsidR="00A52A6E" w:rsidRPr="00C777FB">
              <w:rPr>
                <w:rFonts w:ascii="Arial" w:eastAsia="Calibri" w:hAnsi="Arial" w:cs="Arial"/>
                <w:color w:val="000000" w:themeColor="text1"/>
                <w:szCs w:val="22"/>
              </w:rPr>
              <w:t xml:space="preserve"> and </w:t>
            </w:r>
            <w:r w:rsidRPr="00C777FB">
              <w:rPr>
                <w:rFonts w:ascii="Arial" w:eastAsia="Calibri" w:hAnsi="Arial" w:cs="Arial"/>
                <w:color w:val="000000" w:themeColor="text1"/>
                <w:szCs w:val="22"/>
              </w:rPr>
              <w:t>PLR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=0.0002)</w:t>
            </w:r>
            <w:r w:rsidRPr="00C777FB">
              <w:rPr>
                <w:rFonts w:ascii="Arial" w:eastAsia="Calibri" w:hAnsi="Arial" w:cs="Arial"/>
                <w:color w:val="000000" w:themeColor="text1"/>
                <w:szCs w:val="22"/>
              </w:rPr>
              <w:t>. Although variations in these markers were observed with increasing duration of diabetes, the differences were not statistically significant. HbA1c was negatively correlated with PNR</w:t>
            </w:r>
            <w:r w:rsidR="00DA17AB" w:rsidRPr="00C777FB">
              <w:rPr>
                <w:rFonts w:ascii="Arial" w:eastAsia="Calibri" w:hAnsi="Arial" w:cs="Arial"/>
                <w:color w:val="000000" w:themeColor="text1"/>
                <w:szCs w:val="22"/>
              </w:rPr>
              <w:t xml:space="preserve"> (</w:t>
            </w:r>
            <w:r w:rsidR="00DA17AB" w:rsidRPr="00C777FB">
              <w:rPr>
                <w:rFonts w:ascii="Arial" w:eastAsia="Calibri" w:hAnsi="Arial" w:cs="Arial"/>
                <w:i/>
                <w:color w:val="000000" w:themeColor="text1"/>
                <w:szCs w:val="22"/>
              </w:rPr>
              <w:t>P</w:t>
            </w:r>
            <w:r w:rsidR="00DA17AB" w:rsidRPr="00C777FB">
              <w:rPr>
                <w:rFonts w:ascii="Arial" w:eastAsia="Calibri" w:hAnsi="Arial" w:cs="Arial"/>
                <w:color w:val="000000" w:themeColor="text1"/>
                <w:szCs w:val="22"/>
              </w:rPr>
              <w:t>=0.0117)</w:t>
            </w:r>
            <w:r w:rsidRPr="00C777FB">
              <w:rPr>
                <w:rFonts w:ascii="Arial" w:eastAsia="Calibri" w:hAnsi="Arial" w:cs="Arial"/>
                <w:color w:val="000000" w:themeColor="text1"/>
                <w:szCs w:val="22"/>
              </w:rPr>
              <w:t xml:space="preserve"> and PLR</w:t>
            </w:r>
            <w:r w:rsidR="00DA17AB" w:rsidRPr="00C777FB">
              <w:rPr>
                <w:rFonts w:ascii="Arial" w:eastAsia="Calibri" w:hAnsi="Arial" w:cs="Arial"/>
                <w:color w:val="000000" w:themeColor="text1"/>
                <w:szCs w:val="22"/>
              </w:rPr>
              <w:t xml:space="preserve"> (</w:t>
            </w:r>
            <w:r w:rsidR="00DA17AB" w:rsidRPr="00C777FB">
              <w:rPr>
                <w:rFonts w:ascii="Arial" w:eastAsia="Calibri" w:hAnsi="Arial" w:cs="Arial"/>
                <w:i/>
                <w:color w:val="000000" w:themeColor="text1"/>
                <w:szCs w:val="22"/>
              </w:rPr>
              <w:t>P</w:t>
            </w:r>
            <w:r w:rsidR="00DA17AB" w:rsidRPr="00C777FB">
              <w:rPr>
                <w:rFonts w:ascii="Arial" w:eastAsia="Calibri" w:hAnsi="Arial" w:cs="Arial"/>
                <w:color w:val="000000" w:themeColor="text1"/>
                <w:szCs w:val="22"/>
              </w:rPr>
              <w:t>=0.0123)</w:t>
            </w:r>
            <w:r w:rsidRPr="00C777FB">
              <w:rPr>
                <w:rFonts w:ascii="Arial" w:eastAsia="Calibri" w:hAnsi="Arial" w:cs="Arial"/>
                <w:color w:val="000000" w:themeColor="text1"/>
                <w:szCs w:val="22"/>
              </w:rPr>
              <w:t>, while NLR and ESR showed non-significant positive correlations.</w:t>
            </w:r>
          </w:p>
          <w:p w14:paraId="28F63A8D" w14:textId="77777777" w:rsidR="00C3466B" w:rsidRPr="00C777FB" w:rsidRDefault="00C3466B" w:rsidP="00C3466B">
            <w:pPr>
              <w:pStyle w:val="Body"/>
              <w:spacing w:after="0"/>
              <w:rPr>
                <w:rFonts w:ascii="Arial" w:eastAsia="Calibri" w:hAnsi="Arial" w:cs="Arial"/>
                <w:color w:val="000000" w:themeColor="text1"/>
                <w:szCs w:val="22"/>
              </w:rPr>
            </w:pPr>
          </w:p>
          <w:p w14:paraId="09310C64" w14:textId="77777777" w:rsidR="00505F06" w:rsidRPr="00C777FB" w:rsidRDefault="00C3466B" w:rsidP="00441B6F">
            <w:pPr>
              <w:pStyle w:val="Body"/>
              <w:spacing w:after="0"/>
              <w:rPr>
                <w:rFonts w:ascii="Arial" w:eastAsia="Calibri" w:hAnsi="Arial" w:cs="Arial"/>
                <w:color w:val="000000" w:themeColor="text1"/>
                <w:szCs w:val="22"/>
              </w:rPr>
            </w:pPr>
            <w:r w:rsidRPr="00C777FB">
              <w:rPr>
                <w:rFonts w:ascii="Arial" w:eastAsia="Calibri" w:hAnsi="Arial" w:cs="Arial"/>
                <w:b/>
                <w:bCs/>
                <w:color w:val="000000" w:themeColor="text1"/>
                <w:szCs w:val="22"/>
              </w:rPr>
              <w:t>Conclusion:</w:t>
            </w:r>
            <w:r w:rsidRPr="00C777FB">
              <w:rPr>
                <w:rFonts w:ascii="Arial" w:eastAsia="Calibri" w:hAnsi="Arial" w:cs="Arial"/>
                <w:color w:val="000000" w:themeColor="text1"/>
                <w:szCs w:val="22"/>
              </w:rPr>
              <w:t xml:space="preserve"> The findings highlight the relevance of </w:t>
            </w:r>
            <w:proofErr w:type="spellStart"/>
            <w:r w:rsidRPr="00C777FB">
              <w:rPr>
                <w:rFonts w:ascii="Arial" w:eastAsia="Calibri" w:hAnsi="Arial" w:cs="Arial"/>
                <w:color w:val="000000" w:themeColor="text1"/>
                <w:szCs w:val="22"/>
              </w:rPr>
              <w:t>haematological</w:t>
            </w:r>
            <w:proofErr w:type="spellEnd"/>
            <w:r w:rsidRPr="00C777FB">
              <w:rPr>
                <w:rFonts w:ascii="Arial" w:eastAsia="Calibri" w:hAnsi="Arial" w:cs="Arial"/>
                <w:color w:val="000000" w:themeColor="text1"/>
                <w:szCs w:val="22"/>
              </w:rPr>
              <w:t xml:space="preserve"> inflammatory indices as accessible tools for evaluating systemic inflammation in diabetes management.</w:t>
            </w:r>
          </w:p>
        </w:tc>
      </w:tr>
    </w:tbl>
    <w:p w14:paraId="7272E56B" w14:textId="77777777" w:rsidR="00636EB2" w:rsidRPr="00C777FB" w:rsidRDefault="00636EB2" w:rsidP="00441B6F">
      <w:pPr>
        <w:pStyle w:val="Body"/>
        <w:spacing w:after="0"/>
        <w:rPr>
          <w:rFonts w:ascii="Arial" w:hAnsi="Arial" w:cs="Arial"/>
          <w:i/>
          <w:color w:val="000000" w:themeColor="text1"/>
        </w:rPr>
      </w:pPr>
    </w:p>
    <w:p w14:paraId="3CD82B17" w14:textId="77777777" w:rsidR="00A24E7E" w:rsidRPr="00C777FB" w:rsidRDefault="00C3466B" w:rsidP="00441B6F">
      <w:pPr>
        <w:pStyle w:val="Body"/>
        <w:spacing w:after="0"/>
        <w:rPr>
          <w:rFonts w:ascii="Arial" w:hAnsi="Arial" w:cs="Arial"/>
          <w:i/>
          <w:color w:val="000000" w:themeColor="text1"/>
        </w:rPr>
      </w:pPr>
      <w:r w:rsidRPr="00C777FB">
        <w:rPr>
          <w:rFonts w:ascii="Arial" w:hAnsi="Arial" w:cs="Arial"/>
          <w:i/>
          <w:color w:val="000000" w:themeColor="text1"/>
        </w:rPr>
        <w:t>Keywords: Diabetes Mellitus; Neutrophil-Lymphocyte Ratio; Platelet-Neutrophil Ratio; Platelet-Lymphocyte Ratio; Erythrocyte Sedimentation Rate</w:t>
      </w:r>
    </w:p>
    <w:p w14:paraId="4BF9D684" w14:textId="77777777" w:rsidR="00505F06" w:rsidRPr="00C777FB" w:rsidRDefault="00505F06" w:rsidP="00441B6F">
      <w:pPr>
        <w:pStyle w:val="Body"/>
        <w:spacing w:after="0"/>
        <w:rPr>
          <w:rFonts w:ascii="Arial" w:hAnsi="Arial" w:cs="Arial"/>
          <w:i/>
          <w:color w:val="000000" w:themeColor="text1"/>
        </w:rPr>
      </w:pPr>
    </w:p>
    <w:p w14:paraId="4AA75288" w14:textId="77777777" w:rsidR="007F7B32" w:rsidRPr="00C777FB" w:rsidRDefault="00902823" w:rsidP="00441B6F">
      <w:pPr>
        <w:pStyle w:val="AbstHead"/>
        <w:spacing w:after="0"/>
        <w:jc w:val="both"/>
        <w:rPr>
          <w:rFonts w:ascii="Arial" w:hAnsi="Arial" w:cs="Arial"/>
          <w:color w:val="000000" w:themeColor="text1"/>
        </w:rPr>
      </w:pPr>
      <w:r w:rsidRPr="00C777FB">
        <w:rPr>
          <w:rFonts w:ascii="Arial" w:hAnsi="Arial" w:cs="Arial"/>
          <w:color w:val="000000" w:themeColor="text1"/>
        </w:rPr>
        <w:t xml:space="preserve">1. </w:t>
      </w:r>
      <w:r w:rsidR="00B01FCD" w:rsidRPr="00C777FB">
        <w:rPr>
          <w:rFonts w:ascii="Arial" w:hAnsi="Arial" w:cs="Arial"/>
          <w:color w:val="000000" w:themeColor="text1"/>
        </w:rPr>
        <w:t>INTRODUCTION</w:t>
      </w:r>
      <w:r w:rsidR="007F7B32" w:rsidRPr="00C777FB">
        <w:rPr>
          <w:rFonts w:ascii="Arial" w:hAnsi="Arial" w:cs="Arial"/>
          <w:color w:val="000000" w:themeColor="text1"/>
        </w:rPr>
        <w:t xml:space="preserve"> </w:t>
      </w:r>
    </w:p>
    <w:p w14:paraId="1015F750" w14:textId="77777777" w:rsidR="00790ADA" w:rsidRPr="00C777FB" w:rsidRDefault="00790ADA" w:rsidP="00441B6F">
      <w:pPr>
        <w:pStyle w:val="AbstHead"/>
        <w:spacing w:after="0"/>
        <w:jc w:val="both"/>
        <w:rPr>
          <w:rFonts w:ascii="Arial" w:hAnsi="Arial" w:cs="Arial"/>
          <w:color w:val="000000" w:themeColor="text1"/>
        </w:rPr>
      </w:pPr>
    </w:p>
    <w:p w14:paraId="35BD6B9D" w14:textId="77777777" w:rsidR="00A52A6E" w:rsidRPr="00C777FB" w:rsidRDefault="00A52A6E" w:rsidP="00A52A6E">
      <w:pPr>
        <w:pStyle w:val="Body"/>
        <w:spacing w:after="0"/>
        <w:rPr>
          <w:rFonts w:ascii="Arial" w:hAnsi="Arial" w:cs="Arial"/>
          <w:color w:val="000000" w:themeColor="text1"/>
        </w:rPr>
      </w:pPr>
      <w:r w:rsidRPr="00C777FB">
        <w:rPr>
          <w:rFonts w:ascii="Arial" w:hAnsi="Arial" w:cs="Arial"/>
          <w:color w:val="000000" w:themeColor="text1"/>
        </w:rPr>
        <w:t xml:space="preserve">Diabetes is a chronic metabolic disorder marked by the body’s impaired ability to produce or respond to insulin, resulting in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and often accompanied by dyslipidemia and insulin resistance (Internat</w:t>
      </w:r>
      <w:r w:rsidR="00A043B4" w:rsidRPr="00C777FB">
        <w:rPr>
          <w:rFonts w:ascii="Arial" w:hAnsi="Arial" w:cs="Arial"/>
          <w:color w:val="000000" w:themeColor="text1"/>
        </w:rPr>
        <w:t>ional Diabetes Federation, 2021</w:t>
      </w:r>
      <w:r w:rsidRPr="00C777FB">
        <w:rPr>
          <w:rFonts w:ascii="Arial" w:hAnsi="Arial" w:cs="Arial"/>
          <w:color w:val="000000" w:themeColor="text1"/>
        </w:rPr>
        <w:t xml:space="preserve">). The two main types are type 1 and type 2 diabetes mellitus (T1DM and T2DM), with T2DM accounting for 90–95% of all </w:t>
      </w:r>
      <w:r w:rsidRPr="00C777FB">
        <w:rPr>
          <w:rFonts w:ascii="Arial" w:hAnsi="Arial" w:cs="Arial"/>
          <w:color w:val="000000" w:themeColor="text1"/>
        </w:rPr>
        <w:lastRenderedPageBreak/>
        <w:t xml:space="preserve">cases (Chan </w:t>
      </w:r>
      <w:r w:rsidRPr="00C777FB">
        <w:rPr>
          <w:rFonts w:ascii="Arial" w:hAnsi="Arial" w:cs="Arial"/>
          <w:i/>
          <w:color w:val="000000" w:themeColor="text1"/>
        </w:rPr>
        <w:t>et al</w:t>
      </w:r>
      <w:r w:rsidRPr="00C777FB">
        <w:rPr>
          <w:rFonts w:ascii="Arial" w:hAnsi="Arial" w:cs="Arial"/>
          <w:color w:val="000000" w:themeColor="text1"/>
        </w:rPr>
        <w:t xml:space="preserve">., 2020). According to the Global Burden of Disease Study, diabetes is the eighth leading cause of death and disability globally (Vos </w:t>
      </w:r>
      <w:r w:rsidRPr="00C777FB">
        <w:rPr>
          <w:rFonts w:ascii="Arial" w:hAnsi="Arial" w:cs="Arial"/>
          <w:i/>
          <w:color w:val="000000" w:themeColor="text1"/>
        </w:rPr>
        <w:t>et al</w:t>
      </w:r>
      <w:r w:rsidRPr="00C777FB">
        <w:rPr>
          <w:rFonts w:ascii="Arial" w:hAnsi="Arial" w:cs="Arial"/>
          <w:color w:val="000000" w:themeColor="text1"/>
        </w:rPr>
        <w:t>., 2020). The increasing prevalence in Africa is attributed to rapid urbanization, aging populations, unhealthy diets, and the adoption of Western lifestyles (</w:t>
      </w:r>
      <w:proofErr w:type="spellStart"/>
      <w:r w:rsidRPr="00C777FB">
        <w:rPr>
          <w:rFonts w:ascii="Arial" w:hAnsi="Arial" w:cs="Arial"/>
          <w:color w:val="000000" w:themeColor="text1"/>
        </w:rPr>
        <w:t>Mbanya</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2010). Research suggests that the prevalence of diabetes in Port Harcourt, the epicenter of the oil and gas industry in Southern Nigeria, is comparable to rates in Western countries. This upward trend is attributed to the "Westernization" of lifestyles in the region (Onu and Babatunde, 2018).</w:t>
      </w:r>
    </w:p>
    <w:p w14:paraId="3ED63EAD" w14:textId="77777777" w:rsidR="00A52A6E" w:rsidRPr="00C777FB" w:rsidRDefault="00A52A6E" w:rsidP="00A52A6E">
      <w:pPr>
        <w:pStyle w:val="Body"/>
        <w:spacing w:after="0"/>
        <w:rPr>
          <w:rFonts w:ascii="Arial" w:hAnsi="Arial" w:cs="Arial"/>
          <w:color w:val="000000" w:themeColor="text1"/>
        </w:rPr>
      </w:pPr>
    </w:p>
    <w:p w14:paraId="3C2F481E" w14:textId="77777777" w:rsidR="00A043B4" w:rsidRPr="00C777FB" w:rsidRDefault="00A043B4" w:rsidP="00A043B4">
      <w:pPr>
        <w:pStyle w:val="Body"/>
        <w:spacing w:after="0"/>
        <w:rPr>
          <w:rFonts w:ascii="Arial" w:hAnsi="Arial" w:cs="Arial"/>
          <w:color w:val="000000" w:themeColor="text1"/>
        </w:rPr>
      </w:pPr>
      <w:r w:rsidRPr="00C777FB">
        <w:rPr>
          <w:rFonts w:ascii="Arial" w:hAnsi="Arial" w:cs="Arial"/>
          <w:color w:val="000000" w:themeColor="text1"/>
        </w:rPr>
        <w:t xml:space="preserve">Diabetes mellitus leads to both microvascular and macrovascular complications, which are major contributors to the increased rates of morbidity and mortality associated with the disease (Goyal and </w:t>
      </w:r>
      <w:proofErr w:type="spellStart"/>
      <w:r w:rsidRPr="00C777FB">
        <w:rPr>
          <w:rFonts w:ascii="Arial" w:hAnsi="Arial" w:cs="Arial"/>
          <w:color w:val="000000" w:themeColor="text1"/>
        </w:rPr>
        <w:t>Jialal</w:t>
      </w:r>
      <w:proofErr w:type="spellEnd"/>
      <w:r w:rsidRPr="00C777FB">
        <w:rPr>
          <w:rFonts w:ascii="Arial" w:hAnsi="Arial" w:cs="Arial"/>
          <w:color w:val="000000" w:themeColor="text1"/>
        </w:rPr>
        <w:t>, 2023). In the presence of prolonged hyperglyc</w:t>
      </w:r>
      <w:r w:rsidR="0088043E">
        <w:rPr>
          <w:rFonts w:ascii="Arial" w:hAnsi="Arial" w:cs="Arial"/>
          <w:color w:val="000000" w:themeColor="text1"/>
        </w:rPr>
        <w:t>a</w:t>
      </w:r>
      <w:r w:rsidRPr="00C777FB">
        <w:rPr>
          <w:rFonts w:ascii="Arial" w:hAnsi="Arial" w:cs="Arial"/>
          <w:color w:val="000000" w:themeColor="text1"/>
        </w:rPr>
        <w:t xml:space="preserve">emia, the red cells undergo alterations that impact hemorheology and microcirculation (Zhou </w:t>
      </w:r>
      <w:r w:rsidRPr="00C777FB">
        <w:rPr>
          <w:rFonts w:ascii="Arial" w:hAnsi="Arial" w:cs="Arial"/>
          <w:i/>
          <w:iCs/>
          <w:color w:val="000000" w:themeColor="text1"/>
        </w:rPr>
        <w:t>et al</w:t>
      </w:r>
      <w:r w:rsidRPr="00C777FB">
        <w:rPr>
          <w:rFonts w:ascii="Arial" w:hAnsi="Arial" w:cs="Arial"/>
          <w:color w:val="000000" w:themeColor="text1"/>
        </w:rPr>
        <w:t xml:space="preserve">., 2018). Consequently, the proportion of normal, biconcave disc erythrocytes decreases while deformed erythrocytes increase, heightening the risk of diabetic complications (Gyawali </w:t>
      </w:r>
      <w:r w:rsidRPr="00C777FB">
        <w:rPr>
          <w:rFonts w:ascii="Arial" w:hAnsi="Arial" w:cs="Arial"/>
          <w:i/>
          <w:iCs/>
          <w:color w:val="000000" w:themeColor="text1"/>
        </w:rPr>
        <w:t>et al</w:t>
      </w:r>
      <w:r w:rsidRPr="00C777FB">
        <w:rPr>
          <w:rFonts w:ascii="Arial" w:hAnsi="Arial" w:cs="Arial"/>
          <w:color w:val="000000" w:themeColor="text1"/>
        </w:rPr>
        <w:t xml:space="preserve">., 2012). These changes in erythrocyte characteristics are significant in the context of inflammation markers like the erythrocyte sedimentation rate (ESR). ESR measures how quickly red blood cells aggregate and settle at the bottom of a vertically placed tube containing anticoagulated blood, expressed in millimeters per hour (Kahar, 2022). In individuals with diabetes, ESR can be elevated even in the absence of infection due to the persistent low-grade inflammation associated with the disease (Music </w:t>
      </w:r>
      <w:r w:rsidRPr="00C777FB">
        <w:rPr>
          <w:rFonts w:ascii="Arial" w:hAnsi="Arial" w:cs="Arial"/>
          <w:i/>
          <w:color w:val="000000" w:themeColor="text1"/>
        </w:rPr>
        <w:t>et al</w:t>
      </w:r>
      <w:r w:rsidRPr="00C777FB">
        <w:rPr>
          <w:rFonts w:ascii="Arial" w:hAnsi="Arial" w:cs="Arial"/>
          <w:color w:val="000000" w:themeColor="text1"/>
        </w:rPr>
        <w:t>., 2010). Normal ESR values typically range from 2 to 20 mm/hour in adults (Bain, 2017), though they vary with age and gender (</w:t>
      </w:r>
      <w:proofErr w:type="spellStart"/>
      <w:r w:rsidRPr="00C777FB">
        <w:rPr>
          <w:rFonts w:ascii="Arial" w:hAnsi="Arial" w:cs="Arial"/>
          <w:color w:val="000000" w:themeColor="text1"/>
        </w:rPr>
        <w:t>Alende</w:t>
      </w:r>
      <w:proofErr w:type="spellEnd"/>
      <w:r w:rsidRPr="00C777FB">
        <w:rPr>
          <w:rFonts w:ascii="Arial" w:hAnsi="Arial" w:cs="Arial"/>
          <w:color w:val="000000" w:themeColor="text1"/>
        </w:rPr>
        <w:t xml:space="preserve">-Castro </w:t>
      </w:r>
      <w:r w:rsidRPr="00C777FB">
        <w:rPr>
          <w:rFonts w:ascii="Arial" w:hAnsi="Arial" w:cs="Arial"/>
          <w:i/>
          <w:color w:val="000000" w:themeColor="text1"/>
        </w:rPr>
        <w:t>et al</w:t>
      </w:r>
      <w:r w:rsidRPr="00C777FB">
        <w:rPr>
          <w:rFonts w:ascii="Arial" w:hAnsi="Arial" w:cs="Arial"/>
          <w:color w:val="000000" w:themeColor="text1"/>
        </w:rPr>
        <w:t>., 2019). Markedly elevated ESR values (≥100 mm/hour) are often indicative of serious underlying conditions and warrant further clinical evaluation (</w:t>
      </w:r>
      <w:proofErr w:type="spellStart"/>
      <w:r w:rsidRPr="00C777FB">
        <w:rPr>
          <w:rFonts w:ascii="Arial" w:hAnsi="Arial" w:cs="Arial"/>
          <w:color w:val="000000" w:themeColor="text1"/>
        </w:rPr>
        <w:t>Abbag</w:t>
      </w:r>
      <w:proofErr w:type="spellEnd"/>
      <w:r w:rsidRPr="00C777FB">
        <w:rPr>
          <w:rFonts w:ascii="Arial" w:hAnsi="Arial" w:cs="Arial"/>
          <w:color w:val="000000" w:themeColor="text1"/>
        </w:rPr>
        <w:t xml:space="preserve"> and Qahtani, 2007).</w:t>
      </w:r>
    </w:p>
    <w:p w14:paraId="7CEE757F" w14:textId="77777777" w:rsidR="00A043B4" w:rsidRPr="00C777FB" w:rsidRDefault="00A043B4" w:rsidP="00A043B4">
      <w:pPr>
        <w:pStyle w:val="Body"/>
        <w:spacing w:after="0"/>
        <w:rPr>
          <w:rFonts w:ascii="Arial" w:hAnsi="Arial" w:cs="Arial"/>
          <w:color w:val="000000" w:themeColor="text1"/>
        </w:rPr>
      </w:pPr>
    </w:p>
    <w:p w14:paraId="631E77BB" w14:textId="77777777" w:rsidR="00A043B4" w:rsidRPr="00C777FB" w:rsidRDefault="00A043B4" w:rsidP="00A043B4">
      <w:pPr>
        <w:pStyle w:val="Body"/>
        <w:spacing w:after="0"/>
        <w:rPr>
          <w:rFonts w:ascii="Arial" w:hAnsi="Arial" w:cs="Arial"/>
          <w:color w:val="000000" w:themeColor="text1"/>
        </w:rPr>
      </w:pPr>
      <w:r w:rsidRPr="00C777FB">
        <w:rPr>
          <w:rFonts w:ascii="Arial" w:hAnsi="Arial" w:cs="Arial"/>
          <w:color w:val="000000" w:themeColor="text1"/>
        </w:rPr>
        <w:t>In recent years, there has been a growing interest in exploring novel biomarkers that can provide insights into the pathogenesis and progression of diabetes. There has been an increase in studies reporting that many indices obtained from routine complete blood count (CBC) tests could provide rich and effective information to predict outcomes in pathological conditions (</w:t>
      </w:r>
      <w:proofErr w:type="spellStart"/>
      <w:r w:rsidRPr="00C777FB">
        <w:rPr>
          <w:rFonts w:ascii="Arial" w:hAnsi="Arial" w:cs="Arial"/>
          <w:color w:val="000000" w:themeColor="text1"/>
        </w:rPr>
        <w:t>Paliogiannis</w:t>
      </w:r>
      <w:proofErr w:type="spellEnd"/>
      <w:r w:rsidRPr="00C777FB">
        <w:rPr>
          <w:rFonts w:ascii="Arial" w:hAnsi="Arial" w:cs="Arial"/>
          <w:color w:val="000000" w:themeColor="text1"/>
        </w:rPr>
        <w:t xml:space="preserve"> </w:t>
      </w:r>
      <w:r w:rsidRPr="00C777FB">
        <w:rPr>
          <w:rFonts w:ascii="Arial" w:hAnsi="Arial" w:cs="Arial"/>
          <w:i/>
          <w:iCs/>
          <w:color w:val="000000" w:themeColor="text1"/>
        </w:rPr>
        <w:t>et al</w:t>
      </w:r>
      <w:r w:rsidRPr="00C777FB">
        <w:rPr>
          <w:rFonts w:ascii="Arial" w:hAnsi="Arial" w:cs="Arial"/>
          <w:color w:val="000000" w:themeColor="text1"/>
        </w:rPr>
        <w:t xml:space="preserve">., 2019; Özer </w:t>
      </w:r>
      <w:r w:rsidRPr="00C777FB">
        <w:rPr>
          <w:rFonts w:ascii="Arial" w:hAnsi="Arial" w:cs="Arial"/>
          <w:i/>
          <w:color w:val="000000" w:themeColor="text1"/>
        </w:rPr>
        <w:t>et al</w:t>
      </w:r>
      <w:r w:rsidRPr="00C777FB">
        <w:rPr>
          <w:rFonts w:ascii="Arial" w:hAnsi="Arial" w:cs="Arial"/>
          <w:color w:val="000000" w:themeColor="text1"/>
        </w:rPr>
        <w:t>., 2024). Among these are the neutrophil-to-lymphocyte ratio (NLR), platelet-to-neutrophil ratio (PNR), and platelet-to-lymphocyte ratio (PLR). By considering multiple immune cell populations, these indices offer a comprehensive perspective on systemic inflammation (</w:t>
      </w:r>
      <w:proofErr w:type="spellStart"/>
      <w:r w:rsidRPr="00C777FB">
        <w:rPr>
          <w:rFonts w:ascii="Arial" w:hAnsi="Arial" w:cs="Arial"/>
          <w:color w:val="000000" w:themeColor="text1"/>
        </w:rPr>
        <w:t>Walzik</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2021) and on predicting inflammatory processes (</w:t>
      </w:r>
      <w:proofErr w:type="spellStart"/>
      <w:r w:rsidRPr="00C777FB">
        <w:rPr>
          <w:rFonts w:ascii="Arial" w:hAnsi="Arial" w:cs="Arial"/>
          <w:color w:val="000000" w:themeColor="text1"/>
        </w:rPr>
        <w:t>Zahorec</w:t>
      </w:r>
      <w:proofErr w:type="spellEnd"/>
      <w:r w:rsidRPr="00C777FB">
        <w:rPr>
          <w:rFonts w:ascii="Arial" w:hAnsi="Arial" w:cs="Arial"/>
          <w:color w:val="000000" w:themeColor="text1"/>
        </w:rPr>
        <w:t xml:space="preserve">, 2021). Specifically, NLR reflects the balance between pro-inflammatory neutrophils and anti-inflammatory lymphocytes, serving as an indicator of immune system activation, while the ratios of platelets to white blood cell subtypes (PLR and PNR) reflect both pro-inflammatory and pro-coagulant status (Yun </w:t>
      </w:r>
      <w:r w:rsidRPr="00C777FB">
        <w:rPr>
          <w:rFonts w:ascii="Arial" w:hAnsi="Arial" w:cs="Arial"/>
          <w:i/>
          <w:color w:val="000000" w:themeColor="text1"/>
        </w:rPr>
        <w:t>et al</w:t>
      </w:r>
      <w:r w:rsidRPr="00C777FB">
        <w:rPr>
          <w:rFonts w:ascii="Arial" w:hAnsi="Arial" w:cs="Arial"/>
          <w:color w:val="000000" w:themeColor="text1"/>
        </w:rPr>
        <w:t xml:space="preserve">., 2021; Eissa </w:t>
      </w:r>
      <w:r w:rsidRPr="00C777FB">
        <w:rPr>
          <w:rFonts w:ascii="Arial" w:hAnsi="Arial" w:cs="Arial"/>
          <w:i/>
          <w:iCs/>
          <w:color w:val="000000" w:themeColor="text1"/>
        </w:rPr>
        <w:t>et al</w:t>
      </w:r>
      <w:r w:rsidRPr="00C777FB">
        <w:rPr>
          <w:rFonts w:ascii="Arial" w:hAnsi="Arial" w:cs="Arial"/>
          <w:color w:val="000000" w:themeColor="text1"/>
        </w:rPr>
        <w:t>., 2022).</w:t>
      </w:r>
      <w:r w:rsidR="002063A4">
        <w:rPr>
          <w:rFonts w:ascii="Arial" w:hAnsi="Arial" w:cs="Arial"/>
          <w:color w:val="000000" w:themeColor="text1"/>
        </w:rPr>
        <w:t xml:space="preserve"> </w:t>
      </w:r>
      <w:r w:rsidRPr="00C777FB">
        <w:rPr>
          <w:rFonts w:ascii="Arial" w:hAnsi="Arial" w:cs="Arial"/>
          <w:color w:val="000000" w:themeColor="text1"/>
        </w:rPr>
        <w:t xml:space="preserve">These novel biomarkers are increasingly recognized as reliable indicators of systemic inflammation and have the advantage of being easily integrated into routine clinical practice. Their clinical utility lies in their simplicity, speed, cost-effectiveness, and widespread availability across various healthcare services, making them valuable tools for monitoring diabetes mellitus, assessing glycemic control, and forecasting diabetes-related vascular complications (Wang </w:t>
      </w:r>
      <w:r w:rsidRPr="00C777FB">
        <w:rPr>
          <w:rFonts w:ascii="Arial" w:hAnsi="Arial" w:cs="Arial"/>
          <w:i/>
          <w:color w:val="000000" w:themeColor="text1"/>
        </w:rPr>
        <w:t>et al</w:t>
      </w:r>
      <w:r w:rsidRPr="00C777FB">
        <w:rPr>
          <w:rFonts w:ascii="Arial" w:hAnsi="Arial" w:cs="Arial"/>
          <w:color w:val="000000" w:themeColor="text1"/>
        </w:rPr>
        <w:t xml:space="preserve">., 2020; Agnello </w:t>
      </w:r>
      <w:r w:rsidRPr="00C777FB">
        <w:rPr>
          <w:rFonts w:ascii="Arial" w:hAnsi="Arial" w:cs="Arial"/>
          <w:i/>
          <w:color w:val="000000" w:themeColor="text1"/>
        </w:rPr>
        <w:t>et al</w:t>
      </w:r>
      <w:r w:rsidRPr="00C777FB">
        <w:rPr>
          <w:rFonts w:ascii="Arial" w:hAnsi="Arial" w:cs="Arial"/>
          <w:color w:val="000000" w:themeColor="text1"/>
        </w:rPr>
        <w:t>., 2021).</w:t>
      </w:r>
    </w:p>
    <w:p w14:paraId="22E41EAC" w14:textId="77777777" w:rsidR="00A043B4" w:rsidRPr="00C777FB" w:rsidRDefault="00A043B4" w:rsidP="00A043B4">
      <w:pPr>
        <w:pStyle w:val="Body"/>
        <w:spacing w:after="0"/>
        <w:rPr>
          <w:rFonts w:ascii="Arial" w:hAnsi="Arial" w:cs="Arial"/>
          <w:color w:val="000000" w:themeColor="text1"/>
        </w:rPr>
      </w:pPr>
    </w:p>
    <w:p w14:paraId="247968E1" w14:textId="77777777" w:rsidR="00A52A6E" w:rsidRPr="00C777FB" w:rsidRDefault="00A043B4" w:rsidP="00A043B4">
      <w:pPr>
        <w:pStyle w:val="Body"/>
        <w:rPr>
          <w:rFonts w:ascii="Arial" w:hAnsi="Arial" w:cs="Arial"/>
          <w:color w:val="000000" w:themeColor="text1"/>
        </w:rPr>
      </w:pPr>
      <w:r w:rsidRPr="00C777FB">
        <w:rPr>
          <w:rFonts w:ascii="Arial" w:hAnsi="Arial" w:cs="Arial"/>
          <w:color w:val="000000" w:themeColor="text1"/>
        </w:rPr>
        <w:t xml:space="preserve">The rising prevalence of T2DM, coupled with severe complications and high morbidity and mortality arising from prolonged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highlights the urgent need for affordable and practical diagnostic strategies to evaluate the inflammatory status of affected individuals. This study, therefore, aims to assess the clinical relevance of ESR, NLR, PNR, and PLR in individuals with T2DM attending the Rivers State University Teaching Hospital in Port Harcourt, Nigeria. By investigating these inflammatory markers, the study seeks to enhance the understanding of the role of inflammation in diabetes and to explore their potential as predictive tools for early intervention and improved disease management within the local healthcare setting.</w:t>
      </w:r>
    </w:p>
    <w:p w14:paraId="60B942A6" w14:textId="77777777" w:rsidR="00790ADA" w:rsidRPr="00C777FB" w:rsidRDefault="00790ADA" w:rsidP="00441B6F">
      <w:pPr>
        <w:pStyle w:val="Body"/>
        <w:spacing w:after="0"/>
        <w:rPr>
          <w:rFonts w:ascii="Arial" w:hAnsi="Arial" w:cs="Arial"/>
          <w:color w:val="000000" w:themeColor="text1"/>
        </w:rPr>
      </w:pPr>
    </w:p>
    <w:p w14:paraId="3E3EBC03" w14:textId="77777777" w:rsidR="007F7B32" w:rsidRPr="00C777FB" w:rsidRDefault="00902823" w:rsidP="00441B6F">
      <w:pPr>
        <w:pStyle w:val="AbstHead"/>
        <w:spacing w:after="0"/>
        <w:jc w:val="both"/>
        <w:rPr>
          <w:rFonts w:ascii="Arial" w:hAnsi="Arial" w:cs="Arial"/>
          <w:color w:val="000000" w:themeColor="text1"/>
        </w:rPr>
      </w:pPr>
      <w:r w:rsidRPr="00C777FB">
        <w:rPr>
          <w:rFonts w:ascii="Arial" w:hAnsi="Arial" w:cs="Arial"/>
          <w:color w:val="000000" w:themeColor="text1"/>
        </w:rPr>
        <w:t>2. material and method</w:t>
      </w:r>
      <w:r w:rsidR="00000F8F" w:rsidRPr="00C777FB">
        <w:rPr>
          <w:rFonts w:ascii="Arial" w:hAnsi="Arial" w:cs="Arial"/>
          <w:color w:val="000000" w:themeColor="text1"/>
        </w:rPr>
        <w:t xml:space="preserve">s </w:t>
      </w:r>
    </w:p>
    <w:p w14:paraId="07BF938A" w14:textId="77777777" w:rsidR="00790ADA" w:rsidRPr="00C777FB" w:rsidRDefault="00790ADA" w:rsidP="00441B6F">
      <w:pPr>
        <w:pStyle w:val="AbstHead"/>
        <w:spacing w:after="0"/>
        <w:jc w:val="both"/>
        <w:rPr>
          <w:rFonts w:ascii="Arial" w:hAnsi="Arial" w:cs="Arial"/>
          <w:color w:val="000000" w:themeColor="text1"/>
        </w:rPr>
      </w:pPr>
    </w:p>
    <w:p w14:paraId="5B8BBD71"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2.1 </w:t>
      </w:r>
      <w:r w:rsidRPr="00C777FB">
        <w:rPr>
          <w:rFonts w:ascii="Arial" w:hAnsi="Arial" w:cs="Arial"/>
          <w:b/>
          <w:color w:val="000000" w:themeColor="text1"/>
          <w:sz w:val="22"/>
        </w:rPr>
        <w:t>Study Design</w:t>
      </w:r>
    </w:p>
    <w:p w14:paraId="1AEF8D9E" w14:textId="77777777" w:rsidR="00D86461" w:rsidRPr="00C777FB" w:rsidRDefault="00D86461" w:rsidP="00D86461">
      <w:pPr>
        <w:pStyle w:val="Body"/>
        <w:spacing w:after="0"/>
        <w:rPr>
          <w:rFonts w:ascii="Arial" w:hAnsi="Arial" w:cs="Arial"/>
          <w:color w:val="000000" w:themeColor="text1"/>
        </w:rPr>
      </w:pPr>
    </w:p>
    <w:p w14:paraId="731899A6"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A case-control study design was employed to access the NLR, PNR, PLR and ESR in individuals with diabetes attending the Rivers State University Teaching Hospital in Port Harcourt, Nigeria</w:t>
      </w:r>
    </w:p>
    <w:p w14:paraId="11CB5870" w14:textId="77777777" w:rsidR="00D86461" w:rsidRPr="00C777FB" w:rsidRDefault="00D86461" w:rsidP="00D86461">
      <w:pPr>
        <w:pStyle w:val="Body"/>
        <w:spacing w:after="0"/>
        <w:rPr>
          <w:rFonts w:ascii="Arial" w:hAnsi="Arial" w:cs="Arial"/>
          <w:color w:val="000000" w:themeColor="text1"/>
        </w:rPr>
      </w:pPr>
    </w:p>
    <w:p w14:paraId="410C8027"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2.2 </w:t>
      </w:r>
      <w:r w:rsidRPr="00C777FB">
        <w:rPr>
          <w:rFonts w:ascii="Arial" w:hAnsi="Arial" w:cs="Arial"/>
          <w:b/>
          <w:color w:val="000000" w:themeColor="text1"/>
          <w:sz w:val="22"/>
        </w:rPr>
        <w:t>Study Area</w:t>
      </w:r>
    </w:p>
    <w:p w14:paraId="179D2C3E" w14:textId="77777777" w:rsidR="00D86461" w:rsidRPr="00C777FB" w:rsidRDefault="00D86461" w:rsidP="00D86461">
      <w:pPr>
        <w:pStyle w:val="Body"/>
        <w:spacing w:after="0"/>
        <w:rPr>
          <w:rFonts w:ascii="Arial" w:hAnsi="Arial" w:cs="Arial"/>
          <w:color w:val="000000" w:themeColor="text1"/>
        </w:rPr>
      </w:pPr>
    </w:p>
    <w:p w14:paraId="03B6F25C"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The study was conducted in Port Harcourt, the capital city of Rivers State, Nigeria. Situated at latitude 4.750°N and longitude 7.000°E, the city lies along the Bonny River in the Niger Delta region. Port Harcourt hosts a diverse population comprising individuals from various ethnic, cultural, a</w:t>
      </w:r>
      <w:r w:rsidR="007323AF">
        <w:rPr>
          <w:rFonts w:ascii="Arial" w:hAnsi="Arial" w:cs="Arial"/>
          <w:color w:val="000000" w:themeColor="text1"/>
        </w:rPr>
        <w:t>nd socio-economic backgrounds. Diabetic p</w:t>
      </w:r>
      <w:r w:rsidRPr="00C777FB">
        <w:rPr>
          <w:rFonts w:ascii="Arial" w:hAnsi="Arial" w:cs="Arial"/>
          <w:color w:val="000000" w:themeColor="text1"/>
        </w:rPr>
        <w:t>articipants for the study were recruited from the Family Medicine Department of the Rivers State University Teaching Hospital (RSUTH), located at 5–8 Harley Street, Old GRA, Port Harcourt.</w:t>
      </w:r>
    </w:p>
    <w:p w14:paraId="1C7C70DE" w14:textId="77777777" w:rsidR="00D86461" w:rsidRPr="00C777FB" w:rsidRDefault="00D86461" w:rsidP="00D86461">
      <w:pPr>
        <w:pStyle w:val="Body"/>
        <w:spacing w:after="0"/>
        <w:rPr>
          <w:rFonts w:ascii="Arial" w:hAnsi="Arial" w:cs="Arial"/>
          <w:color w:val="000000" w:themeColor="text1"/>
        </w:rPr>
      </w:pPr>
    </w:p>
    <w:p w14:paraId="6D02A606"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2.3 </w:t>
      </w:r>
      <w:r w:rsidRPr="00C777FB">
        <w:rPr>
          <w:rFonts w:ascii="Arial" w:hAnsi="Arial" w:cs="Arial"/>
          <w:b/>
          <w:color w:val="000000" w:themeColor="text1"/>
          <w:sz w:val="22"/>
        </w:rPr>
        <w:t>Study Population</w:t>
      </w:r>
    </w:p>
    <w:p w14:paraId="19A828EC" w14:textId="77777777" w:rsidR="00D86461" w:rsidRPr="00C777FB" w:rsidRDefault="00D86461" w:rsidP="00D86461">
      <w:pPr>
        <w:pStyle w:val="Body"/>
        <w:spacing w:after="0"/>
        <w:rPr>
          <w:rFonts w:ascii="Arial" w:hAnsi="Arial" w:cs="Arial"/>
          <w:b/>
          <w:color w:val="000000" w:themeColor="text1"/>
        </w:rPr>
      </w:pPr>
    </w:p>
    <w:p w14:paraId="63369935"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A total of one hundred and forty (140) age- and sex-matched participants were recruited for the study using the simple random sampling technique. Seventy (70) were diabetic patients, defined by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(HbA1c) levels greater than or equal to 6.5%, in accordance with the American Diabetes Association (2018) criteria</w:t>
      </w:r>
      <w:r w:rsidR="00FF2CD3">
        <w:rPr>
          <w:rFonts w:ascii="Arial" w:hAnsi="Arial" w:cs="Arial"/>
          <w:color w:val="000000" w:themeColor="text1"/>
        </w:rPr>
        <w:t>,</w:t>
      </w:r>
      <w:r w:rsidRPr="00C777FB">
        <w:rPr>
          <w:rFonts w:ascii="Arial" w:hAnsi="Arial" w:cs="Arial"/>
          <w:color w:val="000000" w:themeColor="text1"/>
        </w:rPr>
        <w:t xml:space="preserve"> while 70 were non-diabetic</w:t>
      </w:r>
      <w:r w:rsidR="00257D63">
        <w:rPr>
          <w:rFonts w:ascii="Arial" w:hAnsi="Arial" w:cs="Arial"/>
          <w:color w:val="000000" w:themeColor="text1"/>
        </w:rPr>
        <w:t xml:space="preserve"> healthy</w:t>
      </w:r>
      <w:r w:rsidRPr="00C777FB">
        <w:rPr>
          <w:rFonts w:ascii="Arial" w:hAnsi="Arial" w:cs="Arial"/>
          <w:color w:val="000000" w:themeColor="text1"/>
        </w:rPr>
        <w:t xml:space="preserve"> control subjec</w:t>
      </w:r>
      <w:r w:rsidR="00FF2CD3">
        <w:rPr>
          <w:rFonts w:ascii="Arial" w:hAnsi="Arial" w:cs="Arial"/>
          <w:color w:val="000000" w:themeColor="text1"/>
        </w:rPr>
        <w:t>ts residing in Port Harcourt.</w:t>
      </w:r>
    </w:p>
    <w:p w14:paraId="40A07E4A" w14:textId="77777777" w:rsidR="00D86461" w:rsidRPr="00C777FB" w:rsidRDefault="00D86461" w:rsidP="00D86461">
      <w:pPr>
        <w:pStyle w:val="Body"/>
        <w:spacing w:after="0"/>
        <w:rPr>
          <w:rFonts w:ascii="Arial" w:hAnsi="Arial" w:cs="Arial"/>
          <w:color w:val="000000" w:themeColor="text1"/>
        </w:rPr>
      </w:pPr>
    </w:p>
    <w:p w14:paraId="6819B64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2.4 </w:t>
      </w:r>
      <w:r w:rsidRPr="00C777FB">
        <w:rPr>
          <w:rFonts w:ascii="Arial" w:hAnsi="Arial" w:cs="Arial"/>
          <w:b/>
          <w:color w:val="000000" w:themeColor="text1"/>
          <w:sz w:val="22"/>
        </w:rPr>
        <w:t>Sample Size Determination</w:t>
      </w:r>
    </w:p>
    <w:p w14:paraId="3D7269A8" w14:textId="77777777" w:rsidR="00D86461" w:rsidRPr="00C777FB" w:rsidRDefault="00D86461" w:rsidP="00D86461">
      <w:pPr>
        <w:pStyle w:val="Body"/>
        <w:spacing w:after="0"/>
        <w:rPr>
          <w:rFonts w:ascii="Arial" w:hAnsi="Arial" w:cs="Arial"/>
          <w:b/>
          <w:color w:val="000000" w:themeColor="text1"/>
          <w:sz w:val="22"/>
        </w:rPr>
      </w:pPr>
    </w:p>
    <w:p w14:paraId="694C1DC8"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The sample size was determined using Cochran’s formula for sample size estimation (Cochran, 1977). A prevalence rate of 3.7% was adopted based on the International Diabetes Federation’s 2021 report on the prevalence of T2DM in Nigeria (International Diabetes Federation, 2021). After adjusting for a 10% attrition rate, the final sample size was set at 140 participants, comprising 70 individuals with T2DM and 70 non-diabetic controls. </w:t>
      </w:r>
    </w:p>
    <w:p w14:paraId="281F7400" w14:textId="77777777" w:rsidR="00D86461" w:rsidRPr="00C777FB" w:rsidRDefault="00D86461" w:rsidP="00D86461">
      <w:pPr>
        <w:pStyle w:val="Body"/>
        <w:spacing w:after="0"/>
        <w:rPr>
          <w:rFonts w:ascii="Arial" w:hAnsi="Arial" w:cs="Arial"/>
          <w:color w:val="000000" w:themeColor="text1"/>
        </w:rPr>
      </w:pPr>
    </w:p>
    <w:p w14:paraId="59B1DE8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2.5 </w:t>
      </w:r>
      <w:r w:rsidRPr="00C777FB">
        <w:rPr>
          <w:rFonts w:ascii="Arial" w:hAnsi="Arial" w:cs="Arial"/>
          <w:b/>
          <w:color w:val="000000" w:themeColor="text1"/>
          <w:sz w:val="22"/>
        </w:rPr>
        <w:t>Eligibility of Subjects</w:t>
      </w:r>
    </w:p>
    <w:p w14:paraId="17B268D7" w14:textId="77777777" w:rsidR="00D86461" w:rsidRPr="00C777FB" w:rsidRDefault="00D86461" w:rsidP="00D86461">
      <w:pPr>
        <w:pStyle w:val="Body"/>
        <w:spacing w:after="0"/>
        <w:rPr>
          <w:rFonts w:ascii="Arial" w:hAnsi="Arial" w:cs="Arial"/>
          <w:color w:val="000000" w:themeColor="text1"/>
        </w:rPr>
      </w:pPr>
    </w:p>
    <w:p w14:paraId="326CAF63"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Subjects were recruited based on specific eligibility criteria. Eligible</w:t>
      </w:r>
      <w:r w:rsidR="00FF2CD3">
        <w:rPr>
          <w:rFonts w:ascii="Arial" w:hAnsi="Arial" w:cs="Arial"/>
          <w:color w:val="000000" w:themeColor="text1"/>
        </w:rPr>
        <w:t xml:space="preserve"> diabetic</w:t>
      </w:r>
      <w:r w:rsidRPr="00C777FB">
        <w:rPr>
          <w:rFonts w:ascii="Arial" w:hAnsi="Arial" w:cs="Arial"/>
          <w:color w:val="000000" w:themeColor="text1"/>
        </w:rPr>
        <w:t xml:space="preserve"> participants were required to be at least 18 years of age, non-pregnant, attending RSUTH, and willing to provide informed consent. Individuals diagnosed with known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malignancies, or inflammatory disorders were excluded from the study. Structured, interviewer-administered questionnaires were used to collect demographic and other relevant data from the participants.</w:t>
      </w:r>
    </w:p>
    <w:p w14:paraId="0E91340C" w14:textId="77777777" w:rsidR="004E7839" w:rsidRDefault="004E7839" w:rsidP="00D86461">
      <w:pPr>
        <w:pStyle w:val="Body"/>
        <w:spacing w:after="0"/>
        <w:rPr>
          <w:rFonts w:ascii="Arial" w:hAnsi="Arial" w:cs="Arial"/>
          <w:b/>
          <w:caps/>
          <w:color w:val="000000" w:themeColor="text1"/>
          <w:sz w:val="22"/>
        </w:rPr>
      </w:pPr>
    </w:p>
    <w:p w14:paraId="738663FB" w14:textId="77777777" w:rsidR="002063A4" w:rsidRDefault="002063A4" w:rsidP="00D86461">
      <w:pPr>
        <w:pStyle w:val="Body"/>
        <w:spacing w:after="0"/>
        <w:rPr>
          <w:rFonts w:ascii="Arial" w:hAnsi="Arial" w:cs="Arial"/>
          <w:b/>
          <w:caps/>
          <w:color w:val="000000" w:themeColor="text1"/>
          <w:sz w:val="22"/>
        </w:rPr>
      </w:pPr>
    </w:p>
    <w:p w14:paraId="05B69A29" w14:textId="77777777" w:rsidR="002063A4" w:rsidRDefault="002063A4" w:rsidP="00D86461">
      <w:pPr>
        <w:pStyle w:val="Body"/>
        <w:spacing w:after="0"/>
        <w:rPr>
          <w:rFonts w:ascii="Arial" w:hAnsi="Arial" w:cs="Arial"/>
          <w:b/>
          <w:caps/>
          <w:color w:val="000000" w:themeColor="text1"/>
          <w:sz w:val="22"/>
        </w:rPr>
      </w:pPr>
    </w:p>
    <w:p w14:paraId="4944C1AE" w14:textId="77777777" w:rsidR="002063A4" w:rsidRDefault="002063A4" w:rsidP="00D86461">
      <w:pPr>
        <w:pStyle w:val="Body"/>
        <w:spacing w:after="0"/>
        <w:rPr>
          <w:rFonts w:ascii="Arial" w:hAnsi="Arial" w:cs="Arial"/>
          <w:b/>
          <w:caps/>
          <w:color w:val="000000" w:themeColor="text1"/>
          <w:sz w:val="22"/>
        </w:rPr>
      </w:pPr>
    </w:p>
    <w:p w14:paraId="6DC6FF2F"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2.6 </w:t>
      </w:r>
      <w:r w:rsidRPr="00C777FB">
        <w:rPr>
          <w:rFonts w:ascii="Arial" w:hAnsi="Arial" w:cs="Arial"/>
          <w:b/>
          <w:color w:val="000000" w:themeColor="text1"/>
          <w:sz w:val="22"/>
        </w:rPr>
        <w:t>Sample Collection</w:t>
      </w:r>
    </w:p>
    <w:p w14:paraId="06389927" w14:textId="77777777" w:rsidR="00D86461" w:rsidRPr="00C777FB" w:rsidRDefault="00D86461" w:rsidP="00D86461">
      <w:pPr>
        <w:pStyle w:val="Body"/>
        <w:spacing w:after="0"/>
        <w:rPr>
          <w:rFonts w:ascii="Arial" w:hAnsi="Arial" w:cs="Arial"/>
          <w:b/>
          <w:color w:val="000000" w:themeColor="text1"/>
          <w:sz w:val="22"/>
        </w:rPr>
      </w:pPr>
    </w:p>
    <w:p w14:paraId="44581002"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Five (5) milliliters of venous blood were collected into K</w:t>
      </w:r>
      <w:r w:rsidRPr="00C777FB">
        <w:rPr>
          <w:rFonts w:ascii="Cambria Math" w:hAnsi="Cambria Math" w:cs="Cambria Math"/>
          <w:color w:val="000000" w:themeColor="text1"/>
        </w:rPr>
        <w:t>₃</w:t>
      </w:r>
      <w:r w:rsidRPr="00C777FB">
        <w:rPr>
          <w:rFonts w:ascii="Arial" w:hAnsi="Arial" w:cs="Arial"/>
          <w:color w:val="000000" w:themeColor="text1"/>
        </w:rPr>
        <w:t>EDTA (</w:t>
      </w:r>
      <w:proofErr w:type="spellStart"/>
      <w:r w:rsidRPr="00C777FB">
        <w:rPr>
          <w:rFonts w:ascii="Arial" w:hAnsi="Arial" w:cs="Arial"/>
          <w:color w:val="000000" w:themeColor="text1"/>
        </w:rPr>
        <w:t>tripotassium</w:t>
      </w:r>
      <w:proofErr w:type="spellEnd"/>
      <w:r w:rsidRPr="00C777FB">
        <w:rPr>
          <w:rFonts w:ascii="Arial" w:hAnsi="Arial" w:cs="Arial"/>
          <w:color w:val="000000" w:themeColor="text1"/>
        </w:rPr>
        <w:t xml:space="preserve">   ethylenediaminetetraacetic acid) anticoagulant vacutainer tubes for the analysis of HbA1c, CBC and ESR, while 3 milliliters were collected into fluoride oxalate tubes for fasting blood glucose (FBG) estimation. All samples were collected using standard </w:t>
      </w:r>
      <w:proofErr w:type="spellStart"/>
      <w:r w:rsidRPr="00C777FB">
        <w:rPr>
          <w:rFonts w:ascii="Arial" w:hAnsi="Arial" w:cs="Arial"/>
          <w:color w:val="000000" w:themeColor="text1"/>
        </w:rPr>
        <w:t>venepuncture</w:t>
      </w:r>
      <w:proofErr w:type="spellEnd"/>
      <w:r w:rsidRPr="00C777FB">
        <w:rPr>
          <w:rFonts w:ascii="Arial" w:hAnsi="Arial" w:cs="Arial"/>
          <w:color w:val="000000" w:themeColor="text1"/>
        </w:rPr>
        <w:t xml:space="preserve"> techniques as described </w:t>
      </w:r>
      <w:r w:rsidR="000359A1" w:rsidRPr="00C777FB">
        <w:rPr>
          <w:rFonts w:ascii="Arial" w:hAnsi="Arial" w:cs="Arial"/>
          <w:color w:val="000000" w:themeColor="text1"/>
        </w:rPr>
        <w:t>by Cheesebrough (2006</w:t>
      </w:r>
      <w:r w:rsidRPr="00C777FB">
        <w:rPr>
          <w:rFonts w:ascii="Arial" w:hAnsi="Arial" w:cs="Arial"/>
          <w:color w:val="000000" w:themeColor="text1"/>
        </w:rPr>
        <w:t>).</w:t>
      </w:r>
    </w:p>
    <w:p w14:paraId="016B0854" w14:textId="77777777" w:rsidR="00D86461" w:rsidRPr="00C777FB" w:rsidRDefault="00D86461" w:rsidP="00D86461">
      <w:pPr>
        <w:pStyle w:val="Body"/>
        <w:spacing w:after="0"/>
        <w:rPr>
          <w:rFonts w:ascii="Arial" w:hAnsi="Arial" w:cs="Arial"/>
          <w:b/>
          <w:color w:val="000000" w:themeColor="text1"/>
          <w:sz w:val="22"/>
        </w:rPr>
      </w:pPr>
    </w:p>
    <w:p w14:paraId="022B2BB4"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2.7 </w:t>
      </w:r>
      <w:r w:rsidRPr="00C777FB">
        <w:rPr>
          <w:rFonts w:ascii="Arial" w:hAnsi="Arial" w:cs="Arial"/>
          <w:b/>
          <w:color w:val="000000" w:themeColor="text1"/>
          <w:sz w:val="22"/>
        </w:rPr>
        <w:t>Laboratory Analysis</w:t>
      </w:r>
    </w:p>
    <w:p w14:paraId="4D3839CF" w14:textId="77777777" w:rsidR="00D86461" w:rsidRPr="00C777FB" w:rsidRDefault="00D86461" w:rsidP="00D86461">
      <w:pPr>
        <w:pStyle w:val="Body"/>
        <w:spacing w:after="0"/>
        <w:rPr>
          <w:rFonts w:ascii="Arial" w:hAnsi="Arial" w:cs="Arial"/>
          <w:b/>
          <w:color w:val="000000" w:themeColor="text1"/>
          <w:sz w:val="22"/>
        </w:rPr>
      </w:pPr>
    </w:p>
    <w:p w14:paraId="010E9FFE"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All reagents used in the study were commercially obtained, and the manufacturers’ standard operating procedures were strictly followed. Fasting blood glucose (FBG) was determined using the </w:t>
      </w:r>
      <w:r w:rsidR="00257D63">
        <w:rPr>
          <w:rFonts w:ascii="Arial" w:hAnsi="Arial" w:cs="Arial"/>
          <w:color w:val="000000" w:themeColor="text1"/>
        </w:rPr>
        <w:t>glucose oxidase</w:t>
      </w:r>
      <w:r w:rsidRPr="00C777FB">
        <w:rPr>
          <w:rFonts w:ascii="Arial" w:hAnsi="Arial" w:cs="Arial"/>
          <w:color w:val="000000" w:themeColor="text1"/>
        </w:rPr>
        <w:t xml:space="preserve"> method as described by </w:t>
      </w:r>
      <w:r w:rsidR="007A2E11">
        <w:rPr>
          <w:rFonts w:ascii="Arial" w:hAnsi="Arial" w:cs="Arial"/>
          <w:color w:val="000000" w:themeColor="text1"/>
        </w:rPr>
        <w:t>Trinder (1969</w:t>
      </w:r>
      <w:r w:rsidRPr="00C777FB">
        <w:rPr>
          <w:rFonts w:ascii="Arial" w:hAnsi="Arial" w:cs="Arial"/>
          <w:color w:val="000000" w:themeColor="text1"/>
        </w:rPr>
        <w:t xml:space="preserve">), following the protocol of </w:t>
      </w:r>
      <w:proofErr w:type="spellStart"/>
      <w:r w:rsidRPr="00C777FB">
        <w:rPr>
          <w:rFonts w:ascii="Arial" w:hAnsi="Arial" w:cs="Arial"/>
          <w:color w:val="000000" w:themeColor="text1"/>
        </w:rPr>
        <w:t>ELITech</w:t>
      </w:r>
      <w:proofErr w:type="spellEnd"/>
      <w:r w:rsidRPr="00C777FB">
        <w:rPr>
          <w:rFonts w:ascii="Arial" w:hAnsi="Arial" w:cs="Arial"/>
          <w:color w:val="000000" w:themeColor="text1"/>
        </w:rPr>
        <w:t xml:space="preserve"> Clinical Systems, France.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was measured using the fluorescence immunoassay method (Hicks, 1984), as specified by </w:t>
      </w:r>
      <w:proofErr w:type="spellStart"/>
      <w:r w:rsidRPr="00C777FB">
        <w:rPr>
          <w:rFonts w:ascii="Arial" w:hAnsi="Arial" w:cs="Arial"/>
          <w:color w:val="000000" w:themeColor="text1"/>
        </w:rPr>
        <w:t>Finecare</w:t>
      </w:r>
      <w:proofErr w:type="spellEnd"/>
      <w:r w:rsidRPr="00C777FB">
        <w:rPr>
          <w:rFonts w:ascii="Arial" w:hAnsi="Arial" w:cs="Arial"/>
          <w:color w:val="000000" w:themeColor="text1"/>
        </w:rPr>
        <w:t xml:space="preserve">™, China. Complete blood count was performed using the Mindray BC-5150 </w:t>
      </w:r>
      <w:proofErr w:type="spellStart"/>
      <w:r w:rsidRPr="00C777FB">
        <w:rPr>
          <w:rFonts w:ascii="Arial" w:hAnsi="Arial" w:cs="Arial"/>
          <w:color w:val="000000" w:themeColor="text1"/>
        </w:rPr>
        <w:t>h</w:t>
      </w:r>
      <w:r w:rsidR="0088043E">
        <w:rPr>
          <w:rFonts w:ascii="Arial" w:hAnsi="Arial" w:cs="Arial"/>
          <w:color w:val="000000" w:themeColor="text1"/>
        </w:rPr>
        <w:t>a</w:t>
      </w:r>
      <w:r w:rsidRPr="00C777FB">
        <w:rPr>
          <w:rFonts w:ascii="Arial" w:hAnsi="Arial" w:cs="Arial"/>
          <w:color w:val="000000" w:themeColor="text1"/>
        </w:rPr>
        <w:t>ematology</w:t>
      </w:r>
      <w:proofErr w:type="spellEnd"/>
      <w:r w:rsidRPr="00C777FB">
        <w:rPr>
          <w:rFonts w:ascii="Arial" w:hAnsi="Arial" w:cs="Arial"/>
          <w:color w:val="000000" w:themeColor="text1"/>
        </w:rPr>
        <w:t xml:space="preserve"> analyzer (Mindray Bio-Medical Electronics Co., Ltd., Shenzhen, China). The NLR was calculated by dividing the absolute neutrophil count by the absolute lymphocyte count; the PLR by dividing the platelet count by the absolute lymphocyte count; and the PNR by dividing the platelet count by the absolute neutrophil count. The ESR was determined by the Westergren method as described by Westergren (International Council for Standardization in </w:t>
      </w:r>
      <w:proofErr w:type="spellStart"/>
      <w:r w:rsidRPr="00C777FB">
        <w:rPr>
          <w:rFonts w:ascii="Arial" w:hAnsi="Arial" w:cs="Arial"/>
          <w:color w:val="000000" w:themeColor="text1"/>
        </w:rPr>
        <w:t>Haematology</w:t>
      </w:r>
      <w:proofErr w:type="spellEnd"/>
      <w:r w:rsidRPr="00C777FB">
        <w:rPr>
          <w:rFonts w:ascii="Arial" w:hAnsi="Arial" w:cs="Arial"/>
          <w:color w:val="000000" w:themeColor="text1"/>
        </w:rPr>
        <w:t xml:space="preserve"> [ICSH], 1993) using </w:t>
      </w:r>
      <w:proofErr w:type="spellStart"/>
      <w:r w:rsidRPr="00C777FB">
        <w:rPr>
          <w:rFonts w:ascii="Arial" w:hAnsi="Arial" w:cs="Arial"/>
          <w:color w:val="000000" w:themeColor="text1"/>
        </w:rPr>
        <w:t>Skytec</w:t>
      </w:r>
      <w:proofErr w:type="spellEnd"/>
      <w:r w:rsidRPr="00C777FB">
        <w:rPr>
          <w:rFonts w:ascii="Arial" w:hAnsi="Arial" w:cs="Arial"/>
          <w:color w:val="000000" w:themeColor="text1"/>
        </w:rPr>
        <w:t xml:space="preserve"> pipette with prefilled and capped filling tube.</w:t>
      </w:r>
    </w:p>
    <w:p w14:paraId="291C79B7" w14:textId="77777777" w:rsidR="00D86461" w:rsidRPr="00C777FB" w:rsidRDefault="00D86461" w:rsidP="00D86461">
      <w:pPr>
        <w:pStyle w:val="Body"/>
        <w:spacing w:after="0"/>
        <w:rPr>
          <w:rFonts w:ascii="Arial" w:hAnsi="Arial" w:cs="Arial"/>
          <w:color w:val="000000" w:themeColor="text1"/>
        </w:rPr>
      </w:pPr>
    </w:p>
    <w:p w14:paraId="44761BED"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2.8 </w:t>
      </w:r>
      <w:r w:rsidRPr="00C777FB">
        <w:rPr>
          <w:rFonts w:ascii="Arial" w:hAnsi="Arial" w:cs="Arial"/>
          <w:b/>
          <w:color w:val="000000" w:themeColor="text1"/>
          <w:sz w:val="22"/>
        </w:rPr>
        <w:t>Statistical Analysis</w:t>
      </w:r>
    </w:p>
    <w:p w14:paraId="021A2C27" w14:textId="77777777" w:rsidR="00D86461" w:rsidRPr="00C777FB" w:rsidRDefault="00D86461" w:rsidP="00D86461">
      <w:pPr>
        <w:pStyle w:val="Body"/>
        <w:spacing w:after="0"/>
        <w:rPr>
          <w:rFonts w:ascii="Arial" w:hAnsi="Arial" w:cs="Arial"/>
          <w:color w:val="000000" w:themeColor="text1"/>
        </w:rPr>
      </w:pPr>
    </w:p>
    <w:p w14:paraId="411C9641"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The data obtained was analyzed using </w:t>
      </w:r>
      <w:proofErr w:type="spellStart"/>
      <w:r w:rsidRPr="00C777FB">
        <w:rPr>
          <w:rFonts w:ascii="Arial" w:hAnsi="Arial" w:cs="Arial"/>
          <w:color w:val="000000" w:themeColor="text1"/>
        </w:rPr>
        <w:t>Graphpad</w:t>
      </w:r>
      <w:proofErr w:type="spellEnd"/>
      <w:r w:rsidRPr="00C777FB">
        <w:rPr>
          <w:rFonts w:ascii="Arial" w:hAnsi="Arial" w:cs="Arial"/>
          <w:color w:val="000000" w:themeColor="text1"/>
        </w:rPr>
        <w:t xml:space="preserve"> prism software version 8.0.2 produced by </w:t>
      </w:r>
      <w:proofErr w:type="spellStart"/>
      <w:r w:rsidRPr="00C777FB">
        <w:rPr>
          <w:rFonts w:ascii="Arial" w:hAnsi="Arial" w:cs="Arial"/>
          <w:color w:val="000000" w:themeColor="text1"/>
        </w:rPr>
        <w:t>Graphpad</w:t>
      </w:r>
      <w:proofErr w:type="spellEnd"/>
      <w:r w:rsidRPr="00C777FB">
        <w:rPr>
          <w:rFonts w:ascii="Arial" w:hAnsi="Arial" w:cs="Arial"/>
          <w:color w:val="000000" w:themeColor="text1"/>
        </w:rPr>
        <w:t xml:space="preserve"> Software Inc. USA. Independent student’s t-test and analysis of variance (ANOVA) were done where necessary. Pearson’s correlation was also used to correlate parameters. Results were considered significant at a 95%confidence interval (P ≤ 0.05), and are expressed as mean ± standard deviation (SD).</w:t>
      </w:r>
    </w:p>
    <w:p w14:paraId="00BD1D67" w14:textId="77777777" w:rsidR="00790ADA" w:rsidRPr="00C777FB" w:rsidRDefault="00790ADA" w:rsidP="00441B6F">
      <w:pPr>
        <w:pStyle w:val="Body"/>
        <w:spacing w:after="0"/>
        <w:rPr>
          <w:rFonts w:ascii="Arial" w:hAnsi="Arial" w:cs="Arial"/>
          <w:color w:val="000000" w:themeColor="text1"/>
        </w:rPr>
      </w:pPr>
    </w:p>
    <w:p w14:paraId="721D9E1B" w14:textId="77777777" w:rsidR="00902823" w:rsidRPr="00C777FB" w:rsidRDefault="00000F8F" w:rsidP="00441B6F">
      <w:pPr>
        <w:pStyle w:val="Head1"/>
        <w:spacing w:after="0"/>
        <w:jc w:val="both"/>
        <w:rPr>
          <w:rFonts w:ascii="Arial" w:hAnsi="Arial" w:cs="Arial"/>
          <w:color w:val="000000" w:themeColor="text1"/>
        </w:rPr>
      </w:pPr>
      <w:r w:rsidRPr="00C777FB">
        <w:rPr>
          <w:rFonts w:ascii="Arial" w:hAnsi="Arial" w:cs="Arial"/>
          <w:color w:val="000000" w:themeColor="text1"/>
        </w:rPr>
        <w:t>3</w:t>
      </w:r>
      <w:r w:rsidR="00902823" w:rsidRPr="00C777FB">
        <w:rPr>
          <w:rFonts w:ascii="Arial" w:hAnsi="Arial" w:cs="Arial"/>
          <w:color w:val="000000" w:themeColor="text1"/>
        </w:rPr>
        <w:t xml:space="preserve">. </w:t>
      </w:r>
      <w:r w:rsidRPr="00C777FB">
        <w:rPr>
          <w:rFonts w:ascii="Arial" w:hAnsi="Arial" w:cs="Arial"/>
          <w:color w:val="000000" w:themeColor="text1"/>
        </w:rPr>
        <w:t>results and discussion</w:t>
      </w:r>
    </w:p>
    <w:p w14:paraId="754759A8" w14:textId="77777777" w:rsidR="00790ADA" w:rsidRPr="00C777FB" w:rsidRDefault="00790ADA" w:rsidP="00441B6F">
      <w:pPr>
        <w:pStyle w:val="Head1"/>
        <w:spacing w:after="0"/>
        <w:jc w:val="both"/>
        <w:rPr>
          <w:rFonts w:ascii="Arial" w:hAnsi="Arial" w:cs="Arial"/>
          <w:color w:val="000000" w:themeColor="text1"/>
        </w:rPr>
      </w:pPr>
    </w:p>
    <w:p w14:paraId="4D47845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3.1 </w:t>
      </w:r>
      <w:r w:rsidRPr="00C777FB">
        <w:rPr>
          <w:rFonts w:ascii="Arial" w:hAnsi="Arial" w:cs="Arial"/>
          <w:b/>
          <w:color w:val="000000" w:themeColor="text1"/>
          <w:sz w:val="22"/>
        </w:rPr>
        <w:t>Results</w:t>
      </w:r>
    </w:p>
    <w:p w14:paraId="4BAC85EC" w14:textId="77777777" w:rsidR="00D86461" w:rsidRPr="00C777FB" w:rsidRDefault="00D86461" w:rsidP="00D86461">
      <w:pPr>
        <w:pStyle w:val="Body"/>
        <w:spacing w:after="0"/>
        <w:rPr>
          <w:rFonts w:ascii="Arial" w:hAnsi="Arial" w:cs="Arial"/>
          <w:b/>
          <w:color w:val="000000" w:themeColor="text1"/>
          <w:sz w:val="22"/>
        </w:rPr>
      </w:pPr>
    </w:p>
    <w:p w14:paraId="349A8ECB" w14:textId="77777777" w:rsidR="001D5077" w:rsidRPr="00C777FB" w:rsidRDefault="001D5077" w:rsidP="00D86461">
      <w:pPr>
        <w:pStyle w:val="Body"/>
        <w:spacing w:after="0"/>
        <w:rPr>
          <w:rFonts w:ascii="Arial" w:hAnsi="Arial" w:cs="Arial"/>
          <w:b/>
          <w:color w:val="000000" w:themeColor="text1"/>
          <w:u w:val="single"/>
        </w:rPr>
      </w:pPr>
      <w:r w:rsidRPr="00C777FB">
        <w:rPr>
          <w:rFonts w:ascii="Arial" w:hAnsi="Arial" w:cs="Arial"/>
          <w:b/>
          <w:color w:val="000000" w:themeColor="text1"/>
          <w:u w:val="single"/>
        </w:rPr>
        <w:t>3.1.1 Characteristics of Study Participants</w:t>
      </w:r>
    </w:p>
    <w:p w14:paraId="2864D658" w14:textId="77777777" w:rsidR="001D5077" w:rsidRDefault="001D5077" w:rsidP="001D5077">
      <w:pPr>
        <w:pStyle w:val="Body"/>
        <w:rPr>
          <w:rFonts w:ascii="Arial" w:hAnsi="Arial" w:cs="Arial"/>
          <w:color w:val="000000" w:themeColor="text1"/>
        </w:rPr>
      </w:pPr>
      <w:r w:rsidRPr="00C777FB">
        <w:rPr>
          <w:rFonts w:ascii="Arial" w:hAnsi="Arial" w:cs="Arial"/>
          <w:color w:val="000000" w:themeColor="text1"/>
        </w:rPr>
        <w:t>The diabetic and control groups comprised 41 females (58.6%) and 29 males (41.4%). Among the study participants the ages ranged from 28 to 74 years. The mean age of participants in the diabetic group was 55.01 ± 11.80 years, while that of the control group was 52.33 ± 11.79 years. Based on the duration of diabetes, 44.3% (n = 31) of the patients had been diagnosed for 1–5 years, 22.9% (n = 16) for 6–10 years, and 32.9% (n = 23) for more than 10 years.</w:t>
      </w:r>
    </w:p>
    <w:p w14:paraId="3F7FA438" w14:textId="77777777" w:rsidR="00BA3775" w:rsidRPr="00C777FB" w:rsidRDefault="00BA3775" w:rsidP="00BA3775">
      <w:pPr>
        <w:pStyle w:val="Body"/>
        <w:spacing w:after="0"/>
        <w:rPr>
          <w:rFonts w:ascii="Arial" w:hAnsi="Arial" w:cs="Arial"/>
          <w:b/>
          <w:color w:val="000000" w:themeColor="text1"/>
          <w:u w:val="single"/>
        </w:rPr>
      </w:pPr>
      <w:r>
        <w:rPr>
          <w:rFonts w:ascii="Arial" w:hAnsi="Arial" w:cs="Arial"/>
          <w:b/>
          <w:color w:val="000000" w:themeColor="text1"/>
          <w:u w:val="single"/>
        </w:rPr>
        <w:t>3.1.2</w:t>
      </w:r>
      <w:r w:rsidRPr="00C777FB">
        <w:rPr>
          <w:rFonts w:ascii="Arial" w:hAnsi="Arial" w:cs="Arial"/>
          <w:b/>
          <w:color w:val="000000" w:themeColor="text1"/>
          <w:u w:val="single"/>
        </w:rPr>
        <w:t xml:space="preserve"> </w:t>
      </w:r>
      <w:r w:rsidR="00FA4DC6">
        <w:rPr>
          <w:rFonts w:ascii="Arial" w:hAnsi="Arial" w:cs="Arial"/>
          <w:b/>
          <w:color w:val="000000" w:themeColor="text1"/>
          <w:u w:val="single"/>
        </w:rPr>
        <w:t xml:space="preserve">Comparison </w:t>
      </w:r>
      <w:r w:rsidRPr="00BA3775">
        <w:rPr>
          <w:rFonts w:ascii="Arial" w:hAnsi="Arial" w:cs="Arial"/>
          <w:b/>
          <w:color w:val="000000" w:themeColor="text1"/>
          <w:u w:val="single"/>
        </w:rPr>
        <w:t xml:space="preserve">of </w:t>
      </w:r>
      <w:proofErr w:type="spellStart"/>
      <w:r>
        <w:rPr>
          <w:rFonts w:ascii="Arial" w:hAnsi="Arial" w:cs="Arial"/>
          <w:b/>
          <w:color w:val="000000" w:themeColor="text1"/>
          <w:u w:val="single"/>
        </w:rPr>
        <w:t>Glycaemic</w:t>
      </w:r>
      <w:proofErr w:type="spellEnd"/>
      <w:r>
        <w:rPr>
          <w:rFonts w:ascii="Arial" w:hAnsi="Arial" w:cs="Arial"/>
          <w:b/>
          <w:color w:val="000000" w:themeColor="text1"/>
          <w:u w:val="single"/>
        </w:rPr>
        <w:t xml:space="preserve"> Parameters, White Blood Cell Count, and Platelet Count </w:t>
      </w:r>
      <w:r w:rsidR="00FA4DC6">
        <w:rPr>
          <w:rFonts w:ascii="Arial" w:hAnsi="Arial" w:cs="Arial"/>
          <w:b/>
          <w:color w:val="000000" w:themeColor="text1"/>
          <w:u w:val="single"/>
        </w:rPr>
        <w:t>between</w:t>
      </w:r>
      <w:r>
        <w:rPr>
          <w:rFonts w:ascii="Arial" w:hAnsi="Arial" w:cs="Arial"/>
          <w:b/>
          <w:color w:val="000000" w:themeColor="text1"/>
          <w:u w:val="single"/>
        </w:rPr>
        <w:t xml:space="preserve"> Diabetic and Non-diabetic Subjects </w:t>
      </w:r>
      <w:r>
        <w:rPr>
          <w:rFonts w:ascii="Arial" w:hAnsi="Arial" w:cs="Arial"/>
          <w:color w:val="000000" w:themeColor="text1"/>
        </w:rPr>
        <w:t xml:space="preserve"> </w:t>
      </w:r>
    </w:p>
    <w:p w14:paraId="1ECBBF4E" w14:textId="77777777" w:rsidR="00BA3775" w:rsidRDefault="00BA3775" w:rsidP="001D5077">
      <w:pPr>
        <w:pStyle w:val="Body"/>
        <w:spacing w:after="0"/>
        <w:rPr>
          <w:rFonts w:ascii="Arial" w:hAnsi="Arial" w:cs="Arial"/>
          <w:b/>
          <w:color w:val="000000" w:themeColor="text1"/>
          <w:u w:val="single"/>
        </w:rPr>
      </w:pPr>
    </w:p>
    <w:p w14:paraId="0976C757" w14:textId="77777777" w:rsidR="00BA3775" w:rsidRDefault="00FF2CD3" w:rsidP="001D5077">
      <w:pPr>
        <w:pStyle w:val="Body"/>
        <w:spacing w:after="0"/>
        <w:rPr>
          <w:rFonts w:ascii="Arial" w:hAnsi="Arial" w:cs="Arial"/>
          <w:b/>
          <w:color w:val="000000" w:themeColor="text1"/>
          <w:u w:val="single"/>
        </w:rPr>
      </w:pPr>
      <w:r w:rsidRPr="00FF2CD3">
        <w:rPr>
          <w:rFonts w:ascii="Arial" w:hAnsi="Arial" w:cs="Arial"/>
          <w:color w:val="000000" w:themeColor="text1"/>
        </w:rPr>
        <w:t xml:space="preserve">The differences in HbA1c and FBG between the </w:t>
      </w:r>
      <w:r>
        <w:rPr>
          <w:rFonts w:ascii="Arial" w:hAnsi="Arial" w:cs="Arial"/>
          <w:color w:val="000000" w:themeColor="text1"/>
        </w:rPr>
        <w:t>diabetic and control</w:t>
      </w:r>
      <w:r w:rsidRPr="00FF2CD3">
        <w:rPr>
          <w:rFonts w:ascii="Arial" w:hAnsi="Arial" w:cs="Arial"/>
          <w:color w:val="000000" w:themeColor="text1"/>
        </w:rPr>
        <w:t xml:space="preserve"> groups we</w:t>
      </w:r>
      <w:r>
        <w:rPr>
          <w:rFonts w:ascii="Arial" w:hAnsi="Arial" w:cs="Arial"/>
          <w:color w:val="000000" w:themeColor="text1"/>
        </w:rPr>
        <w:t>re statistically significant (</w:t>
      </w:r>
      <w:r w:rsidRPr="00FF2CD3">
        <w:rPr>
          <w:rFonts w:ascii="Arial" w:hAnsi="Arial" w:cs="Arial"/>
          <w:i/>
          <w:color w:val="000000" w:themeColor="text1"/>
        </w:rPr>
        <w:t>P</w:t>
      </w:r>
      <w:r>
        <w:rPr>
          <w:rFonts w:ascii="Arial" w:hAnsi="Arial" w:cs="Arial"/>
          <w:color w:val="000000" w:themeColor="text1"/>
        </w:rPr>
        <w:t>&lt;</w:t>
      </w:r>
      <w:r w:rsidRPr="00FF2CD3">
        <w:rPr>
          <w:rFonts w:ascii="Arial" w:hAnsi="Arial" w:cs="Arial"/>
          <w:color w:val="000000" w:themeColor="text1"/>
        </w:rPr>
        <w:t>0.0001). Diabetic subjects had significantly higher total WBC and neutrophil counts compared to the controls, while lymphocyte counts were similar in both groups. In contrast, platelet counts were significan</w:t>
      </w:r>
      <w:r>
        <w:rPr>
          <w:rFonts w:ascii="Arial" w:hAnsi="Arial" w:cs="Arial"/>
          <w:color w:val="000000" w:themeColor="text1"/>
        </w:rPr>
        <w:t>tly lower in the diabetic group</w:t>
      </w:r>
      <w:r w:rsidR="0088043E">
        <w:rPr>
          <w:rFonts w:ascii="Arial" w:hAnsi="Arial" w:cs="Arial"/>
          <w:color w:val="000000" w:themeColor="text1"/>
        </w:rPr>
        <w:t xml:space="preserve"> (Table 1)</w:t>
      </w:r>
      <w:r>
        <w:rPr>
          <w:rFonts w:ascii="Arial" w:hAnsi="Arial" w:cs="Arial"/>
          <w:color w:val="000000" w:themeColor="text1"/>
        </w:rPr>
        <w:t>.</w:t>
      </w:r>
    </w:p>
    <w:p w14:paraId="2CCA0A55" w14:textId="77777777" w:rsidR="00BA3775" w:rsidRDefault="00BA3775" w:rsidP="001D5077">
      <w:pPr>
        <w:pStyle w:val="Body"/>
        <w:spacing w:after="0"/>
        <w:rPr>
          <w:rFonts w:ascii="Arial" w:hAnsi="Arial" w:cs="Arial"/>
          <w:b/>
          <w:color w:val="000000" w:themeColor="text1"/>
          <w:u w:val="single"/>
        </w:rPr>
      </w:pPr>
    </w:p>
    <w:p w14:paraId="5DFB1B6B" w14:textId="77777777" w:rsidR="00BA3775" w:rsidRDefault="00BA3775" w:rsidP="001D5077">
      <w:pPr>
        <w:pStyle w:val="Body"/>
        <w:spacing w:after="0"/>
        <w:rPr>
          <w:rFonts w:ascii="Arial" w:hAnsi="Arial" w:cs="Arial"/>
          <w:b/>
          <w:color w:val="000000" w:themeColor="text1"/>
          <w:u w:val="single"/>
        </w:rPr>
      </w:pPr>
    </w:p>
    <w:p w14:paraId="0557CF16" w14:textId="77777777" w:rsidR="00BA3775" w:rsidRPr="00BA3775" w:rsidRDefault="00BA3775" w:rsidP="00BA3775">
      <w:pPr>
        <w:pStyle w:val="Body"/>
        <w:spacing w:after="0"/>
        <w:rPr>
          <w:rFonts w:ascii="Arial" w:hAnsi="Arial" w:cs="Arial"/>
          <w:b/>
          <w:color w:val="000000" w:themeColor="text1"/>
        </w:rPr>
      </w:pPr>
      <w:r w:rsidRPr="00C777FB">
        <w:rPr>
          <w:rFonts w:ascii="Arial" w:hAnsi="Arial" w:cs="Arial"/>
          <w:b/>
          <w:color w:val="000000" w:themeColor="text1"/>
        </w:rPr>
        <w:t>Table 1.</w:t>
      </w:r>
      <w:r w:rsidRPr="00C777FB">
        <w:rPr>
          <w:rFonts w:ascii="Arial" w:hAnsi="Arial" w:cs="Arial"/>
          <w:b/>
          <w:color w:val="000000" w:themeColor="text1"/>
        </w:rPr>
        <w:tab/>
      </w:r>
      <w:r w:rsidR="00FA4DC6">
        <w:rPr>
          <w:rFonts w:ascii="Arial" w:hAnsi="Arial" w:cs="Arial"/>
          <w:b/>
          <w:color w:val="000000" w:themeColor="text1"/>
        </w:rPr>
        <w:t>Comparison</w:t>
      </w:r>
      <w:r w:rsidRPr="00BA3775">
        <w:rPr>
          <w:rFonts w:ascii="Arial" w:hAnsi="Arial" w:cs="Arial"/>
          <w:b/>
          <w:color w:val="000000" w:themeColor="text1"/>
        </w:rPr>
        <w:t xml:space="preserve"> of </w:t>
      </w:r>
      <w:proofErr w:type="spellStart"/>
      <w:r w:rsidRPr="00BA3775">
        <w:rPr>
          <w:rFonts w:ascii="Arial" w:hAnsi="Arial" w:cs="Arial"/>
          <w:b/>
          <w:color w:val="000000" w:themeColor="text1"/>
        </w:rPr>
        <w:t>Glycaemic</w:t>
      </w:r>
      <w:proofErr w:type="spellEnd"/>
      <w:r w:rsidRPr="00BA3775">
        <w:rPr>
          <w:rFonts w:ascii="Arial" w:hAnsi="Arial" w:cs="Arial"/>
          <w:b/>
          <w:color w:val="000000" w:themeColor="text1"/>
        </w:rPr>
        <w:t xml:space="preserve"> Parameters, White Blood Cell </w:t>
      </w:r>
      <w:r w:rsidR="002224BA">
        <w:rPr>
          <w:rFonts w:ascii="Arial" w:hAnsi="Arial" w:cs="Arial"/>
          <w:b/>
          <w:color w:val="000000" w:themeColor="text1"/>
        </w:rPr>
        <w:t>Parameters</w:t>
      </w:r>
      <w:r w:rsidRPr="00BA3775">
        <w:rPr>
          <w:rFonts w:ascii="Arial" w:hAnsi="Arial" w:cs="Arial"/>
          <w:b/>
          <w:color w:val="000000" w:themeColor="text1"/>
        </w:rPr>
        <w:t xml:space="preserve">, and Platelet Count between Diabetic and Non-diabetic Subjects </w:t>
      </w:r>
      <w:r w:rsidRPr="00BA3775">
        <w:rPr>
          <w:rFonts w:ascii="Arial" w:hAnsi="Arial" w:cs="Arial"/>
          <w:color w:val="000000" w:themeColor="text1"/>
        </w:rPr>
        <w:t xml:space="preserve"> </w:t>
      </w:r>
    </w:p>
    <w:tbl>
      <w:tblPr>
        <w:tblStyle w:val="ListTable6Colorful"/>
        <w:tblpPr w:leftFromText="180" w:rightFromText="180" w:vertAnchor="text" w:horzAnchor="margin" w:tblpY="112"/>
        <w:tblW w:w="8094" w:type="dxa"/>
        <w:tblLayout w:type="fixed"/>
        <w:tblLook w:val="04A0" w:firstRow="1" w:lastRow="0" w:firstColumn="1" w:lastColumn="0" w:noHBand="0" w:noVBand="1"/>
      </w:tblPr>
      <w:tblGrid>
        <w:gridCol w:w="2266"/>
        <w:gridCol w:w="1803"/>
        <w:gridCol w:w="1757"/>
        <w:gridCol w:w="1134"/>
        <w:gridCol w:w="1134"/>
      </w:tblGrid>
      <w:tr w:rsidR="00BA3775" w:rsidRPr="00BA3775" w14:paraId="4CB2F157" w14:textId="77777777" w:rsidTr="00BA3775">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66" w:type="dxa"/>
            <w:vMerge w:val="restart"/>
            <w:shd w:val="clear" w:color="auto" w:fill="auto"/>
            <w:hideMark/>
          </w:tcPr>
          <w:p w14:paraId="14B03219" w14:textId="77777777" w:rsidR="00BA3775" w:rsidRPr="00BA3775" w:rsidRDefault="00BA3775" w:rsidP="00BA3775">
            <w:pPr>
              <w:spacing w:line="360" w:lineRule="auto"/>
              <w:jc w:val="both"/>
              <w:rPr>
                <w:rFonts w:ascii="Arial" w:hAnsi="Arial" w:cs="Arial"/>
                <w:color w:val="000000"/>
              </w:rPr>
            </w:pPr>
            <w:r w:rsidRPr="00BA3775">
              <w:rPr>
                <w:rFonts w:ascii="Arial" w:hAnsi="Arial" w:cs="Arial"/>
                <w:color w:val="000000"/>
              </w:rPr>
              <w:t>Groups/Parameters</w:t>
            </w:r>
          </w:p>
        </w:tc>
        <w:tc>
          <w:tcPr>
            <w:tcW w:w="1803" w:type="dxa"/>
            <w:shd w:val="clear" w:color="auto" w:fill="auto"/>
            <w:hideMark/>
          </w:tcPr>
          <w:p w14:paraId="467E97EA"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Diabetics</w:t>
            </w:r>
          </w:p>
          <w:p w14:paraId="0196B3A5"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 70)</w:t>
            </w:r>
          </w:p>
        </w:tc>
        <w:tc>
          <w:tcPr>
            <w:tcW w:w="1757" w:type="dxa"/>
            <w:shd w:val="clear" w:color="auto" w:fill="auto"/>
            <w:hideMark/>
          </w:tcPr>
          <w:p w14:paraId="0D7666EF"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Non-diabetic Control (n= 70)</w:t>
            </w:r>
          </w:p>
        </w:tc>
        <w:tc>
          <w:tcPr>
            <w:tcW w:w="1134" w:type="dxa"/>
            <w:vMerge w:val="restart"/>
            <w:shd w:val="clear" w:color="auto" w:fill="auto"/>
            <w:hideMark/>
          </w:tcPr>
          <w:p w14:paraId="125795D3"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P value</w:t>
            </w:r>
          </w:p>
        </w:tc>
        <w:tc>
          <w:tcPr>
            <w:tcW w:w="1134" w:type="dxa"/>
            <w:vMerge w:val="restart"/>
            <w:shd w:val="clear" w:color="auto" w:fill="auto"/>
            <w:hideMark/>
          </w:tcPr>
          <w:p w14:paraId="451B8B11"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Inference</w:t>
            </w:r>
          </w:p>
        </w:tc>
      </w:tr>
      <w:tr w:rsidR="00BA3775" w:rsidRPr="00BA3775" w14:paraId="7DA1D15E" w14:textId="77777777" w:rsidTr="00BA377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266" w:type="dxa"/>
            <w:vMerge/>
            <w:shd w:val="clear" w:color="auto" w:fill="auto"/>
            <w:hideMark/>
          </w:tcPr>
          <w:p w14:paraId="07E176D1" w14:textId="77777777" w:rsidR="00BA3775" w:rsidRPr="00BA3775" w:rsidRDefault="00BA3775" w:rsidP="00BA3775">
            <w:pPr>
              <w:spacing w:line="360" w:lineRule="auto"/>
              <w:jc w:val="both"/>
              <w:rPr>
                <w:rFonts w:ascii="Arial" w:hAnsi="Arial" w:cs="Arial"/>
                <w:color w:val="000000"/>
              </w:rPr>
            </w:pPr>
          </w:p>
        </w:tc>
        <w:tc>
          <w:tcPr>
            <w:tcW w:w="1803" w:type="dxa"/>
            <w:shd w:val="clear" w:color="auto" w:fill="auto"/>
            <w:hideMark/>
          </w:tcPr>
          <w:p w14:paraId="6F97EC17" w14:textId="77777777" w:rsidR="00BA3775" w:rsidRPr="00FA4DC6"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FA4DC6">
              <w:rPr>
                <w:rFonts w:ascii="Arial" w:hAnsi="Arial" w:cs="Arial"/>
                <w:b/>
                <w:bCs/>
                <w:color w:val="000000"/>
              </w:rPr>
              <w:t>Mean ± SD</w:t>
            </w:r>
          </w:p>
        </w:tc>
        <w:tc>
          <w:tcPr>
            <w:tcW w:w="1757" w:type="dxa"/>
            <w:shd w:val="clear" w:color="auto" w:fill="auto"/>
            <w:hideMark/>
          </w:tcPr>
          <w:p w14:paraId="32492917" w14:textId="77777777" w:rsidR="00BA3775" w:rsidRPr="00FA4DC6"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FA4DC6">
              <w:rPr>
                <w:rFonts w:ascii="Arial" w:hAnsi="Arial" w:cs="Arial"/>
                <w:b/>
                <w:bCs/>
                <w:color w:val="000000"/>
              </w:rPr>
              <w:t>Mean ± SD</w:t>
            </w:r>
          </w:p>
        </w:tc>
        <w:tc>
          <w:tcPr>
            <w:tcW w:w="1134" w:type="dxa"/>
            <w:vMerge/>
            <w:shd w:val="clear" w:color="auto" w:fill="auto"/>
            <w:hideMark/>
          </w:tcPr>
          <w:p w14:paraId="3BBA1F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c>
          <w:tcPr>
            <w:tcW w:w="1134" w:type="dxa"/>
            <w:vMerge/>
            <w:shd w:val="clear" w:color="auto" w:fill="auto"/>
            <w:hideMark/>
          </w:tcPr>
          <w:p w14:paraId="6E4C3BDF"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r>
      <w:tr w:rsidR="00BA3775" w:rsidRPr="00BA3775" w14:paraId="37F78FAB" w14:textId="77777777" w:rsidTr="00BA3775">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tcBorders>
            <w:shd w:val="clear" w:color="auto" w:fill="auto"/>
          </w:tcPr>
          <w:p w14:paraId="43EA10FD" w14:textId="77777777" w:rsidR="00BA3775" w:rsidRPr="00BA3775" w:rsidRDefault="00BA3775" w:rsidP="00BA3775">
            <w:pPr>
              <w:spacing w:before="100" w:beforeAutospacing="1" w:after="100" w:afterAutospacing="1" w:line="360" w:lineRule="auto"/>
              <w:rPr>
                <w:rFonts w:ascii="Arial" w:hAnsi="Arial" w:cs="Arial"/>
                <w:b w:val="0"/>
                <w:color w:val="000000"/>
              </w:rPr>
            </w:pPr>
            <w:r w:rsidRPr="00BA3775">
              <w:rPr>
                <w:rFonts w:ascii="Arial" w:hAnsi="Arial" w:cs="Arial"/>
                <w:b w:val="0"/>
                <w:color w:val="000000"/>
              </w:rPr>
              <w:t>FBG (mmol/L)</w:t>
            </w:r>
          </w:p>
        </w:tc>
        <w:tc>
          <w:tcPr>
            <w:tcW w:w="1803" w:type="dxa"/>
            <w:tcBorders>
              <w:top w:val="single" w:sz="4" w:space="0" w:color="auto"/>
            </w:tcBorders>
            <w:shd w:val="clear" w:color="auto" w:fill="auto"/>
          </w:tcPr>
          <w:p w14:paraId="059A8DE9"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7.513 ± 3.475</w:t>
            </w:r>
          </w:p>
        </w:tc>
        <w:tc>
          <w:tcPr>
            <w:tcW w:w="1757" w:type="dxa"/>
            <w:tcBorders>
              <w:top w:val="single" w:sz="4" w:space="0" w:color="auto"/>
            </w:tcBorders>
            <w:shd w:val="clear" w:color="auto" w:fill="auto"/>
          </w:tcPr>
          <w:p w14:paraId="1542C883"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4.493 ± 0.5787</w:t>
            </w:r>
          </w:p>
        </w:tc>
        <w:tc>
          <w:tcPr>
            <w:tcW w:w="1134" w:type="dxa"/>
            <w:tcBorders>
              <w:top w:val="single" w:sz="4" w:space="0" w:color="auto"/>
            </w:tcBorders>
            <w:shd w:val="clear" w:color="auto" w:fill="auto"/>
          </w:tcPr>
          <w:p w14:paraId="3E130B27"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tcBorders>
              <w:top w:val="single" w:sz="4" w:space="0" w:color="auto"/>
            </w:tcBorders>
            <w:shd w:val="clear" w:color="auto" w:fill="auto"/>
          </w:tcPr>
          <w:p w14:paraId="7B9FAE88"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340A4904"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2F4F5B21" w14:textId="77777777" w:rsidR="00BA3775" w:rsidRPr="00BA3775" w:rsidRDefault="00BA3775" w:rsidP="00BA3775">
            <w:pPr>
              <w:spacing w:before="100" w:beforeAutospacing="1" w:after="100" w:afterAutospacing="1" w:line="360" w:lineRule="auto"/>
              <w:rPr>
                <w:rFonts w:ascii="Arial" w:hAnsi="Arial" w:cs="Arial"/>
                <w:b w:val="0"/>
                <w:color w:val="000000"/>
              </w:rPr>
            </w:pPr>
            <w:r w:rsidRPr="00BA3775">
              <w:rPr>
                <w:rFonts w:ascii="Arial" w:hAnsi="Arial" w:cs="Arial"/>
                <w:b w:val="0"/>
                <w:color w:val="000000"/>
              </w:rPr>
              <w:lastRenderedPageBreak/>
              <w:t>HBA1c (%)</w:t>
            </w:r>
          </w:p>
        </w:tc>
        <w:tc>
          <w:tcPr>
            <w:tcW w:w="1803" w:type="dxa"/>
            <w:shd w:val="clear" w:color="auto" w:fill="auto"/>
          </w:tcPr>
          <w:p w14:paraId="1267C9D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8.576 ± 1.777</w:t>
            </w:r>
          </w:p>
        </w:tc>
        <w:tc>
          <w:tcPr>
            <w:tcW w:w="1757" w:type="dxa"/>
            <w:shd w:val="clear" w:color="auto" w:fill="auto"/>
          </w:tcPr>
          <w:p w14:paraId="32B6460C"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5.329 ± 0.3773</w:t>
            </w:r>
          </w:p>
        </w:tc>
        <w:tc>
          <w:tcPr>
            <w:tcW w:w="1134" w:type="dxa"/>
            <w:shd w:val="clear" w:color="auto" w:fill="auto"/>
          </w:tcPr>
          <w:p w14:paraId="15A9FC2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tcPr>
          <w:p w14:paraId="353B03B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354B5B65" w14:textId="77777777" w:rsidTr="00BA3775">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099FE783"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WBC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568143E3"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5.800 ± 1.900</w:t>
            </w:r>
          </w:p>
        </w:tc>
        <w:tc>
          <w:tcPr>
            <w:tcW w:w="1757" w:type="dxa"/>
            <w:shd w:val="clear" w:color="auto" w:fill="auto"/>
            <w:hideMark/>
          </w:tcPr>
          <w:p w14:paraId="38163741"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4.740 ± 0.9011</w:t>
            </w:r>
          </w:p>
        </w:tc>
        <w:tc>
          <w:tcPr>
            <w:tcW w:w="1134" w:type="dxa"/>
            <w:shd w:val="clear" w:color="auto" w:fill="auto"/>
            <w:hideMark/>
          </w:tcPr>
          <w:p w14:paraId="47527FA5"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hideMark/>
          </w:tcPr>
          <w:p w14:paraId="42F7BE46"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760FDA03"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26FE14F9" w14:textId="77777777" w:rsidR="00BA3775" w:rsidRPr="00BA3775" w:rsidRDefault="00BA3775" w:rsidP="00BA3775">
            <w:pPr>
              <w:spacing w:line="360" w:lineRule="auto"/>
              <w:jc w:val="both"/>
              <w:rPr>
                <w:rFonts w:ascii="Arial" w:hAnsi="Arial" w:cs="Arial"/>
                <w:color w:val="000000"/>
              </w:rPr>
            </w:pPr>
            <w:proofErr w:type="spellStart"/>
            <w:r w:rsidRPr="00BA3775">
              <w:rPr>
                <w:rFonts w:ascii="Arial" w:hAnsi="Arial" w:cs="Arial"/>
                <w:b w:val="0"/>
                <w:color w:val="000000"/>
              </w:rPr>
              <w:t>Neut</w:t>
            </w:r>
            <w:proofErr w:type="spellEnd"/>
            <w:r w:rsidRPr="00BA3775">
              <w:rPr>
                <w:rFonts w:ascii="Arial" w:hAnsi="Arial" w:cs="Arial"/>
                <w:color w:val="000000"/>
              </w:rPr>
              <w:t xml:space="preserve"> </w:t>
            </w:r>
            <w:r w:rsidRPr="00BA3775">
              <w:rPr>
                <w:rFonts w:ascii="Arial" w:hAnsi="Arial" w:cs="Arial"/>
                <w:b w:val="0"/>
                <w:color w:val="000000"/>
              </w:rPr>
              <w:t>(×10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7C7761C8"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2.977 ± 1.510</w:t>
            </w:r>
          </w:p>
        </w:tc>
        <w:tc>
          <w:tcPr>
            <w:tcW w:w="1757" w:type="dxa"/>
            <w:shd w:val="clear" w:color="auto" w:fill="auto"/>
            <w:hideMark/>
          </w:tcPr>
          <w:p w14:paraId="0AEF20E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2.115 ± 0.6401</w:t>
            </w:r>
          </w:p>
        </w:tc>
        <w:tc>
          <w:tcPr>
            <w:tcW w:w="1134" w:type="dxa"/>
            <w:shd w:val="clear" w:color="auto" w:fill="auto"/>
            <w:hideMark/>
          </w:tcPr>
          <w:p w14:paraId="12CD2EE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hideMark/>
          </w:tcPr>
          <w:p w14:paraId="648C511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7ADC558F" w14:textId="77777777" w:rsidTr="00BA3775">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592B8C31"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Lym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76AE0B3D"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2.381 ± 0.5900</w:t>
            </w:r>
          </w:p>
        </w:tc>
        <w:tc>
          <w:tcPr>
            <w:tcW w:w="1757" w:type="dxa"/>
            <w:shd w:val="clear" w:color="auto" w:fill="auto"/>
            <w:hideMark/>
          </w:tcPr>
          <w:p w14:paraId="0DF22264"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2.260 ± 0.5747</w:t>
            </w:r>
          </w:p>
        </w:tc>
        <w:tc>
          <w:tcPr>
            <w:tcW w:w="1134" w:type="dxa"/>
            <w:shd w:val="clear" w:color="auto" w:fill="auto"/>
            <w:hideMark/>
          </w:tcPr>
          <w:p w14:paraId="1D1E1A4A"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0.2208</w:t>
            </w:r>
          </w:p>
        </w:tc>
        <w:tc>
          <w:tcPr>
            <w:tcW w:w="1134" w:type="dxa"/>
            <w:shd w:val="clear" w:color="auto" w:fill="auto"/>
            <w:hideMark/>
          </w:tcPr>
          <w:p w14:paraId="26E3590F"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NS</w:t>
            </w:r>
          </w:p>
        </w:tc>
      </w:tr>
      <w:tr w:rsidR="00BA3775" w:rsidRPr="00BA3775" w14:paraId="63F48AC7"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71CB493B"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PLT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1EC5470F"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266.3 ± 79.98</w:t>
            </w:r>
          </w:p>
        </w:tc>
        <w:tc>
          <w:tcPr>
            <w:tcW w:w="1757" w:type="dxa"/>
            <w:shd w:val="clear" w:color="auto" w:fill="auto"/>
            <w:hideMark/>
          </w:tcPr>
          <w:p w14:paraId="1143D0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319.8 ± 80.72</w:t>
            </w:r>
          </w:p>
        </w:tc>
        <w:tc>
          <w:tcPr>
            <w:tcW w:w="1134" w:type="dxa"/>
            <w:shd w:val="clear" w:color="auto" w:fill="auto"/>
            <w:hideMark/>
          </w:tcPr>
          <w:p w14:paraId="71975F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0.0001</w:t>
            </w:r>
          </w:p>
        </w:tc>
        <w:tc>
          <w:tcPr>
            <w:tcW w:w="1134" w:type="dxa"/>
            <w:shd w:val="clear" w:color="auto" w:fill="auto"/>
            <w:hideMark/>
          </w:tcPr>
          <w:p w14:paraId="572C924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bl>
    <w:p w14:paraId="377CDE18" w14:textId="77777777" w:rsidR="002224BA" w:rsidRPr="00C777FB" w:rsidRDefault="002224BA" w:rsidP="002224BA">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w:t>
      </w:r>
      <w:r w:rsidRPr="002224BA">
        <w:rPr>
          <w:rFonts w:ascii="Arial" w:hAnsi="Arial" w:cs="Arial"/>
          <w:iCs/>
          <w:color w:val="000000" w:themeColor="text1"/>
          <w:lang w:eastAsia="en-GB"/>
        </w:rPr>
        <w:t xml:space="preserve"> </w:t>
      </w:r>
      <w:r>
        <w:rPr>
          <w:rFonts w:ascii="Arial" w:hAnsi="Arial" w:cs="Arial"/>
          <w:iCs/>
          <w:color w:val="000000" w:themeColor="text1"/>
          <w:lang w:eastAsia="en-GB"/>
        </w:rPr>
        <w:t>N</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2224BA">
        <w:rPr>
          <w:rFonts w:ascii="Arial" w:hAnsi="Arial" w:cs="Arial"/>
          <w:iCs/>
          <w:color w:val="000000" w:themeColor="text1"/>
          <w:lang w:eastAsia="en-GB"/>
        </w:rPr>
        <w:t>Not</w:t>
      </w:r>
      <w:r>
        <w:rPr>
          <w:rFonts w:ascii="Arial" w:hAnsi="Arial" w:cs="Arial"/>
          <w:b/>
          <w:iCs/>
          <w:color w:val="000000" w:themeColor="text1"/>
          <w:lang w:eastAsia="en-GB"/>
        </w:rPr>
        <w:t xml:space="preserve"> </w:t>
      </w:r>
      <w:r>
        <w:rPr>
          <w:rFonts w:ascii="Arial" w:hAnsi="Arial" w:cs="Arial"/>
          <w:iCs/>
          <w:color w:val="000000" w:themeColor="text1"/>
          <w:lang w:eastAsia="en-GB"/>
        </w:rPr>
        <w:t>S</w:t>
      </w:r>
      <w:r w:rsidRPr="00C777FB">
        <w:rPr>
          <w:rFonts w:ascii="Arial" w:hAnsi="Arial" w:cs="Arial"/>
          <w:iCs/>
          <w:color w:val="000000" w:themeColor="text1"/>
          <w:lang w:eastAsia="en-GB"/>
        </w:rPr>
        <w:t>ignificant</w:t>
      </w:r>
      <w:r>
        <w:rPr>
          <w:rFonts w:ascii="Arial" w:hAnsi="Arial" w:cs="Arial"/>
          <w:iCs/>
          <w:color w:val="000000" w:themeColor="text1"/>
          <w:lang w:eastAsia="en-GB"/>
        </w:rPr>
        <w:t>,</w:t>
      </w:r>
      <w:r w:rsidR="00FA4DC6">
        <w:rPr>
          <w:rFonts w:ascii="Arial" w:hAnsi="Arial" w:cs="Arial"/>
          <w:iCs/>
          <w:color w:val="000000" w:themeColor="text1"/>
          <w:lang w:eastAsia="en-GB"/>
        </w:rPr>
        <w:t xml:space="preserve"> FBG- Fasting blood glucose, HbA1c- Glycated </w:t>
      </w:r>
      <w:proofErr w:type="spellStart"/>
      <w:r w:rsidR="00FA4DC6">
        <w:rPr>
          <w:rFonts w:ascii="Arial" w:hAnsi="Arial" w:cs="Arial"/>
          <w:iCs/>
          <w:color w:val="000000" w:themeColor="text1"/>
          <w:lang w:eastAsia="en-GB"/>
        </w:rPr>
        <w:t>haemoglobin</w:t>
      </w:r>
      <w:proofErr w:type="spellEnd"/>
      <w:r w:rsidR="00FA4DC6">
        <w:rPr>
          <w:rFonts w:ascii="Arial" w:hAnsi="Arial" w:cs="Arial"/>
          <w:iCs/>
          <w:color w:val="000000" w:themeColor="text1"/>
          <w:lang w:eastAsia="en-GB"/>
        </w:rPr>
        <w:t>,</w:t>
      </w:r>
      <w:r w:rsidR="00FA4DC6" w:rsidRPr="00FA4DC6">
        <w:rPr>
          <w:rFonts w:ascii="Arial" w:hAnsi="Arial" w:cs="Arial"/>
          <w:b/>
          <w:color w:val="000000"/>
        </w:rPr>
        <w:t xml:space="preserve"> </w:t>
      </w:r>
      <w:r w:rsidR="00FA4DC6" w:rsidRPr="00FA4DC6">
        <w:rPr>
          <w:rFonts w:ascii="Arial" w:hAnsi="Arial" w:cs="Arial"/>
          <w:color w:val="000000"/>
        </w:rPr>
        <w:t>WBC</w:t>
      </w:r>
      <w:r w:rsidR="00FA4DC6">
        <w:rPr>
          <w:rFonts w:ascii="Arial" w:hAnsi="Arial" w:cs="Arial"/>
          <w:iCs/>
          <w:color w:val="000000" w:themeColor="text1"/>
          <w:lang w:eastAsia="en-GB"/>
        </w:rPr>
        <w:t>-White blood cell,</w:t>
      </w:r>
      <w:r w:rsidRPr="00C777FB">
        <w:rPr>
          <w:rFonts w:ascii="Arial" w:hAnsi="Arial" w:cs="Arial"/>
          <w:iCs/>
          <w:color w:val="000000" w:themeColor="text1"/>
          <w:lang w:eastAsia="en-GB"/>
        </w:rPr>
        <w:t xml:space="preserve"> </w:t>
      </w:r>
      <w:proofErr w:type="spellStart"/>
      <w:r w:rsidR="00FA4DC6" w:rsidRPr="00FA4DC6">
        <w:rPr>
          <w:rFonts w:ascii="Arial" w:hAnsi="Arial" w:cs="Arial"/>
          <w:color w:val="000000"/>
        </w:rPr>
        <w:t>Neut</w:t>
      </w:r>
      <w:proofErr w:type="spellEnd"/>
      <w:r w:rsidR="00FA4DC6">
        <w:rPr>
          <w:rFonts w:ascii="Arial" w:hAnsi="Arial" w:cs="Arial"/>
          <w:iCs/>
          <w:color w:val="000000" w:themeColor="text1"/>
          <w:lang w:eastAsia="en-GB"/>
        </w:rPr>
        <w:t>- Neutrophil</w:t>
      </w:r>
      <w:r w:rsidRPr="00C777FB">
        <w:rPr>
          <w:rFonts w:ascii="Arial" w:hAnsi="Arial" w:cs="Arial"/>
          <w:iCs/>
          <w:color w:val="000000" w:themeColor="text1"/>
          <w:lang w:eastAsia="en-GB"/>
        </w:rPr>
        <w:t xml:space="preserve">, </w:t>
      </w:r>
      <w:r w:rsidR="00FA4DC6">
        <w:rPr>
          <w:rFonts w:ascii="Arial" w:hAnsi="Arial" w:cs="Arial"/>
          <w:iCs/>
          <w:color w:val="000000" w:themeColor="text1"/>
          <w:lang w:eastAsia="en-GB"/>
        </w:rPr>
        <w:t>Lym</w:t>
      </w:r>
      <w:r w:rsidRPr="00C777FB">
        <w:rPr>
          <w:rFonts w:ascii="Arial" w:hAnsi="Arial" w:cs="Arial"/>
          <w:iCs/>
          <w:color w:val="000000" w:themeColor="text1"/>
          <w:lang w:eastAsia="en-GB"/>
        </w:rPr>
        <w:t>-</w:t>
      </w:r>
      <w:r w:rsidR="00FA4DC6">
        <w:rPr>
          <w:rFonts w:ascii="Arial" w:hAnsi="Arial" w:cs="Arial"/>
          <w:iCs/>
          <w:color w:val="000000" w:themeColor="text1"/>
          <w:lang w:eastAsia="en-GB"/>
        </w:rPr>
        <w:t>Lymphocyte, PLT- Platelet</w:t>
      </w:r>
    </w:p>
    <w:p w14:paraId="4C61047A" w14:textId="77777777" w:rsidR="00BA3775" w:rsidRDefault="00BA3775" w:rsidP="001D5077">
      <w:pPr>
        <w:pStyle w:val="Body"/>
        <w:spacing w:after="0"/>
        <w:rPr>
          <w:rFonts w:ascii="Arial" w:hAnsi="Arial" w:cs="Arial"/>
          <w:b/>
          <w:color w:val="000000" w:themeColor="text1"/>
          <w:u w:val="single"/>
        </w:rPr>
      </w:pPr>
    </w:p>
    <w:p w14:paraId="40F59A48" w14:textId="77777777" w:rsidR="00BA3775" w:rsidRDefault="00BA3775" w:rsidP="001D5077">
      <w:pPr>
        <w:pStyle w:val="Body"/>
        <w:spacing w:after="0"/>
        <w:rPr>
          <w:rFonts w:ascii="Arial" w:hAnsi="Arial" w:cs="Arial"/>
          <w:b/>
          <w:color w:val="000000" w:themeColor="text1"/>
          <w:u w:val="single"/>
        </w:rPr>
      </w:pPr>
    </w:p>
    <w:p w14:paraId="292C8D75" w14:textId="77777777" w:rsidR="001D5077" w:rsidRPr="00C777FB" w:rsidRDefault="00BA3775" w:rsidP="001D5077">
      <w:pPr>
        <w:pStyle w:val="Body"/>
        <w:spacing w:after="0"/>
        <w:rPr>
          <w:rFonts w:ascii="Arial" w:hAnsi="Arial" w:cs="Arial"/>
          <w:b/>
          <w:color w:val="000000" w:themeColor="text1"/>
          <w:u w:val="single"/>
        </w:rPr>
      </w:pPr>
      <w:r>
        <w:rPr>
          <w:rFonts w:ascii="Arial" w:hAnsi="Arial" w:cs="Arial"/>
          <w:b/>
          <w:color w:val="000000" w:themeColor="text1"/>
          <w:u w:val="single"/>
        </w:rPr>
        <w:t>3.1.3</w:t>
      </w:r>
      <w:r w:rsidR="001D5077" w:rsidRPr="00C777FB">
        <w:rPr>
          <w:rFonts w:ascii="Arial" w:hAnsi="Arial" w:cs="Arial"/>
          <w:b/>
          <w:color w:val="000000" w:themeColor="text1"/>
          <w:u w:val="single"/>
        </w:rPr>
        <w:t xml:space="preserve"> Comparison of Neutrophil-Lymphocyte Ratio, Platelet–Neutrophil Ratio, Platelet–Lymphocyte Ratio and Erythrocyte Sedimentation Rate of Diabetic and Non-diabetic Subjects</w:t>
      </w:r>
    </w:p>
    <w:p w14:paraId="2D3B780E" w14:textId="77777777" w:rsidR="001D5077" w:rsidRPr="00C777FB" w:rsidRDefault="001D5077" w:rsidP="001D5077">
      <w:pPr>
        <w:pStyle w:val="Body"/>
        <w:spacing w:after="0"/>
        <w:rPr>
          <w:rFonts w:ascii="Arial" w:hAnsi="Arial" w:cs="Arial"/>
          <w:color w:val="000000" w:themeColor="text1"/>
        </w:rPr>
      </w:pPr>
      <w:r w:rsidRPr="00C777FB">
        <w:rPr>
          <w:rFonts w:ascii="Arial" w:hAnsi="Arial" w:cs="Arial"/>
          <w:color w:val="000000" w:themeColor="text1"/>
        </w:rPr>
        <w:t>The mean NLR was significantly higher in diabetic subjects compared to non-diabetic controls (</w:t>
      </w:r>
      <w:r w:rsidRPr="00C777FB">
        <w:rPr>
          <w:rFonts w:ascii="Arial" w:hAnsi="Arial" w:cs="Arial"/>
          <w:i/>
          <w:iCs/>
          <w:color w:val="000000" w:themeColor="text1"/>
        </w:rPr>
        <w:t>P</w:t>
      </w:r>
      <w:r w:rsidRPr="00C777FB">
        <w:rPr>
          <w:rFonts w:ascii="Arial" w:hAnsi="Arial" w:cs="Arial"/>
          <w:iCs/>
          <w:color w:val="000000" w:themeColor="text1"/>
        </w:rPr>
        <w:t>=</w:t>
      </w:r>
      <w:r w:rsidRPr="00C777FB">
        <w:rPr>
          <w:rFonts w:ascii="Arial" w:hAnsi="Arial" w:cs="Arial"/>
          <w:color w:val="000000" w:themeColor="text1"/>
        </w:rPr>
        <w:t>0.004). In contrast, both the PNR and PLR were significantly lower in the diabetic group (</w:t>
      </w:r>
      <w:r w:rsidRPr="00C777FB">
        <w:rPr>
          <w:rFonts w:ascii="Arial" w:hAnsi="Arial" w:cs="Arial"/>
          <w:i/>
          <w:iCs/>
          <w:color w:val="000000" w:themeColor="text1"/>
        </w:rPr>
        <w:t>P</w:t>
      </w:r>
      <w:r w:rsidRPr="00C777FB">
        <w:rPr>
          <w:rFonts w:ascii="Arial" w:hAnsi="Arial" w:cs="Arial"/>
          <w:iCs/>
          <w:color w:val="000000" w:themeColor="text1"/>
        </w:rPr>
        <w:t>=</w:t>
      </w:r>
      <w:r w:rsidRPr="00C777FB">
        <w:rPr>
          <w:rFonts w:ascii="Arial" w:hAnsi="Arial" w:cs="Arial"/>
          <w:color w:val="000000" w:themeColor="text1"/>
        </w:rPr>
        <w:t>0.0001). Also, ESR was significantly elevated in diabetic subjects compared to controls (</w:t>
      </w:r>
      <w:r w:rsidRPr="00C777FB">
        <w:rPr>
          <w:rFonts w:ascii="Arial" w:hAnsi="Arial" w:cs="Arial"/>
          <w:i/>
          <w:iCs/>
          <w:color w:val="000000" w:themeColor="text1"/>
        </w:rPr>
        <w:t>P</w:t>
      </w:r>
      <w:r w:rsidR="00BA3775">
        <w:rPr>
          <w:rFonts w:ascii="Arial" w:hAnsi="Arial" w:cs="Arial"/>
          <w:color w:val="000000" w:themeColor="text1"/>
        </w:rPr>
        <w:t>&lt;0.0001) (Table 2</w:t>
      </w:r>
      <w:r w:rsidRPr="00C777FB">
        <w:rPr>
          <w:rFonts w:ascii="Arial" w:hAnsi="Arial" w:cs="Arial"/>
          <w:color w:val="000000" w:themeColor="text1"/>
        </w:rPr>
        <w:t>).</w:t>
      </w:r>
    </w:p>
    <w:p w14:paraId="5D796D8D" w14:textId="77777777" w:rsidR="001D5077" w:rsidRPr="00C777FB" w:rsidRDefault="001D5077" w:rsidP="00D86461">
      <w:pPr>
        <w:pStyle w:val="Body"/>
        <w:spacing w:after="0"/>
        <w:rPr>
          <w:rFonts w:ascii="Arial" w:hAnsi="Arial" w:cs="Arial"/>
          <w:b/>
          <w:color w:val="000000" w:themeColor="text1"/>
          <w:sz w:val="22"/>
        </w:rPr>
      </w:pPr>
    </w:p>
    <w:p w14:paraId="166CAA78" w14:textId="77777777" w:rsidR="00AE08C6" w:rsidRPr="00C777FB" w:rsidRDefault="00BA3775" w:rsidP="00AE08C6">
      <w:pPr>
        <w:jc w:val="both"/>
        <w:rPr>
          <w:rFonts w:ascii="Arial" w:hAnsi="Arial" w:cs="Arial"/>
          <w:b/>
          <w:color w:val="000000" w:themeColor="text1"/>
        </w:rPr>
      </w:pPr>
      <w:r>
        <w:rPr>
          <w:rFonts w:ascii="Arial" w:hAnsi="Arial" w:cs="Arial"/>
          <w:b/>
          <w:color w:val="000000" w:themeColor="text1"/>
        </w:rPr>
        <w:t>Table 2</w:t>
      </w:r>
      <w:r w:rsidR="00AE08C6" w:rsidRPr="00C777FB">
        <w:rPr>
          <w:rFonts w:ascii="Arial" w:hAnsi="Arial" w:cs="Arial"/>
          <w:b/>
          <w:color w:val="000000" w:themeColor="text1"/>
        </w:rPr>
        <w:t>.</w:t>
      </w:r>
      <w:r w:rsidR="00AE08C6" w:rsidRPr="00C777FB">
        <w:rPr>
          <w:rFonts w:ascii="Arial" w:hAnsi="Arial" w:cs="Arial"/>
          <w:b/>
          <w:color w:val="000000" w:themeColor="text1"/>
        </w:rPr>
        <w:tab/>
        <w:t>Comparison of Neutrophil-Lymphocyte Ratio, Platelet–Neutrophil Ratio, Platelet–Lymphocyte Ratio and Erythrocyte Sedimentation Rate of Diabetic and Non-diabetic Subjects</w:t>
      </w:r>
    </w:p>
    <w:tbl>
      <w:tblPr>
        <w:tblStyle w:val="ListTable6Colorful"/>
        <w:tblpPr w:leftFromText="180" w:rightFromText="180" w:vertAnchor="text" w:horzAnchor="margin" w:tblpY="112"/>
        <w:tblW w:w="8094" w:type="dxa"/>
        <w:tblLayout w:type="fixed"/>
        <w:tblLook w:val="04A0" w:firstRow="1" w:lastRow="0" w:firstColumn="1" w:lastColumn="0" w:noHBand="0" w:noVBand="1"/>
      </w:tblPr>
      <w:tblGrid>
        <w:gridCol w:w="2266"/>
        <w:gridCol w:w="1803"/>
        <w:gridCol w:w="1757"/>
        <w:gridCol w:w="1134"/>
        <w:gridCol w:w="1134"/>
      </w:tblGrid>
      <w:tr w:rsidR="00B05DF2" w:rsidRPr="00C777FB" w14:paraId="75D83AB9" w14:textId="77777777" w:rsidTr="00B05DF2">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66" w:type="dxa"/>
            <w:vMerge w:val="restart"/>
            <w:tcBorders>
              <w:top w:val="single" w:sz="4" w:space="0" w:color="000000" w:themeColor="text1"/>
              <w:left w:val="nil"/>
              <w:bottom w:val="single" w:sz="4" w:space="0" w:color="auto"/>
              <w:right w:val="nil"/>
            </w:tcBorders>
            <w:shd w:val="clear" w:color="auto" w:fill="auto"/>
            <w:hideMark/>
          </w:tcPr>
          <w:p w14:paraId="61D474D0" w14:textId="77777777" w:rsidR="00B05DF2" w:rsidRPr="00C777FB" w:rsidRDefault="00B05DF2" w:rsidP="007337BC">
            <w:pPr>
              <w:jc w:val="both"/>
              <w:rPr>
                <w:rFonts w:ascii="Arial" w:hAnsi="Arial" w:cs="Arial"/>
              </w:rPr>
            </w:pPr>
            <w:r w:rsidRPr="00C777FB">
              <w:rPr>
                <w:rFonts w:ascii="Arial" w:hAnsi="Arial" w:cs="Arial"/>
              </w:rPr>
              <w:t>Groups/Parameters</w:t>
            </w:r>
          </w:p>
        </w:tc>
        <w:tc>
          <w:tcPr>
            <w:tcW w:w="1803" w:type="dxa"/>
            <w:tcBorders>
              <w:top w:val="single" w:sz="4" w:space="0" w:color="000000" w:themeColor="text1"/>
              <w:left w:val="nil"/>
              <w:right w:val="nil"/>
            </w:tcBorders>
            <w:shd w:val="clear" w:color="auto" w:fill="auto"/>
            <w:hideMark/>
          </w:tcPr>
          <w:p w14:paraId="2E924ABF"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Diabetics</w:t>
            </w:r>
          </w:p>
          <w:p w14:paraId="3D4A4C8A"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 70)</w:t>
            </w:r>
          </w:p>
        </w:tc>
        <w:tc>
          <w:tcPr>
            <w:tcW w:w="1757" w:type="dxa"/>
            <w:tcBorders>
              <w:top w:val="single" w:sz="4" w:space="0" w:color="000000" w:themeColor="text1"/>
              <w:left w:val="nil"/>
              <w:right w:val="nil"/>
            </w:tcBorders>
            <w:shd w:val="clear" w:color="auto" w:fill="auto"/>
            <w:hideMark/>
          </w:tcPr>
          <w:p w14:paraId="66672B17"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Non-diabetic Control (n= 70)</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1EECECD8"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0246EBFF"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Inference</w:t>
            </w:r>
          </w:p>
        </w:tc>
      </w:tr>
      <w:tr w:rsidR="00B05DF2" w:rsidRPr="00C777FB" w14:paraId="5815228C" w14:textId="77777777" w:rsidTr="00B05DF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266" w:type="dxa"/>
            <w:vMerge/>
            <w:tcBorders>
              <w:top w:val="single" w:sz="4" w:space="0" w:color="000000" w:themeColor="text1"/>
              <w:left w:val="nil"/>
              <w:bottom w:val="single" w:sz="4" w:space="0" w:color="auto"/>
              <w:right w:val="nil"/>
            </w:tcBorders>
            <w:shd w:val="clear" w:color="auto" w:fill="auto"/>
            <w:vAlign w:val="center"/>
            <w:hideMark/>
          </w:tcPr>
          <w:p w14:paraId="0351C80B" w14:textId="77777777" w:rsidR="00B05DF2" w:rsidRPr="00C777FB" w:rsidRDefault="00B05DF2" w:rsidP="007337BC">
            <w:pPr>
              <w:jc w:val="both"/>
              <w:rPr>
                <w:rFonts w:ascii="Arial" w:hAnsi="Arial" w:cs="Arial"/>
              </w:rPr>
            </w:pPr>
          </w:p>
        </w:tc>
        <w:tc>
          <w:tcPr>
            <w:tcW w:w="1803" w:type="dxa"/>
            <w:tcBorders>
              <w:top w:val="nil"/>
              <w:left w:val="nil"/>
              <w:bottom w:val="single" w:sz="4" w:space="0" w:color="auto"/>
              <w:right w:val="nil"/>
            </w:tcBorders>
            <w:shd w:val="clear" w:color="auto" w:fill="auto"/>
            <w:hideMark/>
          </w:tcPr>
          <w:p w14:paraId="737409B6"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757" w:type="dxa"/>
            <w:tcBorders>
              <w:top w:val="nil"/>
              <w:left w:val="nil"/>
              <w:bottom w:val="single" w:sz="4" w:space="0" w:color="auto"/>
              <w:right w:val="nil"/>
            </w:tcBorders>
            <w:shd w:val="clear" w:color="auto" w:fill="auto"/>
            <w:hideMark/>
          </w:tcPr>
          <w:p w14:paraId="45A58268"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7988A0ED"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09929970"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B05DF2" w:rsidRPr="00C777FB" w14:paraId="5173F92E" w14:textId="77777777" w:rsidTr="00B05DF2">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left w:val="nil"/>
              <w:bottom w:val="nil"/>
              <w:right w:val="nil"/>
            </w:tcBorders>
            <w:shd w:val="clear" w:color="auto" w:fill="auto"/>
            <w:hideMark/>
          </w:tcPr>
          <w:p w14:paraId="3DDB2BED" w14:textId="77777777" w:rsidR="00B05DF2" w:rsidRPr="00C777FB" w:rsidRDefault="00B05DF2" w:rsidP="007337BC">
            <w:pPr>
              <w:spacing w:line="480" w:lineRule="auto"/>
              <w:jc w:val="both"/>
              <w:rPr>
                <w:rFonts w:ascii="Arial" w:hAnsi="Arial" w:cs="Arial"/>
              </w:rPr>
            </w:pPr>
            <w:r w:rsidRPr="00C777FB">
              <w:rPr>
                <w:rFonts w:ascii="Arial" w:hAnsi="Arial" w:cs="Arial"/>
              </w:rPr>
              <w:t>NLR</w:t>
            </w:r>
          </w:p>
        </w:tc>
        <w:tc>
          <w:tcPr>
            <w:tcW w:w="1803" w:type="dxa"/>
            <w:tcBorders>
              <w:top w:val="single" w:sz="4" w:space="0" w:color="auto"/>
              <w:left w:val="nil"/>
              <w:bottom w:val="nil"/>
              <w:right w:val="nil"/>
            </w:tcBorders>
            <w:shd w:val="clear" w:color="auto" w:fill="auto"/>
            <w:hideMark/>
          </w:tcPr>
          <w:p w14:paraId="1C30FF7D"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1.289 ± 0.5267</w:t>
            </w:r>
          </w:p>
        </w:tc>
        <w:tc>
          <w:tcPr>
            <w:tcW w:w="1757" w:type="dxa"/>
            <w:tcBorders>
              <w:top w:val="single" w:sz="4" w:space="0" w:color="auto"/>
              <w:left w:val="nil"/>
              <w:bottom w:val="nil"/>
              <w:right w:val="nil"/>
            </w:tcBorders>
            <w:shd w:val="clear" w:color="auto" w:fill="auto"/>
            <w:hideMark/>
          </w:tcPr>
          <w:p w14:paraId="1EC61077"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0.9982 ± 0.4079</w:t>
            </w:r>
          </w:p>
        </w:tc>
        <w:tc>
          <w:tcPr>
            <w:tcW w:w="1134" w:type="dxa"/>
            <w:tcBorders>
              <w:top w:val="single" w:sz="4" w:space="0" w:color="auto"/>
              <w:left w:val="nil"/>
              <w:bottom w:val="nil"/>
              <w:right w:val="nil"/>
            </w:tcBorders>
            <w:shd w:val="clear" w:color="auto" w:fill="auto"/>
            <w:hideMark/>
          </w:tcPr>
          <w:p w14:paraId="2F726598"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0.0004</w:t>
            </w:r>
          </w:p>
        </w:tc>
        <w:tc>
          <w:tcPr>
            <w:tcW w:w="1134" w:type="dxa"/>
            <w:tcBorders>
              <w:top w:val="single" w:sz="4" w:space="0" w:color="auto"/>
              <w:left w:val="nil"/>
              <w:bottom w:val="nil"/>
              <w:right w:val="nil"/>
            </w:tcBorders>
            <w:shd w:val="clear" w:color="auto" w:fill="auto"/>
            <w:hideMark/>
          </w:tcPr>
          <w:p w14:paraId="52B0532E"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6024AB7B" w14:textId="77777777" w:rsidTr="00B0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nil"/>
              <w:right w:val="nil"/>
            </w:tcBorders>
            <w:shd w:val="clear" w:color="auto" w:fill="auto"/>
            <w:hideMark/>
          </w:tcPr>
          <w:p w14:paraId="692B4202" w14:textId="77777777" w:rsidR="00B05DF2" w:rsidRPr="00C777FB" w:rsidRDefault="00B05DF2" w:rsidP="007337BC">
            <w:pPr>
              <w:spacing w:line="480" w:lineRule="auto"/>
              <w:jc w:val="both"/>
              <w:rPr>
                <w:rFonts w:ascii="Arial" w:hAnsi="Arial" w:cs="Arial"/>
              </w:rPr>
            </w:pPr>
            <w:r w:rsidRPr="00C777FB">
              <w:rPr>
                <w:rFonts w:ascii="Arial" w:hAnsi="Arial" w:cs="Arial"/>
              </w:rPr>
              <w:t>PNR</w:t>
            </w:r>
          </w:p>
        </w:tc>
        <w:tc>
          <w:tcPr>
            <w:tcW w:w="1803" w:type="dxa"/>
            <w:tcBorders>
              <w:top w:val="nil"/>
              <w:left w:val="nil"/>
              <w:bottom w:val="nil"/>
              <w:right w:val="nil"/>
            </w:tcBorders>
            <w:shd w:val="clear" w:color="auto" w:fill="auto"/>
            <w:hideMark/>
          </w:tcPr>
          <w:p w14:paraId="3B9040EF"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99.75 ± 38.29</w:t>
            </w:r>
          </w:p>
        </w:tc>
        <w:tc>
          <w:tcPr>
            <w:tcW w:w="1757" w:type="dxa"/>
            <w:tcBorders>
              <w:top w:val="nil"/>
              <w:left w:val="nil"/>
              <w:bottom w:val="nil"/>
              <w:right w:val="nil"/>
            </w:tcBorders>
            <w:shd w:val="clear" w:color="auto" w:fill="auto"/>
            <w:hideMark/>
          </w:tcPr>
          <w:p w14:paraId="2817F47B"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163.7 ± 65.38</w:t>
            </w:r>
          </w:p>
        </w:tc>
        <w:tc>
          <w:tcPr>
            <w:tcW w:w="1134" w:type="dxa"/>
            <w:tcBorders>
              <w:top w:val="nil"/>
              <w:left w:val="nil"/>
              <w:bottom w:val="nil"/>
              <w:right w:val="nil"/>
            </w:tcBorders>
            <w:shd w:val="clear" w:color="auto" w:fill="auto"/>
            <w:hideMark/>
          </w:tcPr>
          <w:p w14:paraId="3A0ADC7D"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nil"/>
              <w:right w:val="nil"/>
            </w:tcBorders>
            <w:shd w:val="clear" w:color="auto" w:fill="auto"/>
            <w:hideMark/>
          </w:tcPr>
          <w:p w14:paraId="4DB97E07"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40B4CC3E" w14:textId="77777777" w:rsidTr="00B05DF2">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nil"/>
              <w:right w:val="nil"/>
            </w:tcBorders>
            <w:shd w:val="clear" w:color="auto" w:fill="auto"/>
            <w:hideMark/>
          </w:tcPr>
          <w:p w14:paraId="79D37ED2" w14:textId="77777777" w:rsidR="00B05DF2" w:rsidRPr="00C777FB" w:rsidRDefault="00B05DF2" w:rsidP="007337BC">
            <w:pPr>
              <w:spacing w:line="480" w:lineRule="auto"/>
              <w:jc w:val="both"/>
              <w:rPr>
                <w:rFonts w:ascii="Arial" w:hAnsi="Arial" w:cs="Arial"/>
              </w:rPr>
            </w:pPr>
            <w:r w:rsidRPr="00C777FB">
              <w:rPr>
                <w:rFonts w:ascii="Arial" w:hAnsi="Arial" w:cs="Arial"/>
              </w:rPr>
              <w:t>PLR</w:t>
            </w:r>
          </w:p>
        </w:tc>
        <w:tc>
          <w:tcPr>
            <w:tcW w:w="1803" w:type="dxa"/>
            <w:tcBorders>
              <w:top w:val="nil"/>
              <w:left w:val="nil"/>
              <w:bottom w:val="nil"/>
              <w:right w:val="nil"/>
            </w:tcBorders>
            <w:shd w:val="clear" w:color="auto" w:fill="auto"/>
            <w:hideMark/>
          </w:tcPr>
          <w:p w14:paraId="41B54922"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116.9 ± 40.47</w:t>
            </w:r>
          </w:p>
        </w:tc>
        <w:tc>
          <w:tcPr>
            <w:tcW w:w="1757" w:type="dxa"/>
            <w:tcBorders>
              <w:top w:val="nil"/>
              <w:left w:val="nil"/>
              <w:bottom w:val="nil"/>
              <w:right w:val="nil"/>
            </w:tcBorders>
            <w:shd w:val="clear" w:color="auto" w:fill="auto"/>
            <w:hideMark/>
          </w:tcPr>
          <w:p w14:paraId="62C36727"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151.1 ± 57.91</w:t>
            </w:r>
          </w:p>
        </w:tc>
        <w:tc>
          <w:tcPr>
            <w:tcW w:w="1134" w:type="dxa"/>
            <w:tcBorders>
              <w:top w:val="nil"/>
              <w:left w:val="nil"/>
              <w:bottom w:val="nil"/>
              <w:right w:val="nil"/>
            </w:tcBorders>
            <w:shd w:val="clear" w:color="auto" w:fill="auto"/>
            <w:hideMark/>
          </w:tcPr>
          <w:p w14:paraId="7D594025"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nil"/>
              <w:right w:val="nil"/>
            </w:tcBorders>
            <w:shd w:val="clear" w:color="auto" w:fill="auto"/>
            <w:hideMark/>
          </w:tcPr>
          <w:p w14:paraId="63FECABE"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67D3C24B" w14:textId="77777777" w:rsidTr="00B0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single" w:sz="4" w:space="0" w:color="000000" w:themeColor="text1"/>
              <w:right w:val="nil"/>
            </w:tcBorders>
            <w:shd w:val="clear" w:color="auto" w:fill="auto"/>
            <w:hideMark/>
          </w:tcPr>
          <w:p w14:paraId="730C2B9B" w14:textId="77777777" w:rsidR="00B05DF2" w:rsidRPr="00C777FB" w:rsidRDefault="00B05DF2" w:rsidP="007337BC">
            <w:pPr>
              <w:spacing w:line="480" w:lineRule="auto"/>
              <w:jc w:val="both"/>
              <w:rPr>
                <w:rFonts w:ascii="Arial" w:hAnsi="Arial" w:cs="Arial"/>
              </w:rPr>
            </w:pPr>
            <w:r w:rsidRPr="00C777FB">
              <w:rPr>
                <w:rFonts w:ascii="Arial" w:hAnsi="Arial" w:cs="Arial"/>
              </w:rPr>
              <w:t>ESR</w:t>
            </w:r>
          </w:p>
        </w:tc>
        <w:tc>
          <w:tcPr>
            <w:tcW w:w="1803" w:type="dxa"/>
            <w:tcBorders>
              <w:top w:val="nil"/>
              <w:left w:val="nil"/>
              <w:bottom w:val="single" w:sz="4" w:space="0" w:color="000000" w:themeColor="text1"/>
              <w:right w:val="nil"/>
            </w:tcBorders>
            <w:shd w:val="clear" w:color="auto" w:fill="auto"/>
            <w:hideMark/>
          </w:tcPr>
          <w:p w14:paraId="34F1C548"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32.09 ±</w:t>
            </w:r>
            <w:r w:rsidRPr="00C777FB">
              <w:rPr>
                <w:rFonts w:ascii="Arial" w:hAnsi="Arial" w:cs="Arial"/>
                <w:b/>
              </w:rPr>
              <w:t xml:space="preserve"> </w:t>
            </w:r>
            <w:r w:rsidRPr="00C777FB">
              <w:rPr>
                <w:rFonts w:ascii="Arial" w:hAnsi="Arial" w:cs="Arial"/>
              </w:rPr>
              <w:t>29.20</w:t>
            </w:r>
          </w:p>
        </w:tc>
        <w:tc>
          <w:tcPr>
            <w:tcW w:w="1757" w:type="dxa"/>
            <w:tcBorders>
              <w:top w:val="nil"/>
              <w:left w:val="nil"/>
              <w:bottom w:val="single" w:sz="4" w:space="0" w:color="000000" w:themeColor="text1"/>
              <w:right w:val="nil"/>
            </w:tcBorders>
            <w:shd w:val="clear" w:color="auto" w:fill="auto"/>
            <w:hideMark/>
          </w:tcPr>
          <w:p w14:paraId="3A2A2B41"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14.10 ± 16.23</w:t>
            </w:r>
          </w:p>
        </w:tc>
        <w:tc>
          <w:tcPr>
            <w:tcW w:w="1134" w:type="dxa"/>
            <w:tcBorders>
              <w:top w:val="nil"/>
              <w:left w:val="nil"/>
              <w:bottom w:val="single" w:sz="4" w:space="0" w:color="000000" w:themeColor="text1"/>
              <w:right w:val="nil"/>
            </w:tcBorders>
            <w:shd w:val="clear" w:color="auto" w:fill="auto"/>
            <w:hideMark/>
          </w:tcPr>
          <w:p w14:paraId="7ECA3D1E"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single" w:sz="4" w:space="0" w:color="000000" w:themeColor="text1"/>
              <w:right w:val="nil"/>
            </w:tcBorders>
            <w:shd w:val="clear" w:color="auto" w:fill="auto"/>
            <w:hideMark/>
          </w:tcPr>
          <w:p w14:paraId="2F97A64E"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bl>
    <w:p w14:paraId="41D1ADC8" w14:textId="77777777" w:rsidR="00AE08C6" w:rsidRPr="00C777FB" w:rsidRDefault="00AE08C6" w:rsidP="00AE08C6">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 NLR-Neutrophil-lymphocyte ratio, PNR-Platelet-neutrophil ratio, PLR-Platelet-lymphocyte ratio, ESR – Erythrocyte sedimentation rate</w:t>
      </w:r>
    </w:p>
    <w:p w14:paraId="2404B922" w14:textId="77777777" w:rsidR="00AE08C6" w:rsidRPr="00C777FB" w:rsidRDefault="00AE08C6" w:rsidP="00AE08C6">
      <w:pPr>
        <w:pStyle w:val="Body"/>
        <w:spacing w:after="0"/>
        <w:rPr>
          <w:rFonts w:ascii="Arial" w:hAnsi="Arial" w:cs="Arial"/>
          <w:b/>
          <w:color w:val="000000" w:themeColor="text1"/>
          <w:u w:val="single"/>
        </w:rPr>
      </w:pPr>
    </w:p>
    <w:p w14:paraId="643F2145" w14:textId="77777777" w:rsidR="00AE08C6" w:rsidRPr="00C777FB" w:rsidRDefault="00BA3775" w:rsidP="00AE08C6">
      <w:pPr>
        <w:pStyle w:val="Body"/>
        <w:spacing w:after="0"/>
        <w:rPr>
          <w:rFonts w:ascii="Arial" w:hAnsi="Arial" w:cs="Arial"/>
          <w:b/>
          <w:color w:val="000000" w:themeColor="text1"/>
          <w:u w:val="single"/>
        </w:rPr>
      </w:pPr>
      <w:r>
        <w:rPr>
          <w:rFonts w:ascii="Arial" w:hAnsi="Arial" w:cs="Arial"/>
          <w:b/>
          <w:color w:val="000000" w:themeColor="text1"/>
          <w:u w:val="single"/>
        </w:rPr>
        <w:t>3.1.4</w:t>
      </w:r>
      <w:r w:rsidR="00AE08C6" w:rsidRPr="00C777FB">
        <w:rPr>
          <w:rFonts w:ascii="Arial" w:hAnsi="Arial" w:cs="Arial"/>
          <w:b/>
          <w:color w:val="000000" w:themeColor="text1"/>
          <w:u w:val="single"/>
        </w:rPr>
        <w:t xml:space="preserve"> Comparison of Neutrophil-Lymphocyte Ratio, Platelet–Neutrophil Ratio, Platelet–Lymphocyte Ratio and Erythrocyte Sedimentation Rate in Male/Female Diabetics with Male/Female Healthy Controls</w:t>
      </w:r>
    </w:p>
    <w:p w14:paraId="64EC3EB0" w14:textId="77777777" w:rsidR="00AE08C6" w:rsidRPr="00C777FB" w:rsidRDefault="00AE08C6" w:rsidP="00AE08C6">
      <w:pPr>
        <w:pStyle w:val="Body"/>
        <w:spacing w:after="0"/>
        <w:rPr>
          <w:rFonts w:ascii="Arial" w:hAnsi="Arial" w:cs="Arial"/>
          <w:color w:val="000000" w:themeColor="text1"/>
        </w:rPr>
      </w:pPr>
      <w:r w:rsidRPr="00C777FB">
        <w:rPr>
          <w:rFonts w:ascii="Arial" w:hAnsi="Arial" w:cs="Arial"/>
          <w:color w:val="000000" w:themeColor="text1"/>
        </w:rPr>
        <w:t>Sex-based comparison of NLR, PNR, PLR and ESR revealed that among male participants, the mean NLR was significantly higher in diabetics compared to non-diabetics (</w:t>
      </w:r>
      <w:r w:rsidRPr="00C777FB">
        <w:rPr>
          <w:rFonts w:ascii="Arial" w:hAnsi="Arial" w:cs="Arial"/>
          <w:i/>
          <w:color w:val="000000" w:themeColor="text1"/>
        </w:rPr>
        <w:t>P</w:t>
      </w:r>
      <w:r w:rsidRPr="00C777FB">
        <w:rPr>
          <w:rFonts w:ascii="Arial" w:hAnsi="Arial" w:cs="Arial"/>
          <w:color w:val="000000" w:themeColor="text1"/>
        </w:rPr>
        <w:t>=0.0036). Similarly, PNR was significantly lower in diabetic males than in non-diabetic males (</w:t>
      </w:r>
      <w:r w:rsidRPr="00C777FB">
        <w:rPr>
          <w:rFonts w:ascii="Arial" w:hAnsi="Arial" w:cs="Arial"/>
          <w:i/>
          <w:color w:val="000000" w:themeColor="text1"/>
        </w:rPr>
        <w:t>P</w:t>
      </w:r>
      <w:r w:rsidRPr="00C777FB">
        <w:rPr>
          <w:rFonts w:ascii="Arial" w:hAnsi="Arial" w:cs="Arial"/>
          <w:color w:val="000000" w:themeColor="text1"/>
        </w:rPr>
        <w:t>= 0.0001). Although PLR was lower in male diabetics compared to controls, the difference was not statistically significant (</w:t>
      </w:r>
      <w:r w:rsidRPr="00C777FB">
        <w:rPr>
          <w:rFonts w:ascii="Arial" w:hAnsi="Arial" w:cs="Arial"/>
          <w:i/>
          <w:color w:val="000000" w:themeColor="text1"/>
        </w:rPr>
        <w:t>P</w:t>
      </w:r>
      <w:r w:rsidRPr="00C777FB">
        <w:rPr>
          <w:rFonts w:ascii="Arial" w:hAnsi="Arial" w:cs="Arial"/>
          <w:color w:val="000000" w:themeColor="text1"/>
        </w:rPr>
        <w:t>=0.0741). ESR, however, was significantly elevated in male diabetic subjects compared to non-diabetic controls (</w:t>
      </w:r>
      <w:r w:rsidRPr="00C777FB">
        <w:rPr>
          <w:rFonts w:ascii="Arial" w:hAnsi="Arial" w:cs="Arial"/>
          <w:i/>
          <w:color w:val="000000" w:themeColor="text1"/>
        </w:rPr>
        <w:t>P</w:t>
      </w:r>
      <w:r w:rsidRPr="00C777FB">
        <w:rPr>
          <w:rFonts w:ascii="Arial" w:hAnsi="Arial" w:cs="Arial"/>
          <w:color w:val="000000" w:themeColor="text1"/>
        </w:rPr>
        <w:t>=0.0040). In the female subjects, diabetic subjects showed a significantly higher NLR than the non-diabetic controls (</w:t>
      </w:r>
      <w:r w:rsidRPr="00C777FB">
        <w:rPr>
          <w:rFonts w:ascii="Arial" w:hAnsi="Arial" w:cs="Arial"/>
          <w:i/>
          <w:color w:val="000000" w:themeColor="text1"/>
        </w:rPr>
        <w:t>P</w:t>
      </w:r>
      <w:r w:rsidRPr="00C777FB">
        <w:rPr>
          <w:rFonts w:ascii="Arial" w:hAnsi="Arial" w:cs="Arial"/>
          <w:color w:val="000000" w:themeColor="text1"/>
        </w:rPr>
        <w:t>= 0.0375). Both PNR and PLR were significantly lower in diabetic females compared to non-diabetic females (</w:t>
      </w:r>
      <w:r w:rsidRPr="00C777FB">
        <w:rPr>
          <w:rFonts w:ascii="Arial" w:hAnsi="Arial" w:cs="Arial"/>
          <w:i/>
          <w:color w:val="000000" w:themeColor="text1"/>
        </w:rPr>
        <w:t>P</w:t>
      </w:r>
      <w:r w:rsidRPr="00C777FB">
        <w:rPr>
          <w:rFonts w:ascii="Arial" w:hAnsi="Arial" w:cs="Arial"/>
          <w:color w:val="000000" w:themeColor="text1"/>
        </w:rPr>
        <w:t xml:space="preserve">&lt;0.0001 and </w:t>
      </w:r>
      <w:r w:rsidRPr="00C777FB">
        <w:rPr>
          <w:rFonts w:ascii="Arial" w:hAnsi="Arial" w:cs="Arial"/>
          <w:i/>
          <w:color w:val="000000" w:themeColor="text1"/>
        </w:rPr>
        <w:t>P</w:t>
      </w:r>
      <w:r w:rsidRPr="00C777FB">
        <w:rPr>
          <w:rFonts w:ascii="Arial" w:hAnsi="Arial" w:cs="Arial"/>
          <w:color w:val="000000" w:themeColor="text1"/>
        </w:rPr>
        <w:t>=0.0003, respectively). ESR was also significantly higher in diabetic females compared to non-diabetic controls (</w:t>
      </w:r>
      <w:r w:rsidRPr="00C777FB">
        <w:rPr>
          <w:rFonts w:ascii="Arial" w:hAnsi="Arial" w:cs="Arial"/>
          <w:i/>
          <w:color w:val="000000" w:themeColor="text1"/>
        </w:rPr>
        <w:t>P</w:t>
      </w:r>
      <w:r w:rsidR="00BA3775">
        <w:rPr>
          <w:rFonts w:ascii="Arial" w:hAnsi="Arial" w:cs="Arial"/>
          <w:color w:val="000000" w:themeColor="text1"/>
        </w:rPr>
        <w:t>=0.0002) (Table 3</w:t>
      </w:r>
      <w:r w:rsidRPr="00C777FB">
        <w:rPr>
          <w:rFonts w:ascii="Arial" w:hAnsi="Arial" w:cs="Arial"/>
          <w:color w:val="000000" w:themeColor="text1"/>
        </w:rPr>
        <w:t>).</w:t>
      </w:r>
    </w:p>
    <w:p w14:paraId="562DD1FC" w14:textId="77777777" w:rsidR="001D5077" w:rsidRPr="00C777FB" w:rsidRDefault="001D5077" w:rsidP="00D86461">
      <w:pPr>
        <w:pStyle w:val="Body"/>
        <w:spacing w:after="0"/>
        <w:rPr>
          <w:rFonts w:ascii="Arial" w:hAnsi="Arial" w:cs="Arial"/>
          <w:color w:val="000000" w:themeColor="text1"/>
        </w:rPr>
      </w:pPr>
    </w:p>
    <w:p w14:paraId="36DD878A" w14:textId="77777777" w:rsidR="00AE08C6" w:rsidRPr="00C777FB" w:rsidRDefault="00BA3775" w:rsidP="00AE08C6">
      <w:pPr>
        <w:jc w:val="both"/>
        <w:rPr>
          <w:rFonts w:ascii="Arial" w:hAnsi="Arial" w:cs="Arial"/>
          <w:b/>
          <w:color w:val="000000" w:themeColor="text1"/>
          <w:szCs w:val="24"/>
        </w:rPr>
      </w:pPr>
      <w:r>
        <w:rPr>
          <w:rFonts w:ascii="Arial" w:hAnsi="Arial" w:cs="Arial"/>
          <w:b/>
          <w:color w:val="000000" w:themeColor="text1"/>
          <w:szCs w:val="24"/>
        </w:rPr>
        <w:lastRenderedPageBreak/>
        <w:t>Table 3</w:t>
      </w:r>
      <w:r w:rsidR="00AE08C6" w:rsidRPr="00C777FB">
        <w:rPr>
          <w:rFonts w:ascii="Arial" w:hAnsi="Arial" w:cs="Arial"/>
          <w:b/>
          <w:color w:val="000000" w:themeColor="text1"/>
          <w:szCs w:val="24"/>
        </w:rPr>
        <w:t>.</w:t>
      </w:r>
      <w:r w:rsidR="00AE08C6" w:rsidRPr="00C777FB">
        <w:rPr>
          <w:rFonts w:ascii="Arial" w:hAnsi="Arial" w:cs="Arial"/>
          <w:b/>
          <w:color w:val="000000" w:themeColor="text1"/>
          <w:szCs w:val="24"/>
        </w:rPr>
        <w:tab/>
        <w:t>Comparison of Neutrophil-Lymphocyte Ratio, Platelet–Neutrophil Ratio, Platelet–Lymphocyte Ratio and Erythrocyte Sedimentation Rate in Male/Female Diabetics with Male/Female Healthy Controls</w:t>
      </w:r>
    </w:p>
    <w:tbl>
      <w:tblPr>
        <w:tblStyle w:val="ListTable6Colorful"/>
        <w:tblpPr w:leftFromText="180" w:rightFromText="180" w:vertAnchor="text" w:horzAnchor="margin" w:tblpY="17"/>
        <w:tblW w:w="9868" w:type="dxa"/>
        <w:tblLook w:val="04A0" w:firstRow="1" w:lastRow="0" w:firstColumn="1" w:lastColumn="0" w:noHBand="0" w:noVBand="1"/>
      </w:tblPr>
      <w:tblGrid>
        <w:gridCol w:w="1110"/>
        <w:gridCol w:w="1725"/>
        <w:gridCol w:w="1701"/>
        <w:gridCol w:w="1083"/>
        <w:gridCol w:w="1658"/>
        <w:gridCol w:w="1568"/>
        <w:gridCol w:w="1023"/>
      </w:tblGrid>
      <w:tr w:rsidR="003270F3" w:rsidRPr="00C777FB" w14:paraId="0F8CC640" w14:textId="77777777" w:rsidTr="003270F3">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10" w:type="dxa"/>
            <w:vMerge w:val="restart"/>
            <w:tcBorders>
              <w:top w:val="single" w:sz="4" w:space="0" w:color="000000" w:themeColor="text1"/>
              <w:left w:val="nil"/>
              <w:bottom w:val="single" w:sz="4" w:space="0" w:color="auto"/>
              <w:right w:val="nil"/>
            </w:tcBorders>
            <w:shd w:val="clear" w:color="auto" w:fill="auto"/>
            <w:hideMark/>
          </w:tcPr>
          <w:p w14:paraId="6BA58E8C" w14:textId="77777777" w:rsidR="003270F3" w:rsidRPr="00C777FB" w:rsidRDefault="003270F3" w:rsidP="003270F3">
            <w:pPr>
              <w:jc w:val="both"/>
              <w:rPr>
                <w:rFonts w:ascii="Arial" w:hAnsi="Arial" w:cs="Arial"/>
              </w:rPr>
            </w:pPr>
            <w:r w:rsidRPr="00C777FB">
              <w:rPr>
                <w:rFonts w:ascii="Arial" w:hAnsi="Arial" w:cs="Arial"/>
              </w:rPr>
              <w:t>Variable name</w:t>
            </w:r>
          </w:p>
        </w:tc>
        <w:tc>
          <w:tcPr>
            <w:tcW w:w="3426" w:type="dxa"/>
            <w:gridSpan w:val="2"/>
            <w:tcBorders>
              <w:top w:val="single" w:sz="4" w:space="0" w:color="000000" w:themeColor="text1"/>
              <w:left w:val="nil"/>
              <w:right w:val="nil"/>
            </w:tcBorders>
            <w:shd w:val="clear" w:color="auto" w:fill="auto"/>
            <w:hideMark/>
          </w:tcPr>
          <w:p w14:paraId="495A93C2"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Male  (Mean ± SD)</w:t>
            </w:r>
          </w:p>
        </w:tc>
        <w:tc>
          <w:tcPr>
            <w:tcW w:w="1083" w:type="dxa"/>
            <w:vMerge w:val="restart"/>
            <w:tcBorders>
              <w:top w:val="single" w:sz="4" w:space="0" w:color="000000" w:themeColor="text1"/>
              <w:left w:val="nil"/>
              <w:bottom w:val="single" w:sz="4" w:space="0" w:color="auto"/>
              <w:right w:val="nil"/>
            </w:tcBorders>
            <w:shd w:val="clear" w:color="auto" w:fill="auto"/>
            <w:hideMark/>
          </w:tcPr>
          <w:p w14:paraId="32E35FE8"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3226" w:type="dxa"/>
            <w:gridSpan w:val="2"/>
            <w:tcBorders>
              <w:top w:val="single" w:sz="4" w:space="0" w:color="000000" w:themeColor="text1"/>
              <w:left w:val="nil"/>
              <w:right w:val="nil"/>
            </w:tcBorders>
            <w:shd w:val="clear" w:color="auto" w:fill="auto"/>
            <w:hideMark/>
          </w:tcPr>
          <w:p w14:paraId="57E3065F"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Female  (Mean ± SD)</w:t>
            </w:r>
          </w:p>
        </w:tc>
        <w:tc>
          <w:tcPr>
            <w:tcW w:w="1023" w:type="dxa"/>
            <w:vMerge w:val="restart"/>
            <w:tcBorders>
              <w:top w:val="single" w:sz="4" w:space="0" w:color="000000" w:themeColor="text1"/>
              <w:left w:val="nil"/>
              <w:bottom w:val="single" w:sz="4" w:space="0" w:color="auto"/>
              <w:right w:val="nil"/>
            </w:tcBorders>
            <w:shd w:val="clear" w:color="auto" w:fill="auto"/>
            <w:hideMark/>
          </w:tcPr>
          <w:p w14:paraId="3B78421A"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r>
      <w:tr w:rsidR="003270F3" w:rsidRPr="00C777FB" w14:paraId="3EFD8FB7" w14:textId="77777777" w:rsidTr="003270F3">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0000" w:themeColor="text1"/>
              <w:left w:val="nil"/>
              <w:bottom w:val="single" w:sz="4" w:space="0" w:color="auto"/>
              <w:right w:val="nil"/>
            </w:tcBorders>
            <w:shd w:val="clear" w:color="auto" w:fill="auto"/>
            <w:vAlign w:val="center"/>
            <w:hideMark/>
          </w:tcPr>
          <w:p w14:paraId="269E40D2" w14:textId="77777777" w:rsidR="003270F3" w:rsidRPr="00C777FB" w:rsidRDefault="003270F3" w:rsidP="003270F3">
            <w:pPr>
              <w:jc w:val="both"/>
              <w:rPr>
                <w:rFonts w:ascii="Arial" w:hAnsi="Arial" w:cs="Arial"/>
              </w:rPr>
            </w:pPr>
          </w:p>
        </w:tc>
        <w:tc>
          <w:tcPr>
            <w:tcW w:w="1725" w:type="dxa"/>
            <w:tcBorders>
              <w:top w:val="nil"/>
              <w:left w:val="nil"/>
              <w:bottom w:val="single" w:sz="4" w:space="0" w:color="auto"/>
              <w:right w:val="nil"/>
            </w:tcBorders>
            <w:shd w:val="clear" w:color="auto" w:fill="auto"/>
            <w:hideMark/>
          </w:tcPr>
          <w:p w14:paraId="20297B47"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Diabetic    (n=29)</w:t>
            </w:r>
          </w:p>
        </w:tc>
        <w:tc>
          <w:tcPr>
            <w:tcW w:w="1701" w:type="dxa"/>
            <w:tcBorders>
              <w:top w:val="nil"/>
              <w:left w:val="nil"/>
              <w:bottom w:val="single" w:sz="4" w:space="0" w:color="auto"/>
              <w:right w:val="nil"/>
            </w:tcBorders>
            <w:shd w:val="clear" w:color="auto" w:fill="auto"/>
            <w:hideMark/>
          </w:tcPr>
          <w:p w14:paraId="726B151A"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Non-diabetic (n=29)</w:t>
            </w:r>
          </w:p>
        </w:tc>
        <w:tc>
          <w:tcPr>
            <w:tcW w:w="1083" w:type="dxa"/>
            <w:vMerge/>
            <w:tcBorders>
              <w:top w:val="single" w:sz="4" w:space="0" w:color="000000" w:themeColor="text1"/>
              <w:left w:val="nil"/>
              <w:bottom w:val="single" w:sz="4" w:space="0" w:color="auto"/>
              <w:right w:val="nil"/>
            </w:tcBorders>
            <w:shd w:val="clear" w:color="auto" w:fill="auto"/>
            <w:vAlign w:val="center"/>
            <w:hideMark/>
          </w:tcPr>
          <w:p w14:paraId="11157D23"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658" w:type="dxa"/>
            <w:tcBorders>
              <w:top w:val="nil"/>
              <w:left w:val="nil"/>
              <w:bottom w:val="single" w:sz="4" w:space="0" w:color="auto"/>
              <w:right w:val="nil"/>
            </w:tcBorders>
            <w:shd w:val="clear" w:color="auto" w:fill="auto"/>
            <w:hideMark/>
          </w:tcPr>
          <w:p w14:paraId="006E5068"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 xml:space="preserve">Diabetic </w:t>
            </w:r>
          </w:p>
          <w:p w14:paraId="230F4B1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(n=41)</w:t>
            </w:r>
          </w:p>
        </w:tc>
        <w:tc>
          <w:tcPr>
            <w:tcW w:w="1568" w:type="dxa"/>
            <w:tcBorders>
              <w:top w:val="nil"/>
              <w:left w:val="nil"/>
              <w:bottom w:val="single" w:sz="4" w:space="0" w:color="auto"/>
              <w:right w:val="nil"/>
            </w:tcBorders>
            <w:shd w:val="clear" w:color="auto" w:fill="auto"/>
            <w:hideMark/>
          </w:tcPr>
          <w:p w14:paraId="1CC0C318"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Non-diabetic (n=41)</w:t>
            </w:r>
          </w:p>
        </w:tc>
        <w:tc>
          <w:tcPr>
            <w:tcW w:w="1023" w:type="dxa"/>
            <w:vMerge/>
            <w:tcBorders>
              <w:top w:val="single" w:sz="4" w:space="0" w:color="000000" w:themeColor="text1"/>
              <w:left w:val="nil"/>
              <w:bottom w:val="single" w:sz="4" w:space="0" w:color="auto"/>
              <w:right w:val="nil"/>
            </w:tcBorders>
            <w:shd w:val="clear" w:color="auto" w:fill="auto"/>
            <w:vAlign w:val="center"/>
            <w:hideMark/>
          </w:tcPr>
          <w:p w14:paraId="2A0939DD"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3270F3" w:rsidRPr="00C777FB" w14:paraId="7C1572B7" w14:textId="77777777" w:rsidTr="003270F3">
        <w:tc>
          <w:tcPr>
            <w:cnfStyle w:val="001000000000" w:firstRow="0" w:lastRow="0" w:firstColumn="1" w:lastColumn="0" w:oddVBand="0" w:evenVBand="0" w:oddHBand="0" w:evenHBand="0" w:firstRowFirstColumn="0" w:firstRowLastColumn="0" w:lastRowFirstColumn="0" w:lastRowLastColumn="0"/>
            <w:tcW w:w="1110" w:type="dxa"/>
            <w:tcBorders>
              <w:top w:val="single" w:sz="4" w:space="0" w:color="auto"/>
              <w:left w:val="nil"/>
              <w:bottom w:val="nil"/>
              <w:right w:val="nil"/>
            </w:tcBorders>
            <w:shd w:val="clear" w:color="auto" w:fill="auto"/>
            <w:hideMark/>
          </w:tcPr>
          <w:p w14:paraId="207F390F" w14:textId="77777777" w:rsidR="003270F3" w:rsidRPr="00C777FB" w:rsidRDefault="003270F3" w:rsidP="003270F3">
            <w:pPr>
              <w:spacing w:line="480" w:lineRule="auto"/>
              <w:jc w:val="both"/>
              <w:rPr>
                <w:rFonts w:ascii="Arial" w:hAnsi="Arial" w:cs="Arial"/>
              </w:rPr>
            </w:pPr>
            <w:r w:rsidRPr="00C777FB">
              <w:rPr>
                <w:rFonts w:ascii="Arial" w:hAnsi="Arial" w:cs="Arial"/>
              </w:rPr>
              <w:t>NLR</w:t>
            </w:r>
          </w:p>
        </w:tc>
        <w:tc>
          <w:tcPr>
            <w:tcW w:w="1725" w:type="dxa"/>
            <w:tcBorders>
              <w:top w:val="single" w:sz="4" w:space="0" w:color="auto"/>
              <w:left w:val="nil"/>
              <w:bottom w:val="nil"/>
              <w:right w:val="nil"/>
            </w:tcBorders>
            <w:shd w:val="clear" w:color="auto" w:fill="auto"/>
            <w:hideMark/>
          </w:tcPr>
          <w:p w14:paraId="4BBCC0E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1.380 ± 0.6359</w:t>
            </w:r>
          </w:p>
        </w:tc>
        <w:tc>
          <w:tcPr>
            <w:tcW w:w="1701" w:type="dxa"/>
            <w:tcBorders>
              <w:top w:val="single" w:sz="4" w:space="0" w:color="auto"/>
              <w:left w:val="nil"/>
              <w:bottom w:val="nil"/>
              <w:right w:val="nil"/>
            </w:tcBorders>
            <w:shd w:val="clear" w:color="auto" w:fill="auto"/>
            <w:hideMark/>
          </w:tcPr>
          <w:p w14:paraId="234035B5"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0.9586 ± 0.3713</w:t>
            </w:r>
          </w:p>
        </w:tc>
        <w:tc>
          <w:tcPr>
            <w:tcW w:w="1083" w:type="dxa"/>
            <w:tcBorders>
              <w:top w:val="single" w:sz="4" w:space="0" w:color="auto"/>
              <w:left w:val="nil"/>
              <w:bottom w:val="nil"/>
              <w:right w:val="nil"/>
            </w:tcBorders>
            <w:shd w:val="clear" w:color="auto" w:fill="auto"/>
            <w:hideMark/>
          </w:tcPr>
          <w:p w14:paraId="71591C8B"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0.0036*</w:t>
            </w:r>
          </w:p>
        </w:tc>
        <w:tc>
          <w:tcPr>
            <w:tcW w:w="1658" w:type="dxa"/>
            <w:tcBorders>
              <w:top w:val="single" w:sz="4" w:space="0" w:color="auto"/>
              <w:left w:val="nil"/>
              <w:bottom w:val="nil"/>
              <w:right w:val="nil"/>
            </w:tcBorders>
            <w:shd w:val="clear" w:color="auto" w:fill="auto"/>
            <w:hideMark/>
          </w:tcPr>
          <w:p w14:paraId="02A8FEC1"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1.225 ± 0.4305</w:t>
            </w:r>
          </w:p>
        </w:tc>
        <w:tc>
          <w:tcPr>
            <w:tcW w:w="1568" w:type="dxa"/>
            <w:tcBorders>
              <w:top w:val="single" w:sz="4" w:space="0" w:color="auto"/>
              <w:left w:val="nil"/>
              <w:bottom w:val="nil"/>
              <w:right w:val="nil"/>
            </w:tcBorders>
            <w:shd w:val="clear" w:color="auto" w:fill="auto"/>
            <w:hideMark/>
          </w:tcPr>
          <w:p w14:paraId="2841E823"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1.025 ± 0.4329</w:t>
            </w:r>
          </w:p>
        </w:tc>
        <w:tc>
          <w:tcPr>
            <w:tcW w:w="1023" w:type="dxa"/>
            <w:tcBorders>
              <w:top w:val="single" w:sz="4" w:space="0" w:color="auto"/>
              <w:left w:val="nil"/>
              <w:bottom w:val="nil"/>
              <w:right w:val="nil"/>
            </w:tcBorders>
            <w:shd w:val="clear" w:color="auto" w:fill="auto"/>
            <w:hideMark/>
          </w:tcPr>
          <w:p w14:paraId="03735F23"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0.0375*</w:t>
            </w:r>
          </w:p>
        </w:tc>
      </w:tr>
      <w:tr w:rsidR="003270F3" w:rsidRPr="00C777FB" w14:paraId="0821AB2A" w14:textId="77777777" w:rsidTr="0032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right w:val="nil"/>
            </w:tcBorders>
            <w:shd w:val="clear" w:color="auto" w:fill="auto"/>
            <w:hideMark/>
          </w:tcPr>
          <w:p w14:paraId="5DDECEBD" w14:textId="77777777" w:rsidR="003270F3" w:rsidRPr="00C777FB" w:rsidRDefault="003270F3" w:rsidP="003270F3">
            <w:pPr>
              <w:spacing w:line="480" w:lineRule="auto"/>
              <w:jc w:val="both"/>
              <w:rPr>
                <w:rFonts w:ascii="Arial" w:hAnsi="Arial" w:cs="Arial"/>
              </w:rPr>
            </w:pPr>
            <w:r w:rsidRPr="00C777FB">
              <w:rPr>
                <w:rFonts w:ascii="Arial" w:hAnsi="Arial" w:cs="Arial"/>
              </w:rPr>
              <w:t>PNR</w:t>
            </w:r>
          </w:p>
        </w:tc>
        <w:tc>
          <w:tcPr>
            <w:tcW w:w="1725" w:type="dxa"/>
            <w:tcBorders>
              <w:top w:val="nil"/>
              <w:left w:val="nil"/>
              <w:bottom w:val="nil"/>
              <w:right w:val="nil"/>
            </w:tcBorders>
            <w:shd w:val="clear" w:color="auto" w:fill="auto"/>
            <w:hideMark/>
          </w:tcPr>
          <w:p w14:paraId="47AE1708"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92.85 ± 43.79</w:t>
            </w:r>
          </w:p>
        </w:tc>
        <w:tc>
          <w:tcPr>
            <w:tcW w:w="1701" w:type="dxa"/>
            <w:tcBorders>
              <w:top w:val="nil"/>
              <w:left w:val="nil"/>
              <w:bottom w:val="nil"/>
              <w:right w:val="nil"/>
            </w:tcBorders>
            <w:shd w:val="clear" w:color="auto" w:fill="auto"/>
            <w:hideMark/>
          </w:tcPr>
          <w:p w14:paraId="7CB656BC"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145.8 ± 52.27</w:t>
            </w:r>
          </w:p>
        </w:tc>
        <w:tc>
          <w:tcPr>
            <w:tcW w:w="1083" w:type="dxa"/>
            <w:tcBorders>
              <w:top w:val="nil"/>
              <w:left w:val="nil"/>
              <w:bottom w:val="nil"/>
              <w:right w:val="nil"/>
            </w:tcBorders>
            <w:shd w:val="clear" w:color="auto" w:fill="auto"/>
            <w:hideMark/>
          </w:tcPr>
          <w:p w14:paraId="7A2A596A"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0.0001*</w:t>
            </w:r>
          </w:p>
        </w:tc>
        <w:tc>
          <w:tcPr>
            <w:tcW w:w="1658" w:type="dxa"/>
            <w:tcBorders>
              <w:top w:val="nil"/>
              <w:left w:val="nil"/>
              <w:bottom w:val="nil"/>
              <w:right w:val="nil"/>
            </w:tcBorders>
            <w:shd w:val="clear" w:color="auto" w:fill="auto"/>
            <w:hideMark/>
          </w:tcPr>
          <w:p w14:paraId="45B51FBC"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104.6 ± 33.59</w:t>
            </w:r>
          </w:p>
        </w:tc>
        <w:tc>
          <w:tcPr>
            <w:tcW w:w="1568" w:type="dxa"/>
            <w:tcBorders>
              <w:top w:val="nil"/>
              <w:left w:val="nil"/>
              <w:bottom w:val="nil"/>
              <w:right w:val="nil"/>
            </w:tcBorders>
            <w:shd w:val="clear" w:color="auto" w:fill="auto"/>
            <w:hideMark/>
          </w:tcPr>
          <w:p w14:paraId="508F3C3F"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176.4 ± 71.14</w:t>
            </w:r>
          </w:p>
        </w:tc>
        <w:tc>
          <w:tcPr>
            <w:tcW w:w="1023" w:type="dxa"/>
            <w:tcBorders>
              <w:top w:val="nil"/>
              <w:left w:val="nil"/>
              <w:bottom w:val="nil"/>
              <w:right w:val="nil"/>
            </w:tcBorders>
            <w:shd w:val="clear" w:color="auto" w:fill="auto"/>
            <w:hideMark/>
          </w:tcPr>
          <w:p w14:paraId="22072BA2"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&lt;0.0001*</w:t>
            </w:r>
          </w:p>
        </w:tc>
      </w:tr>
      <w:tr w:rsidR="003270F3" w:rsidRPr="00C777FB" w14:paraId="051F9603" w14:textId="77777777" w:rsidTr="003270F3">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right w:val="nil"/>
            </w:tcBorders>
            <w:shd w:val="clear" w:color="auto" w:fill="auto"/>
            <w:hideMark/>
          </w:tcPr>
          <w:p w14:paraId="0EB01E69" w14:textId="77777777" w:rsidR="003270F3" w:rsidRPr="00C777FB" w:rsidRDefault="003270F3" w:rsidP="003270F3">
            <w:pPr>
              <w:spacing w:line="480" w:lineRule="auto"/>
              <w:jc w:val="both"/>
              <w:rPr>
                <w:rFonts w:ascii="Arial" w:hAnsi="Arial" w:cs="Arial"/>
              </w:rPr>
            </w:pPr>
            <w:r w:rsidRPr="00C777FB">
              <w:rPr>
                <w:rFonts w:ascii="Arial" w:hAnsi="Arial" w:cs="Arial"/>
              </w:rPr>
              <w:t>PLR</w:t>
            </w:r>
          </w:p>
        </w:tc>
        <w:tc>
          <w:tcPr>
            <w:tcW w:w="1725" w:type="dxa"/>
            <w:tcBorders>
              <w:top w:val="nil"/>
              <w:left w:val="nil"/>
              <w:bottom w:val="nil"/>
              <w:right w:val="nil"/>
            </w:tcBorders>
            <w:shd w:val="clear" w:color="auto" w:fill="auto"/>
            <w:hideMark/>
          </w:tcPr>
          <w:p w14:paraId="158B65CF"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109.4 ± 34.44</w:t>
            </w:r>
          </w:p>
        </w:tc>
        <w:tc>
          <w:tcPr>
            <w:tcW w:w="1701" w:type="dxa"/>
            <w:tcBorders>
              <w:top w:val="nil"/>
              <w:left w:val="nil"/>
              <w:bottom w:val="nil"/>
              <w:right w:val="nil"/>
            </w:tcBorders>
            <w:shd w:val="clear" w:color="auto" w:fill="auto"/>
            <w:hideMark/>
          </w:tcPr>
          <w:p w14:paraId="1FCD6A8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126.8 ± 38.19</w:t>
            </w:r>
          </w:p>
        </w:tc>
        <w:tc>
          <w:tcPr>
            <w:tcW w:w="1083" w:type="dxa"/>
            <w:tcBorders>
              <w:top w:val="nil"/>
              <w:left w:val="nil"/>
              <w:bottom w:val="nil"/>
              <w:right w:val="nil"/>
            </w:tcBorders>
            <w:shd w:val="clear" w:color="auto" w:fill="auto"/>
            <w:hideMark/>
          </w:tcPr>
          <w:p w14:paraId="267B8219"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0.0741</w:t>
            </w:r>
          </w:p>
        </w:tc>
        <w:tc>
          <w:tcPr>
            <w:tcW w:w="1658" w:type="dxa"/>
            <w:tcBorders>
              <w:top w:val="nil"/>
              <w:left w:val="nil"/>
              <w:bottom w:val="nil"/>
              <w:right w:val="nil"/>
            </w:tcBorders>
            <w:shd w:val="clear" w:color="auto" w:fill="auto"/>
            <w:hideMark/>
          </w:tcPr>
          <w:p w14:paraId="6B3ACB8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122.2 ± 43.88</w:t>
            </w:r>
          </w:p>
        </w:tc>
        <w:tc>
          <w:tcPr>
            <w:tcW w:w="1568" w:type="dxa"/>
            <w:tcBorders>
              <w:top w:val="nil"/>
              <w:left w:val="nil"/>
              <w:bottom w:val="nil"/>
              <w:right w:val="nil"/>
            </w:tcBorders>
            <w:shd w:val="clear" w:color="auto" w:fill="auto"/>
            <w:hideMark/>
          </w:tcPr>
          <w:p w14:paraId="499DE636"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168.2 ± 63.52</w:t>
            </w:r>
          </w:p>
        </w:tc>
        <w:tc>
          <w:tcPr>
            <w:tcW w:w="1023" w:type="dxa"/>
            <w:tcBorders>
              <w:top w:val="nil"/>
              <w:left w:val="nil"/>
              <w:bottom w:val="nil"/>
              <w:right w:val="nil"/>
            </w:tcBorders>
            <w:shd w:val="clear" w:color="auto" w:fill="auto"/>
            <w:hideMark/>
          </w:tcPr>
          <w:p w14:paraId="49957112"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0.0003*</w:t>
            </w:r>
          </w:p>
        </w:tc>
      </w:tr>
      <w:tr w:rsidR="003270F3" w:rsidRPr="00C777FB" w14:paraId="6FF037D4" w14:textId="77777777" w:rsidTr="0032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single" w:sz="4" w:space="0" w:color="000000" w:themeColor="text1"/>
              <w:right w:val="nil"/>
            </w:tcBorders>
            <w:shd w:val="clear" w:color="auto" w:fill="auto"/>
            <w:hideMark/>
          </w:tcPr>
          <w:p w14:paraId="27CA95BB" w14:textId="77777777" w:rsidR="003270F3" w:rsidRPr="00C777FB" w:rsidRDefault="003270F3" w:rsidP="003270F3">
            <w:pPr>
              <w:jc w:val="both"/>
              <w:rPr>
                <w:rFonts w:ascii="Arial" w:hAnsi="Arial" w:cs="Arial"/>
              </w:rPr>
            </w:pPr>
            <w:r w:rsidRPr="00C777FB">
              <w:rPr>
                <w:rFonts w:ascii="Arial" w:hAnsi="Arial" w:cs="Arial"/>
              </w:rPr>
              <w:t>ESR</w:t>
            </w:r>
          </w:p>
        </w:tc>
        <w:tc>
          <w:tcPr>
            <w:tcW w:w="1725" w:type="dxa"/>
            <w:tcBorders>
              <w:top w:val="nil"/>
              <w:left w:val="nil"/>
              <w:bottom w:val="single" w:sz="4" w:space="0" w:color="000000" w:themeColor="text1"/>
              <w:right w:val="nil"/>
            </w:tcBorders>
            <w:shd w:val="clear" w:color="auto" w:fill="auto"/>
          </w:tcPr>
          <w:p w14:paraId="21DEF9F5"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20.45 ± 18.20</w:t>
            </w:r>
          </w:p>
          <w:p w14:paraId="0227E960"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Borders>
              <w:top w:val="nil"/>
              <w:left w:val="nil"/>
              <w:bottom w:val="single" w:sz="4" w:space="0" w:color="000000" w:themeColor="text1"/>
              <w:right w:val="nil"/>
            </w:tcBorders>
            <w:shd w:val="clear" w:color="auto" w:fill="auto"/>
            <w:hideMark/>
          </w:tcPr>
          <w:p w14:paraId="5030B24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9.571 ±</w:t>
            </w:r>
            <w:r w:rsidRPr="00C777FB">
              <w:rPr>
                <w:rFonts w:ascii="Arial" w:hAnsi="Arial" w:cs="Arial"/>
                <w:b/>
              </w:rPr>
              <w:t xml:space="preserve"> </w:t>
            </w:r>
            <w:r w:rsidRPr="00C777FB">
              <w:rPr>
                <w:rFonts w:ascii="Arial" w:hAnsi="Arial" w:cs="Arial"/>
              </w:rPr>
              <w:t>6.137</w:t>
            </w:r>
          </w:p>
        </w:tc>
        <w:tc>
          <w:tcPr>
            <w:tcW w:w="1083" w:type="dxa"/>
            <w:tcBorders>
              <w:top w:val="nil"/>
              <w:left w:val="nil"/>
              <w:bottom w:val="single" w:sz="4" w:space="0" w:color="000000" w:themeColor="text1"/>
              <w:right w:val="nil"/>
            </w:tcBorders>
            <w:shd w:val="clear" w:color="auto" w:fill="auto"/>
            <w:hideMark/>
          </w:tcPr>
          <w:p w14:paraId="77346D04"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0.0040*</w:t>
            </w:r>
          </w:p>
        </w:tc>
        <w:tc>
          <w:tcPr>
            <w:tcW w:w="1658" w:type="dxa"/>
            <w:tcBorders>
              <w:top w:val="nil"/>
              <w:left w:val="nil"/>
              <w:bottom w:val="single" w:sz="4" w:space="0" w:color="000000" w:themeColor="text1"/>
              <w:right w:val="nil"/>
            </w:tcBorders>
            <w:shd w:val="clear" w:color="auto" w:fill="auto"/>
            <w:hideMark/>
          </w:tcPr>
          <w:p w14:paraId="314722C6"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40.32 ± 32.73</w:t>
            </w:r>
          </w:p>
        </w:tc>
        <w:tc>
          <w:tcPr>
            <w:tcW w:w="1568" w:type="dxa"/>
            <w:tcBorders>
              <w:top w:val="nil"/>
              <w:left w:val="nil"/>
              <w:bottom w:val="single" w:sz="4" w:space="0" w:color="000000" w:themeColor="text1"/>
              <w:right w:val="nil"/>
            </w:tcBorders>
            <w:shd w:val="clear" w:color="auto" w:fill="auto"/>
            <w:hideMark/>
          </w:tcPr>
          <w:p w14:paraId="110DC433"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17.12 ±</w:t>
            </w:r>
            <w:r w:rsidRPr="00C777FB">
              <w:rPr>
                <w:rFonts w:ascii="Arial" w:hAnsi="Arial" w:cs="Arial"/>
                <w:b/>
              </w:rPr>
              <w:t xml:space="preserve"> </w:t>
            </w:r>
            <w:r w:rsidRPr="00C777FB">
              <w:rPr>
                <w:rFonts w:ascii="Arial" w:hAnsi="Arial" w:cs="Arial"/>
              </w:rPr>
              <w:t>19.88</w:t>
            </w:r>
          </w:p>
        </w:tc>
        <w:tc>
          <w:tcPr>
            <w:tcW w:w="1023" w:type="dxa"/>
            <w:tcBorders>
              <w:top w:val="nil"/>
              <w:left w:val="nil"/>
              <w:bottom w:val="single" w:sz="4" w:space="0" w:color="000000" w:themeColor="text1"/>
              <w:right w:val="nil"/>
            </w:tcBorders>
            <w:shd w:val="clear" w:color="auto" w:fill="auto"/>
          </w:tcPr>
          <w:p w14:paraId="582C89D4"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0.0002*</w:t>
            </w:r>
          </w:p>
          <w:p w14:paraId="3FB077C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D9AA9BD" w14:textId="77777777" w:rsidR="00790ADA" w:rsidRPr="00C777FB" w:rsidRDefault="00790ADA" w:rsidP="00441B6F">
      <w:pPr>
        <w:pStyle w:val="Body"/>
        <w:spacing w:after="0"/>
        <w:rPr>
          <w:rFonts w:ascii="Arial" w:hAnsi="Arial" w:cs="Arial"/>
          <w:color w:val="000000" w:themeColor="text1"/>
        </w:rPr>
      </w:pPr>
    </w:p>
    <w:p w14:paraId="616E9CE3" w14:textId="77777777" w:rsidR="00AE08C6" w:rsidRPr="00C777FB" w:rsidRDefault="00AE08C6" w:rsidP="00AE08C6">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 NLR-Neutrophil-lymphocyte ratio, PNR-Platelet-neutrophil ratio, PLR-Platelet-lymphocyte ratio, ESR – Erythrocyte sedimentation rate</w:t>
      </w:r>
    </w:p>
    <w:p w14:paraId="6B859996" w14:textId="77777777" w:rsidR="000359A1" w:rsidRPr="00C777FB" w:rsidRDefault="000359A1" w:rsidP="00441B6F">
      <w:pPr>
        <w:pStyle w:val="Body"/>
        <w:spacing w:after="0"/>
        <w:rPr>
          <w:rFonts w:ascii="Arial" w:hAnsi="Arial" w:cs="Arial"/>
          <w:b/>
          <w:color w:val="000000" w:themeColor="text1"/>
          <w:u w:val="single"/>
        </w:rPr>
      </w:pPr>
    </w:p>
    <w:p w14:paraId="7F62099F" w14:textId="77777777" w:rsidR="00AE08C6" w:rsidRPr="00C777FB" w:rsidRDefault="00BA3775" w:rsidP="00441B6F">
      <w:pPr>
        <w:pStyle w:val="Body"/>
        <w:spacing w:after="0"/>
        <w:rPr>
          <w:rFonts w:ascii="Arial" w:hAnsi="Arial" w:cs="Arial"/>
          <w:b/>
          <w:color w:val="000000" w:themeColor="text1"/>
          <w:u w:val="single"/>
        </w:rPr>
      </w:pPr>
      <w:r>
        <w:rPr>
          <w:rFonts w:ascii="Arial" w:hAnsi="Arial" w:cs="Arial"/>
          <w:b/>
          <w:color w:val="000000" w:themeColor="text1"/>
          <w:u w:val="single"/>
        </w:rPr>
        <w:t>3.1.5</w:t>
      </w:r>
      <w:r w:rsidR="00F37074" w:rsidRPr="00C777FB">
        <w:rPr>
          <w:rFonts w:ascii="Arial" w:hAnsi="Arial" w:cs="Arial"/>
          <w:b/>
          <w:color w:val="000000" w:themeColor="text1"/>
          <w:u w:val="single"/>
        </w:rPr>
        <w:t xml:space="preserve"> Effects of Duration of Diabetes on Neutrophil-Lymphocyte Ratio, Platelet–Neutrophil Ratio, Platelet–Lymphocyte Ratio and Erythrocyte Sedimentation Rate</w:t>
      </w:r>
    </w:p>
    <w:p w14:paraId="6F181BF5" w14:textId="77777777" w:rsidR="00F37074" w:rsidRPr="00C777FB" w:rsidRDefault="00F37074" w:rsidP="00441B6F">
      <w:pPr>
        <w:pStyle w:val="Body"/>
        <w:spacing w:after="0"/>
        <w:rPr>
          <w:rFonts w:ascii="Arial" w:hAnsi="Arial" w:cs="Arial"/>
          <w:color w:val="000000" w:themeColor="text1"/>
          <w:szCs w:val="24"/>
        </w:rPr>
      </w:pPr>
      <w:r w:rsidRPr="00C777FB">
        <w:rPr>
          <w:rFonts w:ascii="Arial" w:hAnsi="Arial" w:cs="Arial"/>
          <w:color w:val="000000" w:themeColor="text1"/>
          <w:szCs w:val="24"/>
        </w:rPr>
        <w:t>The comparison of NLR, PNR, PLR, and ESR across different durations of diabetes among the diabetic subjects revealed that the observed differences were not st</w:t>
      </w:r>
      <w:r w:rsidR="00FA4DC6">
        <w:rPr>
          <w:rFonts w:ascii="Arial" w:hAnsi="Arial" w:cs="Arial"/>
          <w:color w:val="000000" w:themeColor="text1"/>
          <w:szCs w:val="24"/>
        </w:rPr>
        <w:t>atistically significant (Table 4</w:t>
      </w:r>
      <w:r w:rsidRPr="00C777FB">
        <w:rPr>
          <w:rFonts w:ascii="Arial" w:hAnsi="Arial" w:cs="Arial"/>
          <w:color w:val="000000" w:themeColor="text1"/>
          <w:szCs w:val="24"/>
        </w:rPr>
        <w:t>).</w:t>
      </w:r>
    </w:p>
    <w:p w14:paraId="0AF5884F" w14:textId="77777777" w:rsidR="00F37074" w:rsidRPr="00C777FB" w:rsidRDefault="00F37074" w:rsidP="00441B6F">
      <w:pPr>
        <w:pStyle w:val="Body"/>
        <w:spacing w:after="0"/>
        <w:rPr>
          <w:rFonts w:ascii="Arial" w:hAnsi="Arial" w:cs="Arial"/>
          <w:color w:val="000000" w:themeColor="text1"/>
          <w:szCs w:val="24"/>
        </w:rPr>
      </w:pPr>
    </w:p>
    <w:p w14:paraId="6FCB2FF3" w14:textId="77777777" w:rsidR="0022433D" w:rsidRDefault="0022433D" w:rsidP="00F37074">
      <w:pPr>
        <w:jc w:val="both"/>
        <w:rPr>
          <w:rFonts w:ascii="Arial" w:hAnsi="Arial" w:cs="Arial"/>
          <w:b/>
          <w:color w:val="000000" w:themeColor="text1"/>
        </w:rPr>
      </w:pPr>
    </w:p>
    <w:p w14:paraId="17B23294" w14:textId="77777777" w:rsidR="0022433D" w:rsidRDefault="0022433D" w:rsidP="00F37074">
      <w:pPr>
        <w:jc w:val="both"/>
        <w:rPr>
          <w:rFonts w:ascii="Arial" w:hAnsi="Arial" w:cs="Arial"/>
          <w:b/>
          <w:color w:val="000000" w:themeColor="text1"/>
        </w:rPr>
      </w:pPr>
    </w:p>
    <w:p w14:paraId="21B39ADA" w14:textId="77777777" w:rsidR="0022433D" w:rsidRDefault="0022433D" w:rsidP="00F37074">
      <w:pPr>
        <w:jc w:val="both"/>
        <w:rPr>
          <w:rFonts w:ascii="Arial" w:hAnsi="Arial" w:cs="Arial"/>
          <w:b/>
          <w:color w:val="000000" w:themeColor="text1"/>
        </w:rPr>
      </w:pPr>
    </w:p>
    <w:p w14:paraId="7A099473" w14:textId="77777777" w:rsidR="0022433D" w:rsidRDefault="0022433D" w:rsidP="00F37074">
      <w:pPr>
        <w:jc w:val="both"/>
        <w:rPr>
          <w:rFonts w:ascii="Arial" w:hAnsi="Arial" w:cs="Arial"/>
          <w:b/>
          <w:color w:val="000000" w:themeColor="text1"/>
        </w:rPr>
      </w:pPr>
    </w:p>
    <w:p w14:paraId="7745749A" w14:textId="77777777" w:rsidR="0022433D" w:rsidRDefault="0022433D" w:rsidP="00F37074">
      <w:pPr>
        <w:jc w:val="both"/>
        <w:rPr>
          <w:rFonts w:ascii="Arial" w:hAnsi="Arial" w:cs="Arial"/>
          <w:b/>
          <w:color w:val="000000" w:themeColor="text1"/>
        </w:rPr>
      </w:pPr>
    </w:p>
    <w:p w14:paraId="1BB08DD3" w14:textId="77777777" w:rsidR="0022433D" w:rsidRDefault="0022433D" w:rsidP="00F37074">
      <w:pPr>
        <w:jc w:val="both"/>
        <w:rPr>
          <w:rFonts w:ascii="Arial" w:hAnsi="Arial" w:cs="Arial"/>
          <w:b/>
          <w:color w:val="000000" w:themeColor="text1"/>
        </w:rPr>
      </w:pPr>
    </w:p>
    <w:p w14:paraId="0F2F4843" w14:textId="77777777" w:rsidR="0022433D" w:rsidRDefault="0022433D" w:rsidP="00F37074">
      <w:pPr>
        <w:jc w:val="both"/>
        <w:rPr>
          <w:rFonts w:ascii="Arial" w:hAnsi="Arial" w:cs="Arial"/>
          <w:b/>
          <w:color w:val="000000" w:themeColor="text1"/>
        </w:rPr>
      </w:pPr>
    </w:p>
    <w:p w14:paraId="2ADC5EC0" w14:textId="77777777" w:rsidR="0022433D" w:rsidRDefault="0022433D" w:rsidP="00F37074">
      <w:pPr>
        <w:jc w:val="both"/>
        <w:rPr>
          <w:rFonts w:ascii="Arial" w:hAnsi="Arial" w:cs="Arial"/>
          <w:b/>
          <w:color w:val="000000" w:themeColor="text1"/>
        </w:rPr>
      </w:pPr>
    </w:p>
    <w:p w14:paraId="1FCFD579" w14:textId="77777777" w:rsidR="0022433D" w:rsidRDefault="0022433D" w:rsidP="00F37074">
      <w:pPr>
        <w:jc w:val="both"/>
        <w:rPr>
          <w:rFonts w:ascii="Arial" w:hAnsi="Arial" w:cs="Arial"/>
          <w:b/>
          <w:color w:val="000000" w:themeColor="text1"/>
        </w:rPr>
      </w:pPr>
    </w:p>
    <w:p w14:paraId="7AD01EF3" w14:textId="77777777" w:rsidR="0022433D" w:rsidRDefault="0022433D" w:rsidP="00F37074">
      <w:pPr>
        <w:jc w:val="both"/>
        <w:rPr>
          <w:rFonts w:ascii="Arial" w:hAnsi="Arial" w:cs="Arial"/>
          <w:b/>
          <w:color w:val="000000" w:themeColor="text1"/>
        </w:rPr>
      </w:pPr>
    </w:p>
    <w:p w14:paraId="2D8F3194" w14:textId="77777777" w:rsidR="0022433D" w:rsidRDefault="0022433D" w:rsidP="00F37074">
      <w:pPr>
        <w:jc w:val="both"/>
        <w:rPr>
          <w:rFonts w:ascii="Arial" w:hAnsi="Arial" w:cs="Arial"/>
          <w:b/>
          <w:color w:val="000000" w:themeColor="text1"/>
        </w:rPr>
      </w:pPr>
    </w:p>
    <w:p w14:paraId="3BA6D25F" w14:textId="77777777" w:rsidR="0022433D" w:rsidRDefault="0022433D" w:rsidP="00F37074">
      <w:pPr>
        <w:jc w:val="both"/>
        <w:rPr>
          <w:rFonts w:ascii="Arial" w:hAnsi="Arial" w:cs="Arial"/>
          <w:b/>
          <w:color w:val="000000" w:themeColor="text1"/>
        </w:rPr>
      </w:pPr>
    </w:p>
    <w:p w14:paraId="202F1215" w14:textId="77777777" w:rsidR="0022433D" w:rsidRDefault="0022433D" w:rsidP="00F37074">
      <w:pPr>
        <w:jc w:val="both"/>
        <w:rPr>
          <w:rFonts w:ascii="Arial" w:hAnsi="Arial" w:cs="Arial"/>
          <w:b/>
          <w:color w:val="000000" w:themeColor="text1"/>
        </w:rPr>
      </w:pPr>
    </w:p>
    <w:p w14:paraId="087AED62" w14:textId="1505F25A" w:rsidR="00F37074" w:rsidRPr="00C777FB" w:rsidRDefault="00FA4DC6" w:rsidP="00F37074">
      <w:pPr>
        <w:jc w:val="both"/>
        <w:rPr>
          <w:rFonts w:ascii="Arial" w:hAnsi="Arial" w:cs="Arial"/>
          <w:b/>
          <w:color w:val="000000" w:themeColor="text1"/>
        </w:rPr>
      </w:pPr>
      <w:r>
        <w:rPr>
          <w:rFonts w:ascii="Arial" w:hAnsi="Arial" w:cs="Arial"/>
          <w:b/>
          <w:color w:val="000000" w:themeColor="text1"/>
        </w:rPr>
        <w:t>Table 4</w:t>
      </w:r>
      <w:r w:rsidR="00F37074" w:rsidRPr="00C777FB">
        <w:rPr>
          <w:rFonts w:ascii="Arial" w:hAnsi="Arial" w:cs="Arial"/>
          <w:b/>
          <w:color w:val="000000" w:themeColor="text1"/>
        </w:rPr>
        <w:t>.</w:t>
      </w:r>
      <w:r w:rsidR="00F37074" w:rsidRPr="00C777FB">
        <w:rPr>
          <w:rFonts w:ascii="Arial" w:hAnsi="Arial" w:cs="Arial"/>
          <w:b/>
          <w:color w:val="000000" w:themeColor="text1"/>
        </w:rPr>
        <w:tab/>
        <w:t>Effects of Duration of Diabetes on Neutrophil-Lymphocyte Ratio, Platelet–Neutrophil Ratio, Platelet–Lymphocyte Ratio and Erythrocyte Sedimentation Rate</w:t>
      </w:r>
    </w:p>
    <w:p w14:paraId="40DB6048" w14:textId="77777777" w:rsidR="00F37074" w:rsidRPr="00C777FB" w:rsidRDefault="00F37074" w:rsidP="00441B6F">
      <w:pPr>
        <w:pStyle w:val="Body"/>
        <w:spacing w:after="0"/>
        <w:rPr>
          <w:rFonts w:ascii="Arial" w:hAnsi="Arial" w:cs="Arial"/>
          <w:color w:val="000000" w:themeColor="text1"/>
          <w:szCs w:val="24"/>
        </w:rPr>
      </w:pPr>
    </w:p>
    <w:tbl>
      <w:tblPr>
        <w:tblStyle w:val="ListTable6Colorful"/>
        <w:tblpPr w:leftFromText="180" w:rightFromText="180" w:vertAnchor="page" w:horzAnchor="margin" w:tblpY="2295"/>
        <w:tblW w:w="9498" w:type="dxa"/>
        <w:tblLayout w:type="fixed"/>
        <w:tblLook w:val="04A0" w:firstRow="1" w:lastRow="0" w:firstColumn="1" w:lastColumn="0" w:noHBand="0" w:noVBand="1"/>
      </w:tblPr>
      <w:tblGrid>
        <w:gridCol w:w="1418"/>
        <w:gridCol w:w="1700"/>
        <w:gridCol w:w="1700"/>
        <w:gridCol w:w="1561"/>
        <w:gridCol w:w="992"/>
        <w:gridCol w:w="993"/>
        <w:gridCol w:w="1134"/>
      </w:tblGrid>
      <w:tr w:rsidR="0022433D" w:rsidRPr="00C777FB" w14:paraId="1E15A67A" w14:textId="77777777" w:rsidTr="0022433D">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000000" w:themeColor="text1"/>
              <w:left w:val="nil"/>
              <w:bottom w:val="single" w:sz="4" w:space="0" w:color="auto"/>
              <w:right w:val="nil"/>
            </w:tcBorders>
            <w:shd w:val="clear" w:color="auto" w:fill="auto"/>
            <w:hideMark/>
          </w:tcPr>
          <w:p w14:paraId="4338BE61" w14:textId="77777777" w:rsidR="0022433D" w:rsidRPr="00C777FB" w:rsidRDefault="0022433D" w:rsidP="0022433D">
            <w:pPr>
              <w:pStyle w:val="Body"/>
              <w:spacing w:after="0"/>
              <w:rPr>
                <w:rFonts w:ascii="Arial" w:hAnsi="Arial" w:cs="Arial"/>
              </w:rPr>
            </w:pPr>
            <w:r w:rsidRPr="00C777FB">
              <w:rPr>
                <w:rFonts w:ascii="Arial" w:hAnsi="Arial" w:cs="Arial"/>
              </w:rPr>
              <w:lastRenderedPageBreak/>
              <w:t>Parameters/</w:t>
            </w:r>
          </w:p>
          <w:p w14:paraId="72EC6960" w14:textId="77777777" w:rsidR="0022433D" w:rsidRPr="00C777FB" w:rsidRDefault="0022433D" w:rsidP="0022433D">
            <w:pPr>
              <w:pStyle w:val="Body"/>
              <w:spacing w:after="0"/>
              <w:rPr>
                <w:rFonts w:ascii="Arial" w:hAnsi="Arial" w:cs="Arial"/>
              </w:rPr>
            </w:pPr>
            <w:r w:rsidRPr="00C777FB">
              <w:rPr>
                <w:rFonts w:ascii="Arial" w:hAnsi="Arial" w:cs="Arial"/>
              </w:rPr>
              <w:t>Duration</w:t>
            </w:r>
          </w:p>
        </w:tc>
        <w:tc>
          <w:tcPr>
            <w:tcW w:w="1700" w:type="dxa"/>
            <w:tcBorders>
              <w:top w:val="single" w:sz="4" w:space="0" w:color="000000" w:themeColor="text1"/>
              <w:left w:val="nil"/>
              <w:right w:val="nil"/>
            </w:tcBorders>
            <w:shd w:val="clear" w:color="auto" w:fill="auto"/>
            <w:hideMark/>
          </w:tcPr>
          <w:p w14:paraId="7293756B"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1-5 (Yrs)</w:t>
            </w:r>
          </w:p>
          <w:p w14:paraId="1E0C794B"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(n=31)</w:t>
            </w:r>
          </w:p>
        </w:tc>
        <w:tc>
          <w:tcPr>
            <w:tcW w:w="1700" w:type="dxa"/>
            <w:tcBorders>
              <w:top w:val="single" w:sz="4" w:space="0" w:color="000000" w:themeColor="text1"/>
              <w:left w:val="nil"/>
              <w:right w:val="nil"/>
            </w:tcBorders>
            <w:shd w:val="clear" w:color="auto" w:fill="auto"/>
            <w:hideMark/>
          </w:tcPr>
          <w:p w14:paraId="5F95E99E"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6-10 (Yrs)</w:t>
            </w:r>
          </w:p>
          <w:p w14:paraId="15303528"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(n=16)</w:t>
            </w:r>
          </w:p>
        </w:tc>
        <w:tc>
          <w:tcPr>
            <w:tcW w:w="1561" w:type="dxa"/>
            <w:tcBorders>
              <w:top w:val="single" w:sz="4" w:space="0" w:color="000000" w:themeColor="text1"/>
              <w:left w:val="nil"/>
              <w:right w:val="nil"/>
            </w:tcBorders>
            <w:shd w:val="clear" w:color="auto" w:fill="auto"/>
            <w:hideMark/>
          </w:tcPr>
          <w:p w14:paraId="75740270"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 xml:space="preserve">&gt;10 (Yrs)  </w:t>
            </w:r>
          </w:p>
          <w:p w14:paraId="7E8E8AC1"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(n=23)</w:t>
            </w:r>
          </w:p>
        </w:tc>
        <w:tc>
          <w:tcPr>
            <w:tcW w:w="992" w:type="dxa"/>
            <w:vMerge w:val="restart"/>
            <w:tcBorders>
              <w:top w:val="single" w:sz="4" w:space="0" w:color="000000" w:themeColor="text1"/>
              <w:left w:val="nil"/>
              <w:bottom w:val="single" w:sz="4" w:space="0" w:color="auto"/>
              <w:right w:val="nil"/>
            </w:tcBorders>
            <w:shd w:val="clear" w:color="auto" w:fill="auto"/>
            <w:hideMark/>
          </w:tcPr>
          <w:p w14:paraId="3D6E08EC"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F value</w:t>
            </w:r>
          </w:p>
        </w:tc>
        <w:tc>
          <w:tcPr>
            <w:tcW w:w="993" w:type="dxa"/>
            <w:vMerge w:val="restart"/>
            <w:tcBorders>
              <w:top w:val="single" w:sz="4" w:space="0" w:color="000000" w:themeColor="text1"/>
              <w:left w:val="nil"/>
              <w:bottom w:val="single" w:sz="4" w:space="0" w:color="auto"/>
              <w:right w:val="nil"/>
            </w:tcBorders>
            <w:shd w:val="clear" w:color="auto" w:fill="auto"/>
            <w:hideMark/>
          </w:tcPr>
          <w:p w14:paraId="4159147C"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1173AF38" w14:textId="77777777" w:rsidR="0022433D" w:rsidRPr="00C777FB" w:rsidRDefault="0022433D" w:rsidP="0022433D">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Inference</w:t>
            </w:r>
          </w:p>
        </w:tc>
      </w:tr>
      <w:tr w:rsidR="0022433D" w:rsidRPr="00C777FB" w14:paraId="6DC2525E" w14:textId="77777777" w:rsidTr="0022433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000000" w:themeColor="text1"/>
              <w:left w:val="nil"/>
              <w:bottom w:val="single" w:sz="4" w:space="0" w:color="auto"/>
              <w:right w:val="nil"/>
            </w:tcBorders>
            <w:shd w:val="clear" w:color="auto" w:fill="auto"/>
            <w:vAlign w:val="center"/>
            <w:hideMark/>
          </w:tcPr>
          <w:p w14:paraId="3FA05376" w14:textId="77777777" w:rsidR="0022433D" w:rsidRPr="00C777FB" w:rsidRDefault="0022433D" w:rsidP="0022433D">
            <w:pPr>
              <w:pStyle w:val="Body"/>
              <w:rPr>
                <w:rFonts w:ascii="Arial" w:hAnsi="Arial" w:cs="Arial"/>
              </w:rPr>
            </w:pPr>
          </w:p>
        </w:tc>
        <w:tc>
          <w:tcPr>
            <w:tcW w:w="1700" w:type="dxa"/>
            <w:tcBorders>
              <w:top w:val="nil"/>
              <w:left w:val="nil"/>
              <w:bottom w:val="single" w:sz="4" w:space="0" w:color="auto"/>
              <w:right w:val="nil"/>
            </w:tcBorders>
            <w:shd w:val="clear" w:color="auto" w:fill="auto"/>
            <w:hideMark/>
          </w:tcPr>
          <w:p w14:paraId="04AEB81A"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700" w:type="dxa"/>
            <w:tcBorders>
              <w:top w:val="nil"/>
              <w:left w:val="nil"/>
              <w:bottom w:val="single" w:sz="4" w:space="0" w:color="auto"/>
              <w:right w:val="nil"/>
            </w:tcBorders>
            <w:shd w:val="clear" w:color="auto" w:fill="auto"/>
            <w:hideMark/>
          </w:tcPr>
          <w:p w14:paraId="3DD975F1"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561" w:type="dxa"/>
            <w:tcBorders>
              <w:top w:val="nil"/>
              <w:left w:val="nil"/>
              <w:bottom w:val="single" w:sz="4" w:space="0" w:color="auto"/>
              <w:right w:val="nil"/>
            </w:tcBorders>
            <w:shd w:val="clear" w:color="auto" w:fill="auto"/>
            <w:hideMark/>
          </w:tcPr>
          <w:p w14:paraId="5A8E76BD"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992" w:type="dxa"/>
            <w:vMerge/>
            <w:tcBorders>
              <w:top w:val="single" w:sz="4" w:space="0" w:color="000000" w:themeColor="text1"/>
              <w:left w:val="nil"/>
              <w:bottom w:val="single" w:sz="4" w:space="0" w:color="auto"/>
              <w:right w:val="nil"/>
            </w:tcBorders>
            <w:shd w:val="clear" w:color="auto" w:fill="auto"/>
            <w:vAlign w:val="center"/>
            <w:hideMark/>
          </w:tcPr>
          <w:p w14:paraId="266E28D9"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993" w:type="dxa"/>
            <w:vMerge/>
            <w:tcBorders>
              <w:top w:val="single" w:sz="4" w:space="0" w:color="000000" w:themeColor="text1"/>
              <w:left w:val="nil"/>
              <w:bottom w:val="single" w:sz="4" w:space="0" w:color="auto"/>
              <w:right w:val="nil"/>
            </w:tcBorders>
            <w:shd w:val="clear" w:color="auto" w:fill="auto"/>
            <w:vAlign w:val="center"/>
            <w:hideMark/>
          </w:tcPr>
          <w:p w14:paraId="6B21CDCB"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0AE0D119"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22433D" w:rsidRPr="00C777FB" w14:paraId="35EC0940" w14:textId="77777777" w:rsidTr="0022433D">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nil"/>
              <w:right w:val="nil"/>
            </w:tcBorders>
            <w:shd w:val="clear" w:color="auto" w:fill="auto"/>
            <w:hideMark/>
          </w:tcPr>
          <w:p w14:paraId="52DED962" w14:textId="77777777" w:rsidR="0022433D" w:rsidRPr="00C777FB" w:rsidRDefault="0022433D" w:rsidP="0022433D">
            <w:pPr>
              <w:pStyle w:val="Body"/>
              <w:rPr>
                <w:rFonts w:ascii="Arial" w:hAnsi="Arial" w:cs="Arial"/>
              </w:rPr>
            </w:pPr>
            <w:r w:rsidRPr="00C777FB">
              <w:rPr>
                <w:rFonts w:ascii="Arial" w:hAnsi="Arial" w:cs="Arial"/>
              </w:rPr>
              <w:t>NLR</w:t>
            </w:r>
          </w:p>
        </w:tc>
        <w:tc>
          <w:tcPr>
            <w:tcW w:w="1700" w:type="dxa"/>
            <w:tcBorders>
              <w:top w:val="single" w:sz="4" w:space="0" w:color="auto"/>
              <w:left w:val="nil"/>
              <w:bottom w:val="nil"/>
              <w:right w:val="nil"/>
            </w:tcBorders>
            <w:shd w:val="clear" w:color="auto" w:fill="auto"/>
            <w:hideMark/>
          </w:tcPr>
          <w:p w14:paraId="4A465A8B"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1.150 ± 0.4674</w:t>
            </w:r>
          </w:p>
        </w:tc>
        <w:tc>
          <w:tcPr>
            <w:tcW w:w="1700" w:type="dxa"/>
            <w:tcBorders>
              <w:top w:val="single" w:sz="4" w:space="0" w:color="auto"/>
              <w:left w:val="nil"/>
              <w:bottom w:val="nil"/>
              <w:right w:val="nil"/>
            </w:tcBorders>
            <w:shd w:val="clear" w:color="auto" w:fill="auto"/>
            <w:hideMark/>
          </w:tcPr>
          <w:p w14:paraId="080C6D74"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1.386 ±0.5184</w:t>
            </w:r>
          </w:p>
        </w:tc>
        <w:tc>
          <w:tcPr>
            <w:tcW w:w="1561" w:type="dxa"/>
            <w:tcBorders>
              <w:top w:val="single" w:sz="4" w:space="0" w:color="auto"/>
              <w:left w:val="nil"/>
              <w:bottom w:val="nil"/>
              <w:right w:val="nil"/>
            </w:tcBorders>
            <w:shd w:val="clear" w:color="auto" w:fill="auto"/>
            <w:hideMark/>
          </w:tcPr>
          <w:p w14:paraId="5FCF9E48"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1.410 ± 0.5827</w:t>
            </w:r>
          </w:p>
        </w:tc>
        <w:tc>
          <w:tcPr>
            <w:tcW w:w="992" w:type="dxa"/>
            <w:tcBorders>
              <w:top w:val="single" w:sz="4" w:space="0" w:color="auto"/>
              <w:left w:val="nil"/>
              <w:bottom w:val="nil"/>
              <w:right w:val="nil"/>
            </w:tcBorders>
            <w:shd w:val="clear" w:color="auto" w:fill="auto"/>
            <w:hideMark/>
          </w:tcPr>
          <w:p w14:paraId="3AF81144"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2.024</w:t>
            </w:r>
          </w:p>
        </w:tc>
        <w:tc>
          <w:tcPr>
            <w:tcW w:w="993" w:type="dxa"/>
            <w:tcBorders>
              <w:top w:val="single" w:sz="4" w:space="0" w:color="auto"/>
              <w:left w:val="nil"/>
              <w:bottom w:val="nil"/>
              <w:right w:val="nil"/>
            </w:tcBorders>
            <w:shd w:val="clear" w:color="auto" w:fill="auto"/>
            <w:hideMark/>
          </w:tcPr>
          <w:p w14:paraId="59BB20C3"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0.1402</w:t>
            </w:r>
          </w:p>
        </w:tc>
        <w:tc>
          <w:tcPr>
            <w:tcW w:w="1134" w:type="dxa"/>
            <w:tcBorders>
              <w:top w:val="single" w:sz="4" w:space="0" w:color="auto"/>
              <w:left w:val="nil"/>
              <w:bottom w:val="nil"/>
              <w:right w:val="nil"/>
            </w:tcBorders>
            <w:shd w:val="clear" w:color="auto" w:fill="auto"/>
            <w:hideMark/>
          </w:tcPr>
          <w:p w14:paraId="7AE4C87B"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22433D" w:rsidRPr="00C777FB" w14:paraId="7C5C9F4E" w14:textId="77777777" w:rsidTr="0022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hideMark/>
          </w:tcPr>
          <w:p w14:paraId="3B2BABC0" w14:textId="77777777" w:rsidR="0022433D" w:rsidRPr="00C777FB" w:rsidRDefault="0022433D" w:rsidP="0022433D">
            <w:pPr>
              <w:pStyle w:val="Body"/>
              <w:rPr>
                <w:rFonts w:ascii="Arial" w:hAnsi="Arial" w:cs="Arial"/>
              </w:rPr>
            </w:pPr>
            <w:r w:rsidRPr="00C777FB">
              <w:rPr>
                <w:rFonts w:ascii="Arial" w:hAnsi="Arial" w:cs="Arial"/>
              </w:rPr>
              <w:t>PNR</w:t>
            </w:r>
          </w:p>
        </w:tc>
        <w:tc>
          <w:tcPr>
            <w:tcW w:w="1700" w:type="dxa"/>
            <w:tcBorders>
              <w:top w:val="nil"/>
              <w:left w:val="nil"/>
              <w:bottom w:val="nil"/>
              <w:right w:val="nil"/>
            </w:tcBorders>
            <w:shd w:val="clear" w:color="auto" w:fill="auto"/>
            <w:hideMark/>
          </w:tcPr>
          <w:p w14:paraId="1568B3E1"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107.1 ± 36.91</w:t>
            </w:r>
          </w:p>
        </w:tc>
        <w:tc>
          <w:tcPr>
            <w:tcW w:w="1700" w:type="dxa"/>
            <w:tcBorders>
              <w:top w:val="nil"/>
              <w:left w:val="nil"/>
              <w:bottom w:val="nil"/>
              <w:right w:val="nil"/>
            </w:tcBorders>
            <w:shd w:val="clear" w:color="auto" w:fill="auto"/>
            <w:hideMark/>
          </w:tcPr>
          <w:p w14:paraId="6CC96B05"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98.05 ± 45.67</w:t>
            </w:r>
          </w:p>
        </w:tc>
        <w:tc>
          <w:tcPr>
            <w:tcW w:w="1561" w:type="dxa"/>
            <w:tcBorders>
              <w:top w:val="nil"/>
              <w:left w:val="nil"/>
              <w:bottom w:val="nil"/>
              <w:right w:val="nil"/>
            </w:tcBorders>
            <w:shd w:val="clear" w:color="auto" w:fill="auto"/>
            <w:hideMark/>
          </w:tcPr>
          <w:p w14:paraId="061B8612"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91.04 ± 34.08</w:t>
            </w:r>
          </w:p>
        </w:tc>
        <w:tc>
          <w:tcPr>
            <w:tcW w:w="992" w:type="dxa"/>
            <w:tcBorders>
              <w:top w:val="nil"/>
              <w:left w:val="nil"/>
              <w:bottom w:val="nil"/>
              <w:right w:val="nil"/>
            </w:tcBorders>
            <w:shd w:val="clear" w:color="auto" w:fill="auto"/>
            <w:hideMark/>
          </w:tcPr>
          <w:p w14:paraId="68F31FB4"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1.187</w:t>
            </w:r>
          </w:p>
        </w:tc>
        <w:tc>
          <w:tcPr>
            <w:tcW w:w="993" w:type="dxa"/>
            <w:tcBorders>
              <w:top w:val="nil"/>
              <w:left w:val="nil"/>
              <w:bottom w:val="nil"/>
              <w:right w:val="nil"/>
            </w:tcBorders>
            <w:shd w:val="clear" w:color="auto" w:fill="auto"/>
            <w:hideMark/>
          </w:tcPr>
          <w:p w14:paraId="52141AF3"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0.3116</w:t>
            </w:r>
          </w:p>
        </w:tc>
        <w:tc>
          <w:tcPr>
            <w:tcW w:w="1134" w:type="dxa"/>
            <w:tcBorders>
              <w:top w:val="nil"/>
              <w:left w:val="nil"/>
              <w:bottom w:val="nil"/>
              <w:right w:val="nil"/>
            </w:tcBorders>
            <w:shd w:val="clear" w:color="auto" w:fill="auto"/>
            <w:hideMark/>
          </w:tcPr>
          <w:p w14:paraId="685ABEF5"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r w:rsidR="0022433D" w:rsidRPr="00C777FB" w14:paraId="572B0E02" w14:textId="77777777" w:rsidTr="0022433D">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hideMark/>
          </w:tcPr>
          <w:p w14:paraId="08587F88" w14:textId="77777777" w:rsidR="0022433D" w:rsidRPr="00C777FB" w:rsidRDefault="0022433D" w:rsidP="0022433D">
            <w:pPr>
              <w:pStyle w:val="Body"/>
              <w:rPr>
                <w:rFonts w:ascii="Arial" w:hAnsi="Arial" w:cs="Arial"/>
              </w:rPr>
            </w:pPr>
            <w:r w:rsidRPr="00C777FB">
              <w:rPr>
                <w:rFonts w:ascii="Arial" w:hAnsi="Arial" w:cs="Arial"/>
              </w:rPr>
              <w:t>PLR</w:t>
            </w:r>
          </w:p>
        </w:tc>
        <w:tc>
          <w:tcPr>
            <w:tcW w:w="1700" w:type="dxa"/>
            <w:tcBorders>
              <w:top w:val="nil"/>
              <w:left w:val="nil"/>
              <w:bottom w:val="nil"/>
              <w:right w:val="nil"/>
            </w:tcBorders>
            <w:shd w:val="clear" w:color="auto" w:fill="auto"/>
            <w:hideMark/>
          </w:tcPr>
          <w:p w14:paraId="46213230"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114.2 ± 40.84</w:t>
            </w:r>
          </w:p>
        </w:tc>
        <w:tc>
          <w:tcPr>
            <w:tcW w:w="1700" w:type="dxa"/>
            <w:tcBorders>
              <w:top w:val="nil"/>
              <w:left w:val="nil"/>
              <w:bottom w:val="nil"/>
              <w:right w:val="nil"/>
            </w:tcBorders>
            <w:shd w:val="clear" w:color="auto" w:fill="auto"/>
            <w:hideMark/>
          </w:tcPr>
          <w:p w14:paraId="028F349B"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125.3 ± 51.79</w:t>
            </w:r>
          </w:p>
        </w:tc>
        <w:tc>
          <w:tcPr>
            <w:tcW w:w="1561" w:type="dxa"/>
            <w:tcBorders>
              <w:top w:val="nil"/>
              <w:left w:val="nil"/>
              <w:bottom w:val="nil"/>
              <w:right w:val="nil"/>
            </w:tcBorders>
            <w:shd w:val="clear" w:color="auto" w:fill="auto"/>
            <w:hideMark/>
          </w:tcPr>
          <w:p w14:paraId="4AE1D7A1"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114.8 ± 31.10</w:t>
            </w:r>
          </w:p>
        </w:tc>
        <w:tc>
          <w:tcPr>
            <w:tcW w:w="992" w:type="dxa"/>
            <w:tcBorders>
              <w:top w:val="nil"/>
              <w:left w:val="nil"/>
              <w:bottom w:val="nil"/>
              <w:right w:val="nil"/>
            </w:tcBorders>
            <w:shd w:val="clear" w:color="auto" w:fill="auto"/>
            <w:hideMark/>
          </w:tcPr>
          <w:p w14:paraId="551A139B"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0.4424</w:t>
            </w:r>
          </w:p>
        </w:tc>
        <w:tc>
          <w:tcPr>
            <w:tcW w:w="993" w:type="dxa"/>
            <w:tcBorders>
              <w:top w:val="nil"/>
              <w:left w:val="nil"/>
              <w:bottom w:val="nil"/>
              <w:right w:val="nil"/>
            </w:tcBorders>
            <w:shd w:val="clear" w:color="auto" w:fill="auto"/>
            <w:hideMark/>
          </w:tcPr>
          <w:p w14:paraId="646F032A"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0.6443</w:t>
            </w:r>
          </w:p>
        </w:tc>
        <w:tc>
          <w:tcPr>
            <w:tcW w:w="1134" w:type="dxa"/>
            <w:tcBorders>
              <w:top w:val="nil"/>
              <w:left w:val="nil"/>
              <w:bottom w:val="nil"/>
              <w:right w:val="nil"/>
            </w:tcBorders>
            <w:shd w:val="clear" w:color="auto" w:fill="auto"/>
            <w:hideMark/>
          </w:tcPr>
          <w:p w14:paraId="11D944A4" w14:textId="77777777" w:rsidR="0022433D" w:rsidRPr="00C777FB" w:rsidRDefault="0022433D" w:rsidP="0022433D">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22433D" w:rsidRPr="00C777FB" w14:paraId="11939315" w14:textId="77777777" w:rsidTr="0022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single" w:sz="4" w:space="0" w:color="000000" w:themeColor="text1"/>
              <w:right w:val="nil"/>
            </w:tcBorders>
            <w:shd w:val="clear" w:color="auto" w:fill="auto"/>
            <w:hideMark/>
          </w:tcPr>
          <w:p w14:paraId="29C5590A" w14:textId="77777777" w:rsidR="0022433D" w:rsidRPr="00C777FB" w:rsidRDefault="0022433D" w:rsidP="0022433D">
            <w:pPr>
              <w:pStyle w:val="Body"/>
              <w:rPr>
                <w:rFonts w:ascii="Arial" w:hAnsi="Arial" w:cs="Arial"/>
              </w:rPr>
            </w:pPr>
            <w:r w:rsidRPr="00C777FB">
              <w:rPr>
                <w:rFonts w:ascii="Arial" w:hAnsi="Arial" w:cs="Arial"/>
              </w:rPr>
              <w:t>ESR</w:t>
            </w:r>
          </w:p>
        </w:tc>
        <w:tc>
          <w:tcPr>
            <w:tcW w:w="1700" w:type="dxa"/>
            <w:tcBorders>
              <w:top w:val="nil"/>
              <w:left w:val="nil"/>
              <w:bottom w:val="single" w:sz="4" w:space="0" w:color="000000" w:themeColor="text1"/>
              <w:right w:val="nil"/>
            </w:tcBorders>
            <w:shd w:val="clear" w:color="auto" w:fill="auto"/>
            <w:hideMark/>
          </w:tcPr>
          <w:p w14:paraId="12F5A735"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24.65 ± 22.64</w:t>
            </w:r>
          </w:p>
        </w:tc>
        <w:tc>
          <w:tcPr>
            <w:tcW w:w="1700" w:type="dxa"/>
            <w:tcBorders>
              <w:top w:val="nil"/>
              <w:left w:val="nil"/>
              <w:bottom w:val="single" w:sz="4" w:space="0" w:color="000000" w:themeColor="text1"/>
              <w:right w:val="nil"/>
            </w:tcBorders>
            <w:shd w:val="clear" w:color="auto" w:fill="auto"/>
            <w:hideMark/>
          </w:tcPr>
          <w:p w14:paraId="751C562C"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41.31 ± 36.61</w:t>
            </w:r>
          </w:p>
        </w:tc>
        <w:tc>
          <w:tcPr>
            <w:tcW w:w="1561" w:type="dxa"/>
            <w:tcBorders>
              <w:top w:val="nil"/>
              <w:left w:val="nil"/>
              <w:bottom w:val="single" w:sz="4" w:space="0" w:color="000000" w:themeColor="text1"/>
              <w:right w:val="nil"/>
            </w:tcBorders>
            <w:shd w:val="clear" w:color="auto" w:fill="auto"/>
            <w:hideMark/>
          </w:tcPr>
          <w:p w14:paraId="5B22BF7B"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35.70 ± 30.14</w:t>
            </w:r>
          </w:p>
        </w:tc>
        <w:tc>
          <w:tcPr>
            <w:tcW w:w="992" w:type="dxa"/>
            <w:tcBorders>
              <w:top w:val="nil"/>
              <w:left w:val="nil"/>
              <w:bottom w:val="single" w:sz="4" w:space="0" w:color="000000" w:themeColor="text1"/>
              <w:right w:val="nil"/>
            </w:tcBorders>
            <w:shd w:val="clear" w:color="auto" w:fill="auto"/>
            <w:hideMark/>
          </w:tcPr>
          <w:p w14:paraId="5F18C84B"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2.040</w:t>
            </w:r>
          </w:p>
        </w:tc>
        <w:tc>
          <w:tcPr>
            <w:tcW w:w="993" w:type="dxa"/>
            <w:tcBorders>
              <w:top w:val="nil"/>
              <w:left w:val="nil"/>
              <w:bottom w:val="single" w:sz="4" w:space="0" w:color="000000" w:themeColor="text1"/>
              <w:right w:val="nil"/>
            </w:tcBorders>
            <w:shd w:val="clear" w:color="auto" w:fill="auto"/>
            <w:hideMark/>
          </w:tcPr>
          <w:p w14:paraId="54C8D3B0"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0.1380</w:t>
            </w:r>
          </w:p>
        </w:tc>
        <w:tc>
          <w:tcPr>
            <w:tcW w:w="1134" w:type="dxa"/>
            <w:tcBorders>
              <w:top w:val="nil"/>
              <w:left w:val="nil"/>
              <w:bottom w:val="single" w:sz="4" w:space="0" w:color="000000" w:themeColor="text1"/>
              <w:right w:val="nil"/>
            </w:tcBorders>
            <w:shd w:val="clear" w:color="auto" w:fill="auto"/>
            <w:hideMark/>
          </w:tcPr>
          <w:p w14:paraId="376DFD1A" w14:textId="77777777" w:rsidR="0022433D" w:rsidRPr="00C777FB" w:rsidRDefault="0022433D" w:rsidP="0022433D">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bl>
    <w:p w14:paraId="46ECC23D" w14:textId="77777777" w:rsidR="0022433D" w:rsidRDefault="0022433D" w:rsidP="00F37074">
      <w:pPr>
        <w:jc w:val="both"/>
        <w:rPr>
          <w:rFonts w:ascii="Arial" w:hAnsi="Arial" w:cs="Arial"/>
          <w:b/>
          <w:color w:val="000000" w:themeColor="text1"/>
        </w:rPr>
      </w:pPr>
    </w:p>
    <w:p w14:paraId="32F31350" w14:textId="77777777" w:rsidR="0022433D" w:rsidRDefault="0022433D" w:rsidP="00F37074">
      <w:pPr>
        <w:jc w:val="both"/>
        <w:rPr>
          <w:rFonts w:ascii="Arial" w:hAnsi="Arial" w:cs="Arial"/>
          <w:b/>
          <w:color w:val="000000" w:themeColor="text1"/>
        </w:rPr>
      </w:pPr>
    </w:p>
    <w:p w14:paraId="771D1D9F" w14:textId="77777777" w:rsidR="0022433D" w:rsidRDefault="0022433D" w:rsidP="00F37074">
      <w:pPr>
        <w:jc w:val="both"/>
        <w:rPr>
          <w:rFonts w:ascii="Arial" w:hAnsi="Arial" w:cs="Arial"/>
          <w:b/>
          <w:color w:val="000000" w:themeColor="text1"/>
        </w:rPr>
      </w:pPr>
    </w:p>
    <w:p w14:paraId="61846385" w14:textId="77777777" w:rsidR="0022433D" w:rsidRDefault="0022433D" w:rsidP="00F37074">
      <w:pPr>
        <w:jc w:val="both"/>
        <w:rPr>
          <w:rFonts w:ascii="Arial" w:hAnsi="Arial" w:cs="Arial"/>
          <w:b/>
          <w:color w:val="000000" w:themeColor="text1"/>
        </w:rPr>
      </w:pPr>
    </w:p>
    <w:p w14:paraId="4C042678" w14:textId="77777777" w:rsidR="0022433D" w:rsidRDefault="0022433D" w:rsidP="00F37074">
      <w:pPr>
        <w:jc w:val="both"/>
        <w:rPr>
          <w:rFonts w:ascii="Arial" w:hAnsi="Arial" w:cs="Arial"/>
          <w:b/>
          <w:color w:val="000000" w:themeColor="text1"/>
        </w:rPr>
      </w:pPr>
    </w:p>
    <w:p w14:paraId="787DCA00" w14:textId="77777777" w:rsidR="0022433D" w:rsidRDefault="0022433D" w:rsidP="00F37074">
      <w:pPr>
        <w:jc w:val="both"/>
        <w:rPr>
          <w:rFonts w:ascii="Arial" w:hAnsi="Arial" w:cs="Arial"/>
          <w:b/>
          <w:color w:val="000000" w:themeColor="text1"/>
        </w:rPr>
      </w:pPr>
    </w:p>
    <w:p w14:paraId="3B0974B6" w14:textId="4973BF46" w:rsidR="00F37074" w:rsidRPr="00C777FB" w:rsidRDefault="00F37074" w:rsidP="00F37074">
      <w:pPr>
        <w:jc w:val="both"/>
        <w:rPr>
          <w:rFonts w:ascii="Arial" w:hAnsi="Arial" w:cs="Arial"/>
          <w:color w:val="000000" w:themeColor="text1"/>
        </w:rPr>
      </w:pPr>
      <w:r w:rsidRPr="00C777FB">
        <w:rPr>
          <w:rFonts w:ascii="Arial" w:hAnsi="Arial" w:cs="Arial"/>
          <w:b/>
          <w:color w:val="000000" w:themeColor="text1"/>
        </w:rPr>
        <w:t xml:space="preserve">Key: </w:t>
      </w:r>
      <w:r w:rsidRPr="00C777FB">
        <w:rPr>
          <w:rFonts w:ascii="Arial" w:hAnsi="Arial" w:cs="Arial"/>
          <w:color w:val="000000" w:themeColor="text1"/>
        </w:rPr>
        <w:t>NS-Not Significant, NLR-Neutrophil-lymphocyte ratio, PNR-Platelet-neutrophil ratio, PLR-Platelet-lymphocyte ratio, ESR-Erythrocyte sedimentation rate</w:t>
      </w:r>
    </w:p>
    <w:p w14:paraId="74CF39B0" w14:textId="77777777" w:rsidR="00F37074" w:rsidRPr="00C777FB" w:rsidRDefault="00F37074" w:rsidP="00441B6F">
      <w:pPr>
        <w:pStyle w:val="Body"/>
        <w:spacing w:after="0"/>
        <w:rPr>
          <w:rFonts w:ascii="Arial" w:hAnsi="Arial" w:cs="Arial"/>
          <w:color w:val="000000" w:themeColor="text1"/>
          <w:szCs w:val="24"/>
        </w:rPr>
      </w:pPr>
    </w:p>
    <w:p w14:paraId="4CE51165" w14:textId="77777777" w:rsidR="00F37074" w:rsidRPr="00C777FB" w:rsidRDefault="00BA3775" w:rsidP="00441B6F">
      <w:pPr>
        <w:pStyle w:val="Body"/>
        <w:spacing w:after="0"/>
        <w:rPr>
          <w:rFonts w:ascii="Arial" w:hAnsi="Arial" w:cs="Arial"/>
          <w:b/>
          <w:color w:val="000000" w:themeColor="text1"/>
          <w:u w:val="single"/>
        </w:rPr>
      </w:pPr>
      <w:r>
        <w:rPr>
          <w:rFonts w:ascii="Arial" w:hAnsi="Arial" w:cs="Arial"/>
          <w:b/>
          <w:color w:val="000000" w:themeColor="text1"/>
          <w:u w:val="single"/>
        </w:rPr>
        <w:t>3.1.6</w:t>
      </w:r>
      <w:r w:rsidR="00F37074" w:rsidRPr="00C777FB">
        <w:rPr>
          <w:rFonts w:ascii="Arial" w:hAnsi="Arial" w:cs="Arial"/>
          <w:b/>
          <w:color w:val="000000" w:themeColor="text1"/>
          <w:u w:val="single"/>
        </w:rPr>
        <w:t xml:space="preserve"> Correlation between HbA1c levels and Neutrophil-Lymphocyte Ratio, Platelet–Neutrophil Ratio, Platelet–Lymphocyte Ratio and Erythrocyte Sedimentation Rate</w:t>
      </w:r>
    </w:p>
    <w:p w14:paraId="0AD91E4B" w14:textId="77777777" w:rsidR="00790ADA" w:rsidRPr="00C777FB" w:rsidRDefault="00F37074" w:rsidP="00441B6F">
      <w:pPr>
        <w:pStyle w:val="Body"/>
        <w:spacing w:after="0"/>
        <w:rPr>
          <w:rFonts w:ascii="Arial" w:hAnsi="Arial" w:cs="Arial"/>
          <w:color w:val="000000" w:themeColor="text1"/>
        </w:rPr>
      </w:pPr>
      <w:r w:rsidRPr="00C777FB">
        <w:rPr>
          <w:rFonts w:ascii="Arial" w:hAnsi="Arial" w:cs="Arial"/>
          <w:color w:val="000000" w:themeColor="text1"/>
        </w:rPr>
        <w:t>The correlation between HbA1c levels and NLR, PNR, PLR, and ESR showed a statistically significant negative correlation was observed between HbA1c and both PNR (</w:t>
      </w:r>
      <w:r w:rsidRPr="00C777FB">
        <w:rPr>
          <w:rFonts w:ascii="Arial" w:hAnsi="Arial" w:cs="Arial"/>
          <w:i/>
          <w:iCs/>
          <w:color w:val="000000" w:themeColor="text1"/>
        </w:rPr>
        <w:t>P</w:t>
      </w:r>
      <w:r w:rsidRPr="00C777FB">
        <w:rPr>
          <w:rFonts w:ascii="Arial" w:hAnsi="Arial" w:cs="Arial"/>
          <w:color w:val="000000" w:themeColor="text1"/>
        </w:rPr>
        <w:t>=0.0117) and PLR (</w:t>
      </w:r>
      <w:r w:rsidRPr="00C777FB">
        <w:rPr>
          <w:rFonts w:ascii="Arial" w:hAnsi="Arial" w:cs="Arial"/>
          <w:i/>
          <w:iCs/>
          <w:color w:val="000000" w:themeColor="text1"/>
        </w:rPr>
        <w:t>P</w:t>
      </w:r>
      <w:r w:rsidRPr="00C777FB">
        <w:rPr>
          <w:rFonts w:ascii="Arial" w:hAnsi="Arial" w:cs="Arial"/>
          <w:color w:val="000000" w:themeColor="text1"/>
        </w:rPr>
        <w:t>=0.0123). NLR and ESR revealed no significant</w:t>
      </w:r>
      <w:r w:rsidR="006D4455">
        <w:rPr>
          <w:rFonts w:ascii="Arial" w:hAnsi="Arial" w:cs="Arial"/>
          <w:color w:val="000000" w:themeColor="text1"/>
        </w:rPr>
        <w:t xml:space="preserve"> correlation with HbA1c (Table 5</w:t>
      </w:r>
      <w:r w:rsidRPr="00C777FB">
        <w:rPr>
          <w:rFonts w:ascii="Arial" w:hAnsi="Arial" w:cs="Arial"/>
          <w:color w:val="000000" w:themeColor="text1"/>
        </w:rPr>
        <w:t>).</w:t>
      </w:r>
    </w:p>
    <w:p w14:paraId="466BEB7A" w14:textId="77777777" w:rsidR="00F37074" w:rsidRPr="00C777FB" w:rsidRDefault="00F37074" w:rsidP="00441B6F">
      <w:pPr>
        <w:pStyle w:val="Body"/>
        <w:spacing w:after="0"/>
        <w:rPr>
          <w:rFonts w:ascii="Arial" w:hAnsi="Arial" w:cs="Arial"/>
          <w:color w:val="000000" w:themeColor="text1"/>
        </w:rPr>
      </w:pPr>
    </w:p>
    <w:p w14:paraId="3535850E" w14:textId="77777777" w:rsidR="00F37074" w:rsidRPr="00C777FB" w:rsidRDefault="006D4455" w:rsidP="00F37074">
      <w:pPr>
        <w:jc w:val="both"/>
        <w:rPr>
          <w:rFonts w:ascii="Arial" w:hAnsi="Arial" w:cs="Arial"/>
          <w:b/>
          <w:color w:val="000000" w:themeColor="text1"/>
        </w:rPr>
      </w:pPr>
      <w:r>
        <w:rPr>
          <w:rFonts w:ascii="Arial" w:hAnsi="Arial" w:cs="Arial"/>
          <w:b/>
          <w:color w:val="000000" w:themeColor="text1"/>
        </w:rPr>
        <w:t>Table 5</w:t>
      </w:r>
      <w:r w:rsidR="00F37074" w:rsidRPr="00C777FB">
        <w:rPr>
          <w:rFonts w:ascii="Arial" w:hAnsi="Arial" w:cs="Arial"/>
          <w:b/>
          <w:color w:val="000000" w:themeColor="text1"/>
        </w:rPr>
        <w:t>.</w:t>
      </w:r>
      <w:r w:rsidR="00F37074" w:rsidRPr="00C777FB">
        <w:rPr>
          <w:rFonts w:ascii="Arial" w:hAnsi="Arial" w:cs="Arial"/>
          <w:b/>
          <w:color w:val="000000" w:themeColor="text1"/>
        </w:rPr>
        <w:tab/>
        <w:t>Correlation between HbA1c levels and Neutrophil-Lymphocyte Ratio, Platelet–Neutrophil Ratio, Platelet–Lymphocyte Ratio and Erythrocyte Sedimentation Rate</w:t>
      </w:r>
    </w:p>
    <w:p w14:paraId="613E4CD7" w14:textId="77777777" w:rsidR="00F37074" w:rsidRPr="00C777FB" w:rsidRDefault="00F37074" w:rsidP="00F37074">
      <w:pPr>
        <w:jc w:val="both"/>
        <w:rPr>
          <w:rFonts w:ascii="Arial" w:hAnsi="Arial" w:cs="Arial"/>
          <w:b/>
          <w:color w:val="000000" w:themeColor="text1"/>
        </w:rPr>
      </w:pPr>
    </w:p>
    <w:tbl>
      <w:tblPr>
        <w:tblStyle w:val="ListTable6Colorful"/>
        <w:tblW w:w="0" w:type="auto"/>
        <w:jc w:val="center"/>
        <w:tblLook w:val="04A0" w:firstRow="1" w:lastRow="0" w:firstColumn="1" w:lastColumn="0" w:noHBand="0" w:noVBand="1"/>
      </w:tblPr>
      <w:tblGrid>
        <w:gridCol w:w="1701"/>
        <w:gridCol w:w="1985"/>
        <w:gridCol w:w="1559"/>
        <w:gridCol w:w="1418"/>
      </w:tblGrid>
      <w:tr w:rsidR="00C777FB" w:rsidRPr="00C777FB" w14:paraId="52623B19" w14:textId="77777777" w:rsidTr="007337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000000" w:themeColor="text1"/>
              <w:left w:val="nil"/>
              <w:bottom w:val="single" w:sz="4" w:space="0" w:color="auto"/>
              <w:right w:val="nil"/>
            </w:tcBorders>
            <w:shd w:val="clear" w:color="auto" w:fill="auto"/>
            <w:hideMark/>
          </w:tcPr>
          <w:p w14:paraId="2E16BD62" w14:textId="77777777" w:rsidR="00F37074" w:rsidRPr="00C777FB" w:rsidRDefault="00F37074" w:rsidP="007337BC">
            <w:pPr>
              <w:spacing w:line="360" w:lineRule="auto"/>
              <w:jc w:val="both"/>
              <w:rPr>
                <w:rFonts w:ascii="Arial" w:hAnsi="Arial" w:cs="Arial"/>
              </w:rPr>
            </w:pPr>
            <w:r w:rsidRPr="00C777FB">
              <w:rPr>
                <w:rFonts w:ascii="Arial" w:hAnsi="Arial" w:cs="Arial"/>
              </w:rPr>
              <w:t>Variables</w:t>
            </w:r>
          </w:p>
        </w:tc>
        <w:tc>
          <w:tcPr>
            <w:tcW w:w="3544" w:type="dxa"/>
            <w:gridSpan w:val="2"/>
            <w:tcBorders>
              <w:top w:val="single" w:sz="4" w:space="0" w:color="000000" w:themeColor="text1"/>
              <w:left w:val="nil"/>
              <w:right w:val="nil"/>
            </w:tcBorders>
            <w:shd w:val="clear" w:color="auto" w:fill="auto"/>
            <w:hideMark/>
          </w:tcPr>
          <w:p w14:paraId="396C13F2" w14:textId="77777777" w:rsidR="00F37074" w:rsidRPr="00C777FB" w:rsidRDefault="00F37074" w:rsidP="007337B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HbA1c</w:t>
            </w:r>
          </w:p>
        </w:tc>
        <w:tc>
          <w:tcPr>
            <w:tcW w:w="1418" w:type="dxa"/>
            <w:tcBorders>
              <w:top w:val="single" w:sz="4" w:space="0" w:color="000000" w:themeColor="text1"/>
              <w:left w:val="nil"/>
              <w:right w:val="nil"/>
            </w:tcBorders>
            <w:shd w:val="clear" w:color="auto" w:fill="auto"/>
          </w:tcPr>
          <w:p w14:paraId="0245FF5D" w14:textId="77777777" w:rsidR="00F37074" w:rsidRPr="00C777FB" w:rsidRDefault="00F37074" w:rsidP="007337B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777FB" w:rsidRPr="00C777FB" w14:paraId="63797238"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000000" w:themeColor="text1"/>
              <w:left w:val="nil"/>
              <w:bottom w:val="single" w:sz="4" w:space="0" w:color="auto"/>
              <w:right w:val="nil"/>
            </w:tcBorders>
            <w:shd w:val="clear" w:color="auto" w:fill="auto"/>
            <w:vAlign w:val="center"/>
            <w:hideMark/>
          </w:tcPr>
          <w:p w14:paraId="1D81FD49" w14:textId="77777777" w:rsidR="00F37074" w:rsidRPr="00C777FB" w:rsidRDefault="00F37074" w:rsidP="007337BC">
            <w:pPr>
              <w:spacing w:line="360" w:lineRule="auto"/>
              <w:jc w:val="both"/>
              <w:rPr>
                <w:rFonts w:ascii="Arial" w:hAnsi="Arial" w:cs="Arial"/>
              </w:rPr>
            </w:pPr>
          </w:p>
        </w:tc>
        <w:tc>
          <w:tcPr>
            <w:tcW w:w="1985" w:type="dxa"/>
            <w:tcBorders>
              <w:top w:val="nil"/>
              <w:left w:val="nil"/>
              <w:bottom w:val="single" w:sz="4" w:space="0" w:color="auto"/>
              <w:right w:val="nil"/>
            </w:tcBorders>
            <w:shd w:val="clear" w:color="auto" w:fill="auto"/>
            <w:hideMark/>
          </w:tcPr>
          <w:p w14:paraId="1EDEA3C7"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C777FB">
              <w:rPr>
                <w:rFonts w:ascii="Arial" w:hAnsi="Arial" w:cs="Arial"/>
                <w:b/>
              </w:rPr>
              <w:t>r-value</w:t>
            </w:r>
            <w:proofErr w:type="spellEnd"/>
          </w:p>
        </w:tc>
        <w:tc>
          <w:tcPr>
            <w:tcW w:w="1559" w:type="dxa"/>
            <w:tcBorders>
              <w:top w:val="nil"/>
              <w:left w:val="nil"/>
              <w:bottom w:val="single" w:sz="4" w:space="0" w:color="auto"/>
              <w:right w:val="nil"/>
            </w:tcBorders>
            <w:shd w:val="clear" w:color="auto" w:fill="auto"/>
            <w:hideMark/>
          </w:tcPr>
          <w:p w14:paraId="5E3DBCFE"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p-value</w:t>
            </w:r>
          </w:p>
        </w:tc>
        <w:tc>
          <w:tcPr>
            <w:tcW w:w="1418" w:type="dxa"/>
            <w:tcBorders>
              <w:top w:val="nil"/>
              <w:left w:val="nil"/>
              <w:bottom w:val="single" w:sz="4" w:space="0" w:color="auto"/>
              <w:right w:val="nil"/>
            </w:tcBorders>
            <w:shd w:val="clear" w:color="auto" w:fill="auto"/>
            <w:hideMark/>
          </w:tcPr>
          <w:p w14:paraId="018842DB"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Inference</w:t>
            </w:r>
          </w:p>
        </w:tc>
      </w:tr>
      <w:tr w:rsidR="00C777FB" w:rsidRPr="00C777FB" w14:paraId="6B922A19" w14:textId="77777777" w:rsidTr="007337BC">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il"/>
              <w:bottom w:val="nil"/>
              <w:right w:val="nil"/>
            </w:tcBorders>
            <w:shd w:val="clear" w:color="auto" w:fill="auto"/>
            <w:hideMark/>
          </w:tcPr>
          <w:p w14:paraId="451FC40F" w14:textId="77777777" w:rsidR="00F37074" w:rsidRPr="00C777FB" w:rsidRDefault="00F37074" w:rsidP="007337BC">
            <w:pPr>
              <w:spacing w:line="480" w:lineRule="auto"/>
              <w:jc w:val="both"/>
              <w:rPr>
                <w:rFonts w:ascii="Arial" w:hAnsi="Arial" w:cs="Arial"/>
              </w:rPr>
            </w:pPr>
            <w:r w:rsidRPr="00C777FB">
              <w:rPr>
                <w:rFonts w:ascii="Arial" w:hAnsi="Arial" w:cs="Arial"/>
              </w:rPr>
              <w:t>NLR</w:t>
            </w:r>
          </w:p>
        </w:tc>
        <w:tc>
          <w:tcPr>
            <w:tcW w:w="1985" w:type="dxa"/>
            <w:tcBorders>
              <w:top w:val="single" w:sz="4" w:space="0" w:color="auto"/>
              <w:left w:val="nil"/>
              <w:bottom w:val="nil"/>
              <w:right w:val="nil"/>
            </w:tcBorders>
            <w:shd w:val="clear" w:color="auto" w:fill="auto"/>
            <w:hideMark/>
          </w:tcPr>
          <w:p w14:paraId="6EB14019"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0.08546</w:t>
            </w:r>
          </w:p>
        </w:tc>
        <w:tc>
          <w:tcPr>
            <w:tcW w:w="1559" w:type="dxa"/>
            <w:tcBorders>
              <w:top w:val="single" w:sz="4" w:space="0" w:color="auto"/>
              <w:left w:val="nil"/>
              <w:bottom w:val="nil"/>
              <w:right w:val="nil"/>
            </w:tcBorders>
            <w:shd w:val="clear" w:color="auto" w:fill="auto"/>
            <w:hideMark/>
          </w:tcPr>
          <w:p w14:paraId="20F4F851"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0.4818</w:t>
            </w:r>
          </w:p>
        </w:tc>
        <w:tc>
          <w:tcPr>
            <w:tcW w:w="1418" w:type="dxa"/>
            <w:tcBorders>
              <w:top w:val="single" w:sz="4" w:space="0" w:color="auto"/>
              <w:left w:val="nil"/>
              <w:bottom w:val="nil"/>
              <w:right w:val="nil"/>
            </w:tcBorders>
            <w:shd w:val="clear" w:color="auto" w:fill="auto"/>
            <w:hideMark/>
          </w:tcPr>
          <w:p w14:paraId="70E7115E"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C777FB" w:rsidRPr="00C777FB" w14:paraId="405652DF"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auto"/>
            <w:hideMark/>
          </w:tcPr>
          <w:p w14:paraId="6165F119" w14:textId="77777777" w:rsidR="00F37074" w:rsidRPr="00C777FB" w:rsidRDefault="00F37074" w:rsidP="007337BC">
            <w:pPr>
              <w:spacing w:line="480" w:lineRule="auto"/>
              <w:jc w:val="both"/>
              <w:rPr>
                <w:rFonts w:ascii="Arial" w:hAnsi="Arial" w:cs="Arial"/>
              </w:rPr>
            </w:pPr>
            <w:r w:rsidRPr="00C777FB">
              <w:rPr>
                <w:rFonts w:ascii="Arial" w:hAnsi="Arial" w:cs="Arial"/>
              </w:rPr>
              <w:t>PNR</w:t>
            </w:r>
          </w:p>
        </w:tc>
        <w:tc>
          <w:tcPr>
            <w:tcW w:w="1985" w:type="dxa"/>
            <w:tcBorders>
              <w:top w:val="nil"/>
              <w:left w:val="nil"/>
              <w:bottom w:val="nil"/>
              <w:right w:val="nil"/>
            </w:tcBorders>
            <w:shd w:val="clear" w:color="auto" w:fill="auto"/>
            <w:hideMark/>
          </w:tcPr>
          <w:p w14:paraId="1EDF3B34"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-0.2998</w:t>
            </w:r>
          </w:p>
        </w:tc>
        <w:tc>
          <w:tcPr>
            <w:tcW w:w="1559" w:type="dxa"/>
            <w:tcBorders>
              <w:top w:val="nil"/>
              <w:left w:val="nil"/>
              <w:bottom w:val="nil"/>
              <w:right w:val="nil"/>
            </w:tcBorders>
            <w:shd w:val="clear" w:color="auto" w:fill="auto"/>
            <w:hideMark/>
          </w:tcPr>
          <w:p w14:paraId="74EEFBA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0.0117</w:t>
            </w:r>
          </w:p>
        </w:tc>
        <w:tc>
          <w:tcPr>
            <w:tcW w:w="1418" w:type="dxa"/>
            <w:tcBorders>
              <w:top w:val="nil"/>
              <w:left w:val="nil"/>
              <w:bottom w:val="nil"/>
              <w:right w:val="nil"/>
            </w:tcBorders>
            <w:shd w:val="clear" w:color="auto" w:fill="auto"/>
            <w:hideMark/>
          </w:tcPr>
          <w:p w14:paraId="0F3A081F"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r w:rsidR="00C777FB" w:rsidRPr="00C777FB" w14:paraId="32E1EF56" w14:textId="77777777" w:rsidTr="007337BC">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auto"/>
            <w:hideMark/>
          </w:tcPr>
          <w:p w14:paraId="4AB60509" w14:textId="77777777" w:rsidR="00F37074" w:rsidRPr="00C777FB" w:rsidRDefault="00F37074" w:rsidP="007337BC">
            <w:pPr>
              <w:spacing w:line="480" w:lineRule="auto"/>
              <w:jc w:val="both"/>
              <w:rPr>
                <w:rFonts w:ascii="Arial" w:hAnsi="Arial" w:cs="Arial"/>
              </w:rPr>
            </w:pPr>
            <w:r w:rsidRPr="00C777FB">
              <w:rPr>
                <w:rFonts w:ascii="Arial" w:hAnsi="Arial" w:cs="Arial"/>
              </w:rPr>
              <w:t>PLR</w:t>
            </w:r>
          </w:p>
        </w:tc>
        <w:tc>
          <w:tcPr>
            <w:tcW w:w="1985" w:type="dxa"/>
            <w:tcBorders>
              <w:top w:val="nil"/>
              <w:left w:val="nil"/>
              <w:bottom w:val="nil"/>
              <w:right w:val="nil"/>
            </w:tcBorders>
            <w:shd w:val="clear" w:color="auto" w:fill="auto"/>
            <w:hideMark/>
          </w:tcPr>
          <w:p w14:paraId="43EC03CF"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-0.2978</w:t>
            </w:r>
          </w:p>
        </w:tc>
        <w:tc>
          <w:tcPr>
            <w:tcW w:w="1559" w:type="dxa"/>
            <w:tcBorders>
              <w:top w:val="nil"/>
              <w:left w:val="nil"/>
              <w:bottom w:val="nil"/>
              <w:right w:val="nil"/>
            </w:tcBorders>
            <w:shd w:val="clear" w:color="auto" w:fill="auto"/>
            <w:hideMark/>
          </w:tcPr>
          <w:p w14:paraId="505AF85C"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0.0123</w:t>
            </w:r>
          </w:p>
        </w:tc>
        <w:tc>
          <w:tcPr>
            <w:tcW w:w="1418" w:type="dxa"/>
            <w:tcBorders>
              <w:top w:val="nil"/>
              <w:left w:val="nil"/>
              <w:bottom w:val="nil"/>
              <w:right w:val="nil"/>
            </w:tcBorders>
            <w:shd w:val="clear" w:color="auto" w:fill="auto"/>
            <w:hideMark/>
          </w:tcPr>
          <w:p w14:paraId="4CF6CB4C"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C777FB" w:rsidRPr="00C777FB" w14:paraId="393962D8"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single" w:sz="4" w:space="0" w:color="000000" w:themeColor="text1"/>
              <w:right w:val="nil"/>
            </w:tcBorders>
            <w:shd w:val="clear" w:color="auto" w:fill="auto"/>
            <w:hideMark/>
          </w:tcPr>
          <w:p w14:paraId="20A79015" w14:textId="77777777" w:rsidR="00F37074" w:rsidRPr="00C777FB" w:rsidRDefault="00F37074" w:rsidP="007337BC">
            <w:pPr>
              <w:spacing w:line="480" w:lineRule="auto"/>
              <w:jc w:val="both"/>
              <w:rPr>
                <w:rFonts w:ascii="Arial" w:hAnsi="Arial" w:cs="Arial"/>
              </w:rPr>
            </w:pPr>
            <w:r w:rsidRPr="00C777FB">
              <w:rPr>
                <w:rFonts w:ascii="Arial" w:hAnsi="Arial" w:cs="Arial"/>
              </w:rPr>
              <w:t>ESR</w:t>
            </w:r>
          </w:p>
        </w:tc>
        <w:tc>
          <w:tcPr>
            <w:tcW w:w="1985" w:type="dxa"/>
            <w:tcBorders>
              <w:top w:val="nil"/>
              <w:left w:val="nil"/>
              <w:bottom w:val="single" w:sz="4" w:space="0" w:color="000000" w:themeColor="text1"/>
              <w:right w:val="nil"/>
            </w:tcBorders>
            <w:shd w:val="clear" w:color="auto" w:fill="auto"/>
            <w:hideMark/>
          </w:tcPr>
          <w:p w14:paraId="574F474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0.02146</w:t>
            </w:r>
          </w:p>
        </w:tc>
        <w:tc>
          <w:tcPr>
            <w:tcW w:w="1559" w:type="dxa"/>
            <w:tcBorders>
              <w:top w:val="nil"/>
              <w:left w:val="nil"/>
              <w:bottom w:val="single" w:sz="4" w:space="0" w:color="000000" w:themeColor="text1"/>
              <w:right w:val="nil"/>
            </w:tcBorders>
            <w:shd w:val="clear" w:color="auto" w:fill="auto"/>
            <w:hideMark/>
          </w:tcPr>
          <w:p w14:paraId="176F2E5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0.8600</w:t>
            </w:r>
          </w:p>
        </w:tc>
        <w:tc>
          <w:tcPr>
            <w:tcW w:w="1418" w:type="dxa"/>
            <w:tcBorders>
              <w:top w:val="nil"/>
              <w:left w:val="nil"/>
              <w:bottom w:val="single" w:sz="4" w:space="0" w:color="000000" w:themeColor="text1"/>
              <w:right w:val="nil"/>
            </w:tcBorders>
            <w:shd w:val="clear" w:color="auto" w:fill="auto"/>
            <w:hideMark/>
          </w:tcPr>
          <w:p w14:paraId="1F527403"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bl>
    <w:p w14:paraId="6991C472" w14:textId="77777777" w:rsidR="00F37074" w:rsidRPr="00C777FB" w:rsidRDefault="00F37074" w:rsidP="00F37074">
      <w:pPr>
        <w:jc w:val="both"/>
        <w:rPr>
          <w:rFonts w:ascii="Arial" w:hAnsi="Arial" w:cs="Arial"/>
          <w:b/>
          <w:color w:val="000000" w:themeColor="text1"/>
        </w:rPr>
      </w:pPr>
    </w:p>
    <w:p w14:paraId="182A2A4D" w14:textId="77777777" w:rsidR="00F37074" w:rsidRPr="00C777FB" w:rsidRDefault="00F37074" w:rsidP="00F37074">
      <w:pPr>
        <w:pStyle w:val="Body"/>
        <w:spacing w:after="0"/>
        <w:rPr>
          <w:rFonts w:ascii="Arial" w:hAnsi="Arial" w:cs="Arial"/>
          <w:color w:val="000000" w:themeColor="text1"/>
        </w:rPr>
      </w:pPr>
      <w:r w:rsidRPr="00C777FB">
        <w:rPr>
          <w:rFonts w:ascii="Arial" w:hAnsi="Arial" w:cs="Arial"/>
          <w:b/>
          <w:color w:val="000000" w:themeColor="text1"/>
        </w:rPr>
        <w:t xml:space="preserve">Key: </w:t>
      </w:r>
      <w:r w:rsidRPr="00C777FB">
        <w:rPr>
          <w:rFonts w:ascii="Arial" w:hAnsi="Arial" w:cs="Arial"/>
          <w:color w:val="000000" w:themeColor="text1"/>
        </w:rPr>
        <w:t>r- correlation coefficient, NLR-Neutrophil-lymphocyte ratio, PNR-Platelet-neutrophil ratio, PLR-Platelet-lymphocyte ratio, ESR-Erythrocyte sedimentation rate, NS- Not significant</w:t>
      </w:r>
    </w:p>
    <w:p w14:paraId="24A57A21" w14:textId="77777777" w:rsidR="000359A1" w:rsidRPr="00C777FB" w:rsidRDefault="000359A1" w:rsidP="00F37074">
      <w:pPr>
        <w:pStyle w:val="Body"/>
        <w:spacing w:after="0"/>
        <w:rPr>
          <w:rFonts w:ascii="Arial" w:hAnsi="Arial" w:cs="Arial"/>
          <w:b/>
          <w:caps/>
          <w:color w:val="000000" w:themeColor="text1"/>
          <w:sz w:val="22"/>
        </w:rPr>
      </w:pPr>
    </w:p>
    <w:p w14:paraId="7B4B19A1" w14:textId="77777777" w:rsidR="00F37074" w:rsidRPr="00C777FB" w:rsidRDefault="00F37074" w:rsidP="00F37074">
      <w:pPr>
        <w:pStyle w:val="Body"/>
        <w:spacing w:after="0"/>
        <w:rPr>
          <w:rFonts w:ascii="Arial" w:hAnsi="Arial" w:cs="Arial"/>
          <w:b/>
          <w:color w:val="000000" w:themeColor="text1"/>
          <w:sz w:val="22"/>
        </w:rPr>
      </w:pPr>
      <w:r w:rsidRPr="00C777FB">
        <w:rPr>
          <w:rFonts w:ascii="Arial" w:hAnsi="Arial" w:cs="Arial"/>
          <w:b/>
          <w:caps/>
          <w:color w:val="000000" w:themeColor="text1"/>
          <w:sz w:val="22"/>
        </w:rPr>
        <w:t>3</w:t>
      </w:r>
      <w:r w:rsidR="007337BC" w:rsidRPr="00C777FB">
        <w:rPr>
          <w:rFonts w:ascii="Arial" w:hAnsi="Arial" w:cs="Arial"/>
          <w:b/>
          <w:caps/>
          <w:color w:val="000000" w:themeColor="text1"/>
          <w:sz w:val="22"/>
        </w:rPr>
        <w:t>.2</w:t>
      </w:r>
      <w:r w:rsidRPr="00C777FB">
        <w:rPr>
          <w:rFonts w:ascii="Arial" w:hAnsi="Arial" w:cs="Arial"/>
          <w:b/>
          <w:caps/>
          <w:color w:val="000000" w:themeColor="text1"/>
          <w:sz w:val="22"/>
        </w:rPr>
        <w:t xml:space="preserve"> </w:t>
      </w:r>
      <w:r w:rsidRPr="00C777FB">
        <w:rPr>
          <w:rFonts w:ascii="Arial" w:hAnsi="Arial" w:cs="Arial"/>
          <w:b/>
          <w:color w:val="000000" w:themeColor="text1"/>
          <w:sz w:val="22"/>
        </w:rPr>
        <w:t>Discussion</w:t>
      </w:r>
    </w:p>
    <w:p w14:paraId="0B2326EF" w14:textId="77777777" w:rsidR="00F37074" w:rsidRPr="00C777FB" w:rsidRDefault="00F37074" w:rsidP="00441B6F">
      <w:pPr>
        <w:tabs>
          <w:tab w:val="left" w:pos="1080"/>
        </w:tabs>
        <w:jc w:val="both"/>
        <w:rPr>
          <w:rFonts w:ascii="Arial" w:hAnsi="Arial"/>
          <w:b/>
          <w:color w:val="000000" w:themeColor="text1"/>
        </w:rPr>
      </w:pPr>
    </w:p>
    <w:p w14:paraId="5E995299"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Chronic inflammation is increasingly acknowledged as a significant contributor to the development of diabetic complications and the progression of the disease itself</w:t>
      </w:r>
      <w:r w:rsidR="00114DDD" w:rsidRPr="00C777FB">
        <w:rPr>
          <w:rFonts w:ascii="Arial" w:hAnsi="Arial" w:cs="Arial"/>
          <w:color w:val="000000" w:themeColor="text1"/>
        </w:rPr>
        <w:t xml:space="preserve"> (Pop-</w:t>
      </w:r>
      <w:proofErr w:type="spellStart"/>
      <w:r w:rsidR="00114DDD" w:rsidRPr="00C777FB">
        <w:rPr>
          <w:rFonts w:ascii="Arial" w:hAnsi="Arial" w:cs="Arial"/>
          <w:color w:val="000000" w:themeColor="text1"/>
        </w:rPr>
        <w:t>Busui</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xml:space="preserve">., 2016; </w:t>
      </w:r>
      <w:proofErr w:type="spellStart"/>
      <w:r w:rsidR="00114DDD" w:rsidRPr="00C777FB">
        <w:rPr>
          <w:rFonts w:ascii="Arial" w:hAnsi="Arial" w:cs="Arial"/>
          <w:color w:val="000000" w:themeColor="text1"/>
        </w:rPr>
        <w:t>Mertoglu</w:t>
      </w:r>
      <w:proofErr w:type="spellEnd"/>
      <w:r w:rsidR="00114DDD" w:rsidRPr="00C777FB">
        <w:rPr>
          <w:rFonts w:ascii="Arial" w:hAnsi="Arial" w:cs="Arial"/>
          <w:color w:val="000000" w:themeColor="text1"/>
        </w:rPr>
        <w:t xml:space="preserve"> and Gunay, 2017)</w:t>
      </w:r>
      <w:r w:rsidRPr="00C777FB">
        <w:rPr>
          <w:rFonts w:ascii="Arial" w:hAnsi="Arial" w:cs="Arial"/>
          <w:color w:val="000000" w:themeColor="text1"/>
        </w:rPr>
        <w:t xml:space="preserve">. </w:t>
      </w:r>
      <w:proofErr w:type="spellStart"/>
      <w:r w:rsidRPr="00C777FB">
        <w:rPr>
          <w:rFonts w:ascii="Arial" w:hAnsi="Arial" w:cs="Arial"/>
          <w:color w:val="000000" w:themeColor="text1"/>
        </w:rPr>
        <w:t>Hyperglyc</w:t>
      </w:r>
      <w:r w:rsidR="00114DDD" w:rsidRPr="00C777FB">
        <w:rPr>
          <w:rFonts w:ascii="Arial" w:hAnsi="Arial" w:cs="Arial"/>
          <w:color w:val="000000" w:themeColor="text1"/>
        </w:rPr>
        <w:t>a</w:t>
      </w:r>
      <w:r w:rsidRPr="00C777FB">
        <w:rPr>
          <w:rFonts w:ascii="Arial" w:hAnsi="Arial" w:cs="Arial"/>
          <w:color w:val="000000" w:themeColor="text1"/>
        </w:rPr>
        <w:t>emia</w:t>
      </w:r>
      <w:proofErr w:type="spellEnd"/>
      <w:r w:rsidRPr="00C777FB">
        <w:rPr>
          <w:rFonts w:ascii="Arial" w:hAnsi="Arial" w:cs="Arial"/>
          <w:color w:val="000000" w:themeColor="text1"/>
        </w:rPr>
        <w:t xml:space="preserve"> have been reported to influence both the number and function of circulating neutrophils, with elevated neutrophil counts commonly </w:t>
      </w:r>
      <w:r w:rsidRPr="00C777FB">
        <w:rPr>
          <w:rFonts w:ascii="Arial" w:hAnsi="Arial" w:cs="Arial"/>
          <w:color w:val="000000" w:themeColor="text1"/>
        </w:rPr>
        <w:lastRenderedPageBreak/>
        <w:t>observed in patients with T2DM</w:t>
      </w:r>
      <w:r w:rsidR="00114DDD" w:rsidRPr="00C777FB">
        <w:rPr>
          <w:rFonts w:ascii="Arial" w:hAnsi="Arial" w:cs="Arial"/>
          <w:color w:val="000000" w:themeColor="text1"/>
        </w:rPr>
        <w:t xml:space="preserve"> (</w:t>
      </w:r>
      <w:proofErr w:type="spellStart"/>
      <w:r w:rsidR="00114DDD" w:rsidRPr="00C777FB">
        <w:rPr>
          <w:rFonts w:ascii="Arial" w:hAnsi="Arial" w:cs="Arial"/>
          <w:color w:val="000000" w:themeColor="text1"/>
        </w:rPr>
        <w:t>Giovenzana</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2022)</w:t>
      </w:r>
      <w:r w:rsidRPr="00C777FB">
        <w:rPr>
          <w:rFonts w:ascii="Arial" w:hAnsi="Arial" w:cs="Arial"/>
          <w:color w:val="000000" w:themeColor="text1"/>
        </w:rPr>
        <w:t>. This increase may be attributed to hyperglycemia-induced myelopoiesis</w:t>
      </w:r>
      <w:r w:rsidR="00114DDD" w:rsidRPr="00C777FB">
        <w:rPr>
          <w:rFonts w:ascii="Arial" w:hAnsi="Arial" w:cs="Arial"/>
          <w:color w:val="000000" w:themeColor="text1"/>
        </w:rPr>
        <w:t xml:space="preserve"> (</w:t>
      </w:r>
      <w:proofErr w:type="spellStart"/>
      <w:r w:rsidR="00114DDD" w:rsidRPr="00C777FB">
        <w:rPr>
          <w:rFonts w:ascii="Arial" w:hAnsi="Arial" w:cs="Arial"/>
          <w:color w:val="000000" w:themeColor="text1"/>
        </w:rPr>
        <w:t>Nagareddy</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2013)</w:t>
      </w:r>
      <w:r w:rsidRPr="00C777FB">
        <w:rPr>
          <w:rFonts w:ascii="Arial" w:hAnsi="Arial" w:cs="Arial"/>
          <w:color w:val="000000" w:themeColor="text1"/>
        </w:rPr>
        <w:t xml:space="preserve">. In this study, we see this effect in the higher NLR, which is a known sign of overall inflammation in different health issues. An elevated NLR results from </w:t>
      </w:r>
      <w:r w:rsidR="007D0898">
        <w:rPr>
          <w:rFonts w:ascii="Arial" w:hAnsi="Arial" w:cs="Arial"/>
          <w:color w:val="000000" w:themeColor="text1"/>
        </w:rPr>
        <w:t>elevated neutrophil- a hallmark indicator</w:t>
      </w:r>
      <w:r w:rsidRPr="00C777FB">
        <w:rPr>
          <w:rFonts w:ascii="Arial" w:hAnsi="Arial" w:cs="Arial"/>
          <w:color w:val="000000" w:themeColor="text1"/>
        </w:rPr>
        <w:t xml:space="preserve"> of systemic inflammation. A more pronounced imbalance between neutrophil and lymphocyte counts corresponds to a heightened inflammatory response</w:t>
      </w:r>
      <w:r w:rsidR="00114DDD" w:rsidRPr="00C777FB">
        <w:rPr>
          <w:rFonts w:ascii="Times New Roman" w:hAnsi="Times New Roman"/>
          <w:color w:val="000000" w:themeColor="text1"/>
          <w:sz w:val="24"/>
          <w:szCs w:val="24"/>
        </w:rPr>
        <w:t xml:space="preserve"> (</w:t>
      </w:r>
      <w:r w:rsidR="00114DDD" w:rsidRPr="00C777FB">
        <w:rPr>
          <w:rFonts w:ascii="Arial" w:hAnsi="Arial" w:cs="Arial"/>
          <w:color w:val="000000" w:themeColor="text1"/>
        </w:rPr>
        <w:t xml:space="preserve">Anastasakis </w:t>
      </w:r>
      <w:r w:rsidR="00114DDD" w:rsidRPr="00C777FB">
        <w:rPr>
          <w:rFonts w:ascii="Arial" w:hAnsi="Arial" w:cs="Arial"/>
          <w:i/>
          <w:color w:val="000000" w:themeColor="text1"/>
        </w:rPr>
        <w:t>et al</w:t>
      </w:r>
      <w:r w:rsidR="00114DDD" w:rsidRPr="00C777FB">
        <w:rPr>
          <w:rFonts w:ascii="Arial" w:hAnsi="Arial" w:cs="Arial"/>
          <w:color w:val="000000" w:themeColor="text1"/>
        </w:rPr>
        <w:t>., 2024)</w:t>
      </w:r>
      <w:r w:rsidRPr="00C777FB">
        <w:rPr>
          <w:rFonts w:ascii="Arial" w:hAnsi="Arial" w:cs="Arial"/>
          <w:color w:val="000000" w:themeColor="text1"/>
        </w:rPr>
        <w:t xml:space="preserve">. The findings in the present study are consistent with report from </w:t>
      </w:r>
      <w:proofErr w:type="spellStart"/>
      <w:r w:rsidRPr="00C777FB">
        <w:rPr>
          <w:rFonts w:ascii="Arial" w:hAnsi="Arial" w:cs="Arial"/>
          <w:color w:val="000000" w:themeColor="text1"/>
        </w:rPr>
        <w:t>Klisić</w:t>
      </w:r>
      <w:proofErr w:type="spellEnd"/>
      <w:r w:rsidRPr="00C777FB">
        <w:rPr>
          <w:rFonts w:ascii="Arial" w:hAnsi="Arial" w:cs="Arial"/>
          <w:color w:val="000000" w:themeColor="text1"/>
        </w:rPr>
        <w:t xml:space="preserve"> </w:t>
      </w:r>
      <w:r w:rsidRPr="00C777FB">
        <w:rPr>
          <w:rFonts w:ascii="Arial" w:hAnsi="Arial" w:cs="Arial"/>
          <w:i/>
          <w:iCs/>
          <w:color w:val="000000" w:themeColor="text1"/>
        </w:rPr>
        <w:t>et al</w:t>
      </w:r>
      <w:r w:rsidR="005B53FF" w:rsidRPr="00C777FB">
        <w:rPr>
          <w:rFonts w:ascii="Arial" w:hAnsi="Arial" w:cs="Arial"/>
          <w:color w:val="000000" w:themeColor="text1"/>
        </w:rPr>
        <w:t>. (2022)</w:t>
      </w:r>
      <w:r w:rsidRPr="00C777FB">
        <w:rPr>
          <w:rFonts w:ascii="Arial" w:hAnsi="Arial" w:cs="Arial"/>
          <w:color w:val="000000" w:themeColor="text1"/>
        </w:rPr>
        <w:t xml:space="preserve"> who observed that NLR was elevated in T2DM patients compared to prediabetic and healthy individuals. Several other studies have also documented increased NLR levels in diabetics compared to healthy controls</w:t>
      </w:r>
      <w:r w:rsidR="005B53FF" w:rsidRPr="00C777FB">
        <w:rPr>
          <w:rFonts w:ascii="Arial" w:hAnsi="Arial" w:cs="Arial"/>
          <w:color w:val="000000" w:themeColor="text1"/>
        </w:rPr>
        <w:t xml:space="preserve">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Gunay, 2017;</w:t>
      </w:r>
      <w:r w:rsidR="005B53FF" w:rsidRPr="00C777FB">
        <w:rPr>
          <w:rFonts w:ascii="Times New Roman" w:hAnsi="Times New Roman"/>
          <w:color w:val="000000" w:themeColor="text1"/>
          <w:sz w:val="24"/>
          <w:szCs w:val="24"/>
        </w:rPr>
        <w:t xml:space="preserve"> </w:t>
      </w:r>
      <w:r w:rsidR="005B53FF" w:rsidRPr="00C777FB">
        <w:rPr>
          <w:rFonts w:ascii="Arial" w:hAnsi="Arial" w:cs="Arial"/>
          <w:color w:val="000000" w:themeColor="text1"/>
        </w:rPr>
        <w:t xml:space="preserve">Nagabhushan and Geetha, 2019; Dik, 2020; Chen </w:t>
      </w:r>
      <w:r w:rsidR="005B53FF" w:rsidRPr="00C777FB">
        <w:rPr>
          <w:rFonts w:ascii="Arial" w:hAnsi="Arial" w:cs="Arial"/>
          <w:i/>
          <w:color w:val="000000" w:themeColor="text1"/>
        </w:rPr>
        <w:t>et al</w:t>
      </w:r>
      <w:r w:rsidR="005B53FF" w:rsidRPr="00C777FB">
        <w:rPr>
          <w:rFonts w:ascii="Arial" w:hAnsi="Arial" w:cs="Arial"/>
          <w:color w:val="000000" w:themeColor="text1"/>
        </w:rPr>
        <w:t>., 2024).</w:t>
      </w:r>
    </w:p>
    <w:p w14:paraId="3B02A521"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Numerous studies have demonstrated the predictive value of NLR in diabetes-related complications. NLR has been shown to be a stronger pr</w:t>
      </w:r>
      <w:r w:rsidR="000359A1" w:rsidRPr="00C777FB">
        <w:rPr>
          <w:rFonts w:ascii="Arial" w:hAnsi="Arial" w:cs="Arial"/>
          <w:color w:val="000000" w:themeColor="text1"/>
        </w:rPr>
        <w:t xml:space="preserve">edictor of adverse outcomes (Shiny </w:t>
      </w:r>
      <w:r w:rsidR="000359A1" w:rsidRPr="00C777FB">
        <w:rPr>
          <w:rFonts w:ascii="Arial" w:hAnsi="Arial" w:cs="Arial"/>
          <w:i/>
          <w:color w:val="000000" w:themeColor="text1"/>
        </w:rPr>
        <w:t>et al</w:t>
      </w:r>
      <w:r w:rsidR="000359A1" w:rsidRPr="00C777FB">
        <w:rPr>
          <w:rFonts w:ascii="Arial" w:hAnsi="Arial" w:cs="Arial"/>
          <w:color w:val="000000" w:themeColor="text1"/>
        </w:rPr>
        <w:t>., 2014)</w:t>
      </w:r>
      <w:r w:rsidRPr="00C777FB">
        <w:rPr>
          <w:rFonts w:ascii="Arial" w:hAnsi="Arial" w:cs="Arial"/>
          <w:color w:val="000000" w:themeColor="text1"/>
        </w:rPr>
        <w:t xml:space="preserve">. According to </w:t>
      </w:r>
      <w:proofErr w:type="spellStart"/>
      <w:r w:rsidRPr="00C777FB">
        <w:rPr>
          <w:rFonts w:ascii="Arial" w:hAnsi="Arial" w:cs="Arial"/>
          <w:color w:val="000000" w:themeColor="text1"/>
        </w:rPr>
        <w:t>Moursy</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xml:space="preserve">. </w:t>
      </w:r>
      <w:r w:rsidR="005B53FF" w:rsidRPr="00C777FB">
        <w:rPr>
          <w:rFonts w:ascii="Arial" w:hAnsi="Arial" w:cs="Arial"/>
          <w:color w:val="000000" w:themeColor="text1"/>
        </w:rPr>
        <w:t>(2015)</w:t>
      </w:r>
      <w:r w:rsidRPr="00C777FB">
        <w:rPr>
          <w:rFonts w:ascii="Arial" w:hAnsi="Arial" w:cs="Arial"/>
          <w:color w:val="000000" w:themeColor="text1"/>
        </w:rPr>
        <w:t xml:space="preserve">, its predictive power is comparable to established inflammatory markers such as C-reactive protein (CRP), IL-1, IL-6, and TNF-α in identifying subclinical inflammation and endothelial dysfunction. Liu </w:t>
      </w:r>
      <w:r w:rsidRPr="00C777FB">
        <w:rPr>
          <w:rFonts w:ascii="Arial" w:hAnsi="Arial" w:cs="Arial"/>
          <w:i/>
          <w:color w:val="000000" w:themeColor="text1"/>
        </w:rPr>
        <w:t>et al</w:t>
      </w:r>
      <w:r w:rsidR="005B53FF" w:rsidRPr="00C777FB">
        <w:rPr>
          <w:rFonts w:ascii="Arial" w:hAnsi="Arial" w:cs="Arial"/>
          <w:color w:val="000000" w:themeColor="text1"/>
        </w:rPr>
        <w:t>. (2018)</w:t>
      </w:r>
      <w:r w:rsidRPr="00C777FB">
        <w:rPr>
          <w:rFonts w:ascii="Arial" w:hAnsi="Arial" w:cs="Arial"/>
          <w:color w:val="000000" w:themeColor="text1"/>
        </w:rPr>
        <w:t xml:space="preserve"> reported that elevated NLR levels in T2DM patients are associated with a higher risk of developing diabetic peripheral neuropathy, while Li </w:t>
      </w:r>
      <w:r w:rsidRPr="00C777FB">
        <w:rPr>
          <w:rFonts w:ascii="Arial" w:hAnsi="Arial" w:cs="Arial"/>
          <w:i/>
          <w:color w:val="000000" w:themeColor="text1"/>
        </w:rPr>
        <w:t>et al</w:t>
      </w:r>
      <w:r w:rsidR="005B53FF" w:rsidRPr="00C777FB">
        <w:rPr>
          <w:rFonts w:ascii="Arial" w:hAnsi="Arial" w:cs="Arial"/>
          <w:color w:val="000000" w:themeColor="text1"/>
        </w:rPr>
        <w:t>. (2024)</w:t>
      </w:r>
      <w:r w:rsidRPr="00C777FB">
        <w:rPr>
          <w:rFonts w:ascii="Arial" w:hAnsi="Arial" w:cs="Arial"/>
          <w:color w:val="000000" w:themeColor="text1"/>
        </w:rPr>
        <w:t xml:space="preserve"> identified NLR as a potential marker for assessing the risk of diabetic kidney disease. Additionally, Li </w:t>
      </w:r>
      <w:r w:rsidRPr="00C777FB">
        <w:rPr>
          <w:rFonts w:ascii="Arial" w:hAnsi="Arial" w:cs="Arial"/>
          <w:i/>
          <w:color w:val="000000" w:themeColor="text1"/>
        </w:rPr>
        <w:t>et al</w:t>
      </w:r>
      <w:r w:rsidRPr="00C777FB">
        <w:rPr>
          <w:rFonts w:ascii="Arial" w:hAnsi="Arial" w:cs="Arial"/>
          <w:color w:val="000000" w:themeColor="text1"/>
        </w:rPr>
        <w:t>.</w:t>
      </w:r>
      <w:r w:rsidR="005B53FF" w:rsidRPr="00C777FB">
        <w:rPr>
          <w:rFonts w:ascii="Arial" w:hAnsi="Arial" w:cs="Arial"/>
          <w:color w:val="000000" w:themeColor="text1"/>
        </w:rPr>
        <w:t xml:space="preserve"> (2024)</w:t>
      </w:r>
      <w:r w:rsidRPr="00C777FB">
        <w:rPr>
          <w:rFonts w:ascii="Arial" w:hAnsi="Arial" w:cs="Arial"/>
          <w:color w:val="000000" w:themeColor="text1"/>
        </w:rPr>
        <w:t xml:space="preserve"> highlighted its diagnostic relevance in diabetic reti</w:t>
      </w:r>
      <w:r w:rsidR="005B53FF" w:rsidRPr="00C777FB">
        <w:rPr>
          <w:rFonts w:ascii="Arial" w:hAnsi="Arial" w:cs="Arial"/>
          <w:color w:val="000000" w:themeColor="text1"/>
        </w:rPr>
        <w:t xml:space="preserve">nopathy.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Gunay (2017)</w:t>
      </w:r>
      <w:r w:rsidRPr="00C777FB">
        <w:rPr>
          <w:rFonts w:ascii="Arial" w:hAnsi="Arial" w:cs="Arial"/>
          <w:color w:val="000000" w:themeColor="text1"/>
        </w:rPr>
        <w:t xml:space="preserve"> also reported that higher NLR values are associated with increased insulin resistance.</w:t>
      </w:r>
    </w:p>
    <w:p w14:paraId="6F85ABE4"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 xml:space="preserve">In this study, diabetic participants showed a lower PNR compared to healthy controls, possibly indicating an imbalance characterized by increased neutrophil-driven inflammation and reduced platelet-mediated </w:t>
      </w:r>
      <w:proofErr w:type="spellStart"/>
      <w:r w:rsidRPr="00C777FB">
        <w:rPr>
          <w:rFonts w:ascii="Arial" w:hAnsi="Arial" w:cs="Arial"/>
          <w:color w:val="000000" w:themeColor="text1"/>
        </w:rPr>
        <w:t>h</w:t>
      </w:r>
      <w:r w:rsidR="00B842B1">
        <w:rPr>
          <w:rFonts w:ascii="Arial" w:hAnsi="Arial" w:cs="Arial"/>
          <w:color w:val="000000" w:themeColor="text1"/>
        </w:rPr>
        <w:t>a</w:t>
      </w:r>
      <w:r w:rsidRPr="00C777FB">
        <w:rPr>
          <w:rFonts w:ascii="Arial" w:hAnsi="Arial" w:cs="Arial"/>
          <w:color w:val="000000" w:themeColor="text1"/>
        </w:rPr>
        <w:t>emostatic</w:t>
      </w:r>
      <w:proofErr w:type="spellEnd"/>
      <w:r w:rsidRPr="00C777FB">
        <w:rPr>
          <w:rFonts w:ascii="Arial" w:hAnsi="Arial" w:cs="Arial"/>
          <w:color w:val="000000" w:themeColor="text1"/>
        </w:rPr>
        <w:t xml:space="preserve"> function. This observation aligns with the findings of Sun </w:t>
      </w:r>
      <w:r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who reported that a decrease in platelet count combined with an increase in neutrophils can lead to reduced PNR levels. Although research on PNR in individuals with diabetes remains limited, it is gaining attention as a valuable marker. PNR provides a broader reflection of the interplay between thrombotic</w:t>
      </w:r>
      <w:r w:rsidR="005B53FF" w:rsidRPr="00C777FB">
        <w:rPr>
          <w:rFonts w:ascii="Arial" w:hAnsi="Arial" w:cs="Arial"/>
          <w:color w:val="000000" w:themeColor="text1"/>
        </w:rPr>
        <w:t xml:space="preserve"> and inflammatory processes (Sun </w:t>
      </w:r>
      <w:r w:rsidR="005B53FF"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While chronic hyperglycemia promotes neutrophil activation and recruitment, several factors may contribute to reduced platelet counts in diabetes. The prothrombotic state commonly seen in diabetes, driven by abnormal platelet activity and coagulation pathway activation, can lead to higher platelet consumption during thrombus formation. Additionally, inflammatory cytokines and oxidative stress in diabetes may damage platelets, accelerating the</w:t>
      </w:r>
      <w:r w:rsidR="005B53FF" w:rsidRPr="00C777FB">
        <w:rPr>
          <w:rFonts w:ascii="Arial" w:hAnsi="Arial" w:cs="Arial"/>
          <w:color w:val="000000" w:themeColor="text1"/>
        </w:rPr>
        <w:t xml:space="preserve">ir removal from circulation (Liao </w:t>
      </w:r>
      <w:r w:rsidR="005B53FF"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xml:space="preserve">. The findings of this study are consistent with those of </w:t>
      </w:r>
      <w:proofErr w:type="spellStart"/>
      <w:r w:rsidRPr="00C777FB">
        <w:rPr>
          <w:rFonts w:ascii="Arial" w:hAnsi="Arial" w:cs="Arial"/>
          <w:color w:val="000000" w:themeColor="text1"/>
        </w:rPr>
        <w:t>Klisic</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005B53FF" w:rsidRPr="00C777FB">
        <w:rPr>
          <w:rFonts w:ascii="Arial" w:hAnsi="Arial" w:cs="Arial"/>
          <w:color w:val="000000" w:themeColor="text1"/>
        </w:rPr>
        <w:t>. (2022)</w:t>
      </w:r>
      <w:r w:rsidRPr="00C777FB">
        <w:rPr>
          <w:rFonts w:ascii="Arial" w:hAnsi="Arial" w:cs="Arial"/>
          <w:color w:val="000000" w:themeColor="text1"/>
        </w:rPr>
        <w:t xml:space="preserve">, who reported significantly lower PNR values in individuals with T2DM compared to those with prediabetes or healthy controls. The study by Essawi </w:t>
      </w:r>
      <w:r w:rsidRPr="00C777FB">
        <w:rPr>
          <w:rFonts w:ascii="Arial" w:hAnsi="Arial" w:cs="Arial"/>
          <w:i/>
          <w:iCs/>
          <w:color w:val="000000" w:themeColor="text1"/>
        </w:rPr>
        <w:t>et al</w:t>
      </w:r>
      <w:r w:rsidR="005B53FF" w:rsidRPr="00C777FB">
        <w:rPr>
          <w:rFonts w:ascii="Arial" w:hAnsi="Arial" w:cs="Arial"/>
          <w:color w:val="000000" w:themeColor="text1"/>
        </w:rPr>
        <w:t>. (2023)</w:t>
      </w:r>
      <w:r w:rsidRPr="00C777FB">
        <w:rPr>
          <w:rFonts w:ascii="Arial" w:hAnsi="Arial" w:cs="Arial"/>
          <w:color w:val="000000" w:themeColor="text1"/>
        </w:rPr>
        <w:t xml:space="preserve"> also reported reduced PNR in individuals with diabetes. Sun </w:t>
      </w:r>
      <w:r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xml:space="preserve"> also demonstrated that diabetic retinopathy patients with lower PNR were more likely to develop diabetic macular edema. Beyond diabetes, reduced PNR has also been associated with disease severity in other conditions. Jin </w:t>
      </w:r>
      <w:r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found that a lower PNR at admission was associated with poor 90-day outcomes in patients with acute ischemic stroke.</w:t>
      </w:r>
    </w:p>
    <w:p w14:paraId="76203FEA"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The PLR has also recently gained attention as a marker of systemic inflammation in chronic diseases, including diabetes-related complications</w:t>
      </w:r>
      <w:r w:rsidR="005B53FF" w:rsidRPr="00C777FB">
        <w:rPr>
          <w:rFonts w:ascii="Arial" w:hAnsi="Arial" w:cs="Arial"/>
          <w:color w:val="000000" w:themeColor="text1"/>
        </w:rPr>
        <w:t xml:space="preserve"> (Kim </w:t>
      </w:r>
      <w:r w:rsidR="005B53FF" w:rsidRPr="00C777FB">
        <w:rPr>
          <w:rFonts w:ascii="Arial" w:hAnsi="Arial" w:cs="Arial"/>
          <w:i/>
          <w:color w:val="000000" w:themeColor="text1"/>
        </w:rPr>
        <w:t>et al</w:t>
      </w:r>
      <w:r w:rsidR="005B53FF" w:rsidRPr="00C777FB">
        <w:rPr>
          <w:rFonts w:ascii="Arial" w:hAnsi="Arial" w:cs="Arial"/>
          <w:color w:val="000000" w:themeColor="text1"/>
        </w:rPr>
        <w:t xml:space="preserve">., 2016;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Gunay, 2017; Serban </w:t>
      </w:r>
      <w:r w:rsidR="005B53FF" w:rsidRPr="00C777FB">
        <w:rPr>
          <w:rFonts w:ascii="Arial" w:hAnsi="Arial" w:cs="Arial"/>
          <w:i/>
          <w:color w:val="000000" w:themeColor="text1"/>
        </w:rPr>
        <w:t>et al</w:t>
      </w:r>
      <w:r w:rsidR="005B53FF" w:rsidRPr="00C777FB">
        <w:rPr>
          <w:rFonts w:ascii="Arial" w:hAnsi="Arial" w:cs="Arial"/>
          <w:color w:val="000000" w:themeColor="text1"/>
        </w:rPr>
        <w:t>., 2024)</w:t>
      </w:r>
      <w:r w:rsidRPr="00C777FB">
        <w:rPr>
          <w:rFonts w:ascii="Arial" w:hAnsi="Arial" w:cs="Arial"/>
          <w:color w:val="000000" w:themeColor="text1"/>
        </w:rPr>
        <w:t>. Several studies have demonstrated a strong association between PLR and diabetes, suggesting its potential utility in assessing disease progression</w:t>
      </w:r>
      <w:r w:rsidR="005B53FF" w:rsidRPr="00C777FB">
        <w:rPr>
          <w:rFonts w:ascii="Arial" w:hAnsi="Arial" w:cs="Arial"/>
          <w:color w:val="000000" w:themeColor="text1"/>
        </w:rPr>
        <w:t xml:space="preserve"> (Atak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predicting diabetes-related lower limb vascular disease </w:t>
      </w:r>
      <w:r w:rsidR="005B53FF" w:rsidRPr="00C777FB">
        <w:rPr>
          <w:rFonts w:ascii="Arial" w:hAnsi="Arial" w:cs="Arial"/>
          <w:color w:val="000000" w:themeColor="text1"/>
        </w:rPr>
        <w:t xml:space="preserve">(Liu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and evaluating atherosclerosis and diabetic foot ulcers</w:t>
      </w:r>
      <w:r w:rsidR="005B53FF" w:rsidRPr="00C777FB">
        <w:rPr>
          <w:rFonts w:ascii="Arial" w:hAnsi="Arial" w:cs="Arial"/>
          <w:color w:val="000000" w:themeColor="text1"/>
        </w:rPr>
        <w:t xml:space="preserve"> (</w:t>
      </w:r>
      <w:proofErr w:type="spellStart"/>
      <w:r w:rsidR="005B53FF" w:rsidRPr="00C777FB">
        <w:rPr>
          <w:rFonts w:ascii="Arial" w:hAnsi="Arial" w:cs="Arial"/>
          <w:color w:val="000000" w:themeColor="text1"/>
        </w:rPr>
        <w:t>Mineoka</w:t>
      </w:r>
      <w:proofErr w:type="spellEnd"/>
      <w:r w:rsidR="005B53FF" w:rsidRPr="00C777FB">
        <w:rPr>
          <w:rFonts w:ascii="Arial" w:hAnsi="Arial" w:cs="Arial"/>
          <w:color w:val="000000" w:themeColor="text1"/>
        </w:rPr>
        <w:t xml:space="preserve">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In the present study, we observed a reduced PLR in diabetic participants compared to non-diabetic controls. This decrease may reflect increased platelet activation and aggregation commonly seen in individuals with T2DM, consistent with findings reported by Mendes </w:t>
      </w:r>
      <w:r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Although </w:t>
      </w:r>
      <w:proofErr w:type="spellStart"/>
      <w:r w:rsidRPr="00C777FB">
        <w:rPr>
          <w:rFonts w:ascii="Arial" w:hAnsi="Arial" w:cs="Arial"/>
          <w:color w:val="000000" w:themeColor="text1"/>
        </w:rPr>
        <w:t>Klisic</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xml:space="preserve">. </w:t>
      </w:r>
      <w:r w:rsidR="005B53FF" w:rsidRPr="00C777FB">
        <w:rPr>
          <w:rFonts w:ascii="Arial" w:hAnsi="Arial" w:cs="Arial"/>
          <w:color w:val="000000" w:themeColor="text1"/>
        </w:rPr>
        <w:t>(2022)</w:t>
      </w:r>
      <w:r w:rsidRPr="00C777FB">
        <w:rPr>
          <w:rFonts w:ascii="Arial" w:hAnsi="Arial" w:cs="Arial"/>
          <w:color w:val="000000" w:themeColor="text1"/>
        </w:rPr>
        <w:t xml:space="preserve"> also observed lower PLR values in T2DM patients compared to those with </w:t>
      </w:r>
      <w:r w:rsidRPr="00C777FB">
        <w:rPr>
          <w:rFonts w:ascii="Arial" w:hAnsi="Arial" w:cs="Arial"/>
          <w:color w:val="000000" w:themeColor="text1"/>
        </w:rPr>
        <w:lastRenderedPageBreak/>
        <w:t>prediabetes and healthy controls, the difference was not statistically signi</w:t>
      </w:r>
      <w:r w:rsidR="005B53FF" w:rsidRPr="00C777FB">
        <w:rPr>
          <w:rFonts w:ascii="Arial" w:hAnsi="Arial" w:cs="Arial"/>
          <w:color w:val="000000" w:themeColor="text1"/>
        </w:rPr>
        <w:t xml:space="preserve">ficant.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Gunnay</w:t>
      </w:r>
      <w:proofErr w:type="spellEnd"/>
      <w:r w:rsidR="005B53FF" w:rsidRPr="00C777FB">
        <w:rPr>
          <w:rFonts w:ascii="Arial" w:hAnsi="Arial" w:cs="Arial"/>
          <w:color w:val="000000" w:themeColor="text1"/>
        </w:rPr>
        <w:t xml:space="preserve"> (2017)</w:t>
      </w:r>
      <w:r w:rsidRPr="00C777FB">
        <w:rPr>
          <w:rFonts w:ascii="Arial" w:hAnsi="Arial" w:cs="Arial"/>
          <w:color w:val="000000" w:themeColor="text1"/>
        </w:rPr>
        <w:t xml:space="preserve"> reported a biphasic pattern in PLR dynamics, with lower values in prediabetes and early-stage diabetes and higher levels in advanced diabetes. However, findings on PLR remain mixed. While some studies, such as those by Dik </w:t>
      </w:r>
      <w:r w:rsidR="00FD5D92" w:rsidRPr="00C777FB">
        <w:rPr>
          <w:rFonts w:ascii="Arial" w:hAnsi="Arial" w:cs="Arial"/>
          <w:color w:val="000000" w:themeColor="text1"/>
        </w:rPr>
        <w:t>(2020)</w:t>
      </w:r>
      <w:r w:rsidRPr="00C777FB">
        <w:rPr>
          <w:rFonts w:ascii="Arial" w:hAnsi="Arial" w:cs="Arial"/>
          <w:color w:val="000000" w:themeColor="text1"/>
        </w:rPr>
        <w:t xml:space="preserve"> and Yazar </w:t>
      </w:r>
      <w:r w:rsidRPr="00C777FB">
        <w:rPr>
          <w:rFonts w:ascii="Arial" w:hAnsi="Arial" w:cs="Arial"/>
          <w:i/>
          <w:color w:val="000000" w:themeColor="text1"/>
        </w:rPr>
        <w:t>et al</w:t>
      </w:r>
      <w:r w:rsidR="00FD5D92" w:rsidRPr="00C777FB">
        <w:rPr>
          <w:rFonts w:ascii="Arial" w:hAnsi="Arial" w:cs="Arial"/>
          <w:color w:val="000000" w:themeColor="text1"/>
        </w:rPr>
        <w:t>. (2015)</w:t>
      </w:r>
      <w:r w:rsidRPr="00C777FB">
        <w:rPr>
          <w:rFonts w:ascii="Arial" w:hAnsi="Arial" w:cs="Arial"/>
          <w:color w:val="000000" w:themeColor="text1"/>
        </w:rPr>
        <w:t>, found no significant differences in PLR between diabetic and healthy individuals, others have reported elevated PLR in T2DM patients</w:t>
      </w:r>
      <w:r w:rsidR="00FD5D92" w:rsidRPr="00C777FB">
        <w:rPr>
          <w:rFonts w:ascii="Arial" w:hAnsi="Arial" w:cs="Arial"/>
          <w:color w:val="000000" w:themeColor="text1"/>
        </w:rPr>
        <w:t xml:space="preserve"> (Atak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2019; Wang </w:t>
      </w:r>
      <w:r w:rsidR="00FD5D92" w:rsidRPr="00C777FB">
        <w:rPr>
          <w:rFonts w:ascii="Arial" w:hAnsi="Arial" w:cs="Arial"/>
          <w:i/>
          <w:color w:val="000000" w:themeColor="text1"/>
        </w:rPr>
        <w:t>et al</w:t>
      </w:r>
      <w:r w:rsidR="00FD5D92" w:rsidRPr="00C777FB">
        <w:rPr>
          <w:rFonts w:ascii="Arial" w:hAnsi="Arial" w:cs="Arial"/>
          <w:color w:val="000000" w:themeColor="text1"/>
        </w:rPr>
        <w:t>., 2020)</w:t>
      </w:r>
      <w:r w:rsidRPr="00C777FB">
        <w:rPr>
          <w:rFonts w:ascii="Arial" w:hAnsi="Arial" w:cs="Arial"/>
          <w:color w:val="000000" w:themeColor="text1"/>
        </w:rPr>
        <w:t>. Given these inconsistencies, longitudinal studies are needed to track PLR changes over time and across different stages of diabetes, as well as under varying clinical conditions, to better determine its diagnostic and prognostic relevance.</w:t>
      </w:r>
    </w:p>
    <w:p w14:paraId="4E40D809"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 xml:space="preserve">Diabetic patients in the present study exhibited significantly higher ESR compared to healthy controls indicating that hyperglycemia may also impact RBC morphology and function. Erythrocytes are the primary glucose-consuming cells in the bloodstream, and in hyperglycemic conditions, excess glucose binds to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within RBCs, forming HbA1c, which is stable and does not easily degrade</w:t>
      </w:r>
      <w:r w:rsidR="00FD5D92" w:rsidRPr="00C777FB">
        <w:rPr>
          <w:rFonts w:ascii="Arial" w:hAnsi="Arial" w:cs="Arial"/>
          <w:color w:val="000000" w:themeColor="text1"/>
        </w:rPr>
        <w:t xml:space="preserve"> (Zhou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Wang </w:t>
      </w:r>
      <w:r w:rsidR="00FD5D92" w:rsidRPr="00C777FB">
        <w:rPr>
          <w:rFonts w:ascii="Arial" w:hAnsi="Arial" w:cs="Arial"/>
          <w:i/>
          <w:color w:val="000000" w:themeColor="text1"/>
        </w:rPr>
        <w:t>et al</w:t>
      </w:r>
      <w:r w:rsidR="00FD5D92" w:rsidRPr="00C777FB">
        <w:rPr>
          <w:rFonts w:ascii="Arial" w:hAnsi="Arial" w:cs="Arial"/>
          <w:color w:val="000000" w:themeColor="text1"/>
        </w:rPr>
        <w:t>., 2021)</w:t>
      </w:r>
      <w:r w:rsidRPr="00C777FB">
        <w:rPr>
          <w:rFonts w:ascii="Arial" w:hAnsi="Arial" w:cs="Arial"/>
          <w:color w:val="000000" w:themeColor="text1"/>
        </w:rPr>
        <w:t>. This glycation process extends to the erythrocyte membrane, resulting in membrane stiffening and reduced cell deformability</w:t>
      </w:r>
      <w:r w:rsidR="00FD5D92" w:rsidRPr="00C777FB">
        <w:rPr>
          <w:rFonts w:ascii="Arial" w:hAnsi="Arial" w:cs="Arial"/>
          <w:color w:val="000000" w:themeColor="text1"/>
        </w:rPr>
        <w:t xml:space="preserve"> (Lee </w:t>
      </w:r>
      <w:r w:rsidR="00FD5D92" w:rsidRPr="00C777FB">
        <w:rPr>
          <w:rFonts w:ascii="Arial" w:hAnsi="Arial" w:cs="Arial"/>
          <w:i/>
          <w:color w:val="000000" w:themeColor="text1"/>
        </w:rPr>
        <w:t>et al</w:t>
      </w:r>
      <w:r w:rsidR="00FD5D92" w:rsidRPr="00C777FB">
        <w:rPr>
          <w:rFonts w:ascii="Arial" w:hAnsi="Arial" w:cs="Arial"/>
          <w:color w:val="000000" w:themeColor="text1"/>
        </w:rPr>
        <w:t>., 2015;</w:t>
      </w:r>
      <w:r w:rsidR="00FD5D92" w:rsidRPr="00C777FB">
        <w:rPr>
          <w:rFonts w:ascii="Times New Roman" w:hAnsi="Times New Roman"/>
          <w:color w:val="000000" w:themeColor="text1"/>
          <w:sz w:val="24"/>
          <w:szCs w:val="24"/>
        </w:rPr>
        <w:t xml:space="preserve"> </w:t>
      </w:r>
      <w:r w:rsidR="00FD5D92" w:rsidRPr="00C777FB">
        <w:rPr>
          <w:rFonts w:ascii="Arial" w:hAnsi="Arial" w:cs="Arial"/>
          <w:color w:val="000000" w:themeColor="text1"/>
        </w:rPr>
        <w:t xml:space="preserve">Loyola-Leyva </w:t>
      </w:r>
      <w:r w:rsidR="00FD5D92" w:rsidRPr="00C777FB">
        <w:rPr>
          <w:rFonts w:ascii="Arial" w:hAnsi="Arial" w:cs="Arial"/>
          <w:i/>
          <w:color w:val="000000" w:themeColor="text1"/>
        </w:rPr>
        <w:t>et al</w:t>
      </w:r>
      <w:r w:rsidR="00FD5D92" w:rsidRPr="00C777FB">
        <w:rPr>
          <w:rFonts w:ascii="Arial" w:hAnsi="Arial" w:cs="Arial"/>
          <w:color w:val="000000" w:themeColor="text1"/>
        </w:rPr>
        <w:t>., 2018)</w:t>
      </w:r>
      <w:r w:rsidRPr="00C777FB">
        <w:rPr>
          <w:rFonts w:ascii="Arial" w:hAnsi="Arial" w:cs="Arial"/>
          <w:color w:val="000000" w:themeColor="text1"/>
        </w:rPr>
        <w:t xml:space="preserve">. Structural changes in erythrocytes under high-glucose conditions have been well-documented. </w:t>
      </w:r>
      <w:r w:rsidR="00FD5D92" w:rsidRPr="00C777FB">
        <w:rPr>
          <w:rFonts w:ascii="Arial" w:hAnsi="Arial" w:cs="Arial"/>
          <w:color w:val="000000" w:themeColor="text1"/>
        </w:rPr>
        <w:t>For example, Babu and Singh (2004)</w:t>
      </w:r>
      <w:r w:rsidRPr="00C777FB">
        <w:rPr>
          <w:rFonts w:ascii="Arial" w:hAnsi="Arial" w:cs="Arial"/>
          <w:color w:val="000000" w:themeColor="text1"/>
        </w:rPr>
        <w:t xml:space="preserve"> reported that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lead to a proportional increase in the perimeter of erythrocytes, a reduction in surface area, and greater irregularities in membrane structure. Consequently, as the internal environment becomes increasingly hyperglycemic, the proportion of normal biconcave erythrocytes declines, while the number of deformed cells rises</w:t>
      </w:r>
      <w:r w:rsidR="00FD5D92" w:rsidRPr="00C777FB">
        <w:rPr>
          <w:rFonts w:ascii="Arial" w:hAnsi="Arial" w:cs="Arial"/>
          <w:color w:val="000000" w:themeColor="text1"/>
        </w:rPr>
        <w:t xml:space="preserve"> (Wang </w:t>
      </w:r>
      <w:r w:rsidR="00FD5D92" w:rsidRPr="00C777FB">
        <w:rPr>
          <w:rFonts w:ascii="Arial" w:hAnsi="Arial" w:cs="Arial"/>
          <w:i/>
          <w:color w:val="000000" w:themeColor="text1"/>
        </w:rPr>
        <w:t>et al</w:t>
      </w:r>
      <w:r w:rsidR="00FD5D92" w:rsidRPr="00C777FB">
        <w:rPr>
          <w:rFonts w:ascii="Arial" w:hAnsi="Arial" w:cs="Arial"/>
          <w:color w:val="000000" w:themeColor="text1"/>
        </w:rPr>
        <w:t>., 2021)</w:t>
      </w:r>
      <w:r w:rsidRPr="00C777FB">
        <w:rPr>
          <w:rFonts w:ascii="Arial" w:hAnsi="Arial" w:cs="Arial"/>
          <w:color w:val="000000" w:themeColor="text1"/>
        </w:rPr>
        <w:t>. These morphological changes promote rouleaux formation, which is a key driver of elevated ESR.</w:t>
      </w:r>
      <w:r w:rsidR="002063A4">
        <w:rPr>
          <w:rFonts w:ascii="Arial" w:hAnsi="Arial" w:cs="Arial"/>
          <w:color w:val="000000" w:themeColor="text1"/>
        </w:rPr>
        <w:t xml:space="preserve"> </w:t>
      </w:r>
      <w:r w:rsidRPr="00C777FB">
        <w:rPr>
          <w:rFonts w:ascii="Arial" w:hAnsi="Arial" w:cs="Arial"/>
          <w:color w:val="000000" w:themeColor="text1"/>
        </w:rPr>
        <w:t xml:space="preserve">Beyond morphological changes, the elevated ESR observed may also reflect an increase in acute-phase reactants commonly associated with diabetes. Mahajan </w:t>
      </w:r>
      <w:r w:rsidRPr="00C777FB">
        <w:rPr>
          <w:rFonts w:ascii="Arial" w:hAnsi="Arial" w:cs="Arial"/>
          <w:i/>
          <w:color w:val="000000" w:themeColor="text1"/>
        </w:rPr>
        <w:t>et al</w:t>
      </w:r>
      <w:r w:rsidR="00FD5D92" w:rsidRPr="00C777FB">
        <w:rPr>
          <w:rFonts w:ascii="Arial" w:hAnsi="Arial" w:cs="Arial"/>
          <w:color w:val="000000" w:themeColor="text1"/>
        </w:rPr>
        <w:t>. (2023)</w:t>
      </w:r>
      <w:r w:rsidRPr="00C777FB">
        <w:rPr>
          <w:rFonts w:ascii="Arial" w:hAnsi="Arial" w:cs="Arial"/>
          <w:color w:val="000000" w:themeColor="text1"/>
        </w:rPr>
        <w:t xml:space="preserve"> found that levels of these inflammatory proteins were significantly higher in diabetic patients and increased with disease duration. Additionally, the chronic low-grade inflammation characteristic of diabetes, likely contributes to the production of acute-phase proteins, which causes a further rise in ESR. These findings are consistent with previous studies that also reported significantly higher ESR values in diabetic individuals compared to control groups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Mungamuri</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Al-Nimer and Ratha, 2022; Abbas </w:t>
      </w:r>
      <w:r w:rsidR="00FD5D92" w:rsidRPr="00C777FB">
        <w:rPr>
          <w:rFonts w:ascii="Arial" w:hAnsi="Arial" w:cs="Arial"/>
          <w:i/>
          <w:color w:val="000000" w:themeColor="text1"/>
        </w:rPr>
        <w:t>et al</w:t>
      </w:r>
      <w:r w:rsidR="00FD5D92" w:rsidRPr="00C777FB">
        <w:rPr>
          <w:rFonts w:ascii="Arial" w:hAnsi="Arial" w:cs="Arial"/>
          <w:color w:val="000000" w:themeColor="text1"/>
        </w:rPr>
        <w:t>., 2023)</w:t>
      </w:r>
      <w:r w:rsidRPr="00C777FB">
        <w:rPr>
          <w:rFonts w:ascii="Arial" w:hAnsi="Arial" w:cs="Arial"/>
          <w:color w:val="000000" w:themeColor="text1"/>
        </w:rPr>
        <w:t>.</w:t>
      </w:r>
    </w:p>
    <w:p w14:paraId="28ACBDFE"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 xml:space="preserve">Gender based comparison also revealed significantly elevated NLR and reduced PNR in both male and female diabetic subjects compared to their healthy control counterparts. While PLR remained comparable between the diabetic and non-diabetic males, there was a significantly lower PLR among the diabetic female subject when compared to the healthy female control. The ESR was also high among both male and female diabetic patients compared to their healthy control counterparts. This supports the notion that inflammation is a central feature of diabetes, irrespective of gender. When comparing the trend in ESR, female diabetic patients exhibited higher values than their male counterparts. This observation is consistent with the findings of </w:t>
      </w:r>
      <w:proofErr w:type="spellStart"/>
      <w:r w:rsidRPr="00C777FB">
        <w:rPr>
          <w:rFonts w:ascii="Arial" w:hAnsi="Arial" w:cs="Arial"/>
          <w:color w:val="000000" w:themeColor="text1"/>
        </w:rPr>
        <w:t>Alende</w:t>
      </w:r>
      <w:proofErr w:type="spellEnd"/>
      <w:r w:rsidRPr="00C777FB">
        <w:rPr>
          <w:rFonts w:ascii="Arial" w:hAnsi="Arial" w:cs="Arial"/>
          <w:color w:val="000000" w:themeColor="text1"/>
        </w:rPr>
        <w:t xml:space="preserve">-Castro </w:t>
      </w:r>
      <w:r w:rsidRPr="00C777FB">
        <w:rPr>
          <w:rFonts w:ascii="Arial" w:hAnsi="Arial" w:cs="Arial"/>
          <w:i/>
          <w:color w:val="000000" w:themeColor="text1"/>
        </w:rPr>
        <w:t>et al</w:t>
      </w:r>
      <w:r w:rsidR="00FD5D92" w:rsidRPr="00C777FB">
        <w:rPr>
          <w:rFonts w:ascii="Arial" w:hAnsi="Arial" w:cs="Arial"/>
          <w:color w:val="000000" w:themeColor="text1"/>
        </w:rPr>
        <w:t>. (2019)</w:t>
      </w:r>
      <w:r w:rsidRPr="00C777FB">
        <w:rPr>
          <w:rFonts w:ascii="Arial" w:hAnsi="Arial" w:cs="Arial"/>
          <w:color w:val="000000" w:themeColor="text1"/>
        </w:rPr>
        <w:t>, who reported that ESR varies with both age and gender but is generally higher in females.</w:t>
      </w:r>
    </w:p>
    <w:p w14:paraId="06018242"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 xml:space="preserve">Although the duration of diabetes did not have a statistically significant effect on the NLR, PNR, PLR, and ESR, certain trends were observed. NLR exhibited an upward trend with increasing disease duration, while PNR showed a gradual decline. This may reflect the progressive nature of chronic inflammation in diabetes, as prolonged hyperglycemia is known to enhance neutrophil activity and contribute to systemic inflammation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Kizilgul</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w:t>
      </w:r>
      <w:proofErr w:type="spellStart"/>
      <w:r w:rsidR="00FD5D92" w:rsidRPr="00C777FB">
        <w:rPr>
          <w:rFonts w:ascii="Arial" w:hAnsi="Arial" w:cs="Arial"/>
          <w:color w:val="000000" w:themeColor="text1"/>
        </w:rPr>
        <w:t>Giovenzana</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2022)</w:t>
      </w:r>
      <w:r w:rsidRPr="00C777FB">
        <w:rPr>
          <w:rFonts w:ascii="Arial" w:hAnsi="Arial" w:cs="Arial"/>
          <w:color w:val="000000" w:themeColor="text1"/>
        </w:rPr>
        <w:t xml:space="preserve">, potentially explaining the rise in NLR. Conversely, the decline in PNR might suggest reduced platelet-neutrophil interaction over time. Unlike the present study, other research has reported significantly higher PLR levels in patients with longer durations of T2DM and in those with complications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Mertoglu</w:t>
      </w:r>
      <w:proofErr w:type="spellEnd"/>
      <w:r w:rsidR="00FD5D92" w:rsidRPr="00C777FB">
        <w:rPr>
          <w:rFonts w:ascii="Arial" w:hAnsi="Arial" w:cs="Arial"/>
          <w:color w:val="000000" w:themeColor="text1"/>
        </w:rPr>
        <w:t xml:space="preserve"> and Gunay, 2017; Chen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2021; Atli </w:t>
      </w:r>
      <w:r w:rsidR="00FD5D92" w:rsidRPr="00C777FB">
        <w:rPr>
          <w:rFonts w:ascii="Arial" w:hAnsi="Arial" w:cs="Arial"/>
          <w:i/>
          <w:color w:val="000000" w:themeColor="text1"/>
        </w:rPr>
        <w:t>et al</w:t>
      </w:r>
      <w:r w:rsidR="00FD5D92" w:rsidRPr="00C777FB">
        <w:rPr>
          <w:rFonts w:ascii="Arial" w:hAnsi="Arial" w:cs="Arial"/>
          <w:color w:val="000000" w:themeColor="text1"/>
        </w:rPr>
        <w:t>., 2022)</w:t>
      </w:r>
      <w:r w:rsidRPr="00C777FB">
        <w:rPr>
          <w:rFonts w:ascii="Arial" w:hAnsi="Arial" w:cs="Arial"/>
          <w:color w:val="000000" w:themeColor="text1"/>
        </w:rPr>
        <w:t xml:space="preserve">, highlighting the variability in inflammatory responses among diabetic populations. </w:t>
      </w:r>
      <w:r w:rsidRPr="00C777FB">
        <w:rPr>
          <w:rFonts w:ascii="Arial" w:hAnsi="Arial" w:cs="Arial"/>
          <w:color w:val="000000" w:themeColor="text1"/>
        </w:rPr>
        <w:lastRenderedPageBreak/>
        <w:t xml:space="preserve">Similarly, while ESR tended to increase with longer disease duration likely reflecting the cumulative effect of chronic low-grade inflammation this trend also did not reach statistical significance, possibly due to inter-individual differences in inflammatory status. </w:t>
      </w:r>
    </w:p>
    <w:p w14:paraId="02EECE4F" w14:textId="77777777" w:rsidR="007337BC" w:rsidRPr="00C777FB" w:rsidRDefault="007337BC" w:rsidP="007337BC">
      <w:pPr>
        <w:pStyle w:val="Body"/>
        <w:spacing w:after="0"/>
        <w:rPr>
          <w:rFonts w:ascii="Arial" w:hAnsi="Arial" w:cs="Arial"/>
          <w:color w:val="000000" w:themeColor="text1"/>
        </w:rPr>
      </w:pPr>
      <w:r w:rsidRPr="00C777FB">
        <w:rPr>
          <w:rFonts w:ascii="Arial" w:hAnsi="Arial" w:cs="Arial"/>
          <w:color w:val="000000" w:themeColor="text1"/>
        </w:rPr>
        <w:t xml:space="preserve">This study assessed the correlation between HbA1c and NLR, PNR, PLR, and ESR among diabetic subjects.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is a well-established indicator of long-term glycemic control in diabetic patients and a key predictor of microvascular complications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Amaeshi</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2024)</w:t>
      </w:r>
      <w:r w:rsidRPr="00C777FB">
        <w:rPr>
          <w:rFonts w:ascii="Arial" w:hAnsi="Arial" w:cs="Arial"/>
          <w:color w:val="000000" w:themeColor="text1"/>
        </w:rPr>
        <w:t>. The findings of this study indicate that NLR and ESR are not associated with HbA1c levels.</w:t>
      </w:r>
      <w:r w:rsidR="009F10D4" w:rsidRPr="00C777FB">
        <w:rPr>
          <w:rFonts w:ascii="Arial" w:hAnsi="Arial" w:cs="Arial"/>
          <w:color w:val="000000" w:themeColor="text1"/>
        </w:rPr>
        <w:t xml:space="preserve"> However, several studies have reported a positive association between the NLR and HbA1c levels, suggesting NLR could be useful for assessing glycemic control (</w:t>
      </w:r>
      <w:proofErr w:type="spellStart"/>
      <w:r w:rsidR="009F10D4" w:rsidRPr="00C777FB">
        <w:rPr>
          <w:rFonts w:ascii="Arial" w:hAnsi="Arial" w:cs="Arial"/>
          <w:color w:val="000000" w:themeColor="text1"/>
        </w:rPr>
        <w:t>Mousry</w:t>
      </w:r>
      <w:proofErr w:type="spellEnd"/>
      <w:r w:rsidR="009F10D4" w:rsidRPr="00C777FB">
        <w:rPr>
          <w:rFonts w:ascii="Arial" w:hAnsi="Arial" w:cs="Arial"/>
          <w:color w:val="000000" w:themeColor="text1"/>
        </w:rPr>
        <w:t xml:space="preserve"> </w:t>
      </w:r>
      <w:r w:rsidR="009F10D4" w:rsidRPr="00C777FB">
        <w:rPr>
          <w:rFonts w:ascii="Arial" w:hAnsi="Arial" w:cs="Arial"/>
          <w:i/>
          <w:color w:val="000000" w:themeColor="text1"/>
        </w:rPr>
        <w:t>et al</w:t>
      </w:r>
      <w:r w:rsidR="009F10D4" w:rsidRPr="00C777FB">
        <w:rPr>
          <w:rFonts w:ascii="Arial" w:hAnsi="Arial" w:cs="Arial"/>
          <w:color w:val="000000" w:themeColor="text1"/>
        </w:rPr>
        <w:t xml:space="preserve">., 2015; Hussain </w:t>
      </w:r>
      <w:r w:rsidR="009F10D4" w:rsidRPr="00C777FB">
        <w:rPr>
          <w:rFonts w:ascii="Arial" w:hAnsi="Arial" w:cs="Arial"/>
          <w:i/>
          <w:color w:val="000000" w:themeColor="text1"/>
        </w:rPr>
        <w:t>et al</w:t>
      </w:r>
      <w:r w:rsidR="009F10D4" w:rsidRPr="00C777FB">
        <w:rPr>
          <w:rFonts w:ascii="Arial" w:hAnsi="Arial" w:cs="Arial"/>
          <w:color w:val="000000" w:themeColor="text1"/>
        </w:rPr>
        <w:t xml:space="preserve">., 2017; Mahajan </w:t>
      </w:r>
      <w:r w:rsidR="009F10D4" w:rsidRPr="00C777FB">
        <w:rPr>
          <w:rFonts w:ascii="Arial" w:hAnsi="Arial" w:cs="Arial"/>
          <w:i/>
          <w:color w:val="000000" w:themeColor="text1"/>
        </w:rPr>
        <w:t>et al</w:t>
      </w:r>
      <w:r w:rsidR="009F10D4" w:rsidRPr="00C777FB">
        <w:rPr>
          <w:rFonts w:ascii="Arial" w:hAnsi="Arial" w:cs="Arial"/>
          <w:color w:val="000000" w:themeColor="text1"/>
        </w:rPr>
        <w:t>., 2023). These discrepancies may reflect variations in study populations, sample sizes, or disease severity.</w:t>
      </w:r>
      <w:r w:rsidRPr="00C777FB">
        <w:rPr>
          <w:rFonts w:ascii="Arial" w:hAnsi="Arial" w:cs="Arial"/>
          <w:color w:val="000000" w:themeColor="text1"/>
        </w:rPr>
        <w:t xml:space="preserve"> </w:t>
      </w:r>
      <w:r w:rsidR="009F10D4" w:rsidRPr="00C777FB">
        <w:rPr>
          <w:rFonts w:ascii="Arial" w:hAnsi="Arial" w:cs="Arial"/>
          <w:color w:val="000000" w:themeColor="text1"/>
        </w:rPr>
        <w:t>The</w:t>
      </w:r>
      <w:r w:rsidRPr="00C777FB">
        <w:rPr>
          <w:rFonts w:ascii="Arial" w:hAnsi="Arial" w:cs="Arial"/>
          <w:color w:val="000000" w:themeColor="text1"/>
        </w:rPr>
        <w:t xml:space="preserve"> PNR and PLR were negatively correlated with HbA1c. The observed association between PLR and PNR with HbA1c in this study reflects the effects of increasing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on neutrophil, lymphocyte, and platelet counts. These changes are characteristic of chronic inflammation and support the notion that poor glycemic control, as indicated by higher HbA1c levels, is associated with heightened systemic inflammation, increased platelet activation, and a pro-thrombotic state. This is further accompanied by altered immune cell profiles, marked by neutrophil predominance and lymphocyte suppression. Such dysregulated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indices may contribute to the development of diabetes-related complications, including atherosclerosis, insulin resistance, and microvascular damage.</w:t>
      </w:r>
    </w:p>
    <w:p w14:paraId="1E6D663F" w14:textId="77777777" w:rsidR="00790ADA" w:rsidRPr="00C777FB" w:rsidRDefault="00790ADA" w:rsidP="00441B6F">
      <w:pPr>
        <w:pStyle w:val="Body"/>
        <w:spacing w:after="0"/>
        <w:rPr>
          <w:rFonts w:ascii="Arial" w:hAnsi="Arial" w:cs="Arial"/>
          <w:color w:val="000000" w:themeColor="text1"/>
        </w:rPr>
      </w:pPr>
    </w:p>
    <w:p w14:paraId="65F8458B" w14:textId="77777777" w:rsidR="00B01FCD" w:rsidRPr="00C777FB" w:rsidRDefault="00000F8F" w:rsidP="00441B6F">
      <w:pPr>
        <w:pStyle w:val="ConcHead"/>
        <w:spacing w:after="0"/>
        <w:jc w:val="both"/>
        <w:rPr>
          <w:rFonts w:ascii="Arial" w:hAnsi="Arial" w:cs="Arial"/>
          <w:color w:val="000000" w:themeColor="text1"/>
        </w:rPr>
      </w:pPr>
      <w:r w:rsidRPr="00C777FB">
        <w:rPr>
          <w:rFonts w:ascii="Arial" w:hAnsi="Arial" w:cs="Arial"/>
          <w:color w:val="000000" w:themeColor="text1"/>
        </w:rPr>
        <w:t xml:space="preserve">4. </w:t>
      </w:r>
      <w:r w:rsidR="00B01FCD" w:rsidRPr="00C777FB">
        <w:rPr>
          <w:rFonts w:ascii="Arial" w:hAnsi="Arial" w:cs="Arial"/>
          <w:color w:val="000000" w:themeColor="text1"/>
        </w:rPr>
        <w:t>Conclusion</w:t>
      </w:r>
    </w:p>
    <w:p w14:paraId="0090E15B" w14:textId="77777777" w:rsidR="00790ADA" w:rsidRPr="00C777FB" w:rsidRDefault="00790ADA" w:rsidP="00441B6F">
      <w:pPr>
        <w:pStyle w:val="ConcHead"/>
        <w:spacing w:after="0"/>
        <w:jc w:val="both"/>
        <w:rPr>
          <w:rFonts w:ascii="Arial" w:hAnsi="Arial" w:cs="Arial"/>
          <w:color w:val="000000" w:themeColor="text1"/>
        </w:rPr>
      </w:pPr>
    </w:p>
    <w:p w14:paraId="51221D33" w14:textId="77777777" w:rsidR="00790ADA" w:rsidRDefault="007337BC" w:rsidP="007706D2">
      <w:pPr>
        <w:pStyle w:val="Body"/>
        <w:rPr>
          <w:rFonts w:ascii="Arial" w:hAnsi="Arial" w:cs="Arial"/>
          <w:color w:val="000000" w:themeColor="text1"/>
        </w:rPr>
      </w:pPr>
      <w:r w:rsidRPr="00C777FB">
        <w:rPr>
          <w:rFonts w:ascii="Arial" w:hAnsi="Arial" w:cs="Arial"/>
          <w:color w:val="000000" w:themeColor="text1"/>
        </w:rPr>
        <w:t xml:space="preserve">The findings from this study revealed significantly elevated NLR and ESR, alongside reduced PNR and PLR in diabetic individuals compared to non-diabetic controls, indicating a state of chronic low-grade inflammation in T2DM. These alterations were observed irrespective of gender, however, remained unaffected by disease duration. Negative correlations between HbA1c and both PLR and PNR underscore the potential of these indices as markers of poor glycemic control. These results support the use of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inflammatory markers as accessible tools for assessing systemic inflammation in diabetes management. The study of these </w:t>
      </w:r>
      <w:proofErr w:type="spellStart"/>
      <w:r w:rsidRPr="00C777FB">
        <w:rPr>
          <w:rFonts w:ascii="Arial" w:hAnsi="Arial" w:cs="Arial"/>
          <w:color w:val="000000" w:themeColor="text1"/>
        </w:rPr>
        <w:t>haematologic</w:t>
      </w:r>
      <w:proofErr w:type="spellEnd"/>
      <w:r w:rsidRPr="00C777FB">
        <w:rPr>
          <w:rFonts w:ascii="Arial" w:hAnsi="Arial" w:cs="Arial"/>
          <w:color w:val="000000" w:themeColor="text1"/>
        </w:rPr>
        <w:t xml:space="preserve"> ratios remains relevant in Nigeria, where T2DM is prevalent and imposes a high healthcare and economic burden. Importantly, these markers are low-cost and readily accessible, making them valuable tools in resource-limited settings. </w:t>
      </w:r>
      <w:r w:rsidR="00341B37">
        <w:rPr>
          <w:rFonts w:ascii="Arial" w:hAnsi="Arial" w:cs="Arial"/>
          <w:color w:val="000000" w:themeColor="text1"/>
        </w:rPr>
        <w:t>Hence, it is recommended that s</w:t>
      </w:r>
      <w:r w:rsidR="00341B37" w:rsidRPr="00341B37">
        <w:rPr>
          <w:rFonts w:ascii="Arial" w:hAnsi="Arial" w:cs="Arial"/>
          <w:color w:val="000000" w:themeColor="text1"/>
        </w:rPr>
        <w:t xml:space="preserve">tudies involving larger, multi-center cohorts with a more diverse T2DM population, including newly diagnosed individuals and those with existing complications should be conducted as this would provide more insights into the impact of </w:t>
      </w:r>
      <w:proofErr w:type="spellStart"/>
      <w:r w:rsidR="00341B37" w:rsidRPr="00341B37">
        <w:rPr>
          <w:rFonts w:ascii="Arial" w:hAnsi="Arial" w:cs="Arial"/>
          <w:color w:val="000000" w:themeColor="text1"/>
        </w:rPr>
        <w:t>hyperglyc</w:t>
      </w:r>
      <w:r w:rsidR="00341B37">
        <w:rPr>
          <w:rFonts w:ascii="Arial" w:hAnsi="Arial" w:cs="Arial"/>
          <w:color w:val="000000" w:themeColor="text1"/>
        </w:rPr>
        <w:t>a</w:t>
      </w:r>
      <w:r w:rsidR="00341B37" w:rsidRPr="00341B37">
        <w:rPr>
          <w:rFonts w:ascii="Arial" w:hAnsi="Arial" w:cs="Arial"/>
          <w:color w:val="000000" w:themeColor="text1"/>
        </w:rPr>
        <w:t>emia</w:t>
      </w:r>
      <w:proofErr w:type="spellEnd"/>
      <w:r w:rsidR="00341B37" w:rsidRPr="00341B37">
        <w:rPr>
          <w:rFonts w:ascii="Arial" w:hAnsi="Arial" w:cs="Arial"/>
          <w:color w:val="000000" w:themeColor="text1"/>
        </w:rPr>
        <w:t xml:space="preserve"> on these biomarkers. Also, long-term follow-up could also help determine whether baseline or dynamic changes in PNR and PLR predict specific complications, supporting their use as prognostic biomarkers.</w:t>
      </w:r>
    </w:p>
    <w:p w14:paraId="24C70FC3" w14:textId="77777777" w:rsidR="007706D2" w:rsidRDefault="007706D2" w:rsidP="007706D2">
      <w:pPr>
        <w:pStyle w:val="ReferHead"/>
        <w:spacing w:after="0"/>
        <w:jc w:val="both"/>
        <w:rPr>
          <w:rFonts w:ascii="Arial" w:hAnsi="Arial" w:cs="Arial"/>
          <w:bCs/>
          <w:color w:val="000000" w:themeColor="text1"/>
        </w:rPr>
      </w:pPr>
      <w:r w:rsidRPr="007706D2">
        <w:rPr>
          <w:rFonts w:ascii="Arial" w:hAnsi="Arial" w:cs="Arial"/>
          <w:bCs/>
          <w:color w:val="000000" w:themeColor="text1"/>
        </w:rPr>
        <w:t>DISCLAIMER (ARTIFICIAL INTELLIGENCE)</w:t>
      </w:r>
    </w:p>
    <w:p w14:paraId="03B46FCE" w14:textId="77777777" w:rsidR="007706D2" w:rsidRPr="007706D2" w:rsidRDefault="007706D2" w:rsidP="007706D2">
      <w:pPr>
        <w:pStyle w:val="ReferHead"/>
        <w:spacing w:after="0"/>
        <w:jc w:val="both"/>
        <w:rPr>
          <w:rFonts w:ascii="Arial" w:hAnsi="Arial" w:cs="Arial"/>
          <w:bCs/>
          <w:color w:val="000000" w:themeColor="text1"/>
        </w:rPr>
      </w:pPr>
    </w:p>
    <w:p w14:paraId="3C31DBA6" w14:textId="77777777" w:rsidR="007706D2" w:rsidRDefault="007706D2" w:rsidP="00441B6F">
      <w:pPr>
        <w:pStyle w:val="AcknHead"/>
        <w:spacing w:after="0"/>
        <w:jc w:val="both"/>
        <w:rPr>
          <w:rFonts w:ascii="Arial" w:hAnsi="Arial" w:cs="Arial"/>
          <w:b w:val="0"/>
          <w:caps w:val="0"/>
          <w:color w:val="000000" w:themeColor="text1"/>
          <w:sz w:val="20"/>
        </w:rPr>
      </w:pPr>
      <w:r w:rsidRPr="007706D2">
        <w:rPr>
          <w:rFonts w:ascii="Arial" w:hAnsi="Arial" w:cs="Arial"/>
          <w:b w:val="0"/>
          <w:caps w:val="0"/>
          <w:color w:val="000000" w:themeColor="text1"/>
          <w:sz w:val="20"/>
        </w:rPr>
        <w:t>The author(s) hereby declares that this manuscript is solely the result of the author’s original research. No generative AI technologies such as large language models (ChatGPT, Copilot, etc.) and text-to-image generators have been used during writing of this manuscript.</w:t>
      </w:r>
    </w:p>
    <w:p w14:paraId="5FC4306A" w14:textId="77777777" w:rsidR="007706D2" w:rsidRDefault="007706D2" w:rsidP="00441B6F">
      <w:pPr>
        <w:pStyle w:val="AcknHead"/>
        <w:spacing w:after="0"/>
        <w:jc w:val="both"/>
        <w:rPr>
          <w:rFonts w:ascii="Arial" w:hAnsi="Arial" w:cs="Arial"/>
          <w:b w:val="0"/>
          <w:caps w:val="0"/>
          <w:color w:val="000000" w:themeColor="text1"/>
          <w:sz w:val="20"/>
        </w:rPr>
      </w:pPr>
    </w:p>
    <w:p w14:paraId="6CCC4922" w14:textId="77777777" w:rsidR="007706D2" w:rsidRDefault="007706D2" w:rsidP="00902351">
      <w:pPr>
        <w:pStyle w:val="Body"/>
        <w:spacing w:after="0"/>
        <w:rPr>
          <w:rFonts w:ascii="Arial" w:hAnsi="Arial" w:cs="Arial"/>
          <w:color w:val="000000" w:themeColor="text1"/>
        </w:rPr>
      </w:pPr>
    </w:p>
    <w:p w14:paraId="204574D0" w14:textId="77777777" w:rsidR="007C6CF2" w:rsidRPr="00C777FB" w:rsidRDefault="007C6CF2" w:rsidP="007C6CF2">
      <w:pPr>
        <w:pStyle w:val="ReferHead"/>
        <w:spacing w:after="0"/>
        <w:jc w:val="both"/>
        <w:rPr>
          <w:rFonts w:ascii="Arial" w:hAnsi="Arial" w:cs="Arial"/>
          <w:bCs/>
          <w:color w:val="000000" w:themeColor="text1"/>
        </w:rPr>
      </w:pPr>
      <w:r w:rsidRPr="00C777FB">
        <w:rPr>
          <w:rFonts w:ascii="Arial" w:hAnsi="Arial" w:cs="Arial"/>
          <w:bCs/>
          <w:color w:val="000000" w:themeColor="text1"/>
        </w:rPr>
        <w:t xml:space="preserve">Consent </w:t>
      </w:r>
    </w:p>
    <w:p w14:paraId="239F1FE3" w14:textId="77777777" w:rsidR="007C6CF2" w:rsidRPr="00C777FB" w:rsidRDefault="007C6CF2" w:rsidP="007C6CF2">
      <w:pPr>
        <w:pStyle w:val="ReferHead"/>
        <w:spacing w:after="0"/>
        <w:jc w:val="both"/>
        <w:rPr>
          <w:rFonts w:ascii="Arial" w:hAnsi="Arial" w:cs="Arial"/>
          <w:bCs/>
          <w:color w:val="000000" w:themeColor="text1"/>
        </w:rPr>
      </w:pPr>
    </w:p>
    <w:p w14:paraId="2A971684" w14:textId="77777777" w:rsidR="007C6CF2" w:rsidRPr="00C777FB" w:rsidRDefault="007C6CF2" w:rsidP="007C6CF2">
      <w:pPr>
        <w:pStyle w:val="ReferHead"/>
        <w:spacing w:after="0"/>
        <w:jc w:val="both"/>
        <w:rPr>
          <w:rFonts w:ascii="Arial" w:hAnsi="Arial" w:cs="Arial"/>
          <w:b w:val="0"/>
          <w:caps w:val="0"/>
          <w:color w:val="000000" w:themeColor="text1"/>
          <w:sz w:val="20"/>
        </w:rPr>
      </w:pPr>
      <w:r w:rsidRPr="00C777FB">
        <w:rPr>
          <w:rFonts w:ascii="Arial" w:hAnsi="Arial" w:cs="Arial"/>
          <w:b w:val="0"/>
          <w:caps w:val="0"/>
          <w:color w:val="000000" w:themeColor="text1"/>
          <w:sz w:val="20"/>
        </w:rPr>
        <w:t>As per international standards or university standards, patient(s) written consent has been collected and preserved by the author(s).</w:t>
      </w:r>
    </w:p>
    <w:p w14:paraId="014791A3" w14:textId="77777777" w:rsidR="007C6CF2" w:rsidRDefault="007C6CF2" w:rsidP="00902351">
      <w:pPr>
        <w:pStyle w:val="Body"/>
        <w:spacing w:after="0"/>
        <w:rPr>
          <w:rFonts w:ascii="Arial" w:hAnsi="Arial" w:cs="Arial"/>
          <w:color w:val="000000" w:themeColor="text1"/>
        </w:rPr>
      </w:pPr>
    </w:p>
    <w:p w14:paraId="31AAB8DD" w14:textId="77777777" w:rsidR="007706D2" w:rsidRPr="00C777FB" w:rsidRDefault="007706D2" w:rsidP="007706D2">
      <w:pPr>
        <w:pStyle w:val="ReferHead"/>
        <w:spacing w:after="0"/>
        <w:jc w:val="both"/>
        <w:rPr>
          <w:rFonts w:ascii="Arial" w:hAnsi="Arial" w:cs="Arial"/>
          <w:bCs/>
          <w:color w:val="000000" w:themeColor="text1"/>
        </w:rPr>
      </w:pPr>
      <w:r w:rsidRPr="00C777FB">
        <w:rPr>
          <w:rFonts w:ascii="Arial" w:hAnsi="Arial" w:cs="Arial"/>
          <w:bCs/>
          <w:color w:val="000000" w:themeColor="text1"/>
        </w:rPr>
        <w:lastRenderedPageBreak/>
        <w:t xml:space="preserve">Ethical approval </w:t>
      </w:r>
    </w:p>
    <w:p w14:paraId="7D82B4EC" w14:textId="77777777" w:rsidR="007706D2" w:rsidRPr="00C777FB" w:rsidRDefault="007706D2" w:rsidP="007706D2">
      <w:pPr>
        <w:pStyle w:val="ReferHead"/>
        <w:spacing w:after="0"/>
        <w:jc w:val="both"/>
        <w:rPr>
          <w:rFonts w:ascii="Arial" w:hAnsi="Arial" w:cs="Arial"/>
          <w:bCs/>
          <w:color w:val="000000" w:themeColor="text1"/>
        </w:rPr>
      </w:pPr>
    </w:p>
    <w:p w14:paraId="1A63C7BF" w14:textId="77777777" w:rsidR="007706D2" w:rsidRDefault="007706D2" w:rsidP="007706D2">
      <w:pPr>
        <w:pStyle w:val="ReferHead"/>
        <w:spacing w:after="0"/>
        <w:jc w:val="both"/>
        <w:rPr>
          <w:rFonts w:ascii="Arial" w:hAnsi="Arial" w:cs="Arial"/>
          <w:b w:val="0"/>
          <w:caps w:val="0"/>
          <w:color w:val="000000" w:themeColor="text1"/>
          <w:sz w:val="20"/>
        </w:rPr>
      </w:pPr>
      <w:r w:rsidRPr="00C777FB">
        <w:rPr>
          <w:rFonts w:ascii="Arial" w:hAnsi="Arial" w:cs="Arial"/>
          <w:b w:val="0"/>
          <w:caps w:val="0"/>
          <w:color w:val="000000" w:themeColor="text1"/>
          <w:sz w:val="20"/>
        </w:rPr>
        <w:t>Ethical   approval   for   this   study   was   obtained from   the   Research   Ethics   Committee   of   the Rivers State University Teaching Hospital, Port-Harcourt, Rivers State, Nigeria</w:t>
      </w:r>
      <w:r>
        <w:rPr>
          <w:rFonts w:ascii="Arial" w:hAnsi="Arial" w:cs="Arial"/>
          <w:b w:val="0"/>
          <w:caps w:val="0"/>
          <w:color w:val="000000" w:themeColor="text1"/>
          <w:sz w:val="20"/>
        </w:rPr>
        <w:t xml:space="preserve"> (</w:t>
      </w:r>
      <w:r w:rsidRPr="00226C48">
        <w:rPr>
          <w:rFonts w:ascii="Arial" w:hAnsi="Arial" w:cs="Arial"/>
          <w:b w:val="0"/>
          <w:caps w:val="0"/>
          <w:color w:val="000000" w:themeColor="text1"/>
          <w:sz w:val="20"/>
        </w:rPr>
        <w:t>Reference Number: RSUTH/REC/2024/577)</w:t>
      </w:r>
      <w:r>
        <w:rPr>
          <w:rFonts w:ascii="Arial" w:hAnsi="Arial" w:cs="Arial"/>
          <w:b w:val="0"/>
          <w:caps w:val="0"/>
          <w:color w:val="000000" w:themeColor="text1"/>
          <w:sz w:val="20"/>
        </w:rPr>
        <w:t>.</w:t>
      </w:r>
    </w:p>
    <w:p w14:paraId="32E282A4" w14:textId="77777777" w:rsidR="00ED7213" w:rsidRDefault="00ED7213" w:rsidP="007706D2">
      <w:pPr>
        <w:pStyle w:val="ReferHead"/>
        <w:spacing w:after="0"/>
        <w:jc w:val="both"/>
        <w:rPr>
          <w:rFonts w:ascii="Arial" w:hAnsi="Arial" w:cs="Arial"/>
          <w:b w:val="0"/>
          <w:caps w:val="0"/>
          <w:color w:val="000000" w:themeColor="text1"/>
          <w:sz w:val="20"/>
        </w:rPr>
      </w:pPr>
    </w:p>
    <w:p w14:paraId="1661CA05" w14:textId="77777777" w:rsidR="00ED7213" w:rsidRDefault="00ED7213" w:rsidP="007706D2">
      <w:pPr>
        <w:pStyle w:val="ReferHead"/>
        <w:spacing w:after="0"/>
        <w:jc w:val="both"/>
        <w:rPr>
          <w:rFonts w:ascii="Arial" w:hAnsi="Arial" w:cs="Arial"/>
          <w:b w:val="0"/>
          <w:caps w:val="0"/>
          <w:color w:val="000000" w:themeColor="text1"/>
          <w:sz w:val="20"/>
        </w:rPr>
      </w:pPr>
    </w:p>
    <w:p w14:paraId="7E74A5EA" w14:textId="77777777" w:rsidR="00ED7213" w:rsidRDefault="00ED7213" w:rsidP="007706D2">
      <w:pPr>
        <w:pStyle w:val="ReferHead"/>
        <w:spacing w:after="0"/>
        <w:jc w:val="both"/>
        <w:rPr>
          <w:rFonts w:ascii="Arial" w:hAnsi="Arial" w:cs="Arial"/>
          <w:b w:val="0"/>
          <w:caps w:val="0"/>
          <w:color w:val="000000" w:themeColor="text1"/>
          <w:sz w:val="20"/>
        </w:rPr>
      </w:pPr>
    </w:p>
    <w:p w14:paraId="488AFED0" w14:textId="77777777" w:rsidR="00ED7213" w:rsidRPr="00ED7213" w:rsidRDefault="00ED7213" w:rsidP="00ED7213">
      <w:pPr>
        <w:pStyle w:val="ReferHead"/>
        <w:jc w:val="both"/>
        <w:rPr>
          <w:rFonts w:ascii="Arial" w:hAnsi="Arial" w:cs="Arial"/>
          <w:b w:val="0"/>
          <w:caps w:val="0"/>
          <w:color w:val="000000" w:themeColor="text1"/>
          <w:sz w:val="20"/>
        </w:rPr>
      </w:pPr>
      <w:r w:rsidRPr="00ED7213">
        <w:rPr>
          <w:rFonts w:ascii="Arial" w:hAnsi="Arial" w:cs="Arial"/>
          <w:b w:val="0"/>
          <w:caps w:val="0"/>
          <w:color w:val="000000" w:themeColor="text1"/>
          <w:sz w:val="20"/>
        </w:rPr>
        <w:t>COMPETING INTERESTS DISCLAIMER:</w:t>
      </w:r>
    </w:p>
    <w:p w14:paraId="6208CEB6" w14:textId="175E50CD" w:rsidR="00ED7213" w:rsidRDefault="00ED7213" w:rsidP="00ED7213">
      <w:pPr>
        <w:pStyle w:val="ReferHead"/>
        <w:spacing w:after="0"/>
        <w:jc w:val="both"/>
        <w:rPr>
          <w:rFonts w:ascii="Arial" w:hAnsi="Arial" w:cs="Arial"/>
          <w:b w:val="0"/>
          <w:caps w:val="0"/>
          <w:color w:val="000000" w:themeColor="text1"/>
          <w:sz w:val="20"/>
        </w:rPr>
      </w:pPr>
      <w:r w:rsidRPr="00ED7213">
        <w:rPr>
          <w:rFonts w:ascii="Arial" w:hAnsi="Arial" w:cs="Arial"/>
          <w:b w:val="0"/>
          <w:caps w:val="0"/>
          <w:color w:val="000000" w:themeColor="text1"/>
          <w:sz w:val="20"/>
        </w:rPr>
        <w:t>Authors have declared that they have no known competing financial interests OR non-financial interests OR personal relationships that could have appeared to influence the work reported in this paper.</w:t>
      </w:r>
    </w:p>
    <w:p w14:paraId="200B4179" w14:textId="77777777" w:rsidR="00ED7213" w:rsidRDefault="00ED7213" w:rsidP="007706D2">
      <w:pPr>
        <w:pStyle w:val="ReferHead"/>
        <w:spacing w:after="0"/>
        <w:jc w:val="both"/>
        <w:rPr>
          <w:rFonts w:ascii="Arial" w:hAnsi="Arial" w:cs="Arial"/>
          <w:b w:val="0"/>
          <w:caps w:val="0"/>
          <w:color w:val="000000" w:themeColor="text1"/>
          <w:sz w:val="20"/>
        </w:rPr>
      </w:pPr>
    </w:p>
    <w:p w14:paraId="5FEBB289" w14:textId="77777777" w:rsidR="00ED7213" w:rsidRDefault="00ED7213" w:rsidP="007706D2">
      <w:pPr>
        <w:pStyle w:val="ReferHead"/>
        <w:spacing w:after="0"/>
        <w:jc w:val="both"/>
        <w:rPr>
          <w:rFonts w:ascii="Arial" w:hAnsi="Arial" w:cs="Arial"/>
          <w:b w:val="0"/>
          <w:caps w:val="0"/>
          <w:color w:val="000000" w:themeColor="text1"/>
          <w:sz w:val="20"/>
        </w:rPr>
      </w:pPr>
    </w:p>
    <w:p w14:paraId="1B151467" w14:textId="77777777" w:rsidR="00ED7213" w:rsidRDefault="00ED7213" w:rsidP="007706D2">
      <w:pPr>
        <w:pStyle w:val="ReferHead"/>
        <w:spacing w:after="0"/>
        <w:jc w:val="both"/>
        <w:rPr>
          <w:rFonts w:ascii="Arial" w:hAnsi="Arial" w:cs="Arial"/>
          <w:b w:val="0"/>
          <w:caps w:val="0"/>
          <w:color w:val="000000" w:themeColor="text1"/>
          <w:sz w:val="20"/>
        </w:rPr>
      </w:pPr>
    </w:p>
    <w:p w14:paraId="1649C40E" w14:textId="77777777" w:rsidR="00ED7213" w:rsidRPr="00C777FB" w:rsidRDefault="00ED7213" w:rsidP="007706D2">
      <w:pPr>
        <w:pStyle w:val="ReferHead"/>
        <w:spacing w:after="0"/>
        <w:jc w:val="both"/>
        <w:rPr>
          <w:rFonts w:ascii="Arial" w:hAnsi="Arial" w:cs="Arial"/>
          <w:b w:val="0"/>
          <w:caps w:val="0"/>
          <w:color w:val="000000" w:themeColor="text1"/>
          <w:sz w:val="20"/>
        </w:rPr>
      </w:pPr>
    </w:p>
    <w:p w14:paraId="00F2ABF4" w14:textId="77777777" w:rsidR="007706D2" w:rsidRDefault="007706D2" w:rsidP="00902351">
      <w:pPr>
        <w:pStyle w:val="Body"/>
        <w:spacing w:after="0"/>
        <w:rPr>
          <w:rFonts w:ascii="Arial" w:hAnsi="Arial" w:cs="Arial"/>
          <w:color w:val="000000" w:themeColor="text1"/>
        </w:rPr>
      </w:pPr>
    </w:p>
    <w:p w14:paraId="78BB60A4" w14:textId="77777777" w:rsidR="00B01FCD" w:rsidRPr="00C777FB" w:rsidRDefault="00B01FCD" w:rsidP="00441B6F">
      <w:pPr>
        <w:pStyle w:val="ReferHead"/>
        <w:spacing w:after="0"/>
        <w:jc w:val="both"/>
        <w:rPr>
          <w:rFonts w:ascii="Arial" w:hAnsi="Arial" w:cs="Arial"/>
          <w:color w:val="000000" w:themeColor="text1"/>
        </w:rPr>
      </w:pPr>
      <w:r w:rsidRPr="00C777FB">
        <w:rPr>
          <w:rFonts w:ascii="Arial" w:hAnsi="Arial" w:cs="Arial"/>
          <w:color w:val="000000" w:themeColor="text1"/>
        </w:rPr>
        <w:t>References</w:t>
      </w:r>
    </w:p>
    <w:p w14:paraId="47776BD7" w14:textId="77777777" w:rsidR="00790ADA" w:rsidRPr="00C777FB" w:rsidRDefault="00790ADA" w:rsidP="00441B6F">
      <w:pPr>
        <w:pStyle w:val="ReferHead"/>
        <w:spacing w:after="0"/>
        <w:jc w:val="both"/>
        <w:rPr>
          <w:rFonts w:ascii="Arial" w:hAnsi="Arial" w:cs="Arial"/>
          <w:color w:val="000000" w:themeColor="text1"/>
        </w:rPr>
      </w:pPr>
    </w:p>
    <w:p w14:paraId="4B70EAA6"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Abbag</w:t>
      </w:r>
      <w:proofErr w:type="spellEnd"/>
      <w:r w:rsidRPr="00E624DF">
        <w:rPr>
          <w:rFonts w:ascii="Arial" w:hAnsi="Arial" w:cs="Arial"/>
          <w:color w:val="000000" w:themeColor="text1"/>
        </w:rPr>
        <w:t xml:space="preserve">, F. I., &amp; Al Qahtani, J. M. (2007). Extreme elevation of the erythrocyte sedimentation rate in children. </w:t>
      </w:r>
      <w:r w:rsidRPr="00E624DF">
        <w:rPr>
          <w:rFonts w:ascii="Arial" w:hAnsi="Arial" w:cs="Arial"/>
          <w:i/>
          <w:iCs/>
          <w:color w:val="000000" w:themeColor="text1"/>
        </w:rPr>
        <w:t>Annals of Saudi Medicine</w:t>
      </w:r>
      <w:r w:rsidRPr="00E624DF">
        <w:rPr>
          <w:rFonts w:ascii="Arial" w:hAnsi="Arial" w:cs="Arial"/>
          <w:color w:val="000000" w:themeColor="text1"/>
        </w:rPr>
        <w:t xml:space="preserve">, </w:t>
      </w:r>
      <w:r w:rsidRPr="00E624DF">
        <w:rPr>
          <w:rFonts w:ascii="Arial" w:hAnsi="Arial" w:cs="Arial"/>
          <w:iCs/>
          <w:color w:val="000000" w:themeColor="text1"/>
        </w:rPr>
        <w:t>27</w:t>
      </w:r>
      <w:r w:rsidRPr="00E624DF">
        <w:rPr>
          <w:rFonts w:ascii="Arial" w:hAnsi="Arial" w:cs="Arial"/>
          <w:color w:val="000000" w:themeColor="text1"/>
        </w:rPr>
        <w:t xml:space="preserve">(3), 175-178. </w:t>
      </w:r>
      <w:hyperlink r:id="rId14" w:history="1">
        <w:r w:rsidRPr="00E624DF">
          <w:rPr>
            <w:rStyle w:val="Hyperlink"/>
            <w:rFonts w:ascii="Arial" w:hAnsi="Arial" w:cs="Arial"/>
          </w:rPr>
          <w:t>https://doi.org/10.5144/0256-4947.2007.175</w:t>
        </w:r>
      </w:hyperlink>
      <w:r w:rsidRPr="00E624DF">
        <w:rPr>
          <w:rFonts w:ascii="Arial" w:hAnsi="Arial" w:cs="Arial"/>
          <w:color w:val="000000" w:themeColor="text1"/>
        </w:rPr>
        <w:t>.</w:t>
      </w:r>
    </w:p>
    <w:p w14:paraId="45E6D07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Abbas, A. B., Hazeb, A., Al-Badani, R., Al-</w:t>
      </w:r>
      <w:proofErr w:type="spellStart"/>
      <w:r w:rsidRPr="00E624DF">
        <w:rPr>
          <w:rFonts w:ascii="Arial" w:hAnsi="Arial" w:cs="Arial"/>
          <w:color w:val="000000" w:themeColor="text1"/>
        </w:rPr>
        <w:t>Thmary</w:t>
      </w:r>
      <w:proofErr w:type="spellEnd"/>
      <w:r w:rsidRPr="00E624DF">
        <w:rPr>
          <w:rFonts w:ascii="Arial" w:hAnsi="Arial" w:cs="Arial"/>
          <w:color w:val="000000" w:themeColor="text1"/>
        </w:rPr>
        <w:t xml:space="preserve">, B., </w:t>
      </w:r>
      <w:proofErr w:type="spellStart"/>
      <w:r w:rsidRPr="00E624DF">
        <w:rPr>
          <w:rFonts w:ascii="Arial" w:hAnsi="Arial" w:cs="Arial"/>
          <w:color w:val="000000" w:themeColor="text1"/>
        </w:rPr>
        <w:t>Mokaram</w:t>
      </w:r>
      <w:proofErr w:type="spellEnd"/>
      <w:r w:rsidRPr="00E624DF">
        <w:rPr>
          <w:rFonts w:ascii="Arial" w:hAnsi="Arial" w:cs="Arial"/>
          <w:color w:val="000000" w:themeColor="text1"/>
        </w:rPr>
        <w:t xml:space="preserve">, R., Al-Najjar, S. &amp; Al-Rashidi, A. (2023). A case–control study to evaluate hematological indices in blood of diabetic and non-diabetic individuals in </w:t>
      </w:r>
      <w:proofErr w:type="spellStart"/>
      <w:r w:rsidRPr="00E624DF">
        <w:rPr>
          <w:rFonts w:ascii="Arial" w:hAnsi="Arial" w:cs="Arial"/>
          <w:color w:val="000000" w:themeColor="text1"/>
        </w:rPr>
        <w:t>Ibb</w:t>
      </w:r>
      <w:proofErr w:type="spellEnd"/>
      <w:r w:rsidRPr="00E624DF">
        <w:rPr>
          <w:rFonts w:ascii="Arial" w:hAnsi="Arial" w:cs="Arial"/>
          <w:color w:val="000000" w:themeColor="text1"/>
        </w:rPr>
        <w:t xml:space="preserve"> City, Yemen. </w:t>
      </w:r>
      <w:r w:rsidRPr="00E624DF">
        <w:rPr>
          <w:rFonts w:ascii="Arial" w:hAnsi="Arial" w:cs="Arial"/>
          <w:i/>
          <w:iCs/>
          <w:color w:val="000000" w:themeColor="text1"/>
        </w:rPr>
        <w:t>Scientific Reports</w:t>
      </w:r>
      <w:r w:rsidRPr="00E624DF">
        <w:rPr>
          <w:rFonts w:ascii="Arial" w:hAnsi="Arial" w:cs="Arial"/>
          <w:color w:val="000000" w:themeColor="text1"/>
        </w:rPr>
        <w:t xml:space="preserve">, </w:t>
      </w:r>
      <w:r w:rsidRPr="00E624DF">
        <w:rPr>
          <w:rFonts w:ascii="Arial" w:hAnsi="Arial" w:cs="Arial"/>
          <w:iCs/>
          <w:color w:val="000000" w:themeColor="text1"/>
        </w:rPr>
        <w:t>13</w:t>
      </w:r>
      <w:r w:rsidRPr="00E624DF">
        <w:rPr>
          <w:rFonts w:ascii="Arial" w:hAnsi="Arial" w:cs="Arial"/>
          <w:color w:val="000000" w:themeColor="text1"/>
        </w:rPr>
        <w:t xml:space="preserve">(1), 16730. </w:t>
      </w:r>
      <w:hyperlink r:id="rId15" w:history="1">
        <w:r w:rsidRPr="00E624DF">
          <w:rPr>
            <w:rStyle w:val="Hyperlink"/>
            <w:rFonts w:ascii="Arial" w:hAnsi="Arial" w:cs="Arial"/>
          </w:rPr>
          <w:t>https://doi.org/10.1038/s41598-023-43973-3</w:t>
        </w:r>
      </w:hyperlink>
      <w:r w:rsidRPr="00E624DF">
        <w:rPr>
          <w:rFonts w:ascii="Arial" w:hAnsi="Arial" w:cs="Arial"/>
          <w:color w:val="000000" w:themeColor="text1"/>
        </w:rPr>
        <w:t>.</w:t>
      </w:r>
    </w:p>
    <w:p w14:paraId="42D7A611"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Agnello, L., Giglio, R. V., Bivona, G., </w:t>
      </w:r>
      <w:proofErr w:type="spellStart"/>
      <w:r w:rsidRPr="00E624DF">
        <w:rPr>
          <w:rFonts w:ascii="Arial" w:hAnsi="Arial" w:cs="Arial"/>
          <w:color w:val="000000" w:themeColor="text1"/>
        </w:rPr>
        <w:t>Scazzone</w:t>
      </w:r>
      <w:proofErr w:type="spellEnd"/>
      <w:r w:rsidRPr="00E624DF">
        <w:rPr>
          <w:rFonts w:ascii="Arial" w:hAnsi="Arial" w:cs="Arial"/>
          <w:color w:val="000000" w:themeColor="text1"/>
        </w:rPr>
        <w:t xml:space="preserve">, C., Gambino, C. M., Iacona, A. et al. (2021). The value of a complete blood count (CBC) for sepsis diagnosis and prognosis. </w:t>
      </w:r>
      <w:r w:rsidRPr="00E624DF">
        <w:rPr>
          <w:rFonts w:ascii="Arial" w:hAnsi="Arial" w:cs="Arial"/>
          <w:i/>
          <w:iCs/>
          <w:color w:val="000000" w:themeColor="text1"/>
        </w:rPr>
        <w:t>Diagnostics</w:t>
      </w:r>
      <w:r w:rsidRPr="00E624DF">
        <w:rPr>
          <w:rFonts w:ascii="Arial" w:hAnsi="Arial" w:cs="Arial"/>
          <w:color w:val="000000" w:themeColor="text1"/>
        </w:rPr>
        <w:t xml:space="preserve">, </w:t>
      </w:r>
      <w:r w:rsidRPr="00E624DF">
        <w:rPr>
          <w:rFonts w:ascii="Arial" w:hAnsi="Arial" w:cs="Arial"/>
          <w:i/>
          <w:iCs/>
          <w:color w:val="000000" w:themeColor="text1"/>
        </w:rPr>
        <w:t>11</w:t>
      </w:r>
      <w:r w:rsidRPr="00E624DF">
        <w:rPr>
          <w:rFonts w:ascii="Arial" w:hAnsi="Arial" w:cs="Arial"/>
          <w:color w:val="000000" w:themeColor="text1"/>
        </w:rPr>
        <w:t xml:space="preserve">(10), 1881. </w:t>
      </w:r>
      <w:hyperlink r:id="rId16" w:history="1">
        <w:r w:rsidRPr="00E624DF">
          <w:rPr>
            <w:rStyle w:val="Hyperlink"/>
            <w:rFonts w:ascii="Arial" w:hAnsi="Arial" w:cs="Arial"/>
          </w:rPr>
          <w:t>https://doi.org/10.3390/diagnostics11101881</w:t>
        </w:r>
      </w:hyperlink>
    </w:p>
    <w:p w14:paraId="660AAF4B"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Alende</w:t>
      </w:r>
      <w:proofErr w:type="spellEnd"/>
      <w:r w:rsidRPr="00E624DF">
        <w:rPr>
          <w:rFonts w:ascii="Arial" w:hAnsi="Arial" w:cs="Arial"/>
          <w:color w:val="000000" w:themeColor="text1"/>
        </w:rPr>
        <w:t xml:space="preserve">-Castro, V., Alonso-Sampedro, M., Vázquez-Temprano, N., </w:t>
      </w:r>
      <w:proofErr w:type="spellStart"/>
      <w:r w:rsidRPr="00E624DF">
        <w:rPr>
          <w:rFonts w:ascii="Arial" w:hAnsi="Arial" w:cs="Arial"/>
          <w:color w:val="000000" w:themeColor="text1"/>
        </w:rPr>
        <w:t>Tuñez</w:t>
      </w:r>
      <w:proofErr w:type="spellEnd"/>
      <w:r w:rsidRPr="00E624DF">
        <w:rPr>
          <w:rFonts w:ascii="Arial" w:hAnsi="Arial" w:cs="Arial"/>
          <w:color w:val="000000" w:themeColor="text1"/>
        </w:rPr>
        <w:t xml:space="preserve">, C., Rey, D., García-Iglesias, C., et al. (2019). Factors influencing erythrocyte sedimentation rate in adults: New evidence for an old test. </w:t>
      </w:r>
      <w:r w:rsidRPr="00E624DF">
        <w:rPr>
          <w:rFonts w:ascii="Arial" w:hAnsi="Arial" w:cs="Arial"/>
          <w:i/>
          <w:iCs/>
          <w:color w:val="000000" w:themeColor="text1"/>
        </w:rPr>
        <w:t>Medicine (Baltimore), 98</w:t>
      </w:r>
      <w:r w:rsidRPr="00E624DF">
        <w:rPr>
          <w:rFonts w:ascii="Arial" w:hAnsi="Arial" w:cs="Arial"/>
          <w:color w:val="000000" w:themeColor="text1"/>
        </w:rPr>
        <w:t xml:space="preserve">(34). </w:t>
      </w:r>
      <w:hyperlink r:id="rId17" w:history="1">
        <w:r w:rsidRPr="00E624DF">
          <w:rPr>
            <w:rStyle w:val="Hyperlink"/>
            <w:rFonts w:ascii="Arial" w:hAnsi="Arial" w:cs="Arial"/>
          </w:rPr>
          <w:t>https://doi.org/10.1097/MD.0000000000016816</w:t>
        </w:r>
      </w:hyperlink>
      <w:r w:rsidRPr="00E624DF">
        <w:rPr>
          <w:rFonts w:ascii="Arial" w:hAnsi="Arial" w:cs="Arial"/>
          <w:color w:val="000000" w:themeColor="text1"/>
        </w:rPr>
        <w:t>.</w:t>
      </w:r>
    </w:p>
    <w:p w14:paraId="42F3B74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Al-Nimer, M. S. &amp; Ratha, R. (2022). The erythrocyte sedimentation rate is a simple, sensitive and predictive hematological index for non-septic diabetic foot syndrome: A cross-sectional study. </w:t>
      </w:r>
      <w:r w:rsidRPr="00E624DF">
        <w:rPr>
          <w:rFonts w:ascii="Arial" w:hAnsi="Arial" w:cs="Arial"/>
          <w:i/>
          <w:iCs/>
          <w:color w:val="000000" w:themeColor="text1"/>
        </w:rPr>
        <w:t>Clinical Diabetology</w:t>
      </w:r>
      <w:r w:rsidRPr="00E624DF">
        <w:rPr>
          <w:rFonts w:ascii="Arial" w:hAnsi="Arial" w:cs="Arial"/>
          <w:color w:val="000000" w:themeColor="text1"/>
        </w:rPr>
        <w:t xml:space="preserve">, </w:t>
      </w:r>
      <w:r w:rsidRPr="00E624DF">
        <w:rPr>
          <w:rFonts w:ascii="Arial" w:hAnsi="Arial" w:cs="Arial"/>
          <w:iCs/>
          <w:color w:val="000000" w:themeColor="text1"/>
        </w:rPr>
        <w:t>11</w:t>
      </w:r>
      <w:r w:rsidRPr="00E624DF">
        <w:rPr>
          <w:rFonts w:ascii="Arial" w:hAnsi="Arial" w:cs="Arial"/>
          <w:color w:val="000000" w:themeColor="text1"/>
        </w:rPr>
        <w:t xml:space="preserve">(6), 372-378. </w:t>
      </w:r>
      <w:hyperlink r:id="rId18" w:history="1">
        <w:r w:rsidRPr="00E624DF">
          <w:rPr>
            <w:rStyle w:val="Hyperlink"/>
            <w:rFonts w:ascii="Arial" w:hAnsi="Arial" w:cs="Arial"/>
          </w:rPr>
          <w:t>https://doi.org/10.5603/DK.a2022.0052</w:t>
        </w:r>
      </w:hyperlink>
    </w:p>
    <w:p w14:paraId="1ACAC8E8"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Amaeshi</w:t>
      </w:r>
      <w:proofErr w:type="spellEnd"/>
      <w:r w:rsidRPr="00E624DF">
        <w:rPr>
          <w:rFonts w:ascii="Arial" w:hAnsi="Arial" w:cs="Arial"/>
          <w:color w:val="000000" w:themeColor="text1"/>
        </w:rPr>
        <w:t xml:space="preserve">, L., </w:t>
      </w:r>
      <w:proofErr w:type="spellStart"/>
      <w:r w:rsidRPr="00E624DF">
        <w:rPr>
          <w:rFonts w:ascii="Arial" w:hAnsi="Arial" w:cs="Arial"/>
          <w:color w:val="000000" w:themeColor="text1"/>
        </w:rPr>
        <w:t>Kalejaiye</w:t>
      </w:r>
      <w:proofErr w:type="spellEnd"/>
      <w:r w:rsidRPr="00E624DF">
        <w:rPr>
          <w:rFonts w:ascii="Arial" w:hAnsi="Arial" w:cs="Arial"/>
          <w:color w:val="000000" w:themeColor="text1"/>
        </w:rPr>
        <w:t xml:space="preserve">, O. O., Olopade, O. B., &amp; Kehinde, M. (2024). Relationship Between Hematologic Inflammatory Markers and Glycemic Control in Type 2 Diabetes Mellitus Patients in a Tertiary Hospital in Nigeria. </w:t>
      </w:r>
      <w:r w:rsidRPr="00E624DF">
        <w:rPr>
          <w:rFonts w:ascii="Arial" w:hAnsi="Arial" w:cs="Arial"/>
          <w:i/>
          <w:iCs/>
          <w:color w:val="000000" w:themeColor="text1"/>
        </w:rPr>
        <w:t>Cureus</w:t>
      </w:r>
      <w:r w:rsidRPr="00E624DF">
        <w:rPr>
          <w:rFonts w:ascii="Arial" w:hAnsi="Arial" w:cs="Arial"/>
          <w:color w:val="000000" w:themeColor="text1"/>
        </w:rPr>
        <w:t xml:space="preserve">, </w:t>
      </w:r>
      <w:r w:rsidRPr="00E624DF">
        <w:rPr>
          <w:rFonts w:ascii="Arial" w:hAnsi="Arial" w:cs="Arial"/>
          <w:i/>
          <w:iCs/>
          <w:color w:val="000000" w:themeColor="text1"/>
        </w:rPr>
        <w:t>16</w:t>
      </w:r>
      <w:r w:rsidRPr="00E624DF">
        <w:rPr>
          <w:rFonts w:ascii="Arial" w:hAnsi="Arial" w:cs="Arial"/>
          <w:color w:val="000000" w:themeColor="text1"/>
        </w:rPr>
        <w:t xml:space="preserve">(8). </w:t>
      </w:r>
      <w:hyperlink r:id="rId19" w:history="1">
        <w:r w:rsidRPr="00E624DF">
          <w:rPr>
            <w:rStyle w:val="Hyperlink"/>
            <w:rFonts w:ascii="Arial" w:hAnsi="Arial" w:cs="Arial"/>
          </w:rPr>
          <w:t>https://doi.org/10.7759/cureus.68186</w:t>
        </w:r>
      </w:hyperlink>
      <w:r w:rsidRPr="00E624DF">
        <w:rPr>
          <w:rFonts w:ascii="Arial" w:hAnsi="Arial" w:cs="Arial"/>
          <w:color w:val="000000" w:themeColor="text1"/>
        </w:rPr>
        <w:t>.</w:t>
      </w:r>
    </w:p>
    <w:p w14:paraId="708A22E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American Diabetes Association. (2018). Classification and diagnosis of diabetes: Standards of medical care in diabetes—2018. Diabetes Care, 41(1), S13–S27. </w:t>
      </w:r>
      <w:hyperlink r:id="rId20" w:history="1">
        <w:r w:rsidRPr="00E624DF">
          <w:rPr>
            <w:rStyle w:val="Hyperlink"/>
            <w:rFonts w:ascii="Arial" w:hAnsi="Arial" w:cs="Arial"/>
          </w:rPr>
          <w:t>https://doi.org/10.2337/dc18-S002</w:t>
        </w:r>
      </w:hyperlink>
    </w:p>
    <w:p w14:paraId="7E69E1B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Anastasakis, M., </w:t>
      </w:r>
      <w:proofErr w:type="spellStart"/>
      <w:r w:rsidRPr="00E624DF">
        <w:rPr>
          <w:rFonts w:ascii="Arial" w:hAnsi="Arial" w:cs="Arial"/>
          <w:color w:val="000000" w:themeColor="text1"/>
        </w:rPr>
        <w:t>Trevlias</w:t>
      </w:r>
      <w:proofErr w:type="spellEnd"/>
      <w:r w:rsidRPr="00E624DF">
        <w:rPr>
          <w:rFonts w:ascii="Arial" w:hAnsi="Arial" w:cs="Arial"/>
          <w:color w:val="000000" w:themeColor="text1"/>
        </w:rPr>
        <w:t xml:space="preserve">, I., Farmakis, K., &amp; </w:t>
      </w:r>
      <w:proofErr w:type="spellStart"/>
      <w:r w:rsidRPr="00E624DF">
        <w:rPr>
          <w:rFonts w:ascii="Arial" w:hAnsi="Arial" w:cs="Arial"/>
          <w:color w:val="000000" w:themeColor="text1"/>
        </w:rPr>
        <w:t>Valioulis</w:t>
      </w:r>
      <w:proofErr w:type="spellEnd"/>
      <w:r w:rsidRPr="00E624DF">
        <w:rPr>
          <w:rFonts w:ascii="Arial" w:hAnsi="Arial" w:cs="Arial"/>
          <w:color w:val="000000" w:themeColor="text1"/>
        </w:rPr>
        <w:t xml:space="preserve">, I. (2024). The Importance of the Neutrophil–Lymphocyte Ratio (NLR) and the Platelet–Lymphocyte Ratio (PLR) as Biomarkers </w:t>
      </w:r>
      <w:r w:rsidRPr="00E624DF">
        <w:rPr>
          <w:rFonts w:ascii="Arial" w:hAnsi="Arial" w:cs="Arial"/>
          <w:color w:val="000000" w:themeColor="text1"/>
        </w:rPr>
        <w:lastRenderedPageBreak/>
        <w:t xml:space="preserve">for Differentiating Complicated and Uncomplicated Appendicitis. </w:t>
      </w:r>
      <w:r w:rsidRPr="00E624DF">
        <w:rPr>
          <w:rFonts w:ascii="Arial" w:hAnsi="Arial" w:cs="Arial"/>
          <w:i/>
          <w:iCs/>
          <w:color w:val="000000" w:themeColor="text1"/>
        </w:rPr>
        <w:t>Diagnostics</w:t>
      </w:r>
      <w:r w:rsidRPr="00E624DF">
        <w:rPr>
          <w:rFonts w:ascii="Arial" w:hAnsi="Arial" w:cs="Arial"/>
          <w:color w:val="000000" w:themeColor="text1"/>
        </w:rPr>
        <w:t xml:space="preserve">, </w:t>
      </w:r>
      <w:r w:rsidRPr="00E624DF">
        <w:rPr>
          <w:rFonts w:ascii="Arial" w:hAnsi="Arial" w:cs="Arial"/>
          <w:iCs/>
          <w:color w:val="000000" w:themeColor="text1"/>
        </w:rPr>
        <w:t>14</w:t>
      </w:r>
      <w:r w:rsidRPr="00E624DF">
        <w:rPr>
          <w:rFonts w:ascii="Arial" w:hAnsi="Arial" w:cs="Arial"/>
          <w:color w:val="000000" w:themeColor="text1"/>
        </w:rPr>
        <w:t xml:space="preserve">(24), 2777. </w:t>
      </w:r>
      <w:hyperlink r:id="rId21" w:history="1">
        <w:r w:rsidRPr="00E624DF">
          <w:rPr>
            <w:rStyle w:val="Hyperlink"/>
            <w:rFonts w:ascii="Arial" w:hAnsi="Arial" w:cs="Arial"/>
          </w:rPr>
          <w:t>https://doi.org/10.3390/diagnostics14242777</w:t>
        </w:r>
      </w:hyperlink>
    </w:p>
    <w:p w14:paraId="3F05159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Atak, B., </w:t>
      </w:r>
      <w:proofErr w:type="spellStart"/>
      <w:r w:rsidRPr="00E624DF">
        <w:rPr>
          <w:rFonts w:ascii="Arial" w:hAnsi="Arial" w:cs="Arial"/>
          <w:color w:val="000000" w:themeColor="text1"/>
        </w:rPr>
        <w:t>Aktas</w:t>
      </w:r>
      <w:proofErr w:type="spellEnd"/>
      <w:r w:rsidRPr="00E624DF">
        <w:rPr>
          <w:rFonts w:ascii="Arial" w:hAnsi="Arial" w:cs="Arial"/>
          <w:color w:val="000000" w:themeColor="text1"/>
        </w:rPr>
        <w:t xml:space="preserve">, G., Duman, T. T., </w:t>
      </w:r>
      <w:proofErr w:type="spellStart"/>
      <w:r w:rsidRPr="00E624DF">
        <w:rPr>
          <w:rFonts w:ascii="Arial" w:hAnsi="Arial" w:cs="Arial"/>
          <w:color w:val="000000" w:themeColor="text1"/>
        </w:rPr>
        <w:t>Erkus</w:t>
      </w:r>
      <w:proofErr w:type="spellEnd"/>
      <w:r w:rsidRPr="00E624DF">
        <w:rPr>
          <w:rFonts w:ascii="Arial" w:hAnsi="Arial" w:cs="Arial"/>
          <w:color w:val="000000" w:themeColor="text1"/>
        </w:rPr>
        <w:t xml:space="preserve">, E., Kocak, M. Z., &amp; </w:t>
      </w:r>
      <w:proofErr w:type="spellStart"/>
      <w:r w:rsidRPr="00E624DF">
        <w:rPr>
          <w:rFonts w:ascii="Arial" w:hAnsi="Arial" w:cs="Arial"/>
          <w:color w:val="000000" w:themeColor="text1"/>
        </w:rPr>
        <w:t>Savli</w:t>
      </w:r>
      <w:proofErr w:type="spellEnd"/>
      <w:r w:rsidRPr="00E624DF">
        <w:rPr>
          <w:rFonts w:ascii="Arial" w:hAnsi="Arial" w:cs="Arial"/>
          <w:color w:val="000000" w:themeColor="text1"/>
        </w:rPr>
        <w:t xml:space="preserve">, H. (2019). Diabetes control could through platelet-to-lymphocyte ratio in hemograms. </w:t>
      </w:r>
      <w:proofErr w:type="spellStart"/>
      <w:r w:rsidRPr="00E624DF">
        <w:rPr>
          <w:rFonts w:ascii="Arial" w:hAnsi="Arial" w:cs="Arial"/>
          <w:i/>
          <w:iCs/>
          <w:color w:val="000000" w:themeColor="text1"/>
        </w:rPr>
        <w:t>Revista</w:t>
      </w:r>
      <w:proofErr w:type="spellEnd"/>
      <w:r w:rsidRPr="00E624DF">
        <w:rPr>
          <w:rFonts w:ascii="Arial" w:hAnsi="Arial" w:cs="Arial"/>
          <w:i/>
          <w:iCs/>
          <w:color w:val="000000" w:themeColor="text1"/>
        </w:rPr>
        <w:t xml:space="preserve"> da </w:t>
      </w:r>
      <w:proofErr w:type="spellStart"/>
      <w:r w:rsidRPr="00E624DF">
        <w:rPr>
          <w:rFonts w:ascii="Arial" w:hAnsi="Arial" w:cs="Arial"/>
          <w:i/>
          <w:iCs/>
          <w:color w:val="000000" w:themeColor="text1"/>
        </w:rPr>
        <w:t>Associação</w:t>
      </w:r>
      <w:proofErr w:type="spellEnd"/>
      <w:r w:rsidRPr="00E624DF">
        <w:rPr>
          <w:rFonts w:ascii="Arial" w:hAnsi="Arial" w:cs="Arial"/>
          <w:i/>
          <w:iCs/>
          <w:color w:val="000000" w:themeColor="text1"/>
        </w:rPr>
        <w:t xml:space="preserve"> Médica Brasileira</w:t>
      </w:r>
      <w:r w:rsidRPr="00E624DF">
        <w:rPr>
          <w:rFonts w:ascii="Arial" w:hAnsi="Arial" w:cs="Arial"/>
          <w:color w:val="000000" w:themeColor="text1"/>
        </w:rPr>
        <w:t xml:space="preserve">, </w:t>
      </w:r>
      <w:r w:rsidRPr="00E624DF">
        <w:rPr>
          <w:rFonts w:ascii="Arial" w:hAnsi="Arial" w:cs="Arial"/>
          <w:i/>
          <w:iCs/>
          <w:color w:val="000000" w:themeColor="text1"/>
        </w:rPr>
        <w:t>65</w:t>
      </w:r>
      <w:r w:rsidRPr="00E624DF">
        <w:rPr>
          <w:rFonts w:ascii="Arial" w:hAnsi="Arial" w:cs="Arial"/>
          <w:color w:val="000000" w:themeColor="text1"/>
        </w:rPr>
        <w:t xml:space="preserve">, 38-42. </w:t>
      </w:r>
      <w:hyperlink r:id="rId22" w:history="1">
        <w:r w:rsidRPr="00E624DF">
          <w:rPr>
            <w:rStyle w:val="Hyperlink"/>
            <w:rFonts w:ascii="Arial" w:hAnsi="Arial" w:cs="Arial"/>
          </w:rPr>
          <w:t>https://doi.org/10.1590/1806-9282.65.1.38</w:t>
        </w:r>
      </w:hyperlink>
      <w:r w:rsidRPr="00E624DF">
        <w:rPr>
          <w:rFonts w:ascii="Arial" w:hAnsi="Arial" w:cs="Arial"/>
          <w:color w:val="000000" w:themeColor="text1"/>
        </w:rPr>
        <w:t>.</w:t>
      </w:r>
    </w:p>
    <w:p w14:paraId="411A92F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Atli, H., </w:t>
      </w:r>
      <w:proofErr w:type="spellStart"/>
      <w:r w:rsidRPr="00E624DF">
        <w:rPr>
          <w:rFonts w:ascii="Arial" w:hAnsi="Arial" w:cs="Arial"/>
          <w:color w:val="000000" w:themeColor="text1"/>
        </w:rPr>
        <w:t>Onalan</w:t>
      </w:r>
      <w:proofErr w:type="spellEnd"/>
      <w:r w:rsidRPr="00E624DF">
        <w:rPr>
          <w:rFonts w:ascii="Arial" w:hAnsi="Arial" w:cs="Arial"/>
          <w:color w:val="000000" w:themeColor="text1"/>
        </w:rPr>
        <w:t xml:space="preserve">, E., Yakar, B., </w:t>
      </w:r>
      <w:proofErr w:type="spellStart"/>
      <w:r w:rsidRPr="00E624DF">
        <w:rPr>
          <w:rFonts w:ascii="Arial" w:hAnsi="Arial" w:cs="Arial"/>
          <w:color w:val="000000" w:themeColor="text1"/>
        </w:rPr>
        <w:t>Duzenci</w:t>
      </w:r>
      <w:proofErr w:type="spellEnd"/>
      <w:r w:rsidRPr="00E624DF">
        <w:rPr>
          <w:rFonts w:ascii="Arial" w:hAnsi="Arial" w:cs="Arial"/>
          <w:color w:val="000000" w:themeColor="text1"/>
        </w:rPr>
        <w:t xml:space="preserve">, D. &amp; </w:t>
      </w:r>
      <w:proofErr w:type="spellStart"/>
      <w:r w:rsidRPr="00E624DF">
        <w:rPr>
          <w:rFonts w:ascii="Arial" w:hAnsi="Arial" w:cs="Arial"/>
          <w:color w:val="000000" w:themeColor="text1"/>
        </w:rPr>
        <w:t>Dönder</w:t>
      </w:r>
      <w:proofErr w:type="spellEnd"/>
      <w:r w:rsidRPr="00E624DF">
        <w:rPr>
          <w:rFonts w:ascii="Arial" w:hAnsi="Arial" w:cs="Arial"/>
          <w:color w:val="000000" w:themeColor="text1"/>
        </w:rPr>
        <w:t xml:space="preserve">, E. (2022). Predictive value of inflammatory and hematological data in diabetic and non-diabetic retinopathy. </w:t>
      </w:r>
      <w:r w:rsidRPr="00E624DF">
        <w:rPr>
          <w:rFonts w:ascii="Arial" w:hAnsi="Arial" w:cs="Arial"/>
          <w:i/>
          <w:iCs/>
          <w:color w:val="000000" w:themeColor="text1"/>
        </w:rPr>
        <w:t>European Review for Medical &amp; Pharmacological Sciences</w:t>
      </w:r>
      <w:r w:rsidRPr="00E624DF">
        <w:rPr>
          <w:rFonts w:ascii="Arial" w:hAnsi="Arial" w:cs="Arial"/>
          <w:color w:val="000000" w:themeColor="text1"/>
        </w:rPr>
        <w:t xml:space="preserve">, </w:t>
      </w:r>
      <w:r w:rsidRPr="00E624DF">
        <w:rPr>
          <w:rFonts w:ascii="Arial" w:hAnsi="Arial" w:cs="Arial"/>
          <w:iCs/>
          <w:color w:val="000000" w:themeColor="text1"/>
        </w:rPr>
        <w:t>26</w:t>
      </w:r>
      <w:r w:rsidRPr="00E624DF">
        <w:rPr>
          <w:rFonts w:ascii="Arial" w:hAnsi="Arial" w:cs="Arial"/>
          <w:color w:val="000000" w:themeColor="text1"/>
        </w:rPr>
        <w:t xml:space="preserve">(1), 76-83. </w:t>
      </w:r>
      <w:hyperlink r:id="rId23" w:history="1">
        <w:r w:rsidRPr="00E624DF">
          <w:rPr>
            <w:rStyle w:val="Hyperlink"/>
            <w:rFonts w:ascii="Arial" w:hAnsi="Arial" w:cs="Arial"/>
          </w:rPr>
          <w:t>https://doi.org/10.26355/eurrev_202201_27750</w:t>
        </w:r>
      </w:hyperlink>
      <w:r w:rsidRPr="00E624DF">
        <w:rPr>
          <w:rFonts w:ascii="Arial" w:hAnsi="Arial" w:cs="Arial"/>
          <w:color w:val="000000" w:themeColor="text1"/>
        </w:rPr>
        <w:t>.</w:t>
      </w:r>
    </w:p>
    <w:p w14:paraId="33857F7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Babu, N., &amp; Singh, M. (2004). Influence of hyperglycemia on aggregation, deformability and shape parameters of erythrocytes. </w:t>
      </w:r>
      <w:r w:rsidRPr="00E624DF">
        <w:rPr>
          <w:rFonts w:ascii="Arial" w:hAnsi="Arial" w:cs="Arial"/>
          <w:i/>
          <w:iCs/>
          <w:color w:val="000000" w:themeColor="text1"/>
        </w:rPr>
        <w:t>Clinical Hemorheology and Microcirculation</w:t>
      </w:r>
      <w:r w:rsidRPr="00E624DF">
        <w:rPr>
          <w:rFonts w:ascii="Arial" w:hAnsi="Arial" w:cs="Arial"/>
          <w:color w:val="000000" w:themeColor="text1"/>
        </w:rPr>
        <w:t xml:space="preserve">, </w:t>
      </w:r>
      <w:r w:rsidRPr="00E624DF">
        <w:rPr>
          <w:rFonts w:ascii="Arial" w:hAnsi="Arial" w:cs="Arial"/>
          <w:iCs/>
          <w:color w:val="000000" w:themeColor="text1"/>
        </w:rPr>
        <w:t>31</w:t>
      </w:r>
      <w:r w:rsidRPr="00E624DF">
        <w:rPr>
          <w:rFonts w:ascii="Arial" w:hAnsi="Arial" w:cs="Arial"/>
          <w:color w:val="000000" w:themeColor="text1"/>
        </w:rPr>
        <w:t>(4), 273-280.</w:t>
      </w:r>
    </w:p>
    <w:p w14:paraId="2377379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Bain, B. J. (2017). Supplementary techniques including blood parasite diagnosis. In B. J. Bain (Ed.), </w:t>
      </w:r>
      <w:r w:rsidRPr="00E624DF">
        <w:rPr>
          <w:rFonts w:ascii="Arial" w:hAnsi="Arial" w:cs="Arial"/>
          <w:i/>
          <w:iCs/>
          <w:color w:val="000000" w:themeColor="text1"/>
        </w:rPr>
        <w:t xml:space="preserve">Dacie and Lewis Practical </w:t>
      </w:r>
      <w:proofErr w:type="spellStart"/>
      <w:r w:rsidRPr="00E624DF">
        <w:rPr>
          <w:rFonts w:ascii="Arial" w:hAnsi="Arial" w:cs="Arial"/>
          <w:i/>
          <w:iCs/>
          <w:color w:val="000000" w:themeColor="text1"/>
        </w:rPr>
        <w:t>Haematology</w:t>
      </w:r>
      <w:proofErr w:type="spellEnd"/>
      <w:r w:rsidRPr="00E624DF">
        <w:rPr>
          <w:rFonts w:ascii="Arial" w:hAnsi="Arial" w:cs="Arial"/>
          <w:color w:val="000000" w:themeColor="text1"/>
        </w:rPr>
        <w:t xml:space="preserve"> (12th ed., pp. 93–111). Elsevier.</w:t>
      </w:r>
    </w:p>
    <w:p w14:paraId="2F9B98E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Barham, D., &amp; Trinder, P. (1972). An improved </w:t>
      </w:r>
      <w:proofErr w:type="spellStart"/>
      <w:r w:rsidRPr="00E624DF">
        <w:rPr>
          <w:rFonts w:ascii="Arial" w:hAnsi="Arial" w:cs="Arial"/>
          <w:color w:val="000000" w:themeColor="text1"/>
        </w:rPr>
        <w:t>colour</w:t>
      </w:r>
      <w:proofErr w:type="spellEnd"/>
      <w:r w:rsidRPr="00E624DF">
        <w:rPr>
          <w:rFonts w:ascii="Arial" w:hAnsi="Arial" w:cs="Arial"/>
          <w:color w:val="000000" w:themeColor="text1"/>
        </w:rPr>
        <w:t xml:space="preserve"> reagent for the determination of blood glucose by the oxidase system. Analyst, 97(1151), 142–145. </w:t>
      </w:r>
      <w:hyperlink r:id="rId24" w:history="1">
        <w:r w:rsidRPr="00E624DF">
          <w:rPr>
            <w:rStyle w:val="Hyperlink"/>
            <w:rFonts w:ascii="Arial" w:hAnsi="Arial" w:cs="Arial"/>
          </w:rPr>
          <w:t>https://doi.org/10.1039/an9729700142</w:t>
        </w:r>
      </w:hyperlink>
    </w:p>
    <w:p w14:paraId="7F44DC7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Chan, J. C., Lim, L. L., Wareham, N. J., Shaw, J. E., Orchard, T. J., Zhang, P. et al. (2020). The Lancet Commission on diabetes: using data to transform diabetes care and patient lives.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Cs/>
          <w:color w:val="000000" w:themeColor="text1"/>
        </w:rPr>
        <w:t>396</w:t>
      </w:r>
      <w:r w:rsidRPr="00E624DF">
        <w:rPr>
          <w:rFonts w:ascii="Arial" w:hAnsi="Arial" w:cs="Arial"/>
          <w:color w:val="000000" w:themeColor="text1"/>
        </w:rPr>
        <w:t xml:space="preserve">(10267), 2019-2082. </w:t>
      </w:r>
      <w:hyperlink r:id="rId25" w:history="1">
        <w:r w:rsidRPr="00E624DF">
          <w:rPr>
            <w:rStyle w:val="Hyperlink"/>
            <w:rFonts w:ascii="Arial" w:hAnsi="Arial" w:cs="Arial"/>
          </w:rPr>
          <w:t>https://doi.org/10.1016/S0140-6736(20)32374-6</w:t>
        </w:r>
      </w:hyperlink>
      <w:r w:rsidRPr="00E624DF">
        <w:rPr>
          <w:rFonts w:ascii="Arial" w:hAnsi="Arial" w:cs="Arial"/>
          <w:color w:val="000000" w:themeColor="text1"/>
        </w:rPr>
        <w:t>.</w:t>
      </w:r>
    </w:p>
    <w:p w14:paraId="0FCA63D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Cheesbrough, M. (2006). </w:t>
      </w:r>
      <w:r w:rsidRPr="00E624DF">
        <w:rPr>
          <w:rFonts w:ascii="Arial" w:hAnsi="Arial" w:cs="Arial"/>
          <w:i/>
          <w:iCs/>
          <w:color w:val="000000" w:themeColor="text1"/>
        </w:rPr>
        <w:t>Collection of blood</w:t>
      </w:r>
      <w:r w:rsidRPr="00E624DF">
        <w:rPr>
          <w:rFonts w:ascii="Arial" w:hAnsi="Arial" w:cs="Arial"/>
          <w:color w:val="000000" w:themeColor="text1"/>
        </w:rPr>
        <w:t xml:space="preserve">. In </w:t>
      </w:r>
      <w:r w:rsidRPr="00E624DF">
        <w:rPr>
          <w:rFonts w:ascii="Arial" w:hAnsi="Arial" w:cs="Arial"/>
          <w:i/>
          <w:iCs/>
          <w:color w:val="000000" w:themeColor="text1"/>
        </w:rPr>
        <w:t>District Laboratory Practice in Tropical Countries</w:t>
      </w:r>
      <w:r w:rsidRPr="00E624DF">
        <w:rPr>
          <w:rFonts w:ascii="Arial" w:hAnsi="Arial" w:cs="Arial"/>
          <w:color w:val="000000" w:themeColor="text1"/>
        </w:rPr>
        <w:t xml:space="preserve"> (Part 2, p. 295). Cambridge University Press.</w:t>
      </w:r>
    </w:p>
    <w:p w14:paraId="626552AC"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Chen, H. L., Wu, C., Cao, L., Wang, R., Zhang, T. Y., &amp; He, Z. (2024). The association between the neutrophil-to-lymphocyte ratio and type 2 diabetes mellitus: a cross-sectional study. </w:t>
      </w:r>
      <w:r w:rsidRPr="00E624DF">
        <w:rPr>
          <w:rFonts w:ascii="Arial" w:hAnsi="Arial" w:cs="Arial"/>
          <w:i/>
          <w:iCs/>
          <w:color w:val="000000" w:themeColor="text1"/>
        </w:rPr>
        <w:t>BMC Endocrine Disorders</w:t>
      </w:r>
      <w:r w:rsidRPr="00E624DF">
        <w:rPr>
          <w:rFonts w:ascii="Arial" w:hAnsi="Arial" w:cs="Arial"/>
          <w:color w:val="000000" w:themeColor="text1"/>
        </w:rPr>
        <w:t xml:space="preserve">, </w:t>
      </w:r>
      <w:r w:rsidRPr="00E624DF">
        <w:rPr>
          <w:rFonts w:ascii="Arial" w:hAnsi="Arial" w:cs="Arial"/>
          <w:iCs/>
          <w:color w:val="000000" w:themeColor="text1"/>
        </w:rPr>
        <w:t>24</w:t>
      </w:r>
      <w:r w:rsidRPr="00E624DF">
        <w:rPr>
          <w:rFonts w:ascii="Arial" w:hAnsi="Arial" w:cs="Arial"/>
          <w:color w:val="000000" w:themeColor="text1"/>
        </w:rPr>
        <w:t>(1), 107. https://doi.org/10.1186/s12902-024-01637-x.</w:t>
      </w:r>
    </w:p>
    <w:p w14:paraId="64217E5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Chen, W., Chen, K., Xu, Z., Hu, Y., Liu, Y., Liu, W. &amp; Shen, F. (2021). Neutrophil-to-lymphocyte ratio and platelet-to-lymphocyte ratio predict mortality in patients with diabetic foot ulcers undergoing amputations. </w:t>
      </w:r>
      <w:r w:rsidRPr="00E624DF">
        <w:rPr>
          <w:rFonts w:ascii="Arial" w:hAnsi="Arial" w:cs="Arial"/>
          <w:i/>
          <w:iCs/>
          <w:color w:val="000000" w:themeColor="text1"/>
        </w:rPr>
        <w:t>Diabetes, Metabolic Syndrome and Obesity</w:t>
      </w:r>
      <w:r w:rsidRPr="00E624DF">
        <w:rPr>
          <w:rFonts w:ascii="Arial" w:hAnsi="Arial" w:cs="Arial"/>
          <w:color w:val="000000" w:themeColor="text1"/>
        </w:rPr>
        <w:t xml:space="preserve">, 821-829. </w:t>
      </w:r>
      <w:hyperlink r:id="rId26" w:history="1">
        <w:r w:rsidRPr="00E624DF">
          <w:rPr>
            <w:rStyle w:val="Hyperlink"/>
            <w:rFonts w:ascii="Arial" w:hAnsi="Arial" w:cs="Arial"/>
          </w:rPr>
          <w:t>https://doi.org/10.2147/DMSO.S284583</w:t>
        </w:r>
      </w:hyperlink>
    </w:p>
    <w:p w14:paraId="73F8414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Cochran, W. G. (1977). Sampling techniques (3rd ed.). John Wiley &amp; Sons.</w:t>
      </w:r>
    </w:p>
    <w:p w14:paraId="15EDBFD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Dik, Y. (2020). How is NLR and PLR affected in type 2 diabetes mellitus compared to healthy population? NLR and PLR affected in type 2 diabetes mellitus. </w:t>
      </w:r>
      <w:r w:rsidRPr="00E624DF">
        <w:rPr>
          <w:rFonts w:ascii="Arial" w:hAnsi="Arial" w:cs="Arial"/>
          <w:i/>
          <w:iCs/>
          <w:color w:val="000000" w:themeColor="text1"/>
        </w:rPr>
        <w:t>Medical Science and Discovery</w:t>
      </w:r>
      <w:r w:rsidRPr="00E624DF">
        <w:rPr>
          <w:rFonts w:ascii="Arial" w:hAnsi="Arial" w:cs="Arial"/>
          <w:color w:val="000000" w:themeColor="text1"/>
        </w:rPr>
        <w:t xml:space="preserve">, </w:t>
      </w:r>
      <w:r w:rsidRPr="00E624DF">
        <w:rPr>
          <w:rFonts w:ascii="Arial" w:hAnsi="Arial" w:cs="Arial"/>
          <w:i/>
          <w:iCs/>
          <w:color w:val="000000" w:themeColor="text1"/>
        </w:rPr>
        <w:t>7</w:t>
      </w:r>
      <w:r w:rsidRPr="00E624DF">
        <w:rPr>
          <w:rFonts w:ascii="Arial" w:hAnsi="Arial" w:cs="Arial"/>
          <w:color w:val="000000" w:themeColor="text1"/>
        </w:rPr>
        <w:t xml:space="preserve">(2), 405-408. </w:t>
      </w:r>
      <w:hyperlink r:id="rId27" w:history="1">
        <w:r w:rsidRPr="00E624DF">
          <w:rPr>
            <w:rStyle w:val="Hyperlink"/>
            <w:rFonts w:ascii="Arial" w:hAnsi="Arial" w:cs="Arial"/>
          </w:rPr>
          <w:t>https://doi.org/10.36472/msd.v7i2.351</w:t>
        </w:r>
      </w:hyperlink>
    </w:p>
    <w:p w14:paraId="5CE5CD5C"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Eissa, M. S., Abou-</w:t>
      </w:r>
      <w:proofErr w:type="spellStart"/>
      <w:r w:rsidRPr="00E624DF">
        <w:rPr>
          <w:rFonts w:ascii="Arial" w:hAnsi="Arial" w:cs="Arial"/>
          <w:color w:val="000000" w:themeColor="text1"/>
        </w:rPr>
        <w:t>ElEzz</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Kanzel</w:t>
      </w:r>
      <w:proofErr w:type="spellEnd"/>
      <w:r w:rsidRPr="00E624DF">
        <w:rPr>
          <w:rFonts w:ascii="Arial" w:hAnsi="Arial" w:cs="Arial"/>
          <w:color w:val="000000" w:themeColor="text1"/>
        </w:rPr>
        <w:t xml:space="preserve">, S. M. &amp; Mady, M. (2022). Neutrophil-lymphocyte ratio and its relation to microvascular complication in geriatric patients with diabetes: a case-controlled study. </w:t>
      </w:r>
      <w:r w:rsidRPr="00E624DF">
        <w:rPr>
          <w:rFonts w:ascii="Arial" w:hAnsi="Arial" w:cs="Arial"/>
          <w:i/>
          <w:iCs/>
          <w:color w:val="000000" w:themeColor="text1"/>
        </w:rPr>
        <w:t>The Egyptian Journal of Internal Medicine</w:t>
      </w:r>
      <w:r w:rsidRPr="00E624DF">
        <w:rPr>
          <w:rFonts w:ascii="Arial" w:hAnsi="Arial" w:cs="Arial"/>
          <w:color w:val="000000" w:themeColor="text1"/>
        </w:rPr>
        <w:t xml:space="preserve">, </w:t>
      </w:r>
      <w:r w:rsidRPr="00E624DF">
        <w:rPr>
          <w:rFonts w:ascii="Arial" w:hAnsi="Arial" w:cs="Arial"/>
          <w:iCs/>
          <w:color w:val="000000" w:themeColor="text1"/>
        </w:rPr>
        <w:t>34</w:t>
      </w:r>
      <w:r w:rsidRPr="00E624DF">
        <w:rPr>
          <w:rFonts w:ascii="Arial" w:hAnsi="Arial" w:cs="Arial"/>
          <w:color w:val="000000" w:themeColor="text1"/>
        </w:rPr>
        <w:t xml:space="preserve">(1), 94. </w:t>
      </w:r>
      <w:hyperlink r:id="rId28" w:history="1">
        <w:r w:rsidRPr="00E624DF">
          <w:rPr>
            <w:rStyle w:val="Hyperlink"/>
            <w:rFonts w:ascii="Arial" w:hAnsi="Arial" w:cs="Arial"/>
          </w:rPr>
          <w:t>https://doi.org/10.1186/s43162-022-00185-x</w:t>
        </w:r>
      </w:hyperlink>
    </w:p>
    <w:p w14:paraId="770420F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Essawi, K., Dobie, G., Shaabi, M. F., Hakami, W., Saboor, M., </w:t>
      </w:r>
      <w:proofErr w:type="spellStart"/>
      <w:r w:rsidRPr="00E624DF">
        <w:rPr>
          <w:rFonts w:ascii="Arial" w:hAnsi="Arial" w:cs="Arial"/>
          <w:color w:val="000000" w:themeColor="text1"/>
        </w:rPr>
        <w:t>Madkhali</w:t>
      </w:r>
      <w:proofErr w:type="spellEnd"/>
      <w:r w:rsidRPr="00E624DF">
        <w:rPr>
          <w:rFonts w:ascii="Arial" w:hAnsi="Arial" w:cs="Arial"/>
          <w:color w:val="000000" w:themeColor="text1"/>
        </w:rPr>
        <w:t xml:space="preserve">, A. M. &amp; </w:t>
      </w:r>
      <w:proofErr w:type="spellStart"/>
      <w:r w:rsidRPr="00E624DF">
        <w:rPr>
          <w:rFonts w:ascii="Arial" w:hAnsi="Arial" w:cs="Arial"/>
          <w:color w:val="000000" w:themeColor="text1"/>
        </w:rPr>
        <w:t>Hamali</w:t>
      </w:r>
      <w:proofErr w:type="spellEnd"/>
      <w:r w:rsidRPr="00E624DF">
        <w:rPr>
          <w:rFonts w:ascii="Arial" w:hAnsi="Arial" w:cs="Arial"/>
          <w:color w:val="000000" w:themeColor="text1"/>
        </w:rPr>
        <w:t xml:space="preserve">, H. A. (2023). Comparative Analysis of Red Blood Cells, White Blood Cells, Platelet Count, and Indices in Type 2 Diabetes Mellitus Patients and Normal Controls: Association and Clinical </w:t>
      </w:r>
      <w:r w:rsidRPr="00E624DF">
        <w:rPr>
          <w:rFonts w:ascii="Arial" w:hAnsi="Arial" w:cs="Arial"/>
          <w:color w:val="000000" w:themeColor="text1"/>
        </w:rPr>
        <w:lastRenderedPageBreak/>
        <w:t xml:space="preserve">Implications. </w:t>
      </w:r>
      <w:r w:rsidRPr="00E624DF">
        <w:rPr>
          <w:rFonts w:ascii="Arial" w:hAnsi="Arial" w:cs="Arial"/>
          <w:i/>
          <w:iCs/>
          <w:color w:val="000000" w:themeColor="text1"/>
        </w:rPr>
        <w:t>Diabetes, Metabolic Syndrome and Obesity</w:t>
      </w:r>
      <w:r w:rsidRPr="00E624DF">
        <w:rPr>
          <w:rFonts w:ascii="Arial" w:hAnsi="Arial" w:cs="Arial"/>
          <w:color w:val="000000" w:themeColor="text1"/>
        </w:rPr>
        <w:t xml:space="preserve">, 3123-3132. </w:t>
      </w:r>
      <w:hyperlink r:id="rId29" w:history="1">
        <w:r w:rsidRPr="00E624DF">
          <w:rPr>
            <w:rStyle w:val="Hyperlink"/>
            <w:rFonts w:ascii="Arial" w:hAnsi="Arial" w:cs="Arial"/>
          </w:rPr>
          <w:t>https://doi.org/10.2147/DMSO.S422373</w:t>
        </w:r>
      </w:hyperlink>
      <w:r w:rsidRPr="00E624DF">
        <w:rPr>
          <w:rFonts w:ascii="Arial" w:hAnsi="Arial" w:cs="Arial"/>
          <w:color w:val="000000" w:themeColor="text1"/>
        </w:rPr>
        <w:t>.</w:t>
      </w:r>
    </w:p>
    <w:p w14:paraId="74721FDC"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Giovenzana</w:t>
      </w:r>
      <w:proofErr w:type="spellEnd"/>
      <w:r w:rsidRPr="00E624DF">
        <w:rPr>
          <w:rFonts w:ascii="Arial" w:hAnsi="Arial" w:cs="Arial"/>
          <w:color w:val="000000" w:themeColor="text1"/>
        </w:rPr>
        <w:t xml:space="preserve">, A., Carnovale, D., Phillips, B., Petrelli, A., &amp; </w:t>
      </w:r>
      <w:proofErr w:type="spellStart"/>
      <w:r w:rsidRPr="00E624DF">
        <w:rPr>
          <w:rFonts w:ascii="Arial" w:hAnsi="Arial" w:cs="Arial"/>
          <w:color w:val="000000" w:themeColor="text1"/>
        </w:rPr>
        <w:t>Giannoukakis</w:t>
      </w:r>
      <w:proofErr w:type="spellEnd"/>
      <w:r w:rsidRPr="00E624DF">
        <w:rPr>
          <w:rFonts w:ascii="Arial" w:hAnsi="Arial" w:cs="Arial"/>
          <w:color w:val="000000" w:themeColor="text1"/>
        </w:rPr>
        <w:t xml:space="preserve">, N. (2022). Neutrophils and their role in the </w:t>
      </w:r>
      <w:proofErr w:type="spellStart"/>
      <w:r w:rsidRPr="00E624DF">
        <w:rPr>
          <w:rFonts w:ascii="Arial" w:hAnsi="Arial" w:cs="Arial"/>
          <w:color w:val="000000" w:themeColor="text1"/>
        </w:rPr>
        <w:t>aetiopathogenesis</w:t>
      </w:r>
      <w:proofErr w:type="spellEnd"/>
      <w:r w:rsidRPr="00E624DF">
        <w:rPr>
          <w:rFonts w:ascii="Arial" w:hAnsi="Arial" w:cs="Arial"/>
          <w:color w:val="000000" w:themeColor="text1"/>
        </w:rPr>
        <w:t xml:space="preserve"> of type 1 and type 2 diabetes. </w:t>
      </w:r>
      <w:r w:rsidRPr="00E624DF">
        <w:rPr>
          <w:rFonts w:ascii="Arial" w:hAnsi="Arial" w:cs="Arial"/>
          <w:i/>
          <w:iCs/>
          <w:color w:val="000000" w:themeColor="text1"/>
        </w:rPr>
        <w:t>Diabetes/Metabolism Research and Reviews</w:t>
      </w:r>
      <w:r w:rsidRPr="00E624DF">
        <w:rPr>
          <w:rFonts w:ascii="Arial" w:hAnsi="Arial" w:cs="Arial"/>
          <w:color w:val="000000" w:themeColor="text1"/>
        </w:rPr>
        <w:t xml:space="preserve">, </w:t>
      </w:r>
      <w:r w:rsidRPr="00E624DF">
        <w:rPr>
          <w:rFonts w:ascii="Arial" w:hAnsi="Arial" w:cs="Arial"/>
          <w:iCs/>
          <w:color w:val="000000" w:themeColor="text1"/>
        </w:rPr>
        <w:t>38</w:t>
      </w:r>
      <w:r w:rsidRPr="00E624DF">
        <w:rPr>
          <w:rFonts w:ascii="Arial" w:hAnsi="Arial" w:cs="Arial"/>
          <w:color w:val="000000" w:themeColor="text1"/>
        </w:rPr>
        <w:t xml:space="preserve">(1), e3483. </w:t>
      </w:r>
      <w:hyperlink r:id="rId30" w:history="1">
        <w:r w:rsidRPr="00E624DF">
          <w:rPr>
            <w:rStyle w:val="Hyperlink"/>
            <w:rFonts w:ascii="Arial" w:hAnsi="Arial" w:cs="Arial"/>
          </w:rPr>
          <w:t>https://doi.org/10.1002/dmrr.3483</w:t>
        </w:r>
      </w:hyperlink>
      <w:r w:rsidRPr="00E624DF">
        <w:rPr>
          <w:rFonts w:ascii="Arial" w:hAnsi="Arial" w:cs="Arial"/>
          <w:color w:val="000000" w:themeColor="text1"/>
        </w:rPr>
        <w:t>.</w:t>
      </w:r>
    </w:p>
    <w:p w14:paraId="593D43AA"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t xml:space="preserve">Goyal, R. &amp; </w:t>
      </w:r>
      <w:proofErr w:type="spellStart"/>
      <w:r w:rsidRPr="00E624DF">
        <w:rPr>
          <w:rFonts w:ascii="Arial" w:hAnsi="Arial" w:cs="Arial"/>
          <w:color w:val="000000" w:themeColor="text1"/>
        </w:rPr>
        <w:t>Jialal</w:t>
      </w:r>
      <w:proofErr w:type="spellEnd"/>
      <w:r w:rsidRPr="00E624DF">
        <w:rPr>
          <w:rFonts w:ascii="Arial" w:hAnsi="Arial" w:cs="Arial"/>
          <w:color w:val="000000" w:themeColor="text1"/>
        </w:rPr>
        <w:t xml:space="preserve">, I. (2022, June 19). </w:t>
      </w:r>
      <w:r w:rsidRPr="00E624DF">
        <w:rPr>
          <w:rFonts w:ascii="Arial" w:hAnsi="Arial" w:cs="Arial"/>
          <w:i/>
          <w:iCs/>
          <w:color w:val="000000" w:themeColor="text1"/>
        </w:rPr>
        <w:t>Diabetes mellitus type 2</w:t>
      </w:r>
      <w:r w:rsidRPr="00E624DF">
        <w:rPr>
          <w:rFonts w:ascii="Arial" w:hAnsi="Arial" w:cs="Arial"/>
          <w:color w:val="000000" w:themeColor="text1"/>
        </w:rPr>
        <w:t xml:space="preserve">. In </w:t>
      </w:r>
      <w:proofErr w:type="spellStart"/>
      <w:r w:rsidRPr="00E624DF">
        <w:rPr>
          <w:rFonts w:ascii="Arial" w:hAnsi="Arial" w:cs="Arial"/>
          <w:color w:val="000000" w:themeColor="text1"/>
        </w:rPr>
        <w:t>StatPearls</w:t>
      </w:r>
      <w:proofErr w:type="spellEnd"/>
      <w:r w:rsidRPr="00E624DF">
        <w:rPr>
          <w:rFonts w:ascii="Arial" w:hAnsi="Arial" w:cs="Arial"/>
          <w:color w:val="000000" w:themeColor="text1"/>
        </w:rPr>
        <w:t xml:space="preserve">. </w:t>
      </w:r>
      <w:proofErr w:type="spellStart"/>
      <w:r w:rsidRPr="00E624DF">
        <w:rPr>
          <w:rFonts w:ascii="Arial" w:hAnsi="Arial" w:cs="Arial"/>
          <w:color w:val="000000" w:themeColor="text1"/>
        </w:rPr>
        <w:t>StatPearls</w:t>
      </w:r>
      <w:proofErr w:type="spellEnd"/>
      <w:r w:rsidRPr="00E624DF">
        <w:rPr>
          <w:rFonts w:ascii="Arial" w:hAnsi="Arial" w:cs="Arial"/>
          <w:color w:val="000000" w:themeColor="text1"/>
        </w:rPr>
        <w:t xml:space="preserve"> Publishing. </w:t>
      </w:r>
      <w:hyperlink r:id="rId31" w:tgtFrame="_new" w:history="1">
        <w:r w:rsidRPr="00E624DF">
          <w:rPr>
            <w:rStyle w:val="Hyperlink"/>
            <w:rFonts w:ascii="Arial" w:hAnsi="Arial" w:cs="Arial"/>
          </w:rPr>
          <w:t>https://www.ncbi.nlm.nih.gov/books/NBK513253/</w:t>
        </w:r>
      </w:hyperlink>
    </w:p>
    <w:p w14:paraId="1E59BDA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Gyawali, P., Richards, R. S. &amp; Uba </w:t>
      </w:r>
      <w:proofErr w:type="spellStart"/>
      <w:r w:rsidRPr="00E624DF">
        <w:rPr>
          <w:rFonts w:ascii="Arial" w:hAnsi="Arial" w:cs="Arial"/>
          <w:color w:val="000000" w:themeColor="text1"/>
        </w:rPr>
        <w:t>Nwose</w:t>
      </w:r>
      <w:proofErr w:type="spellEnd"/>
      <w:r w:rsidRPr="00E624DF">
        <w:rPr>
          <w:rFonts w:ascii="Arial" w:hAnsi="Arial" w:cs="Arial"/>
          <w:color w:val="000000" w:themeColor="text1"/>
        </w:rPr>
        <w:t xml:space="preserve">, E. (2012). Erythrocyte morphology in metabolic syndrome. </w:t>
      </w:r>
      <w:r w:rsidRPr="00E624DF">
        <w:rPr>
          <w:rFonts w:ascii="Arial" w:hAnsi="Arial" w:cs="Arial"/>
          <w:i/>
          <w:iCs/>
          <w:color w:val="000000" w:themeColor="text1"/>
        </w:rPr>
        <w:t>Expert Review of Hematology</w:t>
      </w:r>
      <w:r w:rsidRPr="00E624DF">
        <w:rPr>
          <w:rFonts w:ascii="Arial" w:hAnsi="Arial" w:cs="Arial"/>
          <w:color w:val="000000" w:themeColor="text1"/>
        </w:rPr>
        <w:t xml:space="preserve">, </w:t>
      </w:r>
      <w:r w:rsidRPr="00E624DF">
        <w:rPr>
          <w:rFonts w:ascii="Arial" w:hAnsi="Arial" w:cs="Arial"/>
          <w:i/>
          <w:iCs/>
          <w:color w:val="000000" w:themeColor="text1"/>
        </w:rPr>
        <w:t>5</w:t>
      </w:r>
      <w:r w:rsidRPr="00E624DF">
        <w:rPr>
          <w:rFonts w:ascii="Arial" w:hAnsi="Arial" w:cs="Arial"/>
          <w:color w:val="000000" w:themeColor="text1"/>
        </w:rPr>
        <w:t xml:space="preserve">(5), 523-531. </w:t>
      </w:r>
      <w:hyperlink r:id="rId32" w:history="1">
        <w:r w:rsidRPr="00E624DF">
          <w:rPr>
            <w:rStyle w:val="Hyperlink"/>
            <w:rFonts w:ascii="Arial" w:hAnsi="Arial" w:cs="Arial"/>
          </w:rPr>
          <w:t>https://doi.org/10.1586/ehm.12.47</w:t>
        </w:r>
      </w:hyperlink>
    </w:p>
    <w:p w14:paraId="73CCA06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Hicks, J. M. (1984). Fluorescence immunoassay. </w:t>
      </w:r>
      <w:r w:rsidRPr="00E624DF">
        <w:rPr>
          <w:rFonts w:ascii="Arial" w:hAnsi="Arial" w:cs="Arial"/>
          <w:i/>
          <w:color w:val="000000" w:themeColor="text1"/>
        </w:rPr>
        <w:t>Human Pathology</w:t>
      </w:r>
      <w:r w:rsidRPr="00E624DF">
        <w:rPr>
          <w:rFonts w:ascii="Arial" w:hAnsi="Arial" w:cs="Arial"/>
          <w:color w:val="000000" w:themeColor="text1"/>
        </w:rPr>
        <w:t>, 15(2), 112–116. https://doi.org/10.1016/s0046-8177(84)80049-0.</w:t>
      </w:r>
    </w:p>
    <w:p w14:paraId="0C32843C"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t xml:space="preserve">Hussain, M., Babar, M. Z. M., Akhtar, L. &amp; Hussain, M. S. (2017). Neutrophil lymphocyte ratio (NLR): A well assessment tool of glycemic control in type 2 diabetic patients. </w:t>
      </w:r>
      <w:r w:rsidRPr="00E624DF">
        <w:rPr>
          <w:rFonts w:ascii="Arial" w:hAnsi="Arial" w:cs="Arial"/>
          <w:i/>
          <w:iCs/>
          <w:color w:val="000000" w:themeColor="text1"/>
        </w:rPr>
        <w:t>Pakistan Journal of Medical Sciences</w:t>
      </w:r>
      <w:r w:rsidRPr="00E624DF">
        <w:rPr>
          <w:rFonts w:ascii="Arial" w:hAnsi="Arial" w:cs="Arial"/>
          <w:color w:val="000000" w:themeColor="text1"/>
        </w:rPr>
        <w:t xml:space="preserve">, </w:t>
      </w:r>
      <w:r w:rsidRPr="00E624DF">
        <w:rPr>
          <w:rFonts w:ascii="Arial" w:hAnsi="Arial" w:cs="Arial"/>
          <w:iCs/>
          <w:color w:val="000000" w:themeColor="text1"/>
        </w:rPr>
        <w:t>33</w:t>
      </w:r>
      <w:r w:rsidRPr="00E624DF">
        <w:rPr>
          <w:rFonts w:ascii="Arial" w:hAnsi="Arial" w:cs="Arial"/>
          <w:color w:val="000000" w:themeColor="text1"/>
        </w:rPr>
        <w:t>(6), 1366. https://doi.org/</w:t>
      </w:r>
      <w:hyperlink r:id="rId33" w:tgtFrame="_blank" w:history="1">
        <w:r w:rsidRPr="00E624DF">
          <w:rPr>
            <w:rStyle w:val="Hyperlink"/>
            <w:rFonts w:ascii="Arial" w:hAnsi="Arial" w:cs="Arial"/>
          </w:rPr>
          <w:t>10.12669/pjms.336.12900</w:t>
        </w:r>
      </w:hyperlink>
    </w:p>
    <w:p w14:paraId="0907AC2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International Council for Standardization in </w:t>
      </w:r>
      <w:proofErr w:type="spellStart"/>
      <w:r w:rsidRPr="00E624DF">
        <w:rPr>
          <w:rFonts w:ascii="Arial" w:hAnsi="Arial" w:cs="Arial"/>
          <w:color w:val="000000" w:themeColor="text1"/>
        </w:rPr>
        <w:t>Haematology</w:t>
      </w:r>
      <w:proofErr w:type="spellEnd"/>
      <w:r w:rsidRPr="00E624DF">
        <w:rPr>
          <w:rFonts w:ascii="Arial" w:hAnsi="Arial" w:cs="Arial"/>
          <w:color w:val="000000" w:themeColor="text1"/>
        </w:rPr>
        <w:t xml:space="preserve"> ICSH (Expert Panel on Blood Rheology (1993). ICSH recommendations for measurement of erythrocyte sedimentation rate. </w:t>
      </w:r>
      <w:r w:rsidRPr="00E624DF">
        <w:rPr>
          <w:rFonts w:ascii="Arial" w:hAnsi="Arial" w:cs="Arial"/>
          <w:i/>
          <w:iCs/>
          <w:color w:val="000000" w:themeColor="text1"/>
        </w:rPr>
        <w:t>Journal of Clinical Pathology</w:t>
      </w:r>
      <w:r w:rsidRPr="00E624DF">
        <w:rPr>
          <w:rFonts w:ascii="Arial" w:hAnsi="Arial" w:cs="Arial"/>
          <w:color w:val="000000" w:themeColor="text1"/>
        </w:rPr>
        <w:t xml:space="preserve">, </w:t>
      </w:r>
      <w:r w:rsidRPr="00E624DF">
        <w:rPr>
          <w:rFonts w:ascii="Arial" w:hAnsi="Arial" w:cs="Arial"/>
          <w:iCs/>
          <w:color w:val="000000" w:themeColor="text1"/>
        </w:rPr>
        <w:t>46</w:t>
      </w:r>
      <w:r w:rsidRPr="00E624DF">
        <w:rPr>
          <w:rFonts w:ascii="Arial" w:hAnsi="Arial" w:cs="Arial"/>
          <w:color w:val="000000" w:themeColor="text1"/>
        </w:rPr>
        <w:t>(3), 198-203. https://doi.org/10.1136/jcp.46.3.198.</w:t>
      </w:r>
    </w:p>
    <w:p w14:paraId="0664B43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International Diabetes Federation (2021). Diabetes around the world in 2021. Retrieved from </w:t>
      </w:r>
      <w:hyperlink r:id="rId34" w:history="1">
        <w:r w:rsidRPr="00E624DF">
          <w:rPr>
            <w:rStyle w:val="Hyperlink"/>
            <w:rFonts w:ascii="Arial" w:hAnsi="Arial" w:cs="Arial"/>
          </w:rPr>
          <w:t>https://diabetesatlas.org/</w:t>
        </w:r>
      </w:hyperlink>
      <w:r w:rsidRPr="00E624DF">
        <w:rPr>
          <w:rFonts w:ascii="Arial" w:hAnsi="Arial" w:cs="Arial"/>
          <w:color w:val="000000" w:themeColor="text1"/>
        </w:rPr>
        <w:t xml:space="preserve"> on 27</w:t>
      </w:r>
      <w:r w:rsidRPr="00E624DF">
        <w:rPr>
          <w:rFonts w:ascii="Arial" w:hAnsi="Arial" w:cs="Arial"/>
          <w:color w:val="000000" w:themeColor="text1"/>
          <w:vertAlign w:val="superscript"/>
        </w:rPr>
        <w:t>th</w:t>
      </w:r>
      <w:r w:rsidRPr="00E624DF">
        <w:rPr>
          <w:rFonts w:ascii="Arial" w:hAnsi="Arial" w:cs="Arial"/>
          <w:color w:val="000000" w:themeColor="text1"/>
        </w:rPr>
        <w:t xml:space="preserve"> March, 2024.</w:t>
      </w:r>
    </w:p>
    <w:p w14:paraId="60620CC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International Diabetes Federation (2021). Diabetes in Nigeria (2021). Retrieved from </w:t>
      </w:r>
      <w:hyperlink r:id="rId35" w:history="1">
        <w:r w:rsidRPr="00E624DF">
          <w:rPr>
            <w:rStyle w:val="Hyperlink"/>
            <w:rFonts w:ascii="Arial" w:hAnsi="Arial" w:cs="Arial"/>
          </w:rPr>
          <w:t>https://idf.org/our-network/regions-and-members/africa/members/nigeria/</w:t>
        </w:r>
      </w:hyperlink>
      <w:r w:rsidRPr="00E624DF">
        <w:rPr>
          <w:rFonts w:ascii="Arial" w:hAnsi="Arial" w:cs="Arial"/>
          <w:color w:val="000000" w:themeColor="text1"/>
        </w:rPr>
        <w:t xml:space="preserve"> on 27</w:t>
      </w:r>
      <w:r w:rsidRPr="00E624DF">
        <w:rPr>
          <w:rFonts w:ascii="Arial" w:hAnsi="Arial" w:cs="Arial"/>
          <w:color w:val="000000" w:themeColor="text1"/>
          <w:vertAlign w:val="superscript"/>
        </w:rPr>
        <w:t>th</w:t>
      </w:r>
      <w:r w:rsidRPr="00E624DF">
        <w:rPr>
          <w:rFonts w:ascii="Arial" w:hAnsi="Arial" w:cs="Arial"/>
          <w:color w:val="000000" w:themeColor="text1"/>
        </w:rPr>
        <w:t xml:space="preserve"> March, 2024.</w:t>
      </w:r>
    </w:p>
    <w:p w14:paraId="2C90F8A0"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Jin, P., Li, X., Chen, J., Zhang, Z., Hu, W., Chen, L. &amp; Shao, B. (2019). Platelet-to-neutrophil ratio is a prognostic marker for 90-days outcome in acute ischemic stroke. </w:t>
      </w:r>
      <w:r w:rsidRPr="00E624DF">
        <w:rPr>
          <w:rFonts w:ascii="Arial" w:hAnsi="Arial" w:cs="Arial"/>
          <w:i/>
          <w:iCs/>
          <w:color w:val="000000" w:themeColor="text1"/>
        </w:rPr>
        <w:t>Journal of Clinical Neuroscience</w:t>
      </w:r>
      <w:r w:rsidRPr="00E624DF">
        <w:rPr>
          <w:rFonts w:ascii="Arial" w:hAnsi="Arial" w:cs="Arial"/>
          <w:color w:val="000000" w:themeColor="text1"/>
        </w:rPr>
        <w:t xml:space="preserve">, </w:t>
      </w:r>
      <w:r w:rsidRPr="00E624DF">
        <w:rPr>
          <w:rFonts w:ascii="Arial" w:hAnsi="Arial" w:cs="Arial"/>
          <w:i/>
          <w:iCs/>
          <w:color w:val="000000" w:themeColor="text1"/>
        </w:rPr>
        <w:t>63</w:t>
      </w:r>
      <w:r w:rsidRPr="00E624DF">
        <w:rPr>
          <w:rFonts w:ascii="Arial" w:hAnsi="Arial" w:cs="Arial"/>
          <w:color w:val="000000" w:themeColor="text1"/>
        </w:rPr>
        <w:t xml:space="preserve">, 110-115. </w:t>
      </w:r>
      <w:hyperlink r:id="rId36" w:history="1">
        <w:r w:rsidRPr="00E624DF">
          <w:rPr>
            <w:rStyle w:val="Hyperlink"/>
            <w:rFonts w:ascii="Arial" w:hAnsi="Arial" w:cs="Arial"/>
          </w:rPr>
          <w:t>https://doi.org/10.1016/j.jocn.2019.01.028</w:t>
        </w:r>
      </w:hyperlink>
      <w:r w:rsidRPr="00E624DF">
        <w:rPr>
          <w:rFonts w:ascii="Arial" w:hAnsi="Arial" w:cs="Arial"/>
          <w:color w:val="000000" w:themeColor="text1"/>
        </w:rPr>
        <w:t>.</w:t>
      </w:r>
    </w:p>
    <w:p w14:paraId="509ECCC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Kahar, M. A. (2022). Erythrocyte sedimentation rate (with its inherent limitations) remains a useful investigation in contemporary clinical practice. </w:t>
      </w:r>
      <w:r w:rsidRPr="00E624DF">
        <w:rPr>
          <w:rFonts w:ascii="Arial" w:hAnsi="Arial" w:cs="Arial"/>
          <w:i/>
          <w:iCs/>
          <w:color w:val="000000" w:themeColor="text1"/>
        </w:rPr>
        <w:t>Annals of Pathology Lab Medicine</w:t>
      </w:r>
      <w:r w:rsidRPr="00E624DF">
        <w:rPr>
          <w:rFonts w:ascii="Arial" w:hAnsi="Arial" w:cs="Arial"/>
          <w:color w:val="000000" w:themeColor="text1"/>
        </w:rPr>
        <w:t xml:space="preserve">, </w:t>
      </w:r>
      <w:r w:rsidRPr="00E624DF">
        <w:rPr>
          <w:rFonts w:ascii="Arial" w:hAnsi="Arial" w:cs="Arial"/>
          <w:iCs/>
          <w:color w:val="000000" w:themeColor="text1"/>
        </w:rPr>
        <w:t>9</w:t>
      </w:r>
      <w:r w:rsidRPr="00E624DF">
        <w:rPr>
          <w:rFonts w:ascii="Arial" w:hAnsi="Arial" w:cs="Arial"/>
          <w:color w:val="000000" w:themeColor="text1"/>
        </w:rPr>
        <w:t xml:space="preserve">, 9-17. </w:t>
      </w:r>
      <w:hyperlink r:id="rId37" w:history="1">
        <w:r w:rsidRPr="00E624DF">
          <w:rPr>
            <w:rStyle w:val="Hyperlink"/>
            <w:rFonts w:ascii="Arial" w:hAnsi="Arial" w:cs="Arial"/>
          </w:rPr>
          <w:t>https://doi.org/10.21276/apalm.3155</w:t>
        </w:r>
      </w:hyperlink>
    </w:p>
    <w:p w14:paraId="77236A3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Kim, D. S., Shin, D., Lee, M. S., Kim, H. J., Kim, D. Y., Kim, S. M., &amp; Lee, M. G. (2016). Assessments of neutrophil to lymphocyte ratio and platelet to lymphocyte ratio in Korean patients with psoriasis vulgaris and psoriatic arthritis. </w:t>
      </w:r>
      <w:r w:rsidRPr="00E624DF">
        <w:rPr>
          <w:rFonts w:ascii="Arial" w:hAnsi="Arial" w:cs="Arial"/>
          <w:i/>
          <w:iCs/>
          <w:color w:val="000000" w:themeColor="text1"/>
        </w:rPr>
        <w:t>The Journal of Dermatology</w:t>
      </w:r>
      <w:r w:rsidRPr="00E624DF">
        <w:rPr>
          <w:rFonts w:ascii="Arial" w:hAnsi="Arial" w:cs="Arial"/>
          <w:color w:val="000000" w:themeColor="text1"/>
        </w:rPr>
        <w:t xml:space="preserve">, </w:t>
      </w:r>
      <w:r w:rsidRPr="00E624DF">
        <w:rPr>
          <w:rFonts w:ascii="Arial" w:hAnsi="Arial" w:cs="Arial"/>
          <w:i/>
          <w:iCs/>
          <w:color w:val="000000" w:themeColor="text1"/>
        </w:rPr>
        <w:t>43</w:t>
      </w:r>
      <w:r w:rsidRPr="00E624DF">
        <w:rPr>
          <w:rFonts w:ascii="Arial" w:hAnsi="Arial" w:cs="Arial"/>
          <w:color w:val="000000" w:themeColor="text1"/>
        </w:rPr>
        <w:t>(3), 305-310. https://doi.org/10.1111/1346-8138.13061.</w:t>
      </w:r>
    </w:p>
    <w:p w14:paraId="24AE1A4B"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Kizilgul</w:t>
      </w:r>
      <w:proofErr w:type="spellEnd"/>
      <w:r w:rsidRPr="00E624DF">
        <w:rPr>
          <w:rFonts w:ascii="Arial" w:hAnsi="Arial" w:cs="Arial"/>
          <w:color w:val="000000" w:themeColor="text1"/>
        </w:rPr>
        <w:t xml:space="preserve">, M., </w:t>
      </w:r>
      <w:proofErr w:type="spellStart"/>
      <w:r w:rsidRPr="00E624DF">
        <w:rPr>
          <w:rFonts w:ascii="Arial" w:hAnsi="Arial" w:cs="Arial"/>
          <w:color w:val="000000" w:themeColor="text1"/>
        </w:rPr>
        <w:t>Sencar</w:t>
      </w:r>
      <w:proofErr w:type="spellEnd"/>
      <w:r w:rsidRPr="00E624DF">
        <w:rPr>
          <w:rFonts w:ascii="Arial" w:hAnsi="Arial" w:cs="Arial"/>
          <w:color w:val="000000" w:themeColor="text1"/>
        </w:rPr>
        <w:t xml:space="preserve">, E., Ucan, B., </w:t>
      </w:r>
      <w:proofErr w:type="spellStart"/>
      <w:r w:rsidRPr="00E624DF">
        <w:rPr>
          <w:rFonts w:ascii="Arial" w:hAnsi="Arial" w:cs="Arial"/>
          <w:color w:val="000000" w:themeColor="text1"/>
        </w:rPr>
        <w:t>Beysel</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Ozcelik</w:t>
      </w:r>
      <w:proofErr w:type="spellEnd"/>
      <w:r w:rsidRPr="00E624DF">
        <w:rPr>
          <w:rFonts w:ascii="Arial" w:hAnsi="Arial" w:cs="Arial"/>
          <w:color w:val="000000" w:themeColor="text1"/>
        </w:rPr>
        <w:t xml:space="preserve">, O., Ozbek, M. &amp; </w:t>
      </w:r>
      <w:proofErr w:type="spellStart"/>
      <w:r w:rsidRPr="00E624DF">
        <w:rPr>
          <w:rFonts w:ascii="Arial" w:hAnsi="Arial" w:cs="Arial"/>
          <w:color w:val="000000" w:themeColor="text1"/>
        </w:rPr>
        <w:t>Cakal</w:t>
      </w:r>
      <w:proofErr w:type="spellEnd"/>
      <w:r w:rsidRPr="00E624DF">
        <w:rPr>
          <w:rFonts w:ascii="Arial" w:hAnsi="Arial" w:cs="Arial"/>
          <w:color w:val="000000" w:themeColor="text1"/>
        </w:rPr>
        <w:t xml:space="preserve">, E. (2018). Components of the complete blood count in type 2 diabetes mellitus with inadequate glycemic control. </w:t>
      </w:r>
      <w:r w:rsidRPr="00E624DF">
        <w:rPr>
          <w:rFonts w:ascii="Arial" w:hAnsi="Arial" w:cs="Arial"/>
          <w:i/>
          <w:iCs/>
          <w:color w:val="000000" w:themeColor="text1"/>
        </w:rPr>
        <w:t xml:space="preserve">Dicle </w:t>
      </w:r>
      <w:proofErr w:type="spellStart"/>
      <w:r w:rsidRPr="00E624DF">
        <w:rPr>
          <w:rFonts w:ascii="Arial" w:hAnsi="Arial" w:cs="Arial"/>
          <w:i/>
          <w:iCs/>
          <w:color w:val="000000" w:themeColor="text1"/>
        </w:rPr>
        <w:t>Tıp</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Dergisi</w:t>
      </w:r>
      <w:proofErr w:type="spellEnd"/>
      <w:r w:rsidRPr="00E624DF">
        <w:rPr>
          <w:rFonts w:ascii="Arial" w:hAnsi="Arial" w:cs="Arial"/>
          <w:color w:val="000000" w:themeColor="text1"/>
        </w:rPr>
        <w:t xml:space="preserve">, </w:t>
      </w:r>
      <w:r w:rsidRPr="00E624DF">
        <w:rPr>
          <w:rFonts w:ascii="Arial" w:hAnsi="Arial" w:cs="Arial"/>
          <w:iCs/>
          <w:color w:val="000000" w:themeColor="text1"/>
        </w:rPr>
        <w:t>45</w:t>
      </w:r>
      <w:r w:rsidRPr="00E624DF">
        <w:rPr>
          <w:rFonts w:ascii="Arial" w:hAnsi="Arial" w:cs="Arial"/>
          <w:color w:val="000000" w:themeColor="text1"/>
        </w:rPr>
        <w:t xml:space="preserve">(2), 113-120. </w:t>
      </w:r>
      <w:hyperlink r:id="rId38" w:history="1">
        <w:r w:rsidRPr="00E624DF">
          <w:rPr>
            <w:rStyle w:val="Hyperlink"/>
            <w:rFonts w:ascii="Arial" w:hAnsi="Arial" w:cs="Arial"/>
          </w:rPr>
          <w:t>https://doi.org/10.5798/dicletip.410811</w:t>
        </w:r>
      </w:hyperlink>
    </w:p>
    <w:p w14:paraId="46337B26"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Klisić</w:t>
      </w:r>
      <w:proofErr w:type="spellEnd"/>
      <w:r w:rsidRPr="00E624DF">
        <w:rPr>
          <w:rFonts w:ascii="Arial" w:hAnsi="Arial" w:cs="Arial"/>
          <w:color w:val="000000" w:themeColor="text1"/>
        </w:rPr>
        <w:t xml:space="preserve">, A., Šćepanović, A., Kotur-Stevuljević, J., &amp; </w:t>
      </w:r>
      <w:proofErr w:type="spellStart"/>
      <w:r w:rsidRPr="00E624DF">
        <w:rPr>
          <w:rFonts w:ascii="Arial" w:hAnsi="Arial" w:cs="Arial"/>
          <w:color w:val="000000" w:themeColor="text1"/>
        </w:rPr>
        <w:t>Ninić</w:t>
      </w:r>
      <w:proofErr w:type="spellEnd"/>
      <w:r w:rsidRPr="00E624DF">
        <w:rPr>
          <w:rFonts w:ascii="Arial" w:hAnsi="Arial" w:cs="Arial"/>
          <w:color w:val="000000" w:themeColor="text1"/>
        </w:rPr>
        <w:t xml:space="preserve">, A. (2022). Novel leukocyte and thrombocyte indexes in patients with prediabetes and type 2 diabetes mellitus. </w:t>
      </w:r>
      <w:r w:rsidRPr="00E624DF">
        <w:rPr>
          <w:rFonts w:ascii="Arial" w:hAnsi="Arial" w:cs="Arial"/>
          <w:i/>
          <w:iCs/>
          <w:color w:val="000000" w:themeColor="text1"/>
        </w:rPr>
        <w:t>European Review for Medical and Pharmacological Sciences</w:t>
      </w:r>
      <w:r w:rsidRPr="00E624DF">
        <w:rPr>
          <w:rFonts w:ascii="Arial" w:hAnsi="Arial" w:cs="Arial"/>
          <w:color w:val="000000" w:themeColor="text1"/>
        </w:rPr>
        <w:t xml:space="preserve">, </w:t>
      </w:r>
      <w:r w:rsidRPr="00E624DF">
        <w:rPr>
          <w:rFonts w:ascii="Arial" w:hAnsi="Arial" w:cs="Arial"/>
          <w:iCs/>
          <w:color w:val="000000" w:themeColor="text1"/>
        </w:rPr>
        <w:t>26</w:t>
      </w:r>
      <w:r w:rsidRPr="00E624DF">
        <w:rPr>
          <w:rFonts w:ascii="Arial" w:hAnsi="Arial" w:cs="Arial"/>
          <w:color w:val="000000" w:themeColor="text1"/>
        </w:rPr>
        <w:t xml:space="preserve">(8), 2775-2781. </w:t>
      </w:r>
      <w:hyperlink r:id="rId39" w:history="1">
        <w:r w:rsidRPr="00E624DF">
          <w:rPr>
            <w:rStyle w:val="Hyperlink"/>
            <w:rFonts w:ascii="Arial" w:hAnsi="Arial" w:cs="Arial"/>
          </w:rPr>
          <w:t>https://doi.org/10.26355/eurrev_202204_28607</w:t>
        </w:r>
      </w:hyperlink>
      <w:r w:rsidRPr="00E624DF">
        <w:rPr>
          <w:rFonts w:ascii="Arial" w:hAnsi="Arial" w:cs="Arial"/>
          <w:color w:val="000000" w:themeColor="text1"/>
        </w:rPr>
        <w:t>.</w:t>
      </w:r>
    </w:p>
    <w:p w14:paraId="40083AB8"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Lee, S., Lee, M. Y., Nam, J. S., Kang, S., Park, J. S., Shin, S. &amp; Kim, K. R. (2015). Hemorheological approach for early detection of chronic kidney disease and diabetic nephropathy in type 2 diabetes. </w:t>
      </w:r>
      <w:r w:rsidRPr="00E624DF">
        <w:rPr>
          <w:rFonts w:ascii="Arial" w:hAnsi="Arial" w:cs="Arial"/>
          <w:i/>
          <w:iCs/>
          <w:color w:val="000000" w:themeColor="text1"/>
        </w:rPr>
        <w:t>Diabetes Technology &amp; Therapeutics</w:t>
      </w:r>
      <w:r w:rsidRPr="00E624DF">
        <w:rPr>
          <w:rFonts w:ascii="Arial" w:hAnsi="Arial" w:cs="Arial"/>
          <w:color w:val="000000" w:themeColor="text1"/>
        </w:rPr>
        <w:t xml:space="preserve">, </w:t>
      </w:r>
      <w:r w:rsidRPr="00E624DF">
        <w:rPr>
          <w:rFonts w:ascii="Arial" w:hAnsi="Arial" w:cs="Arial"/>
          <w:iCs/>
          <w:color w:val="000000" w:themeColor="text1"/>
        </w:rPr>
        <w:t>17</w:t>
      </w:r>
      <w:r w:rsidRPr="00E624DF">
        <w:rPr>
          <w:rFonts w:ascii="Arial" w:hAnsi="Arial" w:cs="Arial"/>
          <w:color w:val="000000" w:themeColor="text1"/>
        </w:rPr>
        <w:t xml:space="preserve">(11), 808-815. </w:t>
      </w:r>
      <w:hyperlink r:id="rId40" w:history="1">
        <w:r w:rsidRPr="00E624DF">
          <w:rPr>
            <w:rStyle w:val="Hyperlink"/>
            <w:rFonts w:ascii="Arial" w:hAnsi="Arial" w:cs="Arial"/>
          </w:rPr>
          <w:t>https://doi.org/10.1089/dia.2014.0295</w:t>
        </w:r>
      </w:hyperlink>
    </w:p>
    <w:p w14:paraId="16C17D7D"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 J., Wang, X., Jia, W., Wang, K., Wang, W., Diao, W. &amp; Yang, Y. (2024). Association of the systemic immuno-inflammation index, neutrophil-to-lymphocyte ratio, and platelet-to-lymphocyte ratio with diabetic microvascular complications. </w:t>
      </w:r>
      <w:r w:rsidRPr="00E624DF">
        <w:rPr>
          <w:rFonts w:ascii="Arial" w:hAnsi="Arial" w:cs="Arial"/>
          <w:i/>
          <w:iCs/>
          <w:color w:val="000000" w:themeColor="text1"/>
        </w:rPr>
        <w:t>Frontiers in Endocrinology</w:t>
      </w:r>
      <w:r w:rsidRPr="00E624DF">
        <w:rPr>
          <w:rFonts w:ascii="Arial" w:hAnsi="Arial" w:cs="Arial"/>
          <w:color w:val="000000" w:themeColor="text1"/>
        </w:rPr>
        <w:t xml:space="preserve">, </w:t>
      </w:r>
      <w:r w:rsidRPr="00E624DF">
        <w:rPr>
          <w:rFonts w:ascii="Arial" w:hAnsi="Arial" w:cs="Arial"/>
          <w:iCs/>
          <w:color w:val="000000" w:themeColor="text1"/>
        </w:rPr>
        <w:t>15</w:t>
      </w:r>
      <w:r w:rsidRPr="00E624DF">
        <w:rPr>
          <w:rFonts w:ascii="Arial" w:hAnsi="Arial" w:cs="Arial"/>
          <w:color w:val="000000" w:themeColor="text1"/>
        </w:rPr>
        <w:t xml:space="preserve">, 1367376. </w:t>
      </w:r>
      <w:hyperlink r:id="rId41" w:history="1">
        <w:r w:rsidRPr="00E624DF">
          <w:rPr>
            <w:rStyle w:val="Hyperlink"/>
            <w:rFonts w:ascii="Arial" w:hAnsi="Arial" w:cs="Arial"/>
          </w:rPr>
          <w:t>https://doi.org/10.3389/fendo.2024.1367376</w:t>
        </w:r>
      </w:hyperlink>
      <w:r w:rsidRPr="00E624DF">
        <w:rPr>
          <w:rFonts w:ascii="Arial" w:hAnsi="Arial" w:cs="Arial"/>
          <w:color w:val="000000" w:themeColor="text1"/>
        </w:rPr>
        <w:t>.</w:t>
      </w:r>
    </w:p>
    <w:p w14:paraId="17F7D351"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 X., Wang, L., Liu, M., Zhou, H. &amp; Xu, H. (2024). Association between neutrophil-to-lymphocyte ratio and diabetic kidney disease in type 2 diabetes mellitus patients: a cross-sectional study. </w:t>
      </w:r>
      <w:r w:rsidRPr="00E624DF">
        <w:rPr>
          <w:rFonts w:ascii="Arial" w:hAnsi="Arial" w:cs="Arial"/>
          <w:i/>
          <w:iCs/>
          <w:color w:val="000000" w:themeColor="text1"/>
        </w:rPr>
        <w:t>Frontiers in Endocrinology</w:t>
      </w:r>
      <w:r w:rsidRPr="00E624DF">
        <w:rPr>
          <w:rFonts w:ascii="Arial" w:hAnsi="Arial" w:cs="Arial"/>
          <w:color w:val="000000" w:themeColor="text1"/>
        </w:rPr>
        <w:t xml:space="preserve">, </w:t>
      </w:r>
      <w:r w:rsidRPr="00E624DF">
        <w:rPr>
          <w:rFonts w:ascii="Arial" w:hAnsi="Arial" w:cs="Arial"/>
          <w:iCs/>
          <w:color w:val="000000" w:themeColor="text1"/>
        </w:rPr>
        <w:t>14</w:t>
      </w:r>
      <w:r w:rsidRPr="00E624DF">
        <w:rPr>
          <w:rFonts w:ascii="Arial" w:hAnsi="Arial" w:cs="Arial"/>
          <w:color w:val="000000" w:themeColor="text1"/>
        </w:rPr>
        <w:t xml:space="preserve">, 1285509. </w:t>
      </w:r>
      <w:hyperlink r:id="rId42" w:history="1">
        <w:r w:rsidRPr="00E624DF">
          <w:rPr>
            <w:rStyle w:val="Hyperlink"/>
            <w:rFonts w:ascii="Arial" w:hAnsi="Arial" w:cs="Arial"/>
          </w:rPr>
          <w:t>https://doi.org/10.3389/fendo.2023.1285509</w:t>
        </w:r>
      </w:hyperlink>
      <w:r w:rsidRPr="00E624DF">
        <w:rPr>
          <w:rFonts w:ascii="Arial" w:hAnsi="Arial" w:cs="Arial"/>
          <w:color w:val="000000" w:themeColor="text1"/>
        </w:rPr>
        <w:t>.</w:t>
      </w:r>
    </w:p>
    <w:p w14:paraId="1972990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Liao, R., Wang, L., Zeng, J., Tang, X., Huang, M., </w:t>
      </w:r>
      <w:proofErr w:type="spellStart"/>
      <w:r w:rsidRPr="00E624DF">
        <w:rPr>
          <w:rFonts w:ascii="Arial" w:hAnsi="Arial" w:cs="Arial"/>
          <w:color w:val="000000" w:themeColor="text1"/>
        </w:rPr>
        <w:t>Kantawong</w:t>
      </w:r>
      <w:proofErr w:type="spellEnd"/>
      <w:r w:rsidRPr="00E624DF">
        <w:rPr>
          <w:rFonts w:ascii="Arial" w:hAnsi="Arial" w:cs="Arial"/>
          <w:color w:val="000000" w:themeColor="text1"/>
        </w:rPr>
        <w:t xml:space="preserve">, F. &amp; Wu, J. (2025). Reactive oxygen species: Orchestrating the delicate dance of platelet life and death. </w:t>
      </w:r>
      <w:r w:rsidRPr="00E624DF">
        <w:rPr>
          <w:rFonts w:ascii="Arial" w:hAnsi="Arial" w:cs="Arial"/>
          <w:i/>
          <w:iCs/>
          <w:color w:val="000000" w:themeColor="text1"/>
        </w:rPr>
        <w:t>Redox Biology</w:t>
      </w:r>
      <w:r w:rsidRPr="00E624DF">
        <w:rPr>
          <w:rFonts w:ascii="Arial" w:hAnsi="Arial" w:cs="Arial"/>
          <w:color w:val="000000" w:themeColor="text1"/>
        </w:rPr>
        <w:t xml:space="preserve">, 103489. </w:t>
      </w:r>
      <w:hyperlink r:id="rId43" w:history="1">
        <w:r w:rsidRPr="00E624DF">
          <w:rPr>
            <w:rStyle w:val="Hyperlink"/>
            <w:rFonts w:ascii="Arial" w:hAnsi="Arial" w:cs="Arial"/>
          </w:rPr>
          <w:t>https://doi.org/10.1016/j.redox.2025.103489</w:t>
        </w:r>
      </w:hyperlink>
      <w:r w:rsidRPr="00E624DF">
        <w:rPr>
          <w:rFonts w:ascii="Arial" w:hAnsi="Arial" w:cs="Arial"/>
          <w:color w:val="000000" w:themeColor="text1"/>
        </w:rPr>
        <w:t>.</w:t>
      </w:r>
    </w:p>
    <w:p w14:paraId="5C6569C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Liu, J., Liu, X., Li, Y., Quan, J., Wei, S., An, S. &amp; Liu, J. (2018). The association of neutrophil to lymphocyte ratio, mean platelet volume, and platelet distribution width with diabetic retinopathy and nephropathy: a meta-analysis. </w:t>
      </w:r>
      <w:r w:rsidRPr="00E624DF">
        <w:rPr>
          <w:rFonts w:ascii="Arial" w:hAnsi="Arial" w:cs="Arial"/>
          <w:i/>
          <w:iCs/>
          <w:color w:val="000000" w:themeColor="text1"/>
        </w:rPr>
        <w:t>Bioscience Reports</w:t>
      </w:r>
      <w:r w:rsidRPr="00E624DF">
        <w:rPr>
          <w:rFonts w:ascii="Arial" w:hAnsi="Arial" w:cs="Arial"/>
          <w:color w:val="000000" w:themeColor="text1"/>
        </w:rPr>
        <w:t xml:space="preserve">, </w:t>
      </w:r>
      <w:r w:rsidRPr="00E624DF">
        <w:rPr>
          <w:rFonts w:ascii="Arial" w:hAnsi="Arial" w:cs="Arial"/>
          <w:iCs/>
          <w:color w:val="000000" w:themeColor="text1"/>
        </w:rPr>
        <w:t>38</w:t>
      </w:r>
      <w:r w:rsidRPr="00E624DF">
        <w:rPr>
          <w:rFonts w:ascii="Arial" w:hAnsi="Arial" w:cs="Arial"/>
          <w:color w:val="000000" w:themeColor="text1"/>
        </w:rPr>
        <w:t xml:space="preserve">(3), BSR20180172. </w:t>
      </w:r>
      <w:hyperlink r:id="rId44" w:history="1">
        <w:r w:rsidRPr="00E624DF">
          <w:rPr>
            <w:rStyle w:val="Hyperlink"/>
            <w:rFonts w:ascii="Arial" w:hAnsi="Arial" w:cs="Arial"/>
          </w:rPr>
          <w:t>https://doi.org/10.1042/BSR20180172</w:t>
        </w:r>
      </w:hyperlink>
      <w:r w:rsidRPr="00E624DF">
        <w:rPr>
          <w:rFonts w:ascii="Arial" w:hAnsi="Arial" w:cs="Arial"/>
          <w:color w:val="000000" w:themeColor="text1"/>
        </w:rPr>
        <w:t>.</w:t>
      </w:r>
    </w:p>
    <w:p w14:paraId="3997AEA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Liu, N., Sheng, J., Pan, T., &amp; Wang, Y. (2019). Neutrophil to Lymphocyte Ratio and Platelet to Lymphocyte Ratio are Associated with Lower Extremity Vascular Lesions in Chinese Patients with Type 2 Diabetes. </w:t>
      </w:r>
      <w:r w:rsidRPr="00E624DF">
        <w:rPr>
          <w:rFonts w:ascii="Arial" w:hAnsi="Arial" w:cs="Arial"/>
          <w:i/>
          <w:iCs/>
          <w:color w:val="000000" w:themeColor="text1"/>
        </w:rPr>
        <w:t>Clinical Laboratory</w:t>
      </w:r>
      <w:r w:rsidRPr="00E624DF">
        <w:rPr>
          <w:rFonts w:ascii="Arial" w:hAnsi="Arial" w:cs="Arial"/>
          <w:color w:val="000000" w:themeColor="text1"/>
        </w:rPr>
        <w:t xml:space="preserve">, </w:t>
      </w:r>
      <w:r w:rsidRPr="00E624DF">
        <w:rPr>
          <w:rFonts w:ascii="Arial" w:hAnsi="Arial" w:cs="Arial"/>
          <w:iCs/>
          <w:color w:val="000000" w:themeColor="text1"/>
        </w:rPr>
        <w:t>65(3)</w:t>
      </w:r>
      <w:r w:rsidRPr="00E624DF">
        <w:rPr>
          <w:rFonts w:ascii="Arial" w:hAnsi="Arial" w:cs="Arial"/>
          <w:color w:val="000000" w:themeColor="text1"/>
        </w:rPr>
        <w:t xml:space="preserve">. </w:t>
      </w:r>
      <w:hyperlink r:id="rId45" w:history="1">
        <w:r w:rsidRPr="00E624DF">
          <w:rPr>
            <w:rStyle w:val="Hyperlink"/>
            <w:rFonts w:ascii="Arial" w:hAnsi="Arial" w:cs="Arial"/>
          </w:rPr>
          <w:t>https://doi.org/10.7754/Clin.Lab.2018.180804</w:t>
        </w:r>
      </w:hyperlink>
      <w:r w:rsidRPr="00E624DF">
        <w:rPr>
          <w:rFonts w:ascii="Arial" w:hAnsi="Arial" w:cs="Arial"/>
          <w:color w:val="000000" w:themeColor="text1"/>
        </w:rPr>
        <w:t>.</w:t>
      </w:r>
    </w:p>
    <w:p w14:paraId="0B14928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Loyola-Leyva, A., Loyola-Rodríguez, J. P., Atzori, M. &amp; González, F. J. (2018). Morphological changes in erythrocytes of people with type 2 diabetes mellitus evaluated with atomic force microscopy: A brief review. </w:t>
      </w:r>
      <w:r w:rsidRPr="00E624DF">
        <w:rPr>
          <w:rFonts w:ascii="Arial" w:hAnsi="Arial" w:cs="Arial"/>
          <w:i/>
          <w:iCs/>
          <w:color w:val="000000" w:themeColor="text1"/>
        </w:rPr>
        <w:t>Micron</w:t>
      </w:r>
      <w:r w:rsidRPr="00E624DF">
        <w:rPr>
          <w:rFonts w:ascii="Arial" w:hAnsi="Arial" w:cs="Arial"/>
          <w:color w:val="000000" w:themeColor="text1"/>
        </w:rPr>
        <w:t xml:space="preserve">, </w:t>
      </w:r>
      <w:r w:rsidRPr="00E624DF">
        <w:rPr>
          <w:rFonts w:ascii="Arial" w:hAnsi="Arial" w:cs="Arial"/>
          <w:iCs/>
          <w:color w:val="000000" w:themeColor="text1"/>
        </w:rPr>
        <w:t>105</w:t>
      </w:r>
      <w:r w:rsidRPr="00E624DF">
        <w:rPr>
          <w:rFonts w:ascii="Arial" w:hAnsi="Arial" w:cs="Arial"/>
          <w:color w:val="000000" w:themeColor="text1"/>
        </w:rPr>
        <w:t xml:space="preserve">, 11-17. </w:t>
      </w:r>
      <w:hyperlink r:id="rId46" w:history="1">
        <w:r w:rsidRPr="00E624DF">
          <w:rPr>
            <w:rStyle w:val="Hyperlink"/>
            <w:rFonts w:ascii="Arial" w:hAnsi="Arial" w:cs="Arial"/>
          </w:rPr>
          <w:t>https://doi.org/10.1016/j.micron.2017.11.001</w:t>
        </w:r>
      </w:hyperlink>
      <w:r w:rsidRPr="00E624DF">
        <w:rPr>
          <w:rFonts w:ascii="Arial" w:hAnsi="Arial" w:cs="Arial"/>
          <w:color w:val="000000" w:themeColor="text1"/>
        </w:rPr>
        <w:t>.</w:t>
      </w:r>
    </w:p>
    <w:p w14:paraId="2F4594D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Mahajan, M., Prasad, M. K., Ashok, C., Guria, R. T., Marandi, S., Subrat, S. et al. (2023). The correlation of the neutrophil-to-lymphocyte ratio with microvascular complications in patients with diabetes mellitus. </w:t>
      </w:r>
      <w:r w:rsidRPr="00E624DF">
        <w:rPr>
          <w:rFonts w:ascii="Arial" w:hAnsi="Arial" w:cs="Arial"/>
          <w:i/>
          <w:iCs/>
          <w:color w:val="000000" w:themeColor="text1"/>
        </w:rPr>
        <w:t>Cureus</w:t>
      </w:r>
      <w:r w:rsidRPr="00E624DF">
        <w:rPr>
          <w:rFonts w:ascii="Arial" w:hAnsi="Arial" w:cs="Arial"/>
          <w:color w:val="000000" w:themeColor="text1"/>
        </w:rPr>
        <w:t xml:space="preserve">, </w:t>
      </w:r>
      <w:r w:rsidRPr="00E624DF">
        <w:rPr>
          <w:rFonts w:ascii="Arial" w:hAnsi="Arial" w:cs="Arial"/>
          <w:i/>
          <w:iCs/>
          <w:color w:val="000000" w:themeColor="text1"/>
        </w:rPr>
        <w:t>15</w:t>
      </w:r>
      <w:r w:rsidRPr="00E624DF">
        <w:rPr>
          <w:rFonts w:ascii="Arial" w:hAnsi="Arial" w:cs="Arial"/>
          <w:color w:val="000000" w:themeColor="text1"/>
        </w:rPr>
        <w:t xml:space="preserve">(9). </w:t>
      </w:r>
      <w:hyperlink r:id="rId47" w:history="1">
        <w:r w:rsidRPr="00E624DF">
          <w:rPr>
            <w:rStyle w:val="Hyperlink"/>
            <w:rFonts w:ascii="Arial" w:hAnsi="Arial" w:cs="Arial"/>
          </w:rPr>
          <w:t>https://doi.org/10.7759/cureus.44601</w:t>
        </w:r>
      </w:hyperlink>
      <w:r w:rsidRPr="00E624DF">
        <w:rPr>
          <w:rFonts w:ascii="Arial" w:hAnsi="Arial" w:cs="Arial"/>
          <w:color w:val="000000" w:themeColor="text1"/>
        </w:rPr>
        <w:t>.</w:t>
      </w:r>
    </w:p>
    <w:p w14:paraId="1B6CC3FF"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Mbanya</w:t>
      </w:r>
      <w:proofErr w:type="spellEnd"/>
      <w:r w:rsidRPr="00E624DF">
        <w:rPr>
          <w:rFonts w:ascii="Arial" w:hAnsi="Arial" w:cs="Arial"/>
          <w:color w:val="000000" w:themeColor="text1"/>
        </w:rPr>
        <w:t xml:space="preserve">, J. C. N., Motala, A. A., </w:t>
      </w:r>
      <w:proofErr w:type="spellStart"/>
      <w:r w:rsidRPr="00E624DF">
        <w:rPr>
          <w:rFonts w:ascii="Arial" w:hAnsi="Arial" w:cs="Arial"/>
          <w:color w:val="000000" w:themeColor="text1"/>
        </w:rPr>
        <w:t>Sobngwi</w:t>
      </w:r>
      <w:proofErr w:type="spellEnd"/>
      <w:r w:rsidRPr="00E624DF">
        <w:rPr>
          <w:rFonts w:ascii="Arial" w:hAnsi="Arial" w:cs="Arial"/>
          <w:color w:val="000000" w:themeColor="text1"/>
        </w:rPr>
        <w:t xml:space="preserve">, E., </w:t>
      </w:r>
      <w:proofErr w:type="spellStart"/>
      <w:r w:rsidRPr="00E624DF">
        <w:rPr>
          <w:rFonts w:ascii="Arial" w:hAnsi="Arial" w:cs="Arial"/>
          <w:color w:val="000000" w:themeColor="text1"/>
        </w:rPr>
        <w:t>Assah</w:t>
      </w:r>
      <w:proofErr w:type="spellEnd"/>
      <w:r w:rsidRPr="00E624DF">
        <w:rPr>
          <w:rFonts w:ascii="Arial" w:hAnsi="Arial" w:cs="Arial"/>
          <w:color w:val="000000" w:themeColor="text1"/>
        </w:rPr>
        <w:t xml:space="preserve">, F. K. &amp; </w:t>
      </w:r>
      <w:proofErr w:type="spellStart"/>
      <w:r w:rsidRPr="00E624DF">
        <w:rPr>
          <w:rFonts w:ascii="Arial" w:hAnsi="Arial" w:cs="Arial"/>
          <w:color w:val="000000" w:themeColor="text1"/>
        </w:rPr>
        <w:t>Enoru</w:t>
      </w:r>
      <w:proofErr w:type="spellEnd"/>
      <w:r w:rsidRPr="00E624DF">
        <w:rPr>
          <w:rFonts w:ascii="Arial" w:hAnsi="Arial" w:cs="Arial"/>
          <w:color w:val="000000" w:themeColor="text1"/>
        </w:rPr>
        <w:t xml:space="preserve">, S. T. (2010). Diabetes in </w:t>
      </w:r>
      <w:proofErr w:type="spellStart"/>
      <w:r w:rsidRPr="00E624DF">
        <w:rPr>
          <w:rFonts w:ascii="Arial" w:hAnsi="Arial" w:cs="Arial"/>
          <w:color w:val="000000" w:themeColor="text1"/>
        </w:rPr>
        <w:t>sub-saharan</w:t>
      </w:r>
      <w:proofErr w:type="spellEnd"/>
      <w:r w:rsidRPr="00E624DF">
        <w:rPr>
          <w:rFonts w:ascii="Arial" w:hAnsi="Arial" w:cs="Arial"/>
          <w:color w:val="000000" w:themeColor="text1"/>
        </w:rPr>
        <w:t xml:space="preserve"> Africa.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Cs/>
          <w:color w:val="000000" w:themeColor="text1"/>
        </w:rPr>
        <w:t>375</w:t>
      </w:r>
      <w:r w:rsidRPr="00E624DF">
        <w:rPr>
          <w:rFonts w:ascii="Arial" w:hAnsi="Arial" w:cs="Arial"/>
          <w:color w:val="000000" w:themeColor="text1"/>
        </w:rPr>
        <w:t xml:space="preserve">(9733), 2254-2266. </w:t>
      </w:r>
      <w:hyperlink r:id="rId48" w:history="1">
        <w:r w:rsidRPr="00E624DF">
          <w:rPr>
            <w:rStyle w:val="Hyperlink"/>
            <w:rFonts w:ascii="Arial" w:hAnsi="Arial" w:cs="Arial"/>
          </w:rPr>
          <w:t>https://doi.org/10.1016/S0140-6736(10)60550-8</w:t>
        </w:r>
      </w:hyperlink>
    </w:p>
    <w:p w14:paraId="36A7BBB8"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Mendes, B. B., Oliveira, A. C. R., &amp; Alcântara, K. C. D. (2019). Comparison of the neutrophil-to-lymphocyte and platelet-to-lymphocyte ratios in normoglycemic and hyperglycemic subjects. </w:t>
      </w:r>
      <w:r w:rsidRPr="00E624DF">
        <w:rPr>
          <w:rFonts w:ascii="Arial" w:hAnsi="Arial" w:cs="Arial"/>
          <w:i/>
          <w:iCs/>
          <w:color w:val="000000" w:themeColor="text1"/>
        </w:rPr>
        <w:t>Einstein (Sao Paulo)</w:t>
      </w:r>
      <w:r w:rsidRPr="00E624DF">
        <w:rPr>
          <w:rFonts w:ascii="Arial" w:hAnsi="Arial" w:cs="Arial"/>
          <w:color w:val="000000" w:themeColor="text1"/>
        </w:rPr>
        <w:t xml:space="preserve">, </w:t>
      </w:r>
      <w:r w:rsidRPr="00E624DF">
        <w:rPr>
          <w:rFonts w:ascii="Arial" w:hAnsi="Arial" w:cs="Arial"/>
          <w:i/>
          <w:iCs/>
          <w:color w:val="000000" w:themeColor="text1"/>
        </w:rPr>
        <w:t>17</w:t>
      </w:r>
      <w:r w:rsidRPr="00E624DF">
        <w:rPr>
          <w:rFonts w:ascii="Arial" w:hAnsi="Arial" w:cs="Arial"/>
          <w:color w:val="000000" w:themeColor="text1"/>
        </w:rPr>
        <w:t xml:space="preserve">(1), eAO4403. </w:t>
      </w:r>
      <w:hyperlink r:id="rId49" w:history="1">
        <w:r w:rsidRPr="00E624DF">
          <w:rPr>
            <w:rStyle w:val="Hyperlink"/>
            <w:rFonts w:ascii="Arial" w:hAnsi="Arial" w:cs="Arial"/>
          </w:rPr>
          <w:t>https://doi.org/10.31744/einstein_journal/2019AO4403</w:t>
        </w:r>
      </w:hyperlink>
    </w:p>
    <w:p w14:paraId="5BD95084"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Mertoglu</w:t>
      </w:r>
      <w:proofErr w:type="spellEnd"/>
      <w:r w:rsidRPr="00E624DF">
        <w:rPr>
          <w:rFonts w:ascii="Arial" w:hAnsi="Arial" w:cs="Arial"/>
          <w:color w:val="000000" w:themeColor="text1"/>
        </w:rPr>
        <w:t xml:space="preserve">, C. &amp; Gunay, M. (2017). Neutrophil-Lymphocyte ratio and Platelet-Lymphocyte ratio as useful predictive markers of prediabetes and diabetes mellitus. </w:t>
      </w:r>
      <w:r w:rsidRPr="00E624DF">
        <w:rPr>
          <w:rFonts w:ascii="Arial" w:hAnsi="Arial" w:cs="Arial"/>
          <w:i/>
          <w:iCs/>
          <w:color w:val="000000" w:themeColor="text1"/>
        </w:rPr>
        <w:t>Diabetes &amp; Metabolic Syndrome: Clinical Research &amp; Reviews</w:t>
      </w:r>
      <w:r w:rsidRPr="00E624DF">
        <w:rPr>
          <w:rFonts w:ascii="Arial" w:hAnsi="Arial" w:cs="Arial"/>
          <w:color w:val="000000" w:themeColor="text1"/>
        </w:rPr>
        <w:t xml:space="preserve">, </w:t>
      </w:r>
      <w:r w:rsidRPr="00E624DF">
        <w:rPr>
          <w:rFonts w:ascii="Arial" w:hAnsi="Arial" w:cs="Arial"/>
          <w:iCs/>
          <w:color w:val="000000" w:themeColor="text1"/>
        </w:rPr>
        <w:t>11</w:t>
      </w:r>
      <w:r w:rsidRPr="00E624DF">
        <w:rPr>
          <w:rFonts w:ascii="Arial" w:hAnsi="Arial" w:cs="Arial"/>
          <w:color w:val="000000" w:themeColor="text1"/>
        </w:rPr>
        <w:t xml:space="preserve">, S127-S131. </w:t>
      </w:r>
      <w:hyperlink r:id="rId50" w:history="1">
        <w:r w:rsidRPr="00E624DF">
          <w:rPr>
            <w:rStyle w:val="Hyperlink"/>
            <w:rFonts w:ascii="Arial" w:hAnsi="Arial" w:cs="Arial"/>
          </w:rPr>
          <w:t>https://doi.org/10.1016/j.dsx.2016.12.021</w:t>
        </w:r>
      </w:hyperlink>
      <w:r w:rsidRPr="00E624DF">
        <w:rPr>
          <w:rFonts w:ascii="Arial" w:hAnsi="Arial" w:cs="Arial"/>
          <w:color w:val="000000" w:themeColor="text1"/>
        </w:rPr>
        <w:t>.</w:t>
      </w:r>
    </w:p>
    <w:p w14:paraId="3AF2CD84"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lastRenderedPageBreak/>
        <w:t>Mineoka</w:t>
      </w:r>
      <w:proofErr w:type="spellEnd"/>
      <w:r w:rsidRPr="00E624DF">
        <w:rPr>
          <w:rFonts w:ascii="Arial" w:hAnsi="Arial" w:cs="Arial"/>
          <w:color w:val="000000" w:themeColor="text1"/>
        </w:rPr>
        <w:t xml:space="preserve">, Y., Ishii, M., Hashimoto, Y., Yamashita, A., Nakamura, N., &amp; Fukui, M. (2019). Platelet to lymphocyte ratio correlates with diabetic foot risk and foot ulcer in patients with type 2 diabetes. </w:t>
      </w:r>
      <w:r w:rsidRPr="00E624DF">
        <w:rPr>
          <w:rFonts w:ascii="Arial" w:hAnsi="Arial" w:cs="Arial"/>
          <w:i/>
          <w:iCs/>
          <w:color w:val="000000" w:themeColor="text1"/>
        </w:rPr>
        <w:t>Endocrine journal</w:t>
      </w:r>
      <w:r w:rsidRPr="00E624DF">
        <w:rPr>
          <w:rFonts w:ascii="Arial" w:hAnsi="Arial" w:cs="Arial"/>
          <w:color w:val="000000" w:themeColor="text1"/>
        </w:rPr>
        <w:t xml:space="preserve">, </w:t>
      </w:r>
      <w:r w:rsidRPr="00E624DF">
        <w:rPr>
          <w:rFonts w:ascii="Arial" w:hAnsi="Arial" w:cs="Arial"/>
          <w:i/>
          <w:iCs/>
          <w:color w:val="000000" w:themeColor="text1"/>
        </w:rPr>
        <w:t>66</w:t>
      </w:r>
      <w:r w:rsidRPr="00E624DF">
        <w:rPr>
          <w:rFonts w:ascii="Arial" w:hAnsi="Arial" w:cs="Arial"/>
          <w:color w:val="000000" w:themeColor="text1"/>
        </w:rPr>
        <w:t xml:space="preserve">(10), 905-913. </w:t>
      </w:r>
      <w:hyperlink r:id="rId51" w:history="1">
        <w:r w:rsidRPr="00E624DF">
          <w:rPr>
            <w:rStyle w:val="Hyperlink"/>
            <w:rFonts w:ascii="Arial" w:hAnsi="Arial" w:cs="Arial"/>
          </w:rPr>
          <w:t>https://doi.org/10.1507/endocrj.EJ18-0477</w:t>
        </w:r>
      </w:hyperlink>
      <w:r w:rsidRPr="00E624DF">
        <w:rPr>
          <w:rFonts w:ascii="Arial" w:hAnsi="Arial" w:cs="Arial"/>
          <w:color w:val="000000" w:themeColor="text1"/>
        </w:rPr>
        <w:t>.</w:t>
      </w:r>
    </w:p>
    <w:p w14:paraId="0FC31A92"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Moursy</w:t>
      </w:r>
      <w:proofErr w:type="spellEnd"/>
      <w:r w:rsidRPr="00E624DF">
        <w:rPr>
          <w:rFonts w:ascii="Arial" w:hAnsi="Arial" w:cs="Arial"/>
          <w:color w:val="000000" w:themeColor="text1"/>
        </w:rPr>
        <w:t xml:space="preserve">, E. Y., </w:t>
      </w:r>
      <w:proofErr w:type="spellStart"/>
      <w:r w:rsidRPr="00E624DF">
        <w:rPr>
          <w:rFonts w:ascii="Arial" w:hAnsi="Arial" w:cs="Arial"/>
          <w:color w:val="000000" w:themeColor="text1"/>
        </w:rPr>
        <w:t>Megallaa</w:t>
      </w:r>
      <w:proofErr w:type="spellEnd"/>
      <w:r w:rsidRPr="00E624DF">
        <w:rPr>
          <w:rFonts w:ascii="Arial" w:hAnsi="Arial" w:cs="Arial"/>
          <w:color w:val="000000" w:themeColor="text1"/>
        </w:rPr>
        <w:t xml:space="preserve">, M. H., </w:t>
      </w:r>
      <w:proofErr w:type="spellStart"/>
      <w:r w:rsidRPr="00E624DF">
        <w:rPr>
          <w:rFonts w:ascii="Arial" w:hAnsi="Arial" w:cs="Arial"/>
          <w:color w:val="000000" w:themeColor="text1"/>
        </w:rPr>
        <w:t>Mouftah</w:t>
      </w:r>
      <w:proofErr w:type="spellEnd"/>
      <w:r w:rsidRPr="00E624DF">
        <w:rPr>
          <w:rFonts w:ascii="Arial" w:hAnsi="Arial" w:cs="Arial"/>
          <w:color w:val="000000" w:themeColor="text1"/>
        </w:rPr>
        <w:t xml:space="preserve">, R. F., &amp; Ahmed, S. M. (2015). Relationship between neutrophil lymphocyte ratio and microvascular complications in Egyptian patients with type 2 diabetes. </w:t>
      </w:r>
      <w:r w:rsidRPr="00E624DF">
        <w:rPr>
          <w:rFonts w:ascii="Arial" w:hAnsi="Arial" w:cs="Arial"/>
          <w:i/>
          <w:iCs/>
          <w:color w:val="000000" w:themeColor="text1"/>
        </w:rPr>
        <w:t>American Journal of Internal Medicine</w:t>
      </w:r>
      <w:r w:rsidRPr="00E624DF">
        <w:rPr>
          <w:rFonts w:ascii="Arial" w:hAnsi="Arial" w:cs="Arial"/>
          <w:color w:val="000000" w:themeColor="text1"/>
        </w:rPr>
        <w:t xml:space="preserve">, </w:t>
      </w:r>
      <w:r w:rsidRPr="00E624DF">
        <w:rPr>
          <w:rFonts w:ascii="Arial" w:hAnsi="Arial" w:cs="Arial"/>
          <w:iCs/>
          <w:color w:val="000000" w:themeColor="text1"/>
        </w:rPr>
        <w:t>3</w:t>
      </w:r>
      <w:r w:rsidRPr="00E624DF">
        <w:rPr>
          <w:rFonts w:ascii="Arial" w:hAnsi="Arial" w:cs="Arial"/>
          <w:color w:val="000000" w:themeColor="text1"/>
        </w:rPr>
        <w:t>(6), 250-255. https://doi.org/10.11648/j.ajim.20150306.16</w:t>
      </w:r>
    </w:p>
    <w:p w14:paraId="4ADF0FCE"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Mungamuri</w:t>
      </w:r>
      <w:proofErr w:type="spellEnd"/>
      <w:r w:rsidRPr="00E624DF">
        <w:rPr>
          <w:rFonts w:ascii="Arial" w:hAnsi="Arial" w:cs="Arial"/>
          <w:color w:val="000000" w:themeColor="text1"/>
        </w:rPr>
        <w:t xml:space="preserve">, A., Kumar, S., &amp; Devi, U. H. (2018). Comparison of inflammatory markers like C-reactive protein, total leukocyte Count and Erythrocyte Sedimentation Rate in Type II Diabetes Mellitus. </w:t>
      </w:r>
      <w:r w:rsidRPr="00E624DF">
        <w:rPr>
          <w:rFonts w:ascii="Arial" w:hAnsi="Arial" w:cs="Arial"/>
          <w:i/>
          <w:iCs/>
          <w:color w:val="000000" w:themeColor="text1"/>
        </w:rPr>
        <w:t>Journal of Health and Allied Sciences NU</w:t>
      </w:r>
      <w:r w:rsidRPr="00E624DF">
        <w:rPr>
          <w:rFonts w:ascii="Arial" w:hAnsi="Arial" w:cs="Arial"/>
          <w:color w:val="000000" w:themeColor="text1"/>
        </w:rPr>
        <w:t xml:space="preserve">, </w:t>
      </w:r>
      <w:r w:rsidRPr="00E624DF">
        <w:rPr>
          <w:rFonts w:ascii="Arial" w:hAnsi="Arial" w:cs="Arial"/>
          <w:iCs/>
          <w:color w:val="000000" w:themeColor="text1"/>
        </w:rPr>
        <w:t>8</w:t>
      </w:r>
      <w:r w:rsidRPr="00E624DF">
        <w:rPr>
          <w:rFonts w:ascii="Arial" w:hAnsi="Arial" w:cs="Arial"/>
          <w:color w:val="000000" w:themeColor="text1"/>
        </w:rPr>
        <w:t xml:space="preserve">(01), 11-14. </w:t>
      </w:r>
      <w:hyperlink r:id="rId52" w:history="1">
        <w:r w:rsidRPr="00E624DF">
          <w:rPr>
            <w:rStyle w:val="Hyperlink"/>
            <w:rFonts w:ascii="Arial" w:hAnsi="Arial" w:cs="Arial"/>
          </w:rPr>
          <w:t>https://doi.org/10.1055/s-0040-1708738</w:t>
        </w:r>
      </w:hyperlink>
    </w:p>
    <w:p w14:paraId="6A6E379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Music, M., </w:t>
      </w:r>
      <w:proofErr w:type="spellStart"/>
      <w:r w:rsidRPr="00E624DF">
        <w:rPr>
          <w:rFonts w:ascii="Arial" w:hAnsi="Arial" w:cs="Arial"/>
          <w:color w:val="000000" w:themeColor="text1"/>
        </w:rPr>
        <w:t>Fajkic</w:t>
      </w:r>
      <w:proofErr w:type="spellEnd"/>
      <w:r w:rsidRPr="00E624DF">
        <w:rPr>
          <w:rFonts w:ascii="Arial" w:hAnsi="Arial" w:cs="Arial"/>
          <w:color w:val="000000" w:themeColor="text1"/>
        </w:rPr>
        <w:t xml:space="preserve">, A., </w:t>
      </w:r>
      <w:proofErr w:type="spellStart"/>
      <w:r w:rsidRPr="00E624DF">
        <w:rPr>
          <w:rFonts w:ascii="Arial" w:hAnsi="Arial" w:cs="Arial"/>
          <w:color w:val="000000" w:themeColor="text1"/>
        </w:rPr>
        <w:t>Lepara</w:t>
      </w:r>
      <w:proofErr w:type="spellEnd"/>
      <w:r w:rsidRPr="00E624DF">
        <w:rPr>
          <w:rFonts w:ascii="Arial" w:hAnsi="Arial" w:cs="Arial"/>
          <w:color w:val="000000" w:themeColor="text1"/>
        </w:rPr>
        <w:t>, O., Brankovic, M., Mekic-</w:t>
      </w:r>
      <w:proofErr w:type="spellStart"/>
      <w:r w:rsidRPr="00E624DF">
        <w:rPr>
          <w:rFonts w:ascii="Arial" w:hAnsi="Arial" w:cs="Arial"/>
          <w:color w:val="000000" w:themeColor="text1"/>
        </w:rPr>
        <w:t>Abazovic</w:t>
      </w:r>
      <w:proofErr w:type="spellEnd"/>
      <w:r w:rsidRPr="00E624DF">
        <w:rPr>
          <w:rFonts w:ascii="Arial" w:hAnsi="Arial" w:cs="Arial"/>
          <w:color w:val="000000" w:themeColor="text1"/>
        </w:rPr>
        <w:t xml:space="preserve">, A. &amp; Alic, A. (2010). Analysis of Inflammatory parameters in Diabetes Mellitus Type 2 patients with or without Metabolic Syndrome. </w:t>
      </w:r>
      <w:r w:rsidRPr="00E624DF">
        <w:rPr>
          <w:rFonts w:ascii="Arial" w:hAnsi="Arial" w:cs="Arial"/>
          <w:i/>
          <w:iCs/>
          <w:color w:val="000000" w:themeColor="text1"/>
        </w:rPr>
        <w:t>Materia Socio-Medica</w:t>
      </w:r>
      <w:r w:rsidRPr="00E624DF">
        <w:rPr>
          <w:rFonts w:ascii="Arial" w:hAnsi="Arial" w:cs="Arial"/>
          <w:color w:val="000000" w:themeColor="text1"/>
        </w:rPr>
        <w:t xml:space="preserve">, </w:t>
      </w:r>
      <w:r w:rsidRPr="00E624DF">
        <w:rPr>
          <w:rFonts w:ascii="Arial" w:hAnsi="Arial" w:cs="Arial"/>
          <w:iCs/>
          <w:color w:val="000000" w:themeColor="text1"/>
        </w:rPr>
        <w:t>22</w:t>
      </w:r>
      <w:r w:rsidRPr="00E624DF">
        <w:rPr>
          <w:rFonts w:ascii="Arial" w:hAnsi="Arial" w:cs="Arial"/>
          <w:color w:val="000000" w:themeColor="text1"/>
        </w:rPr>
        <w:t xml:space="preserve">(2), 64. </w:t>
      </w:r>
    </w:p>
    <w:p w14:paraId="215768F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Nagabhushan, B. K., &amp; Geetha, J. P. (2019). Neutrophil–lymphocyte ratio and platelet–lymphocyte ratio: novel markers in diabetes mellitus. </w:t>
      </w:r>
      <w:r w:rsidRPr="00E624DF">
        <w:rPr>
          <w:rFonts w:ascii="Arial" w:hAnsi="Arial" w:cs="Arial"/>
          <w:i/>
          <w:iCs/>
          <w:color w:val="000000" w:themeColor="text1"/>
        </w:rPr>
        <w:t>The Journal of Medical Sciences</w:t>
      </w:r>
      <w:r w:rsidRPr="00E624DF">
        <w:rPr>
          <w:rFonts w:ascii="Arial" w:hAnsi="Arial" w:cs="Arial"/>
          <w:color w:val="000000" w:themeColor="text1"/>
        </w:rPr>
        <w:t xml:space="preserve">, </w:t>
      </w:r>
      <w:r w:rsidRPr="00E624DF">
        <w:rPr>
          <w:rFonts w:ascii="Arial" w:hAnsi="Arial" w:cs="Arial"/>
          <w:iCs/>
          <w:color w:val="000000" w:themeColor="text1"/>
        </w:rPr>
        <w:t>5</w:t>
      </w:r>
      <w:r w:rsidRPr="00E624DF">
        <w:rPr>
          <w:rFonts w:ascii="Arial" w:hAnsi="Arial" w:cs="Arial"/>
          <w:color w:val="000000" w:themeColor="text1"/>
        </w:rPr>
        <w:t xml:space="preserve">(2), 31-33. </w:t>
      </w:r>
      <w:hyperlink r:id="rId53" w:history="1">
        <w:r w:rsidRPr="00E624DF">
          <w:rPr>
            <w:rStyle w:val="Hyperlink"/>
            <w:rFonts w:ascii="Arial" w:hAnsi="Arial" w:cs="Arial"/>
          </w:rPr>
          <w:t>https://doi.org/10.5005/jp-journals-10045-00114</w:t>
        </w:r>
      </w:hyperlink>
    </w:p>
    <w:p w14:paraId="31625553"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Nagareddy</w:t>
      </w:r>
      <w:proofErr w:type="spellEnd"/>
      <w:r w:rsidRPr="00E624DF">
        <w:rPr>
          <w:rFonts w:ascii="Arial" w:hAnsi="Arial" w:cs="Arial"/>
          <w:color w:val="000000" w:themeColor="text1"/>
        </w:rPr>
        <w:t xml:space="preserve">, P. R., Murphy, A. J., </w:t>
      </w:r>
      <w:proofErr w:type="spellStart"/>
      <w:r w:rsidRPr="00E624DF">
        <w:rPr>
          <w:rFonts w:ascii="Arial" w:hAnsi="Arial" w:cs="Arial"/>
          <w:color w:val="000000" w:themeColor="text1"/>
        </w:rPr>
        <w:t>Stirzaker</w:t>
      </w:r>
      <w:proofErr w:type="spellEnd"/>
      <w:r w:rsidRPr="00E624DF">
        <w:rPr>
          <w:rFonts w:ascii="Arial" w:hAnsi="Arial" w:cs="Arial"/>
          <w:color w:val="000000" w:themeColor="text1"/>
        </w:rPr>
        <w:t xml:space="preserve">, R. A., Hu, Y., Yu, S., Miller, R. G., et al. (2013). Hyperglycemia promotes myelopoiesis and impairs the resolution of atherosclerosis. </w:t>
      </w:r>
      <w:r w:rsidRPr="00E624DF">
        <w:rPr>
          <w:rFonts w:ascii="Arial" w:hAnsi="Arial" w:cs="Arial"/>
          <w:i/>
          <w:iCs/>
          <w:color w:val="000000" w:themeColor="text1"/>
        </w:rPr>
        <w:t>Cell Metabolism</w:t>
      </w:r>
      <w:r w:rsidRPr="00E624DF">
        <w:rPr>
          <w:rFonts w:ascii="Arial" w:hAnsi="Arial" w:cs="Arial"/>
          <w:color w:val="000000" w:themeColor="text1"/>
        </w:rPr>
        <w:t xml:space="preserve">, </w:t>
      </w:r>
      <w:r w:rsidRPr="00E624DF">
        <w:rPr>
          <w:rFonts w:ascii="Arial" w:hAnsi="Arial" w:cs="Arial"/>
          <w:iCs/>
          <w:color w:val="000000" w:themeColor="text1"/>
        </w:rPr>
        <w:t>17</w:t>
      </w:r>
      <w:r w:rsidRPr="00E624DF">
        <w:rPr>
          <w:rFonts w:ascii="Arial" w:hAnsi="Arial" w:cs="Arial"/>
          <w:color w:val="000000" w:themeColor="text1"/>
        </w:rPr>
        <w:t xml:space="preserve">(5), 695-708. </w:t>
      </w:r>
      <w:hyperlink r:id="rId54" w:history="1">
        <w:r w:rsidRPr="00E624DF">
          <w:rPr>
            <w:rStyle w:val="Hyperlink"/>
            <w:rFonts w:ascii="Arial" w:hAnsi="Arial" w:cs="Arial"/>
          </w:rPr>
          <w:t>https://doi.org/10.1016/j.cmet.2013.04.001</w:t>
        </w:r>
      </w:hyperlink>
      <w:r w:rsidRPr="00E624DF">
        <w:rPr>
          <w:rFonts w:ascii="Arial" w:hAnsi="Arial" w:cs="Arial"/>
          <w:color w:val="000000" w:themeColor="text1"/>
        </w:rPr>
        <w:t>.</w:t>
      </w:r>
    </w:p>
    <w:p w14:paraId="24700E39"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t xml:space="preserve">Onu, R. &amp; Babatunde, S. (2018). Perceived severity of diabetes and associated factors among patients attending a referral hospital in Port Harcourt, Nigeria. </w:t>
      </w:r>
      <w:r w:rsidRPr="00E624DF">
        <w:rPr>
          <w:rFonts w:ascii="Arial" w:hAnsi="Arial" w:cs="Arial"/>
          <w:i/>
          <w:iCs/>
          <w:color w:val="000000" w:themeColor="text1"/>
        </w:rPr>
        <w:t>International Journal of Research in Medical Sciences</w:t>
      </w:r>
      <w:r w:rsidRPr="00E624DF">
        <w:rPr>
          <w:rFonts w:ascii="Arial" w:hAnsi="Arial" w:cs="Arial"/>
          <w:color w:val="000000" w:themeColor="text1"/>
        </w:rPr>
        <w:t xml:space="preserve">, </w:t>
      </w:r>
      <w:r w:rsidRPr="00E624DF">
        <w:rPr>
          <w:rFonts w:ascii="Arial" w:hAnsi="Arial" w:cs="Arial"/>
          <w:iCs/>
          <w:color w:val="000000" w:themeColor="text1"/>
        </w:rPr>
        <w:t>6</w:t>
      </w:r>
      <w:r w:rsidRPr="00E624DF">
        <w:rPr>
          <w:rFonts w:ascii="Arial" w:hAnsi="Arial" w:cs="Arial"/>
          <w:color w:val="000000" w:themeColor="text1"/>
        </w:rPr>
        <w:t xml:space="preserve">(6), 1856. </w:t>
      </w:r>
      <w:hyperlink r:id="rId55" w:history="1">
        <w:r w:rsidRPr="00E624DF">
          <w:rPr>
            <w:rStyle w:val="Hyperlink"/>
            <w:rFonts w:ascii="Arial" w:hAnsi="Arial" w:cs="Arial"/>
          </w:rPr>
          <w:t xml:space="preserve">https://doi.org/10.18203/2320-6012.ijrms20181964 </w:t>
        </w:r>
      </w:hyperlink>
    </w:p>
    <w:p w14:paraId="79DE559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Özer, Ö., Doğan, L., Baysal, Z., Basir, H., </w:t>
      </w:r>
      <w:proofErr w:type="spellStart"/>
      <w:r w:rsidRPr="00E624DF">
        <w:rPr>
          <w:rFonts w:ascii="Arial" w:hAnsi="Arial" w:cs="Arial"/>
          <w:color w:val="000000" w:themeColor="text1"/>
        </w:rPr>
        <w:t>Çıftçı</w:t>
      </w:r>
      <w:proofErr w:type="spellEnd"/>
      <w:r w:rsidRPr="00E624DF">
        <w:rPr>
          <w:rFonts w:ascii="Arial" w:hAnsi="Arial" w:cs="Arial"/>
          <w:color w:val="000000" w:themeColor="text1"/>
        </w:rPr>
        <w:t xml:space="preserve">, A. T., </w:t>
      </w:r>
      <w:proofErr w:type="spellStart"/>
      <w:r w:rsidRPr="00E624DF">
        <w:rPr>
          <w:rFonts w:ascii="Arial" w:hAnsi="Arial" w:cs="Arial"/>
          <w:color w:val="000000" w:themeColor="text1"/>
        </w:rPr>
        <w:t>Eröz</w:t>
      </w:r>
      <w:proofErr w:type="spellEnd"/>
      <w:r w:rsidRPr="00E624DF">
        <w:rPr>
          <w:rFonts w:ascii="Arial" w:hAnsi="Arial" w:cs="Arial"/>
          <w:color w:val="000000" w:themeColor="text1"/>
        </w:rPr>
        <w:t xml:space="preserve">, P., &amp; Güçlü, E. S. (2024). Evaluation of peripheral blood inflammatory biomarkers in sickle cell disease with and without retinopathy. </w:t>
      </w:r>
      <w:r w:rsidRPr="00E624DF">
        <w:rPr>
          <w:rFonts w:ascii="Arial" w:hAnsi="Arial" w:cs="Arial"/>
          <w:i/>
          <w:iCs/>
          <w:color w:val="000000" w:themeColor="text1"/>
        </w:rPr>
        <w:t>Graefe's Archive for Clinical and Experimental Ophthalmology</w:t>
      </w:r>
      <w:r w:rsidRPr="00E624DF">
        <w:rPr>
          <w:rFonts w:ascii="Arial" w:hAnsi="Arial" w:cs="Arial"/>
          <w:color w:val="000000" w:themeColor="text1"/>
        </w:rPr>
        <w:t xml:space="preserve">, </w:t>
      </w:r>
      <w:r w:rsidRPr="00E624DF">
        <w:rPr>
          <w:rFonts w:ascii="Arial" w:hAnsi="Arial" w:cs="Arial"/>
          <w:iCs/>
          <w:color w:val="000000" w:themeColor="text1"/>
        </w:rPr>
        <w:t>262</w:t>
      </w:r>
      <w:r w:rsidRPr="00E624DF">
        <w:rPr>
          <w:rFonts w:ascii="Arial" w:hAnsi="Arial" w:cs="Arial"/>
          <w:color w:val="000000" w:themeColor="text1"/>
        </w:rPr>
        <w:t xml:space="preserve">(12), 3787-3796. </w:t>
      </w:r>
      <w:hyperlink r:id="rId56" w:history="1">
        <w:r w:rsidRPr="00E624DF">
          <w:rPr>
            <w:rStyle w:val="Hyperlink"/>
            <w:rFonts w:ascii="Arial" w:hAnsi="Arial" w:cs="Arial"/>
          </w:rPr>
          <w:t>https://doi.org/10.1007/s00417-024-06569-9</w:t>
        </w:r>
      </w:hyperlink>
      <w:r w:rsidRPr="00E624DF">
        <w:rPr>
          <w:rFonts w:ascii="Arial" w:hAnsi="Arial" w:cs="Arial"/>
          <w:color w:val="000000" w:themeColor="text1"/>
        </w:rPr>
        <w:t>.</w:t>
      </w:r>
    </w:p>
    <w:p w14:paraId="6186FE4A"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Paliogiannis</w:t>
      </w:r>
      <w:proofErr w:type="spellEnd"/>
      <w:r w:rsidRPr="00E624DF">
        <w:rPr>
          <w:rFonts w:ascii="Arial" w:hAnsi="Arial" w:cs="Arial"/>
          <w:color w:val="000000" w:themeColor="text1"/>
        </w:rPr>
        <w:t xml:space="preserve">, P., Satta, R., </w:t>
      </w:r>
      <w:proofErr w:type="spellStart"/>
      <w:r w:rsidRPr="00E624DF">
        <w:rPr>
          <w:rFonts w:ascii="Arial" w:hAnsi="Arial" w:cs="Arial"/>
          <w:color w:val="000000" w:themeColor="text1"/>
        </w:rPr>
        <w:t>Deligia</w:t>
      </w:r>
      <w:proofErr w:type="spellEnd"/>
      <w:r w:rsidRPr="00E624DF">
        <w:rPr>
          <w:rFonts w:ascii="Arial" w:hAnsi="Arial" w:cs="Arial"/>
          <w:color w:val="000000" w:themeColor="text1"/>
        </w:rPr>
        <w:t xml:space="preserve">, G., Farina, G., </w:t>
      </w:r>
      <w:proofErr w:type="spellStart"/>
      <w:r w:rsidRPr="00E624DF">
        <w:rPr>
          <w:rFonts w:ascii="Arial" w:hAnsi="Arial" w:cs="Arial"/>
          <w:color w:val="000000" w:themeColor="text1"/>
        </w:rPr>
        <w:t>Bassu</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Mangoni</w:t>
      </w:r>
      <w:proofErr w:type="spellEnd"/>
      <w:r w:rsidRPr="00E624DF">
        <w:rPr>
          <w:rFonts w:ascii="Arial" w:hAnsi="Arial" w:cs="Arial"/>
          <w:color w:val="000000" w:themeColor="text1"/>
        </w:rPr>
        <w:t xml:space="preserve">, A. A. &amp; </w:t>
      </w:r>
      <w:proofErr w:type="spellStart"/>
      <w:r w:rsidRPr="00E624DF">
        <w:rPr>
          <w:rFonts w:ascii="Arial" w:hAnsi="Arial" w:cs="Arial"/>
          <w:color w:val="000000" w:themeColor="text1"/>
        </w:rPr>
        <w:t>Zinellu</w:t>
      </w:r>
      <w:proofErr w:type="spellEnd"/>
      <w:r w:rsidRPr="00E624DF">
        <w:rPr>
          <w:rFonts w:ascii="Arial" w:hAnsi="Arial" w:cs="Arial"/>
          <w:color w:val="000000" w:themeColor="text1"/>
        </w:rPr>
        <w:t xml:space="preserve">, A. (2019). Associations between the neutrophil-to-lymphocyte and the platelet-to-lymphocyte ratios and the presence and severity of psoriasis: a systematic review and meta-analysis. </w:t>
      </w:r>
      <w:r w:rsidRPr="00E624DF">
        <w:rPr>
          <w:rFonts w:ascii="Arial" w:hAnsi="Arial" w:cs="Arial"/>
          <w:i/>
          <w:iCs/>
          <w:color w:val="000000" w:themeColor="text1"/>
        </w:rPr>
        <w:t>Clinical and Experimental Medicine</w:t>
      </w:r>
      <w:r w:rsidRPr="00E624DF">
        <w:rPr>
          <w:rFonts w:ascii="Arial" w:hAnsi="Arial" w:cs="Arial"/>
          <w:color w:val="000000" w:themeColor="text1"/>
        </w:rPr>
        <w:t xml:space="preserve">, </w:t>
      </w:r>
      <w:r w:rsidRPr="00E624DF">
        <w:rPr>
          <w:rFonts w:ascii="Arial" w:hAnsi="Arial" w:cs="Arial"/>
          <w:iCs/>
          <w:color w:val="000000" w:themeColor="text1"/>
        </w:rPr>
        <w:t>19</w:t>
      </w:r>
      <w:r w:rsidRPr="00E624DF">
        <w:rPr>
          <w:rFonts w:ascii="Arial" w:hAnsi="Arial" w:cs="Arial"/>
          <w:color w:val="000000" w:themeColor="text1"/>
        </w:rPr>
        <w:t xml:space="preserve">, 37-45. </w:t>
      </w:r>
      <w:hyperlink r:id="rId57" w:history="1">
        <w:r w:rsidRPr="00E624DF">
          <w:rPr>
            <w:rStyle w:val="Hyperlink"/>
            <w:rFonts w:ascii="Arial" w:hAnsi="Arial" w:cs="Arial"/>
          </w:rPr>
          <w:t>https://doi.org/10.1007/s10238-018-0538-x</w:t>
        </w:r>
      </w:hyperlink>
      <w:r w:rsidRPr="00E624DF">
        <w:rPr>
          <w:rFonts w:ascii="Arial" w:hAnsi="Arial" w:cs="Arial"/>
          <w:color w:val="000000" w:themeColor="text1"/>
        </w:rPr>
        <w:t>.</w:t>
      </w:r>
    </w:p>
    <w:p w14:paraId="12D634C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Pop-</w:t>
      </w:r>
      <w:proofErr w:type="spellStart"/>
      <w:r w:rsidRPr="00E624DF">
        <w:rPr>
          <w:rFonts w:ascii="Arial" w:hAnsi="Arial" w:cs="Arial"/>
          <w:color w:val="000000" w:themeColor="text1"/>
        </w:rPr>
        <w:t>Busui</w:t>
      </w:r>
      <w:proofErr w:type="spellEnd"/>
      <w:r w:rsidRPr="00E624DF">
        <w:rPr>
          <w:rFonts w:ascii="Arial" w:hAnsi="Arial" w:cs="Arial"/>
          <w:color w:val="000000" w:themeColor="text1"/>
        </w:rPr>
        <w:t xml:space="preserve">, R., Ang, L., Holmes, C., Gallagher, K. &amp; Feldman, E. L. (2016). Inflammation as a therapeutic target for diabetic neuropathies. </w:t>
      </w:r>
      <w:r w:rsidRPr="00E624DF">
        <w:rPr>
          <w:rFonts w:ascii="Arial" w:hAnsi="Arial" w:cs="Arial"/>
          <w:i/>
          <w:iCs/>
          <w:color w:val="000000" w:themeColor="text1"/>
        </w:rPr>
        <w:t>Current Diabetes Reports</w:t>
      </w:r>
      <w:r w:rsidRPr="00E624DF">
        <w:rPr>
          <w:rFonts w:ascii="Arial" w:hAnsi="Arial" w:cs="Arial"/>
          <w:color w:val="000000" w:themeColor="text1"/>
        </w:rPr>
        <w:t xml:space="preserve">, </w:t>
      </w:r>
      <w:r w:rsidRPr="00E624DF">
        <w:rPr>
          <w:rFonts w:ascii="Arial" w:hAnsi="Arial" w:cs="Arial"/>
          <w:iCs/>
          <w:color w:val="000000" w:themeColor="text1"/>
        </w:rPr>
        <w:t>16</w:t>
      </w:r>
      <w:r w:rsidRPr="00E624DF">
        <w:rPr>
          <w:rFonts w:ascii="Arial" w:hAnsi="Arial" w:cs="Arial"/>
          <w:color w:val="000000" w:themeColor="text1"/>
        </w:rPr>
        <w:t xml:space="preserve">, 1-10. </w:t>
      </w:r>
      <w:hyperlink r:id="rId58" w:history="1">
        <w:r w:rsidRPr="00E624DF">
          <w:rPr>
            <w:rStyle w:val="Hyperlink"/>
            <w:rFonts w:ascii="Arial" w:hAnsi="Arial" w:cs="Arial"/>
          </w:rPr>
          <w:t>https://doi.org/10.1007/s11892-016-0727-5</w:t>
        </w:r>
      </w:hyperlink>
      <w:r w:rsidRPr="00E624DF">
        <w:rPr>
          <w:rFonts w:ascii="Arial" w:hAnsi="Arial" w:cs="Arial"/>
          <w:color w:val="000000" w:themeColor="text1"/>
        </w:rPr>
        <w:t>.</w:t>
      </w:r>
    </w:p>
    <w:p w14:paraId="3EB36C3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Serban, D., </w:t>
      </w:r>
      <w:proofErr w:type="spellStart"/>
      <w:r w:rsidRPr="00E624DF">
        <w:rPr>
          <w:rFonts w:ascii="Arial" w:hAnsi="Arial" w:cs="Arial"/>
          <w:color w:val="000000" w:themeColor="text1"/>
        </w:rPr>
        <w:t>Papanas</w:t>
      </w:r>
      <w:proofErr w:type="spellEnd"/>
      <w:r w:rsidRPr="00E624DF">
        <w:rPr>
          <w:rFonts w:ascii="Arial" w:hAnsi="Arial" w:cs="Arial"/>
          <w:color w:val="000000" w:themeColor="text1"/>
        </w:rPr>
        <w:t xml:space="preserve">, N., Dascalu, A. M., Kempler, P., Raz, I., Rizvi, A. A., et al. (2024). Significance of neutrophil to lymphocyte ratio (NLR) and platelet lymphocyte ratio (PLR) in diabetic foot ulcer and potential new therapeutic targets. </w:t>
      </w:r>
      <w:r w:rsidRPr="00E624DF">
        <w:rPr>
          <w:rFonts w:ascii="Arial" w:hAnsi="Arial" w:cs="Arial"/>
          <w:i/>
          <w:iCs/>
          <w:color w:val="000000" w:themeColor="text1"/>
        </w:rPr>
        <w:t>The International Journal of Lower Extremity Wounds</w:t>
      </w:r>
      <w:r w:rsidRPr="00E624DF">
        <w:rPr>
          <w:rFonts w:ascii="Arial" w:hAnsi="Arial" w:cs="Arial"/>
          <w:color w:val="000000" w:themeColor="text1"/>
        </w:rPr>
        <w:t xml:space="preserve">, </w:t>
      </w:r>
      <w:r w:rsidRPr="00E624DF">
        <w:rPr>
          <w:rFonts w:ascii="Arial" w:hAnsi="Arial" w:cs="Arial"/>
          <w:i/>
          <w:iCs/>
          <w:color w:val="000000" w:themeColor="text1"/>
        </w:rPr>
        <w:t>23</w:t>
      </w:r>
      <w:r w:rsidRPr="00E624DF">
        <w:rPr>
          <w:rFonts w:ascii="Arial" w:hAnsi="Arial" w:cs="Arial"/>
          <w:color w:val="000000" w:themeColor="text1"/>
        </w:rPr>
        <w:t>(2), 205-216. https://doi.org/10.1177/15347346211057742.</w:t>
      </w:r>
    </w:p>
    <w:p w14:paraId="044C57F9"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Shiny, A., Bibin, Y. S., </w:t>
      </w:r>
      <w:proofErr w:type="spellStart"/>
      <w:r w:rsidRPr="00E624DF">
        <w:rPr>
          <w:rFonts w:ascii="Arial" w:hAnsi="Arial" w:cs="Arial"/>
          <w:color w:val="000000" w:themeColor="text1"/>
        </w:rPr>
        <w:t>Shanthirani</w:t>
      </w:r>
      <w:proofErr w:type="spellEnd"/>
      <w:r w:rsidRPr="00E624DF">
        <w:rPr>
          <w:rFonts w:ascii="Arial" w:hAnsi="Arial" w:cs="Arial"/>
          <w:color w:val="000000" w:themeColor="text1"/>
        </w:rPr>
        <w:t xml:space="preserve">, C. S., Regin, B. S., Anjana, R. M., </w:t>
      </w:r>
      <w:proofErr w:type="spellStart"/>
      <w:r w:rsidRPr="00E624DF">
        <w:rPr>
          <w:rFonts w:ascii="Arial" w:hAnsi="Arial" w:cs="Arial"/>
          <w:color w:val="000000" w:themeColor="text1"/>
        </w:rPr>
        <w:t>Balasubramanyam</w:t>
      </w:r>
      <w:proofErr w:type="spellEnd"/>
      <w:r w:rsidRPr="00E624DF">
        <w:rPr>
          <w:rFonts w:ascii="Arial" w:hAnsi="Arial" w:cs="Arial"/>
          <w:color w:val="000000" w:themeColor="text1"/>
        </w:rPr>
        <w:t xml:space="preserve">, M. &amp; Mohan, V. (2014). Association of neutrophil-lymphocyte ratio with glucose intolerance: an </w:t>
      </w:r>
      <w:r w:rsidRPr="00E624DF">
        <w:rPr>
          <w:rFonts w:ascii="Arial" w:hAnsi="Arial" w:cs="Arial"/>
          <w:color w:val="000000" w:themeColor="text1"/>
        </w:rPr>
        <w:lastRenderedPageBreak/>
        <w:t xml:space="preserve">indicator of systemic inflammation in patients with type 2 diabetes. </w:t>
      </w:r>
      <w:r w:rsidRPr="00E624DF">
        <w:rPr>
          <w:rFonts w:ascii="Arial" w:hAnsi="Arial" w:cs="Arial"/>
          <w:i/>
          <w:iCs/>
          <w:color w:val="000000" w:themeColor="text1"/>
        </w:rPr>
        <w:t>Diabetes Technology &amp; Therapeutics</w:t>
      </w:r>
      <w:r w:rsidRPr="00E624DF">
        <w:rPr>
          <w:rFonts w:ascii="Arial" w:hAnsi="Arial" w:cs="Arial"/>
          <w:color w:val="000000" w:themeColor="text1"/>
        </w:rPr>
        <w:t xml:space="preserve">, </w:t>
      </w:r>
      <w:r w:rsidRPr="00E624DF">
        <w:rPr>
          <w:rFonts w:ascii="Arial" w:hAnsi="Arial" w:cs="Arial"/>
          <w:i/>
          <w:iCs/>
          <w:color w:val="000000" w:themeColor="text1"/>
        </w:rPr>
        <w:t>16</w:t>
      </w:r>
      <w:r w:rsidRPr="00E624DF">
        <w:rPr>
          <w:rFonts w:ascii="Arial" w:hAnsi="Arial" w:cs="Arial"/>
          <w:color w:val="000000" w:themeColor="text1"/>
        </w:rPr>
        <w:t xml:space="preserve">(8), 524-530. </w:t>
      </w:r>
      <w:hyperlink r:id="rId59" w:history="1">
        <w:r w:rsidRPr="00E624DF">
          <w:rPr>
            <w:rStyle w:val="Hyperlink"/>
            <w:rFonts w:ascii="Arial" w:hAnsi="Arial" w:cs="Arial"/>
          </w:rPr>
          <w:t>https://doi.org/10.1089/dia.2013.0264</w:t>
        </w:r>
      </w:hyperlink>
      <w:r w:rsidRPr="00E624DF">
        <w:rPr>
          <w:rFonts w:ascii="Arial" w:hAnsi="Arial" w:cs="Arial"/>
          <w:color w:val="000000" w:themeColor="text1"/>
        </w:rPr>
        <w:t>.</w:t>
      </w:r>
    </w:p>
    <w:p w14:paraId="7FD7AFF0"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Sun, H., Li, Y., Liu, S., Pan, C., Li, D., &amp; Zhou, X. (2025). The diagnostic value of platelet-to-neutrophil ratio in diabetic macular edema. </w:t>
      </w:r>
      <w:r w:rsidRPr="00E624DF">
        <w:rPr>
          <w:rFonts w:ascii="Arial" w:hAnsi="Arial" w:cs="Arial"/>
          <w:i/>
          <w:iCs/>
          <w:color w:val="000000" w:themeColor="text1"/>
        </w:rPr>
        <w:t>BMC ophthalmology</w:t>
      </w:r>
      <w:r w:rsidRPr="00E624DF">
        <w:rPr>
          <w:rFonts w:ascii="Arial" w:hAnsi="Arial" w:cs="Arial"/>
          <w:color w:val="000000" w:themeColor="text1"/>
        </w:rPr>
        <w:t xml:space="preserve">, </w:t>
      </w:r>
      <w:r w:rsidRPr="00E624DF">
        <w:rPr>
          <w:rFonts w:ascii="Arial" w:hAnsi="Arial" w:cs="Arial"/>
          <w:i/>
          <w:iCs/>
          <w:color w:val="000000" w:themeColor="text1"/>
        </w:rPr>
        <w:t>25</w:t>
      </w:r>
      <w:r w:rsidRPr="00E624DF">
        <w:rPr>
          <w:rFonts w:ascii="Arial" w:hAnsi="Arial" w:cs="Arial"/>
          <w:color w:val="000000" w:themeColor="text1"/>
        </w:rPr>
        <w:t xml:space="preserve">(1), 167. </w:t>
      </w:r>
      <w:hyperlink r:id="rId60" w:history="1">
        <w:r w:rsidRPr="00E624DF">
          <w:rPr>
            <w:rStyle w:val="Hyperlink"/>
            <w:rFonts w:ascii="Arial" w:hAnsi="Arial" w:cs="Arial"/>
          </w:rPr>
          <w:t>https://doi.org/10.1186/s12886-025-04001-2</w:t>
        </w:r>
      </w:hyperlink>
      <w:r w:rsidRPr="00E624DF">
        <w:rPr>
          <w:rFonts w:ascii="Arial" w:hAnsi="Arial" w:cs="Arial"/>
          <w:color w:val="000000" w:themeColor="text1"/>
        </w:rPr>
        <w:t>.</w:t>
      </w:r>
    </w:p>
    <w:p w14:paraId="10858B2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Vos, T., Lim, S. S., </w:t>
      </w:r>
      <w:proofErr w:type="spellStart"/>
      <w:r w:rsidRPr="00E624DF">
        <w:rPr>
          <w:rFonts w:ascii="Arial" w:hAnsi="Arial" w:cs="Arial"/>
          <w:color w:val="000000" w:themeColor="text1"/>
        </w:rPr>
        <w:t>Abbafati</w:t>
      </w:r>
      <w:proofErr w:type="spellEnd"/>
      <w:r w:rsidRPr="00E624DF">
        <w:rPr>
          <w:rFonts w:ascii="Arial" w:hAnsi="Arial" w:cs="Arial"/>
          <w:color w:val="000000" w:themeColor="text1"/>
        </w:rPr>
        <w:t xml:space="preserve">, C., Abbas, K. M., Abbasi, M., </w:t>
      </w:r>
      <w:proofErr w:type="spellStart"/>
      <w:r w:rsidRPr="00E624DF">
        <w:rPr>
          <w:rFonts w:ascii="Arial" w:hAnsi="Arial" w:cs="Arial"/>
          <w:color w:val="000000" w:themeColor="text1"/>
        </w:rPr>
        <w:t>Abbasifard</w:t>
      </w:r>
      <w:proofErr w:type="spellEnd"/>
      <w:r w:rsidRPr="00E624DF">
        <w:rPr>
          <w:rFonts w:ascii="Arial" w:hAnsi="Arial" w:cs="Arial"/>
          <w:color w:val="000000" w:themeColor="text1"/>
        </w:rPr>
        <w:t xml:space="preserve">, M. et al. (2020). Global burden of 369 diseases and injuries in 204 countries and territories, 1990–2019: a systematic analysis for the Global Burden of Disease Study 2019.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
          <w:iCs/>
          <w:color w:val="000000" w:themeColor="text1"/>
        </w:rPr>
        <w:t>396</w:t>
      </w:r>
      <w:r w:rsidRPr="00E624DF">
        <w:rPr>
          <w:rFonts w:ascii="Arial" w:hAnsi="Arial" w:cs="Arial"/>
          <w:color w:val="000000" w:themeColor="text1"/>
        </w:rPr>
        <w:t xml:space="preserve">(10258), 1204-1222. </w:t>
      </w:r>
      <w:hyperlink r:id="rId61" w:history="1">
        <w:r w:rsidRPr="00E624DF">
          <w:rPr>
            <w:rStyle w:val="Hyperlink"/>
            <w:rFonts w:ascii="Arial" w:hAnsi="Arial" w:cs="Arial"/>
          </w:rPr>
          <w:t>https://doi.org/10.1016/S0140-6736(20)30925-9</w:t>
        </w:r>
      </w:hyperlink>
      <w:r w:rsidRPr="00E624DF">
        <w:rPr>
          <w:rFonts w:ascii="Arial" w:hAnsi="Arial" w:cs="Arial"/>
          <w:color w:val="000000" w:themeColor="text1"/>
        </w:rPr>
        <w:t>.</w:t>
      </w:r>
    </w:p>
    <w:p w14:paraId="6E37AEC7"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Walzik</w:t>
      </w:r>
      <w:proofErr w:type="spellEnd"/>
      <w:r w:rsidRPr="00E624DF">
        <w:rPr>
          <w:rFonts w:ascii="Arial" w:hAnsi="Arial" w:cs="Arial"/>
          <w:color w:val="000000" w:themeColor="text1"/>
        </w:rPr>
        <w:t xml:space="preserve">, D., </w:t>
      </w:r>
      <w:proofErr w:type="spellStart"/>
      <w:r w:rsidRPr="00E624DF">
        <w:rPr>
          <w:rFonts w:ascii="Arial" w:hAnsi="Arial" w:cs="Arial"/>
          <w:color w:val="000000" w:themeColor="text1"/>
        </w:rPr>
        <w:t>Joisten</w:t>
      </w:r>
      <w:proofErr w:type="spellEnd"/>
      <w:r w:rsidRPr="00E624DF">
        <w:rPr>
          <w:rFonts w:ascii="Arial" w:hAnsi="Arial" w:cs="Arial"/>
          <w:color w:val="000000" w:themeColor="text1"/>
        </w:rPr>
        <w:t xml:space="preserve">, N., Zacher, J., &amp; Zimmer, P. (2021). Transferring clinically established immune inflammation markers into exercise physiology: focus on neutrophil-to-lymphocyte ratio, platelet-to-lymphocyte ratio and systemic immune-inflammation index. </w:t>
      </w:r>
      <w:r w:rsidRPr="00E624DF">
        <w:rPr>
          <w:rFonts w:ascii="Arial" w:hAnsi="Arial" w:cs="Arial"/>
          <w:i/>
          <w:iCs/>
          <w:color w:val="000000" w:themeColor="text1"/>
        </w:rPr>
        <w:t>European Journal of Applied Physiology</w:t>
      </w:r>
      <w:r w:rsidRPr="00E624DF">
        <w:rPr>
          <w:rFonts w:ascii="Arial" w:hAnsi="Arial" w:cs="Arial"/>
          <w:color w:val="000000" w:themeColor="text1"/>
        </w:rPr>
        <w:t xml:space="preserve">, </w:t>
      </w:r>
      <w:r w:rsidRPr="00E624DF">
        <w:rPr>
          <w:rFonts w:ascii="Arial" w:hAnsi="Arial" w:cs="Arial"/>
          <w:iCs/>
          <w:color w:val="000000" w:themeColor="text1"/>
        </w:rPr>
        <w:t>121</w:t>
      </w:r>
      <w:r w:rsidRPr="00E624DF">
        <w:rPr>
          <w:rFonts w:ascii="Arial" w:hAnsi="Arial" w:cs="Arial"/>
          <w:color w:val="000000" w:themeColor="text1"/>
        </w:rPr>
        <w:t xml:space="preserve">(7), 1803-1814. </w:t>
      </w:r>
      <w:hyperlink r:id="rId62" w:history="1">
        <w:r w:rsidRPr="00E624DF">
          <w:rPr>
            <w:rStyle w:val="Hyperlink"/>
            <w:rFonts w:ascii="Arial" w:hAnsi="Arial" w:cs="Arial"/>
          </w:rPr>
          <w:t>https://doi.org/10.1007/s00421-021-04668-7</w:t>
        </w:r>
      </w:hyperlink>
      <w:r w:rsidRPr="00E624DF">
        <w:rPr>
          <w:rFonts w:ascii="Arial" w:hAnsi="Arial" w:cs="Arial"/>
          <w:color w:val="000000" w:themeColor="text1"/>
        </w:rPr>
        <w:t>.</w:t>
      </w:r>
    </w:p>
    <w:p w14:paraId="69390C2A" w14:textId="77777777" w:rsid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Wang, J. R., Chen, Z., Yang, K., Yang, H. J., Tao, W. Y., Li, Y. P. &amp; Yang, Y. (2020). Association between neutrophil-to-lymphocyte ratio, platelet-to-lymphocyte ratio, and diabetic retinopathy among diabetic patients without a related family history. </w:t>
      </w:r>
      <w:r w:rsidRPr="00E624DF">
        <w:rPr>
          <w:rFonts w:ascii="Arial" w:hAnsi="Arial" w:cs="Arial"/>
          <w:i/>
          <w:iCs/>
          <w:color w:val="000000" w:themeColor="text1"/>
        </w:rPr>
        <w:t>Diabetology &amp; Metabolic Syndrome</w:t>
      </w:r>
      <w:r w:rsidRPr="00E624DF">
        <w:rPr>
          <w:rFonts w:ascii="Arial" w:hAnsi="Arial" w:cs="Arial"/>
          <w:color w:val="000000" w:themeColor="text1"/>
        </w:rPr>
        <w:t xml:space="preserve">, </w:t>
      </w:r>
      <w:r w:rsidRPr="00E624DF">
        <w:rPr>
          <w:rFonts w:ascii="Arial" w:hAnsi="Arial" w:cs="Arial"/>
          <w:iCs/>
          <w:color w:val="000000" w:themeColor="text1"/>
        </w:rPr>
        <w:t>12</w:t>
      </w:r>
      <w:r w:rsidRPr="00E624DF">
        <w:rPr>
          <w:rFonts w:ascii="Arial" w:hAnsi="Arial" w:cs="Arial"/>
          <w:color w:val="000000" w:themeColor="text1"/>
        </w:rPr>
        <w:t xml:space="preserve">, 1-10. </w:t>
      </w:r>
      <w:hyperlink r:id="rId63" w:history="1">
        <w:r w:rsidRPr="00324CC7">
          <w:rPr>
            <w:rStyle w:val="Hyperlink"/>
            <w:rFonts w:ascii="Arial" w:hAnsi="Arial" w:cs="Arial"/>
          </w:rPr>
          <w:t>https://doi.org/10.1186/s13098-020-00562-y</w:t>
        </w:r>
      </w:hyperlink>
      <w:r w:rsidRPr="00E624DF">
        <w:rPr>
          <w:rFonts w:ascii="Arial" w:hAnsi="Arial" w:cs="Arial"/>
          <w:color w:val="000000" w:themeColor="text1"/>
        </w:rPr>
        <w:t>.</w:t>
      </w:r>
    </w:p>
    <w:p w14:paraId="4C949B79"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Wang, Y., Yang, P., Yan, Z., Liu, Z., Ma, Q., Zhang, Z. &amp; Su, Y. (2021). The relationship between erythrocytes and diabetes mellitus. </w:t>
      </w:r>
      <w:r w:rsidRPr="00E624DF">
        <w:rPr>
          <w:rFonts w:ascii="Arial" w:hAnsi="Arial" w:cs="Arial"/>
          <w:i/>
          <w:iCs/>
          <w:color w:val="000000" w:themeColor="text1"/>
        </w:rPr>
        <w:t>Journal of Diabetes Research</w:t>
      </w:r>
      <w:r w:rsidRPr="00E624DF">
        <w:rPr>
          <w:rFonts w:ascii="Arial" w:hAnsi="Arial" w:cs="Arial"/>
          <w:color w:val="000000" w:themeColor="text1"/>
        </w:rPr>
        <w:t xml:space="preserve">, </w:t>
      </w:r>
      <w:r w:rsidRPr="00E624DF">
        <w:rPr>
          <w:rFonts w:ascii="Arial" w:hAnsi="Arial" w:cs="Arial"/>
          <w:iCs/>
          <w:color w:val="000000" w:themeColor="text1"/>
        </w:rPr>
        <w:t>2021</w:t>
      </w:r>
      <w:r w:rsidRPr="00E624DF">
        <w:rPr>
          <w:rFonts w:ascii="Arial" w:hAnsi="Arial" w:cs="Arial"/>
          <w:color w:val="000000" w:themeColor="text1"/>
        </w:rPr>
        <w:t xml:space="preserve">(1), 6656062. </w:t>
      </w:r>
      <w:hyperlink r:id="rId64" w:history="1">
        <w:r w:rsidRPr="00E624DF">
          <w:rPr>
            <w:rStyle w:val="Hyperlink"/>
            <w:rFonts w:ascii="Arial" w:hAnsi="Arial" w:cs="Arial"/>
          </w:rPr>
          <w:t>https://doi.org/10.1155/2021/6656062</w:t>
        </w:r>
      </w:hyperlink>
      <w:r w:rsidRPr="00E624DF">
        <w:rPr>
          <w:rFonts w:ascii="Arial" w:hAnsi="Arial" w:cs="Arial"/>
          <w:color w:val="000000" w:themeColor="text1"/>
        </w:rPr>
        <w:t>.</w:t>
      </w:r>
    </w:p>
    <w:p w14:paraId="7C1D403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Yazar, B. T., Eren, F., &amp; Oğuz, E. F. (2025). The relationship of inflammatory markers NLR and PLR with HbA1c in Turkish diabetic patients. </w:t>
      </w:r>
      <w:r w:rsidRPr="00E624DF">
        <w:rPr>
          <w:rFonts w:ascii="Arial" w:hAnsi="Arial" w:cs="Arial"/>
          <w:i/>
          <w:iCs/>
          <w:color w:val="000000" w:themeColor="text1"/>
        </w:rPr>
        <w:t>Diabetes Research and Clinical Practice</w:t>
      </w:r>
      <w:r w:rsidRPr="00E624DF">
        <w:rPr>
          <w:rFonts w:ascii="Arial" w:hAnsi="Arial" w:cs="Arial"/>
          <w:color w:val="000000" w:themeColor="text1"/>
        </w:rPr>
        <w:t xml:space="preserve">, 112213. </w:t>
      </w:r>
      <w:hyperlink r:id="rId65" w:history="1">
        <w:r w:rsidRPr="00E624DF">
          <w:rPr>
            <w:rStyle w:val="Hyperlink"/>
            <w:rFonts w:ascii="Arial" w:hAnsi="Arial" w:cs="Arial"/>
          </w:rPr>
          <w:t>https://doi.org/10.1016/j.diabres.2025.112213</w:t>
        </w:r>
      </w:hyperlink>
      <w:r w:rsidRPr="00E624DF">
        <w:rPr>
          <w:rFonts w:ascii="Arial" w:hAnsi="Arial" w:cs="Arial"/>
          <w:color w:val="000000" w:themeColor="text1"/>
        </w:rPr>
        <w:t>.</w:t>
      </w:r>
    </w:p>
    <w:p w14:paraId="0935F80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Yun, S., Yi, H. J., Lee, D. H., &amp; Sung, J. H. (2021). Clinical significance of platelet to neutrophil ratio and platelet to lymphocyte ratio in patients with aneurysmal subarachnoid hemorrhage. </w:t>
      </w:r>
      <w:r w:rsidRPr="00E624DF">
        <w:rPr>
          <w:rFonts w:ascii="Arial" w:hAnsi="Arial" w:cs="Arial"/>
          <w:i/>
          <w:iCs/>
          <w:color w:val="000000" w:themeColor="text1"/>
        </w:rPr>
        <w:t>Journal of Clinical Neuroscience</w:t>
      </w:r>
      <w:r w:rsidRPr="00E624DF">
        <w:rPr>
          <w:rFonts w:ascii="Arial" w:hAnsi="Arial" w:cs="Arial"/>
          <w:color w:val="000000" w:themeColor="text1"/>
        </w:rPr>
        <w:t xml:space="preserve">, </w:t>
      </w:r>
      <w:r w:rsidRPr="00E624DF">
        <w:rPr>
          <w:rFonts w:ascii="Arial" w:hAnsi="Arial" w:cs="Arial"/>
          <w:i/>
          <w:iCs/>
          <w:color w:val="000000" w:themeColor="text1"/>
        </w:rPr>
        <w:t>92</w:t>
      </w:r>
      <w:r w:rsidRPr="00E624DF">
        <w:rPr>
          <w:rFonts w:ascii="Arial" w:hAnsi="Arial" w:cs="Arial"/>
          <w:color w:val="000000" w:themeColor="text1"/>
        </w:rPr>
        <w:t xml:space="preserve">, 49-54. </w:t>
      </w:r>
      <w:hyperlink r:id="rId66" w:history="1">
        <w:r w:rsidRPr="00E624DF">
          <w:rPr>
            <w:rStyle w:val="Hyperlink"/>
            <w:rFonts w:ascii="Arial" w:hAnsi="Arial" w:cs="Arial"/>
          </w:rPr>
          <w:t>https://doi.org/10.1016/j.jocn.2021.07.036</w:t>
        </w:r>
      </w:hyperlink>
    </w:p>
    <w:p w14:paraId="76789089"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Zahorec</w:t>
      </w:r>
      <w:proofErr w:type="spellEnd"/>
      <w:r w:rsidRPr="00E624DF">
        <w:rPr>
          <w:rFonts w:ascii="Arial" w:hAnsi="Arial" w:cs="Arial"/>
          <w:color w:val="000000" w:themeColor="text1"/>
        </w:rPr>
        <w:t xml:space="preserve">, R. (2021). Neutrophil-to-lymphocyte ratio, past, present and future perspectives. </w:t>
      </w:r>
      <w:proofErr w:type="spellStart"/>
      <w:r w:rsidRPr="00E624DF">
        <w:rPr>
          <w:rFonts w:ascii="Arial" w:hAnsi="Arial" w:cs="Arial"/>
          <w:i/>
          <w:iCs/>
          <w:color w:val="000000" w:themeColor="text1"/>
        </w:rPr>
        <w:t>Bratisl</w:t>
      </w:r>
      <w:proofErr w:type="spellEnd"/>
      <w:r w:rsidRPr="00E624DF">
        <w:rPr>
          <w:rFonts w:ascii="Arial" w:hAnsi="Arial" w:cs="Arial"/>
          <w:i/>
          <w:iCs/>
          <w:color w:val="000000" w:themeColor="text1"/>
        </w:rPr>
        <w:t xml:space="preserve"> Lek </w:t>
      </w:r>
      <w:proofErr w:type="spellStart"/>
      <w:r w:rsidRPr="00E624DF">
        <w:rPr>
          <w:rFonts w:ascii="Arial" w:hAnsi="Arial" w:cs="Arial"/>
          <w:i/>
          <w:iCs/>
          <w:color w:val="000000" w:themeColor="text1"/>
        </w:rPr>
        <w:t>Listy</w:t>
      </w:r>
      <w:proofErr w:type="spellEnd"/>
      <w:r w:rsidRPr="00E624DF">
        <w:rPr>
          <w:rFonts w:ascii="Arial" w:hAnsi="Arial" w:cs="Arial"/>
          <w:color w:val="000000" w:themeColor="text1"/>
        </w:rPr>
        <w:t xml:space="preserve">, </w:t>
      </w:r>
      <w:r w:rsidRPr="00E624DF">
        <w:rPr>
          <w:rFonts w:ascii="Arial" w:hAnsi="Arial" w:cs="Arial"/>
          <w:iCs/>
          <w:color w:val="000000" w:themeColor="text1"/>
        </w:rPr>
        <w:t>122</w:t>
      </w:r>
      <w:r w:rsidRPr="00E624DF">
        <w:rPr>
          <w:rFonts w:ascii="Arial" w:hAnsi="Arial" w:cs="Arial"/>
          <w:color w:val="000000" w:themeColor="text1"/>
        </w:rPr>
        <w:t xml:space="preserve">(7), 474-488. </w:t>
      </w:r>
      <w:hyperlink r:id="rId67" w:history="1">
        <w:r w:rsidRPr="00E624DF">
          <w:rPr>
            <w:rStyle w:val="Hyperlink"/>
            <w:rFonts w:ascii="Arial" w:hAnsi="Arial" w:cs="Arial"/>
          </w:rPr>
          <w:t>https://doi.org/10.4149/BLL_2021_078</w:t>
        </w:r>
      </w:hyperlink>
    </w:p>
    <w:p w14:paraId="0A4DC4D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Zhou, Z., Mahdi, A., </w:t>
      </w:r>
      <w:proofErr w:type="spellStart"/>
      <w:r w:rsidRPr="00E624DF">
        <w:rPr>
          <w:rFonts w:ascii="Arial" w:hAnsi="Arial" w:cs="Arial"/>
          <w:color w:val="000000" w:themeColor="text1"/>
        </w:rPr>
        <w:t>Tratsiakovich</w:t>
      </w:r>
      <w:proofErr w:type="spellEnd"/>
      <w:r w:rsidRPr="00E624DF">
        <w:rPr>
          <w:rFonts w:ascii="Arial" w:hAnsi="Arial" w:cs="Arial"/>
          <w:color w:val="000000" w:themeColor="text1"/>
        </w:rPr>
        <w:t xml:space="preserve">, Y., </w:t>
      </w:r>
      <w:proofErr w:type="spellStart"/>
      <w:r w:rsidRPr="00E624DF">
        <w:rPr>
          <w:rFonts w:ascii="Arial" w:hAnsi="Arial" w:cs="Arial"/>
          <w:color w:val="000000" w:themeColor="text1"/>
        </w:rPr>
        <w:t>Zahorán</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Kövamees</w:t>
      </w:r>
      <w:proofErr w:type="spellEnd"/>
      <w:r w:rsidRPr="00E624DF">
        <w:rPr>
          <w:rFonts w:ascii="Arial" w:hAnsi="Arial" w:cs="Arial"/>
          <w:color w:val="000000" w:themeColor="text1"/>
        </w:rPr>
        <w:t xml:space="preserve">, O., Nordin, F. &amp; </w:t>
      </w:r>
      <w:proofErr w:type="spellStart"/>
      <w:r w:rsidRPr="00E624DF">
        <w:rPr>
          <w:rFonts w:ascii="Arial" w:hAnsi="Arial" w:cs="Arial"/>
          <w:color w:val="000000" w:themeColor="text1"/>
        </w:rPr>
        <w:t>Pernow</w:t>
      </w:r>
      <w:proofErr w:type="spellEnd"/>
      <w:r w:rsidRPr="00E624DF">
        <w:rPr>
          <w:rFonts w:ascii="Arial" w:hAnsi="Arial" w:cs="Arial"/>
          <w:color w:val="000000" w:themeColor="text1"/>
        </w:rPr>
        <w:t xml:space="preserve">, J. (2018). Erythrocytes from patients with type 2 diabetes induce endothelial dysfunction via arginase I. </w:t>
      </w:r>
      <w:r w:rsidRPr="00E624DF">
        <w:rPr>
          <w:rFonts w:ascii="Arial" w:hAnsi="Arial" w:cs="Arial"/>
          <w:i/>
          <w:iCs/>
          <w:color w:val="000000" w:themeColor="text1"/>
        </w:rPr>
        <w:t>Journal of the American College of Cardiology</w:t>
      </w:r>
      <w:r w:rsidRPr="00E624DF">
        <w:rPr>
          <w:rFonts w:ascii="Arial" w:hAnsi="Arial" w:cs="Arial"/>
          <w:color w:val="000000" w:themeColor="text1"/>
        </w:rPr>
        <w:t xml:space="preserve">, </w:t>
      </w:r>
      <w:r w:rsidRPr="00E624DF">
        <w:rPr>
          <w:rFonts w:ascii="Arial" w:hAnsi="Arial" w:cs="Arial"/>
          <w:iCs/>
          <w:color w:val="000000" w:themeColor="text1"/>
        </w:rPr>
        <w:t>72</w:t>
      </w:r>
      <w:r w:rsidRPr="00E624DF">
        <w:rPr>
          <w:rFonts w:ascii="Arial" w:hAnsi="Arial" w:cs="Arial"/>
          <w:color w:val="000000" w:themeColor="text1"/>
        </w:rPr>
        <w:t xml:space="preserve">(7), 769-780. </w:t>
      </w:r>
      <w:hyperlink r:id="rId68" w:history="1">
        <w:r w:rsidRPr="00E624DF">
          <w:rPr>
            <w:rStyle w:val="Hyperlink"/>
            <w:rFonts w:ascii="Arial" w:hAnsi="Arial" w:cs="Arial"/>
          </w:rPr>
          <w:t>https://doi.org/10.1016/j.jacc.2018.05.052</w:t>
        </w:r>
      </w:hyperlink>
      <w:r w:rsidRPr="00E624DF">
        <w:rPr>
          <w:rFonts w:ascii="Arial" w:hAnsi="Arial" w:cs="Arial"/>
          <w:color w:val="000000" w:themeColor="text1"/>
        </w:rPr>
        <w:t>.</w:t>
      </w:r>
    </w:p>
    <w:p w14:paraId="64863E1B" w14:textId="77777777" w:rsidR="00790ADA" w:rsidRPr="00C777FB" w:rsidRDefault="00790ADA" w:rsidP="00441B6F">
      <w:pPr>
        <w:pStyle w:val="Body"/>
        <w:spacing w:after="0"/>
        <w:rPr>
          <w:rFonts w:ascii="Arial" w:hAnsi="Arial" w:cs="Arial"/>
          <w:color w:val="000000" w:themeColor="text1"/>
        </w:rPr>
      </w:pPr>
    </w:p>
    <w:p w14:paraId="0D097A43" w14:textId="77777777" w:rsidR="004D4277" w:rsidRPr="00C777FB" w:rsidRDefault="004D4277" w:rsidP="00441B6F">
      <w:pPr>
        <w:pStyle w:val="Appendix"/>
        <w:spacing w:after="0"/>
        <w:jc w:val="both"/>
        <w:rPr>
          <w:rFonts w:ascii="Arial" w:hAnsi="Arial" w:cs="Arial"/>
          <w:b w:val="0"/>
          <w:color w:val="000000" w:themeColor="text1"/>
        </w:rPr>
        <w:sectPr w:rsidR="004D4277" w:rsidRPr="00C777FB" w:rsidSect="009B0805">
          <w:headerReference w:type="even" r:id="rId69"/>
          <w:headerReference w:type="default" r:id="rId70"/>
          <w:footerReference w:type="default" r:id="rId71"/>
          <w:headerReference w:type="first" r:id="rId72"/>
          <w:type w:val="continuous"/>
          <w:pgSz w:w="12240" w:h="15840"/>
          <w:pgMar w:top="1440" w:right="2016" w:bottom="2016" w:left="2016" w:header="720" w:footer="1123" w:gutter="0"/>
          <w:cols w:space="720"/>
          <w:docGrid w:linePitch="272"/>
        </w:sectPr>
      </w:pPr>
    </w:p>
    <w:p w14:paraId="3FA417C2" w14:textId="77777777" w:rsidR="00B01FCD" w:rsidRPr="00C777FB" w:rsidRDefault="00B01FCD" w:rsidP="00441B6F">
      <w:pPr>
        <w:pStyle w:val="Appendix"/>
        <w:spacing w:after="0"/>
        <w:jc w:val="both"/>
        <w:rPr>
          <w:rFonts w:ascii="Arial" w:hAnsi="Arial" w:cs="Arial"/>
          <w:b w:val="0"/>
          <w:color w:val="000000" w:themeColor="text1"/>
        </w:rPr>
      </w:pPr>
    </w:p>
    <w:sectPr w:rsidR="00B01FCD" w:rsidRPr="00C777FB" w:rsidSect="009B080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97202" w14:textId="77777777" w:rsidR="00202631" w:rsidRDefault="00202631" w:rsidP="00C37E61">
      <w:r>
        <w:separator/>
      </w:r>
    </w:p>
  </w:endnote>
  <w:endnote w:type="continuationSeparator" w:id="0">
    <w:p w14:paraId="0482990C" w14:textId="77777777" w:rsidR="00202631" w:rsidRDefault="0020263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84D5" w14:textId="77777777" w:rsidR="009B0805" w:rsidRDefault="009B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1B3D" w14:textId="77777777" w:rsidR="009B0805" w:rsidRDefault="009B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36ED" w14:textId="0BF49872" w:rsidR="00BA3775" w:rsidRPr="009B0805" w:rsidRDefault="00BA3775" w:rsidP="009B08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33EC" w14:textId="77777777" w:rsidR="00BA3775" w:rsidRPr="00C37E61" w:rsidRDefault="00BA377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CB8BF" w14:textId="77777777" w:rsidR="00202631" w:rsidRDefault="00202631" w:rsidP="00C37E61">
      <w:r>
        <w:separator/>
      </w:r>
    </w:p>
  </w:footnote>
  <w:footnote w:type="continuationSeparator" w:id="0">
    <w:p w14:paraId="1F7026C0" w14:textId="77777777" w:rsidR="00202631" w:rsidRDefault="0020263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BB2" w14:textId="76778069" w:rsidR="009B0805" w:rsidRDefault="009B0805">
    <w:pPr>
      <w:pStyle w:val="Header"/>
    </w:pPr>
    <w:r>
      <w:rPr>
        <w:noProof/>
      </w:rPr>
      <w:pict w14:anchorId="75090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1FBC" w14:textId="48137A87" w:rsidR="009B0805" w:rsidRDefault="009B0805">
    <w:pPr>
      <w:pStyle w:val="Header"/>
    </w:pPr>
    <w:r>
      <w:rPr>
        <w:noProof/>
      </w:rPr>
      <w:pict w14:anchorId="584E1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5445" w14:textId="1B48D58F" w:rsidR="00BA3775" w:rsidRPr="00296529" w:rsidRDefault="009B0805" w:rsidP="00296529">
    <w:pPr>
      <w:ind w:left="2160"/>
      <w:jc w:val="center"/>
      <w:rPr>
        <w:rFonts w:ascii="Times New Roman" w:eastAsia="Calibri" w:hAnsi="Times New Roman"/>
        <w:i/>
        <w:sz w:val="18"/>
        <w:szCs w:val="22"/>
      </w:rPr>
    </w:pPr>
    <w:r>
      <w:rPr>
        <w:noProof/>
      </w:rPr>
      <w:pict w14:anchorId="359E7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4F2A7DE" w14:textId="77777777" w:rsidR="00BA3775" w:rsidRPr="00296529" w:rsidRDefault="00BA37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C1ED074" w14:textId="77777777" w:rsidR="00BA3775" w:rsidRPr="00296529" w:rsidRDefault="00BA37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2FE60F" w14:textId="77777777" w:rsidR="00BA3775" w:rsidRPr="00296529" w:rsidRDefault="00BA37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9980DA" w14:textId="77777777" w:rsidR="00BA3775" w:rsidRDefault="00BA37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F0F5E6" w14:textId="77777777" w:rsidR="00BA3775" w:rsidRDefault="00BA37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7165611" w14:textId="77777777" w:rsidR="00BA3775" w:rsidRDefault="00BA377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6D78" w14:textId="79A25959" w:rsidR="009B0805" w:rsidRDefault="009B0805">
    <w:pPr>
      <w:pStyle w:val="Header"/>
    </w:pPr>
    <w:r>
      <w:rPr>
        <w:noProof/>
      </w:rPr>
      <w:pict w14:anchorId="66CA4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A839" w14:textId="285CD218" w:rsidR="009B0805" w:rsidRDefault="009B0805">
    <w:pPr>
      <w:pStyle w:val="Header"/>
    </w:pPr>
    <w:r>
      <w:rPr>
        <w:noProof/>
      </w:rPr>
      <w:pict w14:anchorId="4EDDA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A0CE" w14:textId="21B0351D" w:rsidR="009B0805" w:rsidRDefault="009B0805">
    <w:pPr>
      <w:pStyle w:val="Header"/>
    </w:pPr>
    <w:r>
      <w:rPr>
        <w:noProof/>
      </w:rPr>
      <w:pict w14:anchorId="3E461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94973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8521473">
    <w:abstractNumId w:val="15"/>
  </w:num>
  <w:num w:numId="3" w16cid:durableId="1047218540">
    <w:abstractNumId w:val="23"/>
  </w:num>
  <w:num w:numId="4" w16cid:durableId="95868567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33195760">
    <w:abstractNumId w:val="7"/>
  </w:num>
  <w:num w:numId="6" w16cid:durableId="1991326967">
    <w:abstractNumId w:val="6"/>
  </w:num>
  <w:num w:numId="7" w16cid:durableId="1807122293">
    <w:abstractNumId w:val="1"/>
  </w:num>
  <w:num w:numId="8" w16cid:durableId="16926851">
    <w:abstractNumId w:val="12"/>
  </w:num>
  <w:num w:numId="9" w16cid:durableId="1694918099">
    <w:abstractNumId w:val="25"/>
  </w:num>
  <w:num w:numId="10" w16cid:durableId="1664163626">
    <w:abstractNumId w:val="2"/>
  </w:num>
  <w:num w:numId="11" w16cid:durableId="1001158208">
    <w:abstractNumId w:val="18"/>
  </w:num>
  <w:num w:numId="12" w16cid:durableId="2145657572">
    <w:abstractNumId w:val="3"/>
  </w:num>
  <w:num w:numId="13" w16cid:durableId="1111511664">
    <w:abstractNumId w:val="17"/>
  </w:num>
  <w:num w:numId="14" w16cid:durableId="981544118">
    <w:abstractNumId w:val="8"/>
  </w:num>
  <w:num w:numId="15" w16cid:durableId="1107232681">
    <w:abstractNumId w:val="21"/>
  </w:num>
  <w:num w:numId="16" w16cid:durableId="1533229495">
    <w:abstractNumId w:val="5"/>
  </w:num>
  <w:num w:numId="17" w16cid:durableId="215971769">
    <w:abstractNumId w:val="22"/>
  </w:num>
  <w:num w:numId="18" w16cid:durableId="1110901918">
    <w:abstractNumId w:val="14"/>
  </w:num>
  <w:num w:numId="19" w16cid:durableId="263345262">
    <w:abstractNumId w:val="28"/>
  </w:num>
  <w:num w:numId="20" w16cid:durableId="895091111">
    <w:abstractNumId w:val="11"/>
  </w:num>
  <w:num w:numId="21" w16cid:durableId="1444494649">
    <w:abstractNumId w:val="9"/>
  </w:num>
  <w:num w:numId="22" w16cid:durableId="58868776">
    <w:abstractNumId w:val="13"/>
  </w:num>
  <w:num w:numId="23" w16cid:durableId="850529889">
    <w:abstractNumId w:val="19"/>
  </w:num>
  <w:num w:numId="24" w16cid:durableId="1999796578">
    <w:abstractNumId w:val="26"/>
  </w:num>
  <w:num w:numId="25" w16cid:durableId="1240361913">
    <w:abstractNumId w:val="4"/>
  </w:num>
  <w:num w:numId="26" w16cid:durableId="1517378000">
    <w:abstractNumId w:val="16"/>
  </w:num>
  <w:num w:numId="27" w16cid:durableId="1817456316">
    <w:abstractNumId w:val="20"/>
  </w:num>
  <w:num w:numId="28" w16cid:durableId="1371372041">
    <w:abstractNumId w:val="27"/>
  </w:num>
  <w:num w:numId="29" w16cid:durableId="1090391044">
    <w:abstractNumId w:val="24"/>
  </w:num>
  <w:num w:numId="30" w16cid:durableId="282083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59A1"/>
    <w:rsid w:val="0004579C"/>
    <w:rsid w:val="00071105"/>
    <w:rsid w:val="00083B1C"/>
    <w:rsid w:val="00084EFC"/>
    <w:rsid w:val="000A47FA"/>
    <w:rsid w:val="000A65D3"/>
    <w:rsid w:val="000B1E33"/>
    <w:rsid w:val="000D4B3D"/>
    <w:rsid w:val="000D689F"/>
    <w:rsid w:val="000E7A2F"/>
    <w:rsid w:val="000E7B7B"/>
    <w:rsid w:val="000E7D62"/>
    <w:rsid w:val="000F0173"/>
    <w:rsid w:val="00103357"/>
    <w:rsid w:val="00114DDD"/>
    <w:rsid w:val="00123C9F"/>
    <w:rsid w:val="00126190"/>
    <w:rsid w:val="00130F17"/>
    <w:rsid w:val="001320BF"/>
    <w:rsid w:val="00163BC4"/>
    <w:rsid w:val="00191062"/>
    <w:rsid w:val="00192B72"/>
    <w:rsid w:val="001A29D8"/>
    <w:rsid w:val="001A5CAA"/>
    <w:rsid w:val="001B0427"/>
    <w:rsid w:val="001B0641"/>
    <w:rsid w:val="001B5D50"/>
    <w:rsid w:val="001D2CE5"/>
    <w:rsid w:val="001D3A51"/>
    <w:rsid w:val="001D5077"/>
    <w:rsid w:val="001D53EF"/>
    <w:rsid w:val="001E10D2"/>
    <w:rsid w:val="001E25B4"/>
    <w:rsid w:val="001E44FE"/>
    <w:rsid w:val="00200595"/>
    <w:rsid w:val="00202631"/>
    <w:rsid w:val="00204835"/>
    <w:rsid w:val="002063A4"/>
    <w:rsid w:val="002224BA"/>
    <w:rsid w:val="0022433D"/>
    <w:rsid w:val="00226C48"/>
    <w:rsid w:val="00231920"/>
    <w:rsid w:val="0023195C"/>
    <w:rsid w:val="0024282C"/>
    <w:rsid w:val="002460DC"/>
    <w:rsid w:val="00250985"/>
    <w:rsid w:val="002556F6"/>
    <w:rsid w:val="00257D63"/>
    <w:rsid w:val="00283105"/>
    <w:rsid w:val="00284C4C"/>
    <w:rsid w:val="00287E68"/>
    <w:rsid w:val="00296529"/>
    <w:rsid w:val="002B27FB"/>
    <w:rsid w:val="002B685A"/>
    <w:rsid w:val="002C57D2"/>
    <w:rsid w:val="002E0D56"/>
    <w:rsid w:val="00315186"/>
    <w:rsid w:val="00324755"/>
    <w:rsid w:val="003270F3"/>
    <w:rsid w:val="0033343E"/>
    <w:rsid w:val="00341B37"/>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237C"/>
    <w:rsid w:val="004A728A"/>
    <w:rsid w:val="004D305E"/>
    <w:rsid w:val="004D4277"/>
    <w:rsid w:val="004D7B06"/>
    <w:rsid w:val="004E7839"/>
    <w:rsid w:val="00502516"/>
    <w:rsid w:val="005030EB"/>
    <w:rsid w:val="00505F06"/>
    <w:rsid w:val="00506828"/>
    <w:rsid w:val="0053056E"/>
    <w:rsid w:val="00554FDA"/>
    <w:rsid w:val="0057400D"/>
    <w:rsid w:val="005B53FF"/>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3AF0"/>
    <w:rsid w:val="006B57D0"/>
    <w:rsid w:val="006D30FF"/>
    <w:rsid w:val="006D4455"/>
    <w:rsid w:val="006D6940"/>
    <w:rsid w:val="006F11EC"/>
    <w:rsid w:val="0070082C"/>
    <w:rsid w:val="007323AF"/>
    <w:rsid w:val="007337BC"/>
    <w:rsid w:val="007369E6"/>
    <w:rsid w:val="00746E59"/>
    <w:rsid w:val="00754C9A"/>
    <w:rsid w:val="0075599A"/>
    <w:rsid w:val="00761D52"/>
    <w:rsid w:val="007706D2"/>
    <w:rsid w:val="007727B8"/>
    <w:rsid w:val="0077749E"/>
    <w:rsid w:val="00790ADA"/>
    <w:rsid w:val="007A2E11"/>
    <w:rsid w:val="007B1EA8"/>
    <w:rsid w:val="007B6788"/>
    <w:rsid w:val="007C6CF2"/>
    <w:rsid w:val="007D0898"/>
    <w:rsid w:val="007D2288"/>
    <w:rsid w:val="007E088F"/>
    <w:rsid w:val="007E71E1"/>
    <w:rsid w:val="007F7B32"/>
    <w:rsid w:val="00804BC2"/>
    <w:rsid w:val="0081431A"/>
    <w:rsid w:val="0083216F"/>
    <w:rsid w:val="0085140D"/>
    <w:rsid w:val="00860000"/>
    <w:rsid w:val="00863BD3"/>
    <w:rsid w:val="008641ED"/>
    <w:rsid w:val="00866D66"/>
    <w:rsid w:val="008671C6"/>
    <w:rsid w:val="00875803"/>
    <w:rsid w:val="0088043E"/>
    <w:rsid w:val="008B459E"/>
    <w:rsid w:val="008E06D9"/>
    <w:rsid w:val="008E13AE"/>
    <w:rsid w:val="008E1506"/>
    <w:rsid w:val="008E710C"/>
    <w:rsid w:val="008F69D6"/>
    <w:rsid w:val="00902351"/>
    <w:rsid w:val="00902823"/>
    <w:rsid w:val="00915CA6"/>
    <w:rsid w:val="00927834"/>
    <w:rsid w:val="009422A2"/>
    <w:rsid w:val="009500A6"/>
    <w:rsid w:val="00957C18"/>
    <w:rsid w:val="009659BA"/>
    <w:rsid w:val="00983040"/>
    <w:rsid w:val="009B0805"/>
    <w:rsid w:val="009B3FB9"/>
    <w:rsid w:val="009C2465"/>
    <w:rsid w:val="009D35A0"/>
    <w:rsid w:val="009D7EB7"/>
    <w:rsid w:val="009E048A"/>
    <w:rsid w:val="009E08E9"/>
    <w:rsid w:val="009E3DB9"/>
    <w:rsid w:val="009E6E35"/>
    <w:rsid w:val="009F0EDA"/>
    <w:rsid w:val="009F10D4"/>
    <w:rsid w:val="00A03B96"/>
    <w:rsid w:val="00A043B4"/>
    <w:rsid w:val="00A05B19"/>
    <w:rsid w:val="00A1134E"/>
    <w:rsid w:val="00A24E7E"/>
    <w:rsid w:val="00A258C3"/>
    <w:rsid w:val="00A347C0"/>
    <w:rsid w:val="00A51431"/>
    <w:rsid w:val="00A52A6E"/>
    <w:rsid w:val="00A539AD"/>
    <w:rsid w:val="00A94063"/>
    <w:rsid w:val="00AA6219"/>
    <w:rsid w:val="00AA74E0"/>
    <w:rsid w:val="00AB703F"/>
    <w:rsid w:val="00AB747D"/>
    <w:rsid w:val="00AC6BB8"/>
    <w:rsid w:val="00AD29F3"/>
    <w:rsid w:val="00AD4DC9"/>
    <w:rsid w:val="00AE008F"/>
    <w:rsid w:val="00AE08C6"/>
    <w:rsid w:val="00B01FCD"/>
    <w:rsid w:val="00B05DF2"/>
    <w:rsid w:val="00B1776C"/>
    <w:rsid w:val="00B52583"/>
    <w:rsid w:val="00B52896"/>
    <w:rsid w:val="00B60A27"/>
    <w:rsid w:val="00B842B1"/>
    <w:rsid w:val="00B95236"/>
    <w:rsid w:val="00B96BD9"/>
    <w:rsid w:val="00B97B21"/>
    <w:rsid w:val="00BA1B01"/>
    <w:rsid w:val="00BA2641"/>
    <w:rsid w:val="00BA3775"/>
    <w:rsid w:val="00BB299B"/>
    <w:rsid w:val="00BB37AA"/>
    <w:rsid w:val="00BC490D"/>
    <w:rsid w:val="00BC53A0"/>
    <w:rsid w:val="00BD2D03"/>
    <w:rsid w:val="00BE62AD"/>
    <w:rsid w:val="00BF121F"/>
    <w:rsid w:val="00BF1F80"/>
    <w:rsid w:val="00C166EF"/>
    <w:rsid w:val="00C17EB0"/>
    <w:rsid w:val="00C27F5F"/>
    <w:rsid w:val="00C30A0F"/>
    <w:rsid w:val="00C3466B"/>
    <w:rsid w:val="00C37E61"/>
    <w:rsid w:val="00C70F1B"/>
    <w:rsid w:val="00C71A47"/>
    <w:rsid w:val="00C7464C"/>
    <w:rsid w:val="00C777FB"/>
    <w:rsid w:val="00C85588"/>
    <w:rsid w:val="00C97159"/>
    <w:rsid w:val="00CB3D29"/>
    <w:rsid w:val="00CD6755"/>
    <w:rsid w:val="00CD6856"/>
    <w:rsid w:val="00CE0089"/>
    <w:rsid w:val="00CE793C"/>
    <w:rsid w:val="00CF193C"/>
    <w:rsid w:val="00D173F1"/>
    <w:rsid w:val="00D73032"/>
    <w:rsid w:val="00D74CB0"/>
    <w:rsid w:val="00D8295D"/>
    <w:rsid w:val="00D86461"/>
    <w:rsid w:val="00DA17AB"/>
    <w:rsid w:val="00DA2B3B"/>
    <w:rsid w:val="00DB3046"/>
    <w:rsid w:val="00DC2A65"/>
    <w:rsid w:val="00DE15F0"/>
    <w:rsid w:val="00DE5663"/>
    <w:rsid w:val="00DE78AA"/>
    <w:rsid w:val="00E053D0"/>
    <w:rsid w:val="00E15994"/>
    <w:rsid w:val="00E3114E"/>
    <w:rsid w:val="00E31A70"/>
    <w:rsid w:val="00E35B02"/>
    <w:rsid w:val="00E624DF"/>
    <w:rsid w:val="00E66496"/>
    <w:rsid w:val="00E66B35"/>
    <w:rsid w:val="00E66E10"/>
    <w:rsid w:val="00E769F6"/>
    <w:rsid w:val="00E82667"/>
    <w:rsid w:val="00E8407C"/>
    <w:rsid w:val="00E84F3C"/>
    <w:rsid w:val="00EA012C"/>
    <w:rsid w:val="00EC6A55"/>
    <w:rsid w:val="00ED0288"/>
    <w:rsid w:val="00ED7213"/>
    <w:rsid w:val="00EE52CB"/>
    <w:rsid w:val="00EF581D"/>
    <w:rsid w:val="00EF7FD8"/>
    <w:rsid w:val="00F06F59"/>
    <w:rsid w:val="00F17988"/>
    <w:rsid w:val="00F37074"/>
    <w:rsid w:val="00F469F0"/>
    <w:rsid w:val="00F53273"/>
    <w:rsid w:val="00F755E4"/>
    <w:rsid w:val="00F77D02"/>
    <w:rsid w:val="00F8329F"/>
    <w:rsid w:val="00FA4DC6"/>
    <w:rsid w:val="00FB3A86"/>
    <w:rsid w:val="00FD36C8"/>
    <w:rsid w:val="00FD5D92"/>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ED2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AE08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60A2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B60A27"/>
    <w:pPr>
      <w:spacing w:after="160" w:line="259" w:lineRule="auto"/>
      <w:ind w:left="720"/>
      <w:contextualSpacing/>
    </w:pPr>
    <w:rPr>
      <w:rFonts w:asciiTheme="minorHAnsi" w:eastAsiaTheme="minorHAnsi" w:hAnsiTheme="minorHAnsi" w:cstheme="minorBidi"/>
      <w:sz w:val="22"/>
      <w:szCs w:val="22"/>
    </w:rPr>
  </w:style>
  <w:style w:type="character" w:customStyle="1" w:styleId="citation-doi">
    <w:name w:val="citation-doi"/>
    <w:basedOn w:val="DefaultParagraphFont"/>
    <w:rsid w:val="00B60A27"/>
  </w:style>
  <w:style w:type="character" w:customStyle="1" w:styleId="value">
    <w:name w:val="value"/>
    <w:basedOn w:val="DefaultParagraphFont"/>
    <w:rsid w:val="00B60A27"/>
  </w:style>
  <w:style w:type="character" w:styleId="UnresolvedMention">
    <w:name w:val="Unresolved Mention"/>
    <w:basedOn w:val="DefaultParagraphFont"/>
    <w:uiPriority w:val="99"/>
    <w:semiHidden/>
    <w:unhideWhenUsed/>
    <w:rsid w:val="00AD2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5603/DK.a2022.0052" TargetMode="External"/><Relationship Id="rId26" Type="http://schemas.openxmlformats.org/officeDocument/2006/relationships/hyperlink" Target="https://doi.org/10.2147/DMSO.S284583" TargetMode="External"/><Relationship Id="rId39" Type="http://schemas.openxmlformats.org/officeDocument/2006/relationships/hyperlink" Target="https://doi.org/10.26355/eurrev_202204_28607" TargetMode="External"/><Relationship Id="rId21" Type="http://schemas.openxmlformats.org/officeDocument/2006/relationships/hyperlink" Target="https://doi.org/10.3390/diagnostics14242777" TargetMode="External"/><Relationship Id="rId34" Type="http://schemas.openxmlformats.org/officeDocument/2006/relationships/hyperlink" Target="https://diabetesatlas.org/" TargetMode="External"/><Relationship Id="rId42" Type="http://schemas.openxmlformats.org/officeDocument/2006/relationships/hyperlink" Target="https://doi.org/10.3389/fendo.2023.1285509" TargetMode="External"/><Relationship Id="rId47" Type="http://schemas.openxmlformats.org/officeDocument/2006/relationships/hyperlink" Target="https://doi.org/10.7759/cureus.44601" TargetMode="External"/><Relationship Id="rId50" Type="http://schemas.openxmlformats.org/officeDocument/2006/relationships/hyperlink" Target="https://doi.org/10.1016/j.dsx.2016.12.021" TargetMode="External"/><Relationship Id="rId55" Type="http://schemas.openxmlformats.org/officeDocument/2006/relationships/hyperlink" Target="https://doi.org/10.18203/2320-6012.ijrms20181964%20" TargetMode="External"/><Relationship Id="rId63" Type="http://schemas.openxmlformats.org/officeDocument/2006/relationships/hyperlink" Target="https://doi.org/10.1186/s13098-020-00562-y" TargetMode="External"/><Relationship Id="rId68" Type="http://schemas.openxmlformats.org/officeDocument/2006/relationships/hyperlink" Target="https://doi.org/10.1016/j.jacc.2018.05.052" TargetMode="Externa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3390/diagnostics11101881" TargetMode="External"/><Relationship Id="rId29" Type="http://schemas.openxmlformats.org/officeDocument/2006/relationships/hyperlink" Target="https://doi.org/10.2147/DMSO.S422373" TargetMode="External"/><Relationship Id="rId11" Type="http://schemas.openxmlformats.org/officeDocument/2006/relationships/footer" Target="footer2.xml"/><Relationship Id="rId24" Type="http://schemas.openxmlformats.org/officeDocument/2006/relationships/hyperlink" Target="https://doi.org/10.1039/an9729700142" TargetMode="External"/><Relationship Id="rId32" Type="http://schemas.openxmlformats.org/officeDocument/2006/relationships/hyperlink" Target="https://doi.org/10.1586/ehm.12.47" TargetMode="External"/><Relationship Id="rId37" Type="http://schemas.openxmlformats.org/officeDocument/2006/relationships/hyperlink" Target="https://doi.org/10.21276/apalm.3155" TargetMode="External"/><Relationship Id="rId40" Type="http://schemas.openxmlformats.org/officeDocument/2006/relationships/hyperlink" Target="https://doi.org/10.1089/dia.2014.0295" TargetMode="External"/><Relationship Id="rId45" Type="http://schemas.openxmlformats.org/officeDocument/2006/relationships/hyperlink" Target="https://doi.org/10.7754/Clin.Lab.2018.180804" TargetMode="External"/><Relationship Id="rId53" Type="http://schemas.openxmlformats.org/officeDocument/2006/relationships/hyperlink" Target="https://doi.org/10.5005/jp-journals-10045-00114" TargetMode="External"/><Relationship Id="rId58" Type="http://schemas.openxmlformats.org/officeDocument/2006/relationships/hyperlink" Target="https://doi.org/10.1007/s11892-016-0727-5" TargetMode="External"/><Relationship Id="rId66" Type="http://schemas.openxmlformats.org/officeDocument/2006/relationships/hyperlink" Target="https://doi.org/10.1016/j.jocn.2021.07.036"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8/s41598-023-43973-3" TargetMode="External"/><Relationship Id="rId23" Type="http://schemas.openxmlformats.org/officeDocument/2006/relationships/hyperlink" Target="https://doi.org/10.26355/eurrev_202201_27750" TargetMode="External"/><Relationship Id="rId28" Type="http://schemas.openxmlformats.org/officeDocument/2006/relationships/hyperlink" Target="https://doi.org/10.1186/s43162-022-00185-x" TargetMode="External"/><Relationship Id="rId36" Type="http://schemas.openxmlformats.org/officeDocument/2006/relationships/hyperlink" Target="https://doi.org/10.1016/j.jocn.2019.01.028" TargetMode="External"/><Relationship Id="rId49" Type="http://schemas.openxmlformats.org/officeDocument/2006/relationships/hyperlink" Target="https://doi.org/10.31744/einstein_journal/2019AO4403" TargetMode="External"/><Relationship Id="rId57" Type="http://schemas.openxmlformats.org/officeDocument/2006/relationships/hyperlink" Target="https://doi.org/10.1007/s10238-018-0538-x" TargetMode="External"/><Relationship Id="rId61" Type="http://schemas.openxmlformats.org/officeDocument/2006/relationships/hyperlink" Target="https://doi.org/10.1016/S0140-6736(20)30925-9" TargetMode="External"/><Relationship Id="rId10" Type="http://schemas.openxmlformats.org/officeDocument/2006/relationships/footer" Target="footer1.xml"/><Relationship Id="rId19" Type="http://schemas.openxmlformats.org/officeDocument/2006/relationships/hyperlink" Target="https://doi.org/10.7759/cureus.68186" TargetMode="External"/><Relationship Id="rId31" Type="http://schemas.openxmlformats.org/officeDocument/2006/relationships/hyperlink" Target="https://www.ncbi.nlm.nih.gov/books/NBK513253/" TargetMode="External"/><Relationship Id="rId44" Type="http://schemas.openxmlformats.org/officeDocument/2006/relationships/hyperlink" Target="https://doi.org/10.1042/BSR20180172" TargetMode="External"/><Relationship Id="rId52" Type="http://schemas.openxmlformats.org/officeDocument/2006/relationships/hyperlink" Target="https://doi.org/10.1055/s-0040-1708738" TargetMode="External"/><Relationship Id="rId60" Type="http://schemas.openxmlformats.org/officeDocument/2006/relationships/hyperlink" Target="https://doi.org/10.1186/s12886-025-04001-2" TargetMode="External"/><Relationship Id="rId65" Type="http://schemas.openxmlformats.org/officeDocument/2006/relationships/hyperlink" Target="https://doi.org/10.1016/j.diabres.2025.11221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144/0256-4947.2007.175" TargetMode="External"/><Relationship Id="rId22" Type="http://schemas.openxmlformats.org/officeDocument/2006/relationships/hyperlink" Target="https://doi.org/10.1590/1806-9282.65.1.38" TargetMode="External"/><Relationship Id="rId27" Type="http://schemas.openxmlformats.org/officeDocument/2006/relationships/hyperlink" Target="https://doi.org/10.36472/msd.v7i2.351" TargetMode="External"/><Relationship Id="rId30" Type="http://schemas.openxmlformats.org/officeDocument/2006/relationships/hyperlink" Target="https://doi.org/10.1002/dmrr.3483" TargetMode="External"/><Relationship Id="rId35" Type="http://schemas.openxmlformats.org/officeDocument/2006/relationships/hyperlink" Target="https://idf.org/our-network/regions-and-members/africa/members/nigeria/" TargetMode="External"/><Relationship Id="rId43" Type="http://schemas.openxmlformats.org/officeDocument/2006/relationships/hyperlink" Target="https://doi.org/10.1016/j.redox.2025.103489" TargetMode="External"/><Relationship Id="rId48" Type="http://schemas.openxmlformats.org/officeDocument/2006/relationships/hyperlink" Target="https://doi.org/10.1016/S0140-6736(10)60550-8" TargetMode="External"/><Relationship Id="rId56" Type="http://schemas.openxmlformats.org/officeDocument/2006/relationships/hyperlink" Target="https://doi.org/10.1007/s00417-024-06569-9" TargetMode="External"/><Relationship Id="rId64" Type="http://schemas.openxmlformats.org/officeDocument/2006/relationships/hyperlink" Target="https://doi.org/10.1155/2021/6656062" TargetMode="External"/><Relationship Id="rId69"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doi.org/10.1507/endocrj.EJ18-0477"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97/MD.0000000000016816" TargetMode="External"/><Relationship Id="rId25" Type="http://schemas.openxmlformats.org/officeDocument/2006/relationships/hyperlink" Target="https://doi.org/10.1016/S0140-6736(20)32374-6" TargetMode="External"/><Relationship Id="rId33" Type="http://schemas.openxmlformats.org/officeDocument/2006/relationships/hyperlink" Target="https://doi.org/10.12669/pjms.336.12900" TargetMode="External"/><Relationship Id="rId38" Type="http://schemas.openxmlformats.org/officeDocument/2006/relationships/hyperlink" Target="https://doi.org/10.5798/dicletip.410811" TargetMode="External"/><Relationship Id="rId46" Type="http://schemas.openxmlformats.org/officeDocument/2006/relationships/hyperlink" Target="https://doi.org/10.1016/j.micron.2017.11.001" TargetMode="External"/><Relationship Id="rId59" Type="http://schemas.openxmlformats.org/officeDocument/2006/relationships/hyperlink" Target="https://doi.org/10.1089/dia.2013.0264" TargetMode="External"/><Relationship Id="rId67" Type="http://schemas.openxmlformats.org/officeDocument/2006/relationships/hyperlink" Target="https://doi.org/10.4149/BLL_2021_078" TargetMode="External"/><Relationship Id="rId20" Type="http://schemas.openxmlformats.org/officeDocument/2006/relationships/hyperlink" Target="https://doi.org/10.2337/dc18-S002" TargetMode="External"/><Relationship Id="rId41" Type="http://schemas.openxmlformats.org/officeDocument/2006/relationships/hyperlink" Target="https://doi.org/10.3389/fendo.2024.1367376" TargetMode="External"/><Relationship Id="rId54" Type="http://schemas.openxmlformats.org/officeDocument/2006/relationships/hyperlink" Target="https://doi.org/10.1016/j.cmet.2013.04.001" TargetMode="External"/><Relationship Id="rId62" Type="http://schemas.openxmlformats.org/officeDocument/2006/relationships/hyperlink" Target="https://doi.org/10.1007/s00421-021-04668-7"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08C6-53AC-491C-B0D1-1672711D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259</TotalTime>
  <Pages>16</Pages>
  <Words>7680</Words>
  <Characters>43779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51357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74</cp:revision>
  <cp:lastPrinted>1999-07-06T11:00:00Z</cp:lastPrinted>
  <dcterms:created xsi:type="dcterms:W3CDTF">2025-06-23T13:04:00Z</dcterms:created>
  <dcterms:modified xsi:type="dcterms:W3CDTF">2025-06-25T10:37:00Z</dcterms:modified>
</cp:coreProperties>
</file>