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04AC4" w14:textId="00C6C8E6" w:rsidR="00055D72" w:rsidRPr="005F5D5A" w:rsidRDefault="005F5D5A" w:rsidP="005F5D5A">
      <w:pPr>
        <w:spacing w:after="0" w:line="360" w:lineRule="auto"/>
        <w:jc w:val="right"/>
        <w:rPr>
          <w:rFonts w:ascii="Arial" w:hAnsi="Arial" w:cs="Arial"/>
          <w:b/>
          <w:i/>
          <w:sz w:val="32"/>
          <w:szCs w:val="24"/>
          <w:u w:val="single"/>
        </w:rPr>
      </w:pPr>
      <w:r w:rsidRPr="005F5D5A">
        <w:rPr>
          <w:rFonts w:ascii="Arial" w:hAnsi="Arial" w:cs="Arial"/>
          <w:b/>
          <w:i/>
          <w:sz w:val="32"/>
          <w:szCs w:val="24"/>
          <w:u w:val="single"/>
        </w:rPr>
        <w:t>Original Research Article</w:t>
      </w:r>
    </w:p>
    <w:p w14:paraId="74A138C9" w14:textId="77777777" w:rsidR="00055D72" w:rsidRDefault="00055D72" w:rsidP="003B7126">
      <w:pPr>
        <w:spacing w:after="0" w:line="240" w:lineRule="auto"/>
        <w:jc w:val="center"/>
        <w:rPr>
          <w:rFonts w:ascii="Arial" w:hAnsi="Arial" w:cs="Arial"/>
          <w:b/>
          <w:sz w:val="36"/>
          <w:szCs w:val="36"/>
          <w:shd w:val="clear" w:color="auto" w:fill="FFFFFF"/>
        </w:rPr>
      </w:pPr>
      <w:r w:rsidRPr="0035150B">
        <w:rPr>
          <w:rFonts w:ascii="Arial" w:hAnsi="Arial" w:cs="Arial"/>
          <w:b/>
          <w:sz w:val="36"/>
          <w:szCs w:val="36"/>
          <w:shd w:val="clear" w:color="auto" w:fill="FFFFFF"/>
        </w:rPr>
        <w:t>Levels of knowledge of vendors and consumers on acrylamide in selected foods vended in informal settlements in Nairobi City County, Kenya</w:t>
      </w:r>
    </w:p>
    <w:p w14:paraId="5DDBF930" w14:textId="77777777" w:rsidR="0035150B" w:rsidRPr="0035150B" w:rsidRDefault="0035150B" w:rsidP="003B7126">
      <w:pPr>
        <w:spacing w:after="0" w:line="240" w:lineRule="auto"/>
        <w:jc w:val="center"/>
        <w:rPr>
          <w:rFonts w:ascii="Arial" w:hAnsi="Arial" w:cs="Arial"/>
          <w:b/>
          <w:sz w:val="36"/>
          <w:szCs w:val="36"/>
          <w:shd w:val="clear" w:color="auto" w:fill="FFFFFF"/>
        </w:rPr>
      </w:pPr>
    </w:p>
    <w:p w14:paraId="4F598BF8" w14:textId="77777777" w:rsidR="00AF314A" w:rsidRPr="0035150B" w:rsidRDefault="00AF314A" w:rsidP="002646BB">
      <w:pPr>
        <w:spacing w:line="240" w:lineRule="auto"/>
        <w:jc w:val="right"/>
        <w:rPr>
          <w:rFonts w:ascii="Arial" w:hAnsi="Arial" w:cs="Arial"/>
          <w:i/>
          <w:iCs/>
          <w:sz w:val="20"/>
          <w:szCs w:val="20"/>
        </w:rPr>
      </w:pPr>
    </w:p>
    <w:p w14:paraId="39752245" w14:textId="77777777" w:rsidR="005F2834" w:rsidRPr="0035150B" w:rsidRDefault="005F2834" w:rsidP="003B7126">
      <w:pPr>
        <w:spacing w:line="240" w:lineRule="auto"/>
        <w:rPr>
          <w:rFonts w:ascii="Arial" w:hAnsi="Arial" w:cs="Arial"/>
          <w:sz w:val="24"/>
          <w:szCs w:val="24"/>
        </w:rPr>
      </w:pPr>
    </w:p>
    <w:p w14:paraId="1AB537B0" w14:textId="77777777" w:rsidR="00055D72" w:rsidRPr="0035150B" w:rsidRDefault="00055D72" w:rsidP="003B7126">
      <w:pPr>
        <w:spacing w:after="0" w:line="240" w:lineRule="auto"/>
        <w:jc w:val="both"/>
        <w:rPr>
          <w:rFonts w:ascii="Arial" w:hAnsi="Arial" w:cs="Arial"/>
          <w:b/>
        </w:rPr>
      </w:pPr>
      <w:r w:rsidRPr="0035150B">
        <w:rPr>
          <w:rFonts w:ascii="Arial" w:hAnsi="Arial" w:cs="Arial"/>
          <w:b/>
        </w:rPr>
        <w:t xml:space="preserve">ABSTRACT </w:t>
      </w:r>
    </w:p>
    <w:p w14:paraId="4BC56C1F" w14:textId="1D42684F" w:rsidR="00CA51AB" w:rsidRPr="0035150B" w:rsidRDefault="00CA51AB" w:rsidP="003B712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themeColor="text1"/>
          <w:sz w:val="20"/>
          <w:szCs w:val="20"/>
          <w:shd w:val="clear" w:color="auto" w:fill="FFFFFF"/>
        </w:rPr>
      </w:pPr>
      <w:r w:rsidRPr="0035150B">
        <w:rPr>
          <w:rFonts w:ascii="Arial" w:hAnsi="Arial" w:cs="Arial"/>
          <w:b/>
          <w:sz w:val="20"/>
          <w:szCs w:val="20"/>
        </w:rPr>
        <w:t xml:space="preserve">Aims: </w:t>
      </w:r>
      <w:r w:rsidRPr="0035150B">
        <w:rPr>
          <w:rFonts w:ascii="Arial" w:hAnsi="Arial" w:cs="Arial"/>
          <w:color w:val="000000" w:themeColor="text1"/>
          <w:sz w:val="20"/>
          <w:szCs w:val="20"/>
          <w:shd w:val="clear" w:color="auto" w:fill="FFFFFF"/>
        </w:rPr>
        <w:t xml:space="preserve">To establish the levels of knowledge of vendors and consumers on acrylamide in selected foods vended in informal settlements </w:t>
      </w:r>
    </w:p>
    <w:p w14:paraId="05C76C4C" w14:textId="5DEF0BA5" w:rsidR="00CA51AB" w:rsidRPr="0035150B" w:rsidRDefault="00CA51AB" w:rsidP="003B7126">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shd w:val="clear" w:color="auto" w:fill="FFFFFF"/>
        </w:rPr>
      </w:pPr>
      <w:r w:rsidRPr="0035150B">
        <w:rPr>
          <w:rFonts w:ascii="Arial" w:hAnsi="Arial" w:cs="Arial"/>
          <w:b/>
          <w:bCs/>
          <w:sz w:val="20"/>
          <w:szCs w:val="20"/>
          <w:shd w:val="clear" w:color="auto" w:fill="FFFFFF"/>
        </w:rPr>
        <w:t>Study design</w:t>
      </w:r>
      <w:r w:rsidRPr="0035150B">
        <w:rPr>
          <w:rFonts w:ascii="Arial" w:hAnsi="Arial" w:cs="Arial"/>
          <w:sz w:val="20"/>
          <w:szCs w:val="20"/>
          <w:shd w:val="clear" w:color="auto" w:fill="FFFFFF"/>
        </w:rPr>
        <w:t xml:space="preserve">: </w:t>
      </w:r>
      <w:r w:rsidRPr="0035150B">
        <w:rPr>
          <w:rFonts w:ascii="Arial" w:hAnsi="Arial" w:cs="Arial"/>
          <w:bCs/>
          <w:sz w:val="20"/>
          <w:szCs w:val="20"/>
        </w:rPr>
        <w:t>Cross-sectional study design</w:t>
      </w:r>
    </w:p>
    <w:p w14:paraId="147BD6B6" w14:textId="1E924B29" w:rsidR="00055D72" w:rsidRPr="0035150B" w:rsidRDefault="00CA51AB" w:rsidP="003B7126">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shd w:val="clear" w:color="auto" w:fill="FFFFFF"/>
        </w:rPr>
      </w:pPr>
      <w:r w:rsidRPr="0035150B">
        <w:rPr>
          <w:rFonts w:ascii="Arial" w:hAnsi="Arial" w:cs="Arial"/>
          <w:b/>
          <w:bCs/>
          <w:sz w:val="20"/>
          <w:szCs w:val="20"/>
          <w:shd w:val="clear" w:color="auto" w:fill="FFFFFF"/>
        </w:rPr>
        <w:t>Place and Duration of Study:</w:t>
      </w:r>
      <w:r w:rsidRPr="0035150B">
        <w:rPr>
          <w:rFonts w:ascii="Arial" w:hAnsi="Arial" w:cs="Arial"/>
          <w:sz w:val="20"/>
          <w:szCs w:val="20"/>
          <w:shd w:val="clear" w:color="auto" w:fill="FFFFFF"/>
        </w:rPr>
        <w:t xml:space="preserve"> </w:t>
      </w:r>
      <w:r w:rsidR="00055D72" w:rsidRPr="0035150B">
        <w:rPr>
          <w:rFonts w:ascii="Arial" w:hAnsi="Arial" w:cs="Arial"/>
          <w:sz w:val="20"/>
          <w:szCs w:val="20"/>
          <w:shd w:val="clear" w:color="auto" w:fill="FFFFFF"/>
        </w:rPr>
        <w:t>Kibera Informal settlements</w:t>
      </w:r>
      <w:r w:rsidR="00607165" w:rsidRPr="0035150B">
        <w:rPr>
          <w:rFonts w:ascii="Arial" w:hAnsi="Arial" w:cs="Arial"/>
          <w:sz w:val="20"/>
          <w:szCs w:val="20"/>
          <w:shd w:val="clear" w:color="auto" w:fill="FFFFFF"/>
        </w:rPr>
        <w:t xml:space="preserve">, </w:t>
      </w:r>
      <w:r w:rsidR="00055D72" w:rsidRPr="0035150B">
        <w:rPr>
          <w:rFonts w:ascii="Arial" w:hAnsi="Arial" w:cs="Arial"/>
          <w:sz w:val="20"/>
          <w:szCs w:val="20"/>
          <w:shd w:val="clear" w:color="auto" w:fill="FFFFFF"/>
        </w:rPr>
        <w:t xml:space="preserve">Nairobi City </w:t>
      </w:r>
      <w:r w:rsidR="00153678" w:rsidRPr="0035150B">
        <w:rPr>
          <w:rFonts w:ascii="Arial" w:hAnsi="Arial" w:cs="Arial"/>
          <w:sz w:val="20"/>
          <w:szCs w:val="20"/>
          <w:shd w:val="clear" w:color="auto" w:fill="FFFFFF"/>
        </w:rPr>
        <w:t>C</w:t>
      </w:r>
      <w:r w:rsidR="00055D72" w:rsidRPr="0035150B">
        <w:rPr>
          <w:rFonts w:ascii="Arial" w:hAnsi="Arial" w:cs="Arial"/>
          <w:sz w:val="20"/>
          <w:szCs w:val="20"/>
          <w:shd w:val="clear" w:color="auto" w:fill="FFFFFF"/>
        </w:rPr>
        <w:t>ounty</w:t>
      </w:r>
      <w:r w:rsidR="00607165" w:rsidRPr="0035150B">
        <w:rPr>
          <w:rFonts w:ascii="Arial" w:hAnsi="Arial" w:cs="Arial"/>
          <w:sz w:val="20"/>
          <w:szCs w:val="20"/>
          <w:shd w:val="clear" w:color="auto" w:fill="FFFFFF"/>
        </w:rPr>
        <w:t xml:space="preserve">, </w:t>
      </w:r>
      <w:r w:rsidR="00AC56D8" w:rsidRPr="0035150B">
        <w:rPr>
          <w:rFonts w:ascii="Arial" w:hAnsi="Arial" w:cs="Arial"/>
          <w:sz w:val="20"/>
          <w:szCs w:val="20"/>
          <w:shd w:val="clear" w:color="auto" w:fill="FFFFFF"/>
        </w:rPr>
        <w:t>May 2021</w:t>
      </w:r>
      <w:r w:rsidR="00055D72" w:rsidRPr="0035150B">
        <w:rPr>
          <w:rFonts w:ascii="Arial" w:hAnsi="Arial" w:cs="Arial"/>
          <w:sz w:val="20"/>
          <w:szCs w:val="20"/>
          <w:shd w:val="clear" w:color="auto" w:fill="FFFFFF"/>
        </w:rPr>
        <w:t>.</w:t>
      </w:r>
    </w:p>
    <w:p w14:paraId="15310460" w14:textId="7FFD39C0" w:rsidR="00055D72" w:rsidRPr="0035150B" w:rsidRDefault="00055D72" w:rsidP="003B712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35150B">
        <w:rPr>
          <w:rFonts w:ascii="Arial" w:hAnsi="Arial" w:cs="Arial"/>
          <w:b/>
          <w:sz w:val="20"/>
          <w:szCs w:val="20"/>
        </w:rPr>
        <w:t>Method</w:t>
      </w:r>
      <w:r w:rsidR="00DC7987" w:rsidRPr="0035150B">
        <w:rPr>
          <w:rFonts w:ascii="Arial" w:hAnsi="Arial" w:cs="Arial"/>
          <w:b/>
          <w:sz w:val="20"/>
          <w:szCs w:val="20"/>
        </w:rPr>
        <w:t xml:space="preserve">ology: </w:t>
      </w:r>
      <w:r w:rsidR="00DC7987" w:rsidRPr="0035150B">
        <w:rPr>
          <w:rFonts w:ascii="Arial" w:hAnsi="Arial" w:cs="Arial"/>
          <w:bCs/>
          <w:sz w:val="20"/>
          <w:szCs w:val="20"/>
        </w:rPr>
        <w:t>Sample: The s</w:t>
      </w:r>
      <w:r w:rsidR="00DC7987" w:rsidRPr="0035150B">
        <w:rPr>
          <w:rFonts w:ascii="Arial" w:hAnsi="Arial" w:cs="Arial"/>
          <w:color w:val="000000" w:themeColor="text1"/>
          <w:sz w:val="20"/>
          <w:szCs w:val="20"/>
          <w:shd w:val="clear" w:color="auto" w:fill="FFFFFF"/>
        </w:rPr>
        <w:t xml:space="preserve">tudy participants included 248 vendors (66 males and 182 females) and 384 consumers (163 males and </w:t>
      </w:r>
      <w:r w:rsidR="00DC7987" w:rsidRPr="0002634B">
        <w:rPr>
          <w:rFonts w:ascii="Arial" w:hAnsi="Arial" w:cs="Arial"/>
          <w:color w:val="000000" w:themeColor="text1"/>
          <w:sz w:val="20"/>
          <w:szCs w:val="20"/>
          <w:shd w:val="clear" w:color="auto" w:fill="FFFFFF"/>
        </w:rPr>
        <w:t xml:space="preserve">221 females) of selected foods </w:t>
      </w:r>
      <w:r w:rsidR="0002634B" w:rsidRPr="0002634B">
        <w:rPr>
          <w:rFonts w:ascii="Arial" w:hAnsi="Arial" w:cs="Arial"/>
          <w:color w:val="000000" w:themeColor="text1"/>
          <w:sz w:val="20"/>
          <w:szCs w:val="20"/>
          <w:shd w:val="clear" w:color="auto" w:fill="FFFFFF"/>
        </w:rPr>
        <w:t xml:space="preserve">(potato </w:t>
      </w:r>
      <w:r w:rsidR="0002634B" w:rsidRPr="0002634B">
        <w:rPr>
          <w:rFonts w:ascii="Arial" w:hAnsi="Arial" w:cs="Arial"/>
          <w:color w:val="000000" w:themeColor="text1"/>
          <w:sz w:val="20"/>
          <w:szCs w:val="20"/>
        </w:rPr>
        <w:t xml:space="preserve">chips, crisps, </w:t>
      </w:r>
      <w:proofErr w:type="spellStart"/>
      <w:r w:rsidR="0002634B" w:rsidRPr="0002634B">
        <w:rPr>
          <w:rFonts w:ascii="Arial" w:hAnsi="Arial" w:cs="Arial"/>
          <w:color w:val="000000" w:themeColor="text1"/>
          <w:sz w:val="20"/>
          <w:szCs w:val="20"/>
        </w:rPr>
        <w:t>bhajia</w:t>
      </w:r>
      <w:proofErr w:type="spellEnd"/>
      <w:r w:rsidR="0002634B" w:rsidRPr="0002634B">
        <w:rPr>
          <w:rFonts w:ascii="Arial" w:hAnsi="Arial" w:cs="Arial"/>
          <w:color w:val="000000" w:themeColor="text1"/>
          <w:sz w:val="20"/>
          <w:szCs w:val="20"/>
        </w:rPr>
        <w:t>, chapatti, mandazi, samosa and coffee</w:t>
      </w:r>
      <w:r w:rsidR="0002634B" w:rsidRPr="0002634B">
        <w:rPr>
          <w:rFonts w:ascii="Arial" w:hAnsi="Arial" w:cs="Arial"/>
          <w:color w:val="000000" w:themeColor="text1"/>
          <w:sz w:val="20"/>
          <w:szCs w:val="20"/>
          <w:shd w:val="clear" w:color="auto" w:fill="FFFFFF"/>
        </w:rPr>
        <w:t xml:space="preserve">) </w:t>
      </w:r>
      <w:r w:rsidR="00DC7987" w:rsidRPr="0002634B">
        <w:rPr>
          <w:rFonts w:ascii="Arial" w:hAnsi="Arial" w:cs="Arial"/>
          <w:color w:val="000000" w:themeColor="text1"/>
          <w:sz w:val="20"/>
          <w:szCs w:val="20"/>
          <w:shd w:val="clear" w:color="auto" w:fill="FFFFFF"/>
        </w:rPr>
        <w:t xml:space="preserve">who were recruited using convenience. Theye were aged 18 years and above. </w:t>
      </w:r>
      <w:r w:rsidR="00E04AD7" w:rsidRPr="0002634B">
        <w:rPr>
          <w:rFonts w:ascii="Arial" w:hAnsi="Arial" w:cs="Arial"/>
          <w:color w:val="000000" w:themeColor="text1"/>
          <w:sz w:val="20"/>
          <w:szCs w:val="20"/>
          <w:shd w:val="clear" w:color="auto" w:fill="FFFFFF"/>
        </w:rPr>
        <w:t>Sampling techniques: Purposive sampling</w:t>
      </w:r>
      <w:r w:rsidR="00E04AD7" w:rsidRPr="0035150B">
        <w:rPr>
          <w:rFonts w:ascii="Arial" w:hAnsi="Arial" w:cs="Arial"/>
          <w:color w:val="000000" w:themeColor="text1"/>
          <w:sz w:val="20"/>
          <w:szCs w:val="20"/>
          <w:shd w:val="clear" w:color="auto" w:fill="FFFFFF"/>
        </w:rPr>
        <w:t xml:space="preserve"> was done for the County, random sampling for the villages and convenience sampling for the respondents. Data collection tool: </w:t>
      </w:r>
      <w:r w:rsidR="00E04AD7" w:rsidRPr="0035150B">
        <w:rPr>
          <w:rFonts w:ascii="Arial" w:hAnsi="Arial" w:cs="Arial"/>
          <w:sz w:val="20"/>
          <w:szCs w:val="20"/>
        </w:rPr>
        <w:t xml:space="preserve">Researcher administered </w:t>
      </w:r>
      <w:r w:rsidRPr="0035150B">
        <w:rPr>
          <w:rFonts w:ascii="Arial" w:hAnsi="Arial" w:cs="Arial"/>
          <w:sz w:val="20"/>
          <w:szCs w:val="20"/>
        </w:rPr>
        <w:t>questionnaire</w:t>
      </w:r>
      <w:r w:rsidR="00E04AD7" w:rsidRPr="0035150B">
        <w:rPr>
          <w:rFonts w:ascii="Arial" w:hAnsi="Arial" w:cs="Arial"/>
          <w:sz w:val="20"/>
          <w:szCs w:val="20"/>
        </w:rPr>
        <w:t>. Data analysis:</w:t>
      </w:r>
      <w:r w:rsidRPr="0035150B">
        <w:rPr>
          <w:rFonts w:ascii="Arial" w:hAnsi="Arial" w:cs="Arial"/>
          <w:sz w:val="20"/>
          <w:szCs w:val="20"/>
        </w:rPr>
        <w:t xml:space="preserve"> SPSS version 20 was used for data entry and analysis. Pearson’s chi square tests were done to check for the necessary associations.</w:t>
      </w:r>
    </w:p>
    <w:p w14:paraId="493AE9A4" w14:textId="534DBF84" w:rsidR="00055D72" w:rsidRPr="0035150B" w:rsidRDefault="00055D72" w:rsidP="003B712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shd w:val="clear" w:color="auto" w:fill="FFFFFF"/>
        </w:rPr>
      </w:pPr>
      <w:r w:rsidRPr="0035150B">
        <w:rPr>
          <w:rFonts w:ascii="Arial" w:hAnsi="Arial" w:cs="Arial"/>
          <w:b/>
          <w:sz w:val="20"/>
          <w:szCs w:val="20"/>
        </w:rPr>
        <w:t>Results</w:t>
      </w:r>
      <w:r w:rsidR="00BF5DB0" w:rsidRPr="0035150B">
        <w:rPr>
          <w:rFonts w:ascii="Arial" w:hAnsi="Arial" w:cs="Arial"/>
          <w:b/>
          <w:sz w:val="20"/>
          <w:szCs w:val="20"/>
        </w:rPr>
        <w:t xml:space="preserve">: </w:t>
      </w:r>
      <w:r w:rsidRPr="0035150B">
        <w:rPr>
          <w:rFonts w:ascii="Arial" w:hAnsi="Arial" w:cs="Arial"/>
          <w:sz w:val="20"/>
          <w:szCs w:val="20"/>
          <w:shd w:val="clear" w:color="auto" w:fill="FFFFFF"/>
        </w:rPr>
        <w:t xml:space="preserve">Most (72.2%) of the vendors and most (63.5%) of the consumers had poor knowledge on acrylamide. The mean knowledge of both the vendors and the consumers was poor at 25.8% and 27.2%, respectively. Pearson’s chi square test showed statistically significant association between knowledge levels and the perception of acrylamide as a human health concern by the respondents; vendors </w:t>
      </w:r>
      <w:r w:rsidR="00BF5DB0" w:rsidRPr="0035150B">
        <w:rPr>
          <w:rStyle w:val="markedcontent"/>
          <w:rFonts w:ascii="Arial" w:hAnsi="Arial" w:cs="Arial"/>
          <w:sz w:val="20"/>
          <w:szCs w:val="20"/>
        </w:rPr>
        <w:t>(</w:t>
      </w:r>
      <w:r w:rsidR="00333526" w:rsidRPr="00333526">
        <w:rPr>
          <w:rStyle w:val="markedcontent"/>
          <w:rFonts w:ascii="Arial" w:hAnsi="Arial" w:cs="Arial"/>
          <w:i/>
          <w:iCs/>
          <w:sz w:val="20"/>
          <w:szCs w:val="20"/>
        </w:rPr>
        <w:t>P</w:t>
      </w:r>
      <w:r w:rsidRPr="0035150B">
        <w:rPr>
          <w:rStyle w:val="markedcontent"/>
          <w:rFonts w:ascii="Arial" w:hAnsi="Arial" w:cs="Arial"/>
          <w:sz w:val="20"/>
          <w:szCs w:val="20"/>
        </w:rPr>
        <w:t>=</w:t>
      </w:r>
      <w:r w:rsidR="00333526">
        <w:rPr>
          <w:rStyle w:val="markedcontent"/>
          <w:rFonts w:ascii="Arial" w:hAnsi="Arial" w:cs="Arial"/>
          <w:sz w:val="20"/>
          <w:szCs w:val="20"/>
        </w:rPr>
        <w:t xml:space="preserve"> </w:t>
      </w:r>
      <w:r w:rsidRPr="0035150B">
        <w:rPr>
          <w:rStyle w:val="markedcontent"/>
          <w:rFonts w:ascii="Arial" w:hAnsi="Arial" w:cs="Arial"/>
          <w:sz w:val="20"/>
          <w:szCs w:val="20"/>
        </w:rPr>
        <w:t>.00</w:t>
      </w:r>
      <w:r w:rsidR="00716C0C">
        <w:rPr>
          <w:rStyle w:val="markedcontent"/>
          <w:rFonts w:ascii="Arial" w:hAnsi="Arial" w:cs="Arial"/>
          <w:sz w:val="20"/>
          <w:szCs w:val="20"/>
        </w:rPr>
        <w:t>1</w:t>
      </w:r>
      <w:r w:rsidR="00BF5DB0" w:rsidRPr="0035150B">
        <w:rPr>
          <w:rStyle w:val="markedcontent"/>
          <w:rFonts w:ascii="Arial" w:hAnsi="Arial" w:cs="Arial"/>
          <w:sz w:val="20"/>
          <w:szCs w:val="20"/>
        </w:rPr>
        <w:t>)</w:t>
      </w:r>
      <w:r w:rsidRPr="0035150B">
        <w:rPr>
          <w:rStyle w:val="markedcontent"/>
          <w:rFonts w:ascii="Arial" w:hAnsi="Arial" w:cs="Arial"/>
          <w:sz w:val="20"/>
          <w:szCs w:val="20"/>
        </w:rPr>
        <w:t xml:space="preserve"> and consumers </w:t>
      </w:r>
      <w:r w:rsidR="00BF5DB0" w:rsidRPr="0035150B">
        <w:rPr>
          <w:rStyle w:val="markedcontent"/>
          <w:rFonts w:ascii="Arial" w:hAnsi="Arial" w:cs="Arial"/>
          <w:sz w:val="20"/>
          <w:szCs w:val="20"/>
        </w:rPr>
        <w:t>(</w:t>
      </w:r>
      <w:r w:rsidR="00333526" w:rsidRPr="00333526">
        <w:rPr>
          <w:rStyle w:val="markedcontent"/>
          <w:rFonts w:ascii="Arial" w:hAnsi="Arial" w:cs="Arial"/>
          <w:i/>
          <w:iCs/>
          <w:sz w:val="20"/>
          <w:szCs w:val="20"/>
        </w:rPr>
        <w:t>P</w:t>
      </w:r>
      <w:r w:rsidRPr="0035150B">
        <w:rPr>
          <w:rStyle w:val="markedcontent"/>
          <w:rFonts w:ascii="Arial" w:hAnsi="Arial" w:cs="Arial"/>
          <w:sz w:val="20"/>
          <w:szCs w:val="20"/>
        </w:rPr>
        <w:t>=</w:t>
      </w:r>
      <w:r w:rsidR="00333526">
        <w:rPr>
          <w:rStyle w:val="markedcontent"/>
          <w:rFonts w:ascii="Arial" w:hAnsi="Arial" w:cs="Arial"/>
          <w:sz w:val="20"/>
          <w:szCs w:val="20"/>
        </w:rPr>
        <w:t xml:space="preserve"> </w:t>
      </w:r>
      <w:r w:rsidRPr="0035150B">
        <w:rPr>
          <w:rStyle w:val="markedcontent"/>
          <w:rFonts w:ascii="Arial" w:hAnsi="Arial" w:cs="Arial"/>
          <w:sz w:val="20"/>
          <w:szCs w:val="20"/>
        </w:rPr>
        <w:t>.00</w:t>
      </w:r>
      <w:r w:rsidR="00716C0C">
        <w:rPr>
          <w:rStyle w:val="markedcontent"/>
          <w:rFonts w:ascii="Arial" w:hAnsi="Arial" w:cs="Arial"/>
          <w:sz w:val="20"/>
          <w:szCs w:val="20"/>
        </w:rPr>
        <w:t>1</w:t>
      </w:r>
      <w:r w:rsidR="00BF5DB0" w:rsidRPr="0035150B">
        <w:rPr>
          <w:rStyle w:val="markedcontent"/>
          <w:rFonts w:ascii="Arial" w:hAnsi="Arial" w:cs="Arial"/>
          <w:sz w:val="20"/>
          <w:szCs w:val="20"/>
        </w:rPr>
        <w:t>)</w:t>
      </w:r>
      <w:r w:rsidRPr="0035150B">
        <w:rPr>
          <w:rStyle w:val="markedcontent"/>
          <w:rFonts w:ascii="Arial" w:hAnsi="Arial" w:cs="Arial"/>
          <w:sz w:val="20"/>
          <w:szCs w:val="20"/>
        </w:rPr>
        <w:t>.</w:t>
      </w:r>
    </w:p>
    <w:p w14:paraId="5C7989E7" w14:textId="7EA51FBB" w:rsidR="00055D72" w:rsidRPr="0035150B" w:rsidRDefault="00055D72" w:rsidP="003B7126">
      <w:pPr>
        <w:pBdr>
          <w:top w:val="single" w:sz="4" w:space="1" w:color="auto"/>
          <w:left w:val="single" w:sz="4" w:space="4" w:color="auto"/>
          <w:bottom w:val="single" w:sz="4" w:space="1" w:color="auto"/>
          <w:right w:val="single" w:sz="4" w:space="4" w:color="auto"/>
        </w:pBdr>
        <w:spacing w:before="240" w:line="240" w:lineRule="auto"/>
        <w:jc w:val="both"/>
        <w:rPr>
          <w:rFonts w:ascii="Arial" w:hAnsi="Arial" w:cs="Arial"/>
          <w:sz w:val="20"/>
          <w:szCs w:val="20"/>
          <w:shd w:val="clear" w:color="auto" w:fill="FFFFFF"/>
        </w:rPr>
      </w:pPr>
      <w:r w:rsidRPr="0035150B">
        <w:rPr>
          <w:rFonts w:ascii="Arial" w:hAnsi="Arial" w:cs="Arial"/>
          <w:b/>
          <w:sz w:val="20"/>
          <w:szCs w:val="20"/>
        </w:rPr>
        <w:t>Conclusion</w:t>
      </w:r>
      <w:r w:rsidR="002E71AB" w:rsidRPr="0035150B">
        <w:rPr>
          <w:rFonts w:ascii="Arial" w:hAnsi="Arial" w:cs="Arial"/>
          <w:b/>
          <w:sz w:val="20"/>
          <w:szCs w:val="20"/>
        </w:rPr>
        <w:t xml:space="preserve">: </w:t>
      </w:r>
      <w:r w:rsidRPr="0035150B">
        <w:rPr>
          <w:rFonts w:ascii="Arial" w:hAnsi="Arial" w:cs="Arial"/>
          <w:sz w:val="20"/>
          <w:szCs w:val="20"/>
          <w:shd w:val="clear" w:color="auto" w:fill="FFFFFF"/>
        </w:rPr>
        <w:t xml:space="preserve">The mean knowledge level for the respondents </w:t>
      </w:r>
      <w:r w:rsidR="006C462B" w:rsidRPr="0035150B">
        <w:rPr>
          <w:rFonts w:ascii="Arial" w:hAnsi="Arial" w:cs="Arial"/>
          <w:sz w:val="20"/>
          <w:szCs w:val="20"/>
          <w:shd w:val="clear" w:color="auto" w:fill="FFFFFF"/>
        </w:rPr>
        <w:t xml:space="preserve">on acrylamide </w:t>
      </w:r>
      <w:r w:rsidRPr="0035150B">
        <w:rPr>
          <w:rFonts w:ascii="Arial" w:hAnsi="Arial" w:cs="Arial"/>
          <w:sz w:val="20"/>
          <w:szCs w:val="20"/>
          <w:shd w:val="clear" w:color="auto" w:fill="FFFFFF"/>
        </w:rPr>
        <w:t xml:space="preserve">was poor. Hence, there’s need to educate vendors and consumers on acrylamide formation, mitigation and health risks associated with exposure to it. </w:t>
      </w:r>
    </w:p>
    <w:p w14:paraId="3DAC375D" w14:textId="6CE9EEDC" w:rsidR="00055D72" w:rsidRPr="0035150B" w:rsidRDefault="00055D72" w:rsidP="003B7126">
      <w:pPr>
        <w:spacing w:line="240" w:lineRule="auto"/>
        <w:rPr>
          <w:rFonts w:ascii="Arial" w:hAnsi="Arial" w:cs="Arial"/>
          <w:b/>
          <w:i/>
          <w:iCs/>
          <w:sz w:val="20"/>
          <w:szCs w:val="20"/>
        </w:rPr>
      </w:pPr>
      <w:r w:rsidRPr="0035150B">
        <w:rPr>
          <w:rFonts w:ascii="Arial" w:hAnsi="Arial" w:cs="Arial"/>
          <w:bCs/>
          <w:i/>
          <w:iCs/>
          <w:sz w:val="20"/>
          <w:szCs w:val="20"/>
        </w:rPr>
        <w:t>Keywords:</w:t>
      </w:r>
      <w:r w:rsidRPr="0035150B">
        <w:rPr>
          <w:rFonts w:ascii="Arial" w:hAnsi="Arial" w:cs="Arial"/>
          <w:b/>
          <w:i/>
          <w:iCs/>
          <w:sz w:val="20"/>
          <w:szCs w:val="20"/>
        </w:rPr>
        <w:t xml:space="preserve"> </w:t>
      </w:r>
      <w:r w:rsidR="00604FC5" w:rsidRPr="0035150B">
        <w:rPr>
          <w:rFonts w:ascii="Arial" w:hAnsi="Arial" w:cs="Arial"/>
          <w:bCs/>
          <w:i/>
          <w:iCs/>
          <w:sz w:val="20"/>
          <w:szCs w:val="20"/>
        </w:rPr>
        <w:t xml:space="preserve">Acrylamide, </w:t>
      </w:r>
      <w:r w:rsidR="006D1FC2" w:rsidRPr="0035150B">
        <w:rPr>
          <w:rFonts w:ascii="Arial" w:hAnsi="Arial" w:cs="Arial"/>
          <w:bCs/>
          <w:i/>
          <w:iCs/>
          <w:sz w:val="20"/>
          <w:szCs w:val="20"/>
        </w:rPr>
        <w:t xml:space="preserve">acrylamide formation, </w:t>
      </w:r>
      <w:r w:rsidR="006D1FC2" w:rsidRPr="0035150B">
        <w:rPr>
          <w:rFonts w:ascii="Arial" w:hAnsi="Arial" w:cs="Arial"/>
          <w:i/>
          <w:iCs/>
          <w:sz w:val="20"/>
          <w:szCs w:val="20"/>
          <w:shd w:val="clear" w:color="auto" w:fill="FFFFFF"/>
        </w:rPr>
        <w:t xml:space="preserve">Maillard reaction, </w:t>
      </w:r>
      <w:r w:rsidR="00D23864">
        <w:rPr>
          <w:rFonts w:ascii="Arial" w:hAnsi="Arial" w:cs="Arial"/>
          <w:i/>
          <w:iCs/>
          <w:sz w:val="20"/>
          <w:szCs w:val="20"/>
          <w:shd w:val="clear" w:color="auto" w:fill="FFFFFF"/>
        </w:rPr>
        <w:t xml:space="preserve">Plant-based, </w:t>
      </w:r>
      <w:r w:rsidR="00604FC5" w:rsidRPr="0035150B">
        <w:rPr>
          <w:rFonts w:ascii="Arial" w:hAnsi="Arial" w:cs="Arial"/>
          <w:bCs/>
          <w:i/>
          <w:iCs/>
          <w:sz w:val="20"/>
          <w:szCs w:val="20"/>
        </w:rPr>
        <w:t>Vendors, Consumers, Knowledge</w:t>
      </w:r>
      <w:r w:rsidR="006D1FC2" w:rsidRPr="0035150B">
        <w:rPr>
          <w:rFonts w:ascii="Arial" w:hAnsi="Arial" w:cs="Arial"/>
          <w:bCs/>
          <w:i/>
          <w:iCs/>
          <w:sz w:val="20"/>
          <w:szCs w:val="20"/>
        </w:rPr>
        <w:t xml:space="preserve"> levels </w:t>
      </w:r>
    </w:p>
    <w:p w14:paraId="0E315252" w14:textId="77777777" w:rsidR="00B86D1A" w:rsidRDefault="00B86D1A" w:rsidP="003B7126">
      <w:pPr>
        <w:spacing w:line="240" w:lineRule="auto"/>
        <w:jc w:val="both"/>
        <w:rPr>
          <w:rFonts w:ascii="Arial" w:hAnsi="Arial" w:cs="Arial"/>
          <w:b/>
          <w:sz w:val="24"/>
          <w:szCs w:val="24"/>
        </w:rPr>
      </w:pPr>
    </w:p>
    <w:p w14:paraId="12D4B977" w14:textId="77EC4203" w:rsidR="00055D72" w:rsidRPr="00AE0FCE" w:rsidRDefault="00055D72" w:rsidP="003B7126">
      <w:pPr>
        <w:spacing w:line="240" w:lineRule="auto"/>
        <w:jc w:val="both"/>
        <w:rPr>
          <w:rFonts w:ascii="Arial" w:hAnsi="Arial" w:cs="Arial"/>
          <w:b/>
        </w:rPr>
      </w:pPr>
      <w:r w:rsidRPr="00AE0FCE">
        <w:rPr>
          <w:rFonts w:ascii="Arial" w:hAnsi="Arial" w:cs="Arial"/>
          <w:b/>
        </w:rPr>
        <w:t>INTRODUCTION</w:t>
      </w:r>
    </w:p>
    <w:p w14:paraId="05DBB312" w14:textId="77777777" w:rsidR="00055D72" w:rsidRPr="002B7912" w:rsidRDefault="00055D72" w:rsidP="003B7126">
      <w:pPr>
        <w:spacing w:line="240" w:lineRule="auto"/>
        <w:jc w:val="both"/>
        <w:rPr>
          <w:rFonts w:ascii="Arial" w:hAnsi="Arial" w:cs="Arial"/>
          <w:sz w:val="20"/>
          <w:szCs w:val="20"/>
          <w:shd w:val="clear" w:color="auto" w:fill="FFFFFF"/>
        </w:rPr>
      </w:pPr>
      <w:r w:rsidRPr="002B7912">
        <w:rPr>
          <w:rFonts w:ascii="Arial" w:hAnsi="Arial" w:cs="Arial"/>
          <w:sz w:val="20"/>
          <w:szCs w:val="20"/>
          <w:shd w:val="clear" w:color="auto" w:fill="FFFFFF"/>
        </w:rPr>
        <w:t xml:space="preserve">Acrylamide is a colorless and odorless substance classified as a genotoxin and a Group 2A carcinogen (IARC, 1994; </w:t>
      </w:r>
      <w:proofErr w:type="spellStart"/>
      <w:r w:rsidRPr="002B7912">
        <w:rPr>
          <w:rFonts w:ascii="Arial" w:hAnsi="Arial" w:cs="Arial"/>
          <w:sz w:val="20"/>
          <w:szCs w:val="20"/>
          <w:shd w:val="clear" w:color="auto" w:fill="FFFFFF"/>
        </w:rPr>
        <w:t>Favinha</w:t>
      </w:r>
      <w:proofErr w:type="spellEnd"/>
      <w:r w:rsidRPr="002B7912">
        <w:rPr>
          <w:rFonts w:ascii="Arial" w:hAnsi="Arial" w:cs="Arial"/>
          <w:sz w:val="20"/>
          <w:szCs w:val="20"/>
          <w:shd w:val="clear" w:color="auto" w:fill="FFFFFF"/>
        </w:rPr>
        <w:t xml:space="preserve"> </w:t>
      </w:r>
      <w:r w:rsidRPr="002B7912">
        <w:rPr>
          <w:rFonts w:ascii="Arial" w:hAnsi="Arial" w:cs="Arial"/>
          <w:i/>
          <w:sz w:val="20"/>
          <w:szCs w:val="20"/>
          <w:shd w:val="clear" w:color="auto" w:fill="FFFFFF"/>
        </w:rPr>
        <w:t>et al.,</w:t>
      </w:r>
      <w:r w:rsidRPr="002B7912">
        <w:rPr>
          <w:rFonts w:ascii="Arial" w:hAnsi="Arial" w:cs="Arial"/>
          <w:sz w:val="20"/>
          <w:szCs w:val="20"/>
          <w:shd w:val="clear" w:color="auto" w:fill="FFFFFF"/>
        </w:rPr>
        <w:t xml:space="preserve"> 2020). It is a compound that has been used over the years in textile industries, paper making, and cosmetics and as a flocculant in water treatment. Workers in such industries who are exposed to high levels of acrylamide are at risk of its adverse health effects (</w:t>
      </w:r>
      <w:proofErr w:type="spellStart"/>
      <w:r w:rsidRPr="002B7912">
        <w:rPr>
          <w:rFonts w:ascii="Arial" w:hAnsi="Arial" w:cs="Arial"/>
          <w:sz w:val="20"/>
          <w:szCs w:val="20"/>
          <w:shd w:val="clear" w:color="auto" w:fill="FFFFFF"/>
        </w:rPr>
        <w:t>Borda</w:t>
      </w:r>
      <w:proofErr w:type="spellEnd"/>
      <w:r w:rsidRPr="002B7912">
        <w:rPr>
          <w:rFonts w:ascii="Arial" w:hAnsi="Arial" w:cs="Arial"/>
          <w:sz w:val="20"/>
          <w:szCs w:val="20"/>
          <w:shd w:val="clear" w:color="auto" w:fill="FFFFFF"/>
        </w:rPr>
        <w:t xml:space="preserve"> and </w:t>
      </w:r>
      <w:proofErr w:type="spellStart"/>
      <w:r w:rsidRPr="002B7912">
        <w:rPr>
          <w:rFonts w:ascii="Arial" w:hAnsi="Arial" w:cs="Arial"/>
          <w:sz w:val="20"/>
          <w:szCs w:val="20"/>
          <w:shd w:val="clear" w:color="auto" w:fill="FFFFFF"/>
        </w:rPr>
        <w:t>Alexe</w:t>
      </w:r>
      <w:proofErr w:type="spellEnd"/>
      <w:r w:rsidRPr="002B7912">
        <w:rPr>
          <w:rFonts w:ascii="Arial" w:hAnsi="Arial" w:cs="Arial"/>
          <w:sz w:val="20"/>
          <w:szCs w:val="20"/>
          <w:shd w:val="clear" w:color="auto" w:fill="FFFFFF"/>
        </w:rPr>
        <w:t xml:space="preserve">, 2011; </w:t>
      </w:r>
      <w:proofErr w:type="spellStart"/>
      <w:r w:rsidRPr="002B7912">
        <w:rPr>
          <w:rFonts w:ascii="Arial" w:hAnsi="Arial" w:cs="Arial"/>
          <w:sz w:val="20"/>
          <w:szCs w:val="20"/>
          <w:shd w:val="clear" w:color="auto" w:fill="FFFFFF"/>
        </w:rPr>
        <w:t>Ubaoji</w:t>
      </w:r>
      <w:proofErr w:type="spellEnd"/>
      <w:r w:rsidRPr="002B7912">
        <w:rPr>
          <w:rFonts w:ascii="Arial" w:hAnsi="Arial" w:cs="Arial"/>
          <w:sz w:val="20"/>
          <w:szCs w:val="20"/>
          <w:shd w:val="clear" w:color="auto" w:fill="FFFFFF"/>
        </w:rPr>
        <w:t xml:space="preserve"> and Orji, 2016). Acrylamide is a potential carcinogen, genotoxin and a neurotoxin to anyone exposed to it (Adani </w:t>
      </w:r>
      <w:r w:rsidRPr="002B7912">
        <w:rPr>
          <w:rFonts w:ascii="Arial" w:hAnsi="Arial" w:cs="Arial"/>
          <w:i/>
          <w:sz w:val="20"/>
          <w:szCs w:val="20"/>
          <w:shd w:val="clear" w:color="auto" w:fill="FFFFFF"/>
        </w:rPr>
        <w:t>et al</w:t>
      </w:r>
      <w:r w:rsidRPr="002B7912">
        <w:rPr>
          <w:rFonts w:ascii="Arial" w:hAnsi="Arial" w:cs="Arial"/>
          <w:sz w:val="20"/>
          <w:szCs w:val="20"/>
          <w:shd w:val="clear" w:color="auto" w:fill="FFFFFF"/>
        </w:rPr>
        <w:t xml:space="preserve">., 2020; EFSA, 2015; </w:t>
      </w:r>
      <w:proofErr w:type="spellStart"/>
      <w:r w:rsidRPr="002B7912">
        <w:rPr>
          <w:rFonts w:ascii="Arial" w:hAnsi="Arial" w:cs="Arial"/>
          <w:sz w:val="20"/>
          <w:szCs w:val="20"/>
        </w:rPr>
        <w:t>Murkovic</w:t>
      </w:r>
      <w:proofErr w:type="spellEnd"/>
      <w:r w:rsidRPr="002B7912">
        <w:rPr>
          <w:rFonts w:ascii="Arial" w:hAnsi="Arial" w:cs="Arial"/>
          <w:sz w:val="20"/>
          <w:szCs w:val="20"/>
        </w:rPr>
        <w:t xml:space="preserve">, 2019; </w:t>
      </w:r>
      <w:proofErr w:type="spellStart"/>
      <w:r w:rsidRPr="002B7912">
        <w:rPr>
          <w:rFonts w:ascii="Arial" w:hAnsi="Arial" w:cs="Arial"/>
          <w:sz w:val="20"/>
          <w:szCs w:val="20"/>
          <w:shd w:val="clear" w:color="auto" w:fill="FFFFFF"/>
        </w:rPr>
        <w:t>Ubaoji</w:t>
      </w:r>
      <w:proofErr w:type="spellEnd"/>
      <w:r w:rsidRPr="002B7912">
        <w:rPr>
          <w:rFonts w:ascii="Arial" w:hAnsi="Arial" w:cs="Arial"/>
          <w:sz w:val="20"/>
          <w:szCs w:val="20"/>
          <w:shd w:val="clear" w:color="auto" w:fill="FFFFFF"/>
        </w:rPr>
        <w:t xml:space="preserve"> and Orji, 2016). These health issues contribute largely to the disease burden in the world (WHO, 2020). </w:t>
      </w:r>
    </w:p>
    <w:p w14:paraId="02E786CC" w14:textId="66715075" w:rsidR="00B95D3C" w:rsidRPr="006C284D" w:rsidRDefault="00055D72" w:rsidP="006C284D">
      <w:pPr>
        <w:spacing w:line="240" w:lineRule="auto"/>
        <w:jc w:val="both"/>
        <w:rPr>
          <w:rFonts w:ascii="Arial" w:hAnsi="Arial" w:cs="Arial"/>
          <w:sz w:val="20"/>
          <w:szCs w:val="20"/>
          <w:shd w:val="clear" w:color="auto" w:fill="FFFFFF"/>
        </w:rPr>
      </w:pPr>
      <w:r w:rsidRPr="00B95D3C">
        <w:rPr>
          <w:rFonts w:ascii="Arial" w:hAnsi="Arial" w:cs="Arial"/>
          <w:sz w:val="20"/>
          <w:szCs w:val="20"/>
          <w:shd w:val="clear" w:color="auto" w:fill="FFFFFF"/>
        </w:rPr>
        <w:t xml:space="preserve">In food, acrylamide forms naturally when reducing sugars react with an amino acid, asparagine, in a chemical process known as the Maillard reaction (EFSA, 2015; </w:t>
      </w:r>
      <w:proofErr w:type="spellStart"/>
      <w:r w:rsidRPr="00B95D3C">
        <w:rPr>
          <w:rFonts w:ascii="Arial" w:hAnsi="Arial" w:cs="Arial"/>
          <w:sz w:val="20"/>
          <w:szCs w:val="20"/>
        </w:rPr>
        <w:t>Hamzalıoglu</w:t>
      </w:r>
      <w:proofErr w:type="spellEnd"/>
      <w:r w:rsidRPr="00B95D3C">
        <w:rPr>
          <w:rFonts w:ascii="Arial" w:hAnsi="Arial" w:cs="Arial"/>
          <w:sz w:val="20"/>
          <w:szCs w:val="20"/>
        </w:rPr>
        <w:t xml:space="preserve"> </w:t>
      </w:r>
      <w:r w:rsidRPr="00B95D3C">
        <w:rPr>
          <w:rFonts w:ascii="Arial" w:hAnsi="Arial" w:cs="Arial"/>
          <w:i/>
          <w:sz w:val="20"/>
          <w:szCs w:val="20"/>
        </w:rPr>
        <w:t>et al.</w:t>
      </w:r>
      <w:r w:rsidRPr="00B95D3C">
        <w:rPr>
          <w:rFonts w:ascii="Arial" w:hAnsi="Arial" w:cs="Arial"/>
          <w:i/>
          <w:sz w:val="20"/>
          <w:szCs w:val="20"/>
          <w:shd w:val="clear" w:color="auto" w:fill="FFFFFF"/>
        </w:rPr>
        <w:t>,</w:t>
      </w:r>
      <w:r w:rsidRPr="00B95D3C">
        <w:rPr>
          <w:rFonts w:ascii="Arial" w:hAnsi="Arial" w:cs="Arial"/>
          <w:sz w:val="20"/>
          <w:szCs w:val="20"/>
          <w:shd w:val="clear" w:color="auto" w:fill="FFFFFF"/>
        </w:rPr>
        <w:t xml:space="preserve"> 2019; </w:t>
      </w:r>
      <w:proofErr w:type="spellStart"/>
      <w:r w:rsidRPr="00B95D3C">
        <w:rPr>
          <w:rFonts w:ascii="Arial" w:hAnsi="Arial" w:cs="Arial"/>
          <w:sz w:val="20"/>
          <w:szCs w:val="20"/>
        </w:rPr>
        <w:t>Murkovic</w:t>
      </w:r>
      <w:proofErr w:type="spellEnd"/>
      <w:r w:rsidRPr="00B95D3C">
        <w:rPr>
          <w:rFonts w:ascii="Arial" w:hAnsi="Arial" w:cs="Arial"/>
          <w:sz w:val="20"/>
          <w:szCs w:val="20"/>
        </w:rPr>
        <w:t>, 2019</w:t>
      </w:r>
      <w:r w:rsidRPr="00B95D3C">
        <w:rPr>
          <w:rFonts w:ascii="Arial" w:hAnsi="Arial" w:cs="Arial"/>
          <w:sz w:val="20"/>
          <w:szCs w:val="20"/>
          <w:shd w:val="clear" w:color="auto" w:fill="FFFFFF"/>
        </w:rPr>
        <w:t>). It is primarily synthesized when such food is prepared under temperatures above 120</w:t>
      </w:r>
      <w:r w:rsidRPr="00B95D3C">
        <w:rPr>
          <w:rFonts w:ascii="Arial" w:hAnsi="Arial" w:cs="Arial"/>
          <w:sz w:val="20"/>
          <w:szCs w:val="20"/>
          <w:shd w:val="clear" w:color="auto" w:fill="FFFFFF"/>
          <w:vertAlign w:val="superscript"/>
        </w:rPr>
        <w:t>o</w:t>
      </w:r>
      <w:r w:rsidRPr="00B95D3C">
        <w:rPr>
          <w:rFonts w:ascii="Arial" w:hAnsi="Arial" w:cs="Arial"/>
          <w:sz w:val="20"/>
          <w:szCs w:val="20"/>
          <w:shd w:val="clear" w:color="auto" w:fill="FFFFFF"/>
        </w:rPr>
        <w:t xml:space="preserve"> Celsius with minimal moisture (FDA, 2016). High heat cooking methods include frying, roasting, grilling or baking. Typically cooking processes such as steaming and boiling do not lead to acrylamide formation (Adani </w:t>
      </w:r>
      <w:r w:rsidRPr="00B95D3C">
        <w:rPr>
          <w:rFonts w:ascii="Arial" w:hAnsi="Arial" w:cs="Arial"/>
          <w:i/>
          <w:sz w:val="20"/>
          <w:szCs w:val="20"/>
          <w:shd w:val="clear" w:color="auto" w:fill="FFFFFF"/>
        </w:rPr>
        <w:t>et al</w:t>
      </w:r>
      <w:r w:rsidRPr="00B95D3C">
        <w:rPr>
          <w:rFonts w:ascii="Arial" w:hAnsi="Arial" w:cs="Arial"/>
          <w:sz w:val="20"/>
          <w:szCs w:val="20"/>
          <w:shd w:val="clear" w:color="auto" w:fill="FFFFFF"/>
        </w:rPr>
        <w:t xml:space="preserve">., 2020). </w:t>
      </w:r>
      <w:r w:rsidR="00B95D3C" w:rsidRPr="00B95D3C">
        <w:rPr>
          <w:rFonts w:ascii="Arial" w:hAnsi="Arial" w:cs="Arial"/>
          <w:color w:val="000000" w:themeColor="text1"/>
          <w:sz w:val="20"/>
          <w:szCs w:val="20"/>
          <w:shd w:val="clear" w:color="auto" w:fill="FFFFFF"/>
        </w:rPr>
        <w:t>In a Spanish household study on acrylamide formation prevention, households upheld most of the mitigation measures recommended for the mitigation of acrylamide formation when preparing chips. However, about 81% of the households were not aware of the recommended maximum temperature of 175</w:t>
      </w:r>
      <w:r w:rsidR="00B95D3C" w:rsidRPr="00B95D3C">
        <w:rPr>
          <w:rFonts w:ascii="Arial" w:hAnsi="Arial" w:cs="Arial"/>
          <w:color w:val="000000" w:themeColor="text1"/>
          <w:sz w:val="20"/>
          <w:szCs w:val="20"/>
          <w:shd w:val="clear" w:color="auto" w:fill="FFFFFF"/>
          <w:vertAlign w:val="superscript"/>
        </w:rPr>
        <w:t>o</w:t>
      </w:r>
      <w:r w:rsidR="00B95D3C" w:rsidRPr="00B95D3C">
        <w:rPr>
          <w:rFonts w:ascii="Arial" w:hAnsi="Arial" w:cs="Arial"/>
          <w:color w:val="000000" w:themeColor="text1"/>
          <w:sz w:val="20"/>
          <w:szCs w:val="20"/>
          <w:shd w:val="clear" w:color="auto" w:fill="FFFFFF"/>
        </w:rPr>
        <w:t xml:space="preserve">C for prevention of acrylamide formation during cooking (EC, </w:t>
      </w:r>
      <w:r w:rsidR="00B95D3C" w:rsidRPr="00B95D3C">
        <w:rPr>
          <w:rFonts w:ascii="Arial" w:hAnsi="Arial" w:cs="Arial"/>
          <w:color w:val="000000" w:themeColor="text1"/>
          <w:sz w:val="20"/>
          <w:szCs w:val="20"/>
          <w:shd w:val="clear" w:color="auto" w:fill="FFFFFF"/>
        </w:rPr>
        <w:lastRenderedPageBreak/>
        <w:t xml:space="preserve">2017/2158/EU; Mesias </w:t>
      </w:r>
      <w:r w:rsidR="00B95D3C" w:rsidRPr="00B95D3C">
        <w:rPr>
          <w:rFonts w:ascii="Arial" w:hAnsi="Arial" w:cs="Arial"/>
          <w:i/>
          <w:color w:val="000000" w:themeColor="text1"/>
          <w:sz w:val="20"/>
          <w:szCs w:val="20"/>
          <w:shd w:val="clear" w:color="auto" w:fill="FFFFFF"/>
        </w:rPr>
        <w:t>et al.,</w:t>
      </w:r>
      <w:r w:rsidR="00B95D3C" w:rsidRPr="00B95D3C">
        <w:rPr>
          <w:rFonts w:ascii="Arial" w:hAnsi="Arial" w:cs="Arial"/>
          <w:color w:val="000000" w:themeColor="text1"/>
          <w:sz w:val="20"/>
          <w:szCs w:val="20"/>
          <w:shd w:val="clear" w:color="auto" w:fill="FFFFFF"/>
        </w:rPr>
        <w:t xml:space="preserve"> 2020). According to </w:t>
      </w:r>
      <w:r w:rsidR="00B95D3C" w:rsidRPr="00B95D3C">
        <w:rPr>
          <w:rFonts w:ascii="Arial" w:hAnsi="Arial" w:cs="Arial"/>
          <w:color w:val="000000" w:themeColor="text1"/>
          <w:sz w:val="20"/>
          <w:szCs w:val="20"/>
        </w:rPr>
        <w:t xml:space="preserve">Constantinides </w:t>
      </w:r>
      <w:r w:rsidR="00B95D3C" w:rsidRPr="00B95D3C">
        <w:rPr>
          <w:rFonts w:ascii="Arial" w:hAnsi="Arial" w:cs="Arial"/>
          <w:i/>
          <w:color w:val="000000" w:themeColor="text1"/>
          <w:sz w:val="20"/>
          <w:szCs w:val="20"/>
        </w:rPr>
        <w:t>et al.</w:t>
      </w:r>
      <w:r w:rsidR="00B95D3C" w:rsidRPr="00B95D3C">
        <w:rPr>
          <w:rFonts w:ascii="Arial" w:hAnsi="Arial" w:cs="Arial"/>
          <w:color w:val="000000" w:themeColor="text1"/>
          <w:sz w:val="20"/>
          <w:szCs w:val="20"/>
        </w:rPr>
        <w:t xml:space="preserve"> (2021), knowledge is one of the key factors that </w:t>
      </w:r>
      <w:r w:rsidR="00B95D3C" w:rsidRPr="006C284D">
        <w:rPr>
          <w:rFonts w:ascii="Arial" w:hAnsi="Arial" w:cs="Arial"/>
          <w:color w:val="000000" w:themeColor="text1"/>
          <w:sz w:val="20"/>
          <w:szCs w:val="20"/>
        </w:rPr>
        <w:t>influence food related decisions of individuals. Based on understanding of certain food aspects, consumers decide on the foods to buy and consume and also on which sources to buy from.</w:t>
      </w:r>
    </w:p>
    <w:p w14:paraId="58716CCA" w14:textId="47BD21BE" w:rsidR="00055D72" w:rsidRPr="006C284D" w:rsidRDefault="00055D72" w:rsidP="006C284D">
      <w:pPr>
        <w:spacing w:line="240" w:lineRule="auto"/>
        <w:jc w:val="both"/>
        <w:rPr>
          <w:rFonts w:ascii="Arial" w:hAnsi="Arial" w:cs="Arial"/>
          <w:sz w:val="20"/>
          <w:szCs w:val="20"/>
          <w:shd w:val="clear" w:color="auto" w:fill="FFFFFF"/>
        </w:rPr>
      </w:pPr>
      <w:r w:rsidRPr="006C284D">
        <w:rPr>
          <w:rFonts w:ascii="Arial" w:hAnsi="Arial" w:cs="Arial"/>
          <w:sz w:val="20"/>
          <w:szCs w:val="20"/>
          <w:shd w:val="clear" w:color="auto" w:fill="FFFFFF"/>
        </w:rPr>
        <w:t>In developing countries, awareness on health risks associated with acrylamide exposure is very low (Rifai and Saleh, 2020). In Kenya, from the limited data on acrylamide, little is known about acrylamide in food by both the vendors and the consumers (</w:t>
      </w:r>
      <w:proofErr w:type="spellStart"/>
      <w:r w:rsidRPr="006C284D">
        <w:rPr>
          <w:rFonts w:ascii="Arial" w:hAnsi="Arial" w:cs="Arial"/>
          <w:sz w:val="20"/>
          <w:szCs w:val="20"/>
          <w:shd w:val="clear" w:color="auto" w:fill="FFFFFF"/>
        </w:rPr>
        <w:t>Mainya</w:t>
      </w:r>
      <w:proofErr w:type="spellEnd"/>
      <w:r w:rsidRPr="006C284D">
        <w:rPr>
          <w:rFonts w:ascii="Arial" w:hAnsi="Arial" w:cs="Arial"/>
          <w:sz w:val="20"/>
          <w:szCs w:val="20"/>
          <w:shd w:val="clear" w:color="auto" w:fill="FFFFFF"/>
        </w:rPr>
        <w:t xml:space="preserve"> </w:t>
      </w:r>
      <w:r w:rsidRPr="006C284D">
        <w:rPr>
          <w:rFonts w:ascii="Arial" w:hAnsi="Arial" w:cs="Arial"/>
          <w:i/>
          <w:sz w:val="20"/>
          <w:szCs w:val="20"/>
          <w:shd w:val="clear" w:color="auto" w:fill="FFFFFF"/>
        </w:rPr>
        <w:t>et al.,</w:t>
      </w:r>
      <w:r w:rsidRPr="006C284D">
        <w:rPr>
          <w:rFonts w:ascii="Arial" w:hAnsi="Arial" w:cs="Arial"/>
          <w:sz w:val="20"/>
          <w:szCs w:val="20"/>
          <w:shd w:val="clear" w:color="auto" w:fill="FFFFFF"/>
        </w:rPr>
        <w:t xml:space="preserve"> 2020). </w:t>
      </w:r>
      <w:r w:rsidR="00594840" w:rsidRPr="006C284D">
        <w:rPr>
          <w:rFonts w:ascii="Arial" w:hAnsi="Arial" w:cs="Arial"/>
          <w:sz w:val="20"/>
          <w:szCs w:val="20"/>
          <w:shd w:val="clear" w:color="auto" w:fill="FFFFFF"/>
        </w:rPr>
        <w:t>Regardless, in</w:t>
      </w:r>
      <w:r w:rsidR="009F3C59" w:rsidRPr="006C284D">
        <w:rPr>
          <w:rFonts w:ascii="Arial" w:hAnsi="Arial" w:cs="Arial"/>
          <w:color w:val="000000" w:themeColor="text1"/>
          <w:sz w:val="20"/>
          <w:szCs w:val="20"/>
          <w:shd w:val="clear" w:color="auto" w:fill="FFFFFF"/>
        </w:rPr>
        <w:t xml:space="preserve"> Nairobi informal settlements, potato fried products such as crisps and chips and wheat- based products (chapatti, mandazi and related products) cooked under high temperatures are among the most vended cooked food (Owuor </w:t>
      </w:r>
      <w:r w:rsidR="009F3C59" w:rsidRPr="006C284D">
        <w:rPr>
          <w:rFonts w:ascii="Arial" w:hAnsi="Arial" w:cs="Arial"/>
          <w:i/>
          <w:color w:val="000000" w:themeColor="text1"/>
          <w:sz w:val="20"/>
          <w:szCs w:val="20"/>
          <w:shd w:val="clear" w:color="auto" w:fill="FFFFFF"/>
        </w:rPr>
        <w:t>et al.,</w:t>
      </w:r>
      <w:r w:rsidR="009F3C59" w:rsidRPr="006C284D">
        <w:rPr>
          <w:rFonts w:ascii="Arial" w:hAnsi="Arial" w:cs="Arial"/>
          <w:color w:val="000000" w:themeColor="text1"/>
          <w:sz w:val="20"/>
          <w:szCs w:val="20"/>
          <w:shd w:val="clear" w:color="auto" w:fill="FFFFFF"/>
        </w:rPr>
        <w:t xml:space="preserve"> 2017). These food items, including coffee, are the major contributors of dietary acrylamide. </w:t>
      </w:r>
      <w:r w:rsidRPr="006C284D">
        <w:rPr>
          <w:rFonts w:ascii="Arial" w:hAnsi="Arial" w:cs="Arial"/>
          <w:sz w:val="20"/>
          <w:szCs w:val="20"/>
          <w:shd w:val="clear" w:color="auto" w:fill="FFFFFF"/>
        </w:rPr>
        <w:t>Therefore, there is a major gap in dietary acrylamide knowledge regarding occurrence, health risk and its reduction.</w:t>
      </w:r>
      <w:r w:rsidR="00D23864" w:rsidRPr="006C284D">
        <w:rPr>
          <w:rFonts w:ascii="Arial" w:hAnsi="Arial" w:cs="Arial"/>
          <w:sz w:val="20"/>
          <w:szCs w:val="20"/>
          <w:shd w:val="clear" w:color="auto" w:fill="FFFFFF"/>
        </w:rPr>
        <w:t xml:space="preserve"> The study sought to establish the knowledge of vendors and consumers on acrylamide in selected plant-based foods associated acrylamide.</w:t>
      </w:r>
    </w:p>
    <w:p w14:paraId="12676484" w14:textId="77777777" w:rsidR="00055D72" w:rsidRPr="00AE0FCE" w:rsidRDefault="00055D72" w:rsidP="0094521C">
      <w:pPr>
        <w:spacing w:line="240" w:lineRule="auto"/>
        <w:jc w:val="both"/>
        <w:rPr>
          <w:rFonts w:ascii="Arial" w:hAnsi="Arial" w:cs="Arial"/>
          <w:b/>
        </w:rPr>
      </w:pPr>
      <w:r w:rsidRPr="00AE0FCE">
        <w:rPr>
          <w:rFonts w:ascii="Arial" w:hAnsi="Arial" w:cs="Arial"/>
          <w:b/>
        </w:rPr>
        <w:t>MATERIALS AND METHODS</w:t>
      </w:r>
    </w:p>
    <w:p w14:paraId="6FDEC3B9" w14:textId="5BBC2A83" w:rsidR="00335C24" w:rsidRPr="002B7912" w:rsidRDefault="003E3C88" w:rsidP="003B7126">
      <w:pPr>
        <w:spacing w:line="240" w:lineRule="auto"/>
        <w:jc w:val="both"/>
        <w:rPr>
          <w:rFonts w:ascii="Arial" w:hAnsi="Arial" w:cs="Arial"/>
          <w:color w:val="000000" w:themeColor="text1"/>
          <w:sz w:val="20"/>
          <w:szCs w:val="20"/>
          <w:shd w:val="clear" w:color="auto" w:fill="FFFFFF"/>
        </w:rPr>
      </w:pPr>
      <w:r w:rsidRPr="002B7912">
        <w:rPr>
          <w:rFonts w:ascii="Arial" w:hAnsi="Arial" w:cs="Arial"/>
          <w:color w:val="000000" w:themeColor="text1"/>
          <w:sz w:val="20"/>
          <w:szCs w:val="20"/>
          <w:shd w:val="clear" w:color="auto" w:fill="FFFFFF"/>
        </w:rPr>
        <w:t xml:space="preserve">The study design used was </w:t>
      </w:r>
      <w:r w:rsidR="00335C24" w:rsidRPr="002B7912">
        <w:rPr>
          <w:rFonts w:ascii="Arial" w:hAnsi="Arial" w:cs="Arial"/>
          <w:color w:val="000000" w:themeColor="text1"/>
          <w:sz w:val="20"/>
          <w:szCs w:val="20"/>
          <w:shd w:val="clear" w:color="auto" w:fill="FFFFFF"/>
        </w:rPr>
        <w:t>cross-sectional</w:t>
      </w:r>
      <w:r w:rsidR="008311A9" w:rsidRPr="002B7912">
        <w:rPr>
          <w:rFonts w:ascii="Arial" w:hAnsi="Arial" w:cs="Arial"/>
          <w:color w:val="000000" w:themeColor="text1"/>
          <w:sz w:val="20"/>
          <w:szCs w:val="20"/>
          <w:shd w:val="clear" w:color="auto" w:fill="FFFFFF"/>
        </w:rPr>
        <w:t xml:space="preserve"> which </w:t>
      </w:r>
      <w:r w:rsidR="00335C24" w:rsidRPr="002B7912">
        <w:rPr>
          <w:rFonts w:ascii="Arial" w:hAnsi="Arial" w:cs="Arial"/>
          <w:color w:val="000000" w:themeColor="text1"/>
          <w:sz w:val="20"/>
          <w:szCs w:val="20"/>
          <w:shd w:val="clear" w:color="auto" w:fill="FFFFFF"/>
        </w:rPr>
        <w:t>is important in gathering data from participants at a point in time (</w:t>
      </w:r>
      <w:r w:rsidR="00102A1B" w:rsidRPr="002B7912">
        <w:rPr>
          <w:rFonts w:ascii="Arial" w:hAnsi="Arial" w:cs="Arial"/>
          <w:color w:val="000000" w:themeColor="text1"/>
          <w:sz w:val="20"/>
          <w:szCs w:val="20"/>
          <w:shd w:val="clear" w:color="auto" w:fill="FFFFFF"/>
        </w:rPr>
        <w:t xml:space="preserve">Mugenda &amp; Mugenda 2003; </w:t>
      </w:r>
      <w:r w:rsidR="00335C24" w:rsidRPr="002B7912">
        <w:rPr>
          <w:rFonts w:ascii="Arial" w:hAnsi="Arial" w:cs="Arial"/>
          <w:color w:val="000000" w:themeColor="text1"/>
          <w:sz w:val="20"/>
          <w:szCs w:val="20"/>
          <w:shd w:val="clear" w:color="auto" w:fill="FFFFFF"/>
        </w:rPr>
        <w:t>Schmidt &amp; Brown, 2021).</w:t>
      </w:r>
      <w:r w:rsidR="00722308" w:rsidRPr="002B7912">
        <w:rPr>
          <w:rFonts w:ascii="Arial" w:hAnsi="Arial" w:cs="Arial"/>
          <w:color w:val="000000" w:themeColor="text1"/>
          <w:sz w:val="20"/>
          <w:szCs w:val="20"/>
          <w:shd w:val="clear" w:color="auto" w:fill="FFFFFF"/>
        </w:rPr>
        <w:t xml:space="preserve"> </w:t>
      </w:r>
      <w:r w:rsidR="00335C24" w:rsidRPr="002B7912">
        <w:rPr>
          <w:rFonts w:ascii="Arial" w:hAnsi="Arial" w:cs="Arial"/>
          <w:color w:val="000000" w:themeColor="text1"/>
          <w:sz w:val="20"/>
          <w:szCs w:val="20"/>
          <w:shd w:val="clear" w:color="auto" w:fill="FFFFFF"/>
        </w:rPr>
        <w:t>It was relevant in collecti</w:t>
      </w:r>
      <w:r w:rsidR="00102A1B" w:rsidRPr="002B7912">
        <w:rPr>
          <w:rFonts w:ascii="Arial" w:hAnsi="Arial" w:cs="Arial"/>
          <w:color w:val="000000" w:themeColor="text1"/>
          <w:sz w:val="20"/>
          <w:szCs w:val="20"/>
          <w:shd w:val="clear" w:color="auto" w:fill="FFFFFF"/>
        </w:rPr>
        <w:t>ng data</w:t>
      </w:r>
      <w:r w:rsidR="00335C24" w:rsidRPr="002B7912">
        <w:rPr>
          <w:rFonts w:ascii="Arial" w:hAnsi="Arial" w:cs="Arial"/>
          <w:color w:val="000000" w:themeColor="text1"/>
          <w:sz w:val="20"/>
          <w:szCs w:val="20"/>
          <w:shd w:val="clear" w:color="auto" w:fill="FFFFFF"/>
        </w:rPr>
        <w:t xml:space="preserve"> </w:t>
      </w:r>
      <w:r w:rsidR="00102A1B" w:rsidRPr="002B7912">
        <w:rPr>
          <w:rFonts w:ascii="Arial" w:hAnsi="Arial" w:cs="Arial"/>
          <w:color w:val="000000" w:themeColor="text1"/>
          <w:sz w:val="20"/>
          <w:szCs w:val="20"/>
          <w:shd w:val="clear" w:color="auto" w:fill="FFFFFF"/>
        </w:rPr>
        <w:t xml:space="preserve">on knowledge </w:t>
      </w:r>
      <w:r w:rsidR="00335C24" w:rsidRPr="002B7912">
        <w:rPr>
          <w:rFonts w:ascii="Arial" w:hAnsi="Arial" w:cs="Arial"/>
          <w:color w:val="000000" w:themeColor="text1"/>
          <w:sz w:val="20"/>
          <w:szCs w:val="20"/>
          <w:shd w:val="clear" w:color="auto" w:fill="FFFFFF"/>
        </w:rPr>
        <w:t xml:space="preserve">of </w:t>
      </w:r>
      <w:r w:rsidR="00F039ED" w:rsidRPr="002B7912">
        <w:rPr>
          <w:rFonts w:ascii="Arial" w:hAnsi="Arial" w:cs="Arial"/>
          <w:color w:val="000000" w:themeColor="text1"/>
          <w:sz w:val="20"/>
          <w:szCs w:val="20"/>
          <w:shd w:val="clear" w:color="auto" w:fill="FFFFFF"/>
        </w:rPr>
        <w:t xml:space="preserve">vendors and </w:t>
      </w:r>
      <w:r w:rsidR="00102A1B" w:rsidRPr="002B7912">
        <w:rPr>
          <w:rFonts w:ascii="Arial" w:hAnsi="Arial" w:cs="Arial"/>
          <w:color w:val="000000" w:themeColor="text1"/>
          <w:sz w:val="20"/>
          <w:szCs w:val="20"/>
          <w:shd w:val="clear" w:color="auto" w:fill="FFFFFF"/>
        </w:rPr>
        <w:t>consumers</w:t>
      </w:r>
      <w:r w:rsidR="00F039ED" w:rsidRPr="002B7912">
        <w:rPr>
          <w:rFonts w:ascii="Arial" w:hAnsi="Arial" w:cs="Arial"/>
          <w:color w:val="000000" w:themeColor="text1"/>
          <w:sz w:val="20"/>
          <w:szCs w:val="20"/>
          <w:shd w:val="clear" w:color="auto" w:fill="FFFFFF"/>
        </w:rPr>
        <w:t xml:space="preserve"> </w:t>
      </w:r>
      <w:r w:rsidR="00335C24" w:rsidRPr="002B7912">
        <w:rPr>
          <w:rFonts w:ascii="Arial" w:hAnsi="Arial" w:cs="Arial"/>
          <w:color w:val="000000" w:themeColor="text1"/>
          <w:sz w:val="20"/>
          <w:szCs w:val="20"/>
          <w:shd w:val="clear" w:color="auto" w:fill="FFFFFF"/>
        </w:rPr>
        <w:t>o</w:t>
      </w:r>
      <w:r w:rsidR="006F18D6" w:rsidRPr="002B7912">
        <w:rPr>
          <w:rFonts w:ascii="Arial" w:hAnsi="Arial" w:cs="Arial"/>
          <w:color w:val="000000" w:themeColor="text1"/>
          <w:sz w:val="20"/>
          <w:szCs w:val="20"/>
          <w:shd w:val="clear" w:color="auto" w:fill="FFFFFF"/>
        </w:rPr>
        <w:t>n</w:t>
      </w:r>
      <w:r w:rsidR="00335C24" w:rsidRPr="002B7912">
        <w:rPr>
          <w:rFonts w:ascii="Arial" w:hAnsi="Arial" w:cs="Arial"/>
          <w:color w:val="000000" w:themeColor="text1"/>
          <w:sz w:val="20"/>
          <w:szCs w:val="20"/>
          <w:shd w:val="clear" w:color="auto" w:fill="FFFFFF"/>
        </w:rPr>
        <w:t xml:space="preserve"> acrylamide</w:t>
      </w:r>
      <w:r w:rsidR="00102A1B" w:rsidRPr="002B7912">
        <w:rPr>
          <w:rFonts w:ascii="Arial" w:hAnsi="Arial" w:cs="Arial"/>
          <w:color w:val="000000" w:themeColor="text1"/>
          <w:sz w:val="20"/>
          <w:szCs w:val="20"/>
          <w:shd w:val="clear" w:color="auto" w:fill="FFFFFF"/>
        </w:rPr>
        <w:t xml:space="preserve">. </w:t>
      </w:r>
    </w:p>
    <w:p w14:paraId="2DF68C12" w14:textId="06319650" w:rsidR="00055D72" w:rsidRPr="002B7912" w:rsidRDefault="00055D72" w:rsidP="003B7126">
      <w:pPr>
        <w:spacing w:line="240" w:lineRule="auto"/>
        <w:jc w:val="both"/>
        <w:rPr>
          <w:rFonts w:ascii="Arial" w:hAnsi="Arial" w:cs="Arial"/>
          <w:sz w:val="20"/>
          <w:szCs w:val="20"/>
          <w:shd w:val="clear" w:color="auto" w:fill="FFFFFF"/>
        </w:rPr>
      </w:pPr>
      <w:r w:rsidRPr="002B7912">
        <w:rPr>
          <w:rFonts w:ascii="Arial" w:hAnsi="Arial" w:cs="Arial"/>
          <w:sz w:val="20"/>
          <w:szCs w:val="20"/>
          <w:shd w:val="clear" w:color="auto" w:fill="FFFFFF"/>
        </w:rPr>
        <w:t>The study was conducted in Kibera informal settlement in Nairobi City County. It lies within geographical coordinates 1</w:t>
      </w:r>
      <w:r w:rsidRPr="002B7912">
        <w:rPr>
          <w:rFonts w:ascii="Arial" w:hAnsi="Arial" w:cs="Arial"/>
          <w:sz w:val="20"/>
          <w:szCs w:val="20"/>
          <w:shd w:val="clear" w:color="auto" w:fill="FFFFFF"/>
          <w:vertAlign w:val="superscript"/>
        </w:rPr>
        <w:t>o</w:t>
      </w:r>
      <w:r w:rsidRPr="002B7912">
        <w:rPr>
          <w:rFonts w:ascii="Arial" w:hAnsi="Arial" w:cs="Arial"/>
          <w:sz w:val="20"/>
          <w:szCs w:val="20"/>
          <w:shd w:val="clear" w:color="auto" w:fill="FFFFFF"/>
        </w:rPr>
        <w:t>19’0” South and 36</w:t>
      </w:r>
      <w:r w:rsidRPr="002B7912">
        <w:rPr>
          <w:rFonts w:ascii="Arial" w:hAnsi="Arial" w:cs="Arial"/>
          <w:sz w:val="20"/>
          <w:szCs w:val="20"/>
          <w:shd w:val="clear" w:color="auto" w:fill="FFFFFF"/>
          <w:vertAlign w:val="superscript"/>
        </w:rPr>
        <w:t>o</w:t>
      </w:r>
      <w:r w:rsidRPr="002B7912">
        <w:rPr>
          <w:rFonts w:ascii="Arial" w:hAnsi="Arial" w:cs="Arial"/>
          <w:sz w:val="20"/>
          <w:szCs w:val="20"/>
          <w:shd w:val="clear" w:color="auto" w:fill="FFFFFF"/>
        </w:rPr>
        <w:t xml:space="preserve">47’0” East. About two thirds (60%) of the population of Nairobi city county resides in informal settlements. The study area was selected because Kibera is the largest informal settlement in Kenya (UN-HABITAT, 2020). </w:t>
      </w:r>
    </w:p>
    <w:p w14:paraId="4DF208FD" w14:textId="73E0C260" w:rsidR="00055D72" w:rsidRPr="002B7912" w:rsidRDefault="00055D72" w:rsidP="006B4118">
      <w:pPr>
        <w:spacing w:line="240" w:lineRule="auto"/>
        <w:jc w:val="both"/>
        <w:rPr>
          <w:rFonts w:ascii="Arial" w:hAnsi="Arial" w:cs="Arial"/>
          <w:sz w:val="20"/>
          <w:szCs w:val="20"/>
        </w:rPr>
      </w:pPr>
      <w:r w:rsidRPr="002B7912">
        <w:rPr>
          <w:rFonts w:ascii="Arial" w:hAnsi="Arial" w:cs="Arial"/>
          <w:sz w:val="20"/>
          <w:szCs w:val="20"/>
        </w:rPr>
        <w:t>In this study</w:t>
      </w:r>
      <w:r w:rsidR="00335C24" w:rsidRPr="002B7912">
        <w:rPr>
          <w:rFonts w:ascii="Arial" w:hAnsi="Arial" w:cs="Arial"/>
          <w:sz w:val="20"/>
          <w:szCs w:val="20"/>
        </w:rPr>
        <w:t xml:space="preserve">, </w:t>
      </w:r>
      <w:r w:rsidRPr="002B7912">
        <w:rPr>
          <w:rFonts w:ascii="Arial" w:hAnsi="Arial" w:cs="Arial"/>
          <w:sz w:val="20"/>
          <w:szCs w:val="20"/>
        </w:rPr>
        <w:t>convenience sampling was used to collect primary data</w:t>
      </w:r>
      <w:r w:rsidR="00947060" w:rsidRPr="002B7912">
        <w:rPr>
          <w:rFonts w:ascii="Arial" w:hAnsi="Arial" w:cs="Arial"/>
          <w:sz w:val="20"/>
          <w:szCs w:val="20"/>
        </w:rPr>
        <w:t>. This was</w:t>
      </w:r>
      <w:r w:rsidRPr="002B7912">
        <w:rPr>
          <w:rFonts w:ascii="Arial" w:hAnsi="Arial" w:cs="Arial"/>
          <w:sz w:val="20"/>
          <w:szCs w:val="20"/>
        </w:rPr>
        <w:t xml:space="preserve"> after purposive sampling and simple random sampling were used to select the study areas. It was done sequentially across four levels of hierarchy. To improve representativeness, data was collected by using twelve research assistants collecting data at different locations, on different days and at different times of the day (Stratton, 2021). The respondents included a total of 248 adult vendors and 384 adult consumers. The questionnaire included demographic profile of respondents and questions on knowledge on acrylamide among others. </w:t>
      </w:r>
    </w:p>
    <w:p w14:paraId="4F14C6A8" w14:textId="0CD4A99C" w:rsidR="00553067" w:rsidRPr="002B7912" w:rsidRDefault="00055D72" w:rsidP="003B7126">
      <w:pPr>
        <w:spacing w:after="240" w:line="240" w:lineRule="auto"/>
        <w:jc w:val="both"/>
        <w:rPr>
          <w:rFonts w:ascii="Arial" w:hAnsi="Arial" w:cs="Arial"/>
          <w:sz w:val="20"/>
          <w:szCs w:val="20"/>
          <w:shd w:val="clear" w:color="auto" w:fill="FFFFFF"/>
        </w:rPr>
      </w:pPr>
      <w:r w:rsidRPr="002B7912">
        <w:rPr>
          <w:rFonts w:ascii="Arial" w:hAnsi="Arial" w:cs="Arial"/>
          <w:sz w:val="20"/>
          <w:szCs w:val="20"/>
          <w:shd w:val="clear" w:color="auto" w:fill="FFFFFF"/>
        </w:rPr>
        <w:t>Respondents were asked 5 (five) points-</w:t>
      </w:r>
      <w:proofErr w:type="spellStart"/>
      <w:r w:rsidRPr="002B7912">
        <w:rPr>
          <w:rFonts w:ascii="Arial" w:hAnsi="Arial" w:cs="Arial"/>
          <w:sz w:val="20"/>
          <w:szCs w:val="20"/>
          <w:shd w:val="clear" w:color="auto" w:fill="FFFFFF"/>
        </w:rPr>
        <w:t>likert</w:t>
      </w:r>
      <w:proofErr w:type="spellEnd"/>
      <w:r w:rsidRPr="002B7912">
        <w:rPr>
          <w:rFonts w:ascii="Arial" w:hAnsi="Arial" w:cs="Arial"/>
          <w:sz w:val="20"/>
          <w:szCs w:val="20"/>
          <w:shd w:val="clear" w:color="auto" w:fill="FFFFFF"/>
        </w:rPr>
        <w:t xml:space="preserve"> scale (strongly agree-5 points, Agree- 4 points, </w:t>
      </w:r>
      <w:proofErr w:type="gramStart"/>
      <w:r w:rsidRPr="002B7912">
        <w:rPr>
          <w:rFonts w:ascii="Arial" w:hAnsi="Arial" w:cs="Arial"/>
          <w:sz w:val="20"/>
          <w:szCs w:val="20"/>
          <w:shd w:val="clear" w:color="auto" w:fill="FFFFFF"/>
        </w:rPr>
        <w:t>No</w:t>
      </w:r>
      <w:proofErr w:type="gramEnd"/>
      <w:r w:rsidRPr="002B7912">
        <w:rPr>
          <w:rFonts w:ascii="Arial" w:hAnsi="Arial" w:cs="Arial"/>
          <w:sz w:val="20"/>
          <w:szCs w:val="20"/>
          <w:shd w:val="clear" w:color="auto" w:fill="FFFFFF"/>
        </w:rPr>
        <w:t xml:space="preserve"> opinion- 3 points, Disagree- 2 points and strongly disagree- 1 point) questions to estimate knowledge levels of respondents on acrylamide. The knowledge questions were 12 (twelve) in number. </w:t>
      </w:r>
      <w:r w:rsidR="00905DE6" w:rsidRPr="002B7912">
        <w:rPr>
          <w:rFonts w:ascii="Arial" w:hAnsi="Arial" w:cs="Arial"/>
          <w:sz w:val="20"/>
          <w:szCs w:val="20"/>
          <w:shd w:val="clear" w:color="auto" w:fill="FFFFFF"/>
        </w:rPr>
        <w:t xml:space="preserve">Knowledge categories included poor (0-50% score), intermediate (51-70% score) and high (71-100% score) (Yusof </w:t>
      </w:r>
      <w:r w:rsidR="00905DE6" w:rsidRPr="002B7912">
        <w:rPr>
          <w:rFonts w:ascii="Arial" w:hAnsi="Arial" w:cs="Arial"/>
          <w:i/>
          <w:sz w:val="20"/>
          <w:szCs w:val="20"/>
          <w:shd w:val="clear" w:color="auto" w:fill="FFFFFF"/>
        </w:rPr>
        <w:t>et al</w:t>
      </w:r>
      <w:r w:rsidR="00905DE6" w:rsidRPr="002B7912">
        <w:rPr>
          <w:rFonts w:ascii="Arial" w:hAnsi="Arial" w:cs="Arial"/>
          <w:sz w:val="20"/>
          <w:szCs w:val="20"/>
          <w:shd w:val="clear" w:color="auto" w:fill="FFFFFF"/>
        </w:rPr>
        <w:t>., 2014).</w:t>
      </w:r>
    </w:p>
    <w:p w14:paraId="5AA9028C" w14:textId="03B2781B" w:rsidR="00055D72" w:rsidRPr="002B7912" w:rsidRDefault="00055D72" w:rsidP="003B7126">
      <w:pPr>
        <w:spacing w:before="240" w:after="240" w:line="240" w:lineRule="auto"/>
        <w:jc w:val="both"/>
        <w:rPr>
          <w:rStyle w:val="markedcontent"/>
          <w:rFonts w:ascii="Arial" w:hAnsi="Arial" w:cs="Arial"/>
          <w:sz w:val="20"/>
          <w:szCs w:val="20"/>
          <w:shd w:val="clear" w:color="auto" w:fill="FFFFFF"/>
        </w:rPr>
      </w:pPr>
      <w:r w:rsidRPr="002B7912">
        <w:rPr>
          <w:rFonts w:ascii="Arial" w:hAnsi="Arial" w:cs="Arial"/>
          <w:sz w:val="20"/>
          <w:szCs w:val="20"/>
        </w:rPr>
        <w:t>All the collected data was entered and analyzed using the IBM SPSS (Statistical Package for Social Sciences) software version 20. Pearson’s chi square tests at 5% significance level (α= 0.05) were done to check for association between various variables.</w:t>
      </w:r>
    </w:p>
    <w:p w14:paraId="20D38A34" w14:textId="77777777" w:rsidR="00055D72" w:rsidRPr="00AE0FCE" w:rsidRDefault="00055D72" w:rsidP="0094521C">
      <w:pPr>
        <w:spacing w:line="240" w:lineRule="auto"/>
        <w:jc w:val="both"/>
        <w:rPr>
          <w:rStyle w:val="markedcontent"/>
          <w:rFonts w:ascii="Arial" w:hAnsi="Arial" w:cs="Arial"/>
          <w:b/>
          <w:bCs/>
        </w:rPr>
      </w:pPr>
      <w:r w:rsidRPr="00AE0FCE">
        <w:rPr>
          <w:rStyle w:val="markedcontent"/>
          <w:rFonts w:ascii="Arial" w:hAnsi="Arial" w:cs="Arial"/>
          <w:b/>
          <w:bCs/>
        </w:rPr>
        <w:t>RESULTS</w:t>
      </w:r>
    </w:p>
    <w:p w14:paraId="6E69C275" w14:textId="77777777" w:rsidR="00055D72" w:rsidRPr="002B7912" w:rsidRDefault="00055D72" w:rsidP="0094521C">
      <w:pPr>
        <w:spacing w:line="240" w:lineRule="auto"/>
        <w:jc w:val="both"/>
        <w:rPr>
          <w:rStyle w:val="markedcontent"/>
          <w:rFonts w:ascii="Arial" w:hAnsi="Arial" w:cs="Arial"/>
          <w:b/>
          <w:bCs/>
        </w:rPr>
      </w:pPr>
      <w:r w:rsidRPr="002B7912">
        <w:rPr>
          <w:rStyle w:val="markedcontent"/>
          <w:rFonts w:ascii="Arial" w:hAnsi="Arial" w:cs="Arial"/>
          <w:b/>
          <w:bCs/>
        </w:rPr>
        <w:t>Profile of the respondents</w:t>
      </w:r>
    </w:p>
    <w:p w14:paraId="6A55ECFA" w14:textId="77777777" w:rsidR="00055D72" w:rsidRPr="002B7912" w:rsidRDefault="00055D72" w:rsidP="003B7126">
      <w:pPr>
        <w:spacing w:line="240" w:lineRule="auto"/>
        <w:jc w:val="both"/>
        <w:rPr>
          <w:rFonts w:ascii="Arial" w:hAnsi="Arial" w:cs="Arial"/>
          <w:b/>
          <w:sz w:val="20"/>
          <w:szCs w:val="20"/>
        </w:rPr>
      </w:pPr>
      <w:r w:rsidRPr="002B7912">
        <w:rPr>
          <w:rFonts w:ascii="Arial" w:hAnsi="Arial" w:cs="Arial"/>
          <w:sz w:val="20"/>
          <w:szCs w:val="20"/>
        </w:rPr>
        <w:t>Majority (73.3% vendors and 57.6% consumers) of the respondents were females. Among the vendors, the largest proportion (34.1%) was aged 25-34 years followed closely at 33.3% by the age group between 35-44 years. The highest proportion (47.2%) had attained secondary education while the least (1.2%) had no formal education. Apart from the food vending business, 65% of the vendors were self-employed in a different business whereas the least (0.8%) had formal employment by the government. Most (63%) of the vendors were married while the least (1.6%) were divorced or separated. Approximately eighty percent (80.2%) earned a monthly income of less than 10,000 Kenyan shillings and the least (2.8%) earned between 20,000 and 100,000 Kenyan shillings.</w:t>
      </w:r>
    </w:p>
    <w:p w14:paraId="7D711100" w14:textId="77777777" w:rsidR="00055D72" w:rsidRPr="002B7912" w:rsidRDefault="00055D72" w:rsidP="003B7126">
      <w:pPr>
        <w:spacing w:after="0" w:line="240" w:lineRule="auto"/>
        <w:jc w:val="both"/>
        <w:rPr>
          <w:rFonts w:ascii="Arial" w:hAnsi="Arial" w:cs="Arial"/>
          <w:b/>
          <w:sz w:val="20"/>
          <w:szCs w:val="20"/>
        </w:rPr>
      </w:pPr>
      <w:r w:rsidRPr="002B7912">
        <w:rPr>
          <w:rFonts w:ascii="Arial" w:hAnsi="Arial" w:cs="Arial"/>
          <w:sz w:val="20"/>
          <w:szCs w:val="20"/>
        </w:rPr>
        <w:t xml:space="preserve">Among the consumers, the most (60.8%) were aged between 18-34 years. Like the vendors, the largest proportion (49.1%) had attained secondary education while the least (2.6%) had no formal education. The highest proportion (31.6%) was self-employed and the least (5%) had formal employment by the government. Approximately 50.6% were married while the least (1.3%) were divorced. Most (78%) earned below 10,000 Kenyan shillings per month and the least (4.7%) had a monthly income of between 20,000 and 100, 000 Kenyan shillings. </w:t>
      </w:r>
    </w:p>
    <w:p w14:paraId="75A63990" w14:textId="48E79AA9" w:rsidR="00055D72" w:rsidRPr="002B7912" w:rsidRDefault="00055D72" w:rsidP="0094521C">
      <w:pPr>
        <w:pStyle w:val="Heading2"/>
        <w:spacing w:after="240" w:line="240" w:lineRule="auto"/>
        <w:jc w:val="both"/>
        <w:rPr>
          <w:rFonts w:ascii="Arial" w:hAnsi="Arial" w:cs="Arial"/>
          <w:color w:val="auto"/>
          <w:sz w:val="22"/>
          <w:szCs w:val="22"/>
          <w:shd w:val="clear" w:color="auto" w:fill="FFFFFF"/>
        </w:rPr>
      </w:pPr>
      <w:r w:rsidRPr="002B7912">
        <w:rPr>
          <w:rFonts w:ascii="Arial" w:hAnsi="Arial" w:cs="Arial"/>
          <w:color w:val="auto"/>
          <w:sz w:val="22"/>
          <w:szCs w:val="22"/>
          <w:shd w:val="clear" w:color="auto" w:fill="FFFFFF"/>
        </w:rPr>
        <w:lastRenderedPageBreak/>
        <w:t xml:space="preserve">Levels of knowledge of vendors and consumers on acrylamide </w:t>
      </w:r>
      <w:r w:rsidR="00820843">
        <w:rPr>
          <w:rFonts w:ascii="Arial" w:hAnsi="Arial" w:cs="Arial"/>
          <w:color w:val="auto"/>
          <w:sz w:val="22"/>
          <w:szCs w:val="22"/>
          <w:shd w:val="clear" w:color="auto" w:fill="FFFFFF"/>
        </w:rPr>
        <w:t>and health risk perception</w:t>
      </w:r>
    </w:p>
    <w:p w14:paraId="23CB117B" w14:textId="49852D89" w:rsidR="002B7912" w:rsidRPr="002B7912" w:rsidRDefault="00055D72" w:rsidP="003B7126">
      <w:pPr>
        <w:spacing w:line="240" w:lineRule="auto"/>
        <w:jc w:val="both"/>
        <w:rPr>
          <w:rFonts w:ascii="Arial" w:hAnsi="Arial" w:cs="Arial"/>
          <w:sz w:val="20"/>
          <w:szCs w:val="20"/>
          <w:shd w:val="clear" w:color="auto" w:fill="FFFFFF"/>
        </w:rPr>
      </w:pPr>
      <w:r w:rsidRPr="002B7912">
        <w:rPr>
          <w:rFonts w:ascii="Arial" w:hAnsi="Arial" w:cs="Arial"/>
          <w:sz w:val="20"/>
          <w:szCs w:val="20"/>
          <w:shd w:val="clear" w:color="auto" w:fill="FFFFFF"/>
        </w:rPr>
        <w:t xml:space="preserve">Knowledge levels of vendors varied </w:t>
      </w:r>
      <w:bookmarkStart w:id="0" w:name="_Toc89226737"/>
      <w:bookmarkStart w:id="1" w:name="_Toc92834635"/>
      <w:r w:rsidRPr="002B7912">
        <w:rPr>
          <w:rFonts w:ascii="Arial" w:hAnsi="Arial" w:cs="Arial"/>
          <w:sz w:val="20"/>
          <w:szCs w:val="20"/>
          <w:shd w:val="clear" w:color="auto" w:fill="FFFFFF"/>
        </w:rPr>
        <w:t xml:space="preserve">and were categorized accordingly (Table </w:t>
      </w:r>
      <w:r w:rsidR="004D0BA8">
        <w:rPr>
          <w:rFonts w:ascii="Arial" w:hAnsi="Arial" w:cs="Arial"/>
          <w:sz w:val="20"/>
          <w:szCs w:val="20"/>
          <w:shd w:val="clear" w:color="auto" w:fill="FFFFFF"/>
        </w:rPr>
        <w:t>1</w:t>
      </w:r>
      <w:r w:rsidRPr="002B7912">
        <w:rPr>
          <w:rFonts w:ascii="Arial" w:hAnsi="Arial" w:cs="Arial"/>
          <w:sz w:val="20"/>
          <w:szCs w:val="20"/>
          <w:shd w:val="clear" w:color="auto" w:fill="FFFFFF"/>
        </w:rPr>
        <w:t>)</w:t>
      </w:r>
      <w:r w:rsidR="0002634B">
        <w:rPr>
          <w:rFonts w:ascii="Arial" w:hAnsi="Arial" w:cs="Arial"/>
          <w:sz w:val="20"/>
          <w:szCs w:val="20"/>
          <w:shd w:val="clear" w:color="auto" w:fill="FFFFFF"/>
        </w:rPr>
        <w:t xml:space="preserve"> based on knowledge level categories as outlined by </w:t>
      </w:r>
      <w:r w:rsidR="0002634B" w:rsidRPr="002B7912">
        <w:rPr>
          <w:rFonts w:ascii="Arial" w:hAnsi="Arial" w:cs="Arial"/>
          <w:sz w:val="20"/>
          <w:szCs w:val="20"/>
          <w:shd w:val="clear" w:color="auto" w:fill="FFFFFF"/>
        </w:rPr>
        <w:t xml:space="preserve">Yusof </w:t>
      </w:r>
      <w:r w:rsidR="0002634B" w:rsidRPr="002B7912">
        <w:rPr>
          <w:rFonts w:ascii="Arial" w:hAnsi="Arial" w:cs="Arial"/>
          <w:i/>
          <w:sz w:val="20"/>
          <w:szCs w:val="20"/>
          <w:shd w:val="clear" w:color="auto" w:fill="FFFFFF"/>
        </w:rPr>
        <w:t>et al</w:t>
      </w:r>
      <w:r w:rsidR="0002634B" w:rsidRPr="002B7912">
        <w:rPr>
          <w:rFonts w:ascii="Arial" w:hAnsi="Arial" w:cs="Arial"/>
          <w:sz w:val="20"/>
          <w:szCs w:val="20"/>
          <w:shd w:val="clear" w:color="auto" w:fill="FFFFFF"/>
        </w:rPr>
        <w:t>.</w:t>
      </w:r>
      <w:r w:rsidR="0002634B">
        <w:rPr>
          <w:rFonts w:ascii="Arial" w:hAnsi="Arial" w:cs="Arial"/>
          <w:sz w:val="20"/>
          <w:szCs w:val="20"/>
          <w:shd w:val="clear" w:color="auto" w:fill="FFFFFF"/>
        </w:rPr>
        <w:t xml:space="preserve"> (</w:t>
      </w:r>
      <w:r w:rsidR="0002634B" w:rsidRPr="002B7912">
        <w:rPr>
          <w:rFonts w:ascii="Arial" w:hAnsi="Arial" w:cs="Arial"/>
          <w:sz w:val="20"/>
          <w:szCs w:val="20"/>
          <w:shd w:val="clear" w:color="auto" w:fill="FFFFFF"/>
        </w:rPr>
        <w:t>2014)</w:t>
      </w:r>
      <w:r w:rsidRPr="002B7912">
        <w:rPr>
          <w:rFonts w:ascii="Arial" w:hAnsi="Arial" w:cs="Arial"/>
          <w:sz w:val="20"/>
          <w:szCs w:val="20"/>
          <w:shd w:val="clear" w:color="auto" w:fill="FFFFFF"/>
        </w:rPr>
        <w:t xml:space="preserve">. </w:t>
      </w:r>
      <w:r w:rsidR="002B7912" w:rsidRPr="002B7912">
        <w:rPr>
          <w:rFonts w:ascii="Arial" w:hAnsi="Arial" w:cs="Arial"/>
          <w:sz w:val="20"/>
          <w:szCs w:val="20"/>
          <w:shd w:val="clear" w:color="auto" w:fill="FFFFFF"/>
        </w:rPr>
        <w:t>Most (72.2%) of the vendors had poor knowledge on acrylamide followed by those with intermediate knowledge level (25.8%) while the least (2%) had high knowledge. The mean knowledge of vendors was 25.8% (poor). The mean was obtained by adding all knowledge scores and dividing by the number of respondents (vendors).</w:t>
      </w:r>
    </w:p>
    <w:p w14:paraId="1052A6CE" w14:textId="54188B9A" w:rsidR="00F90B86" w:rsidRPr="0091745C" w:rsidRDefault="00F90B86" w:rsidP="003B7126">
      <w:pPr>
        <w:pStyle w:val="Heading5"/>
        <w:spacing w:after="240" w:line="240" w:lineRule="auto"/>
        <w:rPr>
          <w:rFonts w:ascii="Arial" w:hAnsi="Arial" w:cs="Arial"/>
          <w:b/>
          <w:bCs/>
          <w:color w:val="auto"/>
          <w:sz w:val="20"/>
          <w:szCs w:val="20"/>
          <w:shd w:val="clear" w:color="auto" w:fill="FFFFFF"/>
        </w:rPr>
      </w:pPr>
      <w:r w:rsidRPr="0091745C">
        <w:rPr>
          <w:rFonts w:ascii="Arial" w:hAnsi="Arial" w:cs="Arial"/>
          <w:b/>
          <w:bCs/>
          <w:color w:val="auto"/>
          <w:sz w:val="20"/>
          <w:szCs w:val="20"/>
          <w:shd w:val="clear" w:color="auto" w:fill="FFFFFF"/>
        </w:rPr>
        <w:t xml:space="preserve">Table </w:t>
      </w:r>
      <w:r w:rsidR="004D0BA8">
        <w:rPr>
          <w:rFonts w:ascii="Arial" w:hAnsi="Arial" w:cs="Arial"/>
          <w:b/>
          <w:bCs/>
          <w:color w:val="auto"/>
          <w:sz w:val="20"/>
          <w:szCs w:val="20"/>
          <w:shd w:val="clear" w:color="auto" w:fill="FFFFFF"/>
        </w:rPr>
        <w:t>1</w:t>
      </w:r>
      <w:r w:rsidR="003278BF" w:rsidRPr="0091745C">
        <w:rPr>
          <w:rFonts w:ascii="Arial" w:hAnsi="Arial" w:cs="Arial"/>
          <w:b/>
          <w:bCs/>
          <w:color w:val="auto"/>
          <w:sz w:val="20"/>
          <w:szCs w:val="20"/>
          <w:shd w:val="clear" w:color="auto" w:fill="FFFFFF"/>
        </w:rPr>
        <w:t>.</w:t>
      </w:r>
      <w:r w:rsidRPr="0091745C">
        <w:rPr>
          <w:rFonts w:ascii="Arial" w:hAnsi="Arial" w:cs="Arial"/>
          <w:b/>
          <w:bCs/>
          <w:color w:val="auto"/>
          <w:sz w:val="20"/>
          <w:szCs w:val="20"/>
          <w:shd w:val="clear" w:color="auto" w:fill="FFFFFF"/>
        </w:rPr>
        <w:t xml:space="preserve"> Knowledge levels of vendors on acrylamide </w:t>
      </w:r>
    </w:p>
    <w:tbl>
      <w:tblPr>
        <w:tblW w:w="810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430"/>
        <w:gridCol w:w="2070"/>
        <w:gridCol w:w="1602"/>
      </w:tblGrid>
      <w:tr w:rsidR="00F90B86" w:rsidRPr="0091745C" w14:paraId="34FB77F3" w14:textId="77777777" w:rsidTr="0006043A">
        <w:trPr>
          <w:trHeight w:val="602"/>
        </w:trPr>
        <w:tc>
          <w:tcPr>
            <w:tcW w:w="2003" w:type="dxa"/>
          </w:tcPr>
          <w:p w14:paraId="4DD5E9D4"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Knowledge category</w:t>
            </w:r>
          </w:p>
        </w:tc>
        <w:tc>
          <w:tcPr>
            <w:tcW w:w="2430" w:type="dxa"/>
          </w:tcPr>
          <w:p w14:paraId="22783E50"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Frequency (n= 248)</w:t>
            </w:r>
          </w:p>
        </w:tc>
        <w:tc>
          <w:tcPr>
            <w:tcW w:w="2070" w:type="dxa"/>
          </w:tcPr>
          <w:p w14:paraId="79FB43CC"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 xml:space="preserve">Percentage </w:t>
            </w:r>
          </w:p>
        </w:tc>
        <w:tc>
          <w:tcPr>
            <w:tcW w:w="1602" w:type="dxa"/>
          </w:tcPr>
          <w:p w14:paraId="3764E6EA"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Mean</w:t>
            </w:r>
          </w:p>
        </w:tc>
      </w:tr>
      <w:tr w:rsidR="00F90B86" w:rsidRPr="0091745C" w14:paraId="1A590375" w14:textId="77777777" w:rsidTr="0006043A">
        <w:trPr>
          <w:trHeight w:val="545"/>
        </w:trPr>
        <w:tc>
          <w:tcPr>
            <w:tcW w:w="2003" w:type="dxa"/>
          </w:tcPr>
          <w:p w14:paraId="2E35700F"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Poor</w:t>
            </w:r>
          </w:p>
        </w:tc>
        <w:tc>
          <w:tcPr>
            <w:tcW w:w="2430" w:type="dxa"/>
          </w:tcPr>
          <w:p w14:paraId="5318AD90"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179</w:t>
            </w:r>
          </w:p>
        </w:tc>
        <w:tc>
          <w:tcPr>
            <w:tcW w:w="2070" w:type="dxa"/>
          </w:tcPr>
          <w:p w14:paraId="74C75D67"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72.2</w:t>
            </w:r>
          </w:p>
        </w:tc>
        <w:tc>
          <w:tcPr>
            <w:tcW w:w="1602" w:type="dxa"/>
            <w:vMerge w:val="restart"/>
          </w:tcPr>
          <w:p w14:paraId="1F572E6F"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p w14:paraId="6E9D0F18"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Poor (25.8%)</w:t>
            </w:r>
          </w:p>
        </w:tc>
      </w:tr>
      <w:tr w:rsidR="00F90B86" w:rsidRPr="0091745C" w14:paraId="451374CD" w14:textId="77777777" w:rsidTr="0006043A">
        <w:trPr>
          <w:trHeight w:val="545"/>
        </w:trPr>
        <w:tc>
          <w:tcPr>
            <w:tcW w:w="2003" w:type="dxa"/>
          </w:tcPr>
          <w:p w14:paraId="63E65D2B"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Intermediate</w:t>
            </w:r>
          </w:p>
        </w:tc>
        <w:tc>
          <w:tcPr>
            <w:tcW w:w="2430" w:type="dxa"/>
          </w:tcPr>
          <w:p w14:paraId="17912745"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64</w:t>
            </w:r>
          </w:p>
        </w:tc>
        <w:tc>
          <w:tcPr>
            <w:tcW w:w="2070" w:type="dxa"/>
          </w:tcPr>
          <w:p w14:paraId="369C4414"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25.8</w:t>
            </w:r>
          </w:p>
        </w:tc>
        <w:tc>
          <w:tcPr>
            <w:tcW w:w="1602" w:type="dxa"/>
            <w:vMerge/>
          </w:tcPr>
          <w:p w14:paraId="23EC8E15"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tc>
      </w:tr>
      <w:tr w:rsidR="00F90B86" w:rsidRPr="0091745C" w14:paraId="73A781E3" w14:textId="77777777" w:rsidTr="0006043A">
        <w:trPr>
          <w:trHeight w:val="545"/>
        </w:trPr>
        <w:tc>
          <w:tcPr>
            <w:tcW w:w="2003" w:type="dxa"/>
          </w:tcPr>
          <w:p w14:paraId="1674A6A8"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High</w:t>
            </w:r>
          </w:p>
        </w:tc>
        <w:tc>
          <w:tcPr>
            <w:tcW w:w="2430" w:type="dxa"/>
          </w:tcPr>
          <w:p w14:paraId="142A27C4"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5</w:t>
            </w:r>
          </w:p>
        </w:tc>
        <w:tc>
          <w:tcPr>
            <w:tcW w:w="2070" w:type="dxa"/>
          </w:tcPr>
          <w:p w14:paraId="30444E8A"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2%</w:t>
            </w:r>
          </w:p>
        </w:tc>
        <w:tc>
          <w:tcPr>
            <w:tcW w:w="1602" w:type="dxa"/>
            <w:vMerge/>
          </w:tcPr>
          <w:p w14:paraId="4785D0C9"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tc>
      </w:tr>
    </w:tbl>
    <w:p w14:paraId="7C2EDD9E" w14:textId="77777777" w:rsidR="00F90B86" w:rsidRPr="0035150B" w:rsidRDefault="00F90B86" w:rsidP="00F90B86">
      <w:pPr>
        <w:spacing w:after="0" w:line="240" w:lineRule="auto"/>
        <w:jc w:val="both"/>
        <w:rPr>
          <w:rFonts w:ascii="Arial" w:hAnsi="Arial" w:cs="Arial"/>
          <w:color w:val="000000" w:themeColor="text1"/>
          <w:sz w:val="24"/>
          <w:szCs w:val="24"/>
          <w:shd w:val="clear" w:color="auto" w:fill="FFFFFF"/>
        </w:rPr>
      </w:pPr>
    </w:p>
    <w:bookmarkEnd w:id="0"/>
    <w:bookmarkEnd w:id="1"/>
    <w:p w14:paraId="3D94AD2F" w14:textId="27508A62" w:rsidR="002B7912" w:rsidRPr="002B7912" w:rsidRDefault="00055D72" w:rsidP="003B7126">
      <w:pPr>
        <w:spacing w:before="240" w:line="240" w:lineRule="auto"/>
        <w:jc w:val="both"/>
        <w:rPr>
          <w:rFonts w:ascii="Arial" w:hAnsi="Arial" w:cs="Arial"/>
          <w:sz w:val="20"/>
          <w:szCs w:val="20"/>
          <w:shd w:val="clear" w:color="auto" w:fill="FFFFFF"/>
        </w:rPr>
      </w:pPr>
      <w:r w:rsidRPr="002B7912">
        <w:rPr>
          <w:rFonts w:ascii="Arial" w:hAnsi="Arial" w:cs="Arial"/>
          <w:sz w:val="20"/>
          <w:szCs w:val="20"/>
          <w:shd w:val="clear" w:color="auto" w:fill="FFFFFF"/>
        </w:rPr>
        <w:t>Knowledge levels of consumers varied and were categorized accordingly (Table</w:t>
      </w:r>
      <w:r w:rsidR="004D0BA8">
        <w:rPr>
          <w:rFonts w:ascii="Arial" w:hAnsi="Arial" w:cs="Arial"/>
          <w:sz w:val="20"/>
          <w:szCs w:val="20"/>
          <w:shd w:val="clear" w:color="auto" w:fill="FFFFFF"/>
        </w:rPr>
        <w:t xml:space="preserve"> 2</w:t>
      </w:r>
      <w:r w:rsidRPr="002B7912">
        <w:rPr>
          <w:rFonts w:ascii="Arial" w:hAnsi="Arial" w:cs="Arial"/>
          <w:sz w:val="20"/>
          <w:szCs w:val="20"/>
          <w:shd w:val="clear" w:color="auto" w:fill="FFFFFF"/>
        </w:rPr>
        <w:t xml:space="preserve">). </w:t>
      </w:r>
      <w:r w:rsidR="002B7912" w:rsidRPr="002B7912">
        <w:rPr>
          <w:rFonts w:ascii="Arial" w:hAnsi="Arial" w:cs="Arial"/>
          <w:sz w:val="20"/>
          <w:szCs w:val="20"/>
          <w:shd w:val="clear" w:color="auto" w:fill="FFFFFF"/>
        </w:rPr>
        <w:t xml:space="preserve">Most (63.5%) of the consumers had poor knowledge on acrylamide, 36.2% had intermediate knowledge while the least (0.3%) had high knowledge. The mean knowledge level was 27.2% (poor). The mean was obtained by adding all knowledge scores and dividing by the number of respondents (consumers). </w:t>
      </w:r>
    </w:p>
    <w:p w14:paraId="568CCA67" w14:textId="54A9DEB0" w:rsidR="00F90B86" w:rsidRPr="0091745C" w:rsidRDefault="00F90B86" w:rsidP="003B7126">
      <w:pPr>
        <w:pStyle w:val="Heading5"/>
        <w:spacing w:after="240" w:line="240" w:lineRule="auto"/>
        <w:rPr>
          <w:rFonts w:ascii="Arial" w:hAnsi="Arial" w:cs="Arial"/>
          <w:b/>
          <w:bCs/>
          <w:color w:val="auto"/>
          <w:sz w:val="20"/>
          <w:szCs w:val="20"/>
        </w:rPr>
      </w:pPr>
      <w:r w:rsidRPr="0091745C">
        <w:rPr>
          <w:rFonts w:ascii="Arial" w:hAnsi="Arial" w:cs="Arial"/>
          <w:b/>
          <w:bCs/>
          <w:color w:val="auto"/>
          <w:sz w:val="20"/>
          <w:szCs w:val="20"/>
        </w:rPr>
        <w:t xml:space="preserve">Table </w:t>
      </w:r>
      <w:r w:rsidR="004D0BA8">
        <w:rPr>
          <w:rFonts w:ascii="Arial" w:hAnsi="Arial" w:cs="Arial"/>
          <w:b/>
          <w:bCs/>
          <w:color w:val="auto"/>
          <w:sz w:val="20"/>
          <w:szCs w:val="20"/>
        </w:rPr>
        <w:t>2</w:t>
      </w:r>
      <w:r w:rsidR="003278BF" w:rsidRPr="0091745C">
        <w:rPr>
          <w:rFonts w:ascii="Arial" w:hAnsi="Arial" w:cs="Arial"/>
          <w:b/>
          <w:bCs/>
          <w:color w:val="auto"/>
          <w:sz w:val="20"/>
          <w:szCs w:val="20"/>
        </w:rPr>
        <w:t>.</w:t>
      </w:r>
      <w:r w:rsidRPr="0091745C">
        <w:rPr>
          <w:rFonts w:ascii="Arial" w:hAnsi="Arial" w:cs="Arial"/>
          <w:b/>
          <w:bCs/>
          <w:color w:val="auto"/>
          <w:sz w:val="20"/>
          <w:szCs w:val="20"/>
        </w:rPr>
        <w:t xml:space="preserve"> Knowledge levels of consumers on acrylamide </w:t>
      </w:r>
    </w:p>
    <w:tbl>
      <w:tblPr>
        <w:tblW w:w="781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2348"/>
        <w:gridCol w:w="1490"/>
        <w:gridCol w:w="1788"/>
      </w:tblGrid>
      <w:tr w:rsidR="00F90B86" w:rsidRPr="0091745C" w14:paraId="5CE3C244" w14:textId="77777777" w:rsidTr="0006043A">
        <w:trPr>
          <w:trHeight w:val="503"/>
        </w:trPr>
        <w:tc>
          <w:tcPr>
            <w:tcW w:w="2192" w:type="dxa"/>
          </w:tcPr>
          <w:p w14:paraId="723DB24C"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Knowledge category</w:t>
            </w:r>
          </w:p>
        </w:tc>
        <w:tc>
          <w:tcPr>
            <w:tcW w:w="2348" w:type="dxa"/>
          </w:tcPr>
          <w:p w14:paraId="43EE087E"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Frequency (n= 356)</w:t>
            </w:r>
          </w:p>
        </w:tc>
        <w:tc>
          <w:tcPr>
            <w:tcW w:w="1490" w:type="dxa"/>
          </w:tcPr>
          <w:p w14:paraId="1DC89F6B"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 xml:space="preserve">Percentage </w:t>
            </w:r>
          </w:p>
        </w:tc>
        <w:tc>
          <w:tcPr>
            <w:tcW w:w="1788" w:type="dxa"/>
          </w:tcPr>
          <w:p w14:paraId="349896F3"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Mean</w:t>
            </w:r>
          </w:p>
        </w:tc>
      </w:tr>
      <w:tr w:rsidR="00F90B86" w:rsidRPr="0091745C" w14:paraId="0388DD7D" w14:textId="77777777" w:rsidTr="0006043A">
        <w:trPr>
          <w:trHeight w:val="395"/>
        </w:trPr>
        <w:tc>
          <w:tcPr>
            <w:tcW w:w="2192" w:type="dxa"/>
          </w:tcPr>
          <w:p w14:paraId="28A08A50"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Poor</w:t>
            </w:r>
          </w:p>
        </w:tc>
        <w:tc>
          <w:tcPr>
            <w:tcW w:w="2348" w:type="dxa"/>
          </w:tcPr>
          <w:p w14:paraId="31E6F036"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226</w:t>
            </w:r>
          </w:p>
        </w:tc>
        <w:tc>
          <w:tcPr>
            <w:tcW w:w="1490" w:type="dxa"/>
          </w:tcPr>
          <w:p w14:paraId="039A1698"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63.5</w:t>
            </w:r>
          </w:p>
        </w:tc>
        <w:tc>
          <w:tcPr>
            <w:tcW w:w="1788" w:type="dxa"/>
            <w:vMerge w:val="restart"/>
          </w:tcPr>
          <w:p w14:paraId="496189EE"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p w14:paraId="3DF53897"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Poor (27.2%)</w:t>
            </w:r>
          </w:p>
        </w:tc>
      </w:tr>
      <w:tr w:rsidR="00F90B86" w:rsidRPr="0091745C" w14:paraId="3E435E52" w14:textId="77777777" w:rsidTr="0006043A">
        <w:trPr>
          <w:trHeight w:val="368"/>
        </w:trPr>
        <w:tc>
          <w:tcPr>
            <w:tcW w:w="2192" w:type="dxa"/>
          </w:tcPr>
          <w:p w14:paraId="34A5B5B7"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Intermediate</w:t>
            </w:r>
          </w:p>
        </w:tc>
        <w:tc>
          <w:tcPr>
            <w:tcW w:w="2348" w:type="dxa"/>
          </w:tcPr>
          <w:p w14:paraId="5438F4E3"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129</w:t>
            </w:r>
          </w:p>
        </w:tc>
        <w:tc>
          <w:tcPr>
            <w:tcW w:w="1490" w:type="dxa"/>
          </w:tcPr>
          <w:p w14:paraId="28178647"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36.2</w:t>
            </w:r>
          </w:p>
        </w:tc>
        <w:tc>
          <w:tcPr>
            <w:tcW w:w="1788" w:type="dxa"/>
            <w:vMerge/>
          </w:tcPr>
          <w:p w14:paraId="29871528"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tc>
      </w:tr>
      <w:tr w:rsidR="00F90B86" w:rsidRPr="0091745C" w14:paraId="14559C9A" w14:textId="77777777" w:rsidTr="0006043A">
        <w:trPr>
          <w:trHeight w:val="368"/>
        </w:trPr>
        <w:tc>
          <w:tcPr>
            <w:tcW w:w="2192" w:type="dxa"/>
          </w:tcPr>
          <w:p w14:paraId="398651DF"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High</w:t>
            </w:r>
          </w:p>
        </w:tc>
        <w:tc>
          <w:tcPr>
            <w:tcW w:w="2348" w:type="dxa"/>
          </w:tcPr>
          <w:p w14:paraId="70FFA8EE"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1</w:t>
            </w:r>
          </w:p>
        </w:tc>
        <w:tc>
          <w:tcPr>
            <w:tcW w:w="1490" w:type="dxa"/>
          </w:tcPr>
          <w:p w14:paraId="1B00B942"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0.3</w:t>
            </w:r>
          </w:p>
        </w:tc>
        <w:tc>
          <w:tcPr>
            <w:tcW w:w="1788" w:type="dxa"/>
            <w:vMerge/>
          </w:tcPr>
          <w:p w14:paraId="05CFEA21"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tc>
      </w:tr>
    </w:tbl>
    <w:p w14:paraId="447D8667" w14:textId="3B77F52D" w:rsidR="00B5425D" w:rsidRDefault="00055D72" w:rsidP="003B7126">
      <w:pPr>
        <w:spacing w:before="240"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t xml:space="preserve">Pearson’s chi square test </w:t>
      </w:r>
      <w:r w:rsidR="00B5425D">
        <w:rPr>
          <w:rFonts w:ascii="Arial" w:hAnsi="Arial" w:cs="Arial"/>
          <w:sz w:val="20"/>
          <w:szCs w:val="20"/>
          <w:shd w:val="clear" w:color="auto" w:fill="FFFFFF"/>
        </w:rPr>
        <w:t xml:space="preserve">was done to check for </w:t>
      </w:r>
      <w:r w:rsidR="00B5425D" w:rsidRPr="001463AC">
        <w:rPr>
          <w:rFonts w:ascii="Arial" w:hAnsi="Arial" w:cs="Arial"/>
          <w:sz w:val="20"/>
          <w:szCs w:val="20"/>
          <w:shd w:val="clear" w:color="auto" w:fill="FFFFFF"/>
        </w:rPr>
        <w:t>association between knowledge levels and the perception of acrylamide as a human health concern by the respondents</w:t>
      </w:r>
      <w:r w:rsidR="00B5425D">
        <w:rPr>
          <w:rFonts w:ascii="Arial" w:hAnsi="Arial" w:cs="Arial"/>
          <w:sz w:val="20"/>
          <w:szCs w:val="20"/>
          <w:shd w:val="clear" w:color="auto" w:fill="FFFFFF"/>
        </w:rPr>
        <w:t xml:space="preserve"> (Table 3 and Table 4).</w:t>
      </w:r>
    </w:p>
    <w:p w14:paraId="55FF82EA" w14:textId="77777777" w:rsidR="00EE18F7" w:rsidRDefault="00EE18F7" w:rsidP="003B7126">
      <w:pPr>
        <w:spacing w:before="240" w:line="240" w:lineRule="auto"/>
        <w:jc w:val="both"/>
        <w:rPr>
          <w:rFonts w:ascii="Arial" w:hAnsi="Arial" w:cs="Arial"/>
          <w:sz w:val="20"/>
          <w:szCs w:val="20"/>
          <w:shd w:val="clear" w:color="auto" w:fill="FFFFFF"/>
        </w:rPr>
      </w:pPr>
    </w:p>
    <w:p w14:paraId="4063D96F" w14:textId="77777777" w:rsidR="00EE18F7" w:rsidRDefault="00EE18F7" w:rsidP="003B7126">
      <w:pPr>
        <w:spacing w:before="240" w:line="240" w:lineRule="auto"/>
        <w:jc w:val="both"/>
        <w:rPr>
          <w:rFonts w:ascii="Arial" w:hAnsi="Arial" w:cs="Arial"/>
          <w:sz w:val="20"/>
          <w:szCs w:val="20"/>
          <w:shd w:val="clear" w:color="auto" w:fill="FFFFFF"/>
        </w:rPr>
      </w:pPr>
    </w:p>
    <w:p w14:paraId="00B1D69C" w14:textId="77777777" w:rsidR="00EE18F7" w:rsidRDefault="00EE18F7" w:rsidP="003B7126">
      <w:pPr>
        <w:spacing w:before="240" w:line="240" w:lineRule="auto"/>
        <w:jc w:val="both"/>
        <w:rPr>
          <w:rFonts w:ascii="Arial" w:hAnsi="Arial" w:cs="Arial"/>
          <w:sz w:val="20"/>
          <w:szCs w:val="20"/>
          <w:shd w:val="clear" w:color="auto" w:fill="FFFFFF"/>
        </w:rPr>
      </w:pPr>
    </w:p>
    <w:p w14:paraId="4FFBED8D" w14:textId="77777777" w:rsidR="00EE18F7" w:rsidRDefault="00EE18F7" w:rsidP="003B7126">
      <w:pPr>
        <w:spacing w:before="240" w:line="240" w:lineRule="auto"/>
        <w:jc w:val="both"/>
        <w:rPr>
          <w:rFonts w:ascii="Arial" w:hAnsi="Arial" w:cs="Arial"/>
          <w:sz w:val="20"/>
          <w:szCs w:val="20"/>
          <w:shd w:val="clear" w:color="auto" w:fill="FFFFFF"/>
        </w:rPr>
      </w:pPr>
    </w:p>
    <w:p w14:paraId="1F052046" w14:textId="77777777" w:rsidR="00EE18F7" w:rsidRDefault="00EE18F7" w:rsidP="003B7126">
      <w:pPr>
        <w:spacing w:before="240" w:line="240" w:lineRule="auto"/>
        <w:jc w:val="both"/>
        <w:rPr>
          <w:rFonts w:ascii="Arial" w:hAnsi="Arial" w:cs="Arial"/>
          <w:sz w:val="20"/>
          <w:szCs w:val="20"/>
          <w:shd w:val="clear" w:color="auto" w:fill="FFFFFF"/>
        </w:rPr>
      </w:pPr>
    </w:p>
    <w:p w14:paraId="6542ECF6" w14:textId="6E757816" w:rsidR="00B5425D" w:rsidRPr="00B5425D" w:rsidRDefault="00B5425D" w:rsidP="003B7126">
      <w:pPr>
        <w:spacing w:before="240" w:line="240" w:lineRule="auto"/>
        <w:jc w:val="both"/>
        <w:rPr>
          <w:rFonts w:ascii="Arial" w:hAnsi="Arial" w:cs="Arial"/>
          <w:b/>
          <w:bCs/>
          <w:sz w:val="20"/>
          <w:szCs w:val="20"/>
          <w:shd w:val="clear" w:color="auto" w:fill="FFFFFF"/>
        </w:rPr>
      </w:pPr>
      <w:r w:rsidRPr="00B5425D">
        <w:rPr>
          <w:rFonts w:ascii="Arial" w:hAnsi="Arial" w:cs="Arial"/>
          <w:b/>
          <w:bCs/>
          <w:sz w:val="20"/>
          <w:szCs w:val="20"/>
          <w:shd w:val="clear" w:color="auto" w:fill="FFFFFF"/>
        </w:rPr>
        <w:t>Table 3</w:t>
      </w:r>
      <w:r w:rsidR="00740BA8">
        <w:rPr>
          <w:rFonts w:ascii="Arial" w:hAnsi="Arial" w:cs="Arial"/>
          <w:b/>
          <w:bCs/>
          <w:sz w:val="20"/>
          <w:szCs w:val="20"/>
          <w:shd w:val="clear" w:color="auto" w:fill="FFFFFF"/>
        </w:rPr>
        <w:t>.</w:t>
      </w:r>
      <w:r w:rsidRPr="00B5425D">
        <w:rPr>
          <w:rFonts w:ascii="Arial" w:hAnsi="Arial" w:cs="Arial"/>
          <w:b/>
          <w:bCs/>
          <w:sz w:val="20"/>
          <w:szCs w:val="20"/>
          <w:shd w:val="clear" w:color="auto" w:fill="FFFFFF"/>
        </w:rPr>
        <w:t xml:space="preserve"> Association between knowledge levels and acrylamide perception as a health concern</w:t>
      </w:r>
      <w:r w:rsidR="00740BA8">
        <w:rPr>
          <w:rFonts w:ascii="Arial" w:hAnsi="Arial" w:cs="Arial"/>
          <w:b/>
          <w:bCs/>
          <w:sz w:val="20"/>
          <w:szCs w:val="20"/>
          <w:shd w:val="clear" w:color="auto" w:fill="FFFFFF"/>
        </w:rPr>
        <w:t xml:space="preserve"> among vendors</w:t>
      </w:r>
    </w:p>
    <w:tbl>
      <w:tblPr>
        <w:tblW w:w="77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1620"/>
        <w:gridCol w:w="2250"/>
      </w:tblGrid>
      <w:tr w:rsidR="00B5425D" w:rsidRPr="00740BA8" w14:paraId="7C42EC94" w14:textId="77777777" w:rsidTr="00740BA8">
        <w:tc>
          <w:tcPr>
            <w:tcW w:w="2250" w:type="dxa"/>
            <w:vMerge w:val="restart"/>
            <w:shd w:val="clear" w:color="auto" w:fill="auto"/>
          </w:tcPr>
          <w:p w14:paraId="3F8E662D"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Variable </w:t>
            </w:r>
          </w:p>
        </w:tc>
        <w:tc>
          <w:tcPr>
            <w:tcW w:w="5490" w:type="dxa"/>
            <w:gridSpan w:val="3"/>
            <w:shd w:val="clear" w:color="auto" w:fill="auto"/>
          </w:tcPr>
          <w:p w14:paraId="54F2A8CF" w14:textId="4193CC45" w:rsidR="00B5425D" w:rsidRPr="00740BA8" w:rsidRDefault="00740BA8"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Perceive Acrylamide as a human health concern</w:t>
            </w:r>
          </w:p>
        </w:tc>
      </w:tr>
      <w:tr w:rsidR="00B5425D" w:rsidRPr="00740BA8" w14:paraId="6148BDCC" w14:textId="77777777" w:rsidTr="00740BA8">
        <w:tc>
          <w:tcPr>
            <w:tcW w:w="2250" w:type="dxa"/>
            <w:vMerge/>
            <w:shd w:val="clear" w:color="auto" w:fill="auto"/>
          </w:tcPr>
          <w:p w14:paraId="2E7AF2BC"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p>
        </w:tc>
        <w:tc>
          <w:tcPr>
            <w:tcW w:w="5490" w:type="dxa"/>
            <w:gridSpan w:val="3"/>
            <w:shd w:val="clear" w:color="auto" w:fill="auto"/>
          </w:tcPr>
          <w:p w14:paraId="3DBEF1A3" w14:textId="48B91784"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Vendors</w:t>
            </w:r>
            <w:r w:rsidR="00740BA8">
              <w:rPr>
                <w:rFonts w:ascii="Arial" w:hAnsi="Arial" w:cs="Arial"/>
                <w:b/>
                <w:color w:val="000000" w:themeColor="text1"/>
                <w:sz w:val="20"/>
                <w:szCs w:val="20"/>
                <w:shd w:val="clear" w:color="auto" w:fill="FFFFFF"/>
              </w:rPr>
              <w:t xml:space="preserve"> </w:t>
            </w:r>
            <w:r w:rsidR="00740BA8" w:rsidRPr="00740BA8">
              <w:rPr>
                <w:rFonts w:ascii="Arial" w:hAnsi="Arial" w:cs="Arial"/>
                <w:b/>
                <w:color w:val="000000" w:themeColor="text1"/>
                <w:sz w:val="20"/>
                <w:szCs w:val="20"/>
                <w:shd w:val="clear" w:color="auto" w:fill="FFFFFF"/>
              </w:rPr>
              <w:t>(n =245)</w:t>
            </w:r>
          </w:p>
        </w:tc>
      </w:tr>
      <w:tr w:rsidR="00740BA8" w:rsidRPr="00740BA8" w14:paraId="1A62EEC1" w14:textId="77777777" w:rsidTr="00740BA8">
        <w:tc>
          <w:tcPr>
            <w:tcW w:w="2250" w:type="dxa"/>
            <w:vMerge/>
            <w:shd w:val="clear" w:color="auto" w:fill="auto"/>
          </w:tcPr>
          <w:p w14:paraId="3EA6352B"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p>
        </w:tc>
        <w:tc>
          <w:tcPr>
            <w:tcW w:w="1620" w:type="dxa"/>
            <w:shd w:val="clear" w:color="auto" w:fill="auto"/>
          </w:tcPr>
          <w:p w14:paraId="09528858"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Yes </w:t>
            </w:r>
          </w:p>
        </w:tc>
        <w:tc>
          <w:tcPr>
            <w:tcW w:w="1620" w:type="dxa"/>
            <w:shd w:val="clear" w:color="auto" w:fill="auto"/>
          </w:tcPr>
          <w:p w14:paraId="3E4543A7"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No</w:t>
            </w:r>
          </w:p>
        </w:tc>
        <w:tc>
          <w:tcPr>
            <w:tcW w:w="2250" w:type="dxa"/>
            <w:shd w:val="clear" w:color="auto" w:fill="auto"/>
          </w:tcPr>
          <w:p w14:paraId="0241338A"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Significance</w:t>
            </w:r>
          </w:p>
        </w:tc>
      </w:tr>
      <w:tr w:rsidR="00740BA8" w:rsidRPr="00740BA8" w14:paraId="6796B4C9" w14:textId="77777777" w:rsidTr="00740BA8">
        <w:tc>
          <w:tcPr>
            <w:tcW w:w="2250" w:type="dxa"/>
            <w:shd w:val="clear" w:color="auto" w:fill="auto"/>
          </w:tcPr>
          <w:p w14:paraId="606E2FBD" w14:textId="77777777" w:rsidR="00B5425D" w:rsidRPr="00740BA8" w:rsidRDefault="00B5425D" w:rsidP="00B5425D">
            <w:pPr>
              <w:spacing w:after="0" w:line="480" w:lineRule="auto"/>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Knowledge </w:t>
            </w:r>
          </w:p>
          <w:p w14:paraId="7E2A5D64" w14:textId="77777777" w:rsidR="00B5425D" w:rsidRPr="00740BA8" w:rsidRDefault="00B5425D" w:rsidP="00B5425D">
            <w:pPr>
              <w:spacing w:after="0" w:line="480" w:lineRule="auto"/>
              <w:rPr>
                <w:rFonts w:ascii="Arial" w:hAnsi="Arial" w:cs="Arial"/>
                <w:color w:val="000000" w:themeColor="text1"/>
                <w:sz w:val="20"/>
                <w:szCs w:val="20"/>
                <w:shd w:val="clear" w:color="auto" w:fill="FFFFFF"/>
              </w:rPr>
            </w:pPr>
            <w:r w:rsidRPr="00740BA8">
              <w:rPr>
                <w:rFonts w:ascii="Arial" w:hAnsi="Arial" w:cs="Arial"/>
                <w:color w:val="000000" w:themeColor="text1"/>
                <w:sz w:val="20"/>
                <w:szCs w:val="20"/>
                <w:shd w:val="clear" w:color="auto" w:fill="FFFFFF"/>
              </w:rPr>
              <w:t>Good (score 51-100%)</w:t>
            </w:r>
          </w:p>
          <w:p w14:paraId="3A4DCF92" w14:textId="77777777" w:rsidR="00B5425D" w:rsidRPr="00740BA8" w:rsidRDefault="00B5425D" w:rsidP="00B5425D">
            <w:pPr>
              <w:spacing w:after="0" w:line="480" w:lineRule="auto"/>
              <w:rPr>
                <w:rFonts w:ascii="Arial" w:hAnsi="Arial" w:cs="Arial"/>
                <w:b/>
                <w:color w:val="000000" w:themeColor="text1"/>
                <w:sz w:val="20"/>
                <w:szCs w:val="20"/>
                <w:shd w:val="clear" w:color="auto" w:fill="FFFFFF"/>
              </w:rPr>
            </w:pPr>
            <w:r w:rsidRPr="00740BA8">
              <w:rPr>
                <w:rFonts w:ascii="Arial" w:hAnsi="Arial" w:cs="Arial"/>
                <w:color w:val="000000" w:themeColor="text1"/>
                <w:sz w:val="20"/>
                <w:szCs w:val="20"/>
                <w:shd w:val="clear" w:color="auto" w:fill="FFFFFF"/>
              </w:rPr>
              <w:t>Poor (score 0-50%)</w:t>
            </w:r>
          </w:p>
        </w:tc>
        <w:tc>
          <w:tcPr>
            <w:tcW w:w="1620" w:type="dxa"/>
            <w:shd w:val="clear" w:color="auto" w:fill="auto"/>
          </w:tcPr>
          <w:p w14:paraId="29C01BBF" w14:textId="77777777" w:rsidR="00740BA8" w:rsidRDefault="00740BA8" w:rsidP="00B5425D">
            <w:pPr>
              <w:spacing w:after="0" w:line="480" w:lineRule="auto"/>
              <w:jc w:val="both"/>
              <w:rPr>
                <w:rFonts w:ascii="Arial" w:hAnsi="Arial" w:cs="Arial"/>
                <w:color w:val="000000" w:themeColor="text1"/>
                <w:sz w:val="20"/>
                <w:szCs w:val="20"/>
                <w:shd w:val="clear" w:color="auto" w:fill="FFFFFF"/>
              </w:rPr>
            </w:pPr>
          </w:p>
          <w:p w14:paraId="491059E0" w14:textId="4DAE109C" w:rsidR="00B5425D" w:rsidRPr="00740BA8" w:rsidRDefault="00B5425D" w:rsidP="00B5425D">
            <w:pPr>
              <w:spacing w:after="0" w:line="480" w:lineRule="auto"/>
              <w:jc w:val="both"/>
              <w:rPr>
                <w:rFonts w:ascii="Arial" w:hAnsi="Arial" w:cs="Arial"/>
                <w:color w:val="000000" w:themeColor="text1"/>
                <w:sz w:val="20"/>
                <w:szCs w:val="20"/>
                <w:shd w:val="clear" w:color="auto" w:fill="FFFFFF"/>
              </w:rPr>
            </w:pPr>
            <w:r w:rsidRPr="00740BA8">
              <w:rPr>
                <w:rFonts w:ascii="Arial" w:hAnsi="Arial" w:cs="Arial"/>
                <w:color w:val="000000" w:themeColor="text1"/>
                <w:sz w:val="20"/>
                <w:szCs w:val="20"/>
                <w:shd w:val="clear" w:color="auto" w:fill="FFFFFF"/>
              </w:rPr>
              <w:t>60(88.2%)</w:t>
            </w:r>
          </w:p>
          <w:p w14:paraId="1354BC52"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color w:val="000000" w:themeColor="text1"/>
                <w:sz w:val="20"/>
                <w:szCs w:val="20"/>
                <w:shd w:val="clear" w:color="auto" w:fill="FFFFFF"/>
              </w:rPr>
              <w:t>70(39.5%)</w:t>
            </w:r>
          </w:p>
        </w:tc>
        <w:tc>
          <w:tcPr>
            <w:tcW w:w="1620" w:type="dxa"/>
            <w:shd w:val="clear" w:color="auto" w:fill="auto"/>
          </w:tcPr>
          <w:p w14:paraId="34C95661" w14:textId="77777777" w:rsidR="00B5425D" w:rsidRPr="00740BA8" w:rsidRDefault="00B5425D" w:rsidP="00B5425D">
            <w:pPr>
              <w:spacing w:after="0" w:line="480" w:lineRule="auto"/>
              <w:jc w:val="both"/>
              <w:rPr>
                <w:rFonts w:ascii="Arial" w:hAnsi="Arial" w:cs="Arial"/>
                <w:b/>
                <w:color w:val="000000" w:themeColor="text1"/>
                <w:sz w:val="20"/>
                <w:szCs w:val="20"/>
              </w:rPr>
            </w:pPr>
          </w:p>
          <w:p w14:paraId="2B0390BF" w14:textId="77777777" w:rsidR="00B5425D" w:rsidRPr="00740BA8" w:rsidRDefault="00B5425D" w:rsidP="00B5425D">
            <w:pPr>
              <w:spacing w:after="0" w:line="480" w:lineRule="auto"/>
              <w:jc w:val="both"/>
              <w:rPr>
                <w:rFonts w:ascii="Arial" w:hAnsi="Arial" w:cs="Arial"/>
                <w:color w:val="000000" w:themeColor="text1"/>
                <w:sz w:val="20"/>
                <w:szCs w:val="20"/>
              </w:rPr>
            </w:pPr>
            <w:r w:rsidRPr="00740BA8">
              <w:rPr>
                <w:rFonts w:ascii="Arial" w:hAnsi="Arial" w:cs="Arial"/>
                <w:color w:val="000000" w:themeColor="text1"/>
                <w:sz w:val="20"/>
                <w:szCs w:val="20"/>
              </w:rPr>
              <w:t>8(11.8%)</w:t>
            </w:r>
          </w:p>
          <w:p w14:paraId="42D4AA21" w14:textId="77777777" w:rsidR="00B5425D" w:rsidRPr="00740BA8" w:rsidRDefault="00B5425D" w:rsidP="00B5425D">
            <w:pPr>
              <w:spacing w:after="0" w:line="480" w:lineRule="auto"/>
              <w:jc w:val="both"/>
              <w:rPr>
                <w:rFonts w:ascii="Arial" w:hAnsi="Arial" w:cs="Arial"/>
                <w:b/>
                <w:color w:val="000000" w:themeColor="text1"/>
                <w:sz w:val="20"/>
                <w:szCs w:val="20"/>
              </w:rPr>
            </w:pPr>
            <w:r w:rsidRPr="00740BA8">
              <w:rPr>
                <w:rFonts w:ascii="Arial" w:hAnsi="Arial" w:cs="Arial"/>
                <w:color w:val="000000" w:themeColor="text1"/>
                <w:sz w:val="20"/>
                <w:szCs w:val="20"/>
              </w:rPr>
              <w:t>107(60.5%)</w:t>
            </w:r>
          </w:p>
        </w:tc>
        <w:tc>
          <w:tcPr>
            <w:tcW w:w="2250" w:type="dxa"/>
            <w:shd w:val="clear" w:color="auto" w:fill="auto"/>
          </w:tcPr>
          <w:p w14:paraId="36D5026F" w14:textId="77777777" w:rsidR="00740BA8" w:rsidRDefault="00740BA8" w:rsidP="00B5425D">
            <w:pPr>
              <w:spacing w:after="0" w:line="480" w:lineRule="auto"/>
              <w:jc w:val="both"/>
              <w:rPr>
                <w:rFonts w:ascii="Arial" w:hAnsi="Arial" w:cs="Arial"/>
                <w:b/>
                <w:color w:val="000000" w:themeColor="text1"/>
                <w:sz w:val="20"/>
                <w:szCs w:val="20"/>
              </w:rPr>
            </w:pPr>
          </w:p>
          <w:p w14:paraId="738F9D69" w14:textId="47539D3E" w:rsidR="00B5425D" w:rsidRPr="00740BA8" w:rsidRDefault="00B5425D" w:rsidP="00B5425D">
            <w:pPr>
              <w:spacing w:after="0" w:line="480" w:lineRule="auto"/>
              <w:jc w:val="both"/>
              <w:rPr>
                <w:rFonts w:ascii="Arial" w:hAnsi="Arial" w:cs="Arial"/>
                <w:b/>
                <w:color w:val="000000" w:themeColor="text1"/>
                <w:sz w:val="20"/>
                <w:szCs w:val="20"/>
              </w:rPr>
            </w:pPr>
            <w:r w:rsidRPr="00740BA8">
              <w:rPr>
                <w:rFonts w:ascii="Arial" w:hAnsi="Arial" w:cs="Arial"/>
                <w:b/>
                <w:color w:val="000000" w:themeColor="text1"/>
                <w:sz w:val="20"/>
                <w:szCs w:val="20"/>
              </w:rPr>
              <w:t>χ2=46.756, df=1, p=0.00</w:t>
            </w:r>
            <w:r w:rsidR="00AF24ED">
              <w:rPr>
                <w:rFonts w:ascii="Arial" w:hAnsi="Arial" w:cs="Arial"/>
                <w:b/>
                <w:color w:val="000000" w:themeColor="text1"/>
                <w:sz w:val="20"/>
                <w:szCs w:val="20"/>
              </w:rPr>
              <w:t>1</w:t>
            </w:r>
          </w:p>
        </w:tc>
      </w:tr>
    </w:tbl>
    <w:p w14:paraId="47CB4EF1" w14:textId="29EF4544" w:rsidR="00055D72" w:rsidRDefault="00735D2C" w:rsidP="00735D2C">
      <w:pPr>
        <w:spacing w:before="240"/>
        <w:rPr>
          <w:rStyle w:val="markedcontent"/>
          <w:rFonts w:ascii="Arial" w:hAnsi="Arial" w:cs="Arial"/>
          <w:sz w:val="20"/>
          <w:szCs w:val="20"/>
        </w:rPr>
      </w:pPr>
      <w:r w:rsidRPr="00956326">
        <w:rPr>
          <w:rFonts w:ascii="Arial" w:hAnsi="Arial" w:cs="Arial"/>
          <w:color w:val="000000" w:themeColor="text1"/>
          <w:sz w:val="20"/>
          <w:szCs w:val="20"/>
          <w:shd w:val="clear" w:color="auto" w:fill="FFFFFF"/>
        </w:rPr>
        <w:t>Most of the vendors (88.2%) who had good knowledge (51-100% score) on acrylamide perceived acrylamide to be a human health concern as compared to their counterparts with poor knowledge (0-50% score).</w:t>
      </w:r>
      <w:r>
        <w:rPr>
          <w:rFonts w:ascii="Arial" w:hAnsi="Arial" w:cs="Arial"/>
          <w:color w:val="000000" w:themeColor="text1"/>
          <w:sz w:val="20"/>
          <w:szCs w:val="20"/>
          <w:shd w:val="clear" w:color="auto" w:fill="FFFFFF"/>
        </w:rPr>
        <w:t xml:space="preserve"> In addition, </w:t>
      </w:r>
      <w:r w:rsidRPr="001463AC">
        <w:rPr>
          <w:rFonts w:ascii="Arial" w:hAnsi="Arial" w:cs="Arial"/>
          <w:sz w:val="20"/>
          <w:szCs w:val="20"/>
          <w:shd w:val="clear" w:color="auto" w:fill="FFFFFF"/>
        </w:rPr>
        <w:t xml:space="preserve">Pearson’s chi square test </w:t>
      </w:r>
      <w:r w:rsidR="00055D72" w:rsidRPr="001463AC">
        <w:rPr>
          <w:rFonts w:ascii="Arial" w:hAnsi="Arial" w:cs="Arial"/>
          <w:sz w:val="20"/>
          <w:szCs w:val="20"/>
          <w:shd w:val="clear" w:color="auto" w:fill="FFFFFF"/>
        </w:rPr>
        <w:t xml:space="preserve">showed </w:t>
      </w:r>
      <w:r w:rsidR="00740BA8">
        <w:rPr>
          <w:rFonts w:ascii="Arial" w:hAnsi="Arial" w:cs="Arial"/>
          <w:sz w:val="20"/>
          <w:szCs w:val="20"/>
          <w:shd w:val="clear" w:color="auto" w:fill="FFFFFF"/>
        </w:rPr>
        <w:t xml:space="preserve">a </w:t>
      </w:r>
      <w:r w:rsidR="00055D72" w:rsidRPr="001463AC">
        <w:rPr>
          <w:rFonts w:ascii="Arial" w:hAnsi="Arial" w:cs="Arial"/>
          <w:sz w:val="20"/>
          <w:szCs w:val="20"/>
          <w:shd w:val="clear" w:color="auto" w:fill="FFFFFF"/>
        </w:rPr>
        <w:t>statistically significant association between knowledge levels and the perception of acrylamide as a human health concern</w:t>
      </w:r>
      <w:r w:rsidR="00C02BB8">
        <w:rPr>
          <w:rFonts w:ascii="Arial" w:hAnsi="Arial" w:cs="Arial"/>
          <w:sz w:val="20"/>
          <w:szCs w:val="20"/>
          <w:shd w:val="clear" w:color="auto" w:fill="FFFFFF"/>
        </w:rPr>
        <w:t xml:space="preserve">; </w:t>
      </w:r>
      <w:r w:rsidR="00055D72" w:rsidRPr="001463AC">
        <w:rPr>
          <w:rFonts w:ascii="Arial" w:hAnsi="Arial" w:cs="Arial"/>
          <w:sz w:val="20"/>
          <w:szCs w:val="20"/>
          <w:shd w:val="clear" w:color="auto" w:fill="FFFFFF"/>
        </w:rPr>
        <w:t>vendors</w:t>
      </w:r>
      <w:r w:rsidR="002B7912" w:rsidRPr="001463AC">
        <w:rPr>
          <w:rFonts w:ascii="Arial" w:hAnsi="Arial" w:cs="Arial"/>
          <w:sz w:val="20"/>
          <w:szCs w:val="20"/>
          <w:shd w:val="clear" w:color="auto" w:fill="FFFFFF"/>
        </w:rPr>
        <w:t xml:space="preserve"> (</w:t>
      </w:r>
      <w:r w:rsidR="002B7912" w:rsidRPr="001463AC">
        <w:rPr>
          <w:rFonts w:ascii="Arial" w:hAnsi="Arial" w:cs="Arial"/>
          <w:i/>
          <w:iCs/>
          <w:sz w:val="20"/>
          <w:szCs w:val="20"/>
          <w:shd w:val="clear" w:color="auto" w:fill="FFFFFF"/>
        </w:rPr>
        <w:t>P</w:t>
      </w:r>
      <w:r w:rsidR="00055D72" w:rsidRPr="001463AC">
        <w:rPr>
          <w:rStyle w:val="markedcontent"/>
          <w:rFonts w:ascii="Arial" w:hAnsi="Arial" w:cs="Arial"/>
          <w:sz w:val="20"/>
          <w:szCs w:val="20"/>
        </w:rPr>
        <w:t>=</w:t>
      </w:r>
      <w:r w:rsidR="00333526">
        <w:rPr>
          <w:rStyle w:val="markedcontent"/>
          <w:rFonts w:ascii="Arial" w:hAnsi="Arial" w:cs="Arial"/>
          <w:sz w:val="20"/>
          <w:szCs w:val="20"/>
        </w:rPr>
        <w:t xml:space="preserve"> </w:t>
      </w:r>
      <w:r w:rsidR="00055D72" w:rsidRPr="001463AC">
        <w:rPr>
          <w:rStyle w:val="markedcontent"/>
          <w:rFonts w:ascii="Arial" w:hAnsi="Arial" w:cs="Arial"/>
          <w:sz w:val="20"/>
          <w:szCs w:val="20"/>
        </w:rPr>
        <w:t>.00</w:t>
      </w:r>
      <w:r w:rsidR="00716C0C">
        <w:rPr>
          <w:rStyle w:val="markedcontent"/>
          <w:rFonts w:ascii="Arial" w:hAnsi="Arial" w:cs="Arial"/>
          <w:sz w:val="20"/>
          <w:szCs w:val="20"/>
        </w:rPr>
        <w:t>1</w:t>
      </w:r>
      <w:r w:rsidR="002B7912" w:rsidRPr="001463AC">
        <w:rPr>
          <w:rStyle w:val="markedcontent"/>
          <w:rFonts w:ascii="Arial" w:hAnsi="Arial" w:cs="Arial"/>
          <w:sz w:val="20"/>
          <w:szCs w:val="20"/>
        </w:rPr>
        <w:t>)</w:t>
      </w:r>
      <w:r>
        <w:rPr>
          <w:rStyle w:val="markedcontent"/>
          <w:rFonts w:ascii="Arial" w:hAnsi="Arial" w:cs="Arial"/>
          <w:sz w:val="20"/>
          <w:szCs w:val="20"/>
        </w:rPr>
        <w:t xml:space="preserve">. </w:t>
      </w:r>
      <w:r w:rsidR="001F6584">
        <w:rPr>
          <w:rStyle w:val="markedcontent"/>
          <w:rFonts w:ascii="Arial" w:hAnsi="Arial" w:cs="Arial"/>
          <w:sz w:val="20"/>
          <w:szCs w:val="20"/>
        </w:rPr>
        <w:t>T</w:t>
      </w:r>
      <w:r>
        <w:rPr>
          <w:rStyle w:val="markedcontent"/>
          <w:rFonts w:ascii="Arial" w:hAnsi="Arial" w:cs="Arial"/>
          <w:sz w:val="20"/>
          <w:szCs w:val="20"/>
        </w:rPr>
        <w:t xml:space="preserve">his implies that knowledge plays a critical role in </w:t>
      </w:r>
      <w:r w:rsidR="001F6584">
        <w:rPr>
          <w:rStyle w:val="markedcontent"/>
          <w:rFonts w:ascii="Arial" w:hAnsi="Arial" w:cs="Arial"/>
          <w:sz w:val="20"/>
          <w:szCs w:val="20"/>
        </w:rPr>
        <w:t>health risk perception which in turn influences practice.</w:t>
      </w:r>
    </w:p>
    <w:p w14:paraId="2E58B7F4" w14:textId="77D503DB" w:rsidR="00740BA8" w:rsidRDefault="00740BA8" w:rsidP="003B7126">
      <w:pPr>
        <w:spacing w:before="240" w:line="240" w:lineRule="auto"/>
        <w:jc w:val="both"/>
        <w:rPr>
          <w:rStyle w:val="markedcontent"/>
          <w:rFonts w:ascii="Arial" w:hAnsi="Arial" w:cs="Arial"/>
          <w:sz w:val="20"/>
          <w:szCs w:val="20"/>
        </w:rPr>
      </w:pPr>
      <w:r w:rsidRPr="00740BA8">
        <w:rPr>
          <w:rStyle w:val="markedcontent"/>
          <w:rFonts w:ascii="Arial" w:hAnsi="Arial" w:cs="Arial"/>
          <w:b/>
          <w:bCs/>
          <w:sz w:val="20"/>
          <w:szCs w:val="20"/>
        </w:rPr>
        <w:t>Table 4.</w:t>
      </w:r>
      <w:r>
        <w:rPr>
          <w:rStyle w:val="markedcontent"/>
          <w:rFonts w:ascii="Arial" w:hAnsi="Arial" w:cs="Arial"/>
          <w:sz w:val="20"/>
          <w:szCs w:val="20"/>
        </w:rPr>
        <w:t xml:space="preserve"> </w:t>
      </w:r>
      <w:r w:rsidRPr="00B5425D">
        <w:rPr>
          <w:rFonts w:ascii="Arial" w:hAnsi="Arial" w:cs="Arial"/>
          <w:b/>
          <w:bCs/>
          <w:sz w:val="20"/>
          <w:szCs w:val="20"/>
          <w:shd w:val="clear" w:color="auto" w:fill="FFFFFF"/>
        </w:rPr>
        <w:t>Association between knowledge levels and acrylamide perception as a health concern</w:t>
      </w:r>
      <w:r>
        <w:rPr>
          <w:rFonts w:ascii="Arial" w:hAnsi="Arial" w:cs="Arial"/>
          <w:b/>
          <w:bCs/>
          <w:sz w:val="20"/>
          <w:szCs w:val="20"/>
          <w:shd w:val="clear" w:color="auto" w:fill="FFFFFF"/>
        </w:rPr>
        <w:t xml:space="preserve"> among consumers </w:t>
      </w:r>
    </w:p>
    <w:tbl>
      <w:tblPr>
        <w:tblW w:w="77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530"/>
        <w:gridCol w:w="1710"/>
        <w:gridCol w:w="2250"/>
      </w:tblGrid>
      <w:tr w:rsidR="00740BA8" w:rsidRPr="00740BA8" w14:paraId="799470C3" w14:textId="77777777" w:rsidTr="00740BA8">
        <w:tc>
          <w:tcPr>
            <w:tcW w:w="2250" w:type="dxa"/>
            <w:vMerge w:val="restart"/>
            <w:shd w:val="clear" w:color="auto" w:fill="auto"/>
          </w:tcPr>
          <w:p w14:paraId="44AA096E"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Variable </w:t>
            </w:r>
          </w:p>
        </w:tc>
        <w:tc>
          <w:tcPr>
            <w:tcW w:w="5490" w:type="dxa"/>
            <w:gridSpan w:val="3"/>
            <w:shd w:val="clear" w:color="auto" w:fill="auto"/>
          </w:tcPr>
          <w:p w14:paraId="4A38A165"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Perceive Acrylamide as a human health concern </w:t>
            </w:r>
          </w:p>
        </w:tc>
      </w:tr>
      <w:tr w:rsidR="00740BA8" w:rsidRPr="00740BA8" w14:paraId="3E401367" w14:textId="77777777" w:rsidTr="00740BA8">
        <w:tc>
          <w:tcPr>
            <w:tcW w:w="2250" w:type="dxa"/>
            <w:vMerge/>
            <w:shd w:val="clear" w:color="auto" w:fill="auto"/>
          </w:tcPr>
          <w:p w14:paraId="4EB6D735"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p>
        </w:tc>
        <w:tc>
          <w:tcPr>
            <w:tcW w:w="5490" w:type="dxa"/>
            <w:gridSpan w:val="3"/>
            <w:shd w:val="clear" w:color="auto" w:fill="auto"/>
          </w:tcPr>
          <w:p w14:paraId="576AFB85" w14:textId="2B797D9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Consumers</w:t>
            </w:r>
            <w:r>
              <w:rPr>
                <w:rFonts w:ascii="Arial" w:hAnsi="Arial" w:cs="Arial"/>
                <w:b/>
                <w:color w:val="000000" w:themeColor="text1"/>
                <w:sz w:val="20"/>
                <w:szCs w:val="20"/>
                <w:shd w:val="clear" w:color="auto" w:fill="FFFFFF"/>
              </w:rPr>
              <w:t xml:space="preserve"> </w:t>
            </w:r>
            <w:r w:rsidRPr="00740BA8">
              <w:rPr>
                <w:rFonts w:ascii="Arial" w:hAnsi="Arial" w:cs="Arial"/>
                <w:b/>
                <w:color w:val="000000" w:themeColor="text1"/>
                <w:sz w:val="20"/>
                <w:szCs w:val="20"/>
                <w:shd w:val="clear" w:color="auto" w:fill="FFFFFF"/>
              </w:rPr>
              <w:t>(n =350)</w:t>
            </w:r>
          </w:p>
        </w:tc>
      </w:tr>
      <w:tr w:rsidR="00740BA8" w:rsidRPr="00740BA8" w14:paraId="3BDDACC4" w14:textId="77777777" w:rsidTr="00740BA8">
        <w:tc>
          <w:tcPr>
            <w:tcW w:w="2250" w:type="dxa"/>
            <w:vMerge/>
            <w:shd w:val="clear" w:color="auto" w:fill="auto"/>
          </w:tcPr>
          <w:p w14:paraId="3B353A73"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p>
        </w:tc>
        <w:tc>
          <w:tcPr>
            <w:tcW w:w="1530" w:type="dxa"/>
            <w:shd w:val="clear" w:color="auto" w:fill="auto"/>
          </w:tcPr>
          <w:p w14:paraId="04101410"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Yes</w:t>
            </w:r>
          </w:p>
        </w:tc>
        <w:tc>
          <w:tcPr>
            <w:tcW w:w="1710" w:type="dxa"/>
            <w:shd w:val="clear" w:color="auto" w:fill="auto"/>
          </w:tcPr>
          <w:p w14:paraId="77DE6BD2"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No</w:t>
            </w:r>
          </w:p>
        </w:tc>
        <w:tc>
          <w:tcPr>
            <w:tcW w:w="2250" w:type="dxa"/>
            <w:shd w:val="clear" w:color="auto" w:fill="auto"/>
          </w:tcPr>
          <w:p w14:paraId="2ADB5878"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Significance</w:t>
            </w:r>
          </w:p>
        </w:tc>
      </w:tr>
      <w:tr w:rsidR="00740BA8" w:rsidRPr="00740BA8" w14:paraId="27C45311" w14:textId="77777777" w:rsidTr="00740BA8">
        <w:tc>
          <w:tcPr>
            <w:tcW w:w="2250" w:type="dxa"/>
            <w:shd w:val="clear" w:color="auto" w:fill="auto"/>
          </w:tcPr>
          <w:p w14:paraId="4239A562" w14:textId="77777777" w:rsidR="00740BA8" w:rsidRPr="00740BA8" w:rsidRDefault="00740BA8" w:rsidP="00740BA8">
            <w:pPr>
              <w:spacing w:after="0" w:line="480" w:lineRule="auto"/>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Knowledge </w:t>
            </w:r>
          </w:p>
          <w:p w14:paraId="388A73B3" w14:textId="77777777" w:rsidR="00740BA8" w:rsidRPr="00740BA8" w:rsidRDefault="00740BA8" w:rsidP="00740BA8">
            <w:pPr>
              <w:spacing w:after="0" w:line="480" w:lineRule="auto"/>
              <w:rPr>
                <w:rFonts w:ascii="Arial" w:hAnsi="Arial" w:cs="Arial"/>
                <w:color w:val="000000" w:themeColor="text1"/>
                <w:sz w:val="20"/>
                <w:szCs w:val="20"/>
                <w:shd w:val="clear" w:color="auto" w:fill="FFFFFF"/>
              </w:rPr>
            </w:pPr>
            <w:r w:rsidRPr="00740BA8">
              <w:rPr>
                <w:rFonts w:ascii="Arial" w:hAnsi="Arial" w:cs="Arial"/>
                <w:color w:val="000000" w:themeColor="text1"/>
                <w:sz w:val="20"/>
                <w:szCs w:val="20"/>
                <w:shd w:val="clear" w:color="auto" w:fill="FFFFFF"/>
              </w:rPr>
              <w:t>Good (score 51-100%)</w:t>
            </w:r>
          </w:p>
          <w:p w14:paraId="32855E5D" w14:textId="77777777" w:rsidR="00740BA8" w:rsidRPr="00740BA8" w:rsidRDefault="00740BA8" w:rsidP="00740BA8">
            <w:pPr>
              <w:spacing w:after="0" w:line="480" w:lineRule="auto"/>
              <w:rPr>
                <w:rFonts w:ascii="Arial" w:hAnsi="Arial" w:cs="Arial"/>
                <w:b/>
                <w:color w:val="000000" w:themeColor="text1"/>
                <w:sz w:val="20"/>
                <w:szCs w:val="20"/>
                <w:shd w:val="clear" w:color="auto" w:fill="FFFFFF"/>
              </w:rPr>
            </w:pPr>
            <w:r w:rsidRPr="00740BA8">
              <w:rPr>
                <w:rFonts w:ascii="Arial" w:hAnsi="Arial" w:cs="Arial"/>
                <w:color w:val="000000" w:themeColor="text1"/>
                <w:sz w:val="20"/>
                <w:szCs w:val="20"/>
                <w:shd w:val="clear" w:color="auto" w:fill="FFFFFF"/>
              </w:rPr>
              <w:t>Poor (score 0-50%)</w:t>
            </w:r>
          </w:p>
        </w:tc>
        <w:tc>
          <w:tcPr>
            <w:tcW w:w="1530" w:type="dxa"/>
            <w:shd w:val="clear" w:color="auto" w:fill="auto"/>
          </w:tcPr>
          <w:p w14:paraId="4E5ABD4C" w14:textId="77777777" w:rsidR="00740BA8" w:rsidRDefault="00740BA8" w:rsidP="00740BA8">
            <w:pPr>
              <w:spacing w:after="0" w:line="480" w:lineRule="auto"/>
              <w:jc w:val="both"/>
              <w:rPr>
                <w:rFonts w:ascii="Arial" w:hAnsi="Arial" w:cs="Arial"/>
                <w:color w:val="000000" w:themeColor="text1"/>
                <w:sz w:val="20"/>
                <w:szCs w:val="20"/>
                <w:shd w:val="clear" w:color="auto" w:fill="FFFFFF"/>
              </w:rPr>
            </w:pPr>
          </w:p>
          <w:p w14:paraId="2ED8B58F" w14:textId="6ED3CC8A" w:rsidR="00740BA8" w:rsidRPr="00740BA8" w:rsidRDefault="00740BA8" w:rsidP="00740BA8">
            <w:pPr>
              <w:spacing w:after="0" w:line="480" w:lineRule="auto"/>
              <w:jc w:val="both"/>
              <w:rPr>
                <w:rFonts w:ascii="Arial" w:hAnsi="Arial" w:cs="Arial"/>
                <w:color w:val="000000" w:themeColor="text1"/>
                <w:sz w:val="20"/>
                <w:szCs w:val="20"/>
                <w:shd w:val="clear" w:color="auto" w:fill="FFFFFF"/>
              </w:rPr>
            </w:pPr>
            <w:r w:rsidRPr="00740BA8">
              <w:rPr>
                <w:rFonts w:ascii="Arial" w:hAnsi="Arial" w:cs="Arial"/>
                <w:color w:val="000000" w:themeColor="text1"/>
                <w:sz w:val="20"/>
                <w:szCs w:val="20"/>
                <w:shd w:val="clear" w:color="auto" w:fill="FFFFFF"/>
              </w:rPr>
              <w:t>124(95.4%)</w:t>
            </w:r>
          </w:p>
          <w:p w14:paraId="4ABA04BE"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color w:val="000000" w:themeColor="text1"/>
                <w:sz w:val="20"/>
                <w:szCs w:val="20"/>
                <w:shd w:val="clear" w:color="auto" w:fill="FFFFFF"/>
              </w:rPr>
              <w:t>91(41.4%)</w:t>
            </w:r>
          </w:p>
        </w:tc>
        <w:tc>
          <w:tcPr>
            <w:tcW w:w="1710" w:type="dxa"/>
            <w:shd w:val="clear" w:color="auto" w:fill="auto"/>
          </w:tcPr>
          <w:p w14:paraId="55EA2BC4" w14:textId="77777777" w:rsidR="00740BA8" w:rsidRDefault="00740BA8" w:rsidP="00740BA8">
            <w:pPr>
              <w:spacing w:after="0" w:line="480" w:lineRule="auto"/>
              <w:jc w:val="both"/>
              <w:rPr>
                <w:rFonts w:ascii="Arial" w:hAnsi="Arial" w:cs="Arial"/>
                <w:color w:val="000000" w:themeColor="text1"/>
                <w:sz w:val="20"/>
                <w:szCs w:val="20"/>
              </w:rPr>
            </w:pPr>
          </w:p>
          <w:p w14:paraId="5D54C609" w14:textId="67C6EFCB" w:rsidR="00740BA8" w:rsidRPr="00740BA8" w:rsidRDefault="00740BA8" w:rsidP="00740BA8">
            <w:pPr>
              <w:spacing w:after="0" w:line="480" w:lineRule="auto"/>
              <w:jc w:val="both"/>
              <w:rPr>
                <w:rFonts w:ascii="Arial" w:hAnsi="Arial" w:cs="Arial"/>
                <w:color w:val="000000" w:themeColor="text1"/>
                <w:sz w:val="20"/>
                <w:szCs w:val="20"/>
              </w:rPr>
            </w:pPr>
            <w:r w:rsidRPr="00740BA8">
              <w:rPr>
                <w:rFonts w:ascii="Arial" w:hAnsi="Arial" w:cs="Arial"/>
                <w:color w:val="000000" w:themeColor="text1"/>
                <w:sz w:val="20"/>
                <w:szCs w:val="20"/>
              </w:rPr>
              <w:t>6(4.6%)</w:t>
            </w:r>
          </w:p>
          <w:p w14:paraId="183E3F62" w14:textId="77777777" w:rsidR="00740BA8" w:rsidRPr="00740BA8" w:rsidRDefault="00740BA8" w:rsidP="00740BA8">
            <w:pPr>
              <w:spacing w:after="0" w:line="480" w:lineRule="auto"/>
              <w:jc w:val="both"/>
              <w:rPr>
                <w:rFonts w:ascii="Arial" w:hAnsi="Arial" w:cs="Arial"/>
                <w:color w:val="000000" w:themeColor="text1"/>
                <w:sz w:val="20"/>
                <w:szCs w:val="20"/>
              </w:rPr>
            </w:pPr>
            <w:r w:rsidRPr="00740BA8">
              <w:rPr>
                <w:rFonts w:ascii="Arial" w:hAnsi="Arial" w:cs="Arial"/>
                <w:color w:val="000000" w:themeColor="text1"/>
                <w:sz w:val="20"/>
                <w:szCs w:val="20"/>
              </w:rPr>
              <w:t>129(58.6%)</w:t>
            </w:r>
          </w:p>
        </w:tc>
        <w:tc>
          <w:tcPr>
            <w:tcW w:w="2250" w:type="dxa"/>
            <w:shd w:val="clear" w:color="auto" w:fill="auto"/>
          </w:tcPr>
          <w:p w14:paraId="12CFCF4C" w14:textId="77777777" w:rsidR="00740BA8" w:rsidRDefault="00740BA8" w:rsidP="00740BA8">
            <w:pPr>
              <w:spacing w:after="0" w:line="480" w:lineRule="auto"/>
              <w:jc w:val="both"/>
              <w:rPr>
                <w:rFonts w:ascii="Arial" w:hAnsi="Arial" w:cs="Arial"/>
                <w:b/>
                <w:color w:val="000000" w:themeColor="text1"/>
                <w:sz w:val="20"/>
                <w:szCs w:val="20"/>
              </w:rPr>
            </w:pPr>
          </w:p>
          <w:p w14:paraId="27124C99" w14:textId="0A1CED7F" w:rsidR="00740BA8" w:rsidRPr="00740BA8" w:rsidRDefault="00740BA8" w:rsidP="00740BA8">
            <w:pPr>
              <w:spacing w:after="0" w:line="480" w:lineRule="auto"/>
              <w:jc w:val="both"/>
              <w:rPr>
                <w:rFonts w:ascii="Arial" w:hAnsi="Arial" w:cs="Arial"/>
                <w:b/>
                <w:color w:val="000000" w:themeColor="text1"/>
                <w:sz w:val="20"/>
                <w:szCs w:val="20"/>
              </w:rPr>
            </w:pPr>
            <w:r w:rsidRPr="00740BA8">
              <w:rPr>
                <w:rFonts w:ascii="Arial" w:hAnsi="Arial" w:cs="Arial"/>
                <w:b/>
                <w:color w:val="000000" w:themeColor="text1"/>
                <w:sz w:val="20"/>
                <w:szCs w:val="20"/>
              </w:rPr>
              <w:t xml:space="preserve">χ2=100.644, df=1, </w:t>
            </w:r>
          </w:p>
          <w:p w14:paraId="041153B1" w14:textId="1B718A6C" w:rsidR="00740BA8" w:rsidRPr="00740BA8" w:rsidRDefault="00740BA8" w:rsidP="00740BA8">
            <w:pPr>
              <w:spacing w:after="0" w:line="480" w:lineRule="auto"/>
              <w:jc w:val="both"/>
              <w:rPr>
                <w:rFonts w:ascii="Arial" w:hAnsi="Arial" w:cs="Arial"/>
                <w:color w:val="000000" w:themeColor="text1"/>
                <w:sz w:val="20"/>
                <w:szCs w:val="20"/>
              </w:rPr>
            </w:pPr>
            <w:r w:rsidRPr="00740BA8">
              <w:rPr>
                <w:rFonts w:ascii="Arial" w:hAnsi="Arial" w:cs="Arial"/>
                <w:b/>
                <w:color w:val="000000" w:themeColor="text1"/>
                <w:sz w:val="20"/>
                <w:szCs w:val="20"/>
              </w:rPr>
              <w:t>p=0.00</w:t>
            </w:r>
            <w:r w:rsidR="00AF24ED">
              <w:rPr>
                <w:rFonts w:ascii="Arial" w:hAnsi="Arial" w:cs="Arial"/>
                <w:b/>
                <w:color w:val="000000" w:themeColor="text1"/>
                <w:sz w:val="20"/>
                <w:szCs w:val="20"/>
              </w:rPr>
              <w:t>1</w:t>
            </w:r>
          </w:p>
        </w:tc>
      </w:tr>
    </w:tbl>
    <w:p w14:paraId="7CFF399F" w14:textId="0CC8DAB0" w:rsidR="00740BA8" w:rsidRDefault="00C02BB8" w:rsidP="00C02BB8">
      <w:pPr>
        <w:spacing w:before="240"/>
        <w:rPr>
          <w:rStyle w:val="markedcontent"/>
          <w:rFonts w:ascii="Arial" w:hAnsi="Arial" w:cs="Arial"/>
          <w:sz w:val="20"/>
          <w:szCs w:val="20"/>
        </w:rPr>
      </w:pPr>
      <w:r>
        <w:rPr>
          <w:rFonts w:ascii="Arial" w:hAnsi="Arial" w:cs="Arial"/>
          <w:color w:val="000000" w:themeColor="text1"/>
          <w:sz w:val="20"/>
          <w:szCs w:val="20"/>
          <w:shd w:val="clear" w:color="auto" w:fill="FFFFFF"/>
        </w:rPr>
        <w:t>Like the vendors, m</w:t>
      </w:r>
      <w:r w:rsidR="00735D2C" w:rsidRPr="00956326">
        <w:rPr>
          <w:rFonts w:ascii="Arial" w:hAnsi="Arial" w:cs="Arial"/>
          <w:color w:val="000000" w:themeColor="text1"/>
          <w:sz w:val="20"/>
          <w:szCs w:val="20"/>
          <w:shd w:val="clear" w:color="auto" w:fill="FFFFFF"/>
        </w:rPr>
        <w:t xml:space="preserve">ost of the </w:t>
      </w:r>
      <w:r w:rsidRPr="00956326">
        <w:rPr>
          <w:rFonts w:ascii="Arial" w:hAnsi="Arial" w:cs="Arial"/>
          <w:color w:val="000000" w:themeColor="text1"/>
          <w:sz w:val="20"/>
          <w:szCs w:val="20"/>
          <w:shd w:val="clear" w:color="auto" w:fill="FFFFFF"/>
        </w:rPr>
        <w:t xml:space="preserve">consumers </w:t>
      </w:r>
      <w:r w:rsidR="00735D2C" w:rsidRPr="00956326">
        <w:rPr>
          <w:rFonts w:ascii="Arial" w:hAnsi="Arial" w:cs="Arial"/>
          <w:color w:val="000000" w:themeColor="text1"/>
          <w:sz w:val="20"/>
          <w:szCs w:val="20"/>
          <w:shd w:val="clear" w:color="auto" w:fill="FFFFFF"/>
        </w:rPr>
        <w:t xml:space="preserve">(95.4%) who had good knowledge (51-100% score) on acrylamide perceived acrylamide to be a human health concern as compared to their </w:t>
      </w:r>
      <w:r>
        <w:rPr>
          <w:rFonts w:ascii="Arial" w:hAnsi="Arial" w:cs="Arial"/>
          <w:color w:val="000000" w:themeColor="text1"/>
          <w:sz w:val="20"/>
          <w:szCs w:val="20"/>
          <w:shd w:val="clear" w:color="auto" w:fill="FFFFFF"/>
        </w:rPr>
        <w:t>fellows</w:t>
      </w:r>
      <w:r w:rsidR="00735D2C" w:rsidRPr="00956326">
        <w:rPr>
          <w:rFonts w:ascii="Arial" w:hAnsi="Arial" w:cs="Arial"/>
          <w:color w:val="000000" w:themeColor="text1"/>
          <w:sz w:val="20"/>
          <w:szCs w:val="20"/>
          <w:shd w:val="clear" w:color="auto" w:fill="FFFFFF"/>
        </w:rPr>
        <w:t xml:space="preserve"> with poor knowledge (0-50% score).</w:t>
      </w:r>
      <w:r>
        <w:rPr>
          <w:rFonts w:ascii="Arial" w:hAnsi="Arial" w:cs="Arial"/>
          <w:color w:val="000000" w:themeColor="text1"/>
          <w:sz w:val="20"/>
          <w:szCs w:val="20"/>
          <w:shd w:val="clear" w:color="auto" w:fill="FFFFFF"/>
        </w:rPr>
        <w:t xml:space="preserve"> </w:t>
      </w:r>
      <w:r>
        <w:rPr>
          <w:rFonts w:ascii="Arial" w:hAnsi="Arial" w:cs="Arial"/>
          <w:sz w:val="20"/>
          <w:szCs w:val="20"/>
          <w:shd w:val="clear" w:color="auto" w:fill="FFFFFF"/>
        </w:rPr>
        <w:t>Furthermore, P</w:t>
      </w:r>
      <w:r w:rsidRPr="001463AC">
        <w:rPr>
          <w:rFonts w:ascii="Arial" w:hAnsi="Arial" w:cs="Arial"/>
          <w:sz w:val="20"/>
          <w:szCs w:val="20"/>
          <w:shd w:val="clear" w:color="auto" w:fill="FFFFFF"/>
        </w:rPr>
        <w:t xml:space="preserve">earson’s chi square test </w:t>
      </w:r>
      <w:r w:rsidR="00740BA8" w:rsidRPr="001463AC">
        <w:rPr>
          <w:rFonts w:ascii="Arial" w:hAnsi="Arial" w:cs="Arial"/>
          <w:sz w:val="20"/>
          <w:szCs w:val="20"/>
          <w:shd w:val="clear" w:color="auto" w:fill="FFFFFF"/>
        </w:rPr>
        <w:t xml:space="preserve">showed </w:t>
      </w:r>
      <w:r w:rsidR="00740BA8">
        <w:rPr>
          <w:rFonts w:ascii="Arial" w:hAnsi="Arial" w:cs="Arial"/>
          <w:sz w:val="20"/>
          <w:szCs w:val="20"/>
          <w:shd w:val="clear" w:color="auto" w:fill="FFFFFF"/>
        </w:rPr>
        <w:t xml:space="preserve">a </w:t>
      </w:r>
      <w:r w:rsidR="00740BA8" w:rsidRPr="001463AC">
        <w:rPr>
          <w:rFonts w:ascii="Arial" w:hAnsi="Arial" w:cs="Arial"/>
          <w:sz w:val="20"/>
          <w:szCs w:val="20"/>
          <w:shd w:val="clear" w:color="auto" w:fill="FFFFFF"/>
        </w:rPr>
        <w:t>statistically significant association between knowledge levels and the perception of acrylamide as a human health concern</w:t>
      </w:r>
      <w:r>
        <w:rPr>
          <w:rFonts w:ascii="Arial" w:hAnsi="Arial" w:cs="Arial"/>
          <w:sz w:val="20"/>
          <w:szCs w:val="20"/>
          <w:shd w:val="clear" w:color="auto" w:fill="FFFFFF"/>
        </w:rPr>
        <w:t xml:space="preserve">; </w:t>
      </w:r>
      <w:r w:rsidR="00740BA8" w:rsidRPr="001463AC">
        <w:rPr>
          <w:rStyle w:val="markedcontent"/>
          <w:rFonts w:ascii="Arial" w:hAnsi="Arial" w:cs="Arial"/>
          <w:sz w:val="20"/>
          <w:szCs w:val="20"/>
        </w:rPr>
        <w:t>consumers (</w:t>
      </w:r>
      <w:r w:rsidR="00740BA8" w:rsidRPr="001463AC">
        <w:rPr>
          <w:rStyle w:val="markedcontent"/>
          <w:rFonts w:ascii="Arial" w:hAnsi="Arial" w:cs="Arial"/>
          <w:i/>
          <w:iCs/>
          <w:sz w:val="20"/>
          <w:szCs w:val="20"/>
        </w:rPr>
        <w:t>P</w:t>
      </w:r>
      <w:r w:rsidR="00740BA8" w:rsidRPr="001463AC">
        <w:rPr>
          <w:rStyle w:val="markedcontent"/>
          <w:rFonts w:ascii="Arial" w:hAnsi="Arial" w:cs="Arial"/>
          <w:sz w:val="20"/>
          <w:szCs w:val="20"/>
        </w:rPr>
        <w:t>=</w:t>
      </w:r>
      <w:r w:rsidR="00740BA8">
        <w:rPr>
          <w:rStyle w:val="markedcontent"/>
          <w:rFonts w:ascii="Arial" w:hAnsi="Arial" w:cs="Arial"/>
          <w:sz w:val="20"/>
          <w:szCs w:val="20"/>
        </w:rPr>
        <w:t xml:space="preserve"> </w:t>
      </w:r>
      <w:r w:rsidR="00740BA8" w:rsidRPr="001463AC">
        <w:rPr>
          <w:rStyle w:val="markedcontent"/>
          <w:rFonts w:ascii="Arial" w:hAnsi="Arial" w:cs="Arial"/>
          <w:sz w:val="20"/>
          <w:szCs w:val="20"/>
        </w:rPr>
        <w:t>.00</w:t>
      </w:r>
      <w:r w:rsidR="00740BA8">
        <w:rPr>
          <w:rStyle w:val="markedcontent"/>
          <w:rFonts w:ascii="Arial" w:hAnsi="Arial" w:cs="Arial"/>
          <w:sz w:val="20"/>
          <w:szCs w:val="20"/>
        </w:rPr>
        <w:t>1</w:t>
      </w:r>
      <w:r w:rsidR="00740BA8" w:rsidRPr="001463AC">
        <w:rPr>
          <w:rStyle w:val="markedcontent"/>
          <w:rFonts w:ascii="Arial" w:hAnsi="Arial" w:cs="Arial"/>
          <w:sz w:val="20"/>
          <w:szCs w:val="20"/>
        </w:rPr>
        <w:t>).</w:t>
      </w:r>
      <w:r w:rsidR="00CB3770">
        <w:rPr>
          <w:rStyle w:val="markedcontent"/>
          <w:rFonts w:ascii="Arial" w:hAnsi="Arial" w:cs="Arial"/>
          <w:sz w:val="20"/>
          <w:szCs w:val="20"/>
        </w:rPr>
        <w:t xml:space="preserve"> These results emphasize the </w:t>
      </w:r>
      <w:r w:rsidR="005B127D">
        <w:rPr>
          <w:rStyle w:val="markedcontent"/>
          <w:rFonts w:ascii="Arial" w:hAnsi="Arial" w:cs="Arial"/>
          <w:sz w:val="20"/>
          <w:szCs w:val="20"/>
        </w:rPr>
        <w:t>significant role of knowledge in making health choices in life.</w:t>
      </w:r>
    </w:p>
    <w:p w14:paraId="5DA05BED" w14:textId="77777777" w:rsidR="00055D72" w:rsidRPr="0035150B" w:rsidRDefault="00055D72" w:rsidP="0094521C">
      <w:pPr>
        <w:spacing w:line="240" w:lineRule="auto"/>
        <w:jc w:val="both"/>
        <w:rPr>
          <w:rStyle w:val="markedcontent"/>
          <w:rFonts w:ascii="Arial" w:hAnsi="Arial" w:cs="Arial"/>
          <w:b/>
          <w:bCs/>
          <w:sz w:val="24"/>
          <w:szCs w:val="24"/>
        </w:rPr>
      </w:pPr>
      <w:r w:rsidRPr="0035150B">
        <w:rPr>
          <w:rStyle w:val="markedcontent"/>
          <w:rFonts w:ascii="Arial" w:hAnsi="Arial" w:cs="Arial"/>
          <w:b/>
          <w:bCs/>
          <w:sz w:val="24"/>
          <w:szCs w:val="24"/>
        </w:rPr>
        <w:t xml:space="preserve">DISCUSSION </w:t>
      </w:r>
    </w:p>
    <w:p w14:paraId="6BF36DE9" w14:textId="77777777" w:rsidR="00055D72" w:rsidRPr="001463AC" w:rsidRDefault="00055D72" w:rsidP="003B7126">
      <w:pPr>
        <w:spacing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t xml:space="preserve">As reported, the mean knowledge of both the vendors and consumers on acrylamide was poor. This finding is similar to the finding by </w:t>
      </w:r>
      <w:proofErr w:type="spellStart"/>
      <w:r w:rsidRPr="001463AC">
        <w:rPr>
          <w:rFonts w:ascii="Arial" w:hAnsi="Arial" w:cs="Arial"/>
          <w:sz w:val="20"/>
          <w:szCs w:val="20"/>
          <w:shd w:val="clear" w:color="auto" w:fill="FFFFFF"/>
        </w:rPr>
        <w:t>Mainya</w:t>
      </w:r>
      <w:proofErr w:type="spellEnd"/>
      <w:r w:rsidRPr="001463AC">
        <w:rPr>
          <w:rFonts w:ascii="Arial" w:hAnsi="Arial" w:cs="Arial"/>
          <w:sz w:val="20"/>
          <w:szCs w:val="20"/>
          <w:shd w:val="clear" w:color="auto" w:fill="FFFFFF"/>
        </w:rPr>
        <w:t xml:space="preserve"> </w:t>
      </w:r>
      <w:r w:rsidRPr="001463AC">
        <w:rPr>
          <w:rFonts w:ascii="Arial" w:hAnsi="Arial" w:cs="Arial"/>
          <w:i/>
          <w:sz w:val="20"/>
          <w:szCs w:val="20"/>
          <w:shd w:val="clear" w:color="auto" w:fill="FFFFFF"/>
        </w:rPr>
        <w:t>et al.</w:t>
      </w:r>
      <w:r w:rsidRPr="001463AC">
        <w:rPr>
          <w:rFonts w:ascii="Arial" w:hAnsi="Arial" w:cs="Arial"/>
          <w:sz w:val="20"/>
          <w:szCs w:val="20"/>
          <w:shd w:val="clear" w:color="auto" w:fill="FFFFFF"/>
        </w:rPr>
        <w:t xml:space="preserve"> (2020) who reported poor knowledge about acrylamide levels in chips and crisps among both the vendors and the consumers. The result also agrees with the results of a study conducted among medical students in Poland where only 7% reported that they had heard about acrylamide but not even one of them had knowledge on how it is formed (Kowalska </w:t>
      </w:r>
      <w:r w:rsidRPr="001463AC">
        <w:rPr>
          <w:rFonts w:ascii="Arial" w:hAnsi="Arial" w:cs="Arial"/>
          <w:i/>
          <w:sz w:val="20"/>
          <w:szCs w:val="20"/>
          <w:shd w:val="clear" w:color="auto" w:fill="FFFFFF"/>
        </w:rPr>
        <w:t>et al.,</w:t>
      </w:r>
      <w:r w:rsidRPr="001463AC">
        <w:rPr>
          <w:rFonts w:ascii="Arial" w:hAnsi="Arial" w:cs="Arial"/>
          <w:sz w:val="20"/>
          <w:szCs w:val="20"/>
          <w:shd w:val="clear" w:color="auto" w:fill="FFFFFF"/>
        </w:rPr>
        <w:t xml:space="preserve"> 2017). </w:t>
      </w:r>
    </w:p>
    <w:p w14:paraId="74CC632D" w14:textId="7D72B0DD" w:rsidR="00055D72" w:rsidRPr="001463AC" w:rsidRDefault="00055D72" w:rsidP="003B7126">
      <w:pPr>
        <w:spacing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t xml:space="preserve">Though the mean knowledge level was poor for both the vendors and the consumers, the consumers were more (at 27.2%) knowledgeable as compared with vendors (at 25.8%). This result is consistent with the result of GAIN (2020) which found that consumers were more knowledgeable regarding food safety as compared to vendors. With regards to awareness on acrylamide, a systematic review by Perera </w:t>
      </w:r>
      <w:r w:rsidRPr="001463AC">
        <w:rPr>
          <w:rFonts w:ascii="Arial" w:hAnsi="Arial" w:cs="Arial"/>
          <w:i/>
          <w:sz w:val="20"/>
          <w:szCs w:val="20"/>
          <w:shd w:val="clear" w:color="auto" w:fill="FFFFFF"/>
        </w:rPr>
        <w:t>et al.</w:t>
      </w:r>
      <w:r w:rsidRPr="001463AC">
        <w:rPr>
          <w:rFonts w:ascii="Arial" w:hAnsi="Arial" w:cs="Arial"/>
          <w:sz w:val="20"/>
          <w:szCs w:val="20"/>
          <w:shd w:val="clear" w:color="auto" w:fill="FFFFFF"/>
        </w:rPr>
        <w:t xml:space="preserve"> (2021) concluded that there is need to increase community awareness regarding acrylamide. Kowalska </w:t>
      </w:r>
      <w:r w:rsidRPr="001463AC">
        <w:rPr>
          <w:rFonts w:ascii="Arial" w:hAnsi="Arial" w:cs="Arial"/>
          <w:i/>
          <w:sz w:val="20"/>
          <w:szCs w:val="20"/>
          <w:shd w:val="clear" w:color="auto" w:fill="FFFFFF"/>
        </w:rPr>
        <w:t>et al.</w:t>
      </w:r>
      <w:r w:rsidRPr="001463AC">
        <w:rPr>
          <w:rFonts w:ascii="Arial" w:hAnsi="Arial" w:cs="Arial"/>
          <w:sz w:val="20"/>
          <w:szCs w:val="20"/>
          <w:shd w:val="clear" w:color="auto" w:fill="FFFFFF"/>
        </w:rPr>
        <w:t xml:space="preserve"> (2017) also cited the need to educate people on acrylamide and teach them on how to reduce its intake. The poor knowledge among both the consumers and vendors reported by this current study may also be related to lack of public education and sensitization on acrylamide and other food contaminants.</w:t>
      </w:r>
    </w:p>
    <w:p w14:paraId="6005A5F7" w14:textId="6C424C47" w:rsidR="00055D72" w:rsidRPr="001463AC" w:rsidRDefault="00055D72" w:rsidP="003B7126">
      <w:pPr>
        <w:spacing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lastRenderedPageBreak/>
        <w:t>More consumers as compared to vendors perceived acrylamide as a human health concern. This is in line with the finding on knowledge where though both the vendors and consumers had poor knowledge on acrylamide, the consumers were more knowledgeable as compared to the vendors. This result is corroborated by the result of GAIN (2020) which found that consumers were more knowledgeable regarding food safety as compared to vendors. This finding may be explained by the finding that more (73%) consumers had attained at least secondary school education as compared to the vendors (58%)</w:t>
      </w:r>
      <w:r w:rsidR="00AF2474" w:rsidRPr="001463AC">
        <w:rPr>
          <w:rFonts w:ascii="Arial" w:hAnsi="Arial" w:cs="Arial"/>
          <w:sz w:val="20"/>
          <w:szCs w:val="20"/>
          <w:shd w:val="clear" w:color="auto" w:fill="FFFFFF"/>
        </w:rPr>
        <w:t xml:space="preserve"> hence the ability to grasp concepts much more easily.</w:t>
      </w:r>
    </w:p>
    <w:p w14:paraId="53BCCEDE" w14:textId="66A503CE" w:rsidR="00055D72" w:rsidRPr="00981029" w:rsidRDefault="00055D72" w:rsidP="003B7126">
      <w:pPr>
        <w:spacing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t xml:space="preserve">Results also showed a statistically significant association between knowledge and perception of acrylamide as a health concern. Those who had good knowledge perceived acrylamide as a health concern as compared to respondents (vendors and consumers) with poor knowledge.  According to GAIN (2020), in their systematic review, socio-demographic characteristics namely age, gender, and education seemed to be associated with food safety knowledge. </w:t>
      </w:r>
      <w:proofErr w:type="spellStart"/>
      <w:r w:rsidRPr="001463AC">
        <w:rPr>
          <w:rFonts w:ascii="Arial" w:hAnsi="Arial" w:cs="Arial"/>
          <w:sz w:val="20"/>
          <w:szCs w:val="20"/>
        </w:rPr>
        <w:t>Sverdlik</w:t>
      </w:r>
      <w:proofErr w:type="spellEnd"/>
      <w:r w:rsidRPr="001463AC">
        <w:rPr>
          <w:rFonts w:ascii="Arial" w:hAnsi="Arial" w:cs="Arial"/>
          <w:sz w:val="20"/>
          <w:szCs w:val="20"/>
          <w:shd w:val="clear" w:color="auto" w:fill="FFFFFF"/>
        </w:rPr>
        <w:t xml:space="preserve"> (2017) also noted that those in upper </w:t>
      </w:r>
      <w:r w:rsidR="00355FAA" w:rsidRPr="001463AC">
        <w:rPr>
          <w:rFonts w:ascii="Arial" w:hAnsi="Arial" w:cs="Arial"/>
          <w:sz w:val="20"/>
          <w:szCs w:val="20"/>
          <w:shd w:val="clear" w:color="auto" w:fill="FFFFFF"/>
        </w:rPr>
        <w:t>middle-income</w:t>
      </w:r>
      <w:r w:rsidRPr="001463AC">
        <w:rPr>
          <w:rFonts w:ascii="Arial" w:hAnsi="Arial" w:cs="Arial"/>
          <w:sz w:val="20"/>
          <w:szCs w:val="20"/>
          <w:shd w:val="clear" w:color="auto" w:fill="FFFFFF"/>
        </w:rPr>
        <w:t xml:space="preserve"> categories had better knowledge on food safety as compared to those in low middle income category. In a household study on acrylamide formation prevention, about 81% of the households were not aware of the recommended maximum temperature of 175</w:t>
      </w:r>
      <w:r w:rsidRPr="001463AC">
        <w:rPr>
          <w:rFonts w:ascii="Arial" w:hAnsi="Arial" w:cs="Arial"/>
          <w:sz w:val="20"/>
          <w:szCs w:val="20"/>
          <w:shd w:val="clear" w:color="auto" w:fill="FFFFFF"/>
          <w:vertAlign w:val="superscript"/>
        </w:rPr>
        <w:t>o</w:t>
      </w:r>
      <w:r w:rsidRPr="001463AC">
        <w:rPr>
          <w:rFonts w:ascii="Arial" w:hAnsi="Arial" w:cs="Arial"/>
          <w:sz w:val="20"/>
          <w:szCs w:val="20"/>
          <w:shd w:val="clear" w:color="auto" w:fill="FFFFFF"/>
        </w:rPr>
        <w:t xml:space="preserve">C for prevention of acrylamide formation during cooking for French fries (EC, 2017/2158/EU; Mesias </w:t>
      </w:r>
      <w:r w:rsidRPr="001463AC">
        <w:rPr>
          <w:rFonts w:ascii="Arial" w:hAnsi="Arial" w:cs="Arial"/>
          <w:i/>
          <w:sz w:val="20"/>
          <w:szCs w:val="20"/>
          <w:shd w:val="clear" w:color="auto" w:fill="FFFFFF"/>
        </w:rPr>
        <w:t>et al.,</w:t>
      </w:r>
      <w:r w:rsidRPr="001463AC">
        <w:rPr>
          <w:rFonts w:ascii="Arial" w:hAnsi="Arial" w:cs="Arial"/>
          <w:sz w:val="20"/>
          <w:szCs w:val="20"/>
          <w:shd w:val="clear" w:color="auto" w:fill="FFFFFF"/>
        </w:rPr>
        <w:t xml:space="preserve"> 2020). In </w:t>
      </w:r>
      <w:r w:rsidRPr="00981029">
        <w:rPr>
          <w:rFonts w:ascii="Arial" w:hAnsi="Arial" w:cs="Arial"/>
          <w:sz w:val="20"/>
          <w:szCs w:val="20"/>
          <w:shd w:val="clear" w:color="auto" w:fill="FFFFFF"/>
        </w:rPr>
        <w:t xml:space="preserve">developing countries, awareness on health risks associated with acrylamide exposure is very low (Rifai and Saleh, 2020). </w:t>
      </w:r>
    </w:p>
    <w:p w14:paraId="31EE8EAF" w14:textId="354A2344" w:rsidR="000F6D6D" w:rsidRPr="00981029" w:rsidRDefault="000F6D6D" w:rsidP="003B7126">
      <w:pPr>
        <w:spacing w:line="240" w:lineRule="auto"/>
        <w:jc w:val="both"/>
        <w:rPr>
          <w:rFonts w:ascii="Arial" w:hAnsi="Arial" w:cs="Arial"/>
          <w:sz w:val="20"/>
          <w:szCs w:val="20"/>
          <w:shd w:val="clear" w:color="auto" w:fill="FFFFFF"/>
        </w:rPr>
      </w:pPr>
      <w:r w:rsidRPr="00981029">
        <w:rPr>
          <w:rFonts w:ascii="Arial" w:hAnsi="Arial" w:cs="Arial"/>
          <w:color w:val="000000" w:themeColor="text1"/>
          <w:sz w:val="20"/>
          <w:szCs w:val="20"/>
          <w:shd w:val="clear" w:color="auto" w:fill="FFFFFF"/>
        </w:rPr>
        <w:t xml:space="preserve">The finding that knowledge is statistically associated with health risk perception is also consistent with a study conducted in Cambodia on risk perception and dietary decisions. The study concluded that risk perception is a key driver to changing food purchasing and consumption </w:t>
      </w:r>
      <w:proofErr w:type="spellStart"/>
      <w:r w:rsidRPr="00981029">
        <w:rPr>
          <w:rFonts w:ascii="Arial" w:hAnsi="Arial" w:cs="Arial"/>
          <w:color w:val="000000" w:themeColor="text1"/>
          <w:sz w:val="20"/>
          <w:szCs w:val="20"/>
          <w:shd w:val="clear" w:color="auto" w:fill="FFFFFF"/>
        </w:rPr>
        <w:t>behaviours</w:t>
      </w:r>
      <w:proofErr w:type="spellEnd"/>
      <w:r w:rsidRPr="00981029">
        <w:rPr>
          <w:rFonts w:ascii="Arial" w:hAnsi="Arial" w:cs="Arial"/>
          <w:color w:val="000000" w:themeColor="text1"/>
          <w:sz w:val="20"/>
          <w:szCs w:val="20"/>
          <w:shd w:val="clear" w:color="auto" w:fill="FFFFFF"/>
        </w:rPr>
        <w:t xml:space="preserve"> (Brown </w:t>
      </w:r>
      <w:r w:rsidRPr="00981029">
        <w:rPr>
          <w:rFonts w:ascii="Arial" w:hAnsi="Arial" w:cs="Arial"/>
          <w:i/>
          <w:color w:val="000000" w:themeColor="text1"/>
          <w:sz w:val="20"/>
          <w:szCs w:val="20"/>
          <w:shd w:val="clear" w:color="auto" w:fill="FFFFFF"/>
        </w:rPr>
        <w:t>et al.</w:t>
      </w:r>
      <w:r w:rsidRPr="00981029">
        <w:rPr>
          <w:rFonts w:ascii="Arial" w:hAnsi="Arial" w:cs="Arial"/>
          <w:color w:val="000000" w:themeColor="text1"/>
          <w:sz w:val="20"/>
          <w:szCs w:val="20"/>
          <w:shd w:val="clear" w:color="auto" w:fill="FFFFFF"/>
        </w:rPr>
        <w:t xml:space="preserve">, 2022). </w:t>
      </w:r>
      <w:proofErr w:type="spellStart"/>
      <w:r w:rsidRPr="00981029">
        <w:rPr>
          <w:rStyle w:val="markedcontent"/>
          <w:rFonts w:ascii="Arial" w:hAnsi="Arial" w:cs="Arial"/>
          <w:color w:val="000000" w:themeColor="text1"/>
          <w:sz w:val="20"/>
          <w:szCs w:val="20"/>
        </w:rPr>
        <w:t>Rembischevski</w:t>
      </w:r>
      <w:proofErr w:type="spellEnd"/>
      <w:r w:rsidRPr="00981029">
        <w:rPr>
          <w:rStyle w:val="markedcontent"/>
          <w:rFonts w:ascii="Arial" w:hAnsi="Arial" w:cs="Arial"/>
          <w:color w:val="000000" w:themeColor="text1"/>
          <w:sz w:val="20"/>
          <w:szCs w:val="20"/>
        </w:rPr>
        <w:t xml:space="preserve"> and Caldas (2020) also noted that knowledge had some impact on risk perception.</w:t>
      </w:r>
      <w:r w:rsidR="00981029" w:rsidRPr="00981029">
        <w:rPr>
          <w:rStyle w:val="markedcontent"/>
          <w:rFonts w:ascii="Arial" w:hAnsi="Arial" w:cs="Arial"/>
          <w:color w:val="000000" w:themeColor="text1"/>
          <w:sz w:val="20"/>
          <w:szCs w:val="20"/>
        </w:rPr>
        <w:t xml:space="preserve"> </w:t>
      </w:r>
      <w:r w:rsidR="00981029">
        <w:rPr>
          <w:rStyle w:val="markedcontent"/>
          <w:rFonts w:ascii="Arial" w:hAnsi="Arial" w:cs="Arial"/>
          <w:color w:val="000000" w:themeColor="text1"/>
          <w:sz w:val="20"/>
          <w:szCs w:val="20"/>
        </w:rPr>
        <w:t>All this points to the importance of good knowledge in making key choices with regards to food and other health matters.</w:t>
      </w:r>
    </w:p>
    <w:p w14:paraId="0D590832" w14:textId="77777777" w:rsidR="00055D72" w:rsidRPr="00AE0FCE" w:rsidRDefault="00055D72" w:rsidP="0094521C">
      <w:pPr>
        <w:spacing w:line="240" w:lineRule="auto"/>
        <w:jc w:val="both"/>
        <w:rPr>
          <w:rStyle w:val="markedcontent"/>
          <w:rFonts w:ascii="Arial" w:hAnsi="Arial" w:cs="Arial"/>
          <w:b/>
          <w:bCs/>
        </w:rPr>
      </w:pPr>
      <w:r w:rsidRPr="00AE0FCE">
        <w:rPr>
          <w:rStyle w:val="markedcontent"/>
          <w:rFonts w:ascii="Arial" w:hAnsi="Arial" w:cs="Arial"/>
          <w:b/>
          <w:bCs/>
        </w:rPr>
        <w:t>CONCLUSION</w:t>
      </w:r>
    </w:p>
    <w:p w14:paraId="2B9C2F12" w14:textId="01F9E6F3" w:rsidR="00055D72" w:rsidRDefault="00055D72" w:rsidP="003B7126">
      <w:pPr>
        <w:spacing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t>Consumers seemed to have more knowledge on acrylamide as compare</w:t>
      </w:r>
      <w:r w:rsidR="007C4EC0" w:rsidRPr="001463AC">
        <w:rPr>
          <w:rFonts w:ascii="Arial" w:hAnsi="Arial" w:cs="Arial"/>
          <w:sz w:val="20"/>
          <w:szCs w:val="20"/>
          <w:shd w:val="clear" w:color="auto" w:fill="FFFFFF"/>
        </w:rPr>
        <w:t>d to vendors. However, the mean</w:t>
      </w:r>
      <w:r w:rsidRPr="001463AC">
        <w:rPr>
          <w:rFonts w:ascii="Arial" w:hAnsi="Arial" w:cs="Arial"/>
          <w:sz w:val="20"/>
          <w:szCs w:val="20"/>
          <w:shd w:val="clear" w:color="auto" w:fill="FFFFFF"/>
        </w:rPr>
        <w:t xml:space="preserve"> knowledge for both the vendors and the respondents was poor with the mean knowledge level of vendors at 25.8% score and that of consumers at 27.2% score. Hence, the public health sector should educate vendors and consumers on acrylamide formation, mitigation and health risks associated with its consumption. Education increases knowledge and knowledge in turn affects practice</w:t>
      </w:r>
      <w:r w:rsidR="00024284">
        <w:rPr>
          <w:rFonts w:ascii="Arial" w:hAnsi="Arial" w:cs="Arial"/>
          <w:sz w:val="20"/>
          <w:szCs w:val="20"/>
          <w:shd w:val="clear" w:color="auto" w:fill="FFFFFF"/>
        </w:rPr>
        <w:t xml:space="preserve"> and finally good health</w:t>
      </w:r>
      <w:r w:rsidRPr="001463AC">
        <w:rPr>
          <w:rFonts w:ascii="Arial" w:hAnsi="Arial" w:cs="Arial"/>
          <w:sz w:val="20"/>
          <w:szCs w:val="20"/>
          <w:shd w:val="clear" w:color="auto" w:fill="FFFFFF"/>
        </w:rPr>
        <w:t xml:space="preserve">. </w:t>
      </w:r>
    </w:p>
    <w:p w14:paraId="4FD24A1C" w14:textId="77777777" w:rsidR="00703BB2" w:rsidRDefault="00703BB2" w:rsidP="003B7126">
      <w:pPr>
        <w:spacing w:line="240" w:lineRule="auto"/>
        <w:jc w:val="both"/>
        <w:rPr>
          <w:rFonts w:ascii="Arial" w:hAnsi="Arial" w:cs="Arial"/>
          <w:b/>
          <w:bCs/>
          <w:shd w:val="clear" w:color="auto" w:fill="FFFFFF"/>
        </w:rPr>
      </w:pPr>
    </w:p>
    <w:p w14:paraId="7C9021B3" w14:textId="18E978F7" w:rsidR="0094521C" w:rsidRPr="0094521C" w:rsidRDefault="0094521C" w:rsidP="003B7126">
      <w:pPr>
        <w:spacing w:line="240" w:lineRule="auto"/>
        <w:jc w:val="both"/>
        <w:rPr>
          <w:rFonts w:ascii="Arial" w:hAnsi="Arial" w:cs="Arial"/>
          <w:b/>
          <w:bCs/>
          <w:shd w:val="clear" w:color="auto" w:fill="FFFFFF"/>
        </w:rPr>
      </w:pPr>
      <w:bookmarkStart w:id="2" w:name="_GoBack"/>
      <w:bookmarkEnd w:id="2"/>
      <w:r w:rsidRPr="0094521C">
        <w:rPr>
          <w:rFonts w:ascii="Arial" w:hAnsi="Arial" w:cs="Arial"/>
          <w:b/>
          <w:bCs/>
          <w:shd w:val="clear" w:color="auto" w:fill="FFFFFF"/>
        </w:rPr>
        <w:t>CONSENT</w:t>
      </w:r>
    </w:p>
    <w:p w14:paraId="72988980" w14:textId="3D86B285" w:rsidR="0094521C" w:rsidRDefault="0094521C" w:rsidP="003B7126">
      <w:pPr>
        <w:spacing w:line="240" w:lineRule="auto"/>
        <w:jc w:val="both"/>
        <w:rPr>
          <w:rFonts w:ascii="Arial" w:hAnsi="Arial" w:cs="Arial"/>
          <w:sz w:val="20"/>
        </w:rPr>
      </w:pPr>
      <w:r w:rsidRPr="0094521C">
        <w:rPr>
          <w:rFonts w:ascii="Arial" w:hAnsi="Arial" w:cs="Arial"/>
          <w:sz w:val="20"/>
        </w:rPr>
        <w:t>All authors declare that ‘written informed consent was obtained from the study participants to be part of this study. A copy of the consent form is available for review by the Editorial office/Chief Editor/Editorial Board members of this journal.</w:t>
      </w:r>
    </w:p>
    <w:p w14:paraId="0C8AC88C" w14:textId="5E9776B0" w:rsidR="0094521C" w:rsidRPr="0094521C" w:rsidRDefault="0094521C" w:rsidP="003B7126">
      <w:pPr>
        <w:spacing w:line="240" w:lineRule="auto"/>
        <w:jc w:val="both"/>
        <w:rPr>
          <w:rFonts w:ascii="Arial" w:hAnsi="Arial" w:cs="Arial"/>
          <w:b/>
          <w:bCs/>
        </w:rPr>
      </w:pPr>
      <w:r w:rsidRPr="0094521C">
        <w:rPr>
          <w:rFonts w:ascii="Arial" w:hAnsi="Arial" w:cs="Arial"/>
          <w:b/>
          <w:bCs/>
        </w:rPr>
        <w:t>ETHICAL APPROVAL</w:t>
      </w:r>
    </w:p>
    <w:p w14:paraId="6C62B988" w14:textId="79835A00" w:rsidR="0094521C" w:rsidRPr="0094521C" w:rsidRDefault="0094521C" w:rsidP="003B7126">
      <w:pPr>
        <w:spacing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All authors herewith declare that the study was approved by Kenyatta University Ethics Review Committee. </w:t>
      </w:r>
    </w:p>
    <w:p w14:paraId="5746D51F" w14:textId="67050663" w:rsidR="00055D72" w:rsidRPr="00AE0FCE" w:rsidRDefault="00055D72" w:rsidP="003B7126">
      <w:pPr>
        <w:spacing w:line="240" w:lineRule="auto"/>
        <w:jc w:val="both"/>
        <w:rPr>
          <w:rStyle w:val="markedcontent"/>
          <w:rFonts w:ascii="Arial" w:hAnsi="Arial" w:cs="Arial"/>
          <w:b/>
          <w:bCs/>
        </w:rPr>
      </w:pPr>
      <w:r w:rsidRPr="00AE0FCE">
        <w:rPr>
          <w:rStyle w:val="markedcontent"/>
          <w:rFonts w:ascii="Arial" w:hAnsi="Arial" w:cs="Arial"/>
          <w:b/>
          <w:bCs/>
        </w:rPr>
        <w:t>REFERENCES</w:t>
      </w:r>
    </w:p>
    <w:p w14:paraId="7ACECD73" w14:textId="77777777" w:rsidR="00765C2C" w:rsidRPr="001A14B1" w:rsidRDefault="00765C2C" w:rsidP="001A14B1">
      <w:pPr>
        <w:pStyle w:val="ListParagraph"/>
        <w:numPr>
          <w:ilvl w:val="0"/>
          <w:numId w:val="2"/>
        </w:numPr>
        <w:spacing w:after="0" w:line="240" w:lineRule="auto"/>
        <w:jc w:val="both"/>
        <w:rPr>
          <w:rFonts w:ascii="Arial" w:hAnsi="Arial" w:cs="Arial"/>
          <w:sz w:val="20"/>
          <w:szCs w:val="20"/>
        </w:rPr>
      </w:pPr>
      <w:r w:rsidRPr="001A14B1">
        <w:rPr>
          <w:rFonts w:ascii="Arial" w:hAnsi="Arial" w:cs="Arial"/>
          <w:b/>
          <w:sz w:val="20"/>
          <w:szCs w:val="20"/>
        </w:rPr>
        <w:t>International Agency for Research on Cancer [IARC] (1994).</w:t>
      </w:r>
      <w:r w:rsidRPr="001A14B1">
        <w:rPr>
          <w:rFonts w:ascii="Arial" w:hAnsi="Arial" w:cs="Arial"/>
          <w:sz w:val="20"/>
          <w:szCs w:val="20"/>
        </w:rPr>
        <w:t xml:space="preserve"> Some Industrial Chemicals. Acrylamide. </w:t>
      </w:r>
      <w:r w:rsidRPr="001A14B1">
        <w:rPr>
          <w:rFonts w:ascii="Arial" w:hAnsi="Arial" w:cs="Arial"/>
          <w:i/>
          <w:sz w:val="20"/>
          <w:szCs w:val="20"/>
        </w:rPr>
        <w:t>IARC</w:t>
      </w:r>
      <w:r w:rsidRPr="001A14B1">
        <w:rPr>
          <w:rFonts w:ascii="Arial" w:hAnsi="Arial" w:cs="Arial"/>
          <w:sz w:val="20"/>
          <w:szCs w:val="20"/>
        </w:rPr>
        <w:t xml:space="preserve"> </w:t>
      </w:r>
      <w:r w:rsidRPr="001A14B1">
        <w:rPr>
          <w:rFonts w:ascii="Arial" w:hAnsi="Arial" w:cs="Arial"/>
          <w:i/>
          <w:sz w:val="20"/>
          <w:szCs w:val="20"/>
        </w:rPr>
        <w:t>monographs on the evaluation of carcinogenic risk to humans</w:t>
      </w:r>
      <w:r w:rsidRPr="001A14B1">
        <w:rPr>
          <w:rFonts w:ascii="Arial" w:hAnsi="Arial" w:cs="Arial"/>
          <w:sz w:val="20"/>
          <w:szCs w:val="20"/>
        </w:rPr>
        <w:t>, 60, 387-433.</w:t>
      </w:r>
    </w:p>
    <w:p w14:paraId="521E297B" w14:textId="17B2157F" w:rsidR="00765C2C" w:rsidRPr="001A14B1" w:rsidRDefault="00765C2C" w:rsidP="001A14B1">
      <w:pPr>
        <w:pStyle w:val="Heading2"/>
        <w:numPr>
          <w:ilvl w:val="0"/>
          <w:numId w:val="2"/>
        </w:numPr>
        <w:spacing w:before="0" w:line="240" w:lineRule="auto"/>
        <w:jc w:val="both"/>
        <w:rPr>
          <w:rFonts w:ascii="Arial" w:hAnsi="Arial" w:cs="Arial"/>
          <w:b w:val="0"/>
          <w:color w:val="auto"/>
          <w:sz w:val="20"/>
          <w:szCs w:val="20"/>
        </w:rPr>
      </w:pPr>
      <w:bookmarkStart w:id="3" w:name="_Toc48603508"/>
      <w:bookmarkStart w:id="4" w:name="_Toc49699695"/>
      <w:bookmarkStart w:id="5" w:name="_Toc66989339"/>
      <w:bookmarkStart w:id="6" w:name="_Toc89226835"/>
      <w:bookmarkStart w:id="7" w:name="_Toc92834730"/>
      <w:proofErr w:type="spellStart"/>
      <w:r w:rsidRPr="001A14B1">
        <w:rPr>
          <w:rFonts w:ascii="Arial" w:hAnsi="Arial" w:cs="Arial"/>
          <w:color w:val="auto"/>
          <w:sz w:val="20"/>
          <w:szCs w:val="20"/>
        </w:rPr>
        <w:t>Favinha</w:t>
      </w:r>
      <w:proofErr w:type="spellEnd"/>
      <w:r w:rsidRPr="001A14B1">
        <w:rPr>
          <w:rFonts w:ascii="Arial" w:hAnsi="Arial" w:cs="Arial"/>
          <w:color w:val="auto"/>
          <w:sz w:val="20"/>
          <w:szCs w:val="20"/>
        </w:rPr>
        <w:t xml:space="preserve">, A. G., Barreiro, D. S., Martins, J. N., O’Toole, P. </w:t>
      </w:r>
      <w:r w:rsidR="00A77CB4" w:rsidRPr="001A14B1">
        <w:rPr>
          <w:rFonts w:ascii="Arial" w:hAnsi="Arial" w:cs="Arial"/>
          <w:color w:val="auto"/>
          <w:sz w:val="20"/>
          <w:szCs w:val="20"/>
        </w:rPr>
        <w:t>&amp;</w:t>
      </w:r>
      <w:r w:rsidRPr="001A14B1">
        <w:rPr>
          <w:rFonts w:ascii="Arial" w:hAnsi="Arial" w:cs="Arial"/>
          <w:color w:val="auto"/>
          <w:sz w:val="20"/>
          <w:szCs w:val="20"/>
        </w:rPr>
        <w:t xml:space="preserve"> Pauleta, S. R. (2020).</w:t>
      </w:r>
      <w:r w:rsidRPr="001A14B1">
        <w:rPr>
          <w:rFonts w:ascii="Arial" w:hAnsi="Arial" w:cs="Arial"/>
          <w:b w:val="0"/>
          <w:color w:val="auto"/>
          <w:sz w:val="20"/>
          <w:szCs w:val="20"/>
        </w:rPr>
        <w:t xml:space="preserve"> Acrylamide-hemoglobin adduct: A spectroscopic study. </w:t>
      </w:r>
      <w:hyperlink r:id="rId7" w:tooltip="Go to Spectrochimica Acta Part A: Molecular and Biomolecular Spectroscopy on ScienceDirect" w:history="1">
        <w:proofErr w:type="spellStart"/>
        <w:r w:rsidRPr="001A14B1">
          <w:rPr>
            <w:rStyle w:val="Hyperlink"/>
            <w:rFonts w:ascii="Arial" w:hAnsi="Arial" w:cs="Arial"/>
            <w:b w:val="0"/>
            <w:i/>
            <w:color w:val="auto"/>
            <w:sz w:val="20"/>
            <w:szCs w:val="20"/>
          </w:rPr>
          <w:t>Spectrochimica</w:t>
        </w:r>
        <w:proofErr w:type="spellEnd"/>
        <w:r w:rsidRPr="001A14B1">
          <w:rPr>
            <w:rStyle w:val="Hyperlink"/>
            <w:rFonts w:ascii="Arial" w:hAnsi="Arial" w:cs="Arial"/>
            <w:b w:val="0"/>
            <w:i/>
            <w:color w:val="auto"/>
            <w:sz w:val="20"/>
            <w:szCs w:val="20"/>
          </w:rPr>
          <w:t xml:space="preserve"> Acta Part A: Molecular and Biomolecular Spectroscopy</w:t>
        </w:r>
      </w:hyperlink>
      <w:r w:rsidRPr="001A14B1">
        <w:rPr>
          <w:rFonts w:ascii="Arial" w:hAnsi="Arial" w:cs="Arial"/>
          <w:b w:val="0"/>
          <w:color w:val="auto"/>
          <w:sz w:val="20"/>
          <w:szCs w:val="20"/>
        </w:rPr>
        <w:t>, 241</w:t>
      </w:r>
      <w:bookmarkEnd w:id="3"/>
      <w:bookmarkEnd w:id="4"/>
      <w:bookmarkEnd w:id="5"/>
      <w:bookmarkEnd w:id="6"/>
      <w:bookmarkEnd w:id="7"/>
    </w:p>
    <w:p w14:paraId="19D1314C" w14:textId="77777777" w:rsidR="00765C2C" w:rsidRPr="001A14B1" w:rsidRDefault="00765C2C" w:rsidP="001A14B1">
      <w:pPr>
        <w:pStyle w:val="ListParagraph"/>
        <w:numPr>
          <w:ilvl w:val="0"/>
          <w:numId w:val="2"/>
        </w:numPr>
        <w:spacing w:after="0" w:line="240" w:lineRule="auto"/>
        <w:jc w:val="both"/>
        <w:rPr>
          <w:rFonts w:ascii="Arial" w:hAnsi="Arial" w:cs="Arial"/>
          <w:sz w:val="20"/>
          <w:szCs w:val="20"/>
        </w:rPr>
      </w:pPr>
      <w:r w:rsidRPr="001A14B1">
        <w:rPr>
          <w:rFonts w:ascii="Arial" w:hAnsi="Arial" w:cs="Arial"/>
          <w:b/>
          <w:sz w:val="20"/>
          <w:szCs w:val="20"/>
        </w:rPr>
        <w:t>Borda, D. and Alexe P. (2011)</w:t>
      </w:r>
      <w:r w:rsidRPr="001A14B1">
        <w:rPr>
          <w:rFonts w:ascii="Arial" w:hAnsi="Arial" w:cs="Arial"/>
          <w:sz w:val="20"/>
          <w:szCs w:val="20"/>
        </w:rPr>
        <w:t xml:space="preserve">. Acrylamide levels in food. </w:t>
      </w:r>
      <w:r w:rsidRPr="001A14B1">
        <w:rPr>
          <w:rFonts w:ascii="Arial" w:hAnsi="Arial" w:cs="Arial"/>
          <w:i/>
          <w:sz w:val="20"/>
          <w:szCs w:val="20"/>
        </w:rPr>
        <w:t>Romanian Journal of Food Science</w:t>
      </w:r>
      <w:r w:rsidRPr="001A14B1">
        <w:rPr>
          <w:rFonts w:ascii="Arial" w:hAnsi="Arial" w:cs="Arial"/>
          <w:sz w:val="20"/>
          <w:szCs w:val="20"/>
        </w:rPr>
        <w:t>, 1(1), 3-15</w:t>
      </w:r>
    </w:p>
    <w:p w14:paraId="11A319FF" w14:textId="6C5EB215" w:rsidR="00765C2C" w:rsidRPr="001A14B1" w:rsidRDefault="00765C2C" w:rsidP="001A14B1">
      <w:pPr>
        <w:pStyle w:val="ListParagraph"/>
        <w:numPr>
          <w:ilvl w:val="0"/>
          <w:numId w:val="2"/>
        </w:numPr>
        <w:spacing w:after="0" w:line="240" w:lineRule="auto"/>
        <w:jc w:val="both"/>
        <w:rPr>
          <w:rStyle w:val="markedcontent"/>
          <w:rFonts w:ascii="Arial" w:hAnsi="Arial" w:cs="Arial"/>
          <w:sz w:val="20"/>
          <w:szCs w:val="20"/>
        </w:rPr>
      </w:pPr>
      <w:proofErr w:type="spellStart"/>
      <w:r w:rsidRPr="001A14B1">
        <w:rPr>
          <w:rFonts w:ascii="Arial" w:hAnsi="Arial" w:cs="Arial"/>
          <w:b/>
          <w:sz w:val="20"/>
          <w:szCs w:val="20"/>
        </w:rPr>
        <w:t>Ubaoji</w:t>
      </w:r>
      <w:proofErr w:type="spellEnd"/>
      <w:r w:rsidRPr="001A14B1">
        <w:rPr>
          <w:rFonts w:ascii="Arial" w:hAnsi="Arial" w:cs="Arial"/>
          <w:b/>
          <w:sz w:val="20"/>
          <w:szCs w:val="20"/>
        </w:rPr>
        <w:t>, K.</w:t>
      </w:r>
      <w:r w:rsidRPr="001A14B1">
        <w:rPr>
          <w:rFonts w:ascii="Arial" w:hAnsi="Arial" w:cs="Arial"/>
          <w:sz w:val="20"/>
          <w:szCs w:val="20"/>
        </w:rPr>
        <w:t xml:space="preserve"> </w:t>
      </w:r>
      <w:r w:rsidRPr="001A14B1">
        <w:rPr>
          <w:rFonts w:ascii="Arial" w:hAnsi="Arial" w:cs="Arial"/>
          <w:b/>
          <w:sz w:val="20"/>
          <w:szCs w:val="20"/>
        </w:rPr>
        <w:t xml:space="preserve">I. </w:t>
      </w:r>
      <w:r w:rsidR="00A77CB4" w:rsidRPr="001A14B1">
        <w:rPr>
          <w:rFonts w:ascii="Arial" w:hAnsi="Arial" w:cs="Arial"/>
          <w:b/>
          <w:sz w:val="20"/>
          <w:szCs w:val="20"/>
        </w:rPr>
        <w:t>&amp;</w:t>
      </w:r>
      <w:r w:rsidRPr="001A14B1">
        <w:rPr>
          <w:rFonts w:ascii="Arial" w:hAnsi="Arial" w:cs="Arial"/>
          <w:b/>
          <w:sz w:val="20"/>
          <w:szCs w:val="20"/>
        </w:rPr>
        <w:t xml:space="preserve"> Orji, V. U. (2016</w:t>
      </w:r>
      <w:r w:rsidRPr="001A14B1">
        <w:rPr>
          <w:rFonts w:ascii="Arial" w:hAnsi="Arial" w:cs="Arial"/>
          <w:sz w:val="20"/>
          <w:szCs w:val="20"/>
        </w:rPr>
        <w:t xml:space="preserve">). </w:t>
      </w:r>
      <w:r w:rsidRPr="001A14B1">
        <w:rPr>
          <w:rStyle w:val="markedcontent"/>
          <w:rFonts w:ascii="Arial" w:hAnsi="Arial" w:cs="Arial"/>
          <w:sz w:val="20"/>
          <w:szCs w:val="20"/>
        </w:rPr>
        <w:t>A review on acrylamide in foods:</w:t>
      </w:r>
      <w:r w:rsidRPr="001A14B1">
        <w:rPr>
          <w:rFonts w:ascii="Arial" w:hAnsi="Arial" w:cs="Arial"/>
          <w:sz w:val="20"/>
          <w:szCs w:val="20"/>
        </w:rPr>
        <w:br/>
      </w:r>
      <w:r w:rsidRPr="001A14B1">
        <w:rPr>
          <w:rStyle w:val="markedcontent"/>
          <w:rFonts w:ascii="Arial" w:hAnsi="Arial" w:cs="Arial"/>
          <w:sz w:val="20"/>
          <w:szCs w:val="20"/>
        </w:rPr>
        <w:t xml:space="preserve">sources and implications to health. </w:t>
      </w:r>
      <w:proofErr w:type="spellStart"/>
      <w:r w:rsidRPr="001A14B1">
        <w:rPr>
          <w:rStyle w:val="markedcontent"/>
          <w:rFonts w:ascii="Arial" w:hAnsi="Arial" w:cs="Arial"/>
          <w:i/>
          <w:sz w:val="20"/>
          <w:szCs w:val="20"/>
        </w:rPr>
        <w:t>Mgbakoigba</w:t>
      </w:r>
      <w:proofErr w:type="spellEnd"/>
      <w:r w:rsidRPr="001A14B1">
        <w:rPr>
          <w:rStyle w:val="markedcontent"/>
          <w:rFonts w:ascii="Arial" w:hAnsi="Arial" w:cs="Arial"/>
          <w:i/>
          <w:sz w:val="20"/>
          <w:szCs w:val="20"/>
        </w:rPr>
        <w:t>, Journal of African Studies</w:t>
      </w:r>
      <w:r w:rsidRPr="001A14B1">
        <w:rPr>
          <w:rStyle w:val="markedcontent"/>
          <w:rFonts w:ascii="Arial" w:hAnsi="Arial" w:cs="Arial"/>
          <w:sz w:val="20"/>
          <w:szCs w:val="20"/>
        </w:rPr>
        <w:t xml:space="preserve"> 6 (1).</w:t>
      </w:r>
    </w:p>
    <w:p w14:paraId="536AE113" w14:textId="2088CFF1" w:rsidR="00055D72" w:rsidRPr="001A14B1" w:rsidRDefault="00055D72" w:rsidP="001A14B1">
      <w:pPr>
        <w:pStyle w:val="ListParagraph"/>
        <w:numPr>
          <w:ilvl w:val="0"/>
          <w:numId w:val="2"/>
        </w:numPr>
        <w:spacing w:after="0" w:line="240" w:lineRule="auto"/>
        <w:jc w:val="both"/>
        <w:rPr>
          <w:rFonts w:ascii="Arial" w:hAnsi="Arial" w:cs="Arial"/>
          <w:sz w:val="20"/>
          <w:szCs w:val="20"/>
        </w:rPr>
      </w:pPr>
      <w:r w:rsidRPr="001A14B1">
        <w:rPr>
          <w:rFonts w:ascii="Arial" w:hAnsi="Arial" w:cs="Arial"/>
          <w:b/>
          <w:sz w:val="20"/>
          <w:szCs w:val="20"/>
        </w:rPr>
        <w:t xml:space="preserve">Adani, G., Filippini, T., Wise, L. A., Halldorsson, T. I., Blaha, L. </w:t>
      </w:r>
      <w:r w:rsidR="00A77CB4" w:rsidRPr="001A14B1">
        <w:rPr>
          <w:rFonts w:ascii="Arial" w:hAnsi="Arial" w:cs="Arial"/>
          <w:b/>
          <w:sz w:val="20"/>
          <w:szCs w:val="20"/>
        </w:rPr>
        <w:t>&amp;</w:t>
      </w:r>
      <w:r w:rsidRPr="001A14B1">
        <w:rPr>
          <w:rFonts w:ascii="Arial" w:hAnsi="Arial" w:cs="Arial"/>
          <w:b/>
          <w:sz w:val="20"/>
          <w:szCs w:val="20"/>
        </w:rPr>
        <w:t xml:space="preserve"> </w:t>
      </w:r>
      <w:proofErr w:type="spellStart"/>
      <w:r w:rsidRPr="001A14B1">
        <w:rPr>
          <w:rFonts w:ascii="Arial" w:hAnsi="Arial" w:cs="Arial"/>
          <w:b/>
          <w:sz w:val="20"/>
          <w:szCs w:val="20"/>
        </w:rPr>
        <w:t>Vinceti</w:t>
      </w:r>
      <w:proofErr w:type="spellEnd"/>
      <w:r w:rsidRPr="001A14B1">
        <w:rPr>
          <w:rFonts w:ascii="Arial" w:hAnsi="Arial" w:cs="Arial"/>
          <w:b/>
          <w:sz w:val="20"/>
          <w:szCs w:val="20"/>
        </w:rPr>
        <w:t xml:space="preserve">, M. (2020). </w:t>
      </w:r>
      <w:r w:rsidRPr="001A14B1">
        <w:rPr>
          <w:rFonts w:ascii="Arial" w:hAnsi="Arial" w:cs="Arial"/>
          <w:sz w:val="20"/>
          <w:szCs w:val="20"/>
        </w:rPr>
        <w:t xml:space="preserve">Dietary Intake of Acrylamide and Risk of Breast, Endometrial, and Ovarian Cancers: A Systematic Review and Dose–Response Meta-analysis. </w:t>
      </w:r>
      <w:r w:rsidRPr="001A14B1">
        <w:rPr>
          <w:rFonts w:ascii="Arial" w:hAnsi="Arial" w:cs="Arial"/>
          <w:i/>
          <w:sz w:val="20"/>
          <w:szCs w:val="20"/>
        </w:rPr>
        <w:t>Cancer Epidemiology, Biomarkers &amp; Prevention,</w:t>
      </w:r>
      <w:r w:rsidRPr="001A14B1">
        <w:rPr>
          <w:rFonts w:ascii="Arial" w:hAnsi="Arial" w:cs="Arial"/>
          <w:sz w:val="20"/>
          <w:szCs w:val="20"/>
        </w:rPr>
        <w:t xml:space="preserve"> 29, 1095–106</w:t>
      </w:r>
    </w:p>
    <w:p w14:paraId="0B2B13DF" w14:textId="77777777" w:rsidR="00055D72" w:rsidRPr="001A14B1" w:rsidRDefault="00055D72" w:rsidP="001A14B1">
      <w:pPr>
        <w:pStyle w:val="ListParagraph"/>
        <w:numPr>
          <w:ilvl w:val="0"/>
          <w:numId w:val="2"/>
        </w:numPr>
        <w:spacing w:after="0" w:line="240" w:lineRule="auto"/>
        <w:jc w:val="both"/>
        <w:rPr>
          <w:rFonts w:ascii="Arial" w:hAnsi="Arial" w:cs="Arial"/>
          <w:sz w:val="20"/>
          <w:szCs w:val="20"/>
        </w:rPr>
      </w:pPr>
      <w:r w:rsidRPr="001A14B1">
        <w:rPr>
          <w:rFonts w:ascii="Arial" w:hAnsi="Arial" w:cs="Arial"/>
          <w:b/>
          <w:sz w:val="20"/>
          <w:szCs w:val="20"/>
        </w:rPr>
        <w:t>EFSA CONTAM Panel (2015).</w:t>
      </w:r>
      <w:r w:rsidRPr="001A14B1">
        <w:rPr>
          <w:rFonts w:ascii="Arial" w:hAnsi="Arial" w:cs="Arial"/>
          <w:sz w:val="20"/>
          <w:szCs w:val="20"/>
        </w:rPr>
        <w:t xml:space="preserve"> Scientific opinion on acrylamide in food. </w:t>
      </w:r>
      <w:r w:rsidRPr="001A14B1">
        <w:rPr>
          <w:rFonts w:ascii="Arial" w:hAnsi="Arial" w:cs="Arial"/>
          <w:i/>
          <w:sz w:val="20"/>
          <w:szCs w:val="20"/>
        </w:rPr>
        <w:t>EFSA Journal</w:t>
      </w:r>
      <w:r w:rsidRPr="001A14B1">
        <w:rPr>
          <w:rFonts w:ascii="Arial" w:hAnsi="Arial" w:cs="Arial"/>
          <w:sz w:val="20"/>
          <w:szCs w:val="20"/>
        </w:rPr>
        <w:t>, 13 (6), 4104</w:t>
      </w:r>
    </w:p>
    <w:p w14:paraId="43CEC826" w14:textId="3B7A0AC5" w:rsidR="00711153" w:rsidRPr="001A14B1" w:rsidRDefault="00711153" w:rsidP="001A14B1">
      <w:pPr>
        <w:pStyle w:val="ListParagraph"/>
        <w:numPr>
          <w:ilvl w:val="0"/>
          <w:numId w:val="2"/>
        </w:numPr>
        <w:spacing w:after="0" w:line="240" w:lineRule="auto"/>
        <w:jc w:val="both"/>
        <w:rPr>
          <w:rFonts w:ascii="Arial" w:hAnsi="Arial" w:cs="Arial"/>
          <w:sz w:val="20"/>
          <w:szCs w:val="20"/>
        </w:rPr>
      </w:pPr>
      <w:proofErr w:type="spellStart"/>
      <w:r w:rsidRPr="001A14B1">
        <w:rPr>
          <w:rFonts w:ascii="Arial" w:hAnsi="Arial" w:cs="Arial"/>
          <w:b/>
          <w:sz w:val="20"/>
          <w:szCs w:val="20"/>
        </w:rPr>
        <w:lastRenderedPageBreak/>
        <w:t>Murkovic</w:t>
      </w:r>
      <w:proofErr w:type="spellEnd"/>
      <w:r w:rsidRPr="001A14B1">
        <w:rPr>
          <w:rFonts w:ascii="Arial" w:hAnsi="Arial" w:cs="Arial"/>
          <w:b/>
          <w:sz w:val="20"/>
          <w:szCs w:val="20"/>
        </w:rPr>
        <w:t xml:space="preserve">, M., </w:t>
      </w:r>
      <w:proofErr w:type="spellStart"/>
      <w:r w:rsidRPr="001A14B1">
        <w:rPr>
          <w:rFonts w:ascii="Arial" w:hAnsi="Arial" w:cs="Arial"/>
          <w:b/>
          <w:sz w:val="20"/>
          <w:szCs w:val="20"/>
        </w:rPr>
        <w:t>Pedreschi</w:t>
      </w:r>
      <w:proofErr w:type="spellEnd"/>
      <w:r w:rsidRPr="001A14B1">
        <w:rPr>
          <w:rFonts w:ascii="Arial" w:hAnsi="Arial" w:cs="Arial"/>
          <w:b/>
          <w:sz w:val="20"/>
          <w:szCs w:val="20"/>
        </w:rPr>
        <w:t xml:space="preserve">, F. </w:t>
      </w:r>
      <w:r w:rsidR="00A77CB4" w:rsidRPr="001A14B1">
        <w:rPr>
          <w:rFonts w:ascii="Arial" w:hAnsi="Arial" w:cs="Arial"/>
          <w:b/>
          <w:sz w:val="20"/>
          <w:szCs w:val="20"/>
        </w:rPr>
        <w:t>&amp;</w:t>
      </w:r>
      <w:r w:rsidRPr="001A14B1">
        <w:rPr>
          <w:rFonts w:ascii="Arial" w:hAnsi="Arial" w:cs="Arial"/>
          <w:b/>
          <w:sz w:val="20"/>
          <w:szCs w:val="20"/>
        </w:rPr>
        <w:t xml:space="preserve"> </w:t>
      </w:r>
      <w:proofErr w:type="spellStart"/>
      <w:r w:rsidRPr="001A14B1">
        <w:rPr>
          <w:rFonts w:ascii="Arial" w:hAnsi="Arial" w:cs="Arial"/>
          <w:b/>
          <w:sz w:val="20"/>
          <w:szCs w:val="20"/>
        </w:rPr>
        <w:t>Ciesarova</w:t>
      </w:r>
      <w:proofErr w:type="spellEnd"/>
      <w:r w:rsidRPr="001A14B1">
        <w:rPr>
          <w:rFonts w:ascii="Arial" w:hAnsi="Arial" w:cs="Arial"/>
          <w:b/>
          <w:sz w:val="20"/>
          <w:szCs w:val="20"/>
        </w:rPr>
        <w:t xml:space="preserve">, Z. (2019). </w:t>
      </w:r>
      <w:r w:rsidRPr="001A14B1">
        <w:rPr>
          <w:rFonts w:ascii="Arial" w:hAnsi="Arial" w:cs="Arial"/>
          <w:sz w:val="20"/>
          <w:szCs w:val="20"/>
        </w:rPr>
        <w:t xml:space="preserve">Process Contaminants: A Review. In: Melton L, Shahidi F, </w:t>
      </w:r>
      <w:proofErr w:type="spellStart"/>
      <w:r w:rsidRPr="001A14B1">
        <w:rPr>
          <w:rFonts w:ascii="Arial" w:hAnsi="Arial" w:cs="Arial"/>
          <w:sz w:val="20"/>
          <w:szCs w:val="20"/>
        </w:rPr>
        <w:t>Varelis</w:t>
      </w:r>
      <w:proofErr w:type="spellEnd"/>
      <w:r w:rsidRPr="001A14B1">
        <w:rPr>
          <w:rFonts w:ascii="Arial" w:hAnsi="Arial" w:cs="Arial"/>
          <w:sz w:val="20"/>
          <w:szCs w:val="20"/>
        </w:rPr>
        <w:t xml:space="preserve"> P, (eds), </w:t>
      </w:r>
      <w:r w:rsidRPr="001A14B1">
        <w:rPr>
          <w:rFonts w:ascii="Arial" w:hAnsi="Arial" w:cs="Arial"/>
          <w:i/>
          <w:sz w:val="20"/>
          <w:szCs w:val="20"/>
        </w:rPr>
        <w:t>Encyclopedia of food chemistry</w:t>
      </w:r>
      <w:r w:rsidRPr="001A14B1">
        <w:rPr>
          <w:rFonts w:ascii="Arial" w:hAnsi="Arial" w:cs="Arial"/>
          <w:sz w:val="20"/>
          <w:szCs w:val="20"/>
        </w:rPr>
        <w:t xml:space="preserve"> (500-24). Oxford: Academic Press,</w:t>
      </w:r>
    </w:p>
    <w:p w14:paraId="46A6E62B" w14:textId="77777777" w:rsidR="00711153" w:rsidRPr="001A14B1" w:rsidRDefault="00711153" w:rsidP="001A14B1">
      <w:pPr>
        <w:pStyle w:val="ListParagraph"/>
        <w:numPr>
          <w:ilvl w:val="0"/>
          <w:numId w:val="2"/>
        </w:numPr>
        <w:spacing w:after="0" w:line="240" w:lineRule="auto"/>
        <w:jc w:val="both"/>
        <w:rPr>
          <w:rFonts w:ascii="Arial" w:hAnsi="Arial" w:cs="Arial"/>
          <w:sz w:val="20"/>
          <w:szCs w:val="20"/>
        </w:rPr>
      </w:pPr>
      <w:r w:rsidRPr="001A14B1">
        <w:rPr>
          <w:rFonts w:ascii="Arial" w:hAnsi="Arial" w:cs="Arial"/>
          <w:b/>
          <w:sz w:val="20"/>
          <w:szCs w:val="20"/>
        </w:rPr>
        <w:t>World Health Organization (2020).</w:t>
      </w:r>
      <w:r w:rsidRPr="001A14B1">
        <w:rPr>
          <w:rFonts w:ascii="Arial" w:hAnsi="Arial" w:cs="Arial"/>
          <w:sz w:val="20"/>
          <w:szCs w:val="20"/>
        </w:rPr>
        <w:t xml:space="preserve"> Noncommunicable diseases. </w:t>
      </w:r>
      <w:hyperlink r:id="rId8" w:history="1">
        <w:r w:rsidRPr="001A14B1">
          <w:rPr>
            <w:rStyle w:val="Hyperlink"/>
            <w:rFonts w:ascii="Arial" w:hAnsi="Arial" w:cs="Arial"/>
            <w:sz w:val="20"/>
            <w:szCs w:val="20"/>
          </w:rPr>
          <w:t>https://www.who.int/health-topics/noncommunicable-diseases</w:t>
        </w:r>
      </w:hyperlink>
    </w:p>
    <w:p w14:paraId="18590CBC" w14:textId="07195596" w:rsidR="00711153" w:rsidRPr="001A14B1" w:rsidRDefault="00711153" w:rsidP="001A14B1">
      <w:pPr>
        <w:pStyle w:val="ListParagraph"/>
        <w:numPr>
          <w:ilvl w:val="0"/>
          <w:numId w:val="2"/>
        </w:numPr>
        <w:spacing w:after="0" w:line="240" w:lineRule="auto"/>
        <w:jc w:val="both"/>
        <w:rPr>
          <w:rFonts w:ascii="Arial" w:hAnsi="Arial" w:cs="Arial"/>
          <w:sz w:val="20"/>
          <w:szCs w:val="20"/>
        </w:rPr>
      </w:pPr>
      <w:proofErr w:type="spellStart"/>
      <w:r w:rsidRPr="001A14B1">
        <w:rPr>
          <w:rFonts w:ascii="Arial" w:hAnsi="Arial" w:cs="Arial"/>
          <w:b/>
          <w:sz w:val="20"/>
          <w:szCs w:val="20"/>
        </w:rPr>
        <w:t>Hamzalıoglu</w:t>
      </w:r>
      <w:proofErr w:type="spellEnd"/>
      <w:r w:rsidRPr="001A14B1">
        <w:rPr>
          <w:rFonts w:ascii="Arial" w:hAnsi="Arial" w:cs="Arial"/>
          <w:b/>
          <w:sz w:val="20"/>
          <w:szCs w:val="20"/>
        </w:rPr>
        <w:t xml:space="preserve">, A., </w:t>
      </w:r>
      <w:proofErr w:type="spellStart"/>
      <w:r w:rsidRPr="001A14B1">
        <w:rPr>
          <w:rFonts w:ascii="Arial" w:hAnsi="Arial" w:cs="Arial"/>
          <w:b/>
          <w:sz w:val="20"/>
          <w:szCs w:val="20"/>
        </w:rPr>
        <w:t>Atac</w:t>
      </w:r>
      <w:proofErr w:type="spellEnd"/>
      <w:r w:rsidRPr="001A14B1">
        <w:rPr>
          <w:rFonts w:ascii="Arial" w:hAnsi="Arial" w:cs="Arial"/>
          <w:b/>
          <w:sz w:val="20"/>
          <w:szCs w:val="20"/>
        </w:rPr>
        <w:t xml:space="preserve">, B.¸ </w:t>
      </w:r>
      <w:proofErr w:type="spellStart"/>
      <w:r w:rsidRPr="001A14B1">
        <w:rPr>
          <w:rFonts w:ascii="Arial" w:hAnsi="Arial" w:cs="Arial"/>
          <w:b/>
          <w:sz w:val="20"/>
          <w:szCs w:val="20"/>
        </w:rPr>
        <w:t>Mogol</w:t>
      </w:r>
      <w:proofErr w:type="spellEnd"/>
      <w:r w:rsidRPr="001A14B1">
        <w:rPr>
          <w:rFonts w:ascii="Arial" w:hAnsi="Arial" w:cs="Arial"/>
          <w:b/>
          <w:sz w:val="20"/>
          <w:szCs w:val="20"/>
        </w:rPr>
        <w:t xml:space="preserve">, </w:t>
      </w:r>
      <w:r w:rsidR="00A77CB4" w:rsidRPr="001A14B1">
        <w:rPr>
          <w:rFonts w:ascii="Arial" w:hAnsi="Arial" w:cs="Arial"/>
          <w:b/>
          <w:sz w:val="20"/>
          <w:szCs w:val="20"/>
        </w:rPr>
        <w:t>&amp;</w:t>
      </w:r>
      <w:r w:rsidRPr="001A14B1">
        <w:rPr>
          <w:rFonts w:ascii="Arial" w:hAnsi="Arial" w:cs="Arial"/>
          <w:b/>
          <w:sz w:val="20"/>
          <w:szCs w:val="20"/>
        </w:rPr>
        <w:t xml:space="preserve"> </w:t>
      </w:r>
      <w:proofErr w:type="spellStart"/>
      <w:r w:rsidRPr="001A14B1">
        <w:rPr>
          <w:rFonts w:ascii="Arial" w:hAnsi="Arial" w:cs="Arial"/>
          <w:b/>
          <w:sz w:val="20"/>
          <w:szCs w:val="20"/>
        </w:rPr>
        <w:t>Go¨kmen</w:t>
      </w:r>
      <w:proofErr w:type="spellEnd"/>
      <w:r w:rsidRPr="001A14B1">
        <w:rPr>
          <w:rFonts w:ascii="Arial" w:hAnsi="Arial" w:cs="Arial"/>
          <w:b/>
          <w:sz w:val="20"/>
          <w:szCs w:val="20"/>
        </w:rPr>
        <w:t xml:space="preserve">, V. (2019). </w:t>
      </w:r>
      <w:r w:rsidRPr="001A14B1">
        <w:rPr>
          <w:rFonts w:ascii="Arial" w:hAnsi="Arial" w:cs="Arial"/>
          <w:sz w:val="20"/>
          <w:szCs w:val="20"/>
        </w:rPr>
        <w:t xml:space="preserve">Acrylamide: An Overview of the Chemistry and Occurrence in Foods. In: Melton L, Shahidi F, </w:t>
      </w:r>
      <w:proofErr w:type="spellStart"/>
      <w:r w:rsidRPr="001A14B1">
        <w:rPr>
          <w:rFonts w:ascii="Arial" w:hAnsi="Arial" w:cs="Arial"/>
          <w:sz w:val="20"/>
          <w:szCs w:val="20"/>
        </w:rPr>
        <w:t>Varelis</w:t>
      </w:r>
      <w:proofErr w:type="spellEnd"/>
      <w:r w:rsidRPr="001A14B1">
        <w:rPr>
          <w:rFonts w:ascii="Arial" w:hAnsi="Arial" w:cs="Arial"/>
          <w:sz w:val="20"/>
          <w:szCs w:val="20"/>
        </w:rPr>
        <w:t xml:space="preserve"> P, (eds), </w:t>
      </w:r>
      <w:r w:rsidRPr="001A14B1">
        <w:rPr>
          <w:rFonts w:ascii="Arial" w:hAnsi="Arial" w:cs="Arial"/>
          <w:i/>
          <w:sz w:val="20"/>
          <w:szCs w:val="20"/>
        </w:rPr>
        <w:t>Encyclopedia of food chemistry</w:t>
      </w:r>
      <w:r w:rsidRPr="001A14B1">
        <w:rPr>
          <w:rFonts w:ascii="Arial" w:hAnsi="Arial" w:cs="Arial"/>
          <w:sz w:val="20"/>
          <w:szCs w:val="20"/>
        </w:rPr>
        <w:t xml:space="preserve"> (pp.492–499). Oxford: Academic Press,</w:t>
      </w:r>
    </w:p>
    <w:p w14:paraId="23222756" w14:textId="77777777" w:rsidR="00711153" w:rsidRPr="001A14B1" w:rsidRDefault="00711153" w:rsidP="001A14B1">
      <w:pPr>
        <w:pStyle w:val="ListParagraph"/>
        <w:numPr>
          <w:ilvl w:val="0"/>
          <w:numId w:val="2"/>
        </w:numPr>
        <w:spacing w:after="0" w:line="240" w:lineRule="auto"/>
        <w:jc w:val="both"/>
        <w:rPr>
          <w:rFonts w:ascii="Arial" w:hAnsi="Arial" w:cs="Arial"/>
          <w:sz w:val="20"/>
          <w:szCs w:val="20"/>
        </w:rPr>
      </w:pPr>
      <w:r w:rsidRPr="001A14B1">
        <w:rPr>
          <w:rFonts w:ascii="Arial" w:hAnsi="Arial" w:cs="Arial"/>
          <w:b/>
          <w:sz w:val="20"/>
          <w:szCs w:val="20"/>
        </w:rPr>
        <w:t>Food and Drugs Association (2016).</w:t>
      </w:r>
      <w:r w:rsidRPr="001A14B1">
        <w:rPr>
          <w:rFonts w:ascii="Arial" w:hAnsi="Arial" w:cs="Arial"/>
          <w:sz w:val="20"/>
          <w:szCs w:val="20"/>
        </w:rPr>
        <w:t xml:space="preserve"> Guidance for Industry: Acrylamide in Foods. https://www.fda.gov/Food/FoodborneIllnessContaminants/ChemicalContaminants/ ucm2006782.htm   </w:t>
      </w:r>
    </w:p>
    <w:p w14:paraId="2A4F37FA" w14:textId="77777777" w:rsidR="001A14B1" w:rsidRPr="001A14B1" w:rsidRDefault="001A14B1" w:rsidP="001A14B1">
      <w:pPr>
        <w:pStyle w:val="ListParagraph"/>
        <w:numPr>
          <w:ilvl w:val="0"/>
          <w:numId w:val="2"/>
        </w:numPr>
        <w:tabs>
          <w:tab w:val="left" w:pos="2430"/>
        </w:tabs>
        <w:spacing w:after="0" w:line="240" w:lineRule="auto"/>
        <w:jc w:val="both"/>
        <w:rPr>
          <w:rFonts w:ascii="Arial" w:hAnsi="Arial" w:cs="Arial"/>
          <w:sz w:val="20"/>
          <w:szCs w:val="20"/>
        </w:rPr>
      </w:pPr>
      <w:r w:rsidRPr="001A14B1">
        <w:rPr>
          <w:rFonts w:ascii="Arial" w:hAnsi="Arial" w:cs="Arial"/>
          <w:b/>
          <w:sz w:val="20"/>
          <w:szCs w:val="20"/>
        </w:rPr>
        <w:t>European Commission (2017).</w:t>
      </w:r>
      <w:r w:rsidRPr="001A14B1">
        <w:rPr>
          <w:rFonts w:ascii="Arial" w:hAnsi="Arial" w:cs="Arial"/>
          <w:sz w:val="20"/>
          <w:szCs w:val="20"/>
        </w:rPr>
        <w:t xml:space="preserve"> Commission Regulation (EU) 2017/2158 of 20 November 2017 Establishing Mitigation Measures and Benchmark Levels for the Reduction of the Presence of Acrylamide in Food. European Commission, Brussels.</w:t>
      </w:r>
    </w:p>
    <w:p w14:paraId="3C2329DE" w14:textId="77777777" w:rsidR="001A14B1" w:rsidRPr="001A14B1" w:rsidRDefault="001A14B1" w:rsidP="001A14B1">
      <w:pPr>
        <w:pStyle w:val="ListParagraph"/>
        <w:numPr>
          <w:ilvl w:val="0"/>
          <w:numId w:val="2"/>
        </w:numPr>
        <w:spacing w:after="0" w:line="240" w:lineRule="auto"/>
        <w:jc w:val="both"/>
        <w:rPr>
          <w:rFonts w:ascii="Arial" w:hAnsi="Arial" w:cs="Arial"/>
          <w:sz w:val="20"/>
          <w:szCs w:val="20"/>
        </w:rPr>
      </w:pPr>
      <w:r w:rsidRPr="001A14B1">
        <w:rPr>
          <w:rFonts w:ascii="Arial" w:hAnsi="Arial" w:cs="Arial"/>
          <w:b/>
          <w:sz w:val="20"/>
          <w:szCs w:val="20"/>
        </w:rPr>
        <w:t>Mesias, M., Delgado-Andrade, C. &amp; Morales, F. J. (2020).</w:t>
      </w:r>
      <w:r w:rsidRPr="001A14B1">
        <w:rPr>
          <w:rFonts w:ascii="Arial" w:hAnsi="Arial" w:cs="Arial"/>
          <w:sz w:val="20"/>
          <w:szCs w:val="20"/>
        </w:rPr>
        <w:t xml:space="preserve"> Are Household Potato Frying Habits Suitable for Preventing Acrylamide Exposure? </w:t>
      </w:r>
      <w:r w:rsidRPr="001A14B1">
        <w:rPr>
          <w:rFonts w:ascii="Arial" w:hAnsi="Arial" w:cs="Arial"/>
          <w:i/>
          <w:sz w:val="20"/>
          <w:szCs w:val="20"/>
        </w:rPr>
        <w:t>Foods</w:t>
      </w:r>
      <w:r w:rsidRPr="001A14B1">
        <w:rPr>
          <w:rFonts w:ascii="Arial" w:hAnsi="Arial" w:cs="Arial"/>
          <w:sz w:val="20"/>
          <w:szCs w:val="20"/>
        </w:rPr>
        <w:t xml:space="preserve">, 9 (6), 799. Doi:10.3390/foods9060799 </w:t>
      </w:r>
    </w:p>
    <w:p w14:paraId="7A6688E5" w14:textId="77777777" w:rsidR="001A14B1" w:rsidRPr="002E6133" w:rsidRDefault="001A14B1" w:rsidP="001A14B1">
      <w:pPr>
        <w:pStyle w:val="ListParagraph"/>
        <w:numPr>
          <w:ilvl w:val="0"/>
          <w:numId w:val="2"/>
        </w:numPr>
        <w:spacing w:after="0" w:line="240" w:lineRule="auto"/>
        <w:rPr>
          <w:rStyle w:val="Hyperlink"/>
          <w:rFonts w:ascii="Arial" w:hAnsi="Arial" w:cs="Arial"/>
          <w:color w:val="000000" w:themeColor="text1"/>
          <w:sz w:val="20"/>
          <w:szCs w:val="20"/>
        </w:rPr>
      </w:pPr>
      <w:r w:rsidRPr="001A14B1">
        <w:rPr>
          <w:rFonts w:ascii="Arial" w:hAnsi="Arial" w:cs="Arial"/>
          <w:color w:val="000000" w:themeColor="text1"/>
          <w:sz w:val="20"/>
          <w:szCs w:val="20"/>
        </w:rPr>
        <w:t xml:space="preserve">Constantinides, S., Bhandari, S. R., Kenney, E., Frongillo, E. A., &amp; Blake, C. E. (2021). Perspectives on Food </w:t>
      </w:r>
      <w:r w:rsidRPr="002E6133">
        <w:rPr>
          <w:rFonts w:ascii="Arial" w:hAnsi="Arial" w:cs="Arial"/>
          <w:color w:val="000000" w:themeColor="text1"/>
          <w:sz w:val="20"/>
          <w:szCs w:val="20"/>
        </w:rPr>
        <w:t xml:space="preserve">Safety and Their Influence on Food Choice in Low- and Middle-Income Countries. </w:t>
      </w:r>
      <w:r w:rsidRPr="002E6133">
        <w:rPr>
          <w:rFonts w:ascii="Arial" w:hAnsi="Arial" w:cs="Arial"/>
          <w:i/>
          <w:iCs/>
          <w:color w:val="000000" w:themeColor="text1"/>
          <w:sz w:val="20"/>
          <w:szCs w:val="20"/>
        </w:rPr>
        <w:t>Current Developments in Nutrition</w:t>
      </w:r>
      <w:r w:rsidRPr="002E6133">
        <w:rPr>
          <w:rFonts w:ascii="Arial" w:hAnsi="Arial" w:cs="Arial"/>
          <w:color w:val="000000" w:themeColor="text1"/>
          <w:sz w:val="20"/>
          <w:szCs w:val="20"/>
        </w:rPr>
        <w:t xml:space="preserve">, </w:t>
      </w:r>
      <w:r w:rsidRPr="002E6133">
        <w:rPr>
          <w:rFonts w:ascii="Arial" w:hAnsi="Arial" w:cs="Arial"/>
          <w:i/>
          <w:iCs/>
          <w:color w:val="000000" w:themeColor="text1"/>
          <w:sz w:val="20"/>
          <w:szCs w:val="20"/>
        </w:rPr>
        <w:t>5</w:t>
      </w:r>
      <w:r w:rsidRPr="002E6133">
        <w:rPr>
          <w:rFonts w:ascii="Arial" w:hAnsi="Arial" w:cs="Arial"/>
          <w:color w:val="000000" w:themeColor="text1"/>
          <w:sz w:val="20"/>
          <w:szCs w:val="20"/>
        </w:rPr>
        <w:t xml:space="preserve">, 550. </w:t>
      </w:r>
      <w:hyperlink r:id="rId9" w:history="1">
        <w:r w:rsidRPr="002E6133">
          <w:rPr>
            <w:rStyle w:val="Hyperlink"/>
            <w:rFonts w:ascii="Arial" w:hAnsi="Arial" w:cs="Arial"/>
            <w:color w:val="000000" w:themeColor="text1"/>
            <w:sz w:val="20"/>
            <w:szCs w:val="20"/>
          </w:rPr>
          <w:t>https://doi.org/10.1093/cdn/nzab043_002</w:t>
        </w:r>
      </w:hyperlink>
      <w:r w:rsidRPr="002E6133">
        <w:rPr>
          <w:rStyle w:val="Hyperlink"/>
          <w:rFonts w:ascii="Arial" w:hAnsi="Arial" w:cs="Arial"/>
          <w:color w:val="000000" w:themeColor="text1"/>
          <w:sz w:val="20"/>
          <w:szCs w:val="20"/>
        </w:rPr>
        <w:t>.</w:t>
      </w:r>
    </w:p>
    <w:p w14:paraId="1637D07A" w14:textId="5F3289F3" w:rsidR="00711153" w:rsidRPr="002E6133" w:rsidRDefault="00711153" w:rsidP="001A14B1">
      <w:pPr>
        <w:pStyle w:val="ListParagraph"/>
        <w:numPr>
          <w:ilvl w:val="0"/>
          <w:numId w:val="2"/>
        </w:numPr>
        <w:spacing w:after="0" w:line="240" w:lineRule="auto"/>
        <w:jc w:val="both"/>
        <w:rPr>
          <w:rFonts w:ascii="Arial" w:hAnsi="Arial" w:cs="Arial"/>
          <w:sz w:val="20"/>
          <w:szCs w:val="20"/>
          <w:shd w:val="clear" w:color="auto" w:fill="FFFFFF"/>
        </w:rPr>
      </w:pPr>
      <w:r w:rsidRPr="002E6133">
        <w:rPr>
          <w:rFonts w:ascii="Arial" w:hAnsi="Arial" w:cs="Arial"/>
          <w:b/>
          <w:sz w:val="20"/>
          <w:szCs w:val="20"/>
          <w:shd w:val="clear" w:color="auto" w:fill="FFFFFF"/>
        </w:rPr>
        <w:t xml:space="preserve">Rifai, L. </w:t>
      </w:r>
      <w:r w:rsidR="00A77CB4" w:rsidRPr="002E6133">
        <w:rPr>
          <w:rFonts w:ascii="Arial" w:hAnsi="Arial" w:cs="Arial"/>
          <w:b/>
          <w:sz w:val="20"/>
          <w:szCs w:val="20"/>
          <w:shd w:val="clear" w:color="auto" w:fill="FFFFFF"/>
        </w:rPr>
        <w:t>&amp;</w:t>
      </w:r>
      <w:r w:rsidRPr="002E6133">
        <w:rPr>
          <w:rFonts w:ascii="Arial" w:hAnsi="Arial" w:cs="Arial"/>
          <w:b/>
          <w:sz w:val="20"/>
          <w:szCs w:val="20"/>
          <w:shd w:val="clear" w:color="auto" w:fill="FFFFFF"/>
        </w:rPr>
        <w:t xml:space="preserve"> Saleh, F. A. (2020). </w:t>
      </w:r>
      <w:r w:rsidRPr="002E6133">
        <w:rPr>
          <w:rFonts w:ascii="Arial" w:hAnsi="Arial" w:cs="Arial"/>
          <w:sz w:val="20"/>
          <w:szCs w:val="20"/>
          <w:shd w:val="clear" w:color="auto" w:fill="FFFFFF"/>
        </w:rPr>
        <w:t>A Review on Acrylamide in Food: Occurrence, Toxicity, and Mitigation Strategies. </w:t>
      </w:r>
      <w:r w:rsidRPr="002E6133">
        <w:rPr>
          <w:rFonts w:ascii="Arial" w:hAnsi="Arial" w:cs="Arial"/>
          <w:i/>
          <w:iCs/>
          <w:sz w:val="20"/>
          <w:szCs w:val="20"/>
          <w:shd w:val="clear" w:color="auto" w:fill="FFFFFF"/>
        </w:rPr>
        <w:t>International journal of toxicology</w:t>
      </w:r>
      <w:r w:rsidRPr="002E6133">
        <w:rPr>
          <w:rFonts w:ascii="Arial" w:hAnsi="Arial" w:cs="Arial"/>
          <w:sz w:val="20"/>
          <w:szCs w:val="20"/>
          <w:shd w:val="clear" w:color="auto" w:fill="FFFFFF"/>
        </w:rPr>
        <w:t>, </w:t>
      </w:r>
      <w:r w:rsidRPr="002E6133">
        <w:rPr>
          <w:rFonts w:ascii="Arial" w:hAnsi="Arial" w:cs="Arial"/>
          <w:i/>
          <w:iCs/>
          <w:sz w:val="20"/>
          <w:szCs w:val="20"/>
          <w:shd w:val="clear" w:color="auto" w:fill="FFFFFF"/>
        </w:rPr>
        <w:t>39</w:t>
      </w:r>
      <w:r w:rsidRPr="002E6133">
        <w:rPr>
          <w:rFonts w:ascii="Arial" w:hAnsi="Arial" w:cs="Arial"/>
          <w:sz w:val="20"/>
          <w:szCs w:val="20"/>
          <w:shd w:val="clear" w:color="auto" w:fill="FFFFFF"/>
        </w:rPr>
        <w:t>(2), 93–102.</w:t>
      </w:r>
    </w:p>
    <w:p w14:paraId="4FFF6007" w14:textId="77777777" w:rsidR="002E6133" w:rsidRPr="002E6133" w:rsidRDefault="00711153" w:rsidP="002E6133">
      <w:pPr>
        <w:pStyle w:val="ListParagraph"/>
        <w:numPr>
          <w:ilvl w:val="0"/>
          <w:numId w:val="2"/>
        </w:numPr>
        <w:spacing w:after="0" w:line="240" w:lineRule="auto"/>
        <w:jc w:val="both"/>
        <w:rPr>
          <w:rFonts w:ascii="Arial" w:hAnsi="Arial" w:cs="Arial"/>
          <w:color w:val="000000" w:themeColor="text1"/>
          <w:sz w:val="20"/>
          <w:szCs w:val="20"/>
          <w:shd w:val="clear" w:color="auto" w:fill="FFFFFF"/>
        </w:rPr>
      </w:pPr>
      <w:proofErr w:type="spellStart"/>
      <w:r w:rsidRPr="002E6133">
        <w:rPr>
          <w:rFonts w:ascii="Arial" w:hAnsi="Arial" w:cs="Arial"/>
          <w:b/>
          <w:sz w:val="20"/>
          <w:szCs w:val="20"/>
        </w:rPr>
        <w:t>Mainya</w:t>
      </w:r>
      <w:proofErr w:type="spellEnd"/>
      <w:r w:rsidRPr="002E6133">
        <w:rPr>
          <w:rFonts w:ascii="Arial" w:hAnsi="Arial" w:cs="Arial"/>
          <w:b/>
          <w:sz w:val="20"/>
          <w:szCs w:val="20"/>
        </w:rPr>
        <w:t xml:space="preserve">, N. O., Kituyi, L., Wanjau, T. </w:t>
      </w:r>
      <w:r w:rsidR="00A77CB4" w:rsidRPr="002E6133">
        <w:rPr>
          <w:rFonts w:ascii="Arial" w:hAnsi="Arial" w:cs="Arial"/>
          <w:b/>
          <w:sz w:val="20"/>
          <w:szCs w:val="20"/>
        </w:rPr>
        <w:t>&amp;</w:t>
      </w:r>
      <w:r w:rsidRPr="002E6133">
        <w:rPr>
          <w:rFonts w:ascii="Arial" w:hAnsi="Arial" w:cs="Arial"/>
          <w:b/>
          <w:sz w:val="20"/>
          <w:szCs w:val="20"/>
        </w:rPr>
        <w:t xml:space="preserve"> Okemwa, E. (2020).</w:t>
      </w:r>
      <w:r w:rsidRPr="002E6133">
        <w:rPr>
          <w:rFonts w:ascii="Arial" w:hAnsi="Arial" w:cs="Arial"/>
          <w:sz w:val="20"/>
          <w:szCs w:val="20"/>
        </w:rPr>
        <w:t xml:space="preserve"> Analysis of Tuber Maturity on Levels of Acrylamide in Selected Solanum Tuberosum Products (Chips and Crisps). </w:t>
      </w:r>
      <w:r w:rsidRPr="002E6133">
        <w:rPr>
          <w:rFonts w:ascii="Arial" w:hAnsi="Arial" w:cs="Arial"/>
          <w:i/>
          <w:sz w:val="20"/>
          <w:szCs w:val="20"/>
        </w:rPr>
        <w:t>International Journal of Scientific and Research Publications</w:t>
      </w:r>
      <w:r w:rsidRPr="002E6133">
        <w:rPr>
          <w:rFonts w:ascii="Arial" w:hAnsi="Arial" w:cs="Arial"/>
          <w:sz w:val="20"/>
          <w:szCs w:val="20"/>
        </w:rPr>
        <w:t>, 10 (5), 988-991.</w:t>
      </w:r>
    </w:p>
    <w:p w14:paraId="56BD7E64" w14:textId="3DD5D955" w:rsidR="002E6133" w:rsidRPr="002E6133" w:rsidRDefault="002E6133" w:rsidP="002E6133">
      <w:pPr>
        <w:pStyle w:val="ListParagraph"/>
        <w:numPr>
          <w:ilvl w:val="0"/>
          <w:numId w:val="2"/>
        </w:numPr>
        <w:spacing w:after="0" w:line="240" w:lineRule="auto"/>
        <w:jc w:val="both"/>
        <w:rPr>
          <w:rFonts w:ascii="Arial" w:hAnsi="Arial" w:cs="Arial"/>
          <w:color w:val="000000" w:themeColor="text1"/>
          <w:sz w:val="20"/>
          <w:szCs w:val="20"/>
          <w:shd w:val="clear" w:color="auto" w:fill="FFFFFF"/>
        </w:rPr>
      </w:pPr>
      <w:r w:rsidRPr="002E6133">
        <w:rPr>
          <w:rFonts w:ascii="Arial" w:hAnsi="Arial" w:cs="Arial"/>
          <w:b/>
          <w:bCs/>
          <w:color w:val="000000" w:themeColor="text1"/>
          <w:sz w:val="20"/>
          <w:szCs w:val="20"/>
          <w:shd w:val="clear" w:color="auto" w:fill="FFFFFF"/>
        </w:rPr>
        <w:t>Owuor, S., Brown, A., Crush, J., Frayne, B. &amp; Wagner, J. (2017).</w:t>
      </w:r>
      <w:r w:rsidRPr="002E6133">
        <w:rPr>
          <w:rFonts w:ascii="Arial" w:hAnsi="Arial" w:cs="Arial"/>
          <w:color w:val="000000" w:themeColor="text1"/>
          <w:sz w:val="20"/>
          <w:szCs w:val="20"/>
          <w:shd w:val="clear" w:color="auto" w:fill="FFFFFF"/>
        </w:rPr>
        <w:t xml:space="preserve"> The Urban Food System of Nairobi, Kenya (rep., pp. i-71). Waterloo, ON: Hungry Cities Partnership. Hungry Cities Report, No. 6.</w:t>
      </w:r>
    </w:p>
    <w:p w14:paraId="19995C5B" w14:textId="7434670D" w:rsidR="00711153" w:rsidRPr="002E6133" w:rsidRDefault="00711153" w:rsidP="001A14B1">
      <w:pPr>
        <w:pStyle w:val="ListParagraph"/>
        <w:numPr>
          <w:ilvl w:val="0"/>
          <w:numId w:val="2"/>
        </w:numPr>
        <w:spacing w:after="0" w:line="240" w:lineRule="auto"/>
        <w:rPr>
          <w:rFonts w:ascii="Arial" w:hAnsi="Arial" w:cs="Arial"/>
          <w:color w:val="000000" w:themeColor="text1"/>
          <w:sz w:val="20"/>
          <w:szCs w:val="20"/>
          <w:shd w:val="clear" w:color="auto" w:fill="FFFFFF"/>
        </w:rPr>
      </w:pPr>
      <w:r w:rsidRPr="002E6133">
        <w:rPr>
          <w:rFonts w:ascii="Arial" w:hAnsi="Arial" w:cs="Arial"/>
          <w:b/>
          <w:bCs/>
          <w:color w:val="000000" w:themeColor="text1"/>
          <w:sz w:val="20"/>
          <w:szCs w:val="20"/>
          <w:shd w:val="clear" w:color="auto" w:fill="FFFFFF"/>
        </w:rPr>
        <w:t>Mugenda, O. &amp; Mugenda, A. (2003).</w:t>
      </w:r>
      <w:r w:rsidRPr="002E6133">
        <w:rPr>
          <w:rFonts w:ascii="Arial" w:hAnsi="Arial" w:cs="Arial"/>
          <w:color w:val="000000" w:themeColor="text1"/>
          <w:sz w:val="20"/>
          <w:szCs w:val="20"/>
          <w:shd w:val="clear" w:color="auto" w:fill="FFFFFF"/>
        </w:rPr>
        <w:t xml:space="preserve"> Research methods quantitative and qualitative approaches. Nairobi: Act Press.</w:t>
      </w:r>
    </w:p>
    <w:p w14:paraId="68384AE5" w14:textId="77777777" w:rsidR="00711153" w:rsidRPr="002E6133" w:rsidRDefault="00711153" w:rsidP="001A14B1">
      <w:pPr>
        <w:pStyle w:val="ListParagraph"/>
        <w:numPr>
          <w:ilvl w:val="0"/>
          <w:numId w:val="2"/>
        </w:numPr>
        <w:spacing w:after="0" w:line="240" w:lineRule="auto"/>
        <w:rPr>
          <w:rFonts w:ascii="Arial" w:hAnsi="Arial" w:cs="Arial"/>
          <w:color w:val="000000" w:themeColor="text1"/>
          <w:sz w:val="20"/>
          <w:szCs w:val="20"/>
        </w:rPr>
      </w:pPr>
      <w:r w:rsidRPr="002E6133">
        <w:rPr>
          <w:rFonts w:ascii="Arial" w:hAnsi="Arial" w:cs="Arial"/>
          <w:b/>
          <w:bCs/>
          <w:color w:val="000000" w:themeColor="text1"/>
          <w:sz w:val="20"/>
          <w:szCs w:val="20"/>
        </w:rPr>
        <w:t xml:space="preserve">Schmidt, &amp; Brown, J. M. (2021). </w:t>
      </w:r>
      <w:r w:rsidRPr="002E6133">
        <w:rPr>
          <w:rFonts w:ascii="Arial" w:hAnsi="Arial" w:cs="Arial"/>
          <w:i/>
          <w:iCs/>
          <w:color w:val="000000" w:themeColor="text1"/>
          <w:sz w:val="20"/>
          <w:szCs w:val="20"/>
        </w:rPr>
        <w:t>Evidence-Based Practice for Nurses</w:t>
      </w:r>
      <w:r w:rsidRPr="002E6133">
        <w:rPr>
          <w:rFonts w:ascii="Arial" w:hAnsi="Arial" w:cs="Arial"/>
          <w:color w:val="000000" w:themeColor="text1"/>
          <w:sz w:val="20"/>
          <w:szCs w:val="20"/>
        </w:rPr>
        <w:t>. Jones &amp; Bartlett Learning.</w:t>
      </w:r>
    </w:p>
    <w:p w14:paraId="14BFB7A9" w14:textId="77777777" w:rsidR="00711153" w:rsidRPr="002E6133" w:rsidRDefault="00711153" w:rsidP="001A14B1">
      <w:pPr>
        <w:pStyle w:val="ListParagraph"/>
        <w:numPr>
          <w:ilvl w:val="0"/>
          <w:numId w:val="2"/>
        </w:numPr>
        <w:spacing w:after="0" w:line="240" w:lineRule="auto"/>
        <w:jc w:val="both"/>
        <w:rPr>
          <w:rFonts w:ascii="Arial" w:hAnsi="Arial" w:cs="Arial"/>
          <w:sz w:val="20"/>
          <w:szCs w:val="20"/>
        </w:rPr>
      </w:pPr>
      <w:r w:rsidRPr="002E6133">
        <w:rPr>
          <w:rFonts w:ascii="Arial" w:hAnsi="Arial" w:cs="Arial"/>
          <w:b/>
          <w:sz w:val="20"/>
          <w:szCs w:val="20"/>
        </w:rPr>
        <w:t>UN-HABITAT (2020).</w:t>
      </w:r>
      <w:r w:rsidRPr="002E6133">
        <w:rPr>
          <w:rFonts w:ascii="Arial" w:hAnsi="Arial" w:cs="Arial"/>
          <w:sz w:val="20"/>
          <w:szCs w:val="20"/>
        </w:rPr>
        <w:t xml:space="preserve"> Informal settlements vulnerability mapping in Kenya. The case of Kibera.</w:t>
      </w:r>
    </w:p>
    <w:p w14:paraId="4E0D338F" w14:textId="77777777" w:rsidR="00711153" w:rsidRPr="002E6133" w:rsidRDefault="00711153" w:rsidP="001A14B1">
      <w:pPr>
        <w:pStyle w:val="ListParagraph"/>
        <w:numPr>
          <w:ilvl w:val="0"/>
          <w:numId w:val="2"/>
        </w:numPr>
        <w:spacing w:after="0" w:line="240" w:lineRule="auto"/>
        <w:jc w:val="both"/>
        <w:rPr>
          <w:rFonts w:ascii="Arial" w:hAnsi="Arial" w:cs="Arial"/>
          <w:sz w:val="20"/>
          <w:szCs w:val="20"/>
        </w:rPr>
      </w:pPr>
      <w:r w:rsidRPr="002E6133">
        <w:rPr>
          <w:rFonts w:ascii="Arial" w:hAnsi="Arial" w:cs="Arial"/>
          <w:b/>
          <w:sz w:val="20"/>
          <w:szCs w:val="20"/>
        </w:rPr>
        <w:t>Stratton, S. (2021).</w:t>
      </w:r>
      <w:r w:rsidRPr="002E6133">
        <w:rPr>
          <w:rFonts w:ascii="Arial" w:hAnsi="Arial" w:cs="Arial"/>
          <w:sz w:val="20"/>
          <w:szCs w:val="20"/>
        </w:rPr>
        <w:t xml:space="preserve"> Population Research: Convenience Sampling Strategies. </w:t>
      </w:r>
      <w:r w:rsidRPr="002E6133">
        <w:rPr>
          <w:rFonts w:ascii="Arial" w:hAnsi="Arial" w:cs="Arial"/>
          <w:i/>
          <w:iCs/>
          <w:sz w:val="20"/>
          <w:szCs w:val="20"/>
        </w:rPr>
        <w:t>Prehospital and Disaster Medicine,</w:t>
      </w:r>
      <w:r w:rsidRPr="002E6133">
        <w:rPr>
          <w:rFonts w:ascii="Arial" w:hAnsi="Arial" w:cs="Arial"/>
          <w:sz w:val="20"/>
          <w:szCs w:val="20"/>
        </w:rPr>
        <w:t xml:space="preserve"> </w:t>
      </w:r>
      <w:r w:rsidRPr="002E6133">
        <w:rPr>
          <w:rFonts w:ascii="Arial" w:hAnsi="Arial" w:cs="Arial"/>
          <w:i/>
          <w:iCs/>
          <w:sz w:val="20"/>
          <w:szCs w:val="20"/>
        </w:rPr>
        <w:t>36</w:t>
      </w:r>
      <w:r w:rsidRPr="002E6133">
        <w:rPr>
          <w:rFonts w:ascii="Arial" w:hAnsi="Arial" w:cs="Arial"/>
          <w:sz w:val="20"/>
          <w:szCs w:val="20"/>
        </w:rPr>
        <w:t>(4), 373-374. Doi:10.1017/S1049023X21000649</w:t>
      </w:r>
    </w:p>
    <w:p w14:paraId="19F57E47" w14:textId="6E3B78F3" w:rsidR="00711153" w:rsidRPr="001A14B1" w:rsidRDefault="00711153" w:rsidP="001A14B1">
      <w:pPr>
        <w:pStyle w:val="ListParagraph"/>
        <w:numPr>
          <w:ilvl w:val="0"/>
          <w:numId w:val="2"/>
        </w:numPr>
        <w:spacing w:after="0" w:line="240" w:lineRule="auto"/>
        <w:jc w:val="both"/>
        <w:rPr>
          <w:rFonts w:ascii="Arial" w:hAnsi="Arial" w:cs="Arial"/>
          <w:sz w:val="20"/>
          <w:szCs w:val="20"/>
        </w:rPr>
      </w:pPr>
      <w:r w:rsidRPr="002E6133">
        <w:rPr>
          <w:rFonts w:ascii="Arial" w:hAnsi="Arial" w:cs="Arial"/>
          <w:b/>
          <w:sz w:val="20"/>
          <w:szCs w:val="20"/>
        </w:rPr>
        <w:t>Yusof, A., Chia, Y.</w:t>
      </w:r>
      <w:r w:rsidRPr="001A14B1">
        <w:rPr>
          <w:rFonts w:ascii="Arial" w:hAnsi="Arial" w:cs="Arial"/>
          <w:b/>
          <w:sz w:val="20"/>
          <w:szCs w:val="20"/>
        </w:rPr>
        <w:t xml:space="preserve"> C. </w:t>
      </w:r>
      <w:r w:rsidR="00A77CB4" w:rsidRPr="001A14B1">
        <w:rPr>
          <w:rFonts w:ascii="Arial" w:hAnsi="Arial" w:cs="Arial"/>
          <w:b/>
          <w:sz w:val="20"/>
          <w:szCs w:val="20"/>
        </w:rPr>
        <w:t>&amp;</w:t>
      </w:r>
      <w:r w:rsidRPr="001A14B1">
        <w:rPr>
          <w:rFonts w:ascii="Arial" w:hAnsi="Arial" w:cs="Arial"/>
          <w:b/>
          <w:sz w:val="20"/>
          <w:szCs w:val="20"/>
        </w:rPr>
        <w:t xml:space="preserve"> Mohd, H. Y. (2014).</w:t>
      </w:r>
      <w:r w:rsidRPr="001A14B1">
        <w:rPr>
          <w:rFonts w:ascii="Arial" w:hAnsi="Arial" w:cs="Arial"/>
          <w:sz w:val="20"/>
          <w:szCs w:val="20"/>
        </w:rPr>
        <w:t xml:space="preserve"> Awareness and Prevalence of Mammography Screening and its Predictors - A Cross-Sectional Study in a Primary Care Clinic in Malaysia. </w:t>
      </w:r>
      <w:r w:rsidRPr="001A14B1">
        <w:rPr>
          <w:rFonts w:ascii="Arial" w:hAnsi="Arial" w:cs="Arial"/>
          <w:i/>
          <w:sz w:val="20"/>
          <w:szCs w:val="20"/>
        </w:rPr>
        <w:t xml:space="preserve">Asian Pacific journal of cancer prevention, </w:t>
      </w:r>
      <w:r w:rsidRPr="001A14B1">
        <w:rPr>
          <w:rFonts w:ascii="Arial" w:hAnsi="Arial" w:cs="Arial"/>
          <w:sz w:val="20"/>
          <w:szCs w:val="20"/>
        </w:rPr>
        <w:t xml:space="preserve">15(19), 8095-9. </w:t>
      </w:r>
    </w:p>
    <w:p w14:paraId="474AF385" w14:textId="493B5281" w:rsidR="00A77CB4" w:rsidRPr="001A14B1" w:rsidRDefault="00A77CB4" w:rsidP="003C2827">
      <w:pPr>
        <w:pStyle w:val="ListParagraph"/>
        <w:numPr>
          <w:ilvl w:val="0"/>
          <w:numId w:val="2"/>
        </w:numPr>
        <w:spacing w:line="240" w:lineRule="auto"/>
        <w:jc w:val="both"/>
        <w:rPr>
          <w:rFonts w:ascii="Arial" w:hAnsi="Arial" w:cs="Arial"/>
          <w:sz w:val="20"/>
          <w:szCs w:val="20"/>
        </w:rPr>
      </w:pPr>
      <w:r w:rsidRPr="001A14B1">
        <w:rPr>
          <w:rFonts w:ascii="Arial" w:hAnsi="Arial" w:cs="Arial"/>
          <w:b/>
          <w:sz w:val="20"/>
          <w:szCs w:val="20"/>
        </w:rPr>
        <w:t xml:space="preserve">Kowalska, M., </w:t>
      </w:r>
      <w:proofErr w:type="spellStart"/>
      <w:r w:rsidRPr="001A14B1">
        <w:rPr>
          <w:rFonts w:ascii="Arial" w:hAnsi="Arial" w:cs="Arial"/>
          <w:b/>
          <w:sz w:val="20"/>
          <w:szCs w:val="20"/>
        </w:rPr>
        <w:t>Żbikowska</w:t>
      </w:r>
      <w:proofErr w:type="spellEnd"/>
      <w:r w:rsidRPr="001A14B1">
        <w:rPr>
          <w:rFonts w:ascii="Arial" w:hAnsi="Arial" w:cs="Arial"/>
          <w:b/>
          <w:sz w:val="20"/>
          <w:szCs w:val="20"/>
        </w:rPr>
        <w:t xml:space="preserve">, A., </w:t>
      </w:r>
      <w:proofErr w:type="spellStart"/>
      <w:r w:rsidRPr="001A14B1">
        <w:rPr>
          <w:rFonts w:ascii="Arial" w:hAnsi="Arial" w:cs="Arial"/>
          <w:b/>
          <w:sz w:val="20"/>
          <w:szCs w:val="20"/>
        </w:rPr>
        <w:t>Onacik-Gür</w:t>
      </w:r>
      <w:proofErr w:type="spellEnd"/>
      <w:r w:rsidRPr="001A14B1">
        <w:rPr>
          <w:rFonts w:ascii="Arial" w:hAnsi="Arial" w:cs="Arial"/>
          <w:b/>
          <w:sz w:val="20"/>
          <w:szCs w:val="20"/>
        </w:rPr>
        <w:t>, S. &amp; Kowalska, D. (2017).</w:t>
      </w:r>
      <w:r w:rsidRPr="001A14B1">
        <w:rPr>
          <w:rFonts w:ascii="Arial" w:hAnsi="Arial" w:cs="Arial"/>
          <w:sz w:val="20"/>
          <w:szCs w:val="20"/>
        </w:rPr>
        <w:t xml:space="preserve"> Acrylamide in food products – eating habits and consumer awareness among Medical School students, </w:t>
      </w:r>
      <w:r w:rsidRPr="001A14B1">
        <w:rPr>
          <w:rFonts w:ascii="Arial" w:hAnsi="Arial" w:cs="Arial"/>
          <w:i/>
          <w:sz w:val="20"/>
          <w:szCs w:val="20"/>
        </w:rPr>
        <w:t>Annals of Agricultural and Environmental Medicine</w:t>
      </w:r>
      <w:r w:rsidRPr="001A14B1">
        <w:rPr>
          <w:rFonts w:ascii="Arial" w:hAnsi="Arial" w:cs="Arial"/>
          <w:sz w:val="20"/>
          <w:szCs w:val="20"/>
        </w:rPr>
        <w:t>, 24(4), 570–574.</w:t>
      </w:r>
    </w:p>
    <w:p w14:paraId="7AB5F0CE" w14:textId="05C00909" w:rsidR="00A77CB4" w:rsidRPr="001A14B1" w:rsidRDefault="00A77CB4" w:rsidP="003C2827">
      <w:pPr>
        <w:pStyle w:val="ListParagraph"/>
        <w:numPr>
          <w:ilvl w:val="0"/>
          <w:numId w:val="2"/>
        </w:numPr>
        <w:spacing w:before="240" w:line="240" w:lineRule="auto"/>
        <w:jc w:val="both"/>
        <w:rPr>
          <w:rFonts w:ascii="Arial" w:hAnsi="Arial" w:cs="Arial"/>
          <w:sz w:val="20"/>
          <w:szCs w:val="20"/>
        </w:rPr>
      </w:pPr>
      <w:r w:rsidRPr="001A14B1">
        <w:rPr>
          <w:rStyle w:val="markedcontent"/>
          <w:rFonts w:ascii="Arial" w:hAnsi="Arial" w:cs="Arial"/>
          <w:b/>
          <w:bCs/>
          <w:sz w:val="20"/>
          <w:szCs w:val="20"/>
        </w:rPr>
        <w:t>GAIN (2020).</w:t>
      </w:r>
      <w:r w:rsidRPr="001A14B1">
        <w:rPr>
          <w:rStyle w:val="markedcontent"/>
          <w:rFonts w:ascii="Arial" w:hAnsi="Arial" w:cs="Arial"/>
          <w:sz w:val="20"/>
          <w:szCs w:val="20"/>
        </w:rPr>
        <w:t xml:space="preserve"> Global review of "Consumer and Vendor Perspectives on Food Safety." A USAID </w:t>
      </w:r>
      <w:proofErr w:type="spellStart"/>
      <w:r w:rsidRPr="001A14B1">
        <w:rPr>
          <w:rStyle w:val="markedcontent"/>
          <w:rFonts w:ascii="Arial" w:hAnsi="Arial" w:cs="Arial"/>
          <w:sz w:val="20"/>
          <w:szCs w:val="20"/>
        </w:rPr>
        <w:t>EatSafe</w:t>
      </w:r>
      <w:proofErr w:type="spellEnd"/>
      <w:r w:rsidRPr="001A14B1">
        <w:rPr>
          <w:rStyle w:val="markedcontent"/>
          <w:rFonts w:ascii="Arial" w:hAnsi="Arial" w:cs="Arial"/>
          <w:sz w:val="20"/>
          <w:szCs w:val="20"/>
        </w:rPr>
        <w:t xml:space="preserve"> Report.</w:t>
      </w:r>
    </w:p>
    <w:p w14:paraId="46648449" w14:textId="35066BDC" w:rsidR="00A77CB4" w:rsidRPr="001964CF" w:rsidRDefault="00A77CB4" w:rsidP="003C2827">
      <w:pPr>
        <w:pStyle w:val="ListParagraph"/>
        <w:numPr>
          <w:ilvl w:val="0"/>
          <w:numId w:val="2"/>
        </w:numPr>
        <w:spacing w:line="240" w:lineRule="auto"/>
        <w:jc w:val="both"/>
        <w:rPr>
          <w:rFonts w:ascii="Arial" w:hAnsi="Arial" w:cs="Arial"/>
          <w:sz w:val="20"/>
          <w:szCs w:val="20"/>
        </w:rPr>
      </w:pPr>
      <w:r w:rsidRPr="001964CF">
        <w:rPr>
          <w:rFonts w:ascii="Arial" w:hAnsi="Arial" w:cs="Arial"/>
          <w:b/>
          <w:sz w:val="20"/>
          <w:szCs w:val="20"/>
        </w:rPr>
        <w:t xml:space="preserve">Perera, D. N., </w:t>
      </w:r>
      <w:proofErr w:type="spellStart"/>
      <w:r w:rsidRPr="001964CF">
        <w:rPr>
          <w:rFonts w:ascii="Arial" w:hAnsi="Arial" w:cs="Arial"/>
          <w:b/>
          <w:sz w:val="20"/>
          <w:szCs w:val="20"/>
        </w:rPr>
        <w:t>Hewavitharana</w:t>
      </w:r>
      <w:proofErr w:type="spellEnd"/>
      <w:r w:rsidRPr="001964CF">
        <w:rPr>
          <w:rFonts w:ascii="Arial" w:hAnsi="Arial" w:cs="Arial"/>
          <w:b/>
          <w:sz w:val="20"/>
          <w:szCs w:val="20"/>
        </w:rPr>
        <w:t xml:space="preserve">, G. G. &amp; </w:t>
      </w:r>
      <w:proofErr w:type="spellStart"/>
      <w:r w:rsidRPr="001964CF">
        <w:rPr>
          <w:rFonts w:ascii="Arial" w:hAnsi="Arial" w:cs="Arial"/>
          <w:b/>
          <w:sz w:val="20"/>
          <w:szCs w:val="20"/>
        </w:rPr>
        <w:t>Navaratne</w:t>
      </w:r>
      <w:proofErr w:type="spellEnd"/>
      <w:r w:rsidRPr="001964CF">
        <w:rPr>
          <w:rFonts w:ascii="Arial" w:hAnsi="Arial" w:cs="Arial"/>
          <w:b/>
          <w:sz w:val="20"/>
          <w:szCs w:val="20"/>
        </w:rPr>
        <w:t xml:space="preserve"> S. B. (2021).</w:t>
      </w:r>
      <w:r w:rsidRPr="001964CF">
        <w:rPr>
          <w:rFonts w:ascii="Arial" w:hAnsi="Arial" w:cs="Arial"/>
          <w:sz w:val="20"/>
          <w:szCs w:val="20"/>
        </w:rPr>
        <w:t xml:space="preserve"> Comprehensive Study on the Acrylamide Content of High Thermally Processed Foods, </w:t>
      </w:r>
      <w:r w:rsidRPr="001964CF">
        <w:rPr>
          <w:rFonts w:ascii="Arial" w:hAnsi="Arial" w:cs="Arial"/>
          <w:i/>
          <w:sz w:val="20"/>
          <w:szCs w:val="20"/>
        </w:rPr>
        <w:t>BioMed Research International</w:t>
      </w:r>
      <w:r w:rsidRPr="001964CF">
        <w:rPr>
          <w:rFonts w:ascii="Arial" w:hAnsi="Arial" w:cs="Arial"/>
          <w:sz w:val="20"/>
          <w:szCs w:val="20"/>
        </w:rPr>
        <w:t xml:space="preserve">, Article ID 6258508, </w:t>
      </w:r>
      <w:hyperlink r:id="rId10" w:history="1">
        <w:r w:rsidRPr="001964CF">
          <w:rPr>
            <w:rStyle w:val="Hyperlink"/>
            <w:rFonts w:ascii="Arial" w:hAnsi="Arial" w:cs="Arial"/>
            <w:sz w:val="20"/>
            <w:szCs w:val="20"/>
          </w:rPr>
          <w:t>https://doi.org/10.1155/2021/6258508</w:t>
        </w:r>
      </w:hyperlink>
    </w:p>
    <w:p w14:paraId="046A521B" w14:textId="046C46EE" w:rsidR="001A14B1" w:rsidRPr="001964CF" w:rsidRDefault="00A77CB4" w:rsidP="001A14B1">
      <w:pPr>
        <w:pStyle w:val="ListParagraph"/>
        <w:numPr>
          <w:ilvl w:val="0"/>
          <w:numId w:val="2"/>
        </w:numPr>
        <w:spacing w:after="0" w:line="240" w:lineRule="auto"/>
        <w:jc w:val="both"/>
        <w:rPr>
          <w:rFonts w:ascii="Arial" w:hAnsi="Arial" w:cs="Arial"/>
          <w:sz w:val="20"/>
          <w:szCs w:val="20"/>
        </w:rPr>
      </w:pPr>
      <w:proofErr w:type="spellStart"/>
      <w:r w:rsidRPr="001964CF">
        <w:rPr>
          <w:rFonts w:ascii="Arial" w:hAnsi="Arial" w:cs="Arial"/>
          <w:b/>
          <w:sz w:val="20"/>
          <w:szCs w:val="20"/>
        </w:rPr>
        <w:t>Sverdlik</w:t>
      </w:r>
      <w:proofErr w:type="spellEnd"/>
      <w:r w:rsidRPr="001964CF">
        <w:rPr>
          <w:rFonts w:ascii="Arial" w:hAnsi="Arial" w:cs="Arial"/>
          <w:b/>
          <w:sz w:val="20"/>
          <w:szCs w:val="20"/>
        </w:rPr>
        <w:t>, A. (2017).</w:t>
      </w:r>
      <w:r w:rsidRPr="001964CF">
        <w:rPr>
          <w:rFonts w:ascii="Arial" w:hAnsi="Arial" w:cs="Arial"/>
          <w:sz w:val="20"/>
          <w:szCs w:val="20"/>
        </w:rPr>
        <w:t xml:space="preserve"> Promoting food security, safe food trading, and vendors' livelihoods in informal settlements: Lessons from Nairobi. Urban Zoo Policy Brief. London, UK: University College London.</w:t>
      </w:r>
    </w:p>
    <w:p w14:paraId="3B1FCB7B" w14:textId="77777777" w:rsidR="001964CF" w:rsidRPr="001964CF" w:rsidRDefault="001964CF" w:rsidP="001964CF">
      <w:pPr>
        <w:pStyle w:val="ListParagraph"/>
        <w:numPr>
          <w:ilvl w:val="0"/>
          <w:numId w:val="2"/>
        </w:numPr>
        <w:spacing w:after="0" w:line="240" w:lineRule="auto"/>
        <w:jc w:val="both"/>
        <w:rPr>
          <w:rStyle w:val="Hyperlink"/>
          <w:rFonts w:ascii="Arial" w:hAnsi="Arial" w:cs="Arial"/>
          <w:color w:val="000000" w:themeColor="text1"/>
          <w:sz w:val="20"/>
          <w:szCs w:val="20"/>
        </w:rPr>
      </w:pPr>
      <w:r w:rsidRPr="001964CF">
        <w:rPr>
          <w:rFonts w:ascii="Arial" w:hAnsi="Arial" w:cs="Arial"/>
          <w:b/>
          <w:bCs/>
          <w:color w:val="000000" w:themeColor="text1"/>
          <w:sz w:val="20"/>
          <w:szCs w:val="20"/>
        </w:rPr>
        <w:t xml:space="preserve">Brown, S. M., Nguyen-Viet, H., Grace, D., Ty, C., </w:t>
      </w:r>
      <w:proofErr w:type="spellStart"/>
      <w:r w:rsidRPr="001964CF">
        <w:rPr>
          <w:rFonts w:ascii="Arial" w:hAnsi="Arial" w:cs="Arial"/>
          <w:b/>
          <w:bCs/>
          <w:color w:val="000000" w:themeColor="text1"/>
          <w:sz w:val="20"/>
          <w:szCs w:val="20"/>
        </w:rPr>
        <w:t>Samkol</w:t>
      </w:r>
      <w:proofErr w:type="spellEnd"/>
      <w:r w:rsidRPr="001964CF">
        <w:rPr>
          <w:rFonts w:ascii="Arial" w:hAnsi="Arial" w:cs="Arial"/>
          <w:b/>
          <w:bCs/>
          <w:color w:val="000000" w:themeColor="text1"/>
          <w:sz w:val="20"/>
          <w:szCs w:val="20"/>
        </w:rPr>
        <w:t>, P., H, S., Pov, S., &amp; Young, M. F. (2022).</w:t>
      </w:r>
      <w:r w:rsidRPr="001964CF">
        <w:rPr>
          <w:rFonts w:ascii="Arial" w:hAnsi="Arial" w:cs="Arial"/>
          <w:color w:val="000000" w:themeColor="text1"/>
          <w:sz w:val="20"/>
          <w:szCs w:val="20"/>
        </w:rPr>
        <w:t xml:space="preserve"> Understanding how food safety risk perception influences dietary decision making among women in Phenom Phnom Penh, Cambodia: a qualitative study. </w:t>
      </w:r>
      <w:r w:rsidRPr="001964CF">
        <w:rPr>
          <w:rFonts w:ascii="Arial" w:hAnsi="Arial" w:cs="Arial"/>
          <w:i/>
          <w:iCs/>
          <w:color w:val="000000" w:themeColor="text1"/>
          <w:sz w:val="20"/>
          <w:szCs w:val="20"/>
        </w:rPr>
        <w:t>BMJ Open</w:t>
      </w:r>
      <w:r w:rsidRPr="001964CF">
        <w:rPr>
          <w:rFonts w:ascii="Arial" w:hAnsi="Arial" w:cs="Arial"/>
          <w:color w:val="000000" w:themeColor="text1"/>
          <w:sz w:val="20"/>
          <w:szCs w:val="20"/>
        </w:rPr>
        <w:t xml:space="preserve">, </w:t>
      </w:r>
      <w:r w:rsidRPr="001964CF">
        <w:rPr>
          <w:rFonts w:ascii="Arial" w:hAnsi="Arial" w:cs="Arial"/>
          <w:i/>
          <w:iCs/>
          <w:color w:val="000000" w:themeColor="text1"/>
          <w:sz w:val="20"/>
          <w:szCs w:val="20"/>
        </w:rPr>
        <w:t>12</w:t>
      </w:r>
      <w:r w:rsidRPr="001964CF">
        <w:rPr>
          <w:rFonts w:ascii="Arial" w:hAnsi="Arial" w:cs="Arial"/>
          <w:color w:val="000000" w:themeColor="text1"/>
          <w:sz w:val="20"/>
          <w:szCs w:val="20"/>
        </w:rPr>
        <w:t xml:space="preserve">(3), e054940. </w:t>
      </w:r>
      <w:hyperlink r:id="rId11" w:history="1">
        <w:r w:rsidRPr="001964CF">
          <w:rPr>
            <w:rStyle w:val="Hyperlink"/>
            <w:rFonts w:ascii="Arial" w:hAnsi="Arial" w:cs="Arial"/>
            <w:color w:val="000000" w:themeColor="text1"/>
            <w:sz w:val="20"/>
            <w:szCs w:val="20"/>
          </w:rPr>
          <w:t>https://doi.org/10.1136/bmjopen-2021-054940</w:t>
        </w:r>
      </w:hyperlink>
      <w:r w:rsidRPr="001964CF">
        <w:rPr>
          <w:rStyle w:val="Hyperlink"/>
          <w:rFonts w:ascii="Arial" w:hAnsi="Arial" w:cs="Arial"/>
          <w:color w:val="000000" w:themeColor="text1"/>
          <w:sz w:val="20"/>
          <w:szCs w:val="20"/>
        </w:rPr>
        <w:t>.</w:t>
      </w:r>
    </w:p>
    <w:p w14:paraId="0DF4A97A" w14:textId="77777777" w:rsidR="001964CF" w:rsidRPr="001964CF" w:rsidRDefault="001964CF" w:rsidP="001964CF">
      <w:pPr>
        <w:pStyle w:val="ListParagraph"/>
        <w:numPr>
          <w:ilvl w:val="0"/>
          <w:numId w:val="2"/>
        </w:numPr>
        <w:spacing w:line="240" w:lineRule="auto"/>
        <w:jc w:val="both"/>
        <w:rPr>
          <w:rStyle w:val="Hyperlink"/>
          <w:rFonts w:ascii="Arial" w:hAnsi="Arial" w:cs="Arial"/>
          <w:color w:val="000000" w:themeColor="text1"/>
          <w:sz w:val="20"/>
          <w:szCs w:val="20"/>
        </w:rPr>
      </w:pPr>
      <w:proofErr w:type="spellStart"/>
      <w:r w:rsidRPr="001964CF">
        <w:rPr>
          <w:rFonts w:ascii="Arial" w:hAnsi="Arial" w:cs="Arial"/>
          <w:b/>
          <w:bCs/>
          <w:color w:val="000000" w:themeColor="text1"/>
          <w:sz w:val="20"/>
          <w:szCs w:val="20"/>
        </w:rPr>
        <w:t>Rembischevski</w:t>
      </w:r>
      <w:proofErr w:type="spellEnd"/>
      <w:r w:rsidRPr="001964CF">
        <w:rPr>
          <w:rFonts w:ascii="Arial" w:hAnsi="Arial" w:cs="Arial"/>
          <w:b/>
          <w:bCs/>
          <w:color w:val="000000" w:themeColor="text1"/>
          <w:sz w:val="20"/>
          <w:szCs w:val="20"/>
        </w:rPr>
        <w:t>, P., &amp; Caldas, E. D. (2020).</w:t>
      </w:r>
      <w:r w:rsidRPr="001964CF">
        <w:rPr>
          <w:rFonts w:ascii="Arial" w:hAnsi="Arial" w:cs="Arial"/>
          <w:color w:val="000000" w:themeColor="text1"/>
          <w:sz w:val="20"/>
          <w:szCs w:val="20"/>
        </w:rPr>
        <w:t xml:space="preserve"> Risk perception related to food. </w:t>
      </w:r>
      <w:r w:rsidRPr="001964CF">
        <w:rPr>
          <w:rFonts w:ascii="Arial" w:hAnsi="Arial" w:cs="Arial"/>
          <w:i/>
          <w:iCs/>
          <w:color w:val="000000" w:themeColor="text1"/>
          <w:sz w:val="20"/>
          <w:szCs w:val="20"/>
        </w:rPr>
        <w:t>Food Science and Technology</w:t>
      </w:r>
      <w:r w:rsidRPr="001964CF">
        <w:rPr>
          <w:rFonts w:ascii="Arial" w:hAnsi="Arial" w:cs="Arial"/>
          <w:color w:val="000000" w:themeColor="text1"/>
          <w:sz w:val="20"/>
          <w:szCs w:val="20"/>
        </w:rPr>
        <w:t xml:space="preserve">, </w:t>
      </w:r>
      <w:r w:rsidRPr="001964CF">
        <w:rPr>
          <w:rFonts w:ascii="Arial" w:hAnsi="Arial" w:cs="Arial"/>
          <w:i/>
          <w:iCs/>
          <w:color w:val="000000" w:themeColor="text1"/>
          <w:sz w:val="20"/>
          <w:szCs w:val="20"/>
        </w:rPr>
        <w:t>40</w:t>
      </w:r>
      <w:r w:rsidRPr="001964CF">
        <w:rPr>
          <w:rFonts w:ascii="Arial" w:hAnsi="Arial" w:cs="Arial"/>
          <w:color w:val="000000" w:themeColor="text1"/>
          <w:sz w:val="20"/>
          <w:szCs w:val="20"/>
        </w:rPr>
        <w:t xml:space="preserve">(4), 779–785. </w:t>
      </w:r>
      <w:hyperlink r:id="rId12" w:history="1">
        <w:r w:rsidRPr="001964CF">
          <w:rPr>
            <w:rStyle w:val="Hyperlink"/>
            <w:rFonts w:ascii="Arial" w:hAnsi="Arial" w:cs="Arial"/>
            <w:color w:val="000000" w:themeColor="text1"/>
            <w:sz w:val="20"/>
            <w:szCs w:val="20"/>
          </w:rPr>
          <w:t>https://doi.org/10.1590/fst.28219</w:t>
        </w:r>
      </w:hyperlink>
      <w:r w:rsidRPr="001964CF">
        <w:rPr>
          <w:rStyle w:val="Hyperlink"/>
          <w:rFonts w:ascii="Arial" w:hAnsi="Arial" w:cs="Arial"/>
          <w:color w:val="000000" w:themeColor="text1"/>
          <w:sz w:val="20"/>
          <w:szCs w:val="20"/>
        </w:rPr>
        <w:t>.</w:t>
      </w:r>
    </w:p>
    <w:sectPr w:rsidR="001964CF" w:rsidRPr="001964CF" w:rsidSect="0006043A">
      <w:headerReference w:type="even" r:id="rId13"/>
      <w:headerReference w:type="default" r:id="rId14"/>
      <w:footerReference w:type="even" r:id="rId15"/>
      <w:footerReference w:type="default" r:id="rId16"/>
      <w:headerReference w:type="first" r:id="rId17"/>
      <w:footerReference w:type="first" r:id="rId18"/>
      <w:pgSz w:w="12240" w:h="15840" w:code="1"/>
      <w:pgMar w:top="1133" w:right="1133" w:bottom="1133" w:left="113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94DA1" w14:textId="77777777" w:rsidR="00847C16" w:rsidRDefault="00847C16" w:rsidP="0035150B">
      <w:pPr>
        <w:spacing w:after="0" w:line="240" w:lineRule="auto"/>
      </w:pPr>
      <w:r>
        <w:separator/>
      </w:r>
    </w:p>
  </w:endnote>
  <w:endnote w:type="continuationSeparator" w:id="0">
    <w:p w14:paraId="512A0933" w14:textId="77777777" w:rsidR="00847C16" w:rsidRDefault="00847C16" w:rsidP="0035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D6DA" w14:textId="77777777" w:rsidR="00703BB2" w:rsidRDefault="00703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A433" w14:textId="77777777" w:rsidR="00703BB2" w:rsidRDefault="00703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9353A" w14:textId="77777777" w:rsidR="00B86D1A" w:rsidRDefault="00B86D1A">
    <w:pPr>
      <w:pStyle w:val="Footer"/>
    </w:pPr>
  </w:p>
  <w:p w14:paraId="669D80C2" w14:textId="77777777" w:rsidR="00B86D1A" w:rsidRDefault="00B8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54A06" w14:textId="77777777" w:rsidR="00847C16" w:rsidRDefault="00847C16" w:rsidP="0035150B">
      <w:pPr>
        <w:spacing w:after="0" w:line="240" w:lineRule="auto"/>
      </w:pPr>
      <w:r>
        <w:separator/>
      </w:r>
    </w:p>
  </w:footnote>
  <w:footnote w:type="continuationSeparator" w:id="0">
    <w:p w14:paraId="2A09145B" w14:textId="77777777" w:rsidR="00847C16" w:rsidRDefault="00847C16" w:rsidP="0035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C96C6" w14:textId="51500517" w:rsidR="00703BB2" w:rsidRDefault="00703BB2">
    <w:pPr>
      <w:pStyle w:val="Header"/>
    </w:pPr>
    <w:r>
      <w:rPr>
        <w:noProof/>
      </w:rPr>
      <w:pict w14:anchorId="55484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9126" o:spid="_x0000_s2050" type="#_x0000_t136" style="position:absolute;margin-left:0;margin-top:0;width:592.05pt;height:11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2DFB" w14:textId="67307CD8" w:rsidR="00703BB2" w:rsidRDefault="00703BB2">
    <w:pPr>
      <w:pStyle w:val="Header"/>
    </w:pPr>
    <w:r>
      <w:rPr>
        <w:noProof/>
      </w:rPr>
      <w:pict w14:anchorId="301D1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9127" o:spid="_x0000_s2051" type="#_x0000_t136" style="position:absolute;margin-left:0;margin-top:0;width:592.05pt;height:11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A16B" w14:textId="3157C3BF" w:rsidR="00703BB2" w:rsidRDefault="00703BB2">
    <w:pPr>
      <w:pStyle w:val="Header"/>
    </w:pPr>
    <w:r>
      <w:rPr>
        <w:noProof/>
      </w:rPr>
      <w:pict w14:anchorId="21541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9125" o:spid="_x0000_s2049" type="#_x0000_t136" style="position:absolute;margin-left:0;margin-top:0;width:592.05pt;height:11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0B3E"/>
    <w:multiLevelType w:val="multilevel"/>
    <w:tmpl w:val="C4B4D7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9862614"/>
    <w:multiLevelType w:val="hybridMultilevel"/>
    <w:tmpl w:val="1D48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504E7"/>
    <w:multiLevelType w:val="hybridMultilevel"/>
    <w:tmpl w:val="5D7857DE"/>
    <w:lvl w:ilvl="0" w:tplc="A1B04A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72"/>
    <w:rsid w:val="00024284"/>
    <w:rsid w:val="0002634B"/>
    <w:rsid w:val="00055D72"/>
    <w:rsid w:val="0006043A"/>
    <w:rsid w:val="00095DB4"/>
    <w:rsid w:val="000F2F94"/>
    <w:rsid w:val="000F6D6D"/>
    <w:rsid w:val="00102A1B"/>
    <w:rsid w:val="001463AC"/>
    <w:rsid w:val="00153678"/>
    <w:rsid w:val="0018406E"/>
    <w:rsid w:val="001964CF"/>
    <w:rsid w:val="001A14B1"/>
    <w:rsid w:val="001C701B"/>
    <w:rsid w:val="001F6584"/>
    <w:rsid w:val="002009F1"/>
    <w:rsid w:val="002124F5"/>
    <w:rsid w:val="002317AD"/>
    <w:rsid w:val="002646BB"/>
    <w:rsid w:val="002B0C4B"/>
    <w:rsid w:val="002B7912"/>
    <w:rsid w:val="002E6133"/>
    <w:rsid w:val="002E71AB"/>
    <w:rsid w:val="00326E65"/>
    <w:rsid w:val="003278BF"/>
    <w:rsid w:val="00333526"/>
    <w:rsid w:val="00335C24"/>
    <w:rsid w:val="00335E58"/>
    <w:rsid w:val="0035150B"/>
    <w:rsid w:val="00355FAA"/>
    <w:rsid w:val="00385C32"/>
    <w:rsid w:val="003B7126"/>
    <w:rsid w:val="003C2827"/>
    <w:rsid w:val="003C5484"/>
    <w:rsid w:val="003D23BE"/>
    <w:rsid w:val="003E3C88"/>
    <w:rsid w:val="00421B57"/>
    <w:rsid w:val="004A4F02"/>
    <w:rsid w:val="004D0BA8"/>
    <w:rsid w:val="00553067"/>
    <w:rsid w:val="005809B8"/>
    <w:rsid w:val="00591DD1"/>
    <w:rsid w:val="00594840"/>
    <w:rsid w:val="00596070"/>
    <w:rsid w:val="005A2C47"/>
    <w:rsid w:val="005B127D"/>
    <w:rsid w:val="005B2018"/>
    <w:rsid w:val="005E30BE"/>
    <w:rsid w:val="005F2834"/>
    <w:rsid w:val="005F5D5A"/>
    <w:rsid w:val="0060316C"/>
    <w:rsid w:val="00604FC5"/>
    <w:rsid w:val="00607165"/>
    <w:rsid w:val="00610ABA"/>
    <w:rsid w:val="0061665B"/>
    <w:rsid w:val="00664943"/>
    <w:rsid w:val="0068369B"/>
    <w:rsid w:val="006B4118"/>
    <w:rsid w:val="006C284D"/>
    <w:rsid w:val="006C462B"/>
    <w:rsid w:val="006C6B92"/>
    <w:rsid w:val="006D1FC2"/>
    <w:rsid w:val="006F18D6"/>
    <w:rsid w:val="00703BB2"/>
    <w:rsid w:val="00711153"/>
    <w:rsid w:val="00716C0C"/>
    <w:rsid w:val="00722308"/>
    <w:rsid w:val="00722B32"/>
    <w:rsid w:val="00735D2C"/>
    <w:rsid w:val="00740BA8"/>
    <w:rsid w:val="00765C2C"/>
    <w:rsid w:val="00797028"/>
    <w:rsid w:val="007C4EC0"/>
    <w:rsid w:val="007D1851"/>
    <w:rsid w:val="00820843"/>
    <w:rsid w:val="008311A9"/>
    <w:rsid w:val="00842428"/>
    <w:rsid w:val="00847C16"/>
    <w:rsid w:val="00872E70"/>
    <w:rsid w:val="008F0A99"/>
    <w:rsid w:val="008F3568"/>
    <w:rsid w:val="00905DE6"/>
    <w:rsid w:val="00910162"/>
    <w:rsid w:val="00912C23"/>
    <w:rsid w:val="009159EB"/>
    <w:rsid w:val="0091745C"/>
    <w:rsid w:val="0094521C"/>
    <w:rsid w:val="00947060"/>
    <w:rsid w:val="00981029"/>
    <w:rsid w:val="009D58DA"/>
    <w:rsid w:val="009F096A"/>
    <w:rsid w:val="009F3C59"/>
    <w:rsid w:val="00A46A6A"/>
    <w:rsid w:val="00A77CB4"/>
    <w:rsid w:val="00AC56D8"/>
    <w:rsid w:val="00AE0FCE"/>
    <w:rsid w:val="00AE44EF"/>
    <w:rsid w:val="00AF2474"/>
    <w:rsid w:val="00AF24ED"/>
    <w:rsid w:val="00AF314A"/>
    <w:rsid w:val="00B35AC4"/>
    <w:rsid w:val="00B5425D"/>
    <w:rsid w:val="00B86D1A"/>
    <w:rsid w:val="00B95D3C"/>
    <w:rsid w:val="00BA3407"/>
    <w:rsid w:val="00BC2EF2"/>
    <w:rsid w:val="00BF2AC5"/>
    <w:rsid w:val="00BF5DB0"/>
    <w:rsid w:val="00C02BB8"/>
    <w:rsid w:val="00C15C71"/>
    <w:rsid w:val="00C1682D"/>
    <w:rsid w:val="00CA51AB"/>
    <w:rsid w:val="00CB3770"/>
    <w:rsid w:val="00CF3CEA"/>
    <w:rsid w:val="00D064DC"/>
    <w:rsid w:val="00D23864"/>
    <w:rsid w:val="00DA0CD6"/>
    <w:rsid w:val="00DA3D4F"/>
    <w:rsid w:val="00DB7F20"/>
    <w:rsid w:val="00DC7987"/>
    <w:rsid w:val="00E04AD7"/>
    <w:rsid w:val="00E04B06"/>
    <w:rsid w:val="00E13052"/>
    <w:rsid w:val="00E62CD2"/>
    <w:rsid w:val="00EA25AD"/>
    <w:rsid w:val="00EE18F7"/>
    <w:rsid w:val="00F039ED"/>
    <w:rsid w:val="00F1031B"/>
    <w:rsid w:val="00F14EB8"/>
    <w:rsid w:val="00F5611F"/>
    <w:rsid w:val="00F60FD7"/>
    <w:rsid w:val="00F85207"/>
    <w:rsid w:val="00F90B86"/>
    <w:rsid w:val="00FC6D5B"/>
    <w:rsid w:val="00FC70C6"/>
    <w:rsid w:val="00FE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403814"/>
  <w15:docId w15:val="{2F5F68D7-FF1D-46CC-A243-235F3A6C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72"/>
  </w:style>
  <w:style w:type="paragraph" w:styleId="Heading2">
    <w:name w:val="heading 2"/>
    <w:basedOn w:val="Normal"/>
    <w:next w:val="Normal"/>
    <w:link w:val="Heading2Char"/>
    <w:uiPriority w:val="9"/>
    <w:unhideWhenUsed/>
    <w:qFormat/>
    <w:rsid w:val="00055D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F90B8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5D72"/>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055D72"/>
  </w:style>
  <w:style w:type="character" w:styleId="Hyperlink">
    <w:name w:val="Hyperlink"/>
    <w:basedOn w:val="DefaultParagraphFont"/>
    <w:uiPriority w:val="99"/>
    <w:unhideWhenUsed/>
    <w:rsid w:val="00055D72"/>
    <w:rPr>
      <w:color w:val="0000FF"/>
      <w:u w:val="single"/>
    </w:rPr>
  </w:style>
  <w:style w:type="character" w:customStyle="1" w:styleId="Heading5Char">
    <w:name w:val="Heading 5 Char"/>
    <w:basedOn w:val="DefaultParagraphFont"/>
    <w:link w:val="Heading5"/>
    <w:uiPriority w:val="9"/>
    <w:semiHidden/>
    <w:rsid w:val="00F90B86"/>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CA51AB"/>
    <w:pPr>
      <w:ind w:left="720"/>
      <w:contextualSpacing/>
    </w:pPr>
    <w:rPr>
      <w:rFonts w:eastAsiaTheme="minorEastAsia"/>
    </w:rPr>
  </w:style>
  <w:style w:type="paragraph" w:styleId="Header">
    <w:name w:val="header"/>
    <w:basedOn w:val="Normal"/>
    <w:link w:val="HeaderChar"/>
    <w:uiPriority w:val="99"/>
    <w:unhideWhenUsed/>
    <w:rsid w:val="0035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50B"/>
  </w:style>
  <w:style w:type="paragraph" w:styleId="Footer">
    <w:name w:val="footer"/>
    <w:basedOn w:val="Normal"/>
    <w:link w:val="FooterChar"/>
    <w:uiPriority w:val="99"/>
    <w:unhideWhenUsed/>
    <w:rsid w:val="0035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50B"/>
  </w:style>
  <w:style w:type="paragraph" w:customStyle="1" w:styleId="ReferHead">
    <w:name w:val="Refer Head"/>
    <w:basedOn w:val="Normal"/>
    <w:rsid w:val="0091745C"/>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264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533903">
      <w:bodyDiv w:val="1"/>
      <w:marLeft w:val="0"/>
      <w:marRight w:val="0"/>
      <w:marTop w:val="0"/>
      <w:marBottom w:val="0"/>
      <w:divBdr>
        <w:top w:val="none" w:sz="0" w:space="0" w:color="auto"/>
        <w:left w:val="none" w:sz="0" w:space="0" w:color="auto"/>
        <w:bottom w:val="none" w:sz="0" w:space="0" w:color="auto"/>
        <w:right w:val="none" w:sz="0" w:space="0" w:color="auto"/>
      </w:divBdr>
    </w:div>
    <w:div w:id="19811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noncommunicable-diseas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iencedirect.com/science/journal/13861425" TargetMode="External"/><Relationship Id="rId12" Type="http://schemas.openxmlformats.org/officeDocument/2006/relationships/hyperlink" Target="https://doi.org/10.1590/fst.2821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36/bmjopen-2021-0549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55/2021/625850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93/cdn/nzab043_00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1395</TotalTime>
  <Pages>6</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1180</cp:lastModifiedBy>
  <cp:revision>663</cp:revision>
  <dcterms:created xsi:type="dcterms:W3CDTF">2025-07-01T13:08:00Z</dcterms:created>
  <dcterms:modified xsi:type="dcterms:W3CDTF">2025-07-11T07:20:00Z</dcterms:modified>
</cp:coreProperties>
</file>