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29DFB" w14:textId="58E3802C" w:rsidR="00ED3EF5" w:rsidRDefault="00ED3EF5" w:rsidP="007042EF">
      <w:pPr>
        <w:spacing w:after="0"/>
        <w:ind w:left="270" w:hanging="270"/>
        <w:jc w:val="center"/>
        <w:rPr>
          <w:rFonts w:ascii="Times New Roman" w:hAnsi="Times New Roman" w:cs="Times New Roman"/>
          <w:b/>
          <w:sz w:val="24"/>
        </w:rPr>
      </w:pPr>
      <w:r>
        <w:rPr>
          <w:rFonts w:ascii="Times New Roman" w:hAnsi="Times New Roman" w:cs="Times New Roman"/>
          <w:b/>
          <w:sz w:val="24"/>
        </w:rPr>
        <w:t>AN OVERVIEW</w:t>
      </w:r>
      <w:r w:rsidR="000A098B" w:rsidRPr="000A098B">
        <w:rPr>
          <w:rFonts w:ascii="Times New Roman" w:hAnsi="Times New Roman" w:cs="Times New Roman"/>
          <w:b/>
          <w:sz w:val="24"/>
        </w:rPr>
        <w:t xml:space="preserve"> OF </w:t>
      </w:r>
      <w:r>
        <w:rPr>
          <w:rFonts w:ascii="Times New Roman" w:hAnsi="Times New Roman" w:cs="Times New Roman"/>
          <w:b/>
          <w:sz w:val="24"/>
        </w:rPr>
        <w:t xml:space="preserve">INDIAN </w:t>
      </w:r>
      <w:r w:rsidRPr="000A098B">
        <w:rPr>
          <w:rFonts w:ascii="Times New Roman" w:hAnsi="Times New Roman" w:cs="Times New Roman"/>
          <w:b/>
          <w:sz w:val="24"/>
        </w:rPr>
        <w:t>FOOD PROCESSING INDUSTRY</w:t>
      </w:r>
      <w:r>
        <w:rPr>
          <w:rFonts w:ascii="Times New Roman" w:hAnsi="Times New Roman" w:cs="Times New Roman"/>
          <w:b/>
          <w:sz w:val="24"/>
        </w:rPr>
        <w:t>:</w:t>
      </w:r>
    </w:p>
    <w:p w14:paraId="68D170A9" w14:textId="683AE1BE" w:rsidR="000A098B" w:rsidRDefault="000A098B" w:rsidP="007042EF">
      <w:pPr>
        <w:spacing w:after="0"/>
        <w:ind w:left="270" w:hanging="270"/>
        <w:jc w:val="center"/>
        <w:rPr>
          <w:rFonts w:ascii="Times New Roman" w:hAnsi="Times New Roman" w:cs="Times New Roman"/>
          <w:b/>
          <w:sz w:val="24"/>
          <w:lang w:val="en-GB"/>
        </w:rPr>
      </w:pPr>
      <w:r w:rsidRPr="000A098B">
        <w:rPr>
          <w:rFonts w:ascii="Times New Roman" w:hAnsi="Times New Roman" w:cs="Times New Roman"/>
          <w:b/>
          <w:sz w:val="24"/>
        </w:rPr>
        <w:t xml:space="preserve">GROWTH TRENDS AND FOOD SAFETY STANDARDS </w:t>
      </w:r>
    </w:p>
    <w:p w14:paraId="4D269BBE" w14:textId="5D31B544" w:rsidR="00E90EC5" w:rsidRDefault="00E90EC5" w:rsidP="003529AD">
      <w:pPr>
        <w:spacing w:line="240" w:lineRule="auto"/>
        <w:ind w:left="142" w:hanging="142"/>
        <w:jc w:val="both"/>
        <w:rPr>
          <w:rFonts w:ascii="Times New Roman" w:hAnsi="Times New Roman" w:cs="Times New Roman"/>
          <w:bCs/>
          <w:sz w:val="24"/>
          <w:lang w:val="en-GB"/>
        </w:rPr>
      </w:pPr>
    </w:p>
    <w:p w14:paraId="39096A9E" w14:textId="77777777" w:rsidR="009F0F20" w:rsidRDefault="009F0F20" w:rsidP="00502CEB">
      <w:pPr>
        <w:spacing w:before="240" w:line="240" w:lineRule="auto"/>
        <w:ind w:left="270" w:hanging="270"/>
        <w:rPr>
          <w:rFonts w:ascii="Times New Roman" w:hAnsi="Times New Roman" w:cs="Times New Roman"/>
          <w:b/>
          <w:sz w:val="24"/>
          <w:lang w:val="en-GB"/>
        </w:rPr>
      </w:pPr>
    </w:p>
    <w:p w14:paraId="1E72DD7A" w14:textId="6BB5D06A" w:rsidR="00BC778F" w:rsidRDefault="00BC778F" w:rsidP="00CD101F">
      <w:pPr>
        <w:spacing w:before="240" w:line="240" w:lineRule="auto"/>
        <w:ind w:left="270" w:hanging="270"/>
        <w:jc w:val="center"/>
        <w:rPr>
          <w:rFonts w:ascii="Times New Roman" w:hAnsi="Times New Roman" w:cs="Times New Roman"/>
          <w:b/>
          <w:sz w:val="24"/>
          <w:lang w:val="en-GB"/>
        </w:rPr>
      </w:pPr>
      <w:r>
        <w:rPr>
          <w:rFonts w:ascii="Times New Roman" w:hAnsi="Times New Roman" w:cs="Times New Roman"/>
          <w:b/>
          <w:sz w:val="24"/>
          <w:lang w:val="en-GB"/>
        </w:rPr>
        <w:t>ABSTRACT</w:t>
      </w:r>
    </w:p>
    <w:p w14:paraId="58FFFDE3" w14:textId="33312C71" w:rsidR="00630F06" w:rsidRDefault="00BC778F" w:rsidP="00630F06">
      <w:pPr>
        <w:spacing w:before="240" w:after="200" w:line="276" w:lineRule="auto"/>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en-IN"/>
        </w:rPr>
        <w:t xml:space="preserve">India has strong availability of raw materials, </w:t>
      </w:r>
      <w:r w:rsidR="009027A0">
        <w:rPr>
          <w:rFonts w:ascii="Times New Roman" w:eastAsia="Times New Roman" w:hAnsi="Times New Roman" w:cs="Times New Roman"/>
          <w:sz w:val="24"/>
          <w:szCs w:val="24"/>
          <w:lang w:eastAsia="en-IN"/>
        </w:rPr>
        <w:t>d</w:t>
      </w:r>
      <w:r w:rsidRPr="00BC778F">
        <w:rPr>
          <w:rFonts w:ascii="Times New Roman" w:eastAsia="Times New Roman" w:hAnsi="Times New Roman" w:cs="Times New Roman"/>
          <w:sz w:val="24"/>
          <w:szCs w:val="24"/>
          <w:lang w:eastAsia="en-IN"/>
        </w:rPr>
        <w:t xml:space="preserve">espite India's large-scale agricultural production, </w:t>
      </w:r>
      <w:r w:rsidR="003E072F">
        <w:rPr>
          <w:rFonts w:ascii="Times New Roman" w:hAnsi="Times New Roman" w:cs="Times New Roman"/>
          <w:color w:val="000000"/>
          <w:sz w:val="24"/>
          <w:szCs w:val="24"/>
        </w:rPr>
        <w:t xml:space="preserve">post-harvest losses or </w:t>
      </w:r>
      <w:r w:rsidR="003E072F" w:rsidRPr="00E020C2">
        <w:rPr>
          <w:rFonts w:ascii="Times New Roman" w:hAnsi="Times New Roman" w:cs="Times New Roman"/>
          <w:color w:val="000000"/>
          <w:sz w:val="24"/>
          <w:szCs w:val="24"/>
        </w:rPr>
        <w:t xml:space="preserve">food </w:t>
      </w:r>
      <w:r w:rsidR="003E072F">
        <w:rPr>
          <w:rFonts w:ascii="Times New Roman" w:hAnsi="Times New Roman" w:cs="Times New Roman"/>
          <w:color w:val="000000"/>
          <w:sz w:val="24"/>
          <w:szCs w:val="24"/>
        </w:rPr>
        <w:t xml:space="preserve">wastages </w:t>
      </w:r>
      <w:r w:rsidR="003E072F" w:rsidRPr="00E020C2">
        <w:rPr>
          <w:rFonts w:ascii="Times New Roman" w:hAnsi="Times New Roman" w:cs="Times New Roman"/>
          <w:color w:val="000000"/>
          <w:sz w:val="24"/>
          <w:szCs w:val="24"/>
        </w:rPr>
        <w:t>remain significant concerns</w:t>
      </w:r>
      <w:r w:rsidR="003E072F">
        <w:rPr>
          <w:rFonts w:ascii="Times New Roman" w:hAnsi="Times New Roman" w:cs="Times New Roman"/>
          <w:color w:val="000000"/>
          <w:sz w:val="24"/>
          <w:szCs w:val="24"/>
        </w:rPr>
        <w:t xml:space="preserve"> </w:t>
      </w:r>
      <w:r w:rsidR="003E072F" w:rsidRPr="00E020C2">
        <w:rPr>
          <w:rFonts w:ascii="Times New Roman" w:hAnsi="Times New Roman" w:cs="Times New Roman"/>
          <w:color w:val="000000"/>
          <w:sz w:val="24"/>
          <w:szCs w:val="24"/>
        </w:rPr>
        <w:t>as they impact the fundamental need for citizens</w:t>
      </w:r>
      <w:r w:rsidR="009027A0">
        <w:rPr>
          <w:rFonts w:ascii="Times New Roman" w:hAnsi="Times New Roman" w:cs="Times New Roman"/>
          <w:color w:val="000000"/>
          <w:sz w:val="24"/>
          <w:szCs w:val="24"/>
        </w:rPr>
        <w:t>.</w:t>
      </w:r>
      <w:r w:rsidR="00032857">
        <w:rPr>
          <w:rFonts w:ascii="Times New Roman" w:hAnsi="Times New Roman" w:cs="Times New Roman"/>
          <w:color w:val="000000"/>
          <w:sz w:val="24"/>
          <w:szCs w:val="24"/>
        </w:rPr>
        <w:t xml:space="preserve"> </w:t>
      </w:r>
      <w:r w:rsidRPr="00BC778F">
        <w:rPr>
          <w:rFonts w:ascii="Times New Roman" w:eastAsia="Times New Roman" w:hAnsi="Times New Roman" w:cs="Times New Roman"/>
          <w:bCs/>
          <w:color w:val="000000"/>
          <w:sz w:val="24"/>
          <w:szCs w:val="20"/>
          <w:lang w:eastAsia="en-IN"/>
        </w:rPr>
        <w:t>The term 'food processing' refers to the method of adding value to agricultural or horticultural produc</w:t>
      </w:r>
      <w:r w:rsidR="004209C6">
        <w:rPr>
          <w:rFonts w:ascii="Times New Roman" w:eastAsia="Times New Roman" w:hAnsi="Times New Roman" w:cs="Times New Roman"/>
          <w:bCs/>
          <w:color w:val="000000"/>
          <w:sz w:val="24"/>
          <w:szCs w:val="20"/>
          <w:lang w:eastAsia="en-IN"/>
        </w:rPr>
        <w:t>e</w:t>
      </w:r>
      <w:r w:rsidRPr="00BC778F">
        <w:rPr>
          <w:rFonts w:ascii="Times New Roman" w:eastAsia="Times New Roman" w:hAnsi="Times New Roman" w:cs="Times New Roman"/>
          <w:bCs/>
          <w:color w:val="000000"/>
          <w:sz w:val="24"/>
          <w:szCs w:val="20"/>
          <w:lang w:eastAsia="en-IN"/>
        </w:rPr>
        <w:t>s through techniques such as grading, sorting, and packaging. Essentially, it involves the manufacturing and preservation of f</w:t>
      </w:r>
      <w:bookmarkStart w:id="0" w:name="_GoBack"/>
      <w:bookmarkEnd w:id="0"/>
      <w:r w:rsidRPr="00BC778F">
        <w:rPr>
          <w:rFonts w:ascii="Times New Roman" w:eastAsia="Times New Roman" w:hAnsi="Times New Roman" w:cs="Times New Roman"/>
          <w:bCs/>
          <w:color w:val="000000"/>
          <w:sz w:val="24"/>
          <w:szCs w:val="20"/>
          <w:lang w:eastAsia="en-IN"/>
        </w:rPr>
        <w:t>ood items to extend their shelf life, enhance their quality, and make them more functional.</w:t>
      </w:r>
      <w:r w:rsidR="00F84B74">
        <w:rPr>
          <w:rFonts w:ascii="Times New Roman" w:eastAsia="Times New Roman" w:hAnsi="Times New Roman" w:cs="Times New Roman"/>
          <w:bCs/>
          <w:color w:val="000000"/>
          <w:sz w:val="24"/>
          <w:szCs w:val="20"/>
          <w:lang w:eastAsia="en-IN"/>
        </w:rPr>
        <w:t xml:space="preserve"> </w:t>
      </w:r>
      <w:r w:rsidRPr="00BC778F">
        <w:rPr>
          <w:rFonts w:ascii="Times New Roman" w:eastAsia="Aptos" w:hAnsi="Times New Roman" w:cs="Times New Roman"/>
          <w:sz w:val="24"/>
          <w:szCs w:val="24"/>
        </w:rPr>
        <w:t>Food Processing sector has also emerged as an important segment of the Indian economy in terms of its contribution to GDP, employment and investment.</w:t>
      </w:r>
      <w:r w:rsidR="00F84B74">
        <w:rPr>
          <w:rFonts w:ascii="Times New Roman" w:hAnsi="Times New Roman" w:cs="Times New Roman"/>
          <w:color w:val="000000"/>
          <w:sz w:val="24"/>
          <w:szCs w:val="24"/>
        </w:rPr>
        <w:t xml:space="preserve"> </w:t>
      </w:r>
      <w:r w:rsidR="00F61334" w:rsidRPr="00F61334">
        <w:rPr>
          <w:rFonts w:ascii="Times New Roman" w:hAnsi="Times New Roman" w:cs="Times New Roman"/>
          <w:bCs/>
          <w:color w:val="000000"/>
          <w:sz w:val="24"/>
          <w:szCs w:val="24"/>
          <w:lang w:val="en-US"/>
        </w:rPr>
        <w:t xml:space="preserve">The food industry's complex supply chain includes various stakeholders, </w:t>
      </w:r>
      <w:r w:rsidR="00F61334">
        <w:rPr>
          <w:rFonts w:ascii="Times New Roman" w:hAnsi="Times New Roman" w:cs="Times New Roman"/>
          <w:bCs/>
          <w:color w:val="000000"/>
          <w:sz w:val="24"/>
          <w:szCs w:val="24"/>
          <w:lang w:val="en-US"/>
        </w:rPr>
        <w:t>t</w:t>
      </w:r>
      <w:r w:rsidR="00F61334" w:rsidRPr="00F61334">
        <w:rPr>
          <w:rFonts w:ascii="Times New Roman" w:hAnsi="Times New Roman" w:cs="Times New Roman"/>
          <w:bCs/>
          <w:color w:val="000000"/>
          <w:sz w:val="24"/>
          <w:szCs w:val="24"/>
          <w:lang w:val="en-US"/>
        </w:rPr>
        <w:t>o maintain product safety and quality, as well as adhering to food safety regulations, implementing a strong food safety management system is crucial for food businesses.</w:t>
      </w:r>
      <w:r w:rsidR="0046314A">
        <w:rPr>
          <w:rFonts w:ascii="Times New Roman" w:hAnsi="Times New Roman" w:cs="Times New Roman"/>
          <w:bCs/>
          <w:color w:val="000000"/>
          <w:sz w:val="24"/>
          <w:szCs w:val="24"/>
          <w:lang w:val="en-US"/>
        </w:rPr>
        <w:t xml:space="preserve"> </w:t>
      </w:r>
      <w:r w:rsidR="004209C6">
        <w:rPr>
          <w:rFonts w:ascii="Times New Roman" w:eastAsia="Calibri" w:hAnsi="Times New Roman" w:cs="Times New Roman"/>
          <w:color w:val="000000"/>
          <w:sz w:val="24"/>
          <w:szCs w:val="24"/>
        </w:rPr>
        <w:t>The study was conducted with the objectives</w:t>
      </w:r>
      <w:r w:rsidRPr="00BC778F">
        <w:rPr>
          <w:rFonts w:ascii="Times New Roman" w:eastAsia="Calibri" w:hAnsi="Times New Roman" w:cs="Times New Roman"/>
          <w:color w:val="000000"/>
          <w:sz w:val="24"/>
          <w:szCs w:val="24"/>
        </w:rPr>
        <w:t xml:space="preserve"> </w:t>
      </w:r>
      <w:r w:rsidRPr="00BC778F">
        <w:rPr>
          <w:rFonts w:ascii="Times New Roman" w:eastAsia="Calibri" w:hAnsi="Times New Roman" w:cs="Times New Roman"/>
          <w:bCs/>
          <w:sz w:val="24"/>
          <w:szCs w:val="24"/>
        </w:rPr>
        <w:t xml:space="preserve">to </w:t>
      </w:r>
      <w:r w:rsidR="003D401B">
        <w:rPr>
          <w:rFonts w:ascii="Times New Roman" w:eastAsia="Calibri" w:hAnsi="Times New Roman" w:cs="Times New Roman"/>
          <w:bCs/>
          <w:sz w:val="24"/>
          <w:szCs w:val="24"/>
        </w:rPr>
        <w:t>analyse</w:t>
      </w:r>
      <w:r w:rsidRPr="00BC778F">
        <w:rPr>
          <w:rFonts w:ascii="Times New Roman" w:eastAsia="Calibri" w:hAnsi="Times New Roman" w:cs="Times New Roman"/>
          <w:bCs/>
          <w:sz w:val="24"/>
          <w:szCs w:val="24"/>
        </w:rPr>
        <w:t xml:space="preserve"> the growth rate </w:t>
      </w:r>
      <w:r w:rsidR="00B04449">
        <w:rPr>
          <w:rFonts w:ascii="Times New Roman" w:eastAsia="Calibri" w:hAnsi="Times New Roman" w:cs="Times New Roman"/>
          <w:bCs/>
          <w:sz w:val="24"/>
          <w:szCs w:val="24"/>
        </w:rPr>
        <w:t>and</w:t>
      </w:r>
      <w:r w:rsidRPr="00BC778F">
        <w:rPr>
          <w:rFonts w:ascii="Times New Roman" w:eastAsia="Calibri" w:hAnsi="Times New Roman" w:cs="Times New Roman"/>
          <w:bCs/>
          <w:sz w:val="24"/>
          <w:szCs w:val="24"/>
        </w:rPr>
        <w:t xml:space="preserve"> </w:t>
      </w:r>
      <w:r w:rsidR="00162568">
        <w:rPr>
          <w:rFonts w:ascii="Times New Roman" w:eastAsia="Calibri" w:hAnsi="Times New Roman" w:cs="Times New Roman"/>
          <w:bCs/>
          <w:sz w:val="24"/>
          <w:szCs w:val="24"/>
        </w:rPr>
        <w:t>understand the</w:t>
      </w:r>
      <w:r w:rsidR="003D401B">
        <w:rPr>
          <w:rFonts w:ascii="Times New Roman" w:eastAsia="Calibri" w:hAnsi="Times New Roman" w:cs="Times New Roman"/>
          <w:bCs/>
          <w:sz w:val="24"/>
          <w:szCs w:val="24"/>
        </w:rPr>
        <w:t xml:space="preserve"> </w:t>
      </w:r>
      <w:r w:rsidR="00F84B74" w:rsidRPr="00123D7E">
        <w:rPr>
          <w:rFonts w:ascii="Times New Roman" w:hAnsi="Times New Roman" w:cs="Times New Roman"/>
          <w:sz w:val="24"/>
          <w:szCs w:val="24"/>
          <w:shd w:val="clear" w:color="auto" w:fill="FFFFFF"/>
        </w:rPr>
        <w:t xml:space="preserve">key </w:t>
      </w:r>
      <w:r w:rsidR="00F84B74" w:rsidRPr="0003091E">
        <w:rPr>
          <w:rFonts w:ascii="Times New Roman" w:eastAsia="Calibri" w:hAnsi="Times New Roman" w:cs="Times New Roman"/>
          <w:kern w:val="2"/>
          <w:sz w:val="24"/>
          <w:szCs w:val="24"/>
          <w14:ligatures w14:val="standardContextual"/>
        </w:rPr>
        <w:t>certificates and standards</w:t>
      </w:r>
      <w:r w:rsidR="00F84B74">
        <w:rPr>
          <w:rFonts w:ascii="Times New Roman" w:eastAsia="Calibri" w:hAnsi="Times New Roman" w:cs="Times New Roman"/>
          <w:kern w:val="2"/>
          <w:sz w:val="24"/>
          <w:szCs w:val="24"/>
          <w14:ligatures w14:val="standardContextual"/>
        </w:rPr>
        <w:t xml:space="preserve"> related to food safety and quality </w:t>
      </w:r>
      <w:r w:rsidR="00F84B74" w:rsidRPr="00123D7E">
        <w:rPr>
          <w:rFonts w:ascii="Times New Roman" w:hAnsi="Times New Roman" w:cs="Times New Roman"/>
          <w:sz w:val="24"/>
          <w:szCs w:val="24"/>
          <w:shd w:val="clear" w:color="auto" w:fill="FFFFFF"/>
        </w:rPr>
        <w:t>require</w:t>
      </w:r>
      <w:r w:rsidR="00F84B74">
        <w:rPr>
          <w:rFonts w:ascii="Times New Roman" w:hAnsi="Times New Roman" w:cs="Times New Roman"/>
          <w:sz w:val="24"/>
          <w:szCs w:val="24"/>
          <w:shd w:val="clear" w:color="auto" w:fill="FFFFFF"/>
        </w:rPr>
        <w:t xml:space="preserve">d in </w:t>
      </w:r>
      <w:r w:rsidR="00F84B74" w:rsidRPr="00123D7E">
        <w:rPr>
          <w:rFonts w:ascii="Times New Roman" w:hAnsi="Times New Roman" w:cs="Times New Roman"/>
          <w:sz w:val="24"/>
          <w:szCs w:val="24"/>
          <w:shd w:val="clear" w:color="auto" w:fill="FFFFFF"/>
        </w:rPr>
        <w:t>the food processing industry</w:t>
      </w:r>
      <w:r w:rsidR="00F84B74">
        <w:rPr>
          <w:rFonts w:ascii="Times New Roman" w:eastAsia="Calibri" w:hAnsi="Times New Roman" w:cs="Times New Roman"/>
          <w:bCs/>
          <w:sz w:val="24"/>
          <w:szCs w:val="24"/>
        </w:rPr>
        <w:t>.</w:t>
      </w:r>
      <w:r w:rsidR="00F84B74">
        <w:rPr>
          <w:rFonts w:ascii="Times New Roman" w:hAnsi="Times New Roman" w:cs="Times New Roman"/>
          <w:color w:val="000000"/>
          <w:sz w:val="24"/>
          <w:szCs w:val="24"/>
        </w:rPr>
        <w:t xml:space="preserve"> </w:t>
      </w:r>
      <w:r w:rsidRPr="00BC778F">
        <w:rPr>
          <w:rFonts w:ascii="Times New Roman" w:eastAsia="Calibri" w:hAnsi="Times New Roman" w:cs="Times New Roman"/>
          <w:sz w:val="24"/>
          <w:szCs w:val="24"/>
        </w:rPr>
        <w:t>The study highlighted the importance of the food processing industry in the Indian economy</w:t>
      </w:r>
      <w:r w:rsidR="00B04449">
        <w:rPr>
          <w:rFonts w:ascii="Times New Roman" w:eastAsia="Calibri" w:hAnsi="Times New Roman" w:cs="Times New Roman"/>
          <w:sz w:val="24"/>
          <w:szCs w:val="24"/>
        </w:rPr>
        <w:t>.</w:t>
      </w:r>
      <w:r w:rsidRPr="00BC778F">
        <w:rPr>
          <w:rFonts w:ascii="Times New Roman" w:eastAsia="Calibri" w:hAnsi="Times New Roman" w:cs="Times New Roman"/>
          <w:sz w:val="24"/>
          <w:szCs w:val="24"/>
        </w:rPr>
        <w:t xml:space="preserve"> However, its slower growth shows the untapped potential.</w:t>
      </w:r>
      <w:r w:rsidR="00F84B74">
        <w:rPr>
          <w:rFonts w:ascii="Times New Roman" w:eastAsia="Calibri" w:hAnsi="Times New Roman" w:cs="Times New Roman"/>
          <w:sz w:val="24"/>
          <w:szCs w:val="24"/>
        </w:rPr>
        <w:t xml:space="preserve"> </w:t>
      </w:r>
      <w:r w:rsidR="00B04449" w:rsidRPr="00CF3F24">
        <w:rPr>
          <w:rFonts w:ascii="Times New Roman" w:eastAsia="Calibri" w:hAnsi="Times New Roman" w:cs="Times New Roman"/>
          <w:sz w:val="24"/>
          <w:szCs w:val="24"/>
        </w:rPr>
        <w:t>Implementing rigorous safety and quality measures is essential. These measures not only safeguard consumer health but also enhance product acceptance in global markets</w:t>
      </w:r>
      <w:r w:rsidR="003C0DDE">
        <w:rPr>
          <w:rFonts w:ascii="Times New Roman" w:eastAsia="Calibri" w:hAnsi="Times New Roman" w:cs="Times New Roman"/>
          <w:sz w:val="24"/>
          <w:szCs w:val="24"/>
        </w:rPr>
        <w:t>.</w:t>
      </w:r>
      <w:r w:rsidR="00CE3876">
        <w:rPr>
          <w:rFonts w:ascii="Times New Roman" w:eastAsia="Calibri" w:hAnsi="Times New Roman" w:cs="Times New Roman"/>
          <w:sz w:val="24"/>
          <w:szCs w:val="24"/>
        </w:rPr>
        <w:t xml:space="preserve"> </w:t>
      </w:r>
      <w:r w:rsidRPr="00BC778F">
        <w:rPr>
          <w:rFonts w:ascii="Times New Roman" w:eastAsia="Calibri" w:hAnsi="Times New Roman" w:cs="Times New Roman"/>
          <w:color w:val="000000"/>
          <w:sz w:val="24"/>
          <w:szCs w:val="24"/>
        </w:rPr>
        <w:t>The findings of the present study would be of practical significance for researchers, extension personnel, policy makers, planners, administrators and farmers, enabling them to make informed and rational decisions.</w:t>
      </w:r>
    </w:p>
    <w:p w14:paraId="033392BF" w14:textId="63B7C1EF" w:rsidR="00630F06" w:rsidRDefault="00630F06" w:rsidP="00630F06">
      <w:pPr>
        <w:spacing w:before="240" w:after="200" w:line="276" w:lineRule="auto"/>
        <w:jc w:val="both"/>
        <w:rPr>
          <w:rFonts w:ascii="Times New Roman" w:eastAsia="Calibri" w:hAnsi="Times New Roman" w:cs="Times New Roman"/>
          <w:i/>
          <w:iCs/>
          <w:kern w:val="2"/>
          <w:sz w:val="24"/>
          <w:szCs w:val="24"/>
          <w14:ligatures w14:val="standardContextual"/>
        </w:rPr>
      </w:pPr>
      <w:r w:rsidRPr="00630F06">
        <w:rPr>
          <w:rFonts w:ascii="Times New Roman" w:eastAsia="Calibri" w:hAnsi="Times New Roman" w:cs="Times New Roman"/>
          <w:b/>
          <w:bCs/>
          <w:i/>
          <w:iCs/>
          <w:color w:val="000000"/>
          <w:sz w:val="24"/>
          <w:szCs w:val="24"/>
        </w:rPr>
        <w:t xml:space="preserve">Keywords: </w:t>
      </w:r>
      <w:r w:rsidRPr="005D75AD">
        <w:rPr>
          <w:rFonts w:ascii="Times New Roman" w:eastAsia="Calibri" w:hAnsi="Times New Roman" w:cs="Times New Roman"/>
          <w:i/>
          <w:iCs/>
          <w:color w:val="000000"/>
          <w:sz w:val="24"/>
          <w:szCs w:val="24"/>
        </w:rPr>
        <w:t>Post-harvest losses,</w:t>
      </w:r>
      <w:r w:rsidRPr="00630F06">
        <w:rPr>
          <w:rFonts w:ascii="Times New Roman" w:eastAsia="Calibri" w:hAnsi="Times New Roman" w:cs="Times New Roman"/>
          <w:b/>
          <w:bCs/>
          <w:i/>
          <w:iCs/>
          <w:color w:val="000000"/>
          <w:sz w:val="24"/>
          <w:szCs w:val="24"/>
        </w:rPr>
        <w:t xml:space="preserve"> </w:t>
      </w:r>
      <w:r w:rsidRPr="00630F06">
        <w:rPr>
          <w:rFonts w:ascii="Times New Roman" w:hAnsi="Times New Roman" w:cs="Times New Roman"/>
          <w:i/>
          <w:iCs/>
          <w:color w:val="000000"/>
          <w:sz w:val="24"/>
          <w:szCs w:val="24"/>
        </w:rPr>
        <w:t xml:space="preserve">food wastages, </w:t>
      </w:r>
      <w:r w:rsidRPr="00630F06">
        <w:rPr>
          <w:rFonts w:ascii="Times New Roman" w:eastAsia="Times New Roman" w:hAnsi="Times New Roman" w:cs="Times New Roman"/>
          <w:bCs/>
          <w:i/>
          <w:iCs/>
          <w:color w:val="000000"/>
          <w:sz w:val="24"/>
          <w:szCs w:val="24"/>
          <w:lang w:eastAsia="en-IN"/>
        </w:rPr>
        <w:t xml:space="preserve">food processing, </w:t>
      </w:r>
      <w:r w:rsidRPr="00630F06">
        <w:rPr>
          <w:rFonts w:ascii="Times New Roman" w:hAnsi="Times New Roman" w:cs="Times New Roman"/>
          <w:bCs/>
          <w:i/>
          <w:iCs/>
          <w:color w:val="000000"/>
          <w:sz w:val="24"/>
          <w:szCs w:val="24"/>
          <w:lang w:val="en-US"/>
        </w:rPr>
        <w:t xml:space="preserve">food safety, food </w:t>
      </w:r>
      <w:r w:rsidRPr="00630F06">
        <w:rPr>
          <w:rFonts w:ascii="Times New Roman" w:eastAsia="Calibri" w:hAnsi="Times New Roman" w:cs="Times New Roman"/>
          <w:i/>
          <w:iCs/>
          <w:kern w:val="2"/>
          <w:sz w:val="24"/>
          <w:szCs w:val="24"/>
          <w14:ligatures w14:val="standardContextual"/>
        </w:rPr>
        <w:t>certification, food standard</w:t>
      </w:r>
      <w:r w:rsidR="000C2171">
        <w:rPr>
          <w:rFonts w:ascii="Times New Roman" w:eastAsia="Calibri" w:hAnsi="Times New Roman" w:cs="Times New Roman"/>
          <w:i/>
          <w:iCs/>
          <w:kern w:val="2"/>
          <w:sz w:val="24"/>
          <w:szCs w:val="24"/>
          <w14:ligatures w14:val="standardContextual"/>
        </w:rPr>
        <w:t>s</w:t>
      </w:r>
    </w:p>
    <w:p w14:paraId="1C0B95C4" w14:textId="77777777" w:rsidR="002D020B" w:rsidRPr="00A47C15" w:rsidRDefault="00A5702F" w:rsidP="00E04597">
      <w:pPr>
        <w:pStyle w:val="ListParagraph"/>
        <w:numPr>
          <w:ilvl w:val="0"/>
          <w:numId w:val="2"/>
        </w:numPr>
        <w:spacing w:before="240"/>
        <w:ind w:left="270" w:hanging="270"/>
        <w:rPr>
          <w:rFonts w:ascii="Times New Roman" w:hAnsi="Times New Roman" w:cs="Times New Roman"/>
          <w:b/>
          <w:sz w:val="24"/>
          <w:lang w:val="en-GB"/>
        </w:rPr>
      </w:pPr>
      <w:r w:rsidRPr="00A47C15">
        <w:rPr>
          <w:rFonts w:ascii="Times New Roman" w:hAnsi="Times New Roman" w:cs="Times New Roman"/>
          <w:b/>
          <w:sz w:val="24"/>
          <w:lang w:val="en-GB"/>
        </w:rPr>
        <w:t>INTRODUCTION</w:t>
      </w:r>
    </w:p>
    <w:p w14:paraId="7B5B8E37" w14:textId="6EA22CC6" w:rsidR="00E020C2" w:rsidRDefault="00E020C2" w:rsidP="00E04597">
      <w:pPr>
        <w:spacing w:before="240" w:after="200" w:line="276" w:lineRule="auto"/>
        <w:jc w:val="both"/>
        <w:rPr>
          <w:rStyle w:val="fontstyle01"/>
        </w:rPr>
      </w:pPr>
      <w:r w:rsidRPr="00E020C2">
        <w:rPr>
          <w:rStyle w:val="fontstyle01"/>
        </w:rPr>
        <w:t>India is one of the largest populated countries in the world, with agriculture serving as the primary source of livelihood for approximately 55% of its population, and is expected to continue having one of the youngest populations globally until 2030.</w:t>
      </w:r>
    </w:p>
    <w:p w14:paraId="2A676185" w14:textId="673BA120" w:rsidR="00E020C2" w:rsidRPr="008E3ED8" w:rsidRDefault="00E020C2" w:rsidP="00E04597">
      <w:pPr>
        <w:spacing w:before="240" w:after="200" w:line="276" w:lineRule="auto"/>
        <w:jc w:val="both"/>
        <w:rPr>
          <w:rFonts w:ascii="Times New Roman" w:hAnsi="Times New Roman" w:cs="Times New Roman"/>
          <w:b/>
          <w:bCs/>
          <w:color w:val="000000"/>
          <w:sz w:val="24"/>
          <w:szCs w:val="24"/>
        </w:rPr>
      </w:pPr>
      <w:r w:rsidRPr="00E020C2">
        <w:rPr>
          <w:rFonts w:ascii="Times New Roman" w:hAnsi="Times New Roman" w:cs="Times New Roman"/>
          <w:color w:val="000000"/>
          <w:sz w:val="24"/>
          <w:szCs w:val="24"/>
        </w:rPr>
        <w:t>India ranks first in the production of pulses (23.32 million tonnes), dry onions (26.09 million tonnes), and total milk (210.19 million tonnes), contributing 25.88%, 24.95%, and 22.99% of global production</w:t>
      </w:r>
      <w:r w:rsidR="000522C7">
        <w:rPr>
          <w:rFonts w:ascii="Times New Roman" w:hAnsi="Times New Roman" w:cs="Times New Roman"/>
          <w:color w:val="000000"/>
          <w:sz w:val="24"/>
          <w:szCs w:val="24"/>
        </w:rPr>
        <w:t xml:space="preserve"> in 2020</w:t>
      </w:r>
      <w:r w:rsidRPr="00E020C2">
        <w:rPr>
          <w:rFonts w:ascii="Times New Roman" w:hAnsi="Times New Roman" w:cs="Times New Roman"/>
          <w:color w:val="000000"/>
          <w:sz w:val="24"/>
          <w:szCs w:val="24"/>
        </w:rPr>
        <w:t>, respectively. The country ranked second in vegetables and fruits and egg production and fifth in meat production, respectively. Additionally, India is the largest producer of spices in the world.</w:t>
      </w:r>
    </w:p>
    <w:p w14:paraId="70A7972C" w14:textId="53E39D4C" w:rsidR="00D20428" w:rsidRDefault="00E020C2" w:rsidP="00E04597">
      <w:pPr>
        <w:spacing w:before="240" w:line="276" w:lineRule="auto"/>
        <w:jc w:val="both"/>
        <w:rPr>
          <w:rFonts w:ascii="Times New Roman" w:eastAsia="Times New Roman" w:hAnsi="Times New Roman" w:cs="Times New Roman"/>
          <w:bCs/>
          <w:color w:val="000000"/>
          <w:sz w:val="24"/>
          <w:szCs w:val="20"/>
          <w:lang w:eastAsia="en-IN"/>
        </w:rPr>
      </w:pPr>
      <w:r w:rsidRPr="00E020C2">
        <w:rPr>
          <w:rFonts w:ascii="Times New Roman" w:hAnsi="Times New Roman" w:cs="Times New Roman"/>
          <w:color w:val="000000"/>
          <w:sz w:val="24"/>
          <w:szCs w:val="24"/>
        </w:rPr>
        <w:t xml:space="preserve">Despite India's large-scale agricultural production, </w:t>
      </w:r>
      <w:r w:rsidR="0058064A">
        <w:rPr>
          <w:rFonts w:ascii="Times New Roman" w:hAnsi="Times New Roman" w:cs="Times New Roman"/>
          <w:color w:val="000000"/>
          <w:sz w:val="24"/>
          <w:szCs w:val="24"/>
        </w:rPr>
        <w:t xml:space="preserve">post-harvest losses or </w:t>
      </w:r>
      <w:r w:rsidR="0058064A" w:rsidRPr="00E020C2">
        <w:rPr>
          <w:rFonts w:ascii="Times New Roman" w:hAnsi="Times New Roman" w:cs="Times New Roman"/>
          <w:color w:val="000000"/>
          <w:sz w:val="24"/>
          <w:szCs w:val="24"/>
        </w:rPr>
        <w:t xml:space="preserve">food </w:t>
      </w:r>
      <w:r w:rsidR="0058064A">
        <w:rPr>
          <w:rFonts w:ascii="Times New Roman" w:hAnsi="Times New Roman" w:cs="Times New Roman"/>
          <w:color w:val="000000"/>
          <w:sz w:val="24"/>
          <w:szCs w:val="24"/>
        </w:rPr>
        <w:t xml:space="preserve">wastages </w:t>
      </w:r>
      <w:r w:rsidRPr="00E020C2">
        <w:rPr>
          <w:rFonts w:ascii="Times New Roman" w:hAnsi="Times New Roman" w:cs="Times New Roman"/>
          <w:color w:val="000000"/>
          <w:sz w:val="24"/>
          <w:szCs w:val="24"/>
        </w:rPr>
        <w:t>remain significant concerns</w:t>
      </w:r>
      <w:r w:rsidR="00D20428">
        <w:rPr>
          <w:rFonts w:ascii="Times New Roman" w:hAnsi="Times New Roman" w:cs="Times New Roman"/>
          <w:color w:val="000000"/>
          <w:sz w:val="24"/>
          <w:szCs w:val="24"/>
        </w:rPr>
        <w:t xml:space="preserve"> </w:t>
      </w:r>
      <w:r w:rsidRPr="00E020C2">
        <w:rPr>
          <w:rFonts w:ascii="Times New Roman" w:hAnsi="Times New Roman" w:cs="Times New Roman"/>
          <w:color w:val="000000"/>
          <w:sz w:val="24"/>
          <w:szCs w:val="24"/>
        </w:rPr>
        <w:t xml:space="preserve">as they impact the fundamental need for citizens to access sufficient, healthy, and affordable food. A study was conducted by ICAR-CIPHET, Ludhiana, in 2015 </w:t>
      </w:r>
      <w:r w:rsidRPr="00E020C2">
        <w:rPr>
          <w:rFonts w:ascii="Times New Roman" w:hAnsi="Times New Roman" w:cs="Times New Roman"/>
          <w:color w:val="000000"/>
          <w:sz w:val="24"/>
          <w:szCs w:val="24"/>
        </w:rPr>
        <w:lastRenderedPageBreak/>
        <w:t xml:space="preserve">highlighted that </w:t>
      </w:r>
      <w:r w:rsidRPr="00E020C2">
        <w:rPr>
          <w:rFonts w:ascii="Times New Roman" w:hAnsi="Times New Roman" w:cs="Times New Roman"/>
          <w:bCs/>
          <w:color w:val="000000"/>
          <w:sz w:val="24"/>
          <w:szCs w:val="24"/>
        </w:rPr>
        <w:t>food wastage remains a concern as nearly 40% of perishables goes waste in India.</w:t>
      </w:r>
      <w:r w:rsidR="00D20428">
        <w:rPr>
          <w:rFonts w:ascii="Times New Roman" w:hAnsi="Times New Roman" w:cs="Times New Roman"/>
          <w:color w:val="000000"/>
          <w:sz w:val="24"/>
          <w:szCs w:val="24"/>
        </w:rPr>
        <w:t xml:space="preserve"> </w:t>
      </w:r>
      <w:r w:rsidRPr="00E020C2">
        <w:rPr>
          <w:rFonts w:ascii="Times New Roman" w:hAnsi="Times New Roman" w:cs="Times New Roman"/>
          <w:bCs/>
          <w:color w:val="000000"/>
          <w:sz w:val="24"/>
          <w:szCs w:val="24"/>
        </w:rPr>
        <w:t xml:space="preserve">In August 2022, </w:t>
      </w:r>
      <w:r w:rsidRPr="00E020C2">
        <w:rPr>
          <w:rFonts w:ascii="Times New Roman" w:hAnsi="Times New Roman" w:cs="Times New Roman"/>
          <w:color w:val="000000"/>
          <w:sz w:val="24"/>
          <w:szCs w:val="24"/>
        </w:rPr>
        <w:t xml:space="preserve">NABARD Consultancy Services Private Limited (NABCONS) conducted a nationwide study on post-harvest losses, the study </w:t>
      </w:r>
      <w:r w:rsidRPr="00E020C2">
        <w:rPr>
          <w:rFonts w:ascii="Times New Roman" w:hAnsi="Times New Roman" w:cs="Times New Roman"/>
          <w:bCs/>
          <w:color w:val="000000"/>
          <w:sz w:val="24"/>
          <w:szCs w:val="24"/>
        </w:rPr>
        <w:t>reflected positive progress in reducing post-harvest losses in India.</w:t>
      </w:r>
      <w:r w:rsidR="00D20428">
        <w:rPr>
          <w:rFonts w:ascii="Times New Roman" w:hAnsi="Times New Roman" w:cs="Times New Roman"/>
          <w:bCs/>
          <w:color w:val="000000"/>
          <w:sz w:val="24"/>
          <w:szCs w:val="24"/>
        </w:rPr>
        <w:t xml:space="preserve"> </w:t>
      </w:r>
      <w:r w:rsidR="00D20428" w:rsidRPr="00904486">
        <w:rPr>
          <w:rFonts w:ascii="Times New Roman" w:eastAsia="Times New Roman" w:hAnsi="Times New Roman" w:cs="Times New Roman"/>
          <w:bCs/>
          <w:color w:val="000000"/>
          <w:sz w:val="24"/>
          <w:szCs w:val="20"/>
          <w:lang w:eastAsia="en-IN"/>
        </w:rPr>
        <w:t>The losses in cereals, pulses, oilseeds, fruits, and vegetables show slight reductions, with the ranges of loss narrowing in most cases. For example, the loss in cereals has decreased from 4.65-5.99% to 3.89-5.92%, and the loss in pulses has reduced from 6.39-8.41% to 5.65-6.74%. Similarly, post-harvest losses in milk, fisheries, meat, poultry, and eggs also show a slight decline.</w:t>
      </w:r>
      <w:r w:rsidR="008E3ED8">
        <w:rPr>
          <w:rFonts w:ascii="Times New Roman" w:eastAsia="Times New Roman" w:hAnsi="Times New Roman" w:cs="Times New Roman"/>
          <w:bCs/>
          <w:color w:val="000000"/>
          <w:sz w:val="24"/>
          <w:szCs w:val="20"/>
          <w:lang w:eastAsia="en-IN"/>
        </w:rPr>
        <w:t xml:space="preserve"> </w:t>
      </w:r>
      <w:r w:rsidR="00D20428" w:rsidRPr="006C1781">
        <w:rPr>
          <w:rFonts w:ascii="Times New Roman" w:eastAsia="Times New Roman" w:hAnsi="Times New Roman" w:cs="Times New Roman"/>
          <w:bCs/>
          <w:color w:val="000000"/>
          <w:sz w:val="24"/>
          <w:szCs w:val="20"/>
          <w:lang w:eastAsia="en-IN"/>
        </w:rPr>
        <w:t xml:space="preserve">From </w:t>
      </w:r>
      <w:r w:rsidR="00D20428">
        <w:rPr>
          <w:rFonts w:ascii="Times New Roman" w:eastAsia="Times New Roman" w:hAnsi="Times New Roman" w:cs="Times New Roman"/>
          <w:bCs/>
          <w:color w:val="000000"/>
          <w:sz w:val="24"/>
          <w:szCs w:val="20"/>
          <w:lang w:eastAsia="en-IN"/>
        </w:rPr>
        <w:t xml:space="preserve">both of </w:t>
      </w:r>
      <w:r w:rsidR="00D20428" w:rsidRPr="006C1781">
        <w:rPr>
          <w:rFonts w:ascii="Times New Roman" w:eastAsia="Times New Roman" w:hAnsi="Times New Roman" w:cs="Times New Roman"/>
          <w:bCs/>
          <w:color w:val="000000"/>
          <w:sz w:val="24"/>
          <w:szCs w:val="20"/>
          <w:lang w:eastAsia="en-IN"/>
        </w:rPr>
        <w:t>these studies, we can conclude that value addition, food processing and better post-harvest management practices plays an important role in reducing post-harvest losses and has the potential to enhance the efficiency of the agricultural sector.</w:t>
      </w:r>
    </w:p>
    <w:p w14:paraId="5B14F57E" w14:textId="28BCC711" w:rsidR="00E020C2" w:rsidRPr="00E020C2" w:rsidRDefault="00D20428" w:rsidP="00E04597">
      <w:pPr>
        <w:spacing w:before="240" w:after="200" w:line="276" w:lineRule="auto"/>
        <w:jc w:val="both"/>
        <w:rPr>
          <w:rFonts w:ascii="Times New Roman" w:hAnsi="Times New Roman" w:cs="Times New Roman"/>
          <w:color w:val="000000"/>
          <w:sz w:val="24"/>
          <w:szCs w:val="24"/>
        </w:rPr>
      </w:pPr>
      <w:r w:rsidRPr="00904486">
        <w:rPr>
          <w:rFonts w:ascii="Times New Roman" w:eastAsia="Aptos" w:hAnsi="Times New Roman" w:cs="Times New Roman"/>
          <w:kern w:val="2"/>
          <w:sz w:val="24"/>
          <w:szCs w:val="24"/>
          <w14:ligatures w14:val="standardContextual"/>
        </w:rPr>
        <w:t>In contrast, countries like the USA (65%), China (23%) and Philippines (78%) are far ahead of India in reducing wastage and enhancing the value addition and shelf life of farm products. Though India has a strong raw material base, it has been unable to tap the real potential for processing because of certain challenges that hinders the growth of this sector. These challenges need to be addressed to take this sector to the next level</w:t>
      </w:r>
      <w:r w:rsidR="00FD50BB" w:rsidRPr="00FD50BB">
        <w:rPr>
          <w:rFonts w:ascii="Times New Roman" w:hAnsi="Times New Roman" w:cs="Times New Roman"/>
          <w:color w:val="000000"/>
          <w:sz w:val="24"/>
          <w:szCs w:val="24"/>
        </w:rPr>
        <w:t>.</w:t>
      </w:r>
      <w:r w:rsidR="00FD50BB" w:rsidRPr="008E3ED8">
        <w:rPr>
          <w:rFonts w:ascii="Times New Roman" w:eastAsia="Aptos" w:hAnsi="Times New Roman" w:cs="Times New Roman"/>
          <w:b/>
          <w:bCs/>
          <w:kern w:val="2"/>
          <w:sz w:val="24"/>
          <w:szCs w:val="24"/>
          <w14:ligatures w14:val="standardContextual"/>
        </w:rPr>
        <w:t xml:space="preserve"> </w:t>
      </w:r>
    </w:p>
    <w:p w14:paraId="27664B61" w14:textId="74AD111A" w:rsidR="00EB70CE" w:rsidRPr="00E020C2" w:rsidRDefault="00F476D8" w:rsidP="00E04597">
      <w:pPr>
        <w:spacing w:before="240" w:after="200" w:line="276" w:lineRule="auto"/>
        <w:jc w:val="both"/>
        <w:rPr>
          <w:rFonts w:ascii="Times New Roman" w:hAnsi="Times New Roman" w:cs="Times New Roman"/>
          <w:color w:val="000000"/>
          <w:sz w:val="24"/>
          <w:szCs w:val="24"/>
        </w:rPr>
      </w:pPr>
      <w:r w:rsidRPr="00F476D8">
        <w:rPr>
          <w:rFonts w:ascii="Times New Roman" w:hAnsi="Times New Roman" w:cs="Times New Roman"/>
          <w:bCs/>
          <w:color w:val="000000"/>
          <w:sz w:val="24"/>
          <w:szCs w:val="24"/>
        </w:rPr>
        <w:t xml:space="preserve">The term </w:t>
      </w:r>
      <w:r w:rsidR="009F453E">
        <w:rPr>
          <w:rFonts w:ascii="Times New Roman" w:hAnsi="Times New Roman" w:cs="Times New Roman"/>
          <w:bCs/>
          <w:color w:val="000000"/>
          <w:sz w:val="24"/>
          <w:szCs w:val="24"/>
        </w:rPr>
        <w:t>“</w:t>
      </w:r>
      <w:r w:rsidRPr="00F476D8">
        <w:rPr>
          <w:rFonts w:ascii="Times New Roman" w:hAnsi="Times New Roman" w:cs="Times New Roman"/>
          <w:bCs/>
          <w:color w:val="000000"/>
          <w:sz w:val="24"/>
          <w:szCs w:val="24"/>
        </w:rPr>
        <w:t>food processing</w:t>
      </w:r>
      <w:r w:rsidR="009F453E">
        <w:rPr>
          <w:rFonts w:ascii="Times New Roman" w:hAnsi="Times New Roman" w:cs="Times New Roman"/>
          <w:bCs/>
          <w:color w:val="000000"/>
          <w:sz w:val="24"/>
          <w:szCs w:val="24"/>
        </w:rPr>
        <w:t>”</w:t>
      </w:r>
      <w:r w:rsidRPr="00F476D8">
        <w:rPr>
          <w:rFonts w:ascii="Times New Roman" w:hAnsi="Times New Roman" w:cs="Times New Roman"/>
          <w:bCs/>
          <w:color w:val="000000"/>
          <w:sz w:val="24"/>
          <w:szCs w:val="24"/>
        </w:rPr>
        <w:t xml:space="preserve"> refers to the method of adding value to agricultural or horticultural products through techniques such as grading, sorting, and packaging.</w:t>
      </w:r>
      <w:r w:rsidR="00EB70CE">
        <w:rPr>
          <w:rFonts w:ascii="Times New Roman" w:hAnsi="Times New Roman" w:cs="Times New Roman"/>
          <w:bCs/>
          <w:color w:val="000000"/>
          <w:sz w:val="24"/>
          <w:szCs w:val="24"/>
        </w:rPr>
        <w:t xml:space="preserve"> The extent of processing in India can be categorized as </w:t>
      </w:r>
      <w:r w:rsidR="00A35F48">
        <w:rPr>
          <w:rFonts w:ascii="Times New Roman" w:hAnsi="Times New Roman" w:cs="Times New Roman"/>
          <w:bCs/>
          <w:color w:val="000000"/>
          <w:sz w:val="24"/>
          <w:szCs w:val="24"/>
        </w:rPr>
        <w:t>p</w:t>
      </w:r>
      <w:r w:rsidR="00EB70CE" w:rsidRPr="00F476D8">
        <w:rPr>
          <w:rFonts w:ascii="Times New Roman" w:hAnsi="Times New Roman" w:cs="Times New Roman"/>
          <w:bCs/>
          <w:color w:val="000000"/>
          <w:sz w:val="24"/>
          <w:szCs w:val="24"/>
        </w:rPr>
        <w:t>rimary</w:t>
      </w:r>
      <w:r w:rsidR="00EB70CE">
        <w:rPr>
          <w:rFonts w:ascii="Times New Roman" w:hAnsi="Times New Roman" w:cs="Times New Roman"/>
          <w:bCs/>
          <w:color w:val="000000"/>
          <w:sz w:val="24"/>
          <w:szCs w:val="24"/>
        </w:rPr>
        <w:t>,</w:t>
      </w:r>
      <w:r w:rsidR="00EB70CE" w:rsidRPr="00F476D8">
        <w:rPr>
          <w:rFonts w:ascii="Times New Roman" w:hAnsi="Times New Roman" w:cs="Times New Roman"/>
          <w:bCs/>
          <w:color w:val="000000"/>
          <w:sz w:val="24"/>
          <w:szCs w:val="24"/>
        </w:rPr>
        <w:t xml:space="preserve"> </w:t>
      </w:r>
      <w:r w:rsidR="00A35F48">
        <w:rPr>
          <w:rFonts w:ascii="Times New Roman" w:hAnsi="Times New Roman" w:cs="Times New Roman"/>
          <w:bCs/>
          <w:color w:val="000000"/>
          <w:sz w:val="24"/>
          <w:szCs w:val="24"/>
        </w:rPr>
        <w:t>s</w:t>
      </w:r>
      <w:r w:rsidR="00EB70CE" w:rsidRPr="00F476D8">
        <w:rPr>
          <w:rFonts w:ascii="Times New Roman" w:hAnsi="Times New Roman" w:cs="Times New Roman"/>
          <w:bCs/>
          <w:color w:val="000000"/>
          <w:sz w:val="24"/>
          <w:szCs w:val="24"/>
        </w:rPr>
        <w:t>econdary</w:t>
      </w:r>
      <w:r w:rsidR="00EB70CE">
        <w:rPr>
          <w:rFonts w:ascii="Times New Roman" w:hAnsi="Times New Roman" w:cs="Times New Roman"/>
          <w:bCs/>
          <w:color w:val="000000"/>
          <w:sz w:val="24"/>
          <w:szCs w:val="24"/>
        </w:rPr>
        <w:t xml:space="preserve">, and </w:t>
      </w:r>
      <w:r w:rsidR="00A35F48">
        <w:rPr>
          <w:rFonts w:ascii="Times New Roman" w:hAnsi="Times New Roman" w:cs="Times New Roman"/>
          <w:bCs/>
          <w:color w:val="000000"/>
          <w:sz w:val="24"/>
          <w:szCs w:val="24"/>
        </w:rPr>
        <w:t>t</w:t>
      </w:r>
      <w:r w:rsidR="00EB70CE" w:rsidRPr="00F476D8">
        <w:rPr>
          <w:rFonts w:ascii="Times New Roman" w:hAnsi="Times New Roman" w:cs="Times New Roman"/>
          <w:bCs/>
          <w:color w:val="000000"/>
          <w:sz w:val="24"/>
          <w:szCs w:val="24"/>
        </w:rPr>
        <w:t>ertiary processing</w:t>
      </w:r>
      <w:r w:rsidR="00EB70CE">
        <w:rPr>
          <w:rFonts w:ascii="Times New Roman" w:hAnsi="Times New Roman" w:cs="Times New Roman"/>
          <w:bCs/>
          <w:color w:val="000000"/>
          <w:sz w:val="24"/>
          <w:szCs w:val="24"/>
        </w:rPr>
        <w:t xml:space="preserve">. </w:t>
      </w:r>
      <w:r w:rsidR="00EB70CE" w:rsidRPr="00F476D8">
        <w:rPr>
          <w:rFonts w:ascii="Times New Roman" w:hAnsi="Times New Roman" w:cs="Times New Roman"/>
          <w:bCs/>
          <w:color w:val="000000"/>
          <w:sz w:val="24"/>
          <w:szCs w:val="24"/>
        </w:rPr>
        <w:t>In India, the food processing remains dominated by primary processing, but now it is gradually shifting towards secondary processing and manufacturing of other higher-valued commodities.</w:t>
      </w:r>
    </w:p>
    <w:p w14:paraId="6AACD910" w14:textId="31D78EFF" w:rsidR="00EB70CE" w:rsidRDefault="00EB70CE" w:rsidP="00E04597">
      <w:pPr>
        <w:spacing w:before="240" w:after="200" w:line="276" w:lineRule="auto"/>
        <w:jc w:val="both"/>
        <w:rPr>
          <w:rFonts w:ascii="Times New Roman" w:hAnsi="Times New Roman" w:cs="Times New Roman"/>
          <w:color w:val="000000"/>
          <w:sz w:val="24"/>
          <w:szCs w:val="24"/>
          <w:lang w:val="en-US"/>
        </w:rPr>
      </w:pPr>
      <w:r w:rsidRPr="00774418">
        <w:rPr>
          <w:rFonts w:ascii="Times New Roman" w:hAnsi="Times New Roman" w:cs="Times New Roman"/>
          <w:color w:val="000000"/>
          <w:sz w:val="24"/>
          <w:szCs w:val="24"/>
          <w:lang w:val="en-US"/>
        </w:rPr>
        <w:t>Food processing helps in toxin removal, preservation, easing marketing and distribution tasks, and increasing food consistency. In addition, it increases seasonal availability of many foods, enables transportation of delicate perishable foods across long distances and makes many kinds of foods safe to eat by de-activating spoilage and pathogenic micro-organisms. Modern food processing also improves the quality of life for people with allergies, diabetics, and other people who cannot consume some common food elements. Additionally, it saves individuals considerable time that would otherwise be spent preparing and cooking unprocessed, "natural" foods</w:t>
      </w:r>
      <w:r w:rsidR="00B15855">
        <w:rPr>
          <w:rFonts w:ascii="Times New Roman" w:hAnsi="Times New Roman" w:cs="Times New Roman"/>
          <w:color w:val="000000"/>
          <w:sz w:val="24"/>
          <w:szCs w:val="24"/>
          <w:lang w:val="en-US"/>
        </w:rPr>
        <w:t>.</w:t>
      </w:r>
    </w:p>
    <w:p w14:paraId="11E411A6" w14:textId="3771D1F0" w:rsidR="00774418" w:rsidRPr="00774418" w:rsidRDefault="00774418" w:rsidP="00E04597">
      <w:pPr>
        <w:spacing w:before="240" w:after="200" w:line="276" w:lineRule="auto"/>
        <w:jc w:val="both"/>
        <w:rPr>
          <w:rFonts w:ascii="Times New Roman" w:hAnsi="Times New Roman" w:cs="Times New Roman"/>
          <w:b/>
          <w:color w:val="000000"/>
          <w:sz w:val="24"/>
          <w:szCs w:val="24"/>
          <w:lang w:val="en-US"/>
        </w:rPr>
      </w:pPr>
      <w:r w:rsidRPr="00774418">
        <w:rPr>
          <w:rFonts w:ascii="Times New Roman" w:hAnsi="Times New Roman" w:cs="Times New Roman"/>
          <w:b/>
          <w:color w:val="000000"/>
          <w:sz w:val="24"/>
          <w:szCs w:val="24"/>
          <w:lang w:val="en-US"/>
        </w:rPr>
        <w:t>1.</w:t>
      </w:r>
      <w:r>
        <w:rPr>
          <w:rFonts w:ascii="Times New Roman" w:hAnsi="Times New Roman" w:cs="Times New Roman"/>
          <w:b/>
          <w:color w:val="000000"/>
          <w:sz w:val="24"/>
          <w:szCs w:val="24"/>
          <w:lang w:val="en-US"/>
        </w:rPr>
        <w:t>1</w:t>
      </w:r>
      <w:r w:rsidRPr="00774418">
        <w:rPr>
          <w:rFonts w:ascii="Times New Roman" w:hAnsi="Times New Roman" w:cs="Times New Roman"/>
          <w:b/>
          <w:color w:val="000000"/>
          <w:sz w:val="24"/>
          <w:szCs w:val="24"/>
          <w:lang w:val="en-US"/>
        </w:rPr>
        <w:t xml:space="preserve"> Indian Scenario</w:t>
      </w:r>
      <w:r>
        <w:rPr>
          <w:rFonts w:ascii="Times New Roman" w:hAnsi="Times New Roman" w:cs="Times New Roman"/>
          <w:b/>
          <w:color w:val="000000"/>
          <w:sz w:val="24"/>
          <w:szCs w:val="24"/>
          <w:lang w:val="en-US"/>
        </w:rPr>
        <w:t xml:space="preserve"> of Food Processing Industry</w:t>
      </w:r>
    </w:p>
    <w:p w14:paraId="27B48528" w14:textId="77777777" w:rsidR="00774418" w:rsidRPr="00774418" w:rsidRDefault="00774418" w:rsidP="00E04597">
      <w:pPr>
        <w:spacing w:before="240" w:after="200" w:line="276" w:lineRule="auto"/>
        <w:jc w:val="both"/>
        <w:rPr>
          <w:rFonts w:ascii="Times New Roman" w:hAnsi="Times New Roman" w:cs="Times New Roman"/>
          <w:color w:val="000000"/>
          <w:sz w:val="24"/>
          <w:szCs w:val="24"/>
        </w:rPr>
      </w:pPr>
      <w:r w:rsidRPr="00774418">
        <w:rPr>
          <w:rFonts w:ascii="Times New Roman" w:hAnsi="Times New Roman" w:cs="Times New Roman"/>
          <w:color w:val="000000"/>
          <w:sz w:val="24"/>
          <w:szCs w:val="24"/>
        </w:rPr>
        <w:t>According to the Ministry of Food Processing Industries (</w:t>
      </w:r>
      <w:proofErr w:type="spellStart"/>
      <w:r w:rsidRPr="00774418">
        <w:rPr>
          <w:rFonts w:ascii="Times New Roman" w:hAnsi="Times New Roman" w:cs="Times New Roman"/>
          <w:color w:val="000000"/>
          <w:sz w:val="24"/>
          <w:szCs w:val="24"/>
        </w:rPr>
        <w:t>MoFPI</w:t>
      </w:r>
      <w:proofErr w:type="spellEnd"/>
      <w:r w:rsidRPr="00774418">
        <w:rPr>
          <w:rFonts w:ascii="Times New Roman" w:hAnsi="Times New Roman" w:cs="Times New Roman"/>
          <w:color w:val="000000"/>
          <w:sz w:val="24"/>
          <w:szCs w:val="24"/>
        </w:rPr>
        <w:t>), Food Processing sector has been growing at an average annual growth rate of around 5.35 per cent as compared to around 4.46 per cent in Agriculture &amp; allied sector (at 2011-12 prices). Food Processing sector has also emerged as an important segment of the Indian economy in terms of its contribution to GDP, employment and investment. The sector constituted as much as 7.66 per cent and 8.45 per cent of GVA in Manufacturing and Agriculture sector respectively in 2022-23 (at 2011-12 prices).</w:t>
      </w:r>
    </w:p>
    <w:p w14:paraId="53651DAE" w14:textId="4B87361B" w:rsidR="00774418" w:rsidRPr="00774418" w:rsidRDefault="00774418" w:rsidP="00E04597">
      <w:pPr>
        <w:spacing w:before="240" w:after="200" w:line="276" w:lineRule="auto"/>
        <w:jc w:val="both"/>
        <w:rPr>
          <w:rFonts w:ascii="Times New Roman" w:hAnsi="Times New Roman" w:cs="Times New Roman"/>
          <w:bCs/>
          <w:color w:val="000000"/>
          <w:sz w:val="24"/>
          <w:szCs w:val="24"/>
          <w:lang w:val="en-US"/>
        </w:rPr>
      </w:pPr>
      <w:r w:rsidRPr="00774418">
        <w:rPr>
          <w:rFonts w:ascii="Times New Roman" w:hAnsi="Times New Roman" w:cs="Times New Roman"/>
          <w:bCs/>
          <w:color w:val="000000"/>
          <w:sz w:val="24"/>
          <w:szCs w:val="24"/>
          <w:lang w:val="en-US"/>
        </w:rPr>
        <w:t>According to the International Market Analysis Research and Consulting Group</w:t>
      </w:r>
      <w:r w:rsidR="005A6C09">
        <w:rPr>
          <w:rFonts w:ascii="Times New Roman" w:hAnsi="Times New Roman" w:cs="Times New Roman"/>
          <w:bCs/>
          <w:color w:val="000000"/>
          <w:sz w:val="24"/>
          <w:szCs w:val="24"/>
          <w:lang w:val="en-US"/>
        </w:rPr>
        <w:t xml:space="preserve"> (</w:t>
      </w:r>
      <w:r w:rsidR="005A6C09" w:rsidRPr="00774418">
        <w:rPr>
          <w:rFonts w:ascii="Times New Roman" w:hAnsi="Times New Roman" w:cs="Times New Roman"/>
          <w:bCs/>
          <w:color w:val="000000"/>
          <w:sz w:val="24"/>
          <w:szCs w:val="24"/>
          <w:lang w:val="en-US"/>
        </w:rPr>
        <w:t>IMARC</w:t>
      </w:r>
      <w:r w:rsidR="005A6C09">
        <w:rPr>
          <w:rFonts w:ascii="Times New Roman" w:hAnsi="Times New Roman" w:cs="Times New Roman"/>
          <w:bCs/>
          <w:color w:val="000000"/>
          <w:sz w:val="24"/>
          <w:szCs w:val="24"/>
          <w:lang w:val="en-US"/>
        </w:rPr>
        <w:t>)</w:t>
      </w:r>
      <w:r w:rsidRPr="00774418">
        <w:rPr>
          <w:rFonts w:ascii="Times New Roman" w:hAnsi="Times New Roman" w:cs="Times New Roman"/>
          <w:bCs/>
          <w:color w:val="000000"/>
          <w:sz w:val="24"/>
          <w:szCs w:val="24"/>
          <w:lang w:val="en-US"/>
        </w:rPr>
        <w:t xml:space="preserve">, the food processing industry in India has witnessed rapid growth in the recent past, with the sector </w:t>
      </w:r>
      <w:r w:rsidRPr="00774418">
        <w:rPr>
          <w:rFonts w:ascii="Times New Roman" w:hAnsi="Times New Roman" w:cs="Times New Roman"/>
          <w:bCs/>
          <w:color w:val="000000"/>
          <w:sz w:val="24"/>
          <w:szCs w:val="24"/>
          <w:lang w:val="en-US"/>
        </w:rPr>
        <w:lastRenderedPageBreak/>
        <w:t xml:space="preserve">emerging as one of the most promising industries driving the economic growth of the country. The food processing industry in India reached a value of USD 336.4 billion in 2023 and is expected to reach USD 735.5 billion, at a CAGR of 8.8% during 2023-2032 as shown in </w:t>
      </w:r>
      <w:r w:rsidR="00637BD3">
        <w:rPr>
          <w:rFonts w:ascii="Times New Roman" w:hAnsi="Times New Roman" w:cs="Times New Roman"/>
          <w:bCs/>
          <w:color w:val="000000"/>
          <w:sz w:val="24"/>
          <w:szCs w:val="24"/>
          <w:lang w:val="en-US"/>
        </w:rPr>
        <w:t>F</w:t>
      </w:r>
      <w:r w:rsidRPr="00774418">
        <w:rPr>
          <w:rFonts w:ascii="Times New Roman" w:hAnsi="Times New Roman" w:cs="Times New Roman"/>
          <w:bCs/>
          <w:color w:val="000000"/>
          <w:sz w:val="24"/>
          <w:szCs w:val="24"/>
          <w:lang w:val="en-US"/>
        </w:rPr>
        <w:t>ig</w:t>
      </w:r>
      <w:r w:rsidR="00637BD3">
        <w:rPr>
          <w:rFonts w:ascii="Times New Roman" w:hAnsi="Times New Roman" w:cs="Times New Roman"/>
          <w:bCs/>
          <w:color w:val="000000"/>
          <w:sz w:val="24"/>
          <w:szCs w:val="24"/>
          <w:lang w:val="en-US"/>
        </w:rPr>
        <w:t xml:space="preserve"> </w:t>
      </w:r>
      <w:r w:rsidRPr="00774418">
        <w:rPr>
          <w:rFonts w:ascii="Times New Roman" w:hAnsi="Times New Roman" w:cs="Times New Roman"/>
          <w:bCs/>
          <w:color w:val="000000"/>
          <w:sz w:val="24"/>
          <w:szCs w:val="24"/>
          <w:lang w:val="en-US"/>
        </w:rPr>
        <w:t>1.</w:t>
      </w:r>
    </w:p>
    <w:p w14:paraId="6930875B" w14:textId="77777777" w:rsidR="00774418" w:rsidRPr="00774418" w:rsidRDefault="00774418" w:rsidP="00E04597">
      <w:pPr>
        <w:spacing w:before="240" w:after="200" w:line="276" w:lineRule="auto"/>
        <w:jc w:val="center"/>
        <w:rPr>
          <w:rFonts w:ascii="Times New Roman" w:hAnsi="Times New Roman" w:cs="Times New Roman"/>
          <w:bCs/>
          <w:color w:val="000000"/>
          <w:sz w:val="24"/>
          <w:szCs w:val="24"/>
          <w:lang w:val="en-US"/>
        </w:rPr>
      </w:pPr>
      <w:r w:rsidRPr="00774418">
        <w:rPr>
          <w:rFonts w:ascii="Times New Roman" w:hAnsi="Times New Roman" w:cs="Times New Roman"/>
          <w:noProof/>
          <w:color w:val="000000"/>
          <w:sz w:val="24"/>
          <w:szCs w:val="24"/>
          <w:lang w:val="en-US"/>
        </w:rPr>
        <w:drawing>
          <wp:inline distT="0" distB="0" distL="0" distR="0" wp14:anchorId="22ED10B2" wp14:editId="5CD26D81">
            <wp:extent cx="5210175" cy="2438400"/>
            <wp:effectExtent l="0" t="0" r="9525" b="0"/>
            <wp:docPr id="1617849587" name="Chart 161784958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C5A486" w14:textId="73083C6C" w:rsidR="00774418" w:rsidRPr="00774418" w:rsidRDefault="00774418" w:rsidP="00E04597">
      <w:pPr>
        <w:spacing w:before="240" w:after="200" w:line="276" w:lineRule="auto"/>
        <w:ind w:firstLine="720"/>
        <w:jc w:val="center"/>
        <w:rPr>
          <w:rFonts w:ascii="Times New Roman" w:hAnsi="Times New Roman" w:cs="Times New Roman"/>
          <w:b/>
          <w:iCs/>
          <w:color w:val="000000"/>
          <w:sz w:val="24"/>
          <w:szCs w:val="24"/>
          <w:lang w:val="en-US"/>
        </w:rPr>
      </w:pPr>
      <w:r w:rsidRPr="00774418">
        <w:rPr>
          <w:rFonts w:ascii="Times New Roman" w:hAnsi="Times New Roman" w:cs="Times New Roman"/>
          <w:b/>
          <w:color w:val="000000"/>
          <w:sz w:val="24"/>
          <w:szCs w:val="24"/>
        </w:rPr>
        <w:t>Fig 1: Forecasted market value of food processing industry</w:t>
      </w:r>
    </w:p>
    <w:p w14:paraId="0A4562D4" w14:textId="77777777" w:rsidR="00774418" w:rsidRPr="00774418" w:rsidRDefault="00774418" w:rsidP="00E04597">
      <w:pPr>
        <w:spacing w:before="240" w:after="200" w:line="276" w:lineRule="auto"/>
        <w:jc w:val="both"/>
        <w:rPr>
          <w:rFonts w:ascii="Times New Roman" w:hAnsi="Times New Roman" w:cs="Times New Roman"/>
          <w:bCs/>
          <w:color w:val="000000"/>
          <w:sz w:val="24"/>
          <w:szCs w:val="24"/>
          <w:lang w:val="en-US"/>
        </w:rPr>
      </w:pPr>
      <w:r w:rsidRPr="00774418">
        <w:rPr>
          <w:rFonts w:ascii="Times New Roman" w:hAnsi="Times New Roman" w:cs="Times New Roman"/>
          <w:bCs/>
          <w:color w:val="000000"/>
          <w:sz w:val="24"/>
          <w:szCs w:val="24"/>
          <w:lang w:val="en-US"/>
        </w:rPr>
        <w:t>According to the Grant Thornton report on Viksit Bharat by 2047, India's food processing sector will grow significantly, reaching USD 1,100 billion by FY35, USD 1,500 billion by FY40, USD 1,900 billion by FY45, and USD 2,150 billion by FY47, backed by the rise in population, changing lifestyle and food habits due to rising disposable income and urbanization.</w:t>
      </w:r>
    </w:p>
    <w:p w14:paraId="3713DE54" w14:textId="0CCC7DC7" w:rsidR="00E020C2" w:rsidRDefault="00015552" w:rsidP="00E04597">
      <w:pPr>
        <w:spacing w:before="240" w:after="200" w:line="276" w:lineRule="auto"/>
        <w:jc w:val="both"/>
        <w:rPr>
          <w:rFonts w:ascii="Times New Roman" w:hAnsi="Times New Roman" w:cs="Times New Roman"/>
          <w:bCs/>
          <w:color w:val="000000"/>
          <w:sz w:val="24"/>
          <w:szCs w:val="24"/>
          <w:lang w:val="en-US"/>
        </w:rPr>
      </w:pPr>
      <w:r w:rsidRPr="00015552">
        <w:rPr>
          <w:rFonts w:ascii="Times New Roman" w:hAnsi="Times New Roman" w:cs="Times New Roman"/>
          <w:bCs/>
          <w:color w:val="000000"/>
          <w:sz w:val="24"/>
          <w:szCs w:val="24"/>
          <w:lang w:val="en-US"/>
        </w:rPr>
        <w:t>The key growth drivers of the food processing sector in India include increasing spending on health and nutritional foods, the rise in nuclear families and working women, changing lifestyles, the demand for functional foods, and the growing popularity of both fresh and processed foods. With the increase in consumer awareness during the lockdowns, there's increased demand for processed foods, especially in RTE/RTC, dairy, and fruit and vegetable segments.</w:t>
      </w:r>
    </w:p>
    <w:p w14:paraId="7C4F38D1" w14:textId="456A6EFC" w:rsidR="00DE0214" w:rsidRPr="00DE0214" w:rsidRDefault="00DE0214" w:rsidP="00E04597">
      <w:pPr>
        <w:spacing w:before="240" w:after="200" w:line="276" w:lineRule="auto"/>
        <w:jc w:val="both"/>
        <w:rPr>
          <w:rFonts w:ascii="Times New Roman" w:hAnsi="Times New Roman" w:cs="Times New Roman"/>
          <w:b/>
          <w:bCs/>
          <w:color w:val="000000"/>
          <w:sz w:val="24"/>
          <w:szCs w:val="24"/>
          <w:lang w:val="en-US"/>
        </w:rPr>
      </w:pPr>
      <w:r w:rsidRPr="00DE0214">
        <w:rPr>
          <w:rFonts w:ascii="Times New Roman" w:hAnsi="Times New Roman" w:cs="Times New Roman"/>
          <w:b/>
          <w:bCs/>
          <w:color w:val="000000"/>
          <w:sz w:val="24"/>
          <w:szCs w:val="24"/>
          <w:lang w:val="en-US"/>
        </w:rPr>
        <w:t>1.</w:t>
      </w:r>
      <w:r w:rsidR="00187D8E">
        <w:rPr>
          <w:rFonts w:ascii="Times New Roman" w:hAnsi="Times New Roman" w:cs="Times New Roman"/>
          <w:b/>
          <w:bCs/>
          <w:color w:val="000000"/>
          <w:sz w:val="24"/>
          <w:szCs w:val="24"/>
          <w:lang w:val="en-US"/>
        </w:rPr>
        <w:t>2</w:t>
      </w:r>
      <w:r w:rsidRPr="00DE0214">
        <w:rPr>
          <w:rFonts w:ascii="Times New Roman" w:hAnsi="Times New Roman" w:cs="Times New Roman"/>
          <w:b/>
          <w:bCs/>
          <w:color w:val="000000"/>
          <w:sz w:val="24"/>
          <w:szCs w:val="24"/>
          <w:lang w:val="en-US"/>
        </w:rPr>
        <w:t xml:space="preserve"> Food Safety </w:t>
      </w:r>
      <w:r>
        <w:rPr>
          <w:rFonts w:ascii="Times New Roman" w:hAnsi="Times New Roman" w:cs="Times New Roman"/>
          <w:b/>
          <w:bCs/>
          <w:color w:val="000000"/>
          <w:sz w:val="24"/>
          <w:szCs w:val="24"/>
          <w:lang w:val="en-US"/>
        </w:rPr>
        <w:t>a</w:t>
      </w:r>
      <w:r w:rsidRPr="00DE0214">
        <w:rPr>
          <w:rFonts w:ascii="Times New Roman" w:hAnsi="Times New Roman" w:cs="Times New Roman"/>
          <w:b/>
          <w:bCs/>
          <w:color w:val="000000"/>
          <w:sz w:val="24"/>
          <w:szCs w:val="24"/>
          <w:lang w:val="en-US"/>
        </w:rPr>
        <w:t>nd Standards</w:t>
      </w:r>
    </w:p>
    <w:p w14:paraId="064398E6" w14:textId="77777777" w:rsidR="00DE0214" w:rsidRPr="00DE0214" w:rsidRDefault="00DE0214" w:rsidP="00E04597">
      <w:pPr>
        <w:spacing w:before="240" w:after="200" w:line="276" w:lineRule="auto"/>
        <w:jc w:val="both"/>
        <w:rPr>
          <w:rFonts w:ascii="Times New Roman" w:hAnsi="Times New Roman" w:cs="Times New Roman"/>
          <w:bCs/>
          <w:color w:val="000000"/>
          <w:sz w:val="24"/>
          <w:szCs w:val="24"/>
          <w:lang w:val="en-US"/>
        </w:rPr>
      </w:pPr>
      <w:r w:rsidRPr="00DE0214">
        <w:rPr>
          <w:rFonts w:ascii="Times New Roman" w:hAnsi="Times New Roman" w:cs="Times New Roman"/>
          <w:bCs/>
          <w:color w:val="000000"/>
          <w:sz w:val="24"/>
          <w:szCs w:val="24"/>
          <w:lang w:val="en-US"/>
        </w:rPr>
        <w:t>The food industry's complex supply chain includes various stakeholders, from farmers to manufacturers to retailers and foodservice like restaurants and hotels. To maintain product safety and quality, as well as adhering to food safety regulations, implementing a strong food safety management system is crucial for food businesses.</w:t>
      </w:r>
    </w:p>
    <w:p w14:paraId="72704BF8" w14:textId="77777777" w:rsidR="00DE0214" w:rsidRPr="00DE0214" w:rsidRDefault="00DE0214" w:rsidP="00E04597">
      <w:pPr>
        <w:spacing w:before="240" w:after="200" w:line="276" w:lineRule="auto"/>
        <w:jc w:val="both"/>
        <w:rPr>
          <w:rFonts w:ascii="Times New Roman" w:hAnsi="Times New Roman" w:cs="Times New Roman"/>
          <w:bCs/>
          <w:color w:val="000000"/>
          <w:sz w:val="24"/>
          <w:szCs w:val="24"/>
        </w:rPr>
      </w:pPr>
      <w:r w:rsidRPr="00DE0214">
        <w:rPr>
          <w:rFonts w:ascii="Times New Roman" w:hAnsi="Times New Roman" w:cs="Times New Roman"/>
          <w:bCs/>
          <w:color w:val="000000"/>
          <w:sz w:val="24"/>
          <w:szCs w:val="24"/>
        </w:rPr>
        <w:t>At the foundational level, businesses must comply with their local food safety laws and regulations in order to operate. Examples of such regulations include the FDA Food Code in the United States, the SFCR in Canada, the Food Standards Act from the UK’s Food Standards Agency, and the FSSAI in India.</w:t>
      </w:r>
    </w:p>
    <w:p w14:paraId="591F6C71" w14:textId="63DE2FC7" w:rsidR="00DE0214" w:rsidRPr="00DE0214" w:rsidRDefault="00DE0214" w:rsidP="00E04597">
      <w:pPr>
        <w:spacing w:before="240" w:after="200" w:line="276" w:lineRule="auto"/>
        <w:jc w:val="both"/>
        <w:rPr>
          <w:rFonts w:ascii="Times New Roman" w:hAnsi="Times New Roman" w:cs="Times New Roman"/>
          <w:bCs/>
          <w:color w:val="000000"/>
          <w:sz w:val="24"/>
          <w:szCs w:val="24"/>
        </w:rPr>
      </w:pPr>
      <w:r w:rsidRPr="00DE0214">
        <w:rPr>
          <w:rFonts w:ascii="Times New Roman" w:hAnsi="Times New Roman" w:cs="Times New Roman"/>
          <w:bCs/>
          <w:color w:val="000000"/>
          <w:sz w:val="24"/>
          <w:szCs w:val="24"/>
        </w:rPr>
        <w:lastRenderedPageBreak/>
        <w:t>Companies which want to go beyond the basic regulatory requirements can pursue certification in voluntary food safety programs, which involves being audited and certified by an independent third party. The next level in food safety involves certifications for non-benchmarked standards like GMP, HACCP, and ISO.</w:t>
      </w:r>
    </w:p>
    <w:p w14:paraId="7F6BF138" w14:textId="2B4A7399" w:rsidR="00D26F9A" w:rsidRDefault="00DE0214" w:rsidP="00E04597">
      <w:pPr>
        <w:spacing w:before="240" w:after="200" w:line="276" w:lineRule="auto"/>
        <w:jc w:val="both"/>
        <w:rPr>
          <w:rFonts w:ascii="Times New Roman" w:hAnsi="Times New Roman" w:cs="Times New Roman"/>
          <w:bCs/>
          <w:color w:val="000000"/>
          <w:sz w:val="24"/>
          <w:szCs w:val="24"/>
        </w:rPr>
      </w:pPr>
      <w:r w:rsidRPr="00DE0214">
        <w:rPr>
          <w:rFonts w:ascii="Times New Roman" w:hAnsi="Times New Roman" w:cs="Times New Roman"/>
          <w:bCs/>
          <w:color w:val="000000"/>
          <w:sz w:val="24"/>
          <w:szCs w:val="24"/>
        </w:rPr>
        <w:t xml:space="preserve">At last, the highest level of food safety compliance is achieved through GFSI-recognized certifications. </w:t>
      </w:r>
      <w:r w:rsidRPr="00DE0214">
        <w:rPr>
          <w:rFonts w:ascii="Times New Roman" w:hAnsi="Times New Roman" w:cs="Times New Roman"/>
          <w:bCs/>
          <w:color w:val="000000"/>
          <w:sz w:val="24"/>
          <w:szCs w:val="24"/>
          <w:lang w:val="en-US"/>
        </w:rPr>
        <w:t>For food industry organizations, this recognition implies “once certified, worldwide recognized”</w:t>
      </w:r>
      <w:r w:rsidR="00C9791C">
        <w:rPr>
          <w:rFonts w:ascii="Times New Roman" w:hAnsi="Times New Roman" w:cs="Times New Roman"/>
          <w:bCs/>
          <w:color w:val="000000"/>
          <w:sz w:val="24"/>
          <w:szCs w:val="24"/>
          <w:lang w:val="en-US"/>
        </w:rPr>
        <w:t>.</w:t>
      </w:r>
      <w:r w:rsidRPr="00DE0214">
        <w:rPr>
          <w:rFonts w:ascii="Times New Roman" w:hAnsi="Times New Roman" w:cs="Times New Roman"/>
          <w:bCs/>
          <w:color w:val="000000"/>
          <w:sz w:val="24"/>
          <w:szCs w:val="24"/>
        </w:rPr>
        <w:t xml:space="preserve"> Some of the most widely recognized certifications include BRC, Safe Quality Food (SQF), FSSC 22000, International Featured Standards (IFS), </w:t>
      </w:r>
      <w:r w:rsidRPr="00DE0214">
        <w:rPr>
          <w:rFonts w:ascii="Times New Roman" w:hAnsi="Times New Roman" w:cs="Times New Roman"/>
          <w:bCs/>
          <w:color w:val="000000"/>
          <w:sz w:val="24"/>
          <w:szCs w:val="24"/>
          <w:lang w:val="en-US"/>
        </w:rPr>
        <w:t>Global Seafood Alliance, Global Good Agricultural Practices (GAP)</w:t>
      </w:r>
      <w:r w:rsidR="00D27ED9">
        <w:rPr>
          <w:rFonts w:ascii="Times New Roman" w:hAnsi="Times New Roman" w:cs="Times New Roman"/>
          <w:bCs/>
          <w:color w:val="000000"/>
          <w:sz w:val="24"/>
          <w:szCs w:val="24"/>
          <w:lang w:val="en-US"/>
        </w:rPr>
        <w:t>,</w:t>
      </w:r>
      <w:r w:rsidRPr="00DE0214">
        <w:rPr>
          <w:rFonts w:ascii="Times New Roman" w:hAnsi="Times New Roman" w:cs="Times New Roman"/>
          <w:bCs/>
          <w:color w:val="000000"/>
          <w:sz w:val="24"/>
          <w:szCs w:val="24"/>
        </w:rPr>
        <w:t xml:space="preserve"> etc.</w:t>
      </w:r>
    </w:p>
    <w:p w14:paraId="5352189E" w14:textId="0371F347" w:rsidR="00AA4A51" w:rsidRDefault="00AF1B43" w:rsidP="00E04597">
      <w:pPr>
        <w:spacing w:before="240" w:line="276" w:lineRule="auto"/>
        <w:jc w:val="both"/>
        <w:rPr>
          <w:rFonts w:ascii="Times New Roman" w:hAnsi="Times New Roman" w:cs="Times New Roman"/>
          <w:sz w:val="24"/>
          <w:szCs w:val="24"/>
          <w:shd w:val="clear" w:color="auto" w:fill="FFFFFF"/>
        </w:rPr>
      </w:pPr>
      <w:r w:rsidRPr="00A97C35">
        <w:rPr>
          <w:rStyle w:val="fontstyle01"/>
        </w:rPr>
        <w:t xml:space="preserve">The objectives of the </w:t>
      </w:r>
      <w:r w:rsidR="00E5465C">
        <w:rPr>
          <w:rStyle w:val="fontstyle01"/>
        </w:rPr>
        <w:t xml:space="preserve">present </w:t>
      </w:r>
      <w:r w:rsidRPr="00A97C35">
        <w:rPr>
          <w:rStyle w:val="fontstyle01"/>
        </w:rPr>
        <w:t>study wer</w:t>
      </w:r>
      <w:r w:rsidR="00157BFA">
        <w:rPr>
          <w:rStyle w:val="fontstyle01"/>
        </w:rPr>
        <w:t>e</w:t>
      </w:r>
      <w:r w:rsidR="00194F5E">
        <w:rPr>
          <w:rStyle w:val="fontstyle01"/>
        </w:rPr>
        <w:t xml:space="preserve"> t</w:t>
      </w:r>
      <w:r w:rsidR="00AA4A51" w:rsidRPr="00157BFA">
        <w:rPr>
          <w:rFonts w:ascii="Times New Roman" w:hAnsi="Times New Roman" w:cs="Times New Roman"/>
          <w:sz w:val="24"/>
          <w:szCs w:val="24"/>
        </w:rPr>
        <w:t xml:space="preserve">o </w:t>
      </w:r>
      <w:r w:rsidR="00E5465C">
        <w:rPr>
          <w:rFonts w:ascii="Times New Roman" w:hAnsi="Times New Roman" w:cs="Times New Roman"/>
          <w:sz w:val="24"/>
          <w:szCs w:val="24"/>
        </w:rPr>
        <w:t>analyse</w:t>
      </w:r>
      <w:r w:rsidR="00AA4A51" w:rsidRPr="00157BFA">
        <w:rPr>
          <w:rFonts w:ascii="Times New Roman" w:hAnsi="Times New Roman" w:cs="Times New Roman"/>
          <w:sz w:val="24"/>
          <w:szCs w:val="24"/>
        </w:rPr>
        <w:t xml:space="preserve"> </w:t>
      </w:r>
      <w:r w:rsidR="00501CC2" w:rsidRPr="00157BFA">
        <w:rPr>
          <w:rFonts w:ascii="Times New Roman" w:hAnsi="Times New Roman" w:cs="Times New Roman"/>
          <w:sz w:val="24"/>
          <w:szCs w:val="24"/>
        </w:rPr>
        <w:t xml:space="preserve">the growth rate </w:t>
      </w:r>
      <w:r w:rsidR="00194F5E">
        <w:rPr>
          <w:rFonts w:ascii="Times New Roman" w:hAnsi="Times New Roman" w:cs="Times New Roman"/>
          <w:sz w:val="24"/>
          <w:szCs w:val="24"/>
        </w:rPr>
        <w:t xml:space="preserve">and </w:t>
      </w:r>
      <w:r w:rsidR="00E5465C">
        <w:rPr>
          <w:rFonts w:ascii="Times New Roman" w:hAnsi="Times New Roman" w:cs="Times New Roman"/>
          <w:sz w:val="24"/>
          <w:szCs w:val="24"/>
        </w:rPr>
        <w:t xml:space="preserve">understand the </w:t>
      </w:r>
      <w:r w:rsidR="00194F5E" w:rsidRPr="00123D7E">
        <w:rPr>
          <w:rFonts w:ascii="Times New Roman" w:hAnsi="Times New Roman" w:cs="Times New Roman"/>
          <w:sz w:val="24"/>
          <w:szCs w:val="24"/>
          <w:shd w:val="clear" w:color="auto" w:fill="FFFFFF"/>
        </w:rPr>
        <w:t xml:space="preserve">key </w:t>
      </w:r>
      <w:r w:rsidR="00194F5E" w:rsidRPr="0003091E">
        <w:rPr>
          <w:rFonts w:ascii="Times New Roman" w:eastAsia="Calibri" w:hAnsi="Times New Roman" w:cs="Times New Roman"/>
          <w:kern w:val="2"/>
          <w:sz w:val="24"/>
          <w:szCs w:val="24"/>
          <w14:ligatures w14:val="standardContextual"/>
        </w:rPr>
        <w:t>certificates and standards</w:t>
      </w:r>
      <w:r w:rsidR="00194F5E">
        <w:rPr>
          <w:rFonts w:ascii="Times New Roman" w:eastAsia="Calibri" w:hAnsi="Times New Roman" w:cs="Times New Roman"/>
          <w:kern w:val="2"/>
          <w:sz w:val="24"/>
          <w:szCs w:val="24"/>
          <w14:ligatures w14:val="standardContextual"/>
        </w:rPr>
        <w:t xml:space="preserve"> related to food safety and quality </w:t>
      </w:r>
      <w:r w:rsidR="00194F5E" w:rsidRPr="00123D7E">
        <w:rPr>
          <w:rFonts w:ascii="Times New Roman" w:hAnsi="Times New Roman" w:cs="Times New Roman"/>
          <w:sz w:val="24"/>
          <w:szCs w:val="24"/>
          <w:shd w:val="clear" w:color="auto" w:fill="FFFFFF"/>
        </w:rPr>
        <w:t>require</w:t>
      </w:r>
      <w:r w:rsidR="00194F5E">
        <w:rPr>
          <w:rFonts w:ascii="Times New Roman" w:hAnsi="Times New Roman" w:cs="Times New Roman"/>
          <w:sz w:val="24"/>
          <w:szCs w:val="24"/>
          <w:shd w:val="clear" w:color="auto" w:fill="FFFFFF"/>
        </w:rPr>
        <w:t xml:space="preserve">d in </w:t>
      </w:r>
      <w:r w:rsidR="00194F5E" w:rsidRPr="00123D7E">
        <w:rPr>
          <w:rFonts w:ascii="Times New Roman" w:hAnsi="Times New Roman" w:cs="Times New Roman"/>
          <w:sz w:val="24"/>
          <w:szCs w:val="24"/>
          <w:shd w:val="clear" w:color="auto" w:fill="FFFFFF"/>
        </w:rPr>
        <w:t>the food processing industry</w:t>
      </w:r>
      <w:r w:rsidR="00194F5E">
        <w:rPr>
          <w:rFonts w:ascii="Times New Roman" w:hAnsi="Times New Roman" w:cs="Times New Roman"/>
          <w:sz w:val="24"/>
          <w:szCs w:val="24"/>
          <w:shd w:val="clear" w:color="auto" w:fill="FFFFFF"/>
        </w:rPr>
        <w:t>.</w:t>
      </w:r>
      <w:r w:rsidR="00AA4A51" w:rsidRPr="00123D7E">
        <w:rPr>
          <w:rFonts w:ascii="Times New Roman" w:hAnsi="Times New Roman" w:cs="Times New Roman"/>
          <w:sz w:val="24"/>
          <w:szCs w:val="24"/>
          <w:shd w:val="clear" w:color="auto" w:fill="FFFFFF"/>
        </w:rPr>
        <w:t xml:space="preserve"> </w:t>
      </w:r>
    </w:p>
    <w:p w14:paraId="2ECDB3A6" w14:textId="46751D56" w:rsidR="000A2B64" w:rsidRDefault="00AF1B43" w:rsidP="00E04597">
      <w:pPr>
        <w:spacing w:before="240" w:line="276" w:lineRule="auto"/>
        <w:rPr>
          <w:rStyle w:val="fontstyle01"/>
        </w:rPr>
      </w:pPr>
      <w:r>
        <w:rPr>
          <w:rFonts w:ascii="Times New Roman" w:hAnsi="Times New Roman" w:cs="Times New Roman"/>
          <w:b/>
          <w:sz w:val="24"/>
          <w:lang w:val="en-GB"/>
        </w:rPr>
        <w:t xml:space="preserve">2. </w:t>
      </w:r>
      <w:r w:rsidR="000A2B64" w:rsidRPr="00AF1B43">
        <w:rPr>
          <w:rFonts w:ascii="Times New Roman" w:hAnsi="Times New Roman" w:cs="Times New Roman"/>
          <w:b/>
          <w:sz w:val="24"/>
          <w:lang w:val="en-GB"/>
        </w:rPr>
        <w:t>MATERIAL</w:t>
      </w:r>
      <w:r w:rsidR="00122D76" w:rsidRPr="00AF1B43">
        <w:rPr>
          <w:rFonts w:ascii="Times New Roman" w:hAnsi="Times New Roman" w:cs="Times New Roman"/>
          <w:b/>
          <w:sz w:val="24"/>
          <w:lang w:val="en-GB"/>
        </w:rPr>
        <w:t>S</w:t>
      </w:r>
      <w:r w:rsidR="000A2B64" w:rsidRPr="00AF1B43">
        <w:rPr>
          <w:rFonts w:ascii="Times New Roman" w:hAnsi="Times New Roman" w:cs="Times New Roman"/>
          <w:b/>
          <w:sz w:val="24"/>
          <w:lang w:val="en-GB"/>
        </w:rPr>
        <w:t xml:space="preserve"> AND METHODS</w:t>
      </w:r>
    </w:p>
    <w:p w14:paraId="1F11FE70" w14:textId="050AFC63" w:rsidR="0010283D" w:rsidRDefault="004C32FC" w:rsidP="0010283D">
      <w:pPr>
        <w:spacing w:before="240" w:line="276" w:lineRule="auto"/>
        <w:jc w:val="both"/>
        <w:rPr>
          <w:rFonts w:ascii="Times New Roman" w:hAnsi="Times New Roman" w:cs="Times New Roman"/>
          <w:color w:val="000000"/>
          <w:sz w:val="24"/>
          <w:szCs w:val="24"/>
        </w:rPr>
      </w:pPr>
      <w:r>
        <w:rPr>
          <w:rFonts w:ascii="Times New Roman" w:hAnsi="Times New Roman" w:cs="Times New Roman"/>
          <w:sz w:val="24"/>
          <w:lang w:val="en-GB"/>
        </w:rPr>
        <w:t xml:space="preserve">To </w:t>
      </w:r>
      <w:r w:rsidR="00A67B5D">
        <w:rPr>
          <w:rFonts w:ascii="Times New Roman" w:hAnsi="Times New Roman" w:cs="Times New Roman"/>
          <w:sz w:val="24"/>
          <w:lang w:val="en-GB"/>
        </w:rPr>
        <w:t>study</w:t>
      </w:r>
      <w:r>
        <w:rPr>
          <w:rFonts w:ascii="Times New Roman" w:hAnsi="Times New Roman" w:cs="Times New Roman"/>
          <w:sz w:val="24"/>
          <w:lang w:val="en-GB"/>
        </w:rPr>
        <w:t xml:space="preserve"> the </w:t>
      </w:r>
      <w:r w:rsidR="00A67B5D">
        <w:rPr>
          <w:rFonts w:ascii="Times New Roman" w:hAnsi="Times New Roman" w:cs="Times New Roman"/>
          <w:sz w:val="24"/>
          <w:lang w:val="en-GB"/>
        </w:rPr>
        <w:t>growth</w:t>
      </w:r>
      <w:r>
        <w:rPr>
          <w:rFonts w:ascii="Times New Roman" w:hAnsi="Times New Roman" w:cs="Times New Roman"/>
          <w:sz w:val="24"/>
          <w:lang w:val="en-GB"/>
        </w:rPr>
        <w:t xml:space="preserve"> </w:t>
      </w:r>
      <w:r w:rsidR="00A67B5D">
        <w:rPr>
          <w:rFonts w:ascii="Times New Roman" w:hAnsi="Times New Roman" w:cs="Times New Roman"/>
          <w:sz w:val="24"/>
          <w:lang w:val="en-GB"/>
        </w:rPr>
        <w:t>rate,</w:t>
      </w:r>
      <w:r>
        <w:rPr>
          <w:rFonts w:ascii="Times New Roman" w:hAnsi="Times New Roman" w:cs="Times New Roman"/>
          <w:sz w:val="24"/>
          <w:lang w:val="en-GB"/>
        </w:rPr>
        <w:t xml:space="preserve"> </w:t>
      </w:r>
      <w:r>
        <w:rPr>
          <w:rFonts w:ascii="Times New Roman" w:hAnsi="Times New Roman" w:cs="Times New Roman"/>
          <w:color w:val="000000"/>
          <w:sz w:val="24"/>
          <w:szCs w:val="24"/>
        </w:rPr>
        <w:t>t</w:t>
      </w:r>
      <w:r w:rsidRPr="007C617F">
        <w:rPr>
          <w:rFonts w:ascii="Times New Roman" w:hAnsi="Times New Roman" w:cs="Times New Roman"/>
          <w:color w:val="000000"/>
          <w:sz w:val="24"/>
          <w:szCs w:val="24"/>
        </w:rPr>
        <w:t>he time series d</w:t>
      </w:r>
      <w:r>
        <w:rPr>
          <w:rFonts w:ascii="Times New Roman" w:hAnsi="Times New Roman" w:cs="Times New Roman"/>
          <w:color w:val="000000"/>
          <w:sz w:val="24"/>
          <w:szCs w:val="24"/>
        </w:rPr>
        <w:t xml:space="preserve">ata were collected from </w:t>
      </w:r>
      <w:r w:rsidR="000A2B64" w:rsidRPr="00D1554F">
        <w:rPr>
          <w:rFonts w:ascii="Times New Roman" w:hAnsi="Times New Roman" w:cs="Times New Roman"/>
          <w:color w:val="000000"/>
          <w:sz w:val="24"/>
          <w:szCs w:val="24"/>
        </w:rPr>
        <w:t xml:space="preserve">the </w:t>
      </w:r>
      <w:r w:rsidR="003D0F01" w:rsidRPr="00606B84">
        <w:rPr>
          <w:rFonts w:ascii="Times New Roman" w:hAnsi="Times New Roman" w:cs="Times New Roman"/>
          <w:color w:val="000000"/>
          <w:sz w:val="24"/>
          <w:szCs w:val="24"/>
        </w:rPr>
        <w:t>Ministry of Food Processing Industries (</w:t>
      </w:r>
      <w:proofErr w:type="spellStart"/>
      <w:r w:rsidR="003D0F01" w:rsidRPr="00606B84">
        <w:rPr>
          <w:rFonts w:ascii="Times New Roman" w:hAnsi="Times New Roman" w:cs="Times New Roman"/>
          <w:color w:val="000000"/>
          <w:sz w:val="24"/>
          <w:szCs w:val="24"/>
        </w:rPr>
        <w:t>MoFPI</w:t>
      </w:r>
      <w:proofErr w:type="spellEnd"/>
      <w:r w:rsidR="003D0F01" w:rsidRPr="00606B84">
        <w:rPr>
          <w:rFonts w:ascii="Times New Roman" w:hAnsi="Times New Roman" w:cs="Times New Roman"/>
          <w:color w:val="000000"/>
          <w:sz w:val="24"/>
          <w:szCs w:val="24"/>
        </w:rPr>
        <w:t xml:space="preserve">), </w:t>
      </w:r>
      <w:r w:rsidR="003D0F01">
        <w:rPr>
          <w:rFonts w:ascii="Times New Roman" w:hAnsi="Times New Roman" w:cs="Times New Roman"/>
          <w:color w:val="000000"/>
          <w:sz w:val="24"/>
          <w:szCs w:val="24"/>
        </w:rPr>
        <w:t xml:space="preserve">the Ministry of Commerce, the </w:t>
      </w:r>
      <w:r w:rsidR="003D0F01" w:rsidRPr="00606B84">
        <w:rPr>
          <w:rFonts w:ascii="Times New Roman" w:hAnsi="Times New Roman" w:cs="Times New Roman"/>
          <w:color w:val="000000"/>
          <w:sz w:val="24"/>
          <w:szCs w:val="24"/>
        </w:rPr>
        <w:t>Agricultural and Processed Food Products Export Development Authority (APEDA), and the Department for Promotion of Industry and Internal Trade (DPIIT), including annual reports, and websites</w:t>
      </w:r>
      <w:r w:rsidR="003D0F01">
        <w:rPr>
          <w:rFonts w:ascii="Times New Roman" w:hAnsi="Times New Roman" w:cs="Times New Roman"/>
          <w:color w:val="000000"/>
          <w:sz w:val="24"/>
          <w:szCs w:val="24"/>
        </w:rPr>
        <w:t>.</w:t>
      </w:r>
    </w:p>
    <w:p w14:paraId="525C8194" w14:textId="3F2C3C4C" w:rsidR="00B83980" w:rsidRPr="0010283D" w:rsidRDefault="00B83980" w:rsidP="00DF215F">
      <w:pPr>
        <w:spacing w:after="0" w:line="276" w:lineRule="auto"/>
        <w:jc w:val="both"/>
        <w:rPr>
          <w:rFonts w:ascii="Times New Roman" w:hAnsi="Times New Roman" w:cs="Times New Roman"/>
          <w:color w:val="000000"/>
          <w:sz w:val="24"/>
          <w:szCs w:val="24"/>
        </w:rPr>
      </w:pPr>
      <w:r w:rsidRPr="00B83980">
        <w:rPr>
          <w:rFonts w:ascii="Times New Roman" w:hAnsi="Times New Roman" w:cs="Times New Roman"/>
          <w:b/>
          <w:bCs/>
          <w:color w:val="000000"/>
          <w:sz w:val="24"/>
          <w:szCs w:val="24"/>
        </w:rPr>
        <w:t>Compound Annual Growth Rate (CAGR)</w:t>
      </w:r>
    </w:p>
    <w:p w14:paraId="41E3FC95" w14:textId="5B4FC683" w:rsidR="00B83980" w:rsidRDefault="00B83980" w:rsidP="00E04597">
      <w:pPr>
        <w:spacing w:before="240" w:line="276" w:lineRule="auto"/>
        <w:jc w:val="both"/>
        <w:rPr>
          <w:rFonts w:ascii="Times New Roman" w:eastAsia="Calibri" w:hAnsi="Times New Roman" w:cs="Times New Roman"/>
          <w:kern w:val="2"/>
          <w:sz w:val="24"/>
          <w:szCs w:val="24"/>
          <w14:ligatures w14:val="standardContextual"/>
        </w:rPr>
      </w:pPr>
      <w:r w:rsidRPr="007C617F">
        <w:rPr>
          <w:rFonts w:ascii="Times New Roman" w:hAnsi="Times New Roman" w:cs="Times New Roman"/>
          <w:color w:val="000000"/>
          <w:sz w:val="24"/>
          <w:szCs w:val="24"/>
        </w:rPr>
        <w:t xml:space="preserve">CAGR </w:t>
      </w:r>
      <w:r w:rsidR="00646A55">
        <w:rPr>
          <w:rFonts w:ascii="Times New Roman" w:hAnsi="Times New Roman" w:cs="Times New Roman"/>
          <w:color w:val="000000"/>
          <w:sz w:val="24"/>
          <w:szCs w:val="24"/>
        </w:rPr>
        <w:t>was</w:t>
      </w:r>
      <w:r w:rsidRPr="007C617F">
        <w:rPr>
          <w:rFonts w:ascii="Times New Roman" w:hAnsi="Times New Roman" w:cs="Times New Roman"/>
          <w:color w:val="000000"/>
          <w:sz w:val="24"/>
          <w:szCs w:val="24"/>
        </w:rPr>
        <w:t xml:space="preserve"> used to study the growth rate of </w:t>
      </w:r>
      <w:r w:rsidR="00136AFA">
        <w:rPr>
          <w:rFonts w:ascii="Times New Roman" w:hAnsi="Times New Roman" w:cs="Times New Roman"/>
          <w:color w:val="000000"/>
          <w:sz w:val="24"/>
          <w:szCs w:val="24"/>
        </w:rPr>
        <w:t xml:space="preserve">the </w:t>
      </w:r>
      <w:r w:rsidR="00136AFA" w:rsidRPr="003B3709">
        <w:rPr>
          <w:rFonts w:ascii="Times New Roman" w:eastAsia="Calibri" w:hAnsi="Times New Roman" w:cs="Times New Roman"/>
          <w:kern w:val="2"/>
          <w:sz w:val="24"/>
          <w:szCs w:val="24"/>
          <w14:ligatures w14:val="standardContextual"/>
        </w:rPr>
        <w:t>contribution of the</w:t>
      </w:r>
      <w:r w:rsidR="00136AFA">
        <w:rPr>
          <w:rFonts w:ascii="Times New Roman" w:eastAsia="Calibri" w:hAnsi="Times New Roman" w:cs="Times New Roman"/>
          <w:kern w:val="2"/>
          <w:sz w:val="24"/>
          <w:szCs w:val="24"/>
          <w14:ligatures w14:val="standardContextual"/>
        </w:rPr>
        <w:t xml:space="preserve"> food processing industry</w:t>
      </w:r>
      <w:r w:rsidR="00136AFA" w:rsidRPr="003B3709">
        <w:rPr>
          <w:rFonts w:ascii="Times New Roman" w:eastAsia="Calibri" w:hAnsi="Times New Roman" w:cs="Times New Roman"/>
          <w:kern w:val="2"/>
          <w:sz w:val="24"/>
          <w:szCs w:val="24"/>
          <w14:ligatures w14:val="standardContextual"/>
        </w:rPr>
        <w:t xml:space="preserve"> to </w:t>
      </w:r>
      <w:r w:rsidR="00136AFA">
        <w:rPr>
          <w:rFonts w:ascii="Times New Roman" w:eastAsia="Calibri" w:hAnsi="Times New Roman" w:cs="Times New Roman"/>
          <w:kern w:val="2"/>
          <w:sz w:val="24"/>
          <w:szCs w:val="24"/>
          <w14:ligatures w14:val="standardContextual"/>
        </w:rPr>
        <w:t xml:space="preserve">the </w:t>
      </w:r>
      <w:r w:rsidR="00136AFA" w:rsidRPr="003B3709">
        <w:rPr>
          <w:rFonts w:ascii="Times New Roman" w:eastAsia="Calibri" w:hAnsi="Times New Roman" w:cs="Times New Roman"/>
          <w:kern w:val="2"/>
          <w:sz w:val="24"/>
          <w:szCs w:val="24"/>
          <w14:ligatures w14:val="standardContextual"/>
        </w:rPr>
        <w:t>India</w:t>
      </w:r>
      <w:r w:rsidR="00136AFA">
        <w:rPr>
          <w:rFonts w:ascii="Times New Roman" w:eastAsia="Calibri" w:hAnsi="Times New Roman" w:cs="Times New Roman"/>
          <w:kern w:val="2"/>
          <w:sz w:val="24"/>
          <w:szCs w:val="24"/>
          <w14:ligatures w14:val="standardContextual"/>
        </w:rPr>
        <w:t>n</w:t>
      </w:r>
      <w:r w:rsidR="00136AFA" w:rsidRPr="003B3709">
        <w:rPr>
          <w:rFonts w:ascii="Times New Roman" w:eastAsia="Calibri" w:hAnsi="Times New Roman" w:cs="Times New Roman"/>
          <w:kern w:val="2"/>
          <w:sz w:val="24"/>
          <w:szCs w:val="24"/>
          <w14:ligatures w14:val="standardContextual"/>
        </w:rPr>
        <w:t xml:space="preserve"> </w:t>
      </w:r>
      <w:r w:rsidR="00136AFA">
        <w:rPr>
          <w:rFonts w:ascii="Times New Roman" w:eastAsia="Calibri" w:hAnsi="Times New Roman" w:cs="Times New Roman"/>
          <w:kern w:val="2"/>
          <w:sz w:val="24"/>
          <w:szCs w:val="24"/>
          <w14:ligatures w14:val="standardContextual"/>
        </w:rPr>
        <w:t>economy (</w:t>
      </w:r>
      <w:r w:rsidR="00136AFA" w:rsidRPr="003B3709">
        <w:rPr>
          <w:rFonts w:ascii="Times New Roman" w:eastAsia="Calibri" w:hAnsi="Times New Roman" w:cs="Times New Roman"/>
          <w:kern w:val="2"/>
          <w:sz w:val="24"/>
          <w:szCs w:val="24"/>
          <w14:ligatures w14:val="standardContextual"/>
        </w:rPr>
        <w:t>G</w:t>
      </w:r>
      <w:r w:rsidR="00136AFA">
        <w:rPr>
          <w:rFonts w:ascii="Times New Roman" w:eastAsia="Calibri" w:hAnsi="Times New Roman" w:cs="Times New Roman"/>
          <w:kern w:val="2"/>
          <w:sz w:val="24"/>
          <w:szCs w:val="24"/>
          <w14:ligatures w14:val="standardContextual"/>
        </w:rPr>
        <w:t>VA)</w:t>
      </w:r>
      <w:r w:rsidR="00136AFA" w:rsidRPr="003B3709">
        <w:rPr>
          <w:rFonts w:ascii="Times New Roman" w:eastAsia="Calibri" w:hAnsi="Times New Roman" w:cs="Times New Roman"/>
          <w:kern w:val="2"/>
          <w:sz w:val="24"/>
          <w:szCs w:val="24"/>
          <w14:ligatures w14:val="standardContextual"/>
        </w:rPr>
        <w:t>, employment</w:t>
      </w:r>
      <w:r w:rsidR="00136AFA">
        <w:rPr>
          <w:rFonts w:ascii="Times New Roman" w:eastAsia="Calibri" w:hAnsi="Times New Roman" w:cs="Times New Roman"/>
          <w:kern w:val="2"/>
          <w:sz w:val="24"/>
          <w:szCs w:val="24"/>
          <w14:ligatures w14:val="standardContextual"/>
        </w:rPr>
        <w:t xml:space="preserve"> generation</w:t>
      </w:r>
      <w:r w:rsidR="00136AFA" w:rsidRPr="003B3709">
        <w:rPr>
          <w:rFonts w:ascii="Times New Roman" w:eastAsia="Calibri" w:hAnsi="Times New Roman" w:cs="Times New Roman"/>
          <w:kern w:val="2"/>
          <w:sz w:val="24"/>
          <w:szCs w:val="24"/>
          <w14:ligatures w14:val="standardContextual"/>
        </w:rPr>
        <w:t xml:space="preserve">, </w:t>
      </w:r>
      <w:r w:rsidR="00136AFA">
        <w:rPr>
          <w:rFonts w:ascii="Times New Roman" w:eastAsia="Calibri" w:hAnsi="Times New Roman" w:cs="Times New Roman"/>
          <w:kern w:val="2"/>
          <w:sz w:val="24"/>
          <w:szCs w:val="24"/>
          <w14:ligatures w14:val="standardContextual"/>
        </w:rPr>
        <w:t>foreign direct investment</w:t>
      </w:r>
      <w:r w:rsidR="00136AFA" w:rsidRPr="003B3709">
        <w:rPr>
          <w:rFonts w:ascii="Times New Roman" w:eastAsia="Calibri" w:hAnsi="Times New Roman" w:cs="Times New Roman"/>
          <w:kern w:val="2"/>
          <w:sz w:val="24"/>
          <w:szCs w:val="24"/>
          <w14:ligatures w14:val="standardContextual"/>
        </w:rPr>
        <w:t>, and the export and import of agri-food products over a period of approximately 20 years</w:t>
      </w:r>
      <w:r w:rsidR="009D01AD">
        <w:rPr>
          <w:rFonts w:ascii="Times New Roman" w:eastAsia="Calibri" w:hAnsi="Times New Roman" w:cs="Times New Roman"/>
          <w:kern w:val="2"/>
          <w:sz w:val="24"/>
          <w:szCs w:val="24"/>
          <w14:ligatures w14:val="standardContextual"/>
        </w:rPr>
        <w:t xml:space="preserve"> using the following formula</w:t>
      </w:r>
      <w:r w:rsidR="00136AFA">
        <w:rPr>
          <w:rFonts w:ascii="Times New Roman" w:eastAsia="Calibri" w:hAnsi="Times New Roman" w:cs="Times New Roman"/>
          <w:kern w:val="2"/>
          <w:sz w:val="24"/>
          <w:szCs w:val="24"/>
          <w14:ligatures w14:val="standardContextual"/>
        </w:rPr>
        <w:t>.</w:t>
      </w:r>
    </w:p>
    <w:p w14:paraId="34F40E3A" w14:textId="68073BBE" w:rsidR="00775F72" w:rsidRPr="00775F72" w:rsidRDefault="00775F72" w:rsidP="00E04597">
      <w:pPr>
        <w:spacing w:before="240" w:line="276" w:lineRule="auto"/>
        <w:jc w:val="both"/>
        <w:rPr>
          <w:rFonts w:ascii="Times New Roman" w:hAnsi="Times New Roman" w:cs="Times New Roman"/>
          <w:iCs/>
          <w:color w:val="000000"/>
          <w:sz w:val="24"/>
          <w:szCs w:val="24"/>
        </w:rPr>
      </w:pPr>
      <m:oMathPara>
        <m:oMath>
          <m:r>
            <m:rPr>
              <m:sty m:val="p"/>
            </m:rPr>
            <w:rPr>
              <w:rFonts w:ascii="Cambria Math" w:hAnsi="Cambria Math" w:cs="Times New Roman"/>
              <w:color w:val="000000"/>
              <w:sz w:val="24"/>
              <w:szCs w:val="24"/>
            </w:rPr>
            <m:t xml:space="preserve">CAGR= </m:t>
          </m:r>
          <m:sSup>
            <m:sSupPr>
              <m:ctrlPr>
                <w:rPr>
                  <w:rFonts w:ascii="Cambria Math" w:hAnsi="Cambria Math" w:cs="Times New Roman"/>
                  <w:iCs/>
                  <w:color w:val="000000"/>
                  <w:sz w:val="24"/>
                  <w:szCs w:val="24"/>
                </w:rPr>
              </m:ctrlPr>
            </m:sSupPr>
            <m:e>
              <m:d>
                <m:dPr>
                  <m:ctrlPr>
                    <w:rPr>
                      <w:rFonts w:ascii="Cambria Math" w:hAnsi="Cambria Math" w:cs="Times New Roman"/>
                      <w:iCs/>
                      <w:color w:val="000000"/>
                      <w:sz w:val="24"/>
                      <w:szCs w:val="24"/>
                    </w:rPr>
                  </m:ctrlPr>
                </m:dPr>
                <m:e>
                  <m:r>
                    <m:rPr>
                      <m:sty m:val="p"/>
                    </m:rPr>
                    <w:rPr>
                      <w:rFonts w:ascii="Cambria Math" w:hAnsi="Cambria Math" w:cs="Times New Roman"/>
                      <w:color w:val="000000"/>
                      <w:sz w:val="24"/>
                      <w:szCs w:val="24"/>
                    </w:rPr>
                    <m:t xml:space="preserve"> </m:t>
                  </m:r>
                  <m:f>
                    <m:fPr>
                      <m:ctrlPr>
                        <w:rPr>
                          <w:rFonts w:ascii="Cambria Math" w:hAnsi="Cambria Math" w:cs="Times New Roman"/>
                          <w:iCs/>
                          <w:color w:val="000000"/>
                          <w:sz w:val="24"/>
                          <w:szCs w:val="24"/>
                        </w:rPr>
                      </m:ctrlPr>
                    </m:fPr>
                    <m:num>
                      <m:sSub>
                        <m:sSubPr>
                          <m:ctrlPr>
                            <w:rPr>
                              <w:rFonts w:ascii="Cambria Math" w:hAnsi="Cambria Math" w:cs="Times New Roman"/>
                              <w:iCs/>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final</m:t>
                          </m:r>
                        </m:sub>
                      </m:sSub>
                    </m:num>
                    <m:den>
                      <m:sSub>
                        <m:sSubPr>
                          <m:ctrlPr>
                            <w:rPr>
                              <w:rFonts w:ascii="Cambria Math" w:hAnsi="Cambria Math" w:cs="Times New Roman"/>
                              <w:iCs/>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begin</m:t>
                          </m:r>
                        </m:sub>
                      </m:sSub>
                    </m:den>
                  </m:f>
                  <m:r>
                    <m:rPr>
                      <m:sty m:val="p"/>
                    </m:rPr>
                    <w:rPr>
                      <w:rFonts w:ascii="Cambria Math" w:hAnsi="Cambria Math" w:cs="Times New Roman"/>
                      <w:color w:val="000000"/>
                      <w:sz w:val="24"/>
                      <w:szCs w:val="24"/>
                    </w:rPr>
                    <m:t xml:space="preserve"> </m:t>
                  </m:r>
                </m:e>
              </m:d>
            </m:e>
            <m:sup>
              <m:f>
                <m:fPr>
                  <m:type m:val="skw"/>
                  <m:ctrlPr>
                    <w:rPr>
                      <w:rFonts w:ascii="Cambria Math" w:hAnsi="Cambria Math" w:cs="Times New Roman"/>
                      <w:iCs/>
                      <w:color w:val="000000"/>
                      <w:sz w:val="24"/>
                      <w:szCs w:val="24"/>
                    </w:rPr>
                  </m:ctrlPr>
                </m:fPr>
                <m:num>
                  <m:r>
                    <m:rPr>
                      <m:sty m:val="p"/>
                    </m:rPr>
                    <w:rPr>
                      <w:rFonts w:ascii="Cambria Math" w:hAnsi="Cambria Math" w:cs="Times New Roman"/>
                      <w:color w:val="000000"/>
                      <w:sz w:val="24"/>
                      <w:szCs w:val="24"/>
                    </w:rPr>
                    <m:t>1</m:t>
                  </m:r>
                </m:num>
                <m:den>
                  <m:r>
                    <m:rPr>
                      <m:sty m:val="p"/>
                    </m:rPr>
                    <w:rPr>
                      <w:rFonts w:ascii="Cambria Math" w:hAnsi="Cambria Math" w:cs="Times New Roman"/>
                      <w:color w:val="000000"/>
                      <w:sz w:val="24"/>
                      <w:szCs w:val="24"/>
                    </w:rPr>
                    <m:t>t</m:t>
                  </m:r>
                </m:den>
              </m:f>
            </m:sup>
          </m:sSup>
          <m:r>
            <m:rPr>
              <m:sty m:val="p"/>
            </m:rPr>
            <w:rPr>
              <w:rFonts w:ascii="Cambria Math" w:hAnsi="Cambria Math" w:cs="Times New Roman"/>
              <w:color w:val="000000"/>
              <w:sz w:val="24"/>
              <w:szCs w:val="24"/>
            </w:rPr>
            <m:t>-1</m:t>
          </m:r>
        </m:oMath>
      </m:oMathPara>
    </w:p>
    <w:p w14:paraId="2311D226" w14:textId="27A8B2CC" w:rsidR="009D01AD"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sz w:val="24"/>
          <w:szCs w:val="24"/>
        </w:rPr>
        <w:tab/>
        <w:t>CAGR = Compound Annual Growth Rate</w:t>
      </w:r>
    </w:p>
    <w:p w14:paraId="7E57B2D0" w14:textId="6355FAE5" w:rsidR="00775F72"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w:t>
      </w:r>
      <w:r w:rsidRPr="00775F72">
        <w:rPr>
          <w:rFonts w:ascii="Times New Roman" w:hAnsi="Times New Roman" w:cs="Times New Roman"/>
          <w:sz w:val="24"/>
          <w:szCs w:val="24"/>
          <w:vertAlign w:val="subscript"/>
        </w:rPr>
        <w:t>final</w:t>
      </w:r>
      <w:proofErr w:type="spellEnd"/>
      <w:r>
        <w:rPr>
          <w:rFonts w:ascii="Times New Roman" w:hAnsi="Times New Roman" w:cs="Times New Roman"/>
          <w:sz w:val="24"/>
          <w:szCs w:val="24"/>
        </w:rPr>
        <w:t xml:space="preserve"> = Final value</w:t>
      </w:r>
    </w:p>
    <w:p w14:paraId="2AAE5635" w14:textId="7C327038" w:rsidR="00775F72"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w:t>
      </w:r>
      <w:r w:rsidRPr="00775F72">
        <w:rPr>
          <w:rFonts w:ascii="Times New Roman" w:hAnsi="Times New Roman" w:cs="Times New Roman"/>
          <w:sz w:val="24"/>
          <w:szCs w:val="24"/>
          <w:vertAlign w:val="subscript"/>
        </w:rPr>
        <w:t>begin</w:t>
      </w:r>
      <w:proofErr w:type="spellEnd"/>
      <w:r>
        <w:rPr>
          <w:rFonts w:ascii="Times New Roman" w:hAnsi="Times New Roman" w:cs="Times New Roman"/>
          <w:sz w:val="24"/>
          <w:szCs w:val="24"/>
        </w:rPr>
        <w:t xml:space="preserve"> = Beginning Value</w:t>
      </w:r>
    </w:p>
    <w:p w14:paraId="621BB514" w14:textId="6CC46ABA" w:rsidR="00775F72" w:rsidRPr="00775F72"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 = Time in years</w:t>
      </w:r>
    </w:p>
    <w:p w14:paraId="1D828F1E" w14:textId="5DD7FB0E" w:rsidR="00F674FA" w:rsidRPr="00F674FA" w:rsidRDefault="00F674FA" w:rsidP="00E04597">
      <w:pPr>
        <w:spacing w:before="240" w:line="276" w:lineRule="auto"/>
        <w:jc w:val="both"/>
        <w:rPr>
          <w:rFonts w:ascii="Times New Roman" w:eastAsia="Times New Roman" w:hAnsi="Times New Roman" w:cs="Times New Roman"/>
          <w:color w:val="000000"/>
          <w:sz w:val="24"/>
          <w:szCs w:val="24"/>
          <w:lang w:eastAsia="en-IN"/>
        </w:rPr>
      </w:pPr>
      <w:r w:rsidRPr="00F674FA">
        <w:rPr>
          <w:rFonts w:ascii="Times New Roman" w:eastAsia="Times New Roman" w:hAnsi="Times New Roman" w:cs="Times New Roman"/>
          <w:color w:val="000000"/>
          <w:sz w:val="24"/>
          <w:szCs w:val="24"/>
          <w:lang w:eastAsia="en-IN"/>
        </w:rPr>
        <w:t xml:space="preserve">The growth rate analysis of the data </w:t>
      </w:r>
      <w:r w:rsidR="00646A55">
        <w:rPr>
          <w:rFonts w:ascii="Times New Roman" w:eastAsia="Times New Roman" w:hAnsi="Times New Roman" w:cs="Times New Roman"/>
          <w:color w:val="000000"/>
          <w:sz w:val="24"/>
          <w:szCs w:val="24"/>
          <w:lang w:eastAsia="en-IN"/>
        </w:rPr>
        <w:t>was</w:t>
      </w:r>
      <w:r w:rsidRPr="00F674FA">
        <w:rPr>
          <w:rFonts w:ascii="Times New Roman" w:eastAsia="Times New Roman" w:hAnsi="Times New Roman" w:cs="Times New Roman"/>
          <w:color w:val="000000"/>
          <w:sz w:val="24"/>
          <w:szCs w:val="24"/>
          <w:lang w:eastAsia="en-IN"/>
        </w:rPr>
        <w:t xml:space="preserve"> conducted in three parts: a five-year analysis, a ten-year analysis, and a twenty-year (overall) analysis.</w:t>
      </w:r>
    </w:p>
    <w:p w14:paraId="4150FDB7" w14:textId="0442A6C2" w:rsidR="00F674FA" w:rsidRPr="00F674FA" w:rsidRDefault="00B869B1" w:rsidP="00E04597">
      <w:pPr>
        <w:spacing w:before="240" w:line="276" w:lineRule="auto"/>
        <w:jc w:val="both"/>
        <w:rPr>
          <w:rFonts w:ascii="Times New Roman" w:eastAsia="Times New Roman" w:hAnsi="Times New Roman" w:cs="Times New Roman"/>
          <w:color w:val="000000"/>
          <w:sz w:val="24"/>
          <w:szCs w:val="24"/>
          <w:lang w:eastAsia="en-IN"/>
        </w:rPr>
      </w:pPr>
      <w:bookmarkStart w:id="1" w:name="_Hlk188306188"/>
      <w:r>
        <w:rPr>
          <w:rStyle w:val="fontstyle01"/>
        </w:rPr>
        <w:t>T</w:t>
      </w:r>
      <w:r w:rsidRPr="00157BFA">
        <w:rPr>
          <w:rFonts w:ascii="Times New Roman" w:hAnsi="Times New Roman" w:cs="Times New Roman"/>
          <w:sz w:val="24"/>
          <w:szCs w:val="24"/>
        </w:rPr>
        <w:t>o study the</w:t>
      </w:r>
      <w:r>
        <w:rPr>
          <w:rFonts w:ascii="Times New Roman" w:hAnsi="Times New Roman" w:cs="Times New Roman"/>
          <w:sz w:val="24"/>
          <w:szCs w:val="24"/>
        </w:rPr>
        <w:t xml:space="preserve"> </w:t>
      </w:r>
      <w:r w:rsidRPr="00123D7E">
        <w:rPr>
          <w:rFonts w:ascii="Times New Roman" w:hAnsi="Times New Roman" w:cs="Times New Roman"/>
          <w:sz w:val="24"/>
          <w:szCs w:val="24"/>
          <w:shd w:val="clear" w:color="auto" w:fill="FFFFFF"/>
        </w:rPr>
        <w:t xml:space="preserve">key </w:t>
      </w:r>
      <w:r w:rsidRPr="0003091E">
        <w:rPr>
          <w:rFonts w:ascii="Times New Roman" w:eastAsia="Calibri" w:hAnsi="Times New Roman" w:cs="Times New Roman"/>
          <w:kern w:val="2"/>
          <w:sz w:val="24"/>
          <w:szCs w:val="24"/>
          <w14:ligatures w14:val="standardContextual"/>
        </w:rPr>
        <w:t>certificates and standards</w:t>
      </w:r>
      <w:r>
        <w:rPr>
          <w:rFonts w:ascii="Times New Roman" w:eastAsia="Calibri" w:hAnsi="Times New Roman" w:cs="Times New Roman"/>
          <w:kern w:val="2"/>
          <w:sz w:val="24"/>
          <w:szCs w:val="24"/>
          <w14:ligatures w14:val="standardContextual"/>
        </w:rPr>
        <w:t xml:space="preserve"> related to food safety and quality</w:t>
      </w:r>
      <w:r w:rsidR="00752F13">
        <w:rPr>
          <w:rFonts w:ascii="Times New Roman" w:eastAsia="Calibri" w:hAnsi="Times New Roman" w:cs="Times New Roman"/>
          <w:kern w:val="2"/>
          <w:sz w:val="24"/>
          <w:szCs w:val="24"/>
          <w14:ligatures w14:val="standardContextual"/>
        </w:rPr>
        <w:t>,</w:t>
      </w:r>
      <w:bookmarkEnd w:id="1"/>
      <w:r w:rsidR="00752F13">
        <w:rPr>
          <w:rFonts w:ascii="Times New Roman" w:eastAsia="Calibri" w:hAnsi="Times New Roman" w:cs="Times New Roman"/>
          <w:kern w:val="2"/>
          <w:sz w:val="24"/>
          <w:szCs w:val="24"/>
          <w14:ligatures w14:val="standardContextual"/>
        </w:rPr>
        <w:t xml:space="preserve"> </w:t>
      </w:r>
      <w:r w:rsidR="00F674FA" w:rsidRPr="00F674FA">
        <w:rPr>
          <w:rFonts w:ascii="Times New Roman" w:eastAsia="Times New Roman" w:hAnsi="Times New Roman" w:cs="Times New Roman"/>
          <w:color w:val="000000"/>
          <w:sz w:val="24"/>
          <w:szCs w:val="24"/>
          <w:lang w:eastAsia="en-IN"/>
        </w:rPr>
        <w:t>w</w:t>
      </w:r>
      <w:r w:rsidR="00646A55">
        <w:rPr>
          <w:rFonts w:ascii="Times New Roman" w:eastAsia="Times New Roman" w:hAnsi="Times New Roman" w:cs="Times New Roman"/>
          <w:color w:val="000000"/>
          <w:sz w:val="24"/>
          <w:szCs w:val="24"/>
          <w:lang w:eastAsia="en-IN"/>
        </w:rPr>
        <w:t>e</w:t>
      </w:r>
      <w:r w:rsidR="00E13778">
        <w:rPr>
          <w:rFonts w:ascii="Times New Roman" w:eastAsia="Times New Roman" w:hAnsi="Times New Roman" w:cs="Times New Roman"/>
          <w:color w:val="000000"/>
          <w:sz w:val="24"/>
          <w:szCs w:val="24"/>
          <w:lang w:eastAsia="en-IN"/>
        </w:rPr>
        <w:t xml:space="preserve"> </w:t>
      </w:r>
      <w:r w:rsidR="00F674FA" w:rsidRPr="00F674FA">
        <w:rPr>
          <w:rFonts w:ascii="Times New Roman" w:eastAsia="Times New Roman" w:hAnsi="Times New Roman" w:cs="Times New Roman"/>
          <w:color w:val="000000"/>
          <w:sz w:val="24"/>
          <w:szCs w:val="24"/>
          <w:lang w:eastAsia="en-IN"/>
        </w:rPr>
        <w:t>discuss</w:t>
      </w:r>
      <w:r w:rsidR="00646A55">
        <w:rPr>
          <w:rFonts w:ascii="Times New Roman" w:eastAsia="Times New Roman" w:hAnsi="Times New Roman" w:cs="Times New Roman"/>
          <w:color w:val="000000"/>
          <w:sz w:val="24"/>
          <w:szCs w:val="24"/>
          <w:lang w:eastAsia="en-IN"/>
        </w:rPr>
        <w:t>ed</w:t>
      </w:r>
      <w:r w:rsidR="00F674FA" w:rsidRPr="00F674FA">
        <w:rPr>
          <w:rFonts w:ascii="Times New Roman" w:eastAsia="Times New Roman" w:hAnsi="Times New Roman" w:cs="Times New Roman"/>
          <w:color w:val="000000"/>
          <w:sz w:val="24"/>
          <w:szCs w:val="24"/>
          <w:lang w:eastAsia="en-IN"/>
        </w:rPr>
        <w:t xml:space="preserve"> the Licensing and Registration of Food Businesses (FSSAI Certificate), Good Manufacturing Practices (GMP), Hazard Analysis and Critical Control Points (HACCP), International Organization for Standardization (ISO) standards such as ISO 9001:2015 (Quality Management System) and ISO 22000:2018 (Food Safety Management System), Food Safety </w:t>
      </w:r>
      <w:r w:rsidR="00F674FA" w:rsidRPr="00F674FA">
        <w:rPr>
          <w:rFonts w:ascii="Times New Roman" w:eastAsia="Times New Roman" w:hAnsi="Times New Roman" w:cs="Times New Roman"/>
          <w:color w:val="000000"/>
          <w:sz w:val="24"/>
          <w:szCs w:val="24"/>
          <w:lang w:eastAsia="en-IN"/>
        </w:rPr>
        <w:lastRenderedPageBreak/>
        <w:t xml:space="preserve">System Certification 22000 (FSSC 22000), British Retail Consortium (BRC), </w:t>
      </w:r>
      <w:r w:rsidR="001B09B0">
        <w:rPr>
          <w:rFonts w:ascii="Times New Roman" w:eastAsia="Times New Roman" w:hAnsi="Times New Roman" w:cs="Times New Roman"/>
          <w:color w:val="000000"/>
          <w:sz w:val="24"/>
          <w:szCs w:val="24"/>
          <w:lang w:eastAsia="en-IN"/>
        </w:rPr>
        <w:t xml:space="preserve">as well as </w:t>
      </w:r>
      <w:r w:rsidR="00F674FA" w:rsidRPr="00F674FA">
        <w:rPr>
          <w:rFonts w:ascii="Times New Roman" w:eastAsia="Times New Roman" w:hAnsi="Times New Roman" w:cs="Times New Roman"/>
          <w:color w:val="000000"/>
          <w:sz w:val="24"/>
          <w:szCs w:val="24"/>
          <w:lang w:eastAsia="en-IN"/>
        </w:rPr>
        <w:t>Halal and Kosher</w:t>
      </w:r>
      <w:r w:rsidR="001B09B0">
        <w:rPr>
          <w:rFonts w:ascii="Times New Roman" w:eastAsia="Times New Roman" w:hAnsi="Times New Roman" w:cs="Times New Roman"/>
          <w:color w:val="000000"/>
          <w:sz w:val="24"/>
          <w:szCs w:val="24"/>
          <w:lang w:eastAsia="en-IN"/>
        </w:rPr>
        <w:t xml:space="preserve"> certifications</w:t>
      </w:r>
      <w:r w:rsidR="00F674FA" w:rsidRPr="00F674FA">
        <w:rPr>
          <w:rFonts w:ascii="Times New Roman" w:eastAsia="Times New Roman" w:hAnsi="Times New Roman" w:cs="Times New Roman"/>
          <w:color w:val="000000"/>
          <w:sz w:val="24"/>
          <w:szCs w:val="24"/>
          <w:lang w:eastAsia="en-IN"/>
        </w:rPr>
        <w:t xml:space="preserve"> in detail.</w:t>
      </w:r>
    </w:p>
    <w:p w14:paraId="0358F6F9" w14:textId="2EC14AAA" w:rsidR="00222CE9" w:rsidRPr="00254660" w:rsidRDefault="00254660" w:rsidP="00E04597">
      <w:pPr>
        <w:spacing w:before="240" w:line="276" w:lineRule="auto"/>
        <w:rPr>
          <w:rStyle w:val="fontstyle01"/>
          <w:b/>
        </w:rPr>
      </w:pPr>
      <w:r>
        <w:rPr>
          <w:rStyle w:val="fontstyle01"/>
          <w:b/>
        </w:rPr>
        <w:t xml:space="preserve">3. </w:t>
      </w:r>
      <w:r w:rsidR="00222CE9" w:rsidRPr="00254660">
        <w:rPr>
          <w:rStyle w:val="fontstyle01"/>
          <w:b/>
        </w:rPr>
        <w:t>RESULT</w:t>
      </w:r>
      <w:r w:rsidR="00264487">
        <w:rPr>
          <w:rStyle w:val="fontstyle01"/>
          <w:b/>
        </w:rPr>
        <w:t>S</w:t>
      </w:r>
      <w:r w:rsidR="00222CE9" w:rsidRPr="00254660">
        <w:rPr>
          <w:rStyle w:val="fontstyle01"/>
          <w:b/>
        </w:rPr>
        <w:t xml:space="preserve"> AND DISCUSSION</w:t>
      </w:r>
    </w:p>
    <w:p w14:paraId="0548F27C" w14:textId="29855165" w:rsidR="001B2EF3" w:rsidRDefault="00885A37" w:rsidP="00E04597">
      <w:pPr>
        <w:spacing w:before="120" w:after="120" w:line="276" w:lineRule="auto"/>
        <w:ind w:left="426" w:hanging="426"/>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 xml:space="preserve">3.1 </w:t>
      </w:r>
      <w:r w:rsidR="001B2EF3">
        <w:rPr>
          <w:rFonts w:ascii="Times New Roman" w:eastAsia="Calibri" w:hAnsi="Times New Roman" w:cs="Times New Roman"/>
          <w:b/>
          <w:bCs/>
          <w:color w:val="000000"/>
          <w:sz w:val="24"/>
          <w:szCs w:val="24"/>
          <w:lang w:val="en-US"/>
        </w:rPr>
        <w:t>T</w:t>
      </w:r>
      <w:r w:rsidR="001B2EF3" w:rsidRPr="001B2EF3">
        <w:rPr>
          <w:rFonts w:ascii="Times New Roman" w:eastAsia="Calibri" w:hAnsi="Times New Roman" w:cs="Times New Roman"/>
          <w:b/>
          <w:bCs/>
          <w:color w:val="000000"/>
          <w:sz w:val="24"/>
          <w:szCs w:val="24"/>
        </w:rPr>
        <w:t>o study the growth</w:t>
      </w:r>
      <w:r w:rsidR="00077ECB" w:rsidRPr="00077ECB">
        <w:rPr>
          <w:rFonts w:ascii="Times New Roman" w:eastAsia="Calibri" w:hAnsi="Times New Roman" w:cs="Times New Roman"/>
          <w:b/>
          <w:bCs/>
          <w:color w:val="000000"/>
          <w:sz w:val="24"/>
          <w:szCs w:val="24"/>
          <w:lang w:val="en-US"/>
        </w:rPr>
        <w:t xml:space="preserve"> </w:t>
      </w:r>
      <w:r w:rsidR="001B2EF3" w:rsidRPr="001B2EF3">
        <w:rPr>
          <w:rFonts w:ascii="Times New Roman" w:eastAsia="Calibri" w:hAnsi="Times New Roman" w:cs="Times New Roman"/>
          <w:b/>
          <w:bCs/>
          <w:color w:val="000000"/>
          <w:sz w:val="24"/>
          <w:szCs w:val="24"/>
        </w:rPr>
        <w:t xml:space="preserve">rate </w:t>
      </w:r>
      <w:r w:rsidR="001B2EF3">
        <w:rPr>
          <w:rFonts w:ascii="Times New Roman" w:eastAsia="Calibri" w:hAnsi="Times New Roman" w:cs="Times New Roman"/>
          <w:b/>
          <w:bCs/>
          <w:color w:val="000000"/>
          <w:sz w:val="24"/>
          <w:szCs w:val="24"/>
        </w:rPr>
        <w:t xml:space="preserve">of </w:t>
      </w:r>
      <w:r w:rsidR="001B2EF3" w:rsidRPr="001B2EF3">
        <w:rPr>
          <w:rFonts w:ascii="Times New Roman" w:eastAsia="Calibri" w:hAnsi="Times New Roman" w:cs="Times New Roman"/>
          <w:b/>
          <w:bCs/>
          <w:color w:val="000000"/>
          <w:sz w:val="24"/>
          <w:szCs w:val="24"/>
        </w:rPr>
        <w:t>the food processing industry</w:t>
      </w:r>
    </w:p>
    <w:p w14:paraId="7D44BBB7" w14:textId="0F250F7D" w:rsidR="00077ECB" w:rsidRPr="00077ECB" w:rsidRDefault="001B2EF3" w:rsidP="00E04597">
      <w:pPr>
        <w:spacing w:before="120" w:after="120" w:line="276" w:lineRule="auto"/>
        <w:ind w:left="567" w:hanging="567"/>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3.1</w:t>
      </w:r>
      <w:r w:rsidR="00885A37">
        <w:rPr>
          <w:rFonts w:ascii="Times New Roman" w:eastAsia="Calibri" w:hAnsi="Times New Roman" w:cs="Times New Roman"/>
          <w:b/>
          <w:bCs/>
          <w:color w:val="000000"/>
          <w:sz w:val="24"/>
          <w:szCs w:val="24"/>
          <w:lang w:val="en-US"/>
        </w:rPr>
        <w:t>.1</w:t>
      </w:r>
      <w:r>
        <w:rPr>
          <w:rFonts w:ascii="Times New Roman" w:eastAsia="Calibri" w:hAnsi="Times New Roman" w:cs="Times New Roman"/>
          <w:b/>
          <w:bCs/>
          <w:color w:val="000000"/>
          <w:sz w:val="24"/>
          <w:szCs w:val="24"/>
          <w:lang w:val="en-US"/>
        </w:rPr>
        <w:t xml:space="preserve"> </w:t>
      </w:r>
      <w:r w:rsidR="00077ECB" w:rsidRPr="00077ECB">
        <w:rPr>
          <w:rFonts w:ascii="Times New Roman" w:eastAsia="Calibri" w:hAnsi="Times New Roman" w:cs="Times New Roman"/>
          <w:b/>
          <w:bCs/>
          <w:color w:val="000000"/>
          <w:sz w:val="24"/>
          <w:szCs w:val="24"/>
          <w:lang w:val="en-US"/>
        </w:rPr>
        <w:t>Contribution to Indian Economy (Gross Value Added – GVA) by Food Processing Industry</w:t>
      </w:r>
    </w:p>
    <w:p w14:paraId="50E244E7" w14:textId="37504146" w:rsidR="00077ECB" w:rsidRPr="00077ECB" w:rsidRDefault="00077ECB" w:rsidP="00E04597">
      <w:pPr>
        <w:spacing w:before="120"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025F2F">
        <w:rPr>
          <w:rFonts w:ascii="Times New Roman" w:eastAsia="Calibri" w:hAnsi="Times New Roman" w:cs="Times New Roman"/>
          <w:bCs/>
          <w:color w:val="000000"/>
          <w:sz w:val="24"/>
          <w:szCs w:val="24"/>
          <w:lang w:val="en-US"/>
        </w:rPr>
        <w:t>1</w:t>
      </w:r>
      <w:r w:rsidRPr="00077ECB">
        <w:rPr>
          <w:rFonts w:ascii="Times New Roman" w:eastAsia="Calibri" w:hAnsi="Times New Roman" w:cs="Times New Roman"/>
          <w:bCs/>
          <w:color w:val="000000"/>
          <w:sz w:val="24"/>
          <w:szCs w:val="24"/>
          <w:lang w:val="en-US"/>
        </w:rPr>
        <w:t xml:space="preserve"> shows the overall and sectoral GVA (manufacturing, </w:t>
      </w:r>
      <w:proofErr w:type="spellStart"/>
      <w:r w:rsidRPr="00077ECB">
        <w:rPr>
          <w:rFonts w:ascii="Times New Roman" w:eastAsia="Calibri" w:hAnsi="Times New Roman" w:cs="Times New Roman"/>
          <w:bCs/>
          <w:color w:val="000000"/>
          <w:sz w:val="24"/>
          <w:szCs w:val="24"/>
          <w:lang w:val="en-US"/>
        </w:rPr>
        <w:t>agri</w:t>
      </w:r>
      <w:proofErr w:type="spellEnd"/>
      <w:r w:rsidRPr="00077ECB">
        <w:rPr>
          <w:rFonts w:ascii="Times New Roman" w:eastAsia="Calibri" w:hAnsi="Times New Roman" w:cs="Times New Roman"/>
          <w:bCs/>
          <w:color w:val="000000"/>
          <w:sz w:val="24"/>
          <w:szCs w:val="24"/>
          <w:lang w:val="en-US"/>
        </w:rPr>
        <w:t>, forestry and fishing, and food processing industry) over the past 12 years, from 2011-12 to 2022-23.</w:t>
      </w:r>
    </w:p>
    <w:p w14:paraId="137A41A4" w14:textId="3D83C366"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 1: Overall and sectoral GVA at constant prices 2011-12 (in lakh crore)</w:t>
      </w:r>
    </w:p>
    <w:tbl>
      <w:tblPr>
        <w:tblStyle w:val="TableGrid1"/>
        <w:tblW w:w="8940" w:type="dxa"/>
        <w:jc w:val="center"/>
        <w:tblLook w:val="04A0" w:firstRow="1" w:lastRow="0" w:firstColumn="1" w:lastColumn="0" w:noHBand="0" w:noVBand="1"/>
      </w:tblPr>
      <w:tblGrid>
        <w:gridCol w:w="1834"/>
        <w:gridCol w:w="1545"/>
        <w:gridCol w:w="2008"/>
        <w:gridCol w:w="2126"/>
        <w:gridCol w:w="1427"/>
      </w:tblGrid>
      <w:tr w:rsidR="00077ECB" w:rsidRPr="00077ECB" w14:paraId="0DC41B4C" w14:textId="77777777" w:rsidTr="00025F2F">
        <w:trPr>
          <w:jc w:val="center"/>
        </w:trPr>
        <w:tc>
          <w:tcPr>
            <w:tcW w:w="1834" w:type="dxa"/>
            <w:shd w:val="clear" w:color="auto" w:fill="FFFF00"/>
            <w:vAlign w:val="center"/>
          </w:tcPr>
          <w:p w14:paraId="5434DD62"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Year</w:t>
            </w:r>
          </w:p>
        </w:tc>
        <w:tc>
          <w:tcPr>
            <w:tcW w:w="1545" w:type="dxa"/>
            <w:shd w:val="clear" w:color="auto" w:fill="FFFF00"/>
            <w:vAlign w:val="center"/>
          </w:tcPr>
          <w:p w14:paraId="0B1DEA45"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All India</w:t>
            </w:r>
          </w:p>
        </w:tc>
        <w:tc>
          <w:tcPr>
            <w:tcW w:w="2008" w:type="dxa"/>
            <w:shd w:val="clear" w:color="auto" w:fill="FFFF00"/>
            <w:vAlign w:val="center"/>
          </w:tcPr>
          <w:p w14:paraId="15B1219A"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Manufacturing</w:t>
            </w:r>
          </w:p>
        </w:tc>
        <w:tc>
          <w:tcPr>
            <w:tcW w:w="2126" w:type="dxa"/>
            <w:shd w:val="clear" w:color="auto" w:fill="FFFF00"/>
            <w:vAlign w:val="center"/>
          </w:tcPr>
          <w:p w14:paraId="4762BDD4"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Agri, Forestry &amp; Fishing</w:t>
            </w:r>
          </w:p>
        </w:tc>
        <w:tc>
          <w:tcPr>
            <w:tcW w:w="1427" w:type="dxa"/>
            <w:shd w:val="clear" w:color="auto" w:fill="FFFF00"/>
            <w:vAlign w:val="center"/>
          </w:tcPr>
          <w:p w14:paraId="3219404A"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FPI</w:t>
            </w:r>
          </w:p>
        </w:tc>
      </w:tr>
      <w:tr w:rsidR="00077ECB" w:rsidRPr="00077ECB" w14:paraId="26806E24" w14:textId="77777777" w:rsidTr="00025F2F">
        <w:trPr>
          <w:jc w:val="center"/>
        </w:trPr>
        <w:tc>
          <w:tcPr>
            <w:tcW w:w="1834" w:type="dxa"/>
            <w:vAlign w:val="center"/>
          </w:tcPr>
          <w:p w14:paraId="3757DFD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2011-12</w:t>
            </w:r>
          </w:p>
        </w:tc>
        <w:tc>
          <w:tcPr>
            <w:tcW w:w="1545" w:type="dxa"/>
            <w:vAlign w:val="center"/>
          </w:tcPr>
          <w:p w14:paraId="41341666"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81.07</w:t>
            </w:r>
          </w:p>
        </w:tc>
        <w:tc>
          <w:tcPr>
            <w:tcW w:w="2008" w:type="dxa"/>
            <w:vAlign w:val="center"/>
          </w:tcPr>
          <w:p w14:paraId="064C1D3A" w14:textId="1A8F3B51"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14.1</w:t>
            </w:r>
            <w:r w:rsidR="00A74D27">
              <w:rPr>
                <w:rFonts w:ascii="Times New Roman" w:eastAsia="Calibri" w:hAnsi="Times New Roman" w:cs="Times New Roman"/>
                <w:color w:val="000000"/>
                <w:sz w:val="24"/>
                <w:szCs w:val="24"/>
              </w:rPr>
              <w:t>0</w:t>
            </w:r>
          </w:p>
        </w:tc>
        <w:tc>
          <w:tcPr>
            <w:tcW w:w="2126" w:type="dxa"/>
            <w:vAlign w:val="center"/>
          </w:tcPr>
          <w:p w14:paraId="3109E93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15.02</w:t>
            </w:r>
          </w:p>
        </w:tc>
        <w:tc>
          <w:tcPr>
            <w:tcW w:w="1427" w:type="dxa"/>
            <w:vAlign w:val="center"/>
          </w:tcPr>
          <w:p w14:paraId="64442D0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1.47</w:t>
            </w:r>
          </w:p>
        </w:tc>
      </w:tr>
      <w:tr w:rsidR="00077ECB" w:rsidRPr="00077ECB" w14:paraId="2A573933" w14:textId="77777777" w:rsidTr="00025F2F">
        <w:trPr>
          <w:jc w:val="center"/>
        </w:trPr>
        <w:tc>
          <w:tcPr>
            <w:tcW w:w="1834" w:type="dxa"/>
            <w:vAlign w:val="center"/>
          </w:tcPr>
          <w:p w14:paraId="280E139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2012-13</w:t>
            </w:r>
          </w:p>
        </w:tc>
        <w:tc>
          <w:tcPr>
            <w:tcW w:w="1545" w:type="dxa"/>
            <w:vAlign w:val="center"/>
          </w:tcPr>
          <w:p w14:paraId="3F11C69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85.46</w:t>
            </w:r>
          </w:p>
        </w:tc>
        <w:tc>
          <w:tcPr>
            <w:tcW w:w="2008" w:type="dxa"/>
            <w:vAlign w:val="center"/>
          </w:tcPr>
          <w:p w14:paraId="27FC870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14.87</w:t>
            </w:r>
          </w:p>
        </w:tc>
        <w:tc>
          <w:tcPr>
            <w:tcW w:w="2126" w:type="dxa"/>
            <w:vAlign w:val="center"/>
          </w:tcPr>
          <w:p w14:paraId="1DD571F6"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15.24</w:t>
            </w:r>
          </w:p>
        </w:tc>
        <w:tc>
          <w:tcPr>
            <w:tcW w:w="1427" w:type="dxa"/>
            <w:vAlign w:val="center"/>
          </w:tcPr>
          <w:p w14:paraId="2081B05A" w14:textId="49BD2440"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w:t>
            </w:r>
            <w:r w:rsidR="00A74D27">
              <w:rPr>
                <w:rFonts w:ascii="Times New Roman" w:eastAsia="Calibri" w:hAnsi="Times New Roman" w:cs="Times New Roman"/>
                <w:color w:val="000000"/>
                <w:sz w:val="24"/>
                <w:szCs w:val="24"/>
              </w:rPr>
              <w:t>0</w:t>
            </w:r>
          </w:p>
        </w:tc>
      </w:tr>
      <w:tr w:rsidR="00077ECB" w:rsidRPr="00077ECB" w14:paraId="77B3F055" w14:textId="77777777" w:rsidTr="00025F2F">
        <w:trPr>
          <w:jc w:val="center"/>
        </w:trPr>
        <w:tc>
          <w:tcPr>
            <w:tcW w:w="1834" w:type="dxa"/>
            <w:vAlign w:val="center"/>
          </w:tcPr>
          <w:p w14:paraId="6F3A1E75"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2013-14</w:t>
            </w:r>
          </w:p>
        </w:tc>
        <w:tc>
          <w:tcPr>
            <w:tcW w:w="1545" w:type="dxa"/>
            <w:vAlign w:val="center"/>
          </w:tcPr>
          <w:p w14:paraId="23AF72E7"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90.64</w:t>
            </w:r>
          </w:p>
        </w:tc>
        <w:tc>
          <w:tcPr>
            <w:tcW w:w="2008" w:type="dxa"/>
            <w:vAlign w:val="center"/>
          </w:tcPr>
          <w:p w14:paraId="1CD7E04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15.61</w:t>
            </w:r>
          </w:p>
        </w:tc>
        <w:tc>
          <w:tcPr>
            <w:tcW w:w="2126" w:type="dxa"/>
            <w:vAlign w:val="center"/>
          </w:tcPr>
          <w:p w14:paraId="20C323B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16.09</w:t>
            </w:r>
          </w:p>
        </w:tc>
        <w:tc>
          <w:tcPr>
            <w:tcW w:w="1427" w:type="dxa"/>
            <w:vAlign w:val="center"/>
          </w:tcPr>
          <w:p w14:paraId="793EC261" w14:textId="782496B2"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w:t>
            </w:r>
            <w:r w:rsidR="00A74D27">
              <w:rPr>
                <w:rFonts w:ascii="Times New Roman" w:eastAsia="Calibri" w:hAnsi="Times New Roman" w:cs="Times New Roman"/>
                <w:color w:val="000000"/>
                <w:sz w:val="24"/>
                <w:szCs w:val="24"/>
              </w:rPr>
              <w:t>0</w:t>
            </w:r>
          </w:p>
        </w:tc>
      </w:tr>
      <w:tr w:rsidR="00077ECB" w:rsidRPr="00077ECB" w14:paraId="61DD9E43" w14:textId="77777777" w:rsidTr="00025F2F">
        <w:trPr>
          <w:jc w:val="center"/>
        </w:trPr>
        <w:tc>
          <w:tcPr>
            <w:tcW w:w="1834" w:type="dxa"/>
            <w:vAlign w:val="center"/>
          </w:tcPr>
          <w:p w14:paraId="4D17D8B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2014-15</w:t>
            </w:r>
          </w:p>
        </w:tc>
        <w:tc>
          <w:tcPr>
            <w:tcW w:w="1545" w:type="dxa"/>
            <w:vAlign w:val="center"/>
          </w:tcPr>
          <w:p w14:paraId="26E1338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97.12</w:t>
            </w:r>
          </w:p>
        </w:tc>
        <w:tc>
          <w:tcPr>
            <w:tcW w:w="2008" w:type="dxa"/>
            <w:vAlign w:val="center"/>
          </w:tcPr>
          <w:p w14:paraId="288390F9"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16.84</w:t>
            </w:r>
          </w:p>
        </w:tc>
        <w:tc>
          <w:tcPr>
            <w:tcW w:w="2126" w:type="dxa"/>
            <w:vAlign w:val="center"/>
          </w:tcPr>
          <w:p w14:paraId="5A5D77B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16.06</w:t>
            </w:r>
          </w:p>
        </w:tc>
        <w:tc>
          <w:tcPr>
            <w:tcW w:w="1427" w:type="dxa"/>
            <w:vAlign w:val="center"/>
          </w:tcPr>
          <w:p w14:paraId="4EC7CBA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1.34</w:t>
            </w:r>
          </w:p>
        </w:tc>
      </w:tr>
      <w:tr w:rsidR="00077ECB" w:rsidRPr="00077ECB" w14:paraId="1E1D28F8" w14:textId="77777777" w:rsidTr="00025F2F">
        <w:trPr>
          <w:jc w:val="center"/>
        </w:trPr>
        <w:tc>
          <w:tcPr>
            <w:tcW w:w="1834" w:type="dxa"/>
            <w:vAlign w:val="center"/>
          </w:tcPr>
          <w:p w14:paraId="0E0D5832"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2015-16</w:t>
            </w:r>
          </w:p>
        </w:tc>
        <w:tc>
          <w:tcPr>
            <w:tcW w:w="1545" w:type="dxa"/>
            <w:vAlign w:val="center"/>
          </w:tcPr>
          <w:p w14:paraId="30FD203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104.92</w:t>
            </w:r>
          </w:p>
        </w:tc>
        <w:tc>
          <w:tcPr>
            <w:tcW w:w="2008" w:type="dxa"/>
            <w:vAlign w:val="center"/>
          </w:tcPr>
          <w:p w14:paraId="79C91A8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19.04</w:t>
            </w:r>
          </w:p>
        </w:tc>
        <w:tc>
          <w:tcPr>
            <w:tcW w:w="2126" w:type="dxa"/>
            <w:vAlign w:val="center"/>
          </w:tcPr>
          <w:p w14:paraId="330C346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16.16</w:t>
            </w:r>
          </w:p>
        </w:tc>
        <w:tc>
          <w:tcPr>
            <w:tcW w:w="1427" w:type="dxa"/>
            <w:vAlign w:val="center"/>
          </w:tcPr>
          <w:p w14:paraId="7643B25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1.61</w:t>
            </w:r>
          </w:p>
        </w:tc>
      </w:tr>
      <w:tr w:rsidR="00077ECB" w:rsidRPr="00077ECB" w14:paraId="48F66F24" w14:textId="77777777" w:rsidTr="00025F2F">
        <w:trPr>
          <w:jc w:val="center"/>
        </w:trPr>
        <w:tc>
          <w:tcPr>
            <w:tcW w:w="1834" w:type="dxa"/>
            <w:vAlign w:val="center"/>
          </w:tcPr>
          <w:p w14:paraId="5FB96DA9"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2016-17</w:t>
            </w:r>
          </w:p>
        </w:tc>
        <w:tc>
          <w:tcPr>
            <w:tcW w:w="1545" w:type="dxa"/>
            <w:vAlign w:val="center"/>
          </w:tcPr>
          <w:p w14:paraId="67B0D5B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113.28</w:t>
            </w:r>
          </w:p>
        </w:tc>
        <w:tc>
          <w:tcPr>
            <w:tcW w:w="2008" w:type="dxa"/>
            <w:vAlign w:val="center"/>
          </w:tcPr>
          <w:p w14:paraId="0604C2B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20.55</w:t>
            </w:r>
          </w:p>
        </w:tc>
        <w:tc>
          <w:tcPr>
            <w:tcW w:w="2126" w:type="dxa"/>
            <w:vAlign w:val="center"/>
          </w:tcPr>
          <w:p w14:paraId="7FAE1D59"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17.26</w:t>
            </w:r>
          </w:p>
        </w:tc>
        <w:tc>
          <w:tcPr>
            <w:tcW w:w="1427" w:type="dxa"/>
            <w:vAlign w:val="center"/>
          </w:tcPr>
          <w:p w14:paraId="55A8D4B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1.79</w:t>
            </w:r>
          </w:p>
        </w:tc>
      </w:tr>
      <w:tr w:rsidR="00077ECB" w:rsidRPr="00077ECB" w14:paraId="758945DE" w14:textId="77777777" w:rsidTr="00025F2F">
        <w:trPr>
          <w:jc w:val="center"/>
        </w:trPr>
        <w:tc>
          <w:tcPr>
            <w:tcW w:w="1834" w:type="dxa"/>
            <w:vAlign w:val="center"/>
          </w:tcPr>
          <w:p w14:paraId="3112840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2017-18</w:t>
            </w:r>
          </w:p>
        </w:tc>
        <w:tc>
          <w:tcPr>
            <w:tcW w:w="1545" w:type="dxa"/>
            <w:vAlign w:val="center"/>
          </w:tcPr>
          <w:p w14:paraId="2E60EDF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120.34</w:t>
            </w:r>
          </w:p>
        </w:tc>
        <w:tc>
          <w:tcPr>
            <w:tcW w:w="2008" w:type="dxa"/>
            <w:vAlign w:val="center"/>
          </w:tcPr>
          <w:p w14:paraId="5796179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22.09</w:t>
            </w:r>
          </w:p>
        </w:tc>
        <w:tc>
          <w:tcPr>
            <w:tcW w:w="2126" w:type="dxa"/>
            <w:vAlign w:val="center"/>
          </w:tcPr>
          <w:p w14:paraId="3414B7AE" w14:textId="41FD5514"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18.4</w:t>
            </w:r>
            <w:r w:rsidR="00A74D27">
              <w:rPr>
                <w:rFonts w:ascii="Times New Roman" w:eastAsia="Calibri" w:hAnsi="Times New Roman" w:cs="Times New Roman"/>
                <w:color w:val="000000"/>
                <w:sz w:val="24"/>
                <w:szCs w:val="24"/>
              </w:rPr>
              <w:t>0</w:t>
            </w:r>
          </w:p>
        </w:tc>
        <w:tc>
          <w:tcPr>
            <w:tcW w:w="1427" w:type="dxa"/>
            <w:vAlign w:val="center"/>
          </w:tcPr>
          <w:p w14:paraId="19D7594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1.93</w:t>
            </w:r>
          </w:p>
        </w:tc>
      </w:tr>
      <w:tr w:rsidR="00077ECB" w:rsidRPr="00077ECB" w14:paraId="26B47B67" w14:textId="77777777" w:rsidTr="00025F2F">
        <w:trPr>
          <w:jc w:val="center"/>
        </w:trPr>
        <w:tc>
          <w:tcPr>
            <w:tcW w:w="1834" w:type="dxa"/>
            <w:vAlign w:val="center"/>
          </w:tcPr>
          <w:p w14:paraId="2E4A5B9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2018-19</w:t>
            </w:r>
          </w:p>
        </w:tc>
        <w:tc>
          <w:tcPr>
            <w:tcW w:w="1545" w:type="dxa"/>
            <w:vAlign w:val="center"/>
          </w:tcPr>
          <w:p w14:paraId="75A9B3E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127.34</w:t>
            </w:r>
          </w:p>
        </w:tc>
        <w:tc>
          <w:tcPr>
            <w:tcW w:w="2008" w:type="dxa"/>
            <w:vAlign w:val="center"/>
          </w:tcPr>
          <w:p w14:paraId="0A67C09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23.29</w:t>
            </w:r>
          </w:p>
        </w:tc>
        <w:tc>
          <w:tcPr>
            <w:tcW w:w="2126" w:type="dxa"/>
            <w:vAlign w:val="center"/>
          </w:tcPr>
          <w:p w14:paraId="4955589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18.79</w:t>
            </w:r>
          </w:p>
        </w:tc>
        <w:tc>
          <w:tcPr>
            <w:tcW w:w="1427" w:type="dxa"/>
            <w:vAlign w:val="center"/>
          </w:tcPr>
          <w:p w14:paraId="6A35A2D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2.36</w:t>
            </w:r>
          </w:p>
        </w:tc>
      </w:tr>
      <w:tr w:rsidR="00077ECB" w:rsidRPr="00077ECB" w14:paraId="3F799B16" w14:textId="77777777" w:rsidTr="00025F2F">
        <w:trPr>
          <w:jc w:val="center"/>
        </w:trPr>
        <w:tc>
          <w:tcPr>
            <w:tcW w:w="1834" w:type="dxa"/>
            <w:vAlign w:val="center"/>
          </w:tcPr>
          <w:p w14:paraId="74EEF6D5"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2019-20</w:t>
            </w:r>
          </w:p>
        </w:tc>
        <w:tc>
          <w:tcPr>
            <w:tcW w:w="1545" w:type="dxa"/>
            <w:vAlign w:val="center"/>
          </w:tcPr>
          <w:p w14:paraId="0E80301C"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132.36</w:t>
            </w:r>
          </w:p>
        </w:tc>
        <w:tc>
          <w:tcPr>
            <w:tcW w:w="2008" w:type="dxa"/>
            <w:vAlign w:val="center"/>
          </w:tcPr>
          <w:p w14:paraId="66C256D8" w14:textId="03E34C93"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22.6</w:t>
            </w:r>
            <w:r w:rsidR="00A74D27">
              <w:rPr>
                <w:rFonts w:ascii="Times New Roman" w:eastAsia="Calibri" w:hAnsi="Times New Roman" w:cs="Times New Roman"/>
                <w:color w:val="000000"/>
                <w:sz w:val="24"/>
                <w:szCs w:val="24"/>
              </w:rPr>
              <w:t>0</w:t>
            </w:r>
          </w:p>
        </w:tc>
        <w:tc>
          <w:tcPr>
            <w:tcW w:w="2126" w:type="dxa"/>
            <w:vAlign w:val="center"/>
          </w:tcPr>
          <w:p w14:paraId="488A90E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19.94</w:t>
            </w:r>
          </w:p>
        </w:tc>
        <w:tc>
          <w:tcPr>
            <w:tcW w:w="1427" w:type="dxa"/>
            <w:vAlign w:val="center"/>
          </w:tcPr>
          <w:p w14:paraId="06E5F877"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1.96</w:t>
            </w:r>
          </w:p>
        </w:tc>
      </w:tr>
      <w:tr w:rsidR="00077ECB" w:rsidRPr="00077ECB" w14:paraId="5C3B7E56" w14:textId="77777777" w:rsidTr="00025F2F">
        <w:trPr>
          <w:jc w:val="center"/>
        </w:trPr>
        <w:tc>
          <w:tcPr>
            <w:tcW w:w="1834" w:type="dxa"/>
            <w:vAlign w:val="center"/>
          </w:tcPr>
          <w:p w14:paraId="373F7B20"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2020-21</w:t>
            </w:r>
          </w:p>
        </w:tc>
        <w:tc>
          <w:tcPr>
            <w:tcW w:w="1545" w:type="dxa"/>
            <w:vAlign w:val="center"/>
          </w:tcPr>
          <w:p w14:paraId="19635631"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126.87</w:t>
            </w:r>
          </w:p>
        </w:tc>
        <w:tc>
          <w:tcPr>
            <w:tcW w:w="2008" w:type="dxa"/>
            <w:vAlign w:val="center"/>
          </w:tcPr>
          <w:p w14:paraId="12EE47E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23.29</w:t>
            </w:r>
          </w:p>
        </w:tc>
        <w:tc>
          <w:tcPr>
            <w:tcW w:w="2126" w:type="dxa"/>
            <w:vAlign w:val="center"/>
          </w:tcPr>
          <w:p w14:paraId="5A4A3CC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20.74</w:t>
            </w:r>
          </w:p>
        </w:tc>
        <w:tc>
          <w:tcPr>
            <w:tcW w:w="1427" w:type="dxa"/>
            <w:vAlign w:val="center"/>
          </w:tcPr>
          <w:p w14:paraId="6D0B0E96"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1.96</w:t>
            </w:r>
          </w:p>
        </w:tc>
      </w:tr>
      <w:tr w:rsidR="00077ECB" w:rsidRPr="00077ECB" w14:paraId="643DC9BF" w14:textId="77777777" w:rsidTr="00025F2F">
        <w:trPr>
          <w:jc w:val="center"/>
        </w:trPr>
        <w:tc>
          <w:tcPr>
            <w:tcW w:w="1834" w:type="dxa"/>
            <w:vAlign w:val="center"/>
          </w:tcPr>
          <w:p w14:paraId="716A8E2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2021-22</w:t>
            </w:r>
          </w:p>
        </w:tc>
        <w:tc>
          <w:tcPr>
            <w:tcW w:w="1545" w:type="dxa"/>
            <w:vAlign w:val="center"/>
          </w:tcPr>
          <w:p w14:paraId="1FDCFB2A"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138.77</w:t>
            </w:r>
          </w:p>
        </w:tc>
        <w:tc>
          <w:tcPr>
            <w:tcW w:w="2008" w:type="dxa"/>
            <w:vAlign w:val="center"/>
          </w:tcPr>
          <w:p w14:paraId="7B9C315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25.61</w:t>
            </w:r>
          </w:p>
        </w:tc>
        <w:tc>
          <w:tcPr>
            <w:tcW w:w="2126" w:type="dxa"/>
            <w:vAlign w:val="center"/>
          </w:tcPr>
          <w:p w14:paraId="321D50C3" w14:textId="2EB5CA84"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21.7</w:t>
            </w:r>
            <w:r w:rsidR="00A74D27">
              <w:rPr>
                <w:rFonts w:ascii="Times New Roman" w:eastAsia="Calibri" w:hAnsi="Times New Roman" w:cs="Times New Roman"/>
                <w:color w:val="000000"/>
                <w:sz w:val="24"/>
                <w:szCs w:val="24"/>
              </w:rPr>
              <w:t>0</w:t>
            </w:r>
          </w:p>
        </w:tc>
        <w:tc>
          <w:tcPr>
            <w:tcW w:w="1427" w:type="dxa"/>
            <w:vAlign w:val="center"/>
          </w:tcPr>
          <w:p w14:paraId="29B01C63" w14:textId="2EB616A3"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w:t>
            </w:r>
            <w:r w:rsidR="00A74D27">
              <w:rPr>
                <w:rFonts w:ascii="Times New Roman" w:eastAsia="Calibri" w:hAnsi="Times New Roman" w:cs="Times New Roman"/>
                <w:color w:val="000000"/>
                <w:sz w:val="24"/>
                <w:szCs w:val="24"/>
              </w:rPr>
              <w:t>0</w:t>
            </w:r>
          </w:p>
        </w:tc>
      </w:tr>
      <w:tr w:rsidR="00077ECB" w:rsidRPr="00077ECB" w14:paraId="33F1FA24" w14:textId="77777777" w:rsidTr="00025F2F">
        <w:trPr>
          <w:jc w:val="center"/>
        </w:trPr>
        <w:tc>
          <w:tcPr>
            <w:tcW w:w="1834" w:type="dxa"/>
            <w:vAlign w:val="center"/>
          </w:tcPr>
          <w:p w14:paraId="31717EA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2022-23</w:t>
            </w:r>
          </w:p>
        </w:tc>
        <w:tc>
          <w:tcPr>
            <w:tcW w:w="1545" w:type="dxa"/>
            <w:vAlign w:val="center"/>
          </w:tcPr>
          <w:p w14:paraId="6A1587F7"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148.05</w:t>
            </w:r>
          </w:p>
        </w:tc>
        <w:tc>
          <w:tcPr>
            <w:tcW w:w="2008" w:type="dxa"/>
            <w:vAlign w:val="center"/>
          </w:tcPr>
          <w:p w14:paraId="570DF5C1"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25.05</w:t>
            </w:r>
          </w:p>
        </w:tc>
        <w:tc>
          <w:tcPr>
            <w:tcW w:w="2126" w:type="dxa"/>
            <w:vAlign w:val="center"/>
          </w:tcPr>
          <w:p w14:paraId="4D99E3F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22.72</w:t>
            </w:r>
          </w:p>
        </w:tc>
        <w:tc>
          <w:tcPr>
            <w:tcW w:w="1427" w:type="dxa"/>
            <w:vAlign w:val="center"/>
          </w:tcPr>
          <w:p w14:paraId="23CABE4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1.92</w:t>
            </w:r>
          </w:p>
        </w:tc>
      </w:tr>
    </w:tbl>
    <w:p w14:paraId="6515FCD6" w14:textId="77777777" w:rsidR="00077ECB" w:rsidRPr="00077ECB"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(Source – National Accounts Division, Central Statistics Office)</w:t>
      </w:r>
    </w:p>
    <w:p w14:paraId="17917BB4" w14:textId="77777777" w:rsidR="00077ECB" w:rsidRPr="00077ECB" w:rsidRDefault="00077ECB" w:rsidP="00E04597">
      <w:pPr>
        <w:spacing w:before="120" w:after="200" w:line="276" w:lineRule="auto"/>
        <w:jc w:val="center"/>
        <w:rPr>
          <w:rFonts w:ascii="Times New Roman" w:eastAsia="Calibri" w:hAnsi="Times New Roman" w:cs="Times New Roman"/>
          <w:b/>
          <w:bCs/>
          <w:color w:val="000000"/>
          <w:sz w:val="24"/>
          <w:szCs w:val="24"/>
          <w:lang w:val="en-US"/>
        </w:rPr>
      </w:pPr>
      <w:r w:rsidRPr="00077ECB">
        <w:rPr>
          <w:rFonts w:ascii="Calibri" w:eastAsia="Calibri" w:hAnsi="Calibri" w:cs="Times New Roman"/>
          <w:noProof/>
          <w:lang w:val="en-US"/>
        </w:rPr>
        <w:drawing>
          <wp:inline distT="0" distB="0" distL="0" distR="0" wp14:anchorId="02B21C77" wp14:editId="3EBABBA8">
            <wp:extent cx="5613400" cy="3362960"/>
            <wp:effectExtent l="0" t="0" r="6350" b="8890"/>
            <wp:docPr id="1983038645" name="Chart 1">
              <a:extLst xmlns:a="http://schemas.openxmlformats.org/drawingml/2006/main">
                <a:ext uri="{FF2B5EF4-FFF2-40B4-BE49-F238E27FC236}">
                  <a16:creationId xmlns:a16="http://schemas.microsoft.com/office/drawing/2014/main" id="{331A94C8-F448-C916-A24D-280639A16A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4379B0" w14:textId="1368157F" w:rsidR="00077ECB" w:rsidRPr="00077ECB" w:rsidRDefault="00077ECB" w:rsidP="00E04597">
      <w:pPr>
        <w:spacing w:after="120"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lastRenderedPageBreak/>
        <w:t xml:space="preserve">Fig </w:t>
      </w:r>
      <w:r w:rsidR="00A226FE">
        <w:rPr>
          <w:rFonts w:ascii="Times New Roman" w:eastAsia="Calibri" w:hAnsi="Times New Roman" w:cs="Times New Roman"/>
          <w:b/>
          <w:bCs/>
          <w:color w:val="000000"/>
          <w:sz w:val="24"/>
          <w:szCs w:val="24"/>
        </w:rPr>
        <w:t>2</w:t>
      </w:r>
      <w:r w:rsidRPr="00077ECB">
        <w:rPr>
          <w:rFonts w:ascii="Times New Roman" w:eastAsia="Calibri" w:hAnsi="Times New Roman" w:cs="Times New Roman"/>
          <w:b/>
          <w:bCs/>
          <w:color w:val="000000"/>
          <w:sz w:val="24"/>
          <w:szCs w:val="24"/>
        </w:rPr>
        <w:t>: Contribution to GVA by food processing industry</w:t>
      </w:r>
    </w:p>
    <w:p w14:paraId="0EA031DA" w14:textId="10989C9E" w:rsidR="00077ECB" w:rsidRPr="00077ECB" w:rsidRDefault="00077ECB" w:rsidP="00E04597">
      <w:pPr>
        <w:spacing w:before="120" w:after="120" w:line="276" w:lineRule="auto"/>
        <w:jc w:val="both"/>
        <w:rPr>
          <w:rFonts w:ascii="Times New Roman" w:eastAsia="Calibri" w:hAnsi="Times New Roman" w:cs="Times New Roman"/>
          <w:kern w:val="2"/>
          <w:sz w:val="24"/>
          <w:szCs w:val="24"/>
          <w14:ligatures w14:val="standardContextual"/>
        </w:rPr>
      </w:pPr>
      <w:r w:rsidRPr="00077ECB">
        <w:rPr>
          <w:rFonts w:ascii="Times New Roman" w:eastAsia="Calibri" w:hAnsi="Times New Roman" w:cs="Times New Roman"/>
          <w:kern w:val="2"/>
          <w:sz w:val="24"/>
          <w:szCs w:val="24"/>
          <w14:ligatures w14:val="standardContextual"/>
        </w:rPr>
        <w:t xml:space="preserve">The </w:t>
      </w:r>
      <w:r w:rsidR="00A74D27">
        <w:rPr>
          <w:rFonts w:ascii="Times New Roman" w:eastAsia="Calibri" w:hAnsi="Times New Roman" w:cs="Times New Roman"/>
          <w:kern w:val="2"/>
          <w:sz w:val="24"/>
          <w:szCs w:val="24"/>
          <w14:ligatures w14:val="standardContextual"/>
        </w:rPr>
        <w:t>Fig</w:t>
      </w:r>
      <w:r w:rsidRPr="00077ECB">
        <w:rPr>
          <w:rFonts w:ascii="Times New Roman" w:eastAsia="Calibri" w:hAnsi="Times New Roman" w:cs="Times New Roman"/>
          <w:kern w:val="2"/>
          <w:sz w:val="24"/>
          <w:szCs w:val="24"/>
          <w14:ligatures w14:val="standardContextual"/>
        </w:rPr>
        <w:t xml:space="preserve"> </w:t>
      </w:r>
      <w:r w:rsidR="00A226FE">
        <w:rPr>
          <w:rFonts w:ascii="Times New Roman" w:eastAsia="Calibri" w:hAnsi="Times New Roman" w:cs="Times New Roman"/>
          <w:kern w:val="2"/>
          <w:sz w:val="24"/>
          <w:szCs w:val="24"/>
          <w14:ligatures w14:val="standardContextual"/>
        </w:rPr>
        <w:t>2</w:t>
      </w:r>
      <w:r w:rsidRPr="00077ECB">
        <w:rPr>
          <w:rFonts w:ascii="Times New Roman" w:eastAsia="Calibri" w:hAnsi="Times New Roman" w:cs="Times New Roman"/>
          <w:kern w:val="2"/>
          <w:sz w:val="24"/>
          <w:szCs w:val="24"/>
          <w14:ligatures w14:val="standardContextual"/>
        </w:rPr>
        <w:t xml:space="preserve"> shows that the food processing sector accounted for 7.66%, 8.45%, and 1.30% of the GVA in the manufacturing sector, the agriculture sector, and the overall All India GVA, respectively, in 2022-23 (at 2011-12 prices).</w:t>
      </w:r>
    </w:p>
    <w:p w14:paraId="06E227A4" w14:textId="3A607198" w:rsidR="00077ECB" w:rsidRPr="00077ECB" w:rsidRDefault="00077ECB" w:rsidP="00E04597">
      <w:pPr>
        <w:spacing w:before="120" w:after="200" w:line="276" w:lineRule="auto"/>
        <w:jc w:val="both"/>
        <w:rPr>
          <w:rFonts w:ascii="Times New Roman" w:eastAsia="Calibri" w:hAnsi="Times New Roman" w:cs="Times New Roman"/>
          <w:b/>
          <w:color w:val="000000"/>
          <w:sz w:val="24"/>
          <w:szCs w:val="24"/>
        </w:rPr>
      </w:pPr>
      <w:r w:rsidRPr="00077ECB">
        <w:rPr>
          <w:rFonts w:ascii="Times New Roman" w:eastAsia="Calibri" w:hAnsi="Times New Roman" w:cs="Times New Roman"/>
          <w:bCs/>
          <w:color w:val="000000"/>
          <w:sz w:val="24"/>
          <w:szCs w:val="24"/>
          <w:lang w:val="en-US"/>
        </w:rPr>
        <w:t xml:space="preserve">The table 2 provides a growth analysis of GVA at constant prices 2011-12, </w:t>
      </w:r>
      <w:r w:rsidR="00AC6391">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2011-12 to 2022-23, the estimated CAGRs were 5.15%, 4.91%, 3.51%, and 2.25% for GVA – All India, Manufacturing, Agri, Forestry &amp; Fishing, and Food Processing Industries (FPI), respectively.</w:t>
      </w:r>
    </w:p>
    <w:p w14:paraId="2D1775CD" w14:textId="63AFA07A" w:rsidR="00077ECB" w:rsidRPr="00077ECB" w:rsidRDefault="00077ECB" w:rsidP="00E04597">
      <w:pPr>
        <w:spacing w:before="120" w:after="0" w:line="276" w:lineRule="auto"/>
        <w:rPr>
          <w:rFonts w:ascii="Times New Roman" w:eastAsia="Calibri" w:hAnsi="Times New Roman" w:cs="Times New Roman"/>
          <w:b/>
          <w:color w:val="000000"/>
          <w:sz w:val="24"/>
          <w:szCs w:val="24"/>
          <w:lang w:val="en-US"/>
        </w:rPr>
      </w:pPr>
      <w:r w:rsidRPr="00077ECB">
        <w:rPr>
          <w:rFonts w:ascii="Times New Roman" w:eastAsia="Calibri" w:hAnsi="Times New Roman" w:cs="Times New Roman"/>
          <w:b/>
          <w:color w:val="000000"/>
          <w:sz w:val="24"/>
          <w:szCs w:val="24"/>
        </w:rPr>
        <w:t xml:space="preserve">Table 2: Growth </w:t>
      </w:r>
      <w:r w:rsidRPr="00077ECB">
        <w:rPr>
          <w:rFonts w:ascii="Times New Roman" w:eastAsia="Calibri" w:hAnsi="Times New Roman" w:cs="Times New Roman"/>
          <w:b/>
          <w:color w:val="000000"/>
          <w:sz w:val="24"/>
          <w:szCs w:val="24"/>
          <w:lang w:val="en-US"/>
        </w:rPr>
        <w:t xml:space="preserve">analysis of </w:t>
      </w:r>
      <w:r w:rsidRPr="00077ECB">
        <w:rPr>
          <w:rFonts w:ascii="Times New Roman" w:eastAsia="Calibri" w:hAnsi="Times New Roman" w:cs="Times New Roman"/>
          <w:b/>
          <w:color w:val="000000"/>
          <w:sz w:val="24"/>
          <w:szCs w:val="24"/>
        </w:rPr>
        <w:t>GVA at constant prices 2011-12</w:t>
      </w:r>
    </w:p>
    <w:tbl>
      <w:tblPr>
        <w:tblStyle w:val="TableGrid1"/>
        <w:tblW w:w="0" w:type="auto"/>
        <w:jc w:val="center"/>
        <w:tblLook w:val="04A0" w:firstRow="1" w:lastRow="0" w:firstColumn="1" w:lastColumn="0" w:noHBand="0" w:noVBand="1"/>
      </w:tblPr>
      <w:tblGrid>
        <w:gridCol w:w="2415"/>
        <w:gridCol w:w="1418"/>
        <w:gridCol w:w="1843"/>
        <w:gridCol w:w="1842"/>
        <w:gridCol w:w="1497"/>
      </w:tblGrid>
      <w:tr w:rsidR="00077ECB" w:rsidRPr="00077ECB" w14:paraId="74A41E65" w14:textId="77777777" w:rsidTr="00AD5E2D">
        <w:trPr>
          <w:trHeight w:val="379"/>
          <w:jc w:val="center"/>
        </w:trPr>
        <w:tc>
          <w:tcPr>
            <w:tcW w:w="9015" w:type="dxa"/>
            <w:gridSpan w:val="5"/>
            <w:shd w:val="clear" w:color="auto" w:fill="FFFF00"/>
            <w:vAlign w:val="center"/>
          </w:tcPr>
          <w:p w14:paraId="780F0E4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2011-12 to 2022-23</w:t>
            </w:r>
          </w:p>
        </w:tc>
      </w:tr>
      <w:tr w:rsidR="00077ECB" w:rsidRPr="00077ECB" w14:paraId="7C122B43" w14:textId="77777777" w:rsidTr="00AD5E2D">
        <w:trPr>
          <w:trHeight w:val="554"/>
          <w:jc w:val="center"/>
        </w:trPr>
        <w:tc>
          <w:tcPr>
            <w:tcW w:w="2415" w:type="dxa"/>
            <w:shd w:val="clear" w:color="auto" w:fill="FFFF00"/>
            <w:vAlign w:val="center"/>
          </w:tcPr>
          <w:p w14:paraId="572F101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color w:val="000000"/>
                <w:sz w:val="24"/>
                <w:szCs w:val="24"/>
              </w:rPr>
              <w:t>Particulars</w:t>
            </w:r>
          </w:p>
        </w:tc>
        <w:tc>
          <w:tcPr>
            <w:tcW w:w="1418" w:type="dxa"/>
            <w:shd w:val="clear" w:color="auto" w:fill="FFFF00"/>
            <w:vAlign w:val="center"/>
          </w:tcPr>
          <w:p w14:paraId="4388FE8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All India</w:t>
            </w:r>
          </w:p>
        </w:tc>
        <w:tc>
          <w:tcPr>
            <w:tcW w:w="1843" w:type="dxa"/>
            <w:shd w:val="clear" w:color="auto" w:fill="FFFF00"/>
            <w:vAlign w:val="center"/>
          </w:tcPr>
          <w:p w14:paraId="79992F0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Manufacturing</w:t>
            </w:r>
          </w:p>
        </w:tc>
        <w:tc>
          <w:tcPr>
            <w:tcW w:w="1842" w:type="dxa"/>
            <w:shd w:val="clear" w:color="auto" w:fill="FFFF00"/>
            <w:vAlign w:val="center"/>
          </w:tcPr>
          <w:p w14:paraId="04AECD6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Agri, Forestry &amp; Fishing</w:t>
            </w:r>
          </w:p>
        </w:tc>
        <w:tc>
          <w:tcPr>
            <w:tcW w:w="1497" w:type="dxa"/>
            <w:shd w:val="clear" w:color="auto" w:fill="FFFF00"/>
            <w:vAlign w:val="center"/>
          </w:tcPr>
          <w:p w14:paraId="410BC85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FPI</w:t>
            </w:r>
          </w:p>
        </w:tc>
      </w:tr>
      <w:tr w:rsidR="00077ECB" w:rsidRPr="00077ECB" w14:paraId="0EC4541D" w14:textId="77777777" w:rsidTr="00AD5E2D">
        <w:trPr>
          <w:trHeight w:val="362"/>
          <w:jc w:val="center"/>
        </w:trPr>
        <w:tc>
          <w:tcPr>
            <w:tcW w:w="2415" w:type="dxa"/>
            <w:vAlign w:val="center"/>
          </w:tcPr>
          <w:p w14:paraId="4452B252"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CAGR</w:t>
            </w:r>
          </w:p>
        </w:tc>
        <w:tc>
          <w:tcPr>
            <w:tcW w:w="1418" w:type="dxa"/>
            <w:vAlign w:val="center"/>
          </w:tcPr>
          <w:p w14:paraId="338FD75F"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5.15%</w:t>
            </w:r>
          </w:p>
        </w:tc>
        <w:tc>
          <w:tcPr>
            <w:tcW w:w="1843" w:type="dxa"/>
            <w:vAlign w:val="center"/>
          </w:tcPr>
          <w:p w14:paraId="30461A59"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4.91%</w:t>
            </w:r>
          </w:p>
        </w:tc>
        <w:tc>
          <w:tcPr>
            <w:tcW w:w="1842" w:type="dxa"/>
            <w:vAlign w:val="center"/>
          </w:tcPr>
          <w:p w14:paraId="0C6DA313"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3.51%</w:t>
            </w:r>
          </w:p>
        </w:tc>
        <w:tc>
          <w:tcPr>
            <w:tcW w:w="1497" w:type="dxa"/>
            <w:vAlign w:val="center"/>
          </w:tcPr>
          <w:p w14:paraId="6515C21A"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2.25%</w:t>
            </w:r>
          </w:p>
        </w:tc>
      </w:tr>
    </w:tbl>
    <w:p w14:paraId="2CA68A9E" w14:textId="23CF22A9" w:rsidR="00077ECB" w:rsidRPr="00077ECB" w:rsidRDefault="000F1E6A" w:rsidP="00E04597">
      <w:pPr>
        <w:spacing w:before="120" w:after="120" w:line="276" w:lineRule="auto"/>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3.</w:t>
      </w:r>
      <w:r w:rsidR="00141186">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2 Employment in Food Processing Industry</w:t>
      </w:r>
    </w:p>
    <w:p w14:paraId="0C20A066" w14:textId="49E9A9DC" w:rsidR="00077ECB" w:rsidRPr="00077ECB" w:rsidRDefault="00077ECB" w:rsidP="00E04597">
      <w:pPr>
        <w:spacing w:before="120"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The table 3 shows the total employment generated in the food processing industry over the past 20 years, from 2002-03 to 2021-22.</w:t>
      </w:r>
    </w:p>
    <w:p w14:paraId="5AB62A17" w14:textId="67497CF1"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 3: Total employment in FPI (in lakhs)</w:t>
      </w:r>
    </w:p>
    <w:tbl>
      <w:tblPr>
        <w:tblStyle w:val="TableGrid1"/>
        <w:tblW w:w="0" w:type="auto"/>
        <w:jc w:val="center"/>
        <w:tblLook w:val="04A0" w:firstRow="1" w:lastRow="0" w:firstColumn="1" w:lastColumn="0" w:noHBand="0" w:noVBand="1"/>
      </w:tblPr>
      <w:tblGrid>
        <w:gridCol w:w="2446"/>
        <w:gridCol w:w="2157"/>
        <w:gridCol w:w="2158"/>
        <w:gridCol w:w="2158"/>
      </w:tblGrid>
      <w:tr w:rsidR="00077ECB" w:rsidRPr="00077ECB" w14:paraId="31A86CD9" w14:textId="77777777" w:rsidTr="000F1E6A">
        <w:trPr>
          <w:jc w:val="center"/>
        </w:trPr>
        <w:tc>
          <w:tcPr>
            <w:tcW w:w="2446" w:type="dxa"/>
            <w:shd w:val="clear" w:color="auto" w:fill="FFFF00"/>
            <w:vAlign w:val="center"/>
          </w:tcPr>
          <w:p w14:paraId="1979A7AC"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7" w:type="dxa"/>
            <w:shd w:val="clear" w:color="auto" w:fill="FFFF00"/>
            <w:vAlign w:val="center"/>
          </w:tcPr>
          <w:p w14:paraId="6B2239DD"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Employment</w:t>
            </w:r>
          </w:p>
        </w:tc>
        <w:tc>
          <w:tcPr>
            <w:tcW w:w="2158" w:type="dxa"/>
            <w:shd w:val="clear" w:color="auto" w:fill="FFFF00"/>
            <w:vAlign w:val="center"/>
          </w:tcPr>
          <w:p w14:paraId="1B12BEF6"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8" w:type="dxa"/>
            <w:shd w:val="clear" w:color="auto" w:fill="FFFF00"/>
            <w:vAlign w:val="center"/>
          </w:tcPr>
          <w:p w14:paraId="39349798"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Employment</w:t>
            </w:r>
          </w:p>
        </w:tc>
      </w:tr>
      <w:tr w:rsidR="00077ECB" w:rsidRPr="00077ECB" w14:paraId="498CC4E2" w14:textId="77777777" w:rsidTr="000F1E6A">
        <w:trPr>
          <w:jc w:val="center"/>
        </w:trPr>
        <w:tc>
          <w:tcPr>
            <w:tcW w:w="2446" w:type="dxa"/>
            <w:vAlign w:val="center"/>
          </w:tcPr>
          <w:p w14:paraId="2564976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2002-03</w:t>
            </w:r>
          </w:p>
        </w:tc>
        <w:tc>
          <w:tcPr>
            <w:tcW w:w="2157" w:type="dxa"/>
            <w:vAlign w:val="center"/>
          </w:tcPr>
          <w:p w14:paraId="1F100FD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13.08</w:t>
            </w:r>
          </w:p>
        </w:tc>
        <w:tc>
          <w:tcPr>
            <w:tcW w:w="2158" w:type="dxa"/>
            <w:vAlign w:val="center"/>
          </w:tcPr>
          <w:p w14:paraId="463CC6B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158" w:type="dxa"/>
            <w:vAlign w:val="center"/>
          </w:tcPr>
          <w:p w14:paraId="24A0D80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16.89</w:t>
            </w:r>
          </w:p>
        </w:tc>
      </w:tr>
      <w:tr w:rsidR="00077ECB" w:rsidRPr="00077ECB" w14:paraId="74B0D5D0" w14:textId="77777777" w:rsidTr="000F1E6A">
        <w:trPr>
          <w:jc w:val="center"/>
        </w:trPr>
        <w:tc>
          <w:tcPr>
            <w:tcW w:w="2446" w:type="dxa"/>
            <w:vAlign w:val="center"/>
          </w:tcPr>
          <w:p w14:paraId="3869F65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2003-04</w:t>
            </w:r>
          </w:p>
        </w:tc>
        <w:tc>
          <w:tcPr>
            <w:tcW w:w="2157" w:type="dxa"/>
            <w:vAlign w:val="center"/>
          </w:tcPr>
          <w:p w14:paraId="541CDC3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12.97</w:t>
            </w:r>
          </w:p>
        </w:tc>
        <w:tc>
          <w:tcPr>
            <w:tcW w:w="2158" w:type="dxa"/>
            <w:vAlign w:val="center"/>
          </w:tcPr>
          <w:p w14:paraId="723A38E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158" w:type="dxa"/>
            <w:vAlign w:val="center"/>
          </w:tcPr>
          <w:p w14:paraId="3EA5AB7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17.41</w:t>
            </w:r>
          </w:p>
        </w:tc>
      </w:tr>
      <w:tr w:rsidR="00077ECB" w:rsidRPr="00077ECB" w14:paraId="265F8AC0" w14:textId="77777777" w:rsidTr="000F1E6A">
        <w:trPr>
          <w:jc w:val="center"/>
        </w:trPr>
        <w:tc>
          <w:tcPr>
            <w:tcW w:w="2446" w:type="dxa"/>
            <w:vAlign w:val="center"/>
          </w:tcPr>
          <w:p w14:paraId="3F0792F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157" w:type="dxa"/>
            <w:vAlign w:val="center"/>
          </w:tcPr>
          <w:p w14:paraId="209EA24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13.42</w:t>
            </w:r>
          </w:p>
        </w:tc>
        <w:tc>
          <w:tcPr>
            <w:tcW w:w="2158" w:type="dxa"/>
            <w:vAlign w:val="center"/>
          </w:tcPr>
          <w:p w14:paraId="00C4DB6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158" w:type="dxa"/>
            <w:vAlign w:val="center"/>
          </w:tcPr>
          <w:p w14:paraId="1B22F00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17.74</w:t>
            </w:r>
          </w:p>
        </w:tc>
      </w:tr>
      <w:tr w:rsidR="00077ECB" w:rsidRPr="00077ECB" w14:paraId="471975A1" w14:textId="77777777" w:rsidTr="000F1E6A">
        <w:trPr>
          <w:jc w:val="center"/>
        </w:trPr>
        <w:tc>
          <w:tcPr>
            <w:tcW w:w="2446" w:type="dxa"/>
            <w:vAlign w:val="center"/>
          </w:tcPr>
          <w:p w14:paraId="3A5AA1E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157" w:type="dxa"/>
            <w:vAlign w:val="center"/>
          </w:tcPr>
          <w:p w14:paraId="4203162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13.92</w:t>
            </w:r>
          </w:p>
        </w:tc>
        <w:tc>
          <w:tcPr>
            <w:tcW w:w="2158" w:type="dxa"/>
            <w:vAlign w:val="center"/>
          </w:tcPr>
          <w:p w14:paraId="0B76449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158" w:type="dxa"/>
            <w:vAlign w:val="center"/>
          </w:tcPr>
          <w:p w14:paraId="53322DF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17.65</w:t>
            </w:r>
          </w:p>
        </w:tc>
      </w:tr>
      <w:tr w:rsidR="00077ECB" w:rsidRPr="00077ECB" w14:paraId="5D54B615" w14:textId="77777777" w:rsidTr="000F1E6A">
        <w:trPr>
          <w:jc w:val="center"/>
        </w:trPr>
        <w:tc>
          <w:tcPr>
            <w:tcW w:w="2446" w:type="dxa"/>
            <w:vAlign w:val="center"/>
          </w:tcPr>
          <w:p w14:paraId="36C27DB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157" w:type="dxa"/>
            <w:vAlign w:val="center"/>
          </w:tcPr>
          <w:p w14:paraId="5E5E130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14.76</w:t>
            </w:r>
          </w:p>
        </w:tc>
        <w:tc>
          <w:tcPr>
            <w:tcW w:w="2158" w:type="dxa"/>
            <w:vAlign w:val="center"/>
          </w:tcPr>
          <w:p w14:paraId="5A0DA25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158" w:type="dxa"/>
            <w:vAlign w:val="center"/>
          </w:tcPr>
          <w:p w14:paraId="58194AB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18.54</w:t>
            </w:r>
          </w:p>
        </w:tc>
      </w:tr>
      <w:tr w:rsidR="00077ECB" w:rsidRPr="00077ECB" w14:paraId="5F63FBE7" w14:textId="77777777" w:rsidTr="000F1E6A">
        <w:trPr>
          <w:jc w:val="center"/>
        </w:trPr>
        <w:tc>
          <w:tcPr>
            <w:tcW w:w="2446" w:type="dxa"/>
            <w:vAlign w:val="center"/>
          </w:tcPr>
          <w:p w14:paraId="15DA2EC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157" w:type="dxa"/>
            <w:vAlign w:val="center"/>
          </w:tcPr>
          <w:p w14:paraId="6E41586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15.05</w:t>
            </w:r>
          </w:p>
        </w:tc>
        <w:tc>
          <w:tcPr>
            <w:tcW w:w="2158" w:type="dxa"/>
            <w:vAlign w:val="center"/>
          </w:tcPr>
          <w:p w14:paraId="5BE8D4D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158" w:type="dxa"/>
            <w:vAlign w:val="center"/>
          </w:tcPr>
          <w:p w14:paraId="0E39EDC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19.33</w:t>
            </w:r>
          </w:p>
        </w:tc>
      </w:tr>
      <w:tr w:rsidR="00077ECB" w:rsidRPr="00077ECB" w14:paraId="4C9B7A17" w14:textId="77777777" w:rsidTr="000F1E6A">
        <w:trPr>
          <w:jc w:val="center"/>
        </w:trPr>
        <w:tc>
          <w:tcPr>
            <w:tcW w:w="2446" w:type="dxa"/>
            <w:vAlign w:val="center"/>
          </w:tcPr>
          <w:p w14:paraId="19C3BC7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157" w:type="dxa"/>
            <w:vAlign w:val="center"/>
          </w:tcPr>
          <w:p w14:paraId="0522CCA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15.64</w:t>
            </w:r>
          </w:p>
        </w:tc>
        <w:tc>
          <w:tcPr>
            <w:tcW w:w="2158" w:type="dxa"/>
            <w:vAlign w:val="center"/>
          </w:tcPr>
          <w:p w14:paraId="2311A97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158" w:type="dxa"/>
            <w:vAlign w:val="center"/>
          </w:tcPr>
          <w:p w14:paraId="779FE83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w:t>
            </w:r>
          </w:p>
        </w:tc>
      </w:tr>
      <w:tr w:rsidR="00077ECB" w:rsidRPr="00077ECB" w14:paraId="011E6AA5" w14:textId="77777777" w:rsidTr="000F1E6A">
        <w:trPr>
          <w:jc w:val="center"/>
        </w:trPr>
        <w:tc>
          <w:tcPr>
            <w:tcW w:w="2446" w:type="dxa"/>
            <w:vAlign w:val="center"/>
          </w:tcPr>
          <w:p w14:paraId="03A7998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157" w:type="dxa"/>
            <w:vAlign w:val="center"/>
          </w:tcPr>
          <w:p w14:paraId="4FBA7DD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16.06</w:t>
            </w:r>
          </w:p>
        </w:tc>
        <w:tc>
          <w:tcPr>
            <w:tcW w:w="2158" w:type="dxa"/>
            <w:vAlign w:val="center"/>
          </w:tcPr>
          <w:p w14:paraId="407B06E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158" w:type="dxa"/>
            <w:vAlign w:val="center"/>
          </w:tcPr>
          <w:p w14:paraId="4AC4F60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20.33</w:t>
            </w:r>
          </w:p>
        </w:tc>
      </w:tr>
      <w:tr w:rsidR="00077ECB" w:rsidRPr="00077ECB" w14:paraId="0088ABC5" w14:textId="77777777" w:rsidTr="000F1E6A">
        <w:trPr>
          <w:jc w:val="center"/>
        </w:trPr>
        <w:tc>
          <w:tcPr>
            <w:tcW w:w="2446" w:type="dxa"/>
            <w:vAlign w:val="center"/>
          </w:tcPr>
          <w:p w14:paraId="06EDED1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157" w:type="dxa"/>
            <w:vAlign w:val="center"/>
          </w:tcPr>
          <w:p w14:paraId="70AD918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16.61</w:t>
            </w:r>
          </w:p>
        </w:tc>
        <w:tc>
          <w:tcPr>
            <w:tcW w:w="2158" w:type="dxa"/>
            <w:vAlign w:val="center"/>
          </w:tcPr>
          <w:p w14:paraId="4DB5BFC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158" w:type="dxa"/>
            <w:vAlign w:val="center"/>
          </w:tcPr>
          <w:p w14:paraId="508B069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20.36</w:t>
            </w:r>
          </w:p>
        </w:tc>
      </w:tr>
      <w:tr w:rsidR="00077ECB" w:rsidRPr="00077ECB" w14:paraId="4A580F2D" w14:textId="77777777" w:rsidTr="000F1E6A">
        <w:trPr>
          <w:jc w:val="center"/>
        </w:trPr>
        <w:tc>
          <w:tcPr>
            <w:tcW w:w="2446" w:type="dxa"/>
            <w:vAlign w:val="center"/>
          </w:tcPr>
          <w:p w14:paraId="1632610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157" w:type="dxa"/>
            <w:vAlign w:val="center"/>
          </w:tcPr>
          <w:p w14:paraId="25C1602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17.76</w:t>
            </w:r>
          </w:p>
        </w:tc>
        <w:tc>
          <w:tcPr>
            <w:tcW w:w="2158" w:type="dxa"/>
            <w:vAlign w:val="center"/>
          </w:tcPr>
          <w:p w14:paraId="06927AE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158" w:type="dxa"/>
            <w:vAlign w:val="center"/>
          </w:tcPr>
          <w:p w14:paraId="3C81604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20.68</w:t>
            </w:r>
          </w:p>
        </w:tc>
      </w:tr>
    </w:tbl>
    <w:p w14:paraId="6DFC233C" w14:textId="11719514" w:rsidR="00C0034B" w:rsidRPr="00141186"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(Source – Annual report, </w:t>
      </w:r>
      <w:proofErr w:type="spellStart"/>
      <w:r w:rsidRPr="00077ECB">
        <w:rPr>
          <w:rFonts w:ascii="Times New Roman" w:eastAsia="Calibri" w:hAnsi="Times New Roman" w:cs="Times New Roman"/>
          <w:bCs/>
          <w:color w:val="000000"/>
          <w:sz w:val="24"/>
          <w:szCs w:val="24"/>
          <w:lang w:val="en-US"/>
        </w:rPr>
        <w:t>MoFPI</w:t>
      </w:r>
      <w:proofErr w:type="spellEnd"/>
      <w:r w:rsidRPr="00077ECB">
        <w:rPr>
          <w:rFonts w:ascii="Times New Roman" w:eastAsia="Calibri" w:hAnsi="Times New Roman" w:cs="Times New Roman"/>
          <w:bCs/>
          <w:color w:val="000000"/>
          <w:sz w:val="24"/>
          <w:szCs w:val="24"/>
          <w:lang w:val="en-US"/>
        </w:rPr>
        <w:t>)</w:t>
      </w:r>
    </w:p>
    <w:p w14:paraId="4D8A2D2A" w14:textId="29FD5082" w:rsidR="00077ECB" w:rsidRDefault="00077ECB" w:rsidP="00E04597">
      <w:pPr>
        <w:spacing w:before="120" w:after="120" w:line="276" w:lineRule="auto"/>
        <w:jc w:val="both"/>
        <w:rPr>
          <w:rFonts w:ascii="Times New Roman" w:eastAsia="Calibri" w:hAnsi="Times New Roman" w:cs="Times New Roman"/>
          <w:bCs/>
          <w:color w:val="000000"/>
          <w:sz w:val="24"/>
          <w:szCs w:val="24"/>
        </w:rPr>
      </w:pPr>
      <w:r w:rsidRPr="00CF6640">
        <w:rPr>
          <w:rFonts w:ascii="Times New Roman" w:eastAsia="Calibri" w:hAnsi="Times New Roman" w:cs="Times New Roman"/>
          <w:bCs/>
          <w:color w:val="000000"/>
          <w:sz w:val="24"/>
          <w:szCs w:val="24"/>
        </w:rPr>
        <w:t>The table 4 provides a five-year</w:t>
      </w:r>
      <w:r w:rsidR="00141186">
        <w:rPr>
          <w:rFonts w:ascii="Times New Roman" w:eastAsia="Calibri" w:hAnsi="Times New Roman" w:cs="Times New Roman"/>
          <w:bCs/>
          <w:color w:val="000000"/>
          <w:sz w:val="24"/>
          <w:szCs w:val="24"/>
        </w:rPr>
        <w:t>, ten-year, and overall</w:t>
      </w:r>
      <w:r w:rsidRPr="00CF6640">
        <w:rPr>
          <w:rFonts w:ascii="Times New Roman" w:eastAsia="Calibri" w:hAnsi="Times New Roman" w:cs="Times New Roman"/>
          <w:bCs/>
          <w:color w:val="000000"/>
          <w:sz w:val="24"/>
          <w:szCs w:val="24"/>
        </w:rPr>
        <w:t xml:space="preserve"> analysis of employment growth in the food processing industry</w:t>
      </w:r>
      <w:r w:rsidR="00141186">
        <w:rPr>
          <w:rFonts w:ascii="Times New Roman" w:eastAsia="Calibri" w:hAnsi="Times New Roman" w:cs="Times New Roman"/>
          <w:bCs/>
          <w:color w:val="000000"/>
          <w:sz w:val="24"/>
          <w:szCs w:val="24"/>
        </w:rPr>
        <w:t>.</w:t>
      </w:r>
      <w:r w:rsidR="000F1E6A" w:rsidRPr="00CF6640">
        <w:rPr>
          <w:rFonts w:ascii="Times New Roman" w:eastAsia="Calibri" w:hAnsi="Times New Roman" w:cs="Times New Roman"/>
          <w:bCs/>
          <w:color w:val="000000"/>
          <w:sz w:val="24"/>
          <w:szCs w:val="24"/>
        </w:rPr>
        <w:t xml:space="preserve"> </w:t>
      </w:r>
      <w:r w:rsidR="00887F2F">
        <w:rPr>
          <w:rFonts w:ascii="Times New Roman" w:eastAsia="Calibri" w:hAnsi="Times New Roman" w:cs="Times New Roman"/>
          <w:bCs/>
          <w:color w:val="000000"/>
          <w:sz w:val="24"/>
          <w:szCs w:val="24"/>
        </w:rPr>
        <w:t>F</w:t>
      </w:r>
      <w:r w:rsidRPr="00CF6640">
        <w:rPr>
          <w:rFonts w:ascii="Times New Roman" w:eastAsia="Calibri" w:hAnsi="Times New Roman" w:cs="Times New Roman"/>
          <w:bCs/>
          <w:color w:val="000000"/>
          <w:sz w:val="24"/>
          <w:szCs w:val="24"/>
        </w:rPr>
        <w:t>rom 2002</w:t>
      </w:r>
      <w:r w:rsidRPr="00CF6640">
        <w:rPr>
          <w:rFonts w:ascii="Times New Roman" w:eastAsia="Calibri" w:hAnsi="Times New Roman" w:cs="Times New Roman"/>
          <w:b/>
          <w:color w:val="000000"/>
          <w:sz w:val="24"/>
          <w:szCs w:val="24"/>
        </w:rPr>
        <w:t>-</w:t>
      </w:r>
      <w:r w:rsidRPr="00CF6640">
        <w:rPr>
          <w:rFonts w:ascii="Times New Roman" w:eastAsia="Calibri" w:hAnsi="Times New Roman" w:cs="Times New Roman"/>
          <w:bCs/>
          <w:color w:val="000000"/>
          <w:sz w:val="24"/>
          <w:szCs w:val="24"/>
        </w:rPr>
        <w:t>03 to 2006-07, the estimated CAGR was 2.45%, which increased to 3.37% from 2007-08 to 2011-12. However, it then decreased to 1.88% from 2012-13 to 2016-17, and further dropped to 1.36% from 2017-18 to 2021-22.</w:t>
      </w:r>
    </w:p>
    <w:p w14:paraId="6B2FB393" w14:textId="408EE719" w:rsidR="00887F2F" w:rsidRDefault="00887F2F" w:rsidP="00E04597">
      <w:pPr>
        <w:spacing w:before="120" w:after="12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2002-03 to 2011-12, the estimated CAGR was 3.11%, which decreased to 2.05% from 2012-13 to 2021-22.</w:t>
      </w:r>
    </w:p>
    <w:p w14:paraId="0C239053" w14:textId="693E8771" w:rsidR="00887F2F" w:rsidRDefault="00887F2F"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 xml:space="preserve">wenty-year analysis (Overall) of employment growth in the food processing industry, </w:t>
      </w: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2002-03 to 2021-22, the estimated CAGR was 2.32%.</w:t>
      </w:r>
    </w:p>
    <w:p w14:paraId="48F382E4" w14:textId="024DA823"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xml:space="preserve">Table 4: </w:t>
      </w:r>
      <w:r w:rsidR="00BE0BF4">
        <w:rPr>
          <w:rFonts w:ascii="Times New Roman" w:eastAsia="Calibri" w:hAnsi="Times New Roman" w:cs="Times New Roman"/>
          <w:b/>
          <w:color w:val="000000"/>
          <w:sz w:val="24"/>
          <w:szCs w:val="24"/>
          <w:lang w:val="en-US"/>
        </w:rPr>
        <w:t>A</w:t>
      </w:r>
      <w:r w:rsidRPr="00077ECB">
        <w:rPr>
          <w:rFonts w:ascii="Times New Roman" w:eastAsia="Calibri" w:hAnsi="Times New Roman" w:cs="Times New Roman"/>
          <w:b/>
          <w:color w:val="000000"/>
          <w:sz w:val="24"/>
          <w:szCs w:val="24"/>
          <w:lang w:val="en-US"/>
        </w:rPr>
        <w:t>nalysis of employment growth</w:t>
      </w:r>
      <w:r w:rsidRPr="00077ECB">
        <w:rPr>
          <w:rFonts w:ascii="Times New Roman" w:eastAsia="Calibri" w:hAnsi="Times New Roman" w:cs="Times New Roman"/>
          <w:b/>
          <w:color w:val="000000"/>
          <w:sz w:val="24"/>
          <w:szCs w:val="24"/>
        </w:rPr>
        <w:t xml:space="preserve"> in FPI</w:t>
      </w:r>
    </w:p>
    <w:tbl>
      <w:tblPr>
        <w:tblStyle w:val="TableGrid1"/>
        <w:tblW w:w="0" w:type="auto"/>
        <w:jc w:val="center"/>
        <w:tblLook w:val="04A0" w:firstRow="1" w:lastRow="0" w:firstColumn="1" w:lastColumn="0" w:noHBand="0" w:noVBand="1"/>
      </w:tblPr>
      <w:tblGrid>
        <w:gridCol w:w="2122"/>
        <w:gridCol w:w="1701"/>
        <w:gridCol w:w="1701"/>
        <w:gridCol w:w="1674"/>
        <w:gridCol w:w="1818"/>
      </w:tblGrid>
      <w:tr w:rsidR="00077ECB" w:rsidRPr="00077ECB" w14:paraId="563E9284" w14:textId="77777777" w:rsidTr="00615594">
        <w:trPr>
          <w:trHeight w:val="724"/>
          <w:jc w:val="center"/>
        </w:trPr>
        <w:tc>
          <w:tcPr>
            <w:tcW w:w="2122" w:type="dxa"/>
            <w:shd w:val="clear" w:color="auto" w:fill="FFFF00"/>
            <w:vAlign w:val="center"/>
          </w:tcPr>
          <w:p w14:paraId="40F14E7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lastRenderedPageBreak/>
              <w:t>Particulars</w:t>
            </w:r>
          </w:p>
        </w:tc>
        <w:tc>
          <w:tcPr>
            <w:tcW w:w="1701" w:type="dxa"/>
            <w:shd w:val="clear" w:color="auto" w:fill="FFFF00"/>
            <w:vAlign w:val="center"/>
          </w:tcPr>
          <w:p w14:paraId="045C7C82"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2002-03 to 2006-07</w:t>
            </w:r>
          </w:p>
        </w:tc>
        <w:tc>
          <w:tcPr>
            <w:tcW w:w="1701" w:type="dxa"/>
            <w:shd w:val="clear" w:color="auto" w:fill="FFFF00"/>
            <w:vAlign w:val="center"/>
          </w:tcPr>
          <w:p w14:paraId="6B214710"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2007-08 to 2011-12</w:t>
            </w:r>
          </w:p>
        </w:tc>
        <w:tc>
          <w:tcPr>
            <w:tcW w:w="1674" w:type="dxa"/>
            <w:shd w:val="clear" w:color="auto" w:fill="FFFF00"/>
            <w:vAlign w:val="center"/>
          </w:tcPr>
          <w:p w14:paraId="76B027B8"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2012-13 to 2016-17</w:t>
            </w:r>
          </w:p>
        </w:tc>
        <w:tc>
          <w:tcPr>
            <w:tcW w:w="1818" w:type="dxa"/>
            <w:shd w:val="clear" w:color="auto" w:fill="FFFF00"/>
            <w:vAlign w:val="center"/>
          </w:tcPr>
          <w:p w14:paraId="5EF0C83C"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2017-18 to 2021-22</w:t>
            </w:r>
          </w:p>
        </w:tc>
      </w:tr>
      <w:tr w:rsidR="00380333" w:rsidRPr="00077ECB" w14:paraId="3BC0F5F5" w14:textId="77777777" w:rsidTr="00615594">
        <w:trPr>
          <w:trHeight w:val="435"/>
          <w:jc w:val="center"/>
        </w:trPr>
        <w:tc>
          <w:tcPr>
            <w:tcW w:w="2122" w:type="dxa"/>
            <w:vAlign w:val="center"/>
          </w:tcPr>
          <w:p w14:paraId="3987C14C" w14:textId="0EE5077B" w:rsidR="00380333" w:rsidRPr="00077ECB" w:rsidRDefault="00380333"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701" w:type="dxa"/>
            <w:vAlign w:val="center"/>
          </w:tcPr>
          <w:p w14:paraId="280F574E" w14:textId="5457246A"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2.45%</w:t>
            </w:r>
          </w:p>
        </w:tc>
        <w:tc>
          <w:tcPr>
            <w:tcW w:w="1701" w:type="dxa"/>
            <w:vAlign w:val="center"/>
          </w:tcPr>
          <w:p w14:paraId="6F9504E1" w14:textId="2E1CDF69"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3.37%</w:t>
            </w:r>
          </w:p>
        </w:tc>
        <w:tc>
          <w:tcPr>
            <w:tcW w:w="1674" w:type="dxa"/>
            <w:vAlign w:val="center"/>
          </w:tcPr>
          <w:p w14:paraId="42E918C2" w14:textId="24B37E03"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1.88%</w:t>
            </w:r>
          </w:p>
        </w:tc>
        <w:tc>
          <w:tcPr>
            <w:tcW w:w="1818" w:type="dxa"/>
            <w:vAlign w:val="center"/>
          </w:tcPr>
          <w:p w14:paraId="0367AF69" w14:textId="14F5FBC7"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1.36%</w:t>
            </w:r>
          </w:p>
        </w:tc>
      </w:tr>
      <w:tr w:rsidR="00380333" w:rsidRPr="00077ECB" w14:paraId="272817F8" w14:textId="77777777" w:rsidTr="00615594">
        <w:trPr>
          <w:trHeight w:val="399"/>
          <w:jc w:val="center"/>
        </w:trPr>
        <w:tc>
          <w:tcPr>
            <w:tcW w:w="2122" w:type="dxa"/>
            <w:vAlign w:val="center"/>
          </w:tcPr>
          <w:p w14:paraId="74A89549" w14:textId="6BC09137" w:rsidR="00380333" w:rsidRPr="00077ECB" w:rsidRDefault="00380333"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402" w:type="dxa"/>
            <w:gridSpan w:val="2"/>
            <w:vAlign w:val="center"/>
          </w:tcPr>
          <w:p w14:paraId="3AAA8E70" w14:textId="7D0B73B0"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3.11%</w:t>
            </w:r>
          </w:p>
        </w:tc>
        <w:tc>
          <w:tcPr>
            <w:tcW w:w="3492" w:type="dxa"/>
            <w:gridSpan w:val="2"/>
            <w:vAlign w:val="center"/>
          </w:tcPr>
          <w:p w14:paraId="48881205" w14:textId="7798C182"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2.05%</w:t>
            </w:r>
          </w:p>
        </w:tc>
      </w:tr>
      <w:tr w:rsidR="00380333" w:rsidRPr="00077ECB" w14:paraId="0159EB90" w14:textId="77777777" w:rsidTr="00615594">
        <w:trPr>
          <w:trHeight w:val="419"/>
          <w:jc w:val="center"/>
        </w:trPr>
        <w:tc>
          <w:tcPr>
            <w:tcW w:w="2122" w:type="dxa"/>
            <w:vAlign w:val="center"/>
          </w:tcPr>
          <w:p w14:paraId="482C49E1" w14:textId="0230978F" w:rsidR="00380333" w:rsidRPr="00077ECB" w:rsidRDefault="00380333"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5D939221" w14:textId="36F5D254"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2.32%</w:t>
            </w:r>
          </w:p>
        </w:tc>
      </w:tr>
    </w:tbl>
    <w:p w14:paraId="2E4CD1EC" w14:textId="5B7FB397" w:rsidR="00077ECB" w:rsidRPr="00077ECB" w:rsidRDefault="00277E5D" w:rsidP="00E04597">
      <w:pPr>
        <w:spacing w:before="120" w:after="12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
          <w:bCs/>
          <w:color w:val="000000"/>
          <w:sz w:val="24"/>
          <w:szCs w:val="24"/>
          <w:lang w:val="en-US"/>
        </w:rPr>
        <w:t>3.</w:t>
      </w:r>
      <w:r w:rsidR="001E58CF">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3 Foreign Direct Investment (FDI) in Food Processing Industry</w:t>
      </w:r>
    </w:p>
    <w:p w14:paraId="541E259F" w14:textId="6B5CC41D" w:rsidR="00077ECB" w:rsidRPr="00077ECB" w:rsidRDefault="00077ECB" w:rsidP="00E04597">
      <w:pPr>
        <w:spacing w:before="120"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1E58CF">
        <w:rPr>
          <w:rFonts w:ascii="Times New Roman" w:eastAsia="Calibri" w:hAnsi="Times New Roman" w:cs="Times New Roman"/>
          <w:bCs/>
          <w:color w:val="000000"/>
          <w:sz w:val="24"/>
          <w:szCs w:val="24"/>
          <w:lang w:val="en-US"/>
        </w:rPr>
        <w:t>5</w:t>
      </w:r>
      <w:r w:rsidRPr="00077ECB">
        <w:rPr>
          <w:rFonts w:ascii="Times New Roman" w:eastAsia="Calibri" w:hAnsi="Times New Roman" w:cs="Times New Roman"/>
          <w:bCs/>
          <w:color w:val="000000"/>
          <w:sz w:val="24"/>
          <w:szCs w:val="24"/>
          <w:lang w:val="en-US"/>
        </w:rPr>
        <w:t xml:space="preserve"> shows the total foreign direct investment in the food processing industry over the past 20 years, from 2004-05 to 2023-24.</w:t>
      </w:r>
    </w:p>
    <w:p w14:paraId="23962B44" w14:textId="02FF9AA9"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xml:space="preserve">Table </w:t>
      </w:r>
      <w:r w:rsidR="001E58CF">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Total FDI in FPI (Rs in crore)</w:t>
      </w:r>
    </w:p>
    <w:tbl>
      <w:tblPr>
        <w:tblStyle w:val="TableGrid1"/>
        <w:tblW w:w="0" w:type="auto"/>
        <w:tblLook w:val="04A0" w:firstRow="1" w:lastRow="0" w:firstColumn="1" w:lastColumn="0" w:noHBand="0" w:noVBand="1"/>
      </w:tblPr>
      <w:tblGrid>
        <w:gridCol w:w="2157"/>
        <w:gridCol w:w="2157"/>
        <w:gridCol w:w="2158"/>
        <w:gridCol w:w="2158"/>
      </w:tblGrid>
      <w:tr w:rsidR="00077ECB" w:rsidRPr="00077ECB" w14:paraId="3FFD8CC4" w14:textId="77777777" w:rsidTr="0010283D">
        <w:tc>
          <w:tcPr>
            <w:tcW w:w="2157" w:type="dxa"/>
            <w:shd w:val="clear" w:color="auto" w:fill="FFFF00"/>
            <w:vAlign w:val="center"/>
          </w:tcPr>
          <w:p w14:paraId="530695C3"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7" w:type="dxa"/>
            <w:shd w:val="clear" w:color="auto" w:fill="FFFF00"/>
            <w:vAlign w:val="center"/>
          </w:tcPr>
          <w:p w14:paraId="3EAC2D4F"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FDI</w:t>
            </w:r>
          </w:p>
        </w:tc>
        <w:tc>
          <w:tcPr>
            <w:tcW w:w="2158" w:type="dxa"/>
            <w:shd w:val="clear" w:color="auto" w:fill="FFFF00"/>
            <w:vAlign w:val="center"/>
          </w:tcPr>
          <w:p w14:paraId="6E5316DF"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8" w:type="dxa"/>
            <w:shd w:val="clear" w:color="auto" w:fill="FFFF00"/>
            <w:vAlign w:val="center"/>
          </w:tcPr>
          <w:p w14:paraId="04A16DC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FDI</w:t>
            </w:r>
          </w:p>
        </w:tc>
      </w:tr>
      <w:tr w:rsidR="00077ECB" w:rsidRPr="00077ECB" w14:paraId="04DE31EF" w14:textId="77777777" w:rsidTr="0010283D">
        <w:tc>
          <w:tcPr>
            <w:tcW w:w="2157" w:type="dxa"/>
            <w:vAlign w:val="center"/>
          </w:tcPr>
          <w:p w14:paraId="7D0DFF6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157" w:type="dxa"/>
            <w:vAlign w:val="center"/>
          </w:tcPr>
          <w:p w14:paraId="1D0B5E0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201.32</w:t>
            </w:r>
          </w:p>
        </w:tc>
        <w:tc>
          <w:tcPr>
            <w:tcW w:w="2158" w:type="dxa"/>
            <w:vAlign w:val="center"/>
          </w:tcPr>
          <w:p w14:paraId="5823A72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158" w:type="dxa"/>
            <w:vAlign w:val="center"/>
          </w:tcPr>
          <w:p w14:paraId="6AD1921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3164.72</w:t>
            </w:r>
          </w:p>
        </w:tc>
      </w:tr>
      <w:tr w:rsidR="00077ECB" w:rsidRPr="00077ECB" w14:paraId="13C4D1F3" w14:textId="77777777" w:rsidTr="0010283D">
        <w:tc>
          <w:tcPr>
            <w:tcW w:w="2157" w:type="dxa"/>
            <w:vAlign w:val="center"/>
          </w:tcPr>
          <w:p w14:paraId="5B2E4C8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157" w:type="dxa"/>
            <w:vAlign w:val="center"/>
          </w:tcPr>
          <w:p w14:paraId="1A39D0E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182.93</w:t>
            </w:r>
          </w:p>
        </w:tc>
        <w:tc>
          <w:tcPr>
            <w:tcW w:w="2158" w:type="dxa"/>
            <w:vAlign w:val="center"/>
          </w:tcPr>
          <w:p w14:paraId="3710C25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158" w:type="dxa"/>
            <w:vAlign w:val="center"/>
          </w:tcPr>
          <w:p w14:paraId="18FBED2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3312</w:t>
            </w:r>
          </w:p>
        </w:tc>
      </w:tr>
      <w:tr w:rsidR="00077ECB" w:rsidRPr="00077ECB" w14:paraId="5BD6DD08" w14:textId="77777777" w:rsidTr="0010283D">
        <w:tc>
          <w:tcPr>
            <w:tcW w:w="2157" w:type="dxa"/>
            <w:vAlign w:val="center"/>
          </w:tcPr>
          <w:p w14:paraId="00B70B4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157" w:type="dxa"/>
            <w:vAlign w:val="center"/>
          </w:tcPr>
          <w:p w14:paraId="09387EE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457.28</w:t>
            </w:r>
          </w:p>
        </w:tc>
        <w:tc>
          <w:tcPr>
            <w:tcW w:w="2158" w:type="dxa"/>
            <w:vAlign w:val="center"/>
          </w:tcPr>
          <w:p w14:paraId="576860A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158" w:type="dxa"/>
            <w:vAlign w:val="center"/>
          </w:tcPr>
          <w:p w14:paraId="5A50764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4865.85</w:t>
            </w:r>
          </w:p>
        </w:tc>
      </w:tr>
      <w:tr w:rsidR="00077ECB" w:rsidRPr="00077ECB" w14:paraId="22131D8E" w14:textId="77777777" w:rsidTr="0010283D">
        <w:tc>
          <w:tcPr>
            <w:tcW w:w="2157" w:type="dxa"/>
            <w:vAlign w:val="center"/>
          </w:tcPr>
          <w:p w14:paraId="5CEA682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157" w:type="dxa"/>
            <w:vAlign w:val="center"/>
          </w:tcPr>
          <w:p w14:paraId="27AB723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279.01</w:t>
            </w:r>
          </w:p>
        </w:tc>
        <w:tc>
          <w:tcPr>
            <w:tcW w:w="2158" w:type="dxa"/>
            <w:vAlign w:val="center"/>
          </w:tcPr>
          <w:p w14:paraId="774AA3F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158" w:type="dxa"/>
            <w:vAlign w:val="center"/>
          </w:tcPr>
          <w:p w14:paraId="0580323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5835.62</w:t>
            </w:r>
          </w:p>
        </w:tc>
      </w:tr>
      <w:tr w:rsidR="00077ECB" w:rsidRPr="00077ECB" w14:paraId="3AEB9DB4" w14:textId="77777777" w:rsidTr="0010283D">
        <w:tc>
          <w:tcPr>
            <w:tcW w:w="2157" w:type="dxa"/>
            <w:vAlign w:val="center"/>
          </w:tcPr>
          <w:p w14:paraId="5261A58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157" w:type="dxa"/>
            <w:vAlign w:val="center"/>
          </w:tcPr>
          <w:p w14:paraId="071911A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455.59</w:t>
            </w:r>
          </w:p>
        </w:tc>
        <w:tc>
          <w:tcPr>
            <w:tcW w:w="2158" w:type="dxa"/>
            <w:vAlign w:val="center"/>
          </w:tcPr>
          <w:p w14:paraId="67C7F29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158" w:type="dxa"/>
            <w:vAlign w:val="center"/>
          </w:tcPr>
          <w:p w14:paraId="7CB15A8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4430.44</w:t>
            </w:r>
          </w:p>
        </w:tc>
      </w:tr>
      <w:tr w:rsidR="00077ECB" w:rsidRPr="00077ECB" w14:paraId="1D6DDB85" w14:textId="77777777" w:rsidTr="0010283D">
        <w:tc>
          <w:tcPr>
            <w:tcW w:w="2157" w:type="dxa"/>
            <w:vAlign w:val="center"/>
          </w:tcPr>
          <w:p w14:paraId="7C0DCB2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157" w:type="dxa"/>
            <w:vAlign w:val="center"/>
          </w:tcPr>
          <w:p w14:paraId="3837329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1314.23</w:t>
            </w:r>
          </w:p>
        </w:tc>
        <w:tc>
          <w:tcPr>
            <w:tcW w:w="2158" w:type="dxa"/>
            <w:vAlign w:val="center"/>
          </w:tcPr>
          <w:p w14:paraId="389CB74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158" w:type="dxa"/>
            <w:vAlign w:val="center"/>
          </w:tcPr>
          <w:p w14:paraId="6F2FF24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6414.67</w:t>
            </w:r>
          </w:p>
        </w:tc>
      </w:tr>
      <w:tr w:rsidR="00077ECB" w:rsidRPr="00077ECB" w14:paraId="6E6CFA4E" w14:textId="77777777" w:rsidTr="0010283D">
        <w:tc>
          <w:tcPr>
            <w:tcW w:w="2157" w:type="dxa"/>
            <w:vAlign w:val="center"/>
          </w:tcPr>
          <w:p w14:paraId="1A8B357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157" w:type="dxa"/>
            <w:vAlign w:val="center"/>
          </w:tcPr>
          <w:p w14:paraId="698DE56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860.99</w:t>
            </w:r>
          </w:p>
        </w:tc>
        <w:tc>
          <w:tcPr>
            <w:tcW w:w="2158" w:type="dxa"/>
            <w:vAlign w:val="center"/>
          </w:tcPr>
          <w:p w14:paraId="03A6607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158" w:type="dxa"/>
            <w:vAlign w:val="center"/>
          </w:tcPr>
          <w:p w14:paraId="20D0342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2934.12</w:t>
            </w:r>
          </w:p>
        </w:tc>
      </w:tr>
      <w:tr w:rsidR="00077ECB" w:rsidRPr="00077ECB" w14:paraId="5C423545" w14:textId="77777777" w:rsidTr="0010283D">
        <w:tc>
          <w:tcPr>
            <w:tcW w:w="2157" w:type="dxa"/>
            <w:vAlign w:val="center"/>
          </w:tcPr>
          <w:p w14:paraId="65CB692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157" w:type="dxa"/>
            <w:vAlign w:val="center"/>
          </w:tcPr>
          <w:p w14:paraId="478D45A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859.02</w:t>
            </w:r>
          </w:p>
        </w:tc>
        <w:tc>
          <w:tcPr>
            <w:tcW w:w="2158" w:type="dxa"/>
            <w:vAlign w:val="center"/>
          </w:tcPr>
          <w:p w14:paraId="11B5B44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158" w:type="dxa"/>
            <w:vAlign w:val="center"/>
          </w:tcPr>
          <w:p w14:paraId="02D2639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5290.27</w:t>
            </w:r>
          </w:p>
        </w:tc>
      </w:tr>
      <w:tr w:rsidR="00077ECB" w:rsidRPr="00077ECB" w14:paraId="5C27D508" w14:textId="77777777" w:rsidTr="0010283D">
        <w:tc>
          <w:tcPr>
            <w:tcW w:w="2157" w:type="dxa"/>
            <w:vAlign w:val="center"/>
          </w:tcPr>
          <w:p w14:paraId="73028D7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157" w:type="dxa"/>
            <w:vAlign w:val="center"/>
          </w:tcPr>
          <w:p w14:paraId="43FA8A5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2193.65</w:t>
            </w:r>
          </w:p>
        </w:tc>
        <w:tc>
          <w:tcPr>
            <w:tcW w:w="2158" w:type="dxa"/>
            <w:vAlign w:val="center"/>
          </w:tcPr>
          <w:p w14:paraId="7D9AF42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2022-23</w:t>
            </w:r>
          </w:p>
        </w:tc>
        <w:tc>
          <w:tcPr>
            <w:tcW w:w="2158" w:type="dxa"/>
            <w:vAlign w:val="center"/>
          </w:tcPr>
          <w:p w14:paraId="3C95DC0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7194.13</w:t>
            </w:r>
          </w:p>
        </w:tc>
      </w:tr>
      <w:tr w:rsidR="00077ECB" w:rsidRPr="00077ECB" w14:paraId="419D4CA8" w14:textId="77777777" w:rsidTr="0010283D">
        <w:tc>
          <w:tcPr>
            <w:tcW w:w="2157" w:type="dxa"/>
            <w:vAlign w:val="center"/>
          </w:tcPr>
          <w:p w14:paraId="7F248CD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157" w:type="dxa"/>
            <w:vAlign w:val="center"/>
          </w:tcPr>
          <w:p w14:paraId="383BF46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25106.77</w:t>
            </w:r>
          </w:p>
        </w:tc>
        <w:tc>
          <w:tcPr>
            <w:tcW w:w="2158" w:type="dxa"/>
            <w:vAlign w:val="center"/>
          </w:tcPr>
          <w:p w14:paraId="6F1B638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2023-24</w:t>
            </w:r>
          </w:p>
        </w:tc>
        <w:tc>
          <w:tcPr>
            <w:tcW w:w="2158" w:type="dxa"/>
            <w:vAlign w:val="center"/>
          </w:tcPr>
          <w:p w14:paraId="08C67C5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5037.06</w:t>
            </w:r>
          </w:p>
        </w:tc>
      </w:tr>
    </w:tbl>
    <w:p w14:paraId="4A929934" w14:textId="77777777" w:rsidR="00077ECB" w:rsidRPr="00077ECB"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(Source – Department for Promotion of Industry and Internal Trade)</w:t>
      </w:r>
    </w:p>
    <w:p w14:paraId="731AB511" w14:textId="3F45E531" w:rsidR="00077ECB" w:rsidRDefault="00077ECB" w:rsidP="00E04597">
      <w:pPr>
        <w:spacing w:before="120" w:after="20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1E58CF">
        <w:rPr>
          <w:rFonts w:ascii="Times New Roman" w:eastAsia="Calibri" w:hAnsi="Times New Roman" w:cs="Times New Roman"/>
          <w:bCs/>
          <w:color w:val="000000"/>
          <w:sz w:val="24"/>
          <w:szCs w:val="24"/>
          <w:lang w:val="en-US"/>
        </w:rPr>
        <w:t>6</w:t>
      </w:r>
      <w:r w:rsidRPr="00077ECB">
        <w:rPr>
          <w:rFonts w:ascii="Times New Roman" w:eastAsia="Calibri" w:hAnsi="Times New Roman" w:cs="Times New Roman"/>
          <w:bCs/>
          <w:color w:val="000000"/>
          <w:sz w:val="24"/>
          <w:szCs w:val="24"/>
          <w:lang w:val="en-US"/>
        </w:rPr>
        <w:t xml:space="preserve"> provides </w:t>
      </w:r>
      <w:r w:rsidR="001E58CF" w:rsidRPr="00CF6640">
        <w:rPr>
          <w:rFonts w:ascii="Times New Roman" w:eastAsia="Calibri" w:hAnsi="Times New Roman" w:cs="Times New Roman"/>
          <w:bCs/>
          <w:color w:val="000000"/>
          <w:sz w:val="24"/>
          <w:szCs w:val="24"/>
        </w:rPr>
        <w:t>a five-year</w:t>
      </w:r>
      <w:r w:rsidR="001E58CF">
        <w:rPr>
          <w:rFonts w:ascii="Times New Roman" w:eastAsia="Calibri" w:hAnsi="Times New Roman" w:cs="Times New Roman"/>
          <w:bCs/>
          <w:color w:val="000000"/>
          <w:sz w:val="24"/>
          <w:szCs w:val="24"/>
        </w:rPr>
        <w:t>, ten-year, and overall</w:t>
      </w:r>
      <w:r w:rsidR="001E58CF" w:rsidRPr="00CF6640">
        <w:rPr>
          <w:rFonts w:ascii="Times New Roman" w:eastAsia="Calibri" w:hAnsi="Times New Roman" w:cs="Times New Roman"/>
          <w:bCs/>
          <w:color w:val="000000"/>
          <w:sz w:val="24"/>
          <w:szCs w:val="24"/>
        </w:rPr>
        <w:t xml:space="preserve"> analysis</w:t>
      </w:r>
      <w:r w:rsidR="001E58CF">
        <w:rPr>
          <w:rFonts w:ascii="Times New Roman" w:eastAsia="Calibri" w:hAnsi="Times New Roman" w:cs="Times New Roman"/>
          <w:bCs/>
          <w:color w:val="000000"/>
          <w:sz w:val="24"/>
          <w:szCs w:val="24"/>
        </w:rPr>
        <w:t xml:space="preserve"> of</w:t>
      </w:r>
      <w:r w:rsidRPr="00077ECB">
        <w:rPr>
          <w:rFonts w:ascii="Times New Roman" w:eastAsia="Calibri" w:hAnsi="Times New Roman" w:cs="Times New Roman"/>
          <w:bCs/>
          <w:color w:val="000000"/>
          <w:sz w:val="24"/>
          <w:szCs w:val="24"/>
          <w:lang w:val="en-US"/>
        </w:rPr>
        <w:t xml:space="preserve"> FDI growth in the food processing industry, </w:t>
      </w:r>
      <w:r w:rsidR="00277E5D">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2008-09, the estimated CAGR was 17.74%, which increased to 80.39% from 2009-10 to 2013-14. However, it then decreased to 6.96% from 2014-15 to 2018-19, and further dropped to -4.72% from 2019-20 to 2023-24.</w:t>
      </w:r>
    </w:p>
    <w:p w14:paraId="6943345C" w14:textId="7297740F" w:rsidR="001E58CF" w:rsidRDefault="001E58CF"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2013-14, the estimated CAGR was 62.03%, which decreased to 4.76% from 2014-15 to 2023-24.</w:t>
      </w:r>
    </w:p>
    <w:p w14:paraId="4ACA0C14" w14:textId="4223A4C4" w:rsidR="001E58CF" w:rsidRDefault="001E58CF"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 xml:space="preserve">wenty-year analysis (Overall) of FDI growth in the food processing industry, </w:t>
      </w:r>
      <w:r w:rsidR="00367CE4">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2023-24, the estimated CAGR was 17.47%.</w:t>
      </w:r>
    </w:p>
    <w:p w14:paraId="62A137CC" w14:textId="404A3122" w:rsid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xml:space="preserve">Table </w:t>
      </w:r>
      <w:r w:rsidR="001E58CF">
        <w:rPr>
          <w:rFonts w:ascii="Times New Roman" w:eastAsia="Calibri" w:hAnsi="Times New Roman" w:cs="Times New Roman"/>
          <w:b/>
          <w:color w:val="000000"/>
          <w:sz w:val="24"/>
          <w:szCs w:val="24"/>
        </w:rPr>
        <w:t>6</w:t>
      </w:r>
      <w:r w:rsidRPr="00077ECB">
        <w:rPr>
          <w:rFonts w:ascii="Times New Roman" w:eastAsia="Calibri" w:hAnsi="Times New Roman" w:cs="Times New Roman"/>
          <w:b/>
          <w:color w:val="000000"/>
          <w:sz w:val="24"/>
          <w:szCs w:val="24"/>
        </w:rPr>
        <w:t xml:space="preserve">: </w:t>
      </w:r>
      <w:r w:rsidR="001E58CF">
        <w:rPr>
          <w:rFonts w:ascii="Times New Roman" w:eastAsia="Calibri" w:hAnsi="Times New Roman" w:cs="Times New Roman"/>
          <w:b/>
          <w:color w:val="000000"/>
          <w:sz w:val="24"/>
          <w:szCs w:val="24"/>
        </w:rPr>
        <w:t>A</w:t>
      </w:r>
      <w:proofErr w:type="spellStart"/>
      <w:r w:rsidRPr="00077ECB">
        <w:rPr>
          <w:rFonts w:ascii="Times New Roman" w:eastAsia="Calibri" w:hAnsi="Times New Roman" w:cs="Times New Roman"/>
          <w:b/>
          <w:color w:val="000000"/>
          <w:sz w:val="24"/>
          <w:szCs w:val="24"/>
          <w:lang w:val="en-US"/>
        </w:rPr>
        <w:t>nalysis</w:t>
      </w:r>
      <w:proofErr w:type="spellEnd"/>
      <w:r w:rsidRPr="00077ECB">
        <w:rPr>
          <w:rFonts w:ascii="Times New Roman" w:eastAsia="Calibri" w:hAnsi="Times New Roman" w:cs="Times New Roman"/>
          <w:b/>
          <w:color w:val="000000"/>
          <w:sz w:val="24"/>
          <w:szCs w:val="24"/>
          <w:lang w:val="en-US"/>
        </w:rPr>
        <w:t xml:space="preserve"> of FDI growth</w:t>
      </w:r>
      <w:r w:rsidRPr="00077ECB">
        <w:rPr>
          <w:rFonts w:ascii="Times New Roman" w:eastAsia="Calibri" w:hAnsi="Times New Roman" w:cs="Times New Roman"/>
          <w:b/>
          <w:color w:val="000000"/>
          <w:sz w:val="24"/>
          <w:szCs w:val="24"/>
        </w:rPr>
        <w:t xml:space="preserve"> in FPI</w:t>
      </w:r>
    </w:p>
    <w:tbl>
      <w:tblPr>
        <w:tblStyle w:val="TableGrid1"/>
        <w:tblW w:w="0" w:type="auto"/>
        <w:jc w:val="center"/>
        <w:tblLook w:val="04A0" w:firstRow="1" w:lastRow="0" w:firstColumn="1" w:lastColumn="0" w:noHBand="0" w:noVBand="1"/>
      </w:tblPr>
      <w:tblGrid>
        <w:gridCol w:w="2122"/>
        <w:gridCol w:w="1559"/>
        <w:gridCol w:w="1699"/>
        <w:gridCol w:w="1818"/>
        <w:gridCol w:w="1818"/>
      </w:tblGrid>
      <w:tr w:rsidR="00896A81" w:rsidRPr="00077ECB" w14:paraId="47AFC54A" w14:textId="77777777" w:rsidTr="00615594">
        <w:trPr>
          <w:trHeight w:val="634"/>
          <w:jc w:val="center"/>
        </w:trPr>
        <w:tc>
          <w:tcPr>
            <w:tcW w:w="2122" w:type="dxa"/>
            <w:shd w:val="clear" w:color="auto" w:fill="FFFF00"/>
            <w:vAlign w:val="center"/>
          </w:tcPr>
          <w:p w14:paraId="34887B51" w14:textId="77777777"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Particulars</w:t>
            </w:r>
          </w:p>
        </w:tc>
        <w:tc>
          <w:tcPr>
            <w:tcW w:w="1559" w:type="dxa"/>
            <w:shd w:val="clear" w:color="auto" w:fill="FFFF00"/>
            <w:vAlign w:val="center"/>
          </w:tcPr>
          <w:p w14:paraId="72EFB375" w14:textId="76D6B382"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200</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9</w:t>
            </w:r>
          </w:p>
        </w:tc>
        <w:tc>
          <w:tcPr>
            <w:tcW w:w="1699" w:type="dxa"/>
            <w:shd w:val="clear" w:color="auto" w:fill="FFFF00"/>
            <w:vAlign w:val="center"/>
          </w:tcPr>
          <w:p w14:paraId="70C471F5" w14:textId="3F731F2E"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10</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4</w:t>
            </w:r>
          </w:p>
        </w:tc>
        <w:tc>
          <w:tcPr>
            <w:tcW w:w="1818" w:type="dxa"/>
            <w:shd w:val="clear" w:color="auto" w:fill="FFFF00"/>
            <w:vAlign w:val="center"/>
          </w:tcPr>
          <w:p w14:paraId="3B54B7EB" w14:textId="393B97BD"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9</w:t>
            </w:r>
          </w:p>
        </w:tc>
        <w:tc>
          <w:tcPr>
            <w:tcW w:w="1818" w:type="dxa"/>
            <w:shd w:val="clear" w:color="auto" w:fill="FFFF00"/>
            <w:vAlign w:val="center"/>
          </w:tcPr>
          <w:p w14:paraId="3C208C36" w14:textId="4171822E"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20</w:t>
            </w:r>
            <w:r w:rsidRPr="00077ECB">
              <w:rPr>
                <w:rFonts w:ascii="Times New Roman" w:eastAsia="Calibri" w:hAnsi="Times New Roman" w:cs="Times New Roman"/>
                <w:b/>
                <w:color w:val="000000"/>
                <w:sz w:val="24"/>
                <w:szCs w:val="24"/>
              </w:rPr>
              <w:t xml:space="preserve"> to 202</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4</w:t>
            </w:r>
          </w:p>
        </w:tc>
      </w:tr>
      <w:tr w:rsidR="00864175" w:rsidRPr="00077ECB" w14:paraId="14E06374" w14:textId="77777777" w:rsidTr="00615594">
        <w:trPr>
          <w:trHeight w:val="359"/>
          <w:jc w:val="center"/>
        </w:trPr>
        <w:tc>
          <w:tcPr>
            <w:tcW w:w="2122" w:type="dxa"/>
            <w:vAlign w:val="center"/>
          </w:tcPr>
          <w:p w14:paraId="3D30814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559" w:type="dxa"/>
            <w:vAlign w:val="center"/>
          </w:tcPr>
          <w:p w14:paraId="08DC28A9" w14:textId="0864A4F7"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17.74%</w:t>
            </w:r>
          </w:p>
        </w:tc>
        <w:tc>
          <w:tcPr>
            <w:tcW w:w="1699" w:type="dxa"/>
            <w:vAlign w:val="center"/>
          </w:tcPr>
          <w:p w14:paraId="011080CA" w14:textId="1D306463"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80.39%</w:t>
            </w:r>
          </w:p>
        </w:tc>
        <w:tc>
          <w:tcPr>
            <w:tcW w:w="1818" w:type="dxa"/>
            <w:vAlign w:val="center"/>
          </w:tcPr>
          <w:p w14:paraId="71296AFF" w14:textId="4B7227C8"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6.96%</w:t>
            </w:r>
          </w:p>
        </w:tc>
        <w:tc>
          <w:tcPr>
            <w:tcW w:w="1818" w:type="dxa"/>
            <w:vAlign w:val="center"/>
          </w:tcPr>
          <w:p w14:paraId="5CFA9985" w14:textId="737089D9"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-4.72%</w:t>
            </w:r>
          </w:p>
        </w:tc>
      </w:tr>
      <w:tr w:rsidR="00896A81" w:rsidRPr="00077ECB" w14:paraId="16C4FF39" w14:textId="77777777" w:rsidTr="00615594">
        <w:trPr>
          <w:trHeight w:val="406"/>
          <w:jc w:val="center"/>
        </w:trPr>
        <w:tc>
          <w:tcPr>
            <w:tcW w:w="2122" w:type="dxa"/>
            <w:vAlign w:val="center"/>
          </w:tcPr>
          <w:p w14:paraId="7F540E56" w14:textId="77777777" w:rsidR="00896A81" w:rsidRPr="00077ECB" w:rsidRDefault="00896A81"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258" w:type="dxa"/>
            <w:gridSpan w:val="2"/>
            <w:vAlign w:val="center"/>
          </w:tcPr>
          <w:p w14:paraId="56B6F818" w14:textId="26C7E7BA" w:rsidR="00896A81"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62.03</w:t>
            </w:r>
            <w:r w:rsidR="00896A81" w:rsidRPr="00380333">
              <w:rPr>
                <w:rFonts w:ascii="Times New Roman" w:eastAsia="Calibri" w:hAnsi="Times New Roman" w:cs="Times New Roman"/>
                <w:bCs/>
                <w:color w:val="000000"/>
                <w:sz w:val="24"/>
                <w:szCs w:val="24"/>
              </w:rPr>
              <w:t>%</w:t>
            </w:r>
          </w:p>
        </w:tc>
        <w:tc>
          <w:tcPr>
            <w:tcW w:w="0" w:type="auto"/>
            <w:gridSpan w:val="2"/>
            <w:vAlign w:val="center"/>
          </w:tcPr>
          <w:p w14:paraId="44589E7D" w14:textId="58C5F30E" w:rsidR="00896A81"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4.76</w:t>
            </w:r>
            <w:r w:rsidR="00896A81" w:rsidRPr="00380333">
              <w:rPr>
                <w:rFonts w:ascii="Times New Roman" w:eastAsia="Calibri" w:hAnsi="Times New Roman" w:cs="Times New Roman"/>
                <w:bCs/>
                <w:color w:val="000000"/>
                <w:sz w:val="24"/>
                <w:szCs w:val="24"/>
              </w:rPr>
              <w:t>%</w:t>
            </w:r>
          </w:p>
        </w:tc>
      </w:tr>
      <w:tr w:rsidR="00896A81" w:rsidRPr="00077ECB" w14:paraId="70DCBE98" w14:textId="77777777" w:rsidTr="00615594">
        <w:trPr>
          <w:trHeight w:val="413"/>
          <w:jc w:val="center"/>
        </w:trPr>
        <w:tc>
          <w:tcPr>
            <w:tcW w:w="2122" w:type="dxa"/>
            <w:vAlign w:val="center"/>
          </w:tcPr>
          <w:p w14:paraId="1E7FF112" w14:textId="77777777" w:rsidR="00896A81" w:rsidRPr="00077ECB" w:rsidRDefault="00896A81"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2D4FFE55" w14:textId="64870A68" w:rsidR="00896A81"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17.47</w:t>
            </w:r>
            <w:r w:rsidR="00896A81" w:rsidRPr="00380333">
              <w:rPr>
                <w:rFonts w:ascii="Times New Roman" w:eastAsia="Calibri" w:hAnsi="Times New Roman" w:cs="Times New Roman"/>
                <w:bCs/>
                <w:color w:val="000000"/>
                <w:sz w:val="24"/>
                <w:szCs w:val="24"/>
              </w:rPr>
              <w:t>%</w:t>
            </w:r>
          </w:p>
        </w:tc>
      </w:tr>
    </w:tbl>
    <w:p w14:paraId="5CF98186" w14:textId="77777777" w:rsidR="00077ECB" w:rsidRPr="00077ECB" w:rsidRDefault="00077ECB" w:rsidP="00E04597">
      <w:pPr>
        <w:spacing w:before="240" w:line="276" w:lineRule="auto"/>
        <w:jc w:val="both"/>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lang w:val="en-US"/>
        </w:rPr>
        <w:lastRenderedPageBreak/>
        <w:t xml:space="preserve">According to the Grant Thornton report on Viksit Bharat by 2047, the </w:t>
      </w:r>
      <w:r w:rsidRPr="00077ECB">
        <w:rPr>
          <w:rFonts w:ascii="Times New Roman" w:eastAsia="Calibri" w:hAnsi="Times New Roman" w:cs="Times New Roman"/>
          <w:bCs/>
          <w:color w:val="000000"/>
          <w:sz w:val="24"/>
          <w:szCs w:val="24"/>
        </w:rPr>
        <w:t>major reasons that contributed to the decrease in FDI inflow over the last five years, from 2019-20 to 2023-24 were:</w:t>
      </w:r>
    </w:p>
    <w:p w14:paraId="6AEAD6E8" w14:textId="77777777" w:rsidR="00077ECB" w:rsidRPr="00077ECB" w:rsidRDefault="00077ECB" w:rsidP="00260627">
      <w:pPr>
        <w:numPr>
          <w:ilvl w:val="0"/>
          <w:numId w:val="5"/>
        </w:numPr>
        <w:spacing w:before="240" w:line="276" w:lineRule="auto"/>
        <w:contextualSpacing/>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rPr>
        <w:t>COVID-induced lockdowns which led to an overall reduction in the FDI inflows to India</w:t>
      </w:r>
    </w:p>
    <w:p w14:paraId="4E436B55" w14:textId="77777777" w:rsidR="00077ECB" w:rsidRPr="00077ECB" w:rsidRDefault="00077ECB" w:rsidP="00260627">
      <w:pPr>
        <w:numPr>
          <w:ilvl w:val="0"/>
          <w:numId w:val="5"/>
        </w:numPr>
        <w:spacing w:before="240" w:line="276" w:lineRule="auto"/>
        <w:contextualSpacing/>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rPr>
        <w:t>Insufficient infrastructure in the food processing sector which adversely affects the ease of doing business and reduces profit margins for foreign investors</w:t>
      </w:r>
    </w:p>
    <w:p w14:paraId="0B7968D5" w14:textId="77777777" w:rsidR="00077ECB" w:rsidRPr="009D0B04" w:rsidRDefault="00077ECB" w:rsidP="00260627">
      <w:pPr>
        <w:numPr>
          <w:ilvl w:val="0"/>
          <w:numId w:val="5"/>
        </w:numPr>
        <w:spacing w:before="240" w:line="276" w:lineRule="auto"/>
        <w:contextualSpacing/>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rPr>
        <w:t>Competition from other emerging markets like Vietnam, etc., which provide cheap labour and favourable regulatory regime for foreign investors in the food processing sector.</w:t>
      </w:r>
    </w:p>
    <w:p w14:paraId="21E46413" w14:textId="77777777" w:rsidR="009D0B04" w:rsidRPr="00077ECB" w:rsidRDefault="009D0B04" w:rsidP="00E04597">
      <w:pPr>
        <w:spacing w:before="240" w:line="276" w:lineRule="auto"/>
        <w:ind w:left="270"/>
        <w:contextualSpacing/>
        <w:jc w:val="both"/>
        <w:rPr>
          <w:rFonts w:ascii="Times New Roman" w:eastAsia="Calibri" w:hAnsi="Times New Roman" w:cs="Times New Roman"/>
          <w:bCs/>
          <w:color w:val="000000"/>
          <w:sz w:val="24"/>
          <w:szCs w:val="24"/>
          <w:lang w:val="en-US"/>
        </w:rPr>
      </w:pPr>
    </w:p>
    <w:p w14:paraId="59A5B6A3" w14:textId="6DBF8665" w:rsidR="00077ECB" w:rsidRPr="00077ECB" w:rsidRDefault="00277E5D" w:rsidP="00E04597">
      <w:pPr>
        <w:spacing w:before="120" w:after="120" w:line="276" w:lineRule="auto"/>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3</w:t>
      </w:r>
      <w:r w:rsidR="00077ECB" w:rsidRPr="00077ECB">
        <w:rPr>
          <w:rFonts w:ascii="Times New Roman" w:eastAsia="Calibri" w:hAnsi="Times New Roman" w:cs="Times New Roman"/>
          <w:b/>
          <w:bCs/>
          <w:color w:val="000000"/>
          <w:sz w:val="24"/>
          <w:szCs w:val="24"/>
          <w:lang w:val="en-US"/>
        </w:rPr>
        <w:t>.</w:t>
      </w:r>
      <w:r w:rsidR="00A80293">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4 Export of Agri-Food Products</w:t>
      </w:r>
    </w:p>
    <w:p w14:paraId="455C63B5" w14:textId="3D144DBD" w:rsidR="00077ECB" w:rsidRDefault="00077ECB" w:rsidP="00E04597">
      <w:pPr>
        <w:spacing w:before="120" w:after="120" w:line="276" w:lineRule="auto"/>
        <w:jc w:val="both"/>
        <w:rPr>
          <w:rFonts w:ascii="Times New Roman" w:eastAsia="Aptos" w:hAnsi="Times New Roman" w:cs="Times New Roman"/>
          <w:sz w:val="24"/>
          <w:szCs w:val="24"/>
        </w:rPr>
      </w:pPr>
      <w:r w:rsidRPr="00077ECB">
        <w:rPr>
          <w:rFonts w:ascii="Times New Roman" w:eastAsia="Calibri" w:hAnsi="Times New Roman" w:cs="Times New Roman"/>
          <w:bCs/>
          <w:color w:val="000000"/>
          <w:sz w:val="24"/>
          <w:szCs w:val="24"/>
          <w:lang w:val="en-US"/>
        </w:rPr>
        <w:t xml:space="preserve">The table </w:t>
      </w:r>
      <w:r w:rsidR="00B16130">
        <w:rPr>
          <w:rFonts w:ascii="Times New Roman" w:eastAsia="Calibri" w:hAnsi="Times New Roman" w:cs="Times New Roman"/>
          <w:bCs/>
          <w:color w:val="000000"/>
          <w:sz w:val="24"/>
          <w:szCs w:val="24"/>
          <w:lang w:val="en-US"/>
        </w:rPr>
        <w:t>7</w:t>
      </w:r>
      <w:r w:rsidRPr="00077ECB">
        <w:rPr>
          <w:rFonts w:ascii="Times New Roman" w:eastAsia="Calibri" w:hAnsi="Times New Roman" w:cs="Times New Roman"/>
          <w:bCs/>
          <w:color w:val="000000"/>
          <w:sz w:val="24"/>
          <w:szCs w:val="24"/>
          <w:lang w:val="en-US"/>
        </w:rPr>
        <w:t xml:space="preserve"> shows the total export of agri-food products and India’s total export over the past 20 years, from 2004-05 to 2023-24. It indicates that agri-food products </w:t>
      </w:r>
      <w:r w:rsidRPr="00077ECB">
        <w:rPr>
          <w:rFonts w:ascii="Times New Roman" w:eastAsia="Aptos" w:hAnsi="Times New Roman" w:cs="Times New Roman"/>
          <w:sz w:val="24"/>
          <w:szCs w:val="24"/>
        </w:rPr>
        <w:t>constituted 11.74% of India's total exports in 2023-24.</w:t>
      </w:r>
    </w:p>
    <w:p w14:paraId="0469DE17" w14:textId="5C78BF81" w:rsidR="00077ECB" w:rsidRPr="00077ECB" w:rsidRDefault="00077ECB" w:rsidP="00E04597">
      <w:pPr>
        <w:spacing w:after="0" w:line="276" w:lineRule="auto"/>
        <w:rPr>
          <w:rFonts w:ascii="Times New Roman" w:eastAsia="Calibri" w:hAnsi="Times New Roman" w:cs="Times New Roman"/>
          <w:b/>
          <w:color w:val="000000"/>
          <w:sz w:val="23"/>
          <w:szCs w:val="23"/>
        </w:rPr>
      </w:pPr>
      <w:r w:rsidRPr="00077ECB">
        <w:rPr>
          <w:rFonts w:ascii="Times New Roman" w:eastAsia="Calibri" w:hAnsi="Times New Roman" w:cs="Times New Roman"/>
          <w:b/>
          <w:color w:val="000000"/>
          <w:sz w:val="23"/>
          <w:szCs w:val="23"/>
        </w:rPr>
        <w:t xml:space="preserve">Table </w:t>
      </w:r>
      <w:r w:rsidR="00B16130">
        <w:rPr>
          <w:rFonts w:ascii="Times New Roman" w:eastAsia="Calibri" w:hAnsi="Times New Roman" w:cs="Times New Roman"/>
          <w:b/>
          <w:color w:val="000000"/>
          <w:sz w:val="23"/>
          <w:szCs w:val="23"/>
        </w:rPr>
        <w:t>7</w:t>
      </w:r>
      <w:r w:rsidRPr="00077ECB">
        <w:rPr>
          <w:rFonts w:ascii="Times New Roman" w:eastAsia="Calibri" w:hAnsi="Times New Roman" w:cs="Times New Roman"/>
          <w:b/>
          <w:color w:val="000000"/>
          <w:sz w:val="23"/>
          <w:szCs w:val="23"/>
        </w:rPr>
        <w:t>: Export of agri-food products and India’s total export (in USD million)</w:t>
      </w:r>
    </w:p>
    <w:tbl>
      <w:tblPr>
        <w:tblStyle w:val="TableGrid1"/>
        <w:tblW w:w="8931" w:type="dxa"/>
        <w:jc w:val="center"/>
        <w:tblLook w:val="04A0" w:firstRow="1" w:lastRow="0" w:firstColumn="1" w:lastColumn="0" w:noHBand="0" w:noVBand="1"/>
      </w:tblPr>
      <w:tblGrid>
        <w:gridCol w:w="1838"/>
        <w:gridCol w:w="2693"/>
        <w:gridCol w:w="2552"/>
        <w:gridCol w:w="1848"/>
      </w:tblGrid>
      <w:tr w:rsidR="00077ECB" w:rsidRPr="00077ECB" w14:paraId="615197C3" w14:textId="77777777" w:rsidTr="002D3B42">
        <w:trPr>
          <w:jc w:val="center"/>
        </w:trPr>
        <w:tc>
          <w:tcPr>
            <w:tcW w:w="1838" w:type="dxa"/>
            <w:shd w:val="clear" w:color="auto" w:fill="FFFF00"/>
            <w:vAlign w:val="center"/>
          </w:tcPr>
          <w:p w14:paraId="6C79C8D5"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693" w:type="dxa"/>
            <w:shd w:val="clear" w:color="auto" w:fill="FFFF00"/>
            <w:vAlign w:val="center"/>
          </w:tcPr>
          <w:p w14:paraId="171A813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Agri-food products</w:t>
            </w:r>
          </w:p>
        </w:tc>
        <w:tc>
          <w:tcPr>
            <w:tcW w:w="2552" w:type="dxa"/>
            <w:shd w:val="clear" w:color="auto" w:fill="FFFF00"/>
            <w:vAlign w:val="center"/>
          </w:tcPr>
          <w:p w14:paraId="6EDC4CA2"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India’s total export</w:t>
            </w:r>
          </w:p>
        </w:tc>
        <w:tc>
          <w:tcPr>
            <w:tcW w:w="1848" w:type="dxa"/>
            <w:shd w:val="clear" w:color="auto" w:fill="FFFF00"/>
            <w:vAlign w:val="center"/>
          </w:tcPr>
          <w:p w14:paraId="1474D665"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share</w:t>
            </w:r>
          </w:p>
        </w:tc>
      </w:tr>
      <w:tr w:rsidR="00077ECB" w:rsidRPr="00077ECB" w14:paraId="12184053" w14:textId="77777777" w:rsidTr="002D3B42">
        <w:trPr>
          <w:jc w:val="center"/>
        </w:trPr>
        <w:tc>
          <w:tcPr>
            <w:tcW w:w="1838" w:type="dxa"/>
            <w:vAlign w:val="center"/>
          </w:tcPr>
          <w:p w14:paraId="1238011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693" w:type="dxa"/>
            <w:vAlign w:val="center"/>
          </w:tcPr>
          <w:p w14:paraId="098E7C6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8245.89</w:t>
            </w:r>
          </w:p>
        </w:tc>
        <w:tc>
          <w:tcPr>
            <w:tcW w:w="2552" w:type="dxa"/>
            <w:vAlign w:val="center"/>
          </w:tcPr>
          <w:p w14:paraId="3A46C22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83535.94</w:t>
            </w:r>
          </w:p>
        </w:tc>
        <w:tc>
          <w:tcPr>
            <w:tcW w:w="1848" w:type="dxa"/>
            <w:vAlign w:val="center"/>
          </w:tcPr>
          <w:p w14:paraId="4793F48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9.87</w:t>
            </w:r>
          </w:p>
        </w:tc>
      </w:tr>
      <w:tr w:rsidR="00077ECB" w:rsidRPr="00077ECB" w14:paraId="46E691C5" w14:textId="77777777" w:rsidTr="002D3B42">
        <w:trPr>
          <w:jc w:val="center"/>
        </w:trPr>
        <w:tc>
          <w:tcPr>
            <w:tcW w:w="1838" w:type="dxa"/>
            <w:vAlign w:val="center"/>
          </w:tcPr>
          <w:p w14:paraId="476877D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693" w:type="dxa"/>
            <w:vAlign w:val="center"/>
          </w:tcPr>
          <w:p w14:paraId="0DCB063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9344.2</w:t>
            </w:r>
          </w:p>
        </w:tc>
        <w:tc>
          <w:tcPr>
            <w:tcW w:w="2552" w:type="dxa"/>
            <w:vAlign w:val="center"/>
          </w:tcPr>
          <w:p w14:paraId="40BB51C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103090.53</w:t>
            </w:r>
          </w:p>
        </w:tc>
        <w:tc>
          <w:tcPr>
            <w:tcW w:w="1848" w:type="dxa"/>
            <w:vAlign w:val="center"/>
          </w:tcPr>
          <w:p w14:paraId="6D3C8C7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9.06</w:t>
            </w:r>
          </w:p>
        </w:tc>
      </w:tr>
      <w:tr w:rsidR="00077ECB" w:rsidRPr="00077ECB" w14:paraId="395C1205" w14:textId="77777777" w:rsidTr="002D3B42">
        <w:trPr>
          <w:jc w:val="center"/>
        </w:trPr>
        <w:tc>
          <w:tcPr>
            <w:tcW w:w="1838" w:type="dxa"/>
            <w:vAlign w:val="center"/>
          </w:tcPr>
          <w:p w14:paraId="1672FDD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693" w:type="dxa"/>
            <w:vAlign w:val="center"/>
          </w:tcPr>
          <w:p w14:paraId="54821C8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10955.42</w:t>
            </w:r>
          </w:p>
        </w:tc>
        <w:tc>
          <w:tcPr>
            <w:tcW w:w="2552" w:type="dxa"/>
            <w:vAlign w:val="center"/>
          </w:tcPr>
          <w:p w14:paraId="1E8DD3B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126414.05</w:t>
            </w:r>
          </w:p>
        </w:tc>
        <w:tc>
          <w:tcPr>
            <w:tcW w:w="1848" w:type="dxa"/>
            <w:vAlign w:val="center"/>
          </w:tcPr>
          <w:p w14:paraId="4200F24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8.67</w:t>
            </w:r>
          </w:p>
        </w:tc>
      </w:tr>
      <w:tr w:rsidR="00077ECB" w:rsidRPr="00077ECB" w14:paraId="45902F3A" w14:textId="77777777" w:rsidTr="002D3B42">
        <w:trPr>
          <w:jc w:val="center"/>
        </w:trPr>
        <w:tc>
          <w:tcPr>
            <w:tcW w:w="1838" w:type="dxa"/>
            <w:vAlign w:val="center"/>
          </w:tcPr>
          <w:p w14:paraId="1C2C1D7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693" w:type="dxa"/>
            <w:vAlign w:val="center"/>
          </w:tcPr>
          <w:p w14:paraId="6372206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15869.72</w:t>
            </w:r>
          </w:p>
        </w:tc>
        <w:tc>
          <w:tcPr>
            <w:tcW w:w="2552" w:type="dxa"/>
            <w:vAlign w:val="center"/>
          </w:tcPr>
          <w:p w14:paraId="2C533ED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163132.18</w:t>
            </w:r>
          </w:p>
        </w:tc>
        <w:tc>
          <w:tcPr>
            <w:tcW w:w="1848" w:type="dxa"/>
            <w:vAlign w:val="center"/>
          </w:tcPr>
          <w:p w14:paraId="109F2D0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9.73</w:t>
            </w:r>
          </w:p>
        </w:tc>
      </w:tr>
      <w:tr w:rsidR="00077ECB" w:rsidRPr="00077ECB" w14:paraId="32CC3240" w14:textId="77777777" w:rsidTr="002D3B42">
        <w:trPr>
          <w:jc w:val="center"/>
        </w:trPr>
        <w:tc>
          <w:tcPr>
            <w:tcW w:w="1838" w:type="dxa"/>
            <w:vAlign w:val="center"/>
          </w:tcPr>
          <w:p w14:paraId="4770A64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693" w:type="dxa"/>
            <w:vAlign w:val="center"/>
          </w:tcPr>
          <w:p w14:paraId="47A8B6D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16266.16</w:t>
            </w:r>
          </w:p>
        </w:tc>
        <w:tc>
          <w:tcPr>
            <w:tcW w:w="2552" w:type="dxa"/>
            <w:vAlign w:val="center"/>
          </w:tcPr>
          <w:p w14:paraId="2E7AE19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185295.36</w:t>
            </w:r>
          </w:p>
        </w:tc>
        <w:tc>
          <w:tcPr>
            <w:tcW w:w="1848" w:type="dxa"/>
            <w:vAlign w:val="center"/>
          </w:tcPr>
          <w:p w14:paraId="3B2C6FD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8.78</w:t>
            </w:r>
          </w:p>
        </w:tc>
      </w:tr>
      <w:tr w:rsidR="00077ECB" w:rsidRPr="00077ECB" w14:paraId="36CA3CB1" w14:textId="77777777" w:rsidTr="002D3B42">
        <w:trPr>
          <w:jc w:val="center"/>
        </w:trPr>
        <w:tc>
          <w:tcPr>
            <w:tcW w:w="1838" w:type="dxa"/>
            <w:vAlign w:val="center"/>
          </w:tcPr>
          <w:p w14:paraId="5EB0873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693" w:type="dxa"/>
            <w:vAlign w:val="center"/>
          </w:tcPr>
          <w:p w14:paraId="3540D54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14771.49</w:t>
            </w:r>
          </w:p>
        </w:tc>
        <w:tc>
          <w:tcPr>
            <w:tcW w:w="2552" w:type="dxa"/>
            <w:vAlign w:val="center"/>
          </w:tcPr>
          <w:p w14:paraId="1343AFE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178751.43</w:t>
            </w:r>
          </w:p>
        </w:tc>
        <w:tc>
          <w:tcPr>
            <w:tcW w:w="1848" w:type="dxa"/>
            <w:vAlign w:val="center"/>
          </w:tcPr>
          <w:p w14:paraId="26C0355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8.26</w:t>
            </w:r>
          </w:p>
        </w:tc>
      </w:tr>
      <w:tr w:rsidR="00077ECB" w:rsidRPr="00077ECB" w14:paraId="42260CEC" w14:textId="77777777" w:rsidTr="002D3B42">
        <w:trPr>
          <w:jc w:val="center"/>
        </w:trPr>
        <w:tc>
          <w:tcPr>
            <w:tcW w:w="1838" w:type="dxa"/>
            <w:vAlign w:val="center"/>
          </w:tcPr>
          <w:p w14:paraId="07872B1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693" w:type="dxa"/>
            <w:vAlign w:val="center"/>
          </w:tcPr>
          <w:p w14:paraId="678CF48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20277.68</w:t>
            </w:r>
          </w:p>
        </w:tc>
        <w:tc>
          <w:tcPr>
            <w:tcW w:w="2552" w:type="dxa"/>
            <w:vAlign w:val="center"/>
          </w:tcPr>
          <w:p w14:paraId="258EFEA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249815.55</w:t>
            </w:r>
          </w:p>
        </w:tc>
        <w:tc>
          <w:tcPr>
            <w:tcW w:w="1848" w:type="dxa"/>
            <w:vAlign w:val="center"/>
          </w:tcPr>
          <w:p w14:paraId="79CCD57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8.12</w:t>
            </w:r>
          </w:p>
        </w:tc>
      </w:tr>
      <w:tr w:rsidR="00077ECB" w:rsidRPr="00077ECB" w14:paraId="327BEAF8" w14:textId="77777777" w:rsidTr="002D3B42">
        <w:trPr>
          <w:jc w:val="center"/>
        </w:trPr>
        <w:tc>
          <w:tcPr>
            <w:tcW w:w="1838" w:type="dxa"/>
            <w:vAlign w:val="center"/>
          </w:tcPr>
          <w:p w14:paraId="48CA99B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693" w:type="dxa"/>
            <w:vAlign w:val="center"/>
          </w:tcPr>
          <w:p w14:paraId="1F77F57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31459.58</w:t>
            </w:r>
          </w:p>
        </w:tc>
        <w:tc>
          <w:tcPr>
            <w:tcW w:w="2552" w:type="dxa"/>
            <w:vAlign w:val="center"/>
          </w:tcPr>
          <w:p w14:paraId="5810DD5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305963.92</w:t>
            </w:r>
          </w:p>
        </w:tc>
        <w:tc>
          <w:tcPr>
            <w:tcW w:w="1848" w:type="dxa"/>
            <w:vAlign w:val="center"/>
          </w:tcPr>
          <w:p w14:paraId="1A07A61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10.28</w:t>
            </w:r>
          </w:p>
        </w:tc>
      </w:tr>
      <w:tr w:rsidR="00077ECB" w:rsidRPr="00077ECB" w14:paraId="3DA02A70" w14:textId="77777777" w:rsidTr="002D3B42">
        <w:trPr>
          <w:jc w:val="center"/>
        </w:trPr>
        <w:tc>
          <w:tcPr>
            <w:tcW w:w="1838" w:type="dxa"/>
            <w:vAlign w:val="center"/>
          </w:tcPr>
          <w:p w14:paraId="56F1F66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693" w:type="dxa"/>
            <w:vAlign w:val="center"/>
          </w:tcPr>
          <w:p w14:paraId="1B876E4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35898.06</w:t>
            </w:r>
          </w:p>
        </w:tc>
        <w:tc>
          <w:tcPr>
            <w:tcW w:w="2552" w:type="dxa"/>
            <w:vAlign w:val="center"/>
          </w:tcPr>
          <w:p w14:paraId="359E092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300400.58</w:t>
            </w:r>
          </w:p>
        </w:tc>
        <w:tc>
          <w:tcPr>
            <w:tcW w:w="1848" w:type="dxa"/>
            <w:vAlign w:val="center"/>
          </w:tcPr>
          <w:p w14:paraId="0AD2374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11.95</w:t>
            </w:r>
          </w:p>
        </w:tc>
      </w:tr>
      <w:tr w:rsidR="00077ECB" w:rsidRPr="00077ECB" w14:paraId="429BCBF7" w14:textId="77777777" w:rsidTr="002D3B42">
        <w:trPr>
          <w:jc w:val="center"/>
        </w:trPr>
        <w:tc>
          <w:tcPr>
            <w:tcW w:w="1838" w:type="dxa"/>
            <w:vAlign w:val="center"/>
          </w:tcPr>
          <w:p w14:paraId="4488DD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693" w:type="dxa"/>
            <w:vAlign w:val="center"/>
          </w:tcPr>
          <w:p w14:paraId="51AB6C9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38051.43</w:t>
            </w:r>
          </w:p>
        </w:tc>
        <w:tc>
          <w:tcPr>
            <w:tcW w:w="2552" w:type="dxa"/>
            <w:vAlign w:val="center"/>
          </w:tcPr>
          <w:p w14:paraId="387297E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312621</w:t>
            </w:r>
          </w:p>
        </w:tc>
        <w:tc>
          <w:tcPr>
            <w:tcW w:w="1848" w:type="dxa"/>
            <w:vAlign w:val="center"/>
          </w:tcPr>
          <w:p w14:paraId="1F3B579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12.17</w:t>
            </w:r>
          </w:p>
        </w:tc>
      </w:tr>
      <w:tr w:rsidR="00077ECB" w:rsidRPr="00077ECB" w14:paraId="3DFC00BF" w14:textId="77777777" w:rsidTr="002D3B42">
        <w:trPr>
          <w:jc w:val="center"/>
        </w:trPr>
        <w:tc>
          <w:tcPr>
            <w:tcW w:w="1838" w:type="dxa"/>
            <w:vAlign w:val="center"/>
          </w:tcPr>
          <w:p w14:paraId="6DEC9E9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693" w:type="dxa"/>
            <w:vAlign w:val="center"/>
          </w:tcPr>
          <w:p w14:paraId="298CFB3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36171.92</w:t>
            </w:r>
          </w:p>
        </w:tc>
        <w:tc>
          <w:tcPr>
            <w:tcW w:w="2552" w:type="dxa"/>
            <w:vAlign w:val="center"/>
          </w:tcPr>
          <w:p w14:paraId="208E70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310338.48</w:t>
            </w:r>
          </w:p>
        </w:tc>
        <w:tc>
          <w:tcPr>
            <w:tcW w:w="1848" w:type="dxa"/>
            <w:vAlign w:val="center"/>
          </w:tcPr>
          <w:p w14:paraId="1383AFC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11.66</w:t>
            </w:r>
          </w:p>
        </w:tc>
      </w:tr>
      <w:tr w:rsidR="00077ECB" w:rsidRPr="00077ECB" w14:paraId="14A1B5BA" w14:textId="77777777" w:rsidTr="002D3B42">
        <w:trPr>
          <w:jc w:val="center"/>
        </w:trPr>
        <w:tc>
          <w:tcPr>
            <w:tcW w:w="1838" w:type="dxa"/>
            <w:vAlign w:val="center"/>
          </w:tcPr>
          <w:p w14:paraId="07B57ED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693" w:type="dxa"/>
            <w:vAlign w:val="center"/>
          </w:tcPr>
          <w:p w14:paraId="58D00E0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29672.31</w:t>
            </w:r>
          </w:p>
        </w:tc>
        <w:tc>
          <w:tcPr>
            <w:tcW w:w="2552" w:type="dxa"/>
            <w:vAlign w:val="center"/>
          </w:tcPr>
          <w:p w14:paraId="40B7933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262291.09</w:t>
            </w:r>
          </w:p>
        </w:tc>
        <w:tc>
          <w:tcPr>
            <w:tcW w:w="1848" w:type="dxa"/>
            <w:vAlign w:val="center"/>
          </w:tcPr>
          <w:p w14:paraId="5D9768F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11.31</w:t>
            </w:r>
          </w:p>
        </w:tc>
      </w:tr>
      <w:tr w:rsidR="00077ECB" w:rsidRPr="00077ECB" w14:paraId="3E17DDA7" w14:textId="77777777" w:rsidTr="002D3B42">
        <w:trPr>
          <w:jc w:val="center"/>
        </w:trPr>
        <w:tc>
          <w:tcPr>
            <w:tcW w:w="1838" w:type="dxa"/>
            <w:vAlign w:val="center"/>
          </w:tcPr>
          <w:p w14:paraId="1AC561B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693" w:type="dxa"/>
            <w:vAlign w:val="center"/>
          </w:tcPr>
          <w:p w14:paraId="21414A7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30871.47</w:t>
            </w:r>
          </w:p>
        </w:tc>
        <w:tc>
          <w:tcPr>
            <w:tcW w:w="2552" w:type="dxa"/>
            <w:vAlign w:val="center"/>
          </w:tcPr>
          <w:p w14:paraId="60D3AE6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275852.43</w:t>
            </w:r>
          </w:p>
        </w:tc>
        <w:tc>
          <w:tcPr>
            <w:tcW w:w="1848" w:type="dxa"/>
            <w:vAlign w:val="center"/>
          </w:tcPr>
          <w:p w14:paraId="33D644B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11.19</w:t>
            </w:r>
          </w:p>
        </w:tc>
      </w:tr>
      <w:tr w:rsidR="00077ECB" w:rsidRPr="00077ECB" w14:paraId="3A26DD10" w14:textId="77777777" w:rsidTr="002D3B42">
        <w:trPr>
          <w:jc w:val="center"/>
        </w:trPr>
        <w:tc>
          <w:tcPr>
            <w:tcW w:w="1838" w:type="dxa"/>
            <w:vAlign w:val="center"/>
          </w:tcPr>
          <w:p w14:paraId="349F251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693" w:type="dxa"/>
            <w:vAlign w:val="center"/>
          </w:tcPr>
          <w:p w14:paraId="585E998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35467.9</w:t>
            </w:r>
          </w:p>
        </w:tc>
        <w:tc>
          <w:tcPr>
            <w:tcW w:w="2552" w:type="dxa"/>
            <w:vAlign w:val="center"/>
          </w:tcPr>
          <w:p w14:paraId="4034B66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303526.2</w:t>
            </w:r>
          </w:p>
        </w:tc>
        <w:tc>
          <w:tcPr>
            <w:tcW w:w="1848" w:type="dxa"/>
            <w:vAlign w:val="center"/>
          </w:tcPr>
          <w:p w14:paraId="41461F2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11.69</w:t>
            </w:r>
          </w:p>
        </w:tc>
      </w:tr>
      <w:tr w:rsidR="00077ECB" w:rsidRPr="00077ECB" w14:paraId="55785CC1" w14:textId="77777777" w:rsidTr="002D3B42">
        <w:trPr>
          <w:jc w:val="center"/>
        </w:trPr>
        <w:tc>
          <w:tcPr>
            <w:tcW w:w="1838" w:type="dxa"/>
            <w:vAlign w:val="center"/>
          </w:tcPr>
          <w:p w14:paraId="7FFB6ED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693" w:type="dxa"/>
            <w:vAlign w:val="center"/>
          </w:tcPr>
          <w:p w14:paraId="6BD96CD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35302.46</w:t>
            </w:r>
          </w:p>
        </w:tc>
        <w:tc>
          <w:tcPr>
            <w:tcW w:w="2552" w:type="dxa"/>
            <w:vAlign w:val="center"/>
          </w:tcPr>
          <w:p w14:paraId="0F30D8C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330078</w:t>
            </w:r>
          </w:p>
        </w:tc>
        <w:tc>
          <w:tcPr>
            <w:tcW w:w="1848" w:type="dxa"/>
            <w:vAlign w:val="center"/>
          </w:tcPr>
          <w:p w14:paraId="5FF858E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10.70</w:t>
            </w:r>
          </w:p>
        </w:tc>
      </w:tr>
      <w:tr w:rsidR="00077ECB" w:rsidRPr="00077ECB" w14:paraId="72598CAD" w14:textId="77777777" w:rsidTr="002D3B42">
        <w:trPr>
          <w:jc w:val="center"/>
        </w:trPr>
        <w:tc>
          <w:tcPr>
            <w:tcW w:w="1838" w:type="dxa"/>
            <w:vAlign w:val="center"/>
          </w:tcPr>
          <w:p w14:paraId="058B3E1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693" w:type="dxa"/>
            <w:vAlign w:val="center"/>
          </w:tcPr>
          <w:p w14:paraId="49D9DA5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32731.98</w:t>
            </w:r>
          </w:p>
        </w:tc>
        <w:tc>
          <w:tcPr>
            <w:tcW w:w="2552" w:type="dxa"/>
            <w:vAlign w:val="center"/>
          </w:tcPr>
          <w:p w14:paraId="459AEBB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313361</w:t>
            </w:r>
          </w:p>
        </w:tc>
        <w:tc>
          <w:tcPr>
            <w:tcW w:w="1848" w:type="dxa"/>
            <w:vAlign w:val="center"/>
          </w:tcPr>
          <w:p w14:paraId="6352963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10.45</w:t>
            </w:r>
          </w:p>
        </w:tc>
      </w:tr>
      <w:tr w:rsidR="00077ECB" w:rsidRPr="00077ECB" w14:paraId="189867BA" w14:textId="77777777" w:rsidTr="002D3B42">
        <w:trPr>
          <w:jc w:val="center"/>
        </w:trPr>
        <w:tc>
          <w:tcPr>
            <w:tcW w:w="1838" w:type="dxa"/>
            <w:vAlign w:val="center"/>
          </w:tcPr>
          <w:p w14:paraId="7076BAB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693" w:type="dxa"/>
            <w:vAlign w:val="center"/>
          </w:tcPr>
          <w:p w14:paraId="15E6C21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38654.67</w:t>
            </w:r>
          </w:p>
        </w:tc>
        <w:tc>
          <w:tcPr>
            <w:tcW w:w="2552" w:type="dxa"/>
            <w:vAlign w:val="center"/>
          </w:tcPr>
          <w:p w14:paraId="50B1000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291808.5</w:t>
            </w:r>
          </w:p>
        </w:tc>
        <w:tc>
          <w:tcPr>
            <w:tcW w:w="1848" w:type="dxa"/>
            <w:vAlign w:val="center"/>
          </w:tcPr>
          <w:p w14:paraId="315B59F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13.25</w:t>
            </w:r>
          </w:p>
        </w:tc>
      </w:tr>
      <w:tr w:rsidR="00077ECB" w:rsidRPr="00077ECB" w14:paraId="7BDF5624" w14:textId="77777777" w:rsidTr="002D3B42">
        <w:trPr>
          <w:jc w:val="center"/>
        </w:trPr>
        <w:tc>
          <w:tcPr>
            <w:tcW w:w="1838" w:type="dxa"/>
            <w:vAlign w:val="center"/>
          </w:tcPr>
          <w:p w14:paraId="29D0071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693" w:type="dxa"/>
            <w:vAlign w:val="center"/>
          </w:tcPr>
          <w:p w14:paraId="2CADB46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46113.94</w:t>
            </w:r>
          </w:p>
        </w:tc>
        <w:tc>
          <w:tcPr>
            <w:tcW w:w="2552" w:type="dxa"/>
            <w:vAlign w:val="center"/>
          </w:tcPr>
          <w:p w14:paraId="1EEDED1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42204.4</w:t>
            </w:r>
          </w:p>
        </w:tc>
        <w:tc>
          <w:tcPr>
            <w:tcW w:w="1848" w:type="dxa"/>
            <w:vAlign w:val="center"/>
          </w:tcPr>
          <w:p w14:paraId="28AC7A5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10.93</w:t>
            </w:r>
          </w:p>
        </w:tc>
      </w:tr>
      <w:tr w:rsidR="00077ECB" w:rsidRPr="00077ECB" w14:paraId="2D3E3601" w14:textId="77777777" w:rsidTr="002D3B42">
        <w:trPr>
          <w:jc w:val="center"/>
        </w:trPr>
        <w:tc>
          <w:tcPr>
            <w:tcW w:w="1838" w:type="dxa"/>
            <w:vAlign w:val="center"/>
          </w:tcPr>
          <w:p w14:paraId="41F895C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2022-23</w:t>
            </w:r>
          </w:p>
        </w:tc>
        <w:tc>
          <w:tcPr>
            <w:tcW w:w="2693" w:type="dxa"/>
            <w:vAlign w:val="center"/>
          </w:tcPr>
          <w:p w14:paraId="78976A2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51061.22</w:t>
            </w:r>
          </w:p>
        </w:tc>
        <w:tc>
          <w:tcPr>
            <w:tcW w:w="2552" w:type="dxa"/>
            <w:vAlign w:val="center"/>
          </w:tcPr>
          <w:p w14:paraId="63D153F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451070</w:t>
            </w:r>
          </w:p>
        </w:tc>
        <w:tc>
          <w:tcPr>
            <w:tcW w:w="1848" w:type="dxa"/>
            <w:vAlign w:val="center"/>
          </w:tcPr>
          <w:p w14:paraId="708EB18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11.32</w:t>
            </w:r>
          </w:p>
        </w:tc>
      </w:tr>
      <w:tr w:rsidR="00077ECB" w:rsidRPr="00077ECB" w14:paraId="6CCD1E1A" w14:textId="77777777" w:rsidTr="002D3B42">
        <w:trPr>
          <w:jc w:val="center"/>
        </w:trPr>
        <w:tc>
          <w:tcPr>
            <w:tcW w:w="1838" w:type="dxa"/>
            <w:vAlign w:val="center"/>
          </w:tcPr>
          <w:p w14:paraId="46AA9EC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2023-24</w:t>
            </w:r>
          </w:p>
        </w:tc>
        <w:tc>
          <w:tcPr>
            <w:tcW w:w="2693" w:type="dxa"/>
            <w:vAlign w:val="center"/>
          </w:tcPr>
          <w:p w14:paraId="1A9B018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46435.53</w:t>
            </w:r>
          </w:p>
        </w:tc>
        <w:tc>
          <w:tcPr>
            <w:tcW w:w="2552" w:type="dxa"/>
            <w:vAlign w:val="center"/>
          </w:tcPr>
          <w:p w14:paraId="479676D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395394.98</w:t>
            </w:r>
          </w:p>
        </w:tc>
        <w:tc>
          <w:tcPr>
            <w:tcW w:w="1848" w:type="dxa"/>
            <w:vAlign w:val="center"/>
          </w:tcPr>
          <w:p w14:paraId="7259743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11.74</w:t>
            </w:r>
          </w:p>
        </w:tc>
      </w:tr>
    </w:tbl>
    <w:p w14:paraId="1408B27A" w14:textId="77777777" w:rsidR="00077ECB" w:rsidRPr="00077ECB" w:rsidRDefault="00077ECB" w:rsidP="00E04597">
      <w:pPr>
        <w:spacing w:after="120" w:line="276" w:lineRule="auto"/>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(Source – </w:t>
      </w:r>
      <w:proofErr w:type="spellStart"/>
      <w:r w:rsidRPr="00077ECB">
        <w:rPr>
          <w:rFonts w:ascii="Times New Roman" w:eastAsia="Calibri" w:hAnsi="Times New Roman" w:cs="Times New Roman"/>
          <w:bCs/>
          <w:color w:val="000000"/>
          <w:sz w:val="24"/>
          <w:szCs w:val="24"/>
          <w:lang w:val="en-US"/>
        </w:rPr>
        <w:t>Tradestat</w:t>
      </w:r>
      <w:proofErr w:type="spellEnd"/>
      <w:r w:rsidRPr="00077ECB">
        <w:rPr>
          <w:rFonts w:ascii="Times New Roman" w:eastAsia="Calibri" w:hAnsi="Times New Roman" w:cs="Times New Roman"/>
          <w:bCs/>
          <w:color w:val="000000"/>
          <w:sz w:val="24"/>
          <w:szCs w:val="24"/>
          <w:lang w:val="en-US"/>
        </w:rPr>
        <w:t>, Department of Commerce, Ministry of Commerce and Industry)</w:t>
      </w:r>
    </w:p>
    <w:p w14:paraId="79CBBB84" w14:textId="0BA00CF3" w:rsidR="00864175" w:rsidRDefault="00077ECB" w:rsidP="00E04597">
      <w:pPr>
        <w:spacing w:before="120" w:after="20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B16130">
        <w:rPr>
          <w:rFonts w:ascii="Times New Roman" w:eastAsia="Calibri" w:hAnsi="Times New Roman" w:cs="Times New Roman"/>
          <w:bCs/>
          <w:color w:val="000000"/>
          <w:sz w:val="24"/>
          <w:szCs w:val="24"/>
          <w:lang w:val="en-US"/>
        </w:rPr>
        <w:t>8</w:t>
      </w:r>
      <w:r w:rsidRPr="00077ECB">
        <w:rPr>
          <w:rFonts w:ascii="Times New Roman" w:eastAsia="Calibri" w:hAnsi="Times New Roman" w:cs="Times New Roman"/>
          <w:bCs/>
          <w:color w:val="000000"/>
          <w:sz w:val="24"/>
          <w:szCs w:val="24"/>
          <w:lang w:val="en-US"/>
        </w:rPr>
        <w:t xml:space="preserve"> provides a </w:t>
      </w:r>
      <w:r w:rsidR="00B16130" w:rsidRPr="00CF6640">
        <w:rPr>
          <w:rFonts w:ascii="Times New Roman" w:eastAsia="Calibri" w:hAnsi="Times New Roman" w:cs="Times New Roman"/>
          <w:bCs/>
          <w:color w:val="000000"/>
          <w:sz w:val="24"/>
          <w:szCs w:val="24"/>
        </w:rPr>
        <w:t>five-year</w:t>
      </w:r>
      <w:r w:rsidR="00B16130">
        <w:rPr>
          <w:rFonts w:ascii="Times New Roman" w:eastAsia="Calibri" w:hAnsi="Times New Roman" w:cs="Times New Roman"/>
          <w:bCs/>
          <w:color w:val="000000"/>
          <w:sz w:val="24"/>
          <w:szCs w:val="24"/>
        </w:rPr>
        <w:t>, ten-year, and overall</w:t>
      </w:r>
      <w:r w:rsidR="00B16130" w:rsidRPr="00CF6640">
        <w:rPr>
          <w:rFonts w:ascii="Times New Roman" w:eastAsia="Calibri" w:hAnsi="Times New Roman" w:cs="Times New Roman"/>
          <w:bCs/>
          <w:color w:val="000000"/>
          <w:sz w:val="24"/>
          <w:szCs w:val="24"/>
        </w:rPr>
        <w:t xml:space="preserve"> analysis</w:t>
      </w:r>
      <w:r w:rsidR="00B16130">
        <w:rPr>
          <w:rFonts w:ascii="Times New Roman" w:eastAsia="Calibri" w:hAnsi="Times New Roman" w:cs="Times New Roman"/>
          <w:bCs/>
          <w:color w:val="000000"/>
          <w:sz w:val="24"/>
          <w:szCs w:val="24"/>
        </w:rPr>
        <w:t xml:space="preserve"> </w:t>
      </w:r>
      <w:r w:rsidRPr="00077ECB">
        <w:rPr>
          <w:rFonts w:ascii="Times New Roman" w:eastAsia="Calibri" w:hAnsi="Times New Roman" w:cs="Times New Roman"/>
          <w:bCs/>
          <w:color w:val="000000"/>
          <w:sz w:val="24"/>
          <w:szCs w:val="24"/>
          <w:lang w:val="en-US"/>
        </w:rPr>
        <w:t xml:space="preserve">of export growth of agri-food products, </w:t>
      </w:r>
      <w:r w:rsidR="007C116C">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2008-09, the estimated CAGR was 14.55%, which increased to 20.83% from 2009-10 to 2013-14. However, it then decreased to -0.49% from 2014-15 to 2018-19, and further increased to 7.24% from 2019-20 to 2023-24.</w:t>
      </w:r>
    </w:p>
    <w:p w14:paraId="5D7C2E5A" w14:textId="4273FAE0" w:rsidR="00B16130" w:rsidRDefault="00B16130"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lastRenderedPageBreak/>
        <w:t>F</w:t>
      </w:r>
      <w:r w:rsidRPr="00077ECB">
        <w:rPr>
          <w:rFonts w:ascii="Times New Roman" w:eastAsia="Calibri" w:hAnsi="Times New Roman" w:cs="Times New Roman"/>
          <w:bCs/>
          <w:color w:val="000000"/>
          <w:sz w:val="24"/>
          <w:szCs w:val="24"/>
          <w:lang w:val="en-US"/>
        </w:rPr>
        <w:t>rom 2004-05 to 2013-14, the estimated CAGR was 16.52%, which decreased to 2.53% from 2014-15 to 2023-24.</w:t>
      </w:r>
    </w:p>
    <w:p w14:paraId="035BF839" w14:textId="5348DBB7" w:rsidR="00B16130" w:rsidRDefault="00B16130"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wenty-year analysis (Overall) of export growth</w:t>
      </w:r>
      <w:r w:rsidRPr="00077ECB">
        <w:rPr>
          <w:rFonts w:ascii="Times New Roman" w:eastAsia="Calibri" w:hAnsi="Times New Roman" w:cs="Times New Roman"/>
          <w:bCs/>
          <w:color w:val="000000"/>
          <w:sz w:val="24"/>
          <w:szCs w:val="24"/>
        </w:rPr>
        <w:t xml:space="preserve"> of agri-food products</w:t>
      </w:r>
      <w:r w:rsidRPr="00077ECB">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2023-24, the estimated CAGR was 9.03%.</w:t>
      </w:r>
    </w:p>
    <w:p w14:paraId="55620B9A" w14:textId="4E5FC496" w:rsid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w:t>
      </w:r>
      <w:r w:rsidR="00B16130">
        <w:rPr>
          <w:rFonts w:ascii="Times New Roman" w:eastAsia="Calibri" w:hAnsi="Times New Roman" w:cs="Times New Roman"/>
          <w:b/>
          <w:color w:val="000000"/>
          <w:sz w:val="24"/>
          <w:szCs w:val="24"/>
        </w:rPr>
        <w:t xml:space="preserve"> 8</w:t>
      </w:r>
      <w:r w:rsidRPr="00077ECB">
        <w:rPr>
          <w:rFonts w:ascii="Times New Roman" w:eastAsia="Calibri" w:hAnsi="Times New Roman" w:cs="Times New Roman"/>
          <w:b/>
          <w:color w:val="000000"/>
          <w:sz w:val="24"/>
          <w:szCs w:val="24"/>
        </w:rPr>
        <w:t xml:space="preserve">: </w:t>
      </w:r>
      <w:r w:rsidR="00B16130">
        <w:rPr>
          <w:rFonts w:ascii="Times New Roman" w:eastAsia="Calibri" w:hAnsi="Times New Roman" w:cs="Times New Roman"/>
          <w:b/>
          <w:color w:val="000000"/>
          <w:sz w:val="24"/>
          <w:szCs w:val="24"/>
        </w:rPr>
        <w:t>A</w:t>
      </w:r>
      <w:proofErr w:type="spellStart"/>
      <w:r w:rsidRPr="00077ECB">
        <w:rPr>
          <w:rFonts w:ascii="Times New Roman" w:eastAsia="Calibri" w:hAnsi="Times New Roman" w:cs="Times New Roman"/>
          <w:b/>
          <w:color w:val="000000"/>
          <w:sz w:val="24"/>
          <w:szCs w:val="24"/>
          <w:lang w:val="en-US"/>
        </w:rPr>
        <w:t>nalysis</w:t>
      </w:r>
      <w:proofErr w:type="spellEnd"/>
      <w:r w:rsidRPr="00077ECB">
        <w:rPr>
          <w:rFonts w:ascii="Times New Roman" w:eastAsia="Calibri" w:hAnsi="Times New Roman" w:cs="Times New Roman"/>
          <w:b/>
          <w:color w:val="000000"/>
          <w:sz w:val="24"/>
          <w:szCs w:val="24"/>
          <w:lang w:val="en-US"/>
        </w:rPr>
        <w:t xml:space="preserve"> of export growth</w:t>
      </w:r>
      <w:r w:rsidRPr="00077ECB">
        <w:rPr>
          <w:rFonts w:ascii="Times New Roman" w:eastAsia="Calibri" w:hAnsi="Times New Roman" w:cs="Times New Roman"/>
          <w:b/>
          <w:color w:val="000000"/>
          <w:sz w:val="24"/>
          <w:szCs w:val="24"/>
        </w:rPr>
        <w:t xml:space="preserve"> of agri-food products</w:t>
      </w:r>
    </w:p>
    <w:tbl>
      <w:tblPr>
        <w:tblStyle w:val="TableGrid1"/>
        <w:tblW w:w="0" w:type="auto"/>
        <w:jc w:val="center"/>
        <w:tblLook w:val="04A0" w:firstRow="1" w:lastRow="0" w:firstColumn="1" w:lastColumn="0" w:noHBand="0" w:noVBand="1"/>
      </w:tblPr>
      <w:tblGrid>
        <w:gridCol w:w="2122"/>
        <w:gridCol w:w="1559"/>
        <w:gridCol w:w="1699"/>
        <w:gridCol w:w="1818"/>
        <w:gridCol w:w="1818"/>
      </w:tblGrid>
      <w:tr w:rsidR="00864175" w:rsidRPr="00077ECB" w14:paraId="10EC718F" w14:textId="77777777" w:rsidTr="00882DAD">
        <w:trPr>
          <w:trHeight w:val="706"/>
          <w:jc w:val="center"/>
        </w:trPr>
        <w:tc>
          <w:tcPr>
            <w:tcW w:w="2122" w:type="dxa"/>
            <w:shd w:val="clear" w:color="auto" w:fill="FFFF00"/>
            <w:vAlign w:val="center"/>
          </w:tcPr>
          <w:p w14:paraId="1133D68F"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Particulars</w:t>
            </w:r>
          </w:p>
        </w:tc>
        <w:tc>
          <w:tcPr>
            <w:tcW w:w="1559" w:type="dxa"/>
            <w:shd w:val="clear" w:color="auto" w:fill="FFFF00"/>
            <w:vAlign w:val="center"/>
          </w:tcPr>
          <w:p w14:paraId="0CBADF6E"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200</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9</w:t>
            </w:r>
          </w:p>
        </w:tc>
        <w:tc>
          <w:tcPr>
            <w:tcW w:w="1699" w:type="dxa"/>
            <w:shd w:val="clear" w:color="auto" w:fill="FFFF00"/>
            <w:vAlign w:val="center"/>
          </w:tcPr>
          <w:p w14:paraId="781A2A44"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10</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4</w:t>
            </w:r>
          </w:p>
        </w:tc>
        <w:tc>
          <w:tcPr>
            <w:tcW w:w="1818" w:type="dxa"/>
            <w:shd w:val="clear" w:color="auto" w:fill="FFFF00"/>
            <w:vAlign w:val="center"/>
          </w:tcPr>
          <w:p w14:paraId="1ED47275"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9</w:t>
            </w:r>
          </w:p>
        </w:tc>
        <w:tc>
          <w:tcPr>
            <w:tcW w:w="1818" w:type="dxa"/>
            <w:shd w:val="clear" w:color="auto" w:fill="FFFF00"/>
            <w:vAlign w:val="center"/>
          </w:tcPr>
          <w:p w14:paraId="5737C0CE"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20</w:t>
            </w:r>
            <w:r w:rsidRPr="00077ECB">
              <w:rPr>
                <w:rFonts w:ascii="Times New Roman" w:eastAsia="Calibri" w:hAnsi="Times New Roman" w:cs="Times New Roman"/>
                <w:b/>
                <w:color w:val="000000"/>
                <w:sz w:val="24"/>
                <w:szCs w:val="24"/>
              </w:rPr>
              <w:t xml:space="preserve"> to 202</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4</w:t>
            </w:r>
          </w:p>
        </w:tc>
      </w:tr>
      <w:tr w:rsidR="00864175" w:rsidRPr="00077ECB" w14:paraId="56251277" w14:textId="77777777" w:rsidTr="00882DAD">
        <w:trPr>
          <w:trHeight w:val="404"/>
          <w:jc w:val="center"/>
        </w:trPr>
        <w:tc>
          <w:tcPr>
            <w:tcW w:w="2122" w:type="dxa"/>
            <w:vAlign w:val="center"/>
          </w:tcPr>
          <w:p w14:paraId="59CD42CE"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559" w:type="dxa"/>
            <w:vAlign w:val="center"/>
          </w:tcPr>
          <w:p w14:paraId="3288BA18" w14:textId="64FAC3E2"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14.55%</w:t>
            </w:r>
          </w:p>
        </w:tc>
        <w:tc>
          <w:tcPr>
            <w:tcW w:w="1699" w:type="dxa"/>
            <w:vAlign w:val="center"/>
          </w:tcPr>
          <w:p w14:paraId="4257FBB7" w14:textId="54DC8650"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20.83%</w:t>
            </w:r>
          </w:p>
        </w:tc>
        <w:tc>
          <w:tcPr>
            <w:tcW w:w="1818" w:type="dxa"/>
            <w:vAlign w:val="center"/>
          </w:tcPr>
          <w:p w14:paraId="446082E2" w14:textId="0EDB45C6"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-0.49%</w:t>
            </w:r>
          </w:p>
        </w:tc>
        <w:tc>
          <w:tcPr>
            <w:tcW w:w="1818" w:type="dxa"/>
            <w:vAlign w:val="center"/>
          </w:tcPr>
          <w:p w14:paraId="4589E50E" w14:textId="4D55B931"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7.24%</w:t>
            </w:r>
          </w:p>
        </w:tc>
      </w:tr>
      <w:tr w:rsidR="00864175" w:rsidRPr="00077ECB" w14:paraId="09D6F94A" w14:textId="77777777" w:rsidTr="00882DAD">
        <w:trPr>
          <w:trHeight w:val="423"/>
          <w:jc w:val="center"/>
        </w:trPr>
        <w:tc>
          <w:tcPr>
            <w:tcW w:w="2122" w:type="dxa"/>
            <w:vAlign w:val="center"/>
          </w:tcPr>
          <w:p w14:paraId="67424AE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258" w:type="dxa"/>
            <w:gridSpan w:val="2"/>
            <w:vAlign w:val="center"/>
          </w:tcPr>
          <w:p w14:paraId="75405A6E" w14:textId="5D7F65C5"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16.52</w:t>
            </w:r>
            <w:r w:rsidRPr="00380333">
              <w:rPr>
                <w:rFonts w:ascii="Times New Roman" w:eastAsia="Calibri" w:hAnsi="Times New Roman" w:cs="Times New Roman"/>
                <w:bCs/>
                <w:color w:val="000000"/>
                <w:sz w:val="24"/>
                <w:szCs w:val="24"/>
              </w:rPr>
              <w:t>%</w:t>
            </w:r>
          </w:p>
        </w:tc>
        <w:tc>
          <w:tcPr>
            <w:tcW w:w="0" w:type="auto"/>
            <w:gridSpan w:val="2"/>
            <w:vAlign w:val="center"/>
          </w:tcPr>
          <w:p w14:paraId="40DA17FC" w14:textId="556EA2B2"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2.53</w:t>
            </w:r>
            <w:r w:rsidRPr="00380333">
              <w:rPr>
                <w:rFonts w:ascii="Times New Roman" w:eastAsia="Calibri" w:hAnsi="Times New Roman" w:cs="Times New Roman"/>
                <w:bCs/>
                <w:color w:val="000000"/>
                <w:sz w:val="24"/>
                <w:szCs w:val="24"/>
              </w:rPr>
              <w:t>%</w:t>
            </w:r>
          </w:p>
        </w:tc>
      </w:tr>
      <w:tr w:rsidR="00864175" w:rsidRPr="00077ECB" w14:paraId="7E9A2FF7" w14:textId="77777777" w:rsidTr="00882DAD">
        <w:trPr>
          <w:trHeight w:val="414"/>
          <w:jc w:val="center"/>
        </w:trPr>
        <w:tc>
          <w:tcPr>
            <w:tcW w:w="2122" w:type="dxa"/>
            <w:vAlign w:val="center"/>
          </w:tcPr>
          <w:p w14:paraId="17263E1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3128A04B" w14:textId="0FCB9D58"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9.03</w:t>
            </w:r>
            <w:r w:rsidRPr="00380333">
              <w:rPr>
                <w:rFonts w:ascii="Times New Roman" w:eastAsia="Calibri" w:hAnsi="Times New Roman" w:cs="Times New Roman"/>
                <w:bCs/>
                <w:color w:val="000000"/>
                <w:sz w:val="24"/>
                <w:szCs w:val="24"/>
              </w:rPr>
              <w:t>%</w:t>
            </w:r>
          </w:p>
        </w:tc>
      </w:tr>
    </w:tbl>
    <w:p w14:paraId="5EEC172D" w14:textId="7F8496E2" w:rsidR="00077ECB" w:rsidRPr="00077ECB" w:rsidRDefault="0037257A" w:rsidP="00E04597">
      <w:pPr>
        <w:spacing w:before="120" w:after="12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
          <w:bCs/>
          <w:color w:val="000000"/>
          <w:sz w:val="24"/>
          <w:szCs w:val="24"/>
          <w:lang w:val="en-US"/>
        </w:rPr>
        <w:t>3</w:t>
      </w:r>
      <w:r w:rsidR="00077ECB" w:rsidRPr="00077ECB">
        <w:rPr>
          <w:rFonts w:ascii="Times New Roman" w:eastAsia="Calibri" w:hAnsi="Times New Roman" w:cs="Times New Roman"/>
          <w:b/>
          <w:bCs/>
          <w:color w:val="000000"/>
          <w:sz w:val="24"/>
          <w:szCs w:val="24"/>
          <w:lang w:val="en-US"/>
        </w:rPr>
        <w:t>.</w:t>
      </w:r>
      <w:r w:rsidR="00A80293">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5 Import of Agri-Food Products</w:t>
      </w:r>
    </w:p>
    <w:p w14:paraId="2241FD14" w14:textId="227B01E5" w:rsidR="00077ECB" w:rsidRPr="00077ECB" w:rsidRDefault="00077ECB" w:rsidP="00E04597">
      <w:pPr>
        <w:spacing w:before="120" w:after="200" w:line="276" w:lineRule="auto"/>
        <w:jc w:val="both"/>
        <w:rPr>
          <w:rFonts w:ascii="Times New Roman" w:eastAsia="Calibri" w:hAnsi="Times New Roman" w:cs="Times New Roman"/>
          <w:b/>
          <w:color w:val="000000"/>
          <w:sz w:val="24"/>
          <w:szCs w:val="24"/>
        </w:rPr>
      </w:pPr>
      <w:r w:rsidRPr="00077ECB">
        <w:rPr>
          <w:rFonts w:ascii="Times New Roman" w:eastAsia="Calibri" w:hAnsi="Times New Roman" w:cs="Times New Roman"/>
          <w:bCs/>
          <w:color w:val="000000"/>
          <w:sz w:val="24"/>
          <w:szCs w:val="24"/>
          <w:lang w:val="en-US"/>
        </w:rPr>
        <w:t xml:space="preserve">The table </w:t>
      </w:r>
      <w:r w:rsidR="00FD6792">
        <w:rPr>
          <w:rFonts w:ascii="Times New Roman" w:eastAsia="Calibri" w:hAnsi="Times New Roman" w:cs="Times New Roman"/>
          <w:bCs/>
          <w:color w:val="000000"/>
          <w:sz w:val="24"/>
          <w:szCs w:val="24"/>
          <w:lang w:val="en-US"/>
        </w:rPr>
        <w:t>9</w:t>
      </w:r>
      <w:r w:rsidRPr="00077ECB">
        <w:rPr>
          <w:rFonts w:ascii="Times New Roman" w:eastAsia="Calibri" w:hAnsi="Times New Roman" w:cs="Times New Roman"/>
          <w:bCs/>
          <w:color w:val="000000"/>
          <w:sz w:val="24"/>
          <w:szCs w:val="24"/>
          <w:lang w:val="en-US"/>
        </w:rPr>
        <w:t xml:space="preserve"> shows the total import of agri-food products and India’s total import over the past 20 years, from 2004-05 to 2023-24. It indicates that agri-food products </w:t>
      </w:r>
      <w:r w:rsidRPr="00077ECB">
        <w:rPr>
          <w:rFonts w:ascii="Times New Roman" w:eastAsia="Aptos" w:hAnsi="Times New Roman" w:cs="Times New Roman"/>
          <w:sz w:val="24"/>
          <w:szCs w:val="24"/>
        </w:rPr>
        <w:t>constituted 4.69% of India's total imports in 2023-24.</w:t>
      </w:r>
    </w:p>
    <w:p w14:paraId="5896B90A" w14:textId="2B156902" w:rsidR="00077ECB" w:rsidRPr="00077ECB" w:rsidRDefault="00077ECB" w:rsidP="00E04597">
      <w:pPr>
        <w:spacing w:after="0" w:line="276" w:lineRule="auto"/>
        <w:rPr>
          <w:rFonts w:ascii="Times New Roman" w:eastAsia="Calibri" w:hAnsi="Times New Roman" w:cs="Times New Roman"/>
          <w:b/>
          <w:color w:val="000000"/>
          <w:sz w:val="23"/>
          <w:szCs w:val="23"/>
        </w:rPr>
      </w:pPr>
      <w:r w:rsidRPr="00077ECB">
        <w:rPr>
          <w:rFonts w:ascii="Times New Roman" w:eastAsia="Calibri" w:hAnsi="Times New Roman" w:cs="Times New Roman"/>
          <w:b/>
          <w:color w:val="000000"/>
          <w:sz w:val="23"/>
          <w:szCs w:val="23"/>
        </w:rPr>
        <w:t xml:space="preserve">Table </w:t>
      </w:r>
      <w:r w:rsidR="00FD6792">
        <w:rPr>
          <w:rFonts w:ascii="Times New Roman" w:eastAsia="Calibri" w:hAnsi="Times New Roman" w:cs="Times New Roman"/>
          <w:b/>
          <w:color w:val="000000"/>
          <w:sz w:val="23"/>
          <w:szCs w:val="23"/>
        </w:rPr>
        <w:t>9</w:t>
      </w:r>
      <w:r w:rsidRPr="00077ECB">
        <w:rPr>
          <w:rFonts w:ascii="Times New Roman" w:eastAsia="Calibri" w:hAnsi="Times New Roman" w:cs="Times New Roman"/>
          <w:b/>
          <w:color w:val="000000"/>
          <w:sz w:val="23"/>
          <w:szCs w:val="23"/>
        </w:rPr>
        <w:t>: Import of agri-food products and India’s total import (in USD million)</w:t>
      </w:r>
    </w:p>
    <w:tbl>
      <w:tblPr>
        <w:tblStyle w:val="TableGrid1"/>
        <w:tblW w:w="0" w:type="auto"/>
        <w:jc w:val="center"/>
        <w:tblLook w:val="04A0" w:firstRow="1" w:lastRow="0" w:firstColumn="1" w:lastColumn="0" w:noHBand="0" w:noVBand="1"/>
      </w:tblPr>
      <w:tblGrid>
        <w:gridCol w:w="2405"/>
        <w:gridCol w:w="2552"/>
        <w:gridCol w:w="2650"/>
        <w:gridCol w:w="1409"/>
      </w:tblGrid>
      <w:tr w:rsidR="00077ECB" w:rsidRPr="00077ECB" w14:paraId="2880BC32" w14:textId="77777777" w:rsidTr="0037257A">
        <w:trPr>
          <w:jc w:val="center"/>
        </w:trPr>
        <w:tc>
          <w:tcPr>
            <w:tcW w:w="2405" w:type="dxa"/>
            <w:shd w:val="clear" w:color="auto" w:fill="FFFF00"/>
            <w:vAlign w:val="center"/>
          </w:tcPr>
          <w:p w14:paraId="29458721"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552" w:type="dxa"/>
            <w:shd w:val="clear" w:color="auto" w:fill="FFFF00"/>
            <w:vAlign w:val="center"/>
          </w:tcPr>
          <w:p w14:paraId="6B5DD64D"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Agri-food products</w:t>
            </w:r>
          </w:p>
        </w:tc>
        <w:tc>
          <w:tcPr>
            <w:tcW w:w="2650" w:type="dxa"/>
            <w:shd w:val="clear" w:color="auto" w:fill="FFFF00"/>
            <w:vAlign w:val="center"/>
          </w:tcPr>
          <w:p w14:paraId="09F33599"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India’s total import</w:t>
            </w:r>
          </w:p>
        </w:tc>
        <w:tc>
          <w:tcPr>
            <w:tcW w:w="1409" w:type="dxa"/>
            <w:shd w:val="clear" w:color="auto" w:fill="FFFF00"/>
            <w:vAlign w:val="center"/>
          </w:tcPr>
          <w:p w14:paraId="525BD82B"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share</w:t>
            </w:r>
          </w:p>
        </w:tc>
      </w:tr>
      <w:tr w:rsidR="00077ECB" w:rsidRPr="00077ECB" w14:paraId="4D903752" w14:textId="77777777" w:rsidTr="0037257A">
        <w:trPr>
          <w:jc w:val="center"/>
        </w:trPr>
        <w:tc>
          <w:tcPr>
            <w:tcW w:w="2405" w:type="dxa"/>
            <w:vAlign w:val="center"/>
          </w:tcPr>
          <w:p w14:paraId="6DC0841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552" w:type="dxa"/>
            <w:vAlign w:val="center"/>
          </w:tcPr>
          <w:p w14:paraId="0D98032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4545.9</w:t>
            </w:r>
          </w:p>
        </w:tc>
        <w:tc>
          <w:tcPr>
            <w:tcW w:w="2650" w:type="dxa"/>
            <w:vAlign w:val="center"/>
          </w:tcPr>
          <w:p w14:paraId="1BBCD93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111517.43</w:t>
            </w:r>
          </w:p>
        </w:tc>
        <w:tc>
          <w:tcPr>
            <w:tcW w:w="1409" w:type="dxa"/>
            <w:vAlign w:val="center"/>
          </w:tcPr>
          <w:p w14:paraId="36E6C13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4.08</w:t>
            </w:r>
          </w:p>
        </w:tc>
      </w:tr>
      <w:tr w:rsidR="00077ECB" w:rsidRPr="00077ECB" w14:paraId="4097BEA4" w14:textId="77777777" w:rsidTr="0037257A">
        <w:trPr>
          <w:jc w:val="center"/>
        </w:trPr>
        <w:tc>
          <w:tcPr>
            <w:tcW w:w="2405" w:type="dxa"/>
            <w:vAlign w:val="center"/>
          </w:tcPr>
          <w:p w14:paraId="30A72FC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552" w:type="dxa"/>
            <w:vAlign w:val="center"/>
          </w:tcPr>
          <w:p w14:paraId="18E11A8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4676.49</w:t>
            </w:r>
          </w:p>
        </w:tc>
        <w:tc>
          <w:tcPr>
            <w:tcW w:w="2650" w:type="dxa"/>
            <w:vAlign w:val="center"/>
          </w:tcPr>
          <w:p w14:paraId="0EC42F4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149165.73</w:t>
            </w:r>
          </w:p>
        </w:tc>
        <w:tc>
          <w:tcPr>
            <w:tcW w:w="1409" w:type="dxa"/>
            <w:vAlign w:val="center"/>
          </w:tcPr>
          <w:p w14:paraId="17555B2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3.14</w:t>
            </w:r>
          </w:p>
        </w:tc>
      </w:tr>
      <w:tr w:rsidR="00077ECB" w:rsidRPr="00077ECB" w14:paraId="6030CA28" w14:textId="77777777" w:rsidTr="0037257A">
        <w:trPr>
          <w:jc w:val="center"/>
        </w:trPr>
        <w:tc>
          <w:tcPr>
            <w:tcW w:w="2405" w:type="dxa"/>
            <w:vAlign w:val="center"/>
          </w:tcPr>
          <w:p w14:paraId="187965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552" w:type="dxa"/>
            <w:vAlign w:val="center"/>
          </w:tcPr>
          <w:p w14:paraId="043CB95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6142.16</w:t>
            </w:r>
          </w:p>
        </w:tc>
        <w:tc>
          <w:tcPr>
            <w:tcW w:w="2650" w:type="dxa"/>
            <w:vAlign w:val="center"/>
          </w:tcPr>
          <w:p w14:paraId="289F0F0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185735.24</w:t>
            </w:r>
          </w:p>
        </w:tc>
        <w:tc>
          <w:tcPr>
            <w:tcW w:w="1409" w:type="dxa"/>
            <w:vAlign w:val="center"/>
          </w:tcPr>
          <w:p w14:paraId="790F6F6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3.31</w:t>
            </w:r>
          </w:p>
        </w:tc>
      </w:tr>
      <w:tr w:rsidR="00077ECB" w:rsidRPr="00077ECB" w14:paraId="57722351" w14:textId="77777777" w:rsidTr="0037257A">
        <w:trPr>
          <w:jc w:val="center"/>
        </w:trPr>
        <w:tc>
          <w:tcPr>
            <w:tcW w:w="2405" w:type="dxa"/>
            <w:vAlign w:val="center"/>
          </w:tcPr>
          <w:p w14:paraId="4AC84C5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552" w:type="dxa"/>
            <w:vAlign w:val="center"/>
          </w:tcPr>
          <w:p w14:paraId="0126012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6744.09</w:t>
            </w:r>
          </w:p>
        </w:tc>
        <w:tc>
          <w:tcPr>
            <w:tcW w:w="2650" w:type="dxa"/>
            <w:vAlign w:val="center"/>
          </w:tcPr>
          <w:p w14:paraId="2A06CA3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251654.01</w:t>
            </w:r>
          </w:p>
        </w:tc>
        <w:tc>
          <w:tcPr>
            <w:tcW w:w="1409" w:type="dxa"/>
            <w:vAlign w:val="center"/>
          </w:tcPr>
          <w:p w14:paraId="6188C81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2.68</w:t>
            </w:r>
          </w:p>
        </w:tc>
      </w:tr>
      <w:tr w:rsidR="00077ECB" w:rsidRPr="00077ECB" w14:paraId="0F917910" w14:textId="77777777" w:rsidTr="0037257A">
        <w:trPr>
          <w:jc w:val="center"/>
        </w:trPr>
        <w:tc>
          <w:tcPr>
            <w:tcW w:w="2405" w:type="dxa"/>
            <w:vAlign w:val="center"/>
          </w:tcPr>
          <w:p w14:paraId="50C1B8A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552" w:type="dxa"/>
            <w:vAlign w:val="center"/>
          </w:tcPr>
          <w:p w14:paraId="32D6FEB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7218.87</w:t>
            </w:r>
          </w:p>
        </w:tc>
        <w:tc>
          <w:tcPr>
            <w:tcW w:w="2650" w:type="dxa"/>
            <w:vAlign w:val="center"/>
          </w:tcPr>
          <w:p w14:paraId="7CF7B1C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303696.31</w:t>
            </w:r>
          </w:p>
        </w:tc>
        <w:tc>
          <w:tcPr>
            <w:tcW w:w="1409" w:type="dxa"/>
            <w:vAlign w:val="center"/>
          </w:tcPr>
          <w:p w14:paraId="456D5CE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2.38</w:t>
            </w:r>
          </w:p>
        </w:tc>
      </w:tr>
      <w:tr w:rsidR="00077ECB" w:rsidRPr="00077ECB" w14:paraId="41B61CD6" w14:textId="77777777" w:rsidTr="0037257A">
        <w:trPr>
          <w:jc w:val="center"/>
        </w:trPr>
        <w:tc>
          <w:tcPr>
            <w:tcW w:w="2405" w:type="dxa"/>
            <w:vAlign w:val="center"/>
          </w:tcPr>
          <w:p w14:paraId="5ADE134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552" w:type="dxa"/>
            <w:vAlign w:val="center"/>
          </w:tcPr>
          <w:p w14:paraId="149795E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11946.79</w:t>
            </w:r>
          </w:p>
        </w:tc>
        <w:tc>
          <w:tcPr>
            <w:tcW w:w="2650" w:type="dxa"/>
            <w:vAlign w:val="center"/>
          </w:tcPr>
          <w:p w14:paraId="165E1DA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288372.88</w:t>
            </w:r>
          </w:p>
        </w:tc>
        <w:tc>
          <w:tcPr>
            <w:tcW w:w="1409" w:type="dxa"/>
            <w:vAlign w:val="center"/>
          </w:tcPr>
          <w:p w14:paraId="33A450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4.14</w:t>
            </w:r>
          </w:p>
        </w:tc>
      </w:tr>
      <w:tr w:rsidR="00077ECB" w:rsidRPr="00077ECB" w14:paraId="19AE3B09" w14:textId="77777777" w:rsidTr="0037257A">
        <w:trPr>
          <w:jc w:val="center"/>
        </w:trPr>
        <w:tc>
          <w:tcPr>
            <w:tcW w:w="2405" w:type="dxa"/>
            <w:vAlign w:val="center"/>
          </w:tcPr>
          <w:p w14:paraId="027D0A4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552" w:type="dxa"/>
            <w:vAlign w:val="center"/>
          </w:tcPr>
          <w:p w14:paraId="11FED7D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12014.32</w:t>
            </w:r>
          </w:p>
        </w:tc>
        <w:tc>
          <w:tcPr>
            <w:tcW w:w="2650" w:type="dxa"/>
            <w:vAlign w:val="center"/>
          </w:tcPr>
          <w:p w14:paraId="78AA715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369769.13</w:t>
            </w:r>
          </w:p>
        </w:tc>
        <w:tc>
          <w:tcPr>
            <w:tcW w:w="1409" w:type="dxa"/>
            <w:vAlign w:val="center"/>
          </w:tcPr>
          <w:p w14:paraId="3DCA6C6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3.25</w:t>
            </w:r>
          </w:p>
        </w:tc>
      </w:tr>
      <w:tr w:rsidR="00077ECB" w:rsidRPr="00077ECB" w14:paraId="7ECED621" w14:textId="77777777" w:rsidTr="0037257A">
        <w:trPr>
          <w:jc w:val="center"/>
        </w:trPr>
        <w:tc>
          <w:tcPr>
            <w:tcW w:w="2405" w:type="dxa"/>
            <w:vAlign w:val="center"/>
          </w:tcPr>
          <w:p w14:paraId="4C1B8CE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552" w:type="dxa"/>
            <w:vAlign w:val="center"/>
          </w:tcPr>
          <w:p w14:paraId="57F9627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16104.74</w:t>
            </w:r>
          </w:p>
        </w:tc>
        <w:tc>
          <w:tcPr>
            <w:tcW w:w="2650" w:type="dxa"/>
            <w:vAlign w:val="center"/>
          </w:tcPr>
          <w:p w14:paraId="154271C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489319.49</w:t>
            </w:r>
          </w:p>
        </w:tc>
        <w:tc>
          <w:tcPr>
            <w:tcW w:w="1409" w:type="dxa"/>
            <w:vAlign w:val="center"/>
          </w:tcPr>
          <w:p w14:paraId="31149CC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3.29</w:t>
            </w:r>
          </w:p>
        </w:tc>
      </w:tr>
      <w:tr w:rsidR="00077ECB" w:rsidRPr="00077ECB" w14:paraId="67626202" w14:textId="77777777" w:rsidTr="0037257A">
        <w:trPr>
          <w:jc w:val="center"/>
        </w:trPr>
        <w:tc>
          <w:tcPr>
            <w:tcW w:w="2405" w:type="dxa"/>
            <w:vAlign w:val="center"/>
          </w:tcPr>
          <w:p w14:paraId="5FF9A26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552" w:type="dxa"/>
            <w:vAlign w:val="center"/>
          </w:tcPr>
          <w:p w14:paraId="06D8315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18780.98</w:t>
            </w:r>
          </w:p>
        </w:tc>
        <w:tc>
          <w:tcPr>
            <w:tcW w:w="2650" w:type="dxa"/>
            <w:vAlign w:val="center"/>
          </w:tcPr>
          <w:p w14:paraId="2EE9D45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490736.65</w:t>
            </w:r>
          </w:p>
        </w:tc>
        <w:tc>
          <w:tcPr>
            <w:tcW w:w="1409" w:type="dxa"/>
            <w:vAlign w:val="center"/>
          </w:tcPr>
          <w:p w14:paraId="5B83B92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3.83</w:t>
            </w:r>
          </w:p>
        </w:tc>
      </w:tr>
      <w:tr w:rsidR="00077ECB" w:rsidRPr="00077ECB" w14:paraId="3DE362ED" w14:textId="77777777" w:rsidTr="0037257A">
        <w:trPr>
          <w:jc w:val="center"/>
        </w:trPr>
        <w:tc>
          <w:tcPr>
            <w:tcW w:w="2405" w:type="dxa"/>
            <w:vAlign w:val="center"/>
          </w:tcPr>
          <w:p w14:paraId="4456CEF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552" w:type="dxa"/>
            <w:vAlign w:val="center"/>
          </w:tcPr>
          <w:p w14:paraId="514E338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16464.47</w:t>
            </w:r>
          </w:p>
        </w:tc>
        <w:tc>
          <w:tcPr>
            <w:tcW w:w="2650" w:type="dxa"/>
            <w:vAlign w:val="center"/>
          </w:tcPr>
          <w:p w14:paraId="401B36B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450199.79</w:t>
            </w:r>
          </w:p>
        </w:tc>
        <w:tc>
          <w:tcPr>
            <w:tcW w:w="1409" w:type="dxa"/>
            <w:vAlign w:val="center"/>
          </w:tcPr>
          <w:p w14:paraId="6F0F6D5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3.66</w:t>
            </w:r>
          </w:p>
        </w:tc>
      </w:tr>
      <w:tr w:rsidR="00077ECB" w:rsidRPr="00077ECB" w14:paraId="7645A61F" w14:textId="77777777" w:rsidTr="0037257A">
        <w:trPr>
          <w:jc w:val="center"/>
        </w:trPr>
        <w:tc>
          <w:tcPr>
            <w:tcW w:w="2405" w:type="dxa"/>
            <w:vAlign w:val="center"/>
          </w:tcPr>
          <w:p w14:paraId="5756E55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552" w:type="dxa"/>
            <w:vAlign w:val="center"/>
          </w:tcPr>
          <w:p w14:paraId="3BA9A3E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19690.73</w:t>
            </w:r>
          </w:p>
        </w:tc>
        <w:tc>
          <w:tcPr>
            <w:tcW w:w="2650" w:type="dxa"/>
            <w:vAlign w:val="center"/>
          </w:tcPr>
          <w:p w14:paraId="7602D36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448033.41</w:t>
            </w:r>
          </w:p>
        </w:tc>
        <w:tc>
          <w:tcPr>
            <w:tcW w:w="1409" w:type="dxa"/>
            <w:vAlign w:val="center"/>
          </w:tcPr>
          <w:p w14:paraId="6575E10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4.39</w:t>
            </w:r>
          </w:p>
        </w:tc>
      </w:tr>
      <w:tr w:rsidR="00077ECB" w:rsidRPr="00077ECB" w14:paraId="4BC66F5E" w14:textId="77777777" w:rsidTr="0037257A">
        <w:trPr>
          <w:jc w:val="center"/>
        </w:trPr>
        <w:tc>
          <w:tcPr>
            <w:tcW w:w="2405" w:type="dxa"/>
            <w:vAlign w:val="center"/>
          </w:tcPr>
          <w:p w14:paraId="6902ED6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552" w:type="dxa"/>
            <w:vAlign w:val="center"/>
          </w:tcPr>
          <w:p w14:paraId="305A188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21399.62</w:t>
            </w:r>
          </w:p>
        </w:tc>
        <w:tc>
          <w:tcPr>
            <w:tcW w:w="2650" w:type="dxa"/>
            <w:vAlign w:val="center"/>
          </w:tcPr>
          <w:p w14:paraId="0B6BCEE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381007.76</w:t>
            </w:r>
          </w:p>
        </w:tc>
        <w:tc>
          <w:tcPr>
            <w:tcW w:w="1409" w:type="dxa"/>
            <w:vAlign w:val="center"/>
          </w:tcPr>
          <w:p w14:paraId="41ED684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5.62</w:t>
            </w:r>
          </w:p>
        </w:tc>
      </w:tr>
      <w:tr w:rsidR="00077ECB" w:rsidRPr="00077ECB" w14:paraId="1BA8F6DF" w14:textId="77777777" w:rsidTr="0037257A">
        <w:trPr>
          <w:jc w:val="center"/>
        </w:trPr>
        <w:tc>
          <w:tcPr>
            <w:tcW w:w="2405" w:type="dxa"/>
            <w:vAlign w:val="center"/>
          </w:tcPr>
          <w:p w14:paraId="16AB417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552" w:type="dxa"/>
            <w:vAlign w:val="center"/>
          </w:tcPr>
          <w:p w14:paraId="42FC382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23924.36</w:t>
            </w:r>
          </w:p>
        </w:tc>
        <w:tc>
          <w:tcPr>
            <w:tcW w:w="2650" w:type="dxa"/>
            <w:vAlign w:val="center"/>
          </w:tcPr>
          <w:p w14:paraId="6103A8B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384357.03</w:t>
            </w:r>
          </w:p>
        </w:tc>
        <w:tc>
          <w:tcPr>
            <w:tcW w:w="1409" w:type="dxa"/>
            <w:vAlign w:val="center"/>
          </w:tcPr>
          <w:p w14:paraId="646BEE7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6.22</w:t>
            </w:r>
          </w:p>
        </w:tc>
      </w:tr>
      <w:tr w:rsidR="00077ECB" w:rsidRPr="00077ECB" w14:paraId="15F748B5" w14:textId="77777777" w:rsidTr="0037257A">
        <w:trPr>
          <w:jc w:val="center"/>
        </w:trPr>
        <w:tc>
          <w:tcPr>
            <w:tcW w:w="2405" w:type="dxa"/>
            <w:vAlign w:val="center"/>
          </w:tcPr>
          <w:p w14:paraId="3C138B1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552" w:type="dxa"/>
            <w:vAlign w:val="center"/>
          </w:tcPr>
          <w:p w14:paraId="54CC1FD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23096.6</w:t>
            </w:r>
          </w:p>
        </w:tc>
        <w:tc>
          <w:tcPr>
            <w:tcW w:w="2650" w:type="dxa"/>
            <w:vAlign w:val="center"/>
          </w:tcPr>
          <w:p w14:paraId="35EF3CB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465581</w:t>
            </w:r>
          </w:p>
        </w:tc>
        <w:tc>
          <w:tcPr>
            <w:tcW w:w="1409" w:type="dxa"/>
            <w:vAlign w:val="center"/>
          </w:tcPr>
          <w:p w14:paraId="35F8699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4.96</w:t>
            </w:r>
          </w:p>
        </w:tc>
      </w:tr>
      <w:tr w:rsidR="00077ECB" w:rsidRPr="00077ECB" w14:paraId="7218166A" w14:textId="77777777" w:rsidTr="0037257A">
        <w:trPr>
          <w:jc w:val="center"/>
        </w:trPr>
        <w:tc>
          <w:tcPr>
            <w:tcW w:w="2405" w:type="dxa"/>
            <w:vAlign w:val="center"/>
          </w:tcPr>
          <w:p w14:paraId="4AACF77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552" w:type="dxa"/>
            <w:vAlign w:val="center"/>
          </w:tcPr>
          <w:p w14:paraId="689F1E9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19374.3</w:t>
            </w:r>
          </w:p>
        </w:tc>
        <w:tc>
          <w:tcPr>
            <w:tcW w:w="2650" w:type="dxa"/>
            <w:vAlign w:val="center"/>
          </w:tcPr>
          <w:p w14:paraId="3B64AEA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514078.4</w:t>
            </w:r>
          </w:p>
        </w:tc>
        <w:tc>
          <w:tcPr>
            <w:tcW w:w="1409" w:type="dxa"/>
            <w:vAlign w:val="center"/>
          </w:tcPr>
          <w:p w14:paraId="208D919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3.77</w:t>
            </w:r>
          </w:p>
        </w:tc>
      </w:tr>
      <w:tr w:rsidR="00077ECB" w:rsidRPr="00077ECB" w14:paraId="339B2FB8" w14:textId="77777777" w:rsidTr="0037257A">
        <w:trPr>
          <w:jc w:val="center"/>
        </w:trPr>
        <w:tc>
          <w:tcPr>
            <w:tcW w:w="2405" w:type="dxa"/>
            <w:vAlign w:val="center"/>
          </w:tcPr>
          <w:p w14:paraId="2120CD4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552" w:type="dxa"/>
            <w:vAlign w:val="center"/>
          </w:tcPr>
          <w:p w14:paraId="0270F94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19698.2</w:t>
            </w:r>
          </w:p>
        </w:tc>
        <w:tc>
          <w:tcPr>
            <w:tcW w:w="2650" w:type="dxa"/>
            <w:vAlign w:val="center"/>
          </w:tcPr>
          <w:p w14:paraId="4318381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474709.3</w:t>
            </w:r>
          </w:p>
        </w:tc>
        <w:tc>
          <w:tcPr>
            <w:tcW w:w="1409" w:type="dxa"/>
            <w:vAlign w:val="center"/>
          </w:tcPr>
          <w:p w14:paraId="132CAAA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4.15</w:t>
            </w:r>
          </w:p>
        </w:tc>
      </w:tr>
      <w:tr w:rsidR="00077ECB" w:rsidRPr="00077ECB" w14:paraId="222C7AB1" w14:textId="77777777" w:rsidTr="0037257A">
        <w:trPr>
          <w:jc w:val="center"/>
        </w:trPr>
        <w:tc>
          <w:tcPr>
            <w:tcW w:w="2405" w:type="dxa"/>
            <w:vAlign w:val="center"/>
          </w:tcPr>
          <w:p w14:paraId="63826D0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552" w:type="dxa"/>
            <w:vAlign w:val="center"/>
          </w:tcPr>
          <w:p w14:paraId="1D9D6E7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21048.5</w:t>
            </w:r>
          </w:p>
        </w:tc>
        <w:tc>
          <w:tcPr>
            <w:tcW w:w="2650" w:type="dxa"/>
            <w:vAlign w:val="center"/>
          </w:tcPr>
          <w:p w14:paraId="3BA3018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394435.9</w:t>
            </w:r>
          </w:p>
        </w:tc>
        <w:tc>
          <w:tcPr>
            <w:tcW w:w="1409" w:type="dxa"/>
            <w:vAlign w:val="center"/>
          </w:tcPr>
          <w:p w14:paraId="777D6F8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5.34</w:t>
            </w:r>
          </w:p>
        </w:tc>
      </w:tr>
      <w:tr w:rsidR="00077ECB" w:rsidRPr="00077ECB" w14:paraId="23E6415C" w14:textId="77777777" w:rsidTr="0037257A">
        <w:trPr>
          <w:jc w:val="center"/>
        </w:trPr>
        <w:tc>
          <w:tcPr>
            <w:tcW w:w="2405" w:type="dxa"/>
            <w:vAlign w:val="center"/>
          </w:tcPr>
          <w:p w14:paraId="1F6B9A7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552" w:type="dxa"/>
            <w:vAlign w:val="center"/>
          </w:tcPr>
          <w:p w14:paraId="7E11899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31290</w:t>
            </w:r>
          </w:p>
        </w:tc>
        <w:tc>
          <w:tcPr>
            <w:tcW w:w="2650" w:type="dxa"/>
            <w:vAlign w:val="center"/>
          </w:tcPr>
          <w:p w14:paraId="01D949B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613052.1</w:t>
            </w:r>
          </w:p>
        </w:tc>
        <w:tc>
          <w:tcPr>
            <w:tcW w:w="1409" w:type="dxa"/>
            <w:vAlign w:val="center"/>
          </w:tcPr>
          <w:p w14:paraId="07ECD64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5.10</w:t>
            </w:r>
          </w:p>
        </w:tc>
      </w:tr>
      <w:tr w:rsidR="00077ECB" w:rsidRPr="00077ECB" w14:paraId="211E8A9F" w14:textId="77777777" w:rsidTr="0037257A">
        <w:trPr>
          <w:jc w:val="center"/>
        </w:trPr>
        <w:tc>
          <w:tcPr>
            <w:tcW w:w="2405" w:type="dxa"/>
            <w:vAlign w:val="center"/>
          </w:tcPr>
          <w:p w14:paraId="53663AC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2022-23</w:t>
            </w:r>
          </w:p>
        </w:tc>
        <w:tc>
          <w:tcPr>
            <w:tcW w:w="2552" w:type="dxa"/>
            <w:vAlign w:val="center"/>
          </w:tcPr>
          <w:p w14:paraId="13E9E97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33596.4</w:t>
            </w:r>
          </w:p>
        </w:tc>
        <w:tc>
          <w:tcPr>
            <w:tcW w:w="2650" w:type="dxa"/>
            <w:vAlign w:val="center"/>
          </w:tcPr>
          <w:p w14:paraId="0FAED52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715968.9</w:t>
            </w:r>
          </w:p>
        </w:tc>
        <w:tc>
          <w:tcPr>
            <w:tcW w:w="1409" w:type="dxa"/>
            <w:vAlign w:val="center"/>
          </w:tcPr>
          <w:p w14:paraId="4134C96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4.69</w:t>
            </w:r>
          </w:p>
        </w:tc>
      </w:tr>
      <w:tr w:rsidR="00077ECB" w:rsidRPr="00077ECB" w14:paraId="0CAF7B65" w14:textId="77777777" w:rsidTr="0037257A">
        <w:trPr>
          <w:jc w:val="center"/>
        </w:trPr>
        <w:tc>
          <w:tcPr>
            <w:tcW w:w="2405" w:type="dxa"/>
            <w:vAlign w:val="center"/>
          </w:tcPr>
          <w:p w14:paraId="2BB8BD5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2023-24</w:t>
            </w:r>
          </w:p>
        </w:tc>
        <w:tc>
          <w:tcPr>
            <w:tcW w:w="2552" w:type="dxa"/>
            <w:vAlign w:val="center"/>
          </w:tcPr>
          <w:p w14:paraId="6943B82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31660.75</w:t>
            </w:r>
          </w:p>
        </w:tc>
        <w:tc>
          <w:tcPr>
            <w:tcW w:w="2650" w:type="dxa"/>
            <w:vAlign w:val="center"/>
          </w:tcPr>
          <w:p w14:paraId="65FD517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675429.87</w:t>
            </w:r>
          </w:p>
        </w:tc>
        <w:tc>
          <w:tcPr>
            <w:tcW w:w="1409" w:type="dxa"/>
            <w:vAlign w:val="center"/>
          </w:tcPr>
          <w:p w14:paraId="422B282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4.69</w:t>
            </w:r>
          </w:p>
        </w:tc>
      </w:tr>
    </w:tbl>
    <w:p w14:paraId="431D7967" w14:textId="77777777" w:rsidR="00077ECB" w:rsidRPr="00077ECB"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(Source – </w:t>
      </w:r>
      <w:proofErr w:type="spellStart"/>
      <w:r w:rsidRPr="00077ECB">
        <w:rPr>
          <w:rFonts w:ascii="Times New Roman" w:eastAsia="Calibri" w:hAnsi="Times New Roman" w:cs="Times New Roman"/>
          <w:bCs/>
          <w:color w:val="000000"/>
          <w:sz w:val="24"/>
          <w:szCs w:val="24"/>
          <w:lang w:val="en-US"/>
        </w:rPr>
        <w:t>Tradestat</w:t>
      </w:r>
      <w:proofErr w:type="spellEnd"/>
      <w:r w:rsidRPr="00077ECB">
        <w:rPr>
          <w:rFonts w:ascii="Times New Roman" w:eastAsia="Calibri" w:hAnsi="Times New Roman" w:cs="Times New Roman"/>
          <w:bCs/>
          <w:color w:val="000000"/>
          <w:sz w:val="24"/>
          <w:szCs w:val="24"/>
          <w:lang w:val="en-US"/>
        </w:rPr>
        <w:t>, Department of Commerce, Ministry of Commerce and Industry)</w:t>
      </w:r>
    </w:p>
    <w:p w14:paraId="6438E9CD" w14:textId="1A4DF686" w:rsidR="00077ECB" w:rsidRDefault="00077ECB" w:rsidP="00E04597">
      <w:pPr>
        <w:spacing w:before="120" w:after="200" w:line="276" w:lineRule="auto"/>
        <w:jc w:val="both"/>
        <w:rPr>
          <w:rFonts w:ascii="Times New Roman" w:eastAsia="Calibri" w:hAnsi="Times New Roman" w:cs="Times New Roman"/>
          <w:color w:val="000000"/>
          <w:sz w:val="24"/>
          <w:szCs w:val="24"/>
          <w:lang w:val="en-US"/>
        </w:rPr>
      </w:pPr>
      <w:r w:rsidRPr="00077ECB">
        <w:rPr>
          <w:rFonts w:ascii="Times New Roman" w:eastAsia="Calibri" w:hAnsi="Times New Roman" w:cs="Times New Roman"/>
          <w:color w:val="000000"/>
          <w:sz w:val="24"/>
          <w:szCs w:val="24"/>
          <w:lang w:val="en-US"/>
        </w:rPr>
        <w:t>The table 1</w:t>
      </w:r>
      <w:r w:rsidR="00FD6792">
        <w:rPr>
          <w:rFonts w:ascii="Times New Roman" w:eastAsia="Calibri" w:hAnsi="Times New Roman" w:cs="Times New Roman"/>
          <w:color w:val="000000"/>
          <w:sz w:val="24"/>
          <w:szCs w:val="24"/>
          <w:lang w:val="en-US"/>
        </w:rPr>
        <w:t>0</w:t>
      </w:r>
      <w:r w:rsidRPr="00077ECB">
        <w:rPr>
          <w:rFonts w:ascii="Times New Roman" w:eastAsia="Calibri" w:hAnsi="Times New Roman" w:cs="Times New Roman"/>
          <w:color w:val="000000"/>
          <w:sz w:val="24"/>
          <w:szCs w:val="24"/>
          <w:lang w:val="en-US"/>
        </w:rPr>
        <w:t xml:space="preserve"> provides a </w:t>
      </w:r>
      <w:r w:rsidR="00FD6792" w:rsidRPr="00CF6640">
        <w:rPr>
          <w:rFonts w:ascii="Times New Roman" w:eastAsia="Calibri" w:hAnsi="Times New Roman" w:cs="Times New Roman"/>
          <w:bCs/>
          <w:color w:val="000000"/>
          <w:sz w:val="24"/>
          <w:szCs w:val="24"/>
        </w:rPr>
        <w:t>five-year</w:t>
      </w:r>
      <w:r w:rsidR="00FD6792">
        <w:rPr>
          <w:rFonts w:ascii="Times New Roman" w:eastAsia="Calibri" w:hAnsi="Times New Roman" w:cs="Times New Roman"/>
          <w:bCs/>
          <w:color w:val="000000"/>
          <w:sz w:val="24"/>
          <w:szCs w:val="24"/>
        </w:rPr>
        <w:t>, ten-year, and overall</w:t>
      </w:r>
      <w:r w:rsidR="00FD6792" w:rsidRPr="00CF6640">
        <w:rPr>
          <w:rFonts w:ascii="Times New Roman" w:eastAsia="Calibri" w:hAnsi="Times New Roman" w:cs="Times New Roman"/>
          <w:bCs/>
          <w:color w:val="000000"/>
          <w:sz w:val="24"/>
          <w:szCs w:val="24"/>
        </w:rPr>
        <w:t xml:space="preserve"> analysis</w:t>
      </w:r>
      <w:r w:rsidR="00FD6792">
        <w:rPr>
          <w:rFonts w:ascii="Times New Roman" w:eastAsia="Calibri" w:hAnsi="Times New Roman" w:cs="Times New Roman"/>
          <w:bCs/>
          <w:color w:val="000000"/>
          <w:sz w:val="24"/>
          <w:szCs w:val="24"/>
        </w:rPr>
        <w:t xml:space="preserve"> </w:t>
      </w:r>
      <w:r w:rsidRPr="00077ECB">
        <w:rPr>
          <w:rFonts w:ascii="Times New Roman" w:eastAsia="Calibri" w:hAnsi="Times New Roman" w:cs="Times New Roman"/>
          <w:color w:val="000000"/>
          <w:sz w:val="24"/>
          <w:szCs w:val="24"/>
          <w:lang w:val="en-US"/>
        </w:rPr>
        <w:t xml:space="preserve">of import growth of agri-food products, </w:t>
      </w:r>
      <w:r w:rsidR="0037257A">
        <w:rPr>
          <w:rFonts w:ascii="Times New Roman" w:eastAsia="Calibri" w:hAnsi="Times New Roman" w:cs="Times New Roman"/>
          <w:color w:val="000000"/>
          <w:sz w:val="24"/>
          <w:szCs w:val="24"/>
          <w:lang w:val="en-US"/>
        </w:rPr>
        <w:t>f</w:t>
      </w:r>
      <w:r w:rsidRPr="00077ECB">
        <w:rPr>
          <w:rFonts w:ascii="Times New Roman" w:eastAsia="Calibri" w:hAnsi="Times New Roman" w:cs="Times New Roman"/>
          <w:color w:val="000000"/>
          <w:sz w:val="24"/>
          <w:szCs w:val="24"/>
          <w:lang w:val="en-US"/>
        </w:rPr>
        <w:t xml:space="preserve">rom 2004-05 to 2008-09, the estimated CAGR was 9.69%, which decreased to </w:t>
      </w:r>
      <w:r w:rsidRPr="00077ECB">
        <w:rPr>
          <w:rFonts w:ascii="Times New Roman" w:eastAsia="Calibri" w:hAnsi="Times New Roman" w:cs="Times New Roman"/>
          <w:color w:val="000000"/>
          <w:sz w:val="24"/>
          <w:szCs w:val="24"/>
          <w:lang w:val="en-US"/>
        </w:rPr>
        <w:lastRenderedPageBreak/>
        <w:t>6.63% from 2009-10 to 2013-14. However, it then fell to -0.32% from 2014-15 to 2018-19, and further increased to 9.96% from 2019-20 to 2023-24.</w:t>
      </w:r>
    </w:p>
    <w:p w14:paraId="5CEE7FD6" w14:textId="70E5611A" w:rsidR="00FD6792" w:rsidRDefault="00FD6792"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2013-14, the estimated CAGR was 13.73%, which decreased to 4.86% from 2014-15 to 2023-24.</w:t>
      </w:r>
    </w:p>
    <w:p w14:paraId="4A7F1432" w14:textId="27D8DA7F" w:rsidR="00FD6792" w:rsidRPr="00077ECB" w:rsidRDefault="00FD6792" w:rsidP="00E04597">
      <w:pPr>
        <w:spacing w:before="120"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wenty-year analysis (Overall) of import growth</w:t>
      </w:r>
      <w:r w:rsidRPr="00077ECB">
        <w:rPr>
          <w:rFonts w:ascii="Times New Roman" w:eastAsia="Calibri" w:hAnsi="Times New Roman" w:cs="Times New Roman"/>
          <w:bCs/>
          <w:color w:val="000000"/>
          <w:sz w:val="24"/>
          <w:szCs w:val="24"/>
        </w:rPr>
        <w:t xml:space="preserve"> of agri-food products</w:t>
      </w:r>
      <w:r w:rsidRPr="00077ECB">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2023-24, the estimated CAGR was 10.19%.</w:t>
      </w:r>
    </w:p>
    <w:p w14:paraId="2D8AE103" w14:textId="12C9B815" w:rsid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 1</w:t>
      </w:r>
      <w:r w:rsidR="00FD6792">
        <w:rPr>
          <w:rFonts w:ascii="Times New Roman" w:eastAsia="Calibri" w:hAnsi="Times New Roman" w:cs="Times New Roman"/>
          <w:b/>
          <w:color w:val="000000"/>
          <w:sz w:val="24"/>
          <w:szCs w:val="24"/>
        </w:rPr>
        <w:t>0</w:t>
      </w:r>
      <w:r w:rsidRPr="00077ECB">
        <w:rPr>
          <w:rFonts w:ascii="Times New Roman" w:eastAsia="Calibri" w:hAnsi="Times New Roman" w:cs="Times New Roman"/>
          <w:b/>
          <w:color w:val="000000"/>
          <w:sz w:val="24"/>
          <w:szCs w:val="24"/>
        </w:rPr>
        <w:t xml:space="preserve">: </w:t>
      </w:r>
      <w:r w:rsidR="00FD6792">
        <w:rPr>
          <w:rFonts w:ascii="Times New Roman" w:eastAsia="Calibri" w:hAnsi="Times New Roman" w:cs="Times New Roman"/>
          <w:b/>
          <w:color w:val="000000"/>
          <w:sz w:val="24"/>
          <w:szCs w:val="24"/>
          <w:lang w:val="en-US"/>
        </w:rPr>
        <w:t>A</w:t>
      </w:r>
      <w:r w:rsidRPr="00077ECB">
        <w:rPr>
          <w:rFonts w:ascii="Times New Roman" w:eastAsia="Calibri" w:hAnsi="Times New Roman" w:cs="Times New Roman"/>
          <w:b/>
          <w:color w:val="000000"/>
          <w:sz w:val="24"/>
          <w:szCs w:val="24"/>
          <w:lang w:val="en-US"/>
        </w:rPr>
        <w:t>nalysis of import growth</w:t>
      </w:r>
      <w:r w:rsidRPr="00077ECB">
        <w:rPr>
          <w:rFonts w:ascii="Times New Roman" w:eastAsia="Calibri" w:hAnsi="Times New Roman" w:cs="Times New Roman"/>
          <w:b/>
          <w:color w:val="000000"/>
          <w:sz w:val="24"/>
          <w:szCs w:val="24"/>
        </w:rPr>
        <w:t xml:space="preserve"> of agri-food products</w:t>
      </w:r>
    </w:p>
    <w:tbl>
      <w:tblPr>
        <w:tblStyle w:val="TableGrid1"/>
        <w:tblW w:w="0" w:type="auto"/>
        <w:jc w:val="center"/>
        <w:tblLook w:val="04A0" w:firstRow="1" w:lastRow="0" w:firstColumn="1" w:lastColumn="0" w:noHBand="0" w:noVBand="1"/>
      </w:tblPr>
      <w:tblGrid>
        <w:gridCol w:w="2122"/>
        <w:gridCol w:w="1701"/>
        <w:gridCol w:w="1701"/>
        <w:gridCol w:w="1674"/>
        <w:gridCol w:w="1818"/>
      </w:tblGrid>
      <w:tr w:rsidR="00864175" w:rsidRPr="00077ECB" w14:paraId="0D93C2A2" w14:textId="77777777" w:rsidTr="00E753AE">
        <w:trPr>
          <w:trHeight w:val="634"/>
          <w:jc w:val="center"/>
        </w:trPr>
        <w:tc>
          <w:tcPr>
            <w:tcW w:w="2122" w:type="dxa"/>
            <w:shd w:val="clear" w:color="auto" w:fill="FFFF00"/>
            <w:vAlign w:val="center"/>
          </w:tcPr>
          <w:p w14:paraId="01469F97"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Particulars</w:t>
            </w:r>
          </w:p>
        </w:tc>
        <w:tc>
          <w:tcPr>
            <w:tcW w:w="1701" w:type="dxa"/>
            <w:shd w:val="clear" w:color="auto" w:fill="FFFF00"/>
            <w:vAlign w:val="center"/>
          </w:tcPr>
          <w:p w14:paraId="0D6527AB"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200</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9</w:t>
            </w:r>
          </w:p>
        </w:tc>
        <w:tc>
          <w:tcPr>
            <w:tcW w:w="1701" w:type="dxa"/>
            <w:shd w:val="clear" w:color="auto" w:fill="FFFF00"/>
            <w:vAlign w:val="center"/>
          </w:tcPr>
          <w:p w14:paraId="7CAF8D5B"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10</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4</w:t>
            </w:r>
          </w:p>
        </w:tc>
        <w:tc>
          <w:tcPr>
            <w:tcW w:w="1674" w:type="dxa"/>
            <w:shd w:val="clear" w:color="auto" w:fill="FFFF00"/>
            <w:vAlign w:val="center"/>
          </w:tcPr>
          <w:p w14:paraId="75CED74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9</w:t>
            </w:r>
          </w:p>
        </w:tc>
        <w:tc>
          <w:tcPr>
            <w:tcW w:w="1818" w:type="dxa"/>
            <w:shd w:val="clear" w:color="auto" w:fill="FFFF00"/>
            <w:vAlign w:val="center"/>
          </w:tcPr>
          <w:p w14:paraId="1B25A0BA"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20</w:t>
            </w:r>
            <w:r w:rsidRPr="00077ECB">
              <w:rPr>
                <w:rFonts w:ascii="Times New Roman" w:eastAsia="Calibri" w:hAnsi="Times New Roman" w:cs="Times New Roman"/>
                <w:b/>
                <w:color w:val="000000"/>
                <w:sz w:val="24"/>
                <w:szCs w:val="24"/>
              </w:rPr>
              <w:t xml:space="preserve"> to 202</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4</w:t>
            </w:r>
          </w:p>
        </w:tc>
      </w:tr>
      <w:tr w:rsidR="00864175" w:rsidRPr="00077ECB" w14:paraId="08641EA4" w14:textId="77777777" w:rsidTr="00E753AE">
        <w:trPr>
          <w:trHeight w:val="416"/>
          <w:jc w:val="center"/>
        </w:trPr>
        <w:tc>
          <w:tcPr>
            <w:tcW w:w="2122" w:type="dxa"/>
            <w:vAlign w:val="center"/>
          </w:tcPr>
          <w:p w14:paraId="789E8A21"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701" w:type="dxa"/>
            <w:vAlign w:val="center"/>
          </w:tcPr>
          <w:p w14:paraId="7526068D" w14:textId="44E8B233"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9.69%</w:t>
            </w:r>
          </w:p>
        </w:tc>
        <w:tc>
          <w:tcPr>
            <w:tcW w:w="1701" w:type="dxa"/>
            <w:vAlign w:val="center"/>
          </w:tcPr>
          <w:p w14:paraId="4ED64516" w14:textId="3197C1BA"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6.63%</w:t>
            </w:r>
          </w:p>
        </w:tc>
        <w:tc>
          <w:tcPr>
            <w:tcW w:w="1674" w:type="dxa"/>
            <w:vAlign w:val="center"/>
          </w:tcPr>
          <w:p w14:paraId="0D252C32" w14:textId="78DC9B89"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-0.32%</w:t>
            </w:r>
          </w:p>
        </w:tc>
        <w:tc>
          <w:tcPr>
            <w:tcW w:w="1818" w:type="dxa"/>
            <w:vAlign w:val="center"/>
          </w:tcPr>
          <w:p w14:paraId="661D2D6A" w14:textId="56E9D8D4"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9.96%</w:t>
            </w:r>
          </w:p>
        </w:tc>
      </w:tr>
      <w:tr w:rsidR="00864175" w:rsidRPr="00077ECB" w14:paraId="2428DD1E" w14:textId="77777777" w:rsidTr="00E753AE">
        <w:trPr>
          <w:trHeight w:val="423"/>
          <w:jc w:val="center"/>
        </w:trPr>
        <w:tc>
          <w:tcPr>
            <w:tcW w:w="2122" w:type="dxa"/>
            <w:vAlign w:val="center"/>
          </w:tcPr>
          <w:p w14:paraId="03F838F9"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402" w:type="dxa"/>
            <w:gridSpan w:val="2"/>
            <w:vAlign w:val="center"/>
          </w:tcPr>
          <w:p w14:paraId="64AE4F31" w14:textId="467AE815"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13.73</w:t>
            </w:r>
            <w:r w:rsidRPr="00380333">
              <w:rPr>
                <w:rFonts w:ascii="Times New Roman" w:eastAsia="Calibri" w:hAnsi="Times New Roman" w:cs="Times New Roman"/>
                <w:bCs/>
                <w:color w:val="000000"/>
                <w:sz w:val="24"/>
                <w:szCs w:val="24"/>
              </w:rPr>
              <w:t>%</w:t>
            </w:r>
          </w:p>
        </w:tc>
        <w:tc>
          <w:tcPr>
            <w:tcW w:w="3492" w:type="dxa"/>
            <w:gridSpan w:val="2"/>
            <w:vAlign w:val="center"/>
          </w:tcPr>
          <w:p w14:paraId="0E21077C" w14:textId="5D2EA973"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4.86</w:t>
            </w:r>
            <w:r w:rsidRPr="00380333">
              <w:rPr>
                <w:rFonts w:ascii="Times New Roman" w:eastAsia="Calibri" w:hAnsi="Times New Roman" w:cs="Times New Roman"/>
                <w:bCs/>
                <w:color w:val="000000"/>
                <w:sz w:val="24"/>
                <w:szCs w:val="24"/>
              </w:rPr>
              <w:t>%</w:t>
            </w:r>
          </w:p>
        </w:tc>
      </w:tr>
      <w:tr w:rsidR="00864175" w:rsidRPr="00077ECB" w14:paraId="35D4272C" w14:textId="77777777" w:rsidTr="00E753AE">
        <w:trPr>
          <w:trHeight w:val="415"/>
          <w:jc w:val="center"/>
        </w:trPr>
        <w:tc>
          <w:tcPr>
            <w:tcW w:w="2122" w:type="dxa"/>
            <w:vAlign w:val="center"/>
          </w:tcPr>
          <w:p w14:paraId="4EB77CCC"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703B8116" w14:textId="29756AD3"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10.19</w:t>
            </w:r>
            <w:r w:rsidRPr="00380333">
              <w:rPr>
                <w:rFonts w:ascii="Times New Roman" w:eastAsia="Calibri" w:hAnsi="Times New Roman" w:cs="Times New Roman"/>
                <w:bCs/>
                <w:color w:val="000000"/>
                <w:sz w:val="24"/>
                <w:szCs w:val="24"/>
              </w:rPr>
              <w:t>%</w:t>
            </w:r>
          </w:p>
        </w:tc>
      </w:tr>
    </w:tbl>
    <w:p w14:paraId="740720B4" w14:textId="77777777" w:rsidR="0037257A" w:rsidRPr="0037257A" w:rsidRDefault="0037257A" w:rsidP="00E04597">
      <w:pPr>
        <w:spacing w:before="120" w:after="120" w:line="276" w:lineRule="auto"/>
        <w:contextualSpacing/>
        <w:jc w:val="both"/>
        <w:rPr>
          <w:rFonts w:ascii="Times New Roman" w:eastAsia="Calibri" w:hAnsi="Times New Roman" w:cs="Times New Roman"/>
          <w:bCs/>
          <w:color w:val="000000"/>
          <w:sz w:val="24"/>
          <w:szCs w:val="24"/>
          <w:lang w:val="en-US"/>
        </w:rPr>
      </w:pPr>
    </w:p>
    <w:p w14:paraId="54C5B35A" w14:textId="2A5A6D84" w:rsidR="00290515" w:rsidRDefault="005C100C" w:rsidP="00E04597">
      <w:pPr>
        <w:spacing w:line="276" w:lineRule="auto"/>
        <w:ind w:left="426" w:hanging="426"/>
        <w:jc w:val="both"/>
        <w:rPr>
          <w:rStyle w:val="fontstyle01"/>
        </w:rPr>
      </w:pPr>
      <w:r>
        <w:rPr>
          <w:rFonts w:ascii="Times New Roman" w:eastAsia="Calibri" w:hAnsi="Times New Roman" w:cs="Times New Roman"/>
          <w:b/>
          <w:bCs/>
          <w:color w:val="000000"/>
          <w:sz w:val="24"/>
          <w:szCs w:val="24"/>
          <w:lang w:val="en-US"/>
        </w:rPr>
        <w:t>3.</w:t>
      </w:r>
      <w:r w:rsidR="00290515">
        <w:rPr>
          <w:rFonts w:ascii="Times New Roman" w:eastAsia="Calibri" w:hAnsi="Times New Roman" w:cs="Times New Roman"/>
          <w:b/>
          <w:bCs/>
          <w:color w:val="000000"/>
          <w:sz w:val="24"/>
          <w:szCs w:val="24"/>
          <w:lang w:val="en-US"/>
        </w:rPr>
        <w:t>2 T</w:t>
      </w:r>
      <w:r w:rsidR="00290515" w:rsidRPr="00290515">
        <w:rPr>
          <w:rFonts w:ascii="Times New Roman" w:eastAsia="Calibri" w:hAnsi="Times New Roman" w:cs="Times New Roman"/>
          <w:b/>
          <w:bCs/>
          <w:color w:val="000000"/>
          <w:sz w:val="24"/>
          <w:szCs w:val="24"/>
        </w:rPr>
        <w:t>o study the key certificates and standards related to food safety and quality required in the food processing industry</w:t>
      </w:r>
    </w:p>
    <w:p w14:paraId="111D1412" w14:textId="2DE8259E" w:rsidR="00A432D8" w:rsidRPr="00A432D8" w:rsidRDefault="00A432D8" w:rsidP="00E04597">
      <w:pPr>
        <w:spacing w:before="120" w:after="120" w:line="276" w:lineRule="auto"/>
        <w:jc w:val="both"/>
        <w:rPr>
          <w:rFonts w:ascii="Times New Roman" w:eastAsia="Calibri" w:hAnsi="Times New Roman" w:cs="Times New Roman"/>
          <w:color w:val="000000"/>
          <w:sz w:val="24"/>
          <w:szCs w:val="24"/>
        </w:rPr>
      </w:pPr>
      <w:r w:rsidRPr="00A432D8">
        <w:rPr>
          <w:rFonts w:ascii="Times New Roman" w:eastAsia="Calibri" w:hAnsi="Times New Roman" w:cs="Times New Roman"/>
          <w:color w:val="000000"/>
          <w:sz w:val="24"/>
          <w:szCs w:val="24"/>
        </w:rPr>
        <w:t>Increased demand for processed and packed food obviously increases the risk of food safety issues. As a result of this, customers look for quality and safety guarantees when visiting outlets for food purchases, and in turn there is a proliferation of food safety management system (FSMS) standards in the food industry.</w:t>
      </w:r>
    </w:p>
    <w:p w14:paraId="0DA9DE63" w14:textId="77777777" w:rsidR="00A432D8" w:rsidRPr="00A432D8" w:rsidRDefault="00A432D8" w:rsidP="00E04597">
      <w:pPr>
        <w:spacing w:before="120" w:after="120" w:line="276" w:lineRule="auto"/>
        <w:jc w:val="both"/>
        <w:rPr>
          <w:rFonts w:ascii="Times New Roman" w:eastAsia="Calibri" w:hAnsi="Times New Roman" w:cs="Times New Roman"/>
          <w:color w:val="000000"/>
          <w:sz w:val="24"/>
          <w:szCs w:val="24"/>
        </w:rPr>
      </w:pPr>
      <w:r w:rsidRPr="00A432D8">
        <w:rPr>
          <w:rFonts w:ascii="Times New Roman" w:eastAsia="Calibri" w:hAnsi="Times New Roman" w:cs="Times New Roman"/>
          <w:color w:val="000000"/>
          <w:sz w:val="24"/>
          <w:szCs w:val="24"/>
        </w:rPr>
        <w:t>According to the International Organization for Standardization (ISO), food safety is the concept that food will not cause harm to the consumer when it is prepared and/or eaten according to its intended use. A management system is a set of interrelated or interacting elements to establish policy and objectives and to achieve those objectives. A standard is a document agreed upon by experts and approved by an official organization. It provides rules, guidelines, or features that should be followed regularly to help things work smoothly and stay organized in a specific situation.</w:t>
      </w:r>
    </w:p>
    <w:p w14:paraId="48C5258D" w14:textId="06A4CE13" w:rsidR="00A432D8" w:rsidRPr="00A432D8" w:rsidRDefault="00640C6C" w:rsidP="00E04597">
      <w:pPr>
        <w:spacing w:before="120" w:after="12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3.2.</w:t>
      </w:r>
      <w:r w:rsidR="00A432D8" w:rsidRPr="00A432D8">
        <w:rPr>
          <w:rFonts w:ascii="Times New Roman" w:eastAsia="Calibri" w:hAnsi="Times New Roman" w:cs="Times New Roman"/>
          <w:b/>
          <w:bCs/>
          <w:color w:val="000000"/>
          <w:sz w:val="24"/>
          <w:szCs w:val="24"/>
        </w:rPr>
        <w:t xml:space="preserve">1 </w:t>
      </w:r>
      <w:bookmarkStart w:id="2" w:name="_Hlk194617308"/>
      <w:r w:rsidR="00A432D8" w:rsidRPr="00A432D8">
        <w:rPr>
          <w:rFonts w:ascii="Times New Roman" w:eastAsia="Calibri" w:hAnsi="Times New Roman" w:cs="Times New Roman"/>
          <w:b/>
          <w:bCs/>
          <w:color w:val="000000"/>
          <w:sz w:val="24"/>
          <w:szCs w:val="24"/>
        </w:rPr>
        <w:t>Licensing and Registration of Food Businesses (FSSAI Certificate)</w:t>
      </w:r>
      <w:bookmarkEnd w:id="2"/>
    </w:p>
    <w:p w14:paraId="4E3E64CB" w14:textId="77777777" w:rsidR="00A432D8" w:rsidRPr="00A432D8" w:rsidRDefault="00A432D8" w:rsidP="00E04597">
      <w:pPr>
        <w:spacing w:before="120" w:after="120" w:line="276" w:lineRule="auto"/>
        <w:jc w:val="both"/>
        <w:rPr>
          <w:rFonts w:ascii="Times New Roman" w:eastAsia="Calibri" w:hAnsi="Times New Roman" w:cs="Times New Roman"/>
          <w:color w:val="000000"/>
          <w:sz w:val="24"/>
          <w:szCs w:val="24"/>
        </w:rPr>
      </w:pPr>
      <w:r w:rsidRPr="00A432D8">
        <w:rPr>
          <w:rFonts w:ascii="Times New Roman" w:eastAsia="Calibri" w:hAnsi="Times New Roman" w:cs="Times New Roman"/>
          <w:color w:val="000000"/>
          <w:sz w:val="24"/>
          <w:szCs w:val="24"/>
        </w:rPr>
        <w:t>According to Section 31 of the Food Safety &amp; Standards Act, 2006, all Food Business Operators (FBOs) in the country must obtain registration or a license before starting or operating any food business. The process for granting licenses and registrations to FBOs is governed by the Food Safety and Standards (Licensing and Registration) Regulations, 2011.</w:t>
      </w:r>
    </w:p>
    <w:p w14:paraId="601CB2AE" w14:textId="1F957C53" w:rsidR="001B2EF3" w:rsidRPr="00BB4B0E" w:rsidRDefault="00A432D8" w:rsidP="00E04597">
      <w:pPr>
        <w:spacing w:line="276" w:lineRule="auto"/>
        <w:jc w:val="both"/>
        <w:rPr>
          <w:rFonts w:eastAsia="Calibri"/>
        </w:rPr>
      </w:pPr>
      <w:r w:rsidRPr="00BB4B0E">
        <w:rPr>
          <w:rFonts w:ascii="Times New Roman" w:eastAsia="Calibri" w:hAnsi="Times New Roman" w:cs="Times New Roman"/>
          <w:color w:val="000000"/>
          <w:sz w:val="24"/>
          <w:szCs w:val="24"/>
        </w:rPr>
        <w:t>FSSAI covers all the global food safety norms laid down by WTO such as good manufacturing practices (GMP), good hygiene practice (GHP), and hazard analysis critical control point (HACCP).</w:t>
      </w:r>
    </w:p>
    <w:p w14:paraId="1CDACEB8" w14:textId="7E6A514C" w:rsidR="00560B79" w:rsidRDefault="00640C6C" w:rsidP="00E04597">
      <w:pPr>
        <w:spacing w:before="24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r w:rsidR="00560B79">
        <w:rPr>
          <w:rFonts w:ascii="Times New Roman" w:hAnsi="Times New Roman" w:cs="Times New Roman"/>
          <w:b/>
          <w:bCs/>
          <w:color w:val="000000"/>
          <w:sz w:val="24"/>
          <w:szCs w:val="24"/>
        </w:rPr>
        <w:t>2</w:t>
      </w:r>
      <w:r w:rsidR="00560B79" w:rsidRPr="00482944">
        <w:rPr>
          <w:rFonts w:ascii="Times New Roman" w:hAnsi="Times New Roman" w:cs="Times New Roman"/>
          <w:b/>
          <w:bCs/>
          <w:color w:val="000000"/>
          <w:sz w:val="24"/>
          <w:szCs w:val="24"/>
        </w:rPr>
        <w:t xml:space="preserve"> </w:t>
      </w:r>
      <w:r w:rsidR="00560B79">
        <w:rPr>
          <w:rFonts w:ascii="Times New Roman" w:hAnsi="Times New Roman" w:cs="Times New Roman"/>
          <w:b/>
          <w:bCs/>
          <w:color w:val="000000"/>
          <w:sz w:val="24"/>
          <w:szCs w:val="24"/>
        </w:rPr>
        <w:t>Good Manufacturing Practices (GMP)</w:t>
      </w:r>
    </w:p>
    <w:p w14:paraId="7C148AC3" w14:textId="44CF33AD" w:rsidR="00640C6C" w:rsidRDefault="00560B79" w:rsidP="00E04597">
      <w:pPr>
        <w:spacing w:before="240" w:line="276" w:lineRule="auto"/>
        <w:jc w:val="both"/>
        <w:rPr>
          <w:rFonts w:ascii="Times New Roman" w:hAnsi="Times New Roman" w:cs="Times New Roman"/>
          <w:color w:val="000000"/>
          <w:sz w:val="24"/>
          <w:szCs w:val="24"/>
        </w:rPr>
      </w:pPr>
      <w:r w:rsidRPr="00596122">
        <w:rPr>
          <w:rFonts w:ascii="Times New Roman" w:hAnsi="Times New Roman" w:cs="Times New Roman"/>
          <w:color w:val="000000"/>
          <w:sz w:val="24"/>
          <w:szCs w:val="24"/>
        </w:rPr>
        <w:t xml:space="preserve">GMP is a framework designed to ensure that products are consistently produced and controlled </w:t>
      </w:r>
      <w:r w:rsidRPr="007F3EA7">
        <w:rPr>
          <w:rFonts w:ascii="Times New Roman" w:hAnsi="Times New Roman" w:cs="Times New Roman"/>
          <w:color w:val="000000"/>
          <w:sz w:val="24"/>
          <w:szCs w:val="24"/>
        </w:rPr>
        <w:t xml:space="preserve">according to </w:t>
      </w:r>
      <w:r w:rsidRPr="00596122">
        <w:rPr>
          <w:rFonts w:ascii="Times New Roman" w:hAnsi="Times New Roman" w:cs="Times New Roman"/>
          <w:color w:val="000000"/>
          <w:sz w:val="24"/>
          <w:szCs w:val="24"/>
        </w:rPr>
        <w:t xml:space="preserve">quality standards. It </w:t>
      </w:r>
      <w:r w:rsidRPr="007F3EA7">
        <w:rPr>
          <w:rFonts w:ascii="Times New Roman" w:hAnsi="Times New Roman" w:cs="Times New Roman"/>
          <w:color w:val="000000"/>
          <w:sz w:val="24"/>
          <w:szCs w:val="24"/>
        </w:rPr>
        <w:t>focuses</w:t>
      </w:r>
      <w:r w:rsidRPr="00596122">
        <w:rPr>
          <w:rFonts w:ascii="Times New Roman" w:hAnsi="Times New Roman" w:cs="Times New Roman"/>
          <w:color w:val="000000"/>
          <w:sz w:val="24"/>
          <w:szCs w:val="24"/>
        </w:rPr>
        <w:t xml:space="preserve"> </w:t>
      </w:r>
      <w:r w:rsidRPr="007F3EA7">
        <w:rPr>
          <w:rFonts w:ascii="Times New Roman" w:hAnsi="Times New Roman" w:cs="Times New Roman"/>
          <w:color w:val="000000"/>
          <w:sz w:val="24"/>
          <w:szCs w:val="24"/>
        </w:rPr>
        <w:t xml:space="preserve">on </w:t>
      </w:r>
      <w:r w:rsidR="00D34D9E">
        <w:rPr>
          <w:rFonts w:ascii="Times New Roman" w:hAnsi="Times New Roman" w:cs="Times New Roman"/>
          <w:color w:val="000000"/>
          <w:sz w:val="24"/>
          <w:szCs w:val="24"/>
        </w:rPr>
        <w:t xml:space="preserve">regular pest control, </w:t>
      </w:r>
      <w:r w:rsidRPr="00596122">
        <w:rPr>
          <w:rFonts w:ascii="Times New Roman" w:hAnsi="Times New Roman" w:cs="Times New Roman"/>
          <w:color w:val="000000"/>
          <w:sz w:val="24"/>
          <w:szCs w:val="24"/>
        </w:rPr>
        <w:t xml:space="preserve">proper hygiene, equipment </w:t>
      </w:r>
      <w:r w:rsidRPr="007F3EA7">
        <w:rPr>
          <w:rFonts w:ascii="Times New Roman" w:hAnsi="Times New Roman" w:cs="Times New Roman"/>
          <w:color w:val="000000"/>
          <w:sz w:val="24"/>
          <w:szCs w:val="24"/>
        </w:rPr>
        <w:lastRenderedPageBreak/>
        <w:t>maintenance</w:t>
      </w:r>
      <w:r w:rsidRPr="00596122">
        <w:rPr>
          <w:rFonts w:ascii="Times New Roman" w:hAnsi="Times New Roman" w:cs="Times New Roman"/>
          <w:color w:val="000000"/>
          <w:sz w:val="24"/>
          <w:szCs w:val="24"/>
        </w:rPr>
        <w:t>, employee training, and maintaining optimal production conditions. GMP is often required as a foundation for certifications such as HACCP.</w:t>
      </w:r>
      <w:bookmarkStart w:id="3" w:name="_Hlk194617356"/>
    </w:p>
    <w:p w14:paraId="68964BD8" w14:textId="14C24F58" w:rsidR="007B53D3" w:rsidRPr="00640C6C" w:rsidRDefault="00640C6C" w:rsidP="00E04597">
      <w:pPr>
        <w:spacing w:before="240" w:line="276" w:lineRule="auto"/>
        <w:jc w:val="both"/>
        <w:rPr>
          <w:rFonts w:ascii="Times New Roman" w:hAnsi="Times New Roman" w:cs="Times New Roman"/>
          <w:color w:val="000000"/>
          <w:sz w:val="24"/>
          <w:szCs w:val="24"/>
        </w:rPr>
      </w:pPr>
      <w:r w:rsidRPr="00640C6C">
        <w:rPr>
          <w:rFonts w:ascii="Times New Roman" w:hAnsi="Times New Roman" w:cs="Times New Roman"/>
          <w:b/>
          <w:bCs/>
          <w:color w:val="000000"/>
          <w:sz w:val="24"/>
          <w:szCs w:val="24"/>
        </w:rPr>
        <w:t>3.2.3</w:t>
      </w:r>
      <w:r>
        <w:rPr>
          <w:rFonts w:ascii="Times New Roman" w:hAnsi="Times New Roman" w:cs="Times New Roman"/>
          <w:color w:val="000000"/>
          <w:sz w:val="24"/>
          <w:szCs w:val="24"/>
        </w:rPr>
        <w:t xml:space="preserve"> </w:t>
      </w:r>
      <w:r w:rsidR="00560B79" w:rsidRPr="00640C6C">
        <w:rPr>
          <w:rFonts w:ascii="Times New Roman" w:hAnsi="Times New Roman" w:cs="Times New Roman"/>
          <w:b/>
          <w:bCs/>
          <w:color w:val="000000"/>
          <w:sz w:val="24"/>
          <w:szCs w:val="24"/>
        </w:rPr>
        <w:t>Hazard Analysis and Critical Control Points (HACCP)</w:t>
      </w:r>
      <w:bookmarkEnd w:id="3"/>
    </w:p>
    <w:p w14:paraId="5A3696BA" w14:textId="344F6B66" w:rsidR="00560B79" w:rsidRPr="007B53D3" w:rsidRDefault="00560B79" w:rsidP="00E04597">
      <w:pPr>
        <w:spacing w:before="240" w:line="276" w:lineRule="auto"/>
        <w:jc w:val="both"/>
        <w:rPr>
          <w:rFonts w:ascii="Times New Roman" w:hAnsi="Times New Roman" w:cs="Times New Roman"/>
          <w:b/>
          <w:bCs/>
          <w:color w:val="000000"/>
          <w:sz w:val="24"/>
          <w:szCs w:val="24"/>
        </w:rPr>
      </w:pPr>
      <w:r w:rsidRPr="007B53D3">
        <w:rPr>
          <w:rFonts w:ascii="Times New Roman" w:hAnsi="Times New Roman" w:cs="Times New Roman"/>
          <w:bCs/>
          <w:color w:val="000000"/>
          <w:sz w:val="24"/>
          <w:szCs w:val="24"/>
        </w:rPr>
        <w:t xml:space="preserve">HACCP is a globally recognized preventive food safety management system that identifies potential hazards </w:t>
      </w:r>
      <w:r w:rsidR="00F4195B">
        <w:rPr>
          <w:rFonts w:ascii="Times New Roman" w:hAnsi="Times New Roman" w:cs="Times New Roman"/>
          <w:bCs/>
          <w:color w:val="000000"/>
          <w:sz w:val="24"/>
          <w:szCs w:val="24"/>
        </w:rPr>
        <w:t xml:space="preserve">like physical, chemical, microbial, and allergen </w:t>
      </w:r>
      <w:r w:rsidRPr="007B53D3">
        <w:rPr>
          <w:rFonts w:ascii="Times New Roman" w:hAnsi="Times New Roman" w:cs="Times New Roman"/>
          <w:bCs/>
          <w:color w:val="000000"/>
          <w:sz w:val="24"/>
          <w:szCs w:val="24"/>
        </w:rPr>
        <w:t>and sets up controls at critical points</w:t>
      </w:r>
      <w:r w:rsidR="00A736F1">
        <w:rPr>
          <w:rFonts w:ascii="Times New Roman" w:hAnsi="Times New Roman" w:cs="Times New Roman"/>
          <w:bCs/>
          <w:color w:val="000000"/>
          <w:sz w:val="24"/>
          <w:szCs w:val="24"/>
        </w:rPr>
        <w:t xml:space="preserve"> like use of x-ray machine and metal detectors </w:t>
      </w:r>
      <w:r w:rsidRPr="007B53D3">
        <w:rPr>
          <w:rFonts w:ascii="Times New Roman" w:hAnsi="Times New Roman" w:cs="Times New Roman"/>
          <w:bCs/>
          <w:color w:val="000000"/>
          <w:sz w:val="24"/>
          <w:szCs w:val="24"/>
        </w:rPr>
        <w:t>to prevent, eliminate or reduce the hazard to an acceptable level at every stage of the manufacturing process.</w:t>
      </w:r>
    </w:p>
    <w:p w14:paraId="7B414904" w14:textId="65259590" w:rsidR="00560B79" w:rsidRDefault="00560B79" w:rsidP="00E04597">
      <w:pPr>
        <w:spacing w:before="240" w:line="276" w:lineRule="auto"/>
        <w:jc w:val="both"/>
        <w:rPr>
          <w:rFonts w:ascii="Times New Roman" w:hAnsi="Times New Roman" w:cs="Times New Roman"/>
          <w:bCs/>
          <w:color w:val="000000"/>
          <w:sz w:val="24"/>
          <w:szCs w:val="24"/>
        </w:rPr>
      </w:pPr>
      <w:r w:rsidRPr="00295DAF">
        <w:rPr>
          <w:rFonts w:ascii="Times New Roman" w:hAnsi="Times New Roman" w:cs="Times New Roman"/>
          <w:bCs/>
          <w:color w:val="000000"/>
          <w:sz w:val="24"/>
          <w:szCs w:val="24"/>
        </w:rPr>
        <w:t xml:space="preserve">It follows a systematic approach with seven principles: </w:t>
      </w:r>
      <w:r w:rsidRPr="009A291D">
        <w:rPr>
          <w:rFonts w:ascii="Times New Roman" w:hAnsi="Times New Roman" w:cs="Times New Roman"/>
          <w:bCs/>
          <w:color w:val="000000"/>
          <w:sz w:val="24"/>
          <w:szCs w:val="24"/>
        </w:rPr>
        <w:t>hazard analysis, identifying Critical Control Points (CCPs), establishing critical limits for CCPs, setting up monitoring procedures, defining corrective actions, implementing recordkeeping procedures, and establishing verification procedures to ensure food safety</w:t>
      </w:r>
      <w:r w:rsidR="001125AF" w:rsidRPr="00BB4B0E">
        <w:rPr>
          <w:rFonts w:ascii="Times New Roman" w:eastAsia="Calibri" w:hAnsi="Times New Roman" w:cs="Times New Roman"/>
          <w:color w:val="000000"/>
          <w:sz w:val="24"/>
          <w:szCs w:val="24"/>
        </w:rPr>
        <w:t>.</w:t>
      </w:r>
    </w:p>
    <w:p w14:paraId="129B0A6E" w14:textId="77B13FA5" w:rsidR="00560B79" w:rsidRDefault="00560B79" w:rsidP="00E04597">
      <w:pPr>
        <w:spacing w:before="240" w:line="276"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The b</w:t>
      </w:r>
      <w:r w:rsidRPr="00224097">
        <w:rPr>
          <w:rFonts w:ascii="Times New Roman" w:hAnsi="Times New Roman" w:cs="Times New Roman"/>
          <w:bCs/>
          <w:color w:val="000000"/>
          <w:sz w:val="24"/>
          <w:szCs w:val="24"/>
        </w:rPr>
        <w:t>enefits of HACCP</w:t>
      </w:r>
      <w:r>
        <w:rPr>
          <w:rFonts w:ascii="Times New Roman" w:hAnsi="Times New Roman" w:cs="Times New Roman"/>
          <w:bCs/>
          <w:color w:val="000000"/>
          <w:sz w:val="24"/>
          <w:szCs w:val="24"/>
        </w:rPr>
        <w:t xml:space="preserve"> include:</w:t>
      </w:r>
      <w:r>
        <w:rPr>
          <w:rFonts w:ascii="Times New Roman" w:hAnsi="Times New Roman" w:cs="Times New Roman"/>
          <w:bCs/>
          <w:i/>
          <w:iCs/>
          <w:color w:val="000000"/>
          <w:sz w:val="24"/>
          <w:szCs w:val="24"/>
        </w:rPr>
        <w:t xml:space="preserve"> </w:t>
      </w:r>
      <w:r w:rsidRPr="00224097">
        <w:rPr>
          <w:rFonts w:ascii="Times New Roman" w:hAnsi="Times New Roman" w:cs="Times New Roman"/>
          <w:bCs/>
          <w:color w:val="000000"/>
          <w:sz w:val="24"/>
          <w:szCs w:val="24"/>
        </w:rPr>
        <w:t>reduces contamination</w:t>
      </w:r>
      <w:r>
        <w:rPr>
          <w:rFonts w:ascii="Times New Roman" w:hAnsi="Times New Roman" w:cs="Times New Roman"/>
          <w:bCs/>
          <w:color w:val="000000"/>
          <w:sz w:val="24"/>
          <w:szCs w:val="24"/>
        </w:rPr>
        <w:t>,</w:t>
      </w:r>
      <w:r w:rsidRPr="00224097">
        <w:rPr>
          <w:rFonts w:ascii="Times New Roman" w:hAnsi="Times New Roman" w:cs="Times New Roman"/>
          <w:bCs/>
          <w:color w:val="000000"/>
          <w:sz w:val="24"/>
          <w:szCs w:val="24"/>
        </w:rPr>
        <w:t xml:space="preserve"> reduces </w:t>
      </w:r>
      <w:r>
        <w:rPr>
          <w:rFonts w:ascii="Times New Roman" w:hAnsi="Times New Roman" w:cs="Times New Roman"/>
          <w:bCs/>
          <w:color w:val="000000"/>
          <w:sz w:val="24"/>
          <w:szCs w:val="24"/>
        </w:rPr>
        <w:t xml:space="preserve">product </w:t>
      </w:r>
      <w:r w:rsidRPr="00224097">
        <w:rPr>
          <w:rFonts w:ascii="Times New Roman" w:hAnsi="Times New Roman" w:cs="Times New Roman"/>
          <w:bCs/>
          <w:color w:val="000000"/>
          <w:sz w:val="24"/>
          <w:szCs w:val="24"/>
        </w:rPr>
        <w:t>recall</w:t>
      </w:r>
      <w:r>
        <w:rPr>
          <w:rFonts w:ascii="Times New Roman" w:hAnsi="Times New Roman" w:cs="Times New Roman"/>
          <w:bCs/>
          <w:color w:val="000000"/>
          <w:sz w:val="24"/>
          <w:szCs w:val="24"/>
        </w:rPr>
        <w:t xml:space="preserve">s, </w:t>
      </w:r>
      <w:r w:rsidRPr="00224097">
        <w:rPr>
          <w:rFonts w:ascii="Times New Roman" w:hAnsi="Times New Roman" w:cs="Times New Roman"/>
          <w:bCs/>
          <w:color w:val="000000"/>
          <w:sz w:val="24"/>
          <w:szCs w:val="24"/>
        </w:rPr>
        <w:t>provides preferred supplier status</w:t>
      </w:r>
      <w:r>
        <w:rPr>
          <w:rFonts w:ascii="Times New Roman" w:hAnsi="Times New Roman" w:cs="Times New Roman"/>
          <w:bCs/>
          <w:color w:val="000000"/>
          <w:sz w:val="24"/>
          <w:szCs w:val="24"/>
        </w:rPr>
        <w:t xml:space="preserve">, </w:t>
      </w:r>
      <w:r w:rsidRPr="00224097">
        <w:rPr>
          <w:rFonts w:ascii="Times New Roman" w:hAnsi="Times New Roman" w:cs="Times New Roman"/>
          <w:bCs/>
          <w:color w:val="000000"/>
          <w:sz w:val="24"/>
          <w:szCs w:val="24"/>
        </w:rPr>
        <w:t>matching international standards</w:t>
      </w:r>
      <w:r>
        <w:rPr>
          <w:rFonts w:ascii="Times New Roman" w:hAnsi="Times New Roman" w:cs="Times New Roman"/>
          <w:bCs/>
          <w:color w:val="000000"/>
          <w:sz w:val="24"/>
          <w:szCs w:val="24"/>
        </w:rPr>
        <w:t xml:space="preserve">, and </w:t>
      </w:r>
      <w:r w:rsidRPr="00224097">
        <w:rPr>
          <w:rFonts w:ascii="Times New Roman" w:hAnsi="Times New Roman" w:cs="Times New Roman"/>
          <w:bCs/>
          <w:color w:val="000000"/>
          <w:sz w:val="24"/>
          <w:szCs w:val="24"/>
        </w:rPr>
        <w:t>international acceptance</w:t>
      </w:r>
      <w:r w:rsidR="00A536EE" w:rsidRPr="00BB4B0E">
        <w:rPr>
          <w:rFonts w:ascii="Times New Roman" w:eastAsia="Calibri" w:hAnsi="Times New Roman" w:cs="Times New Roman"/>
          <w:color w:val="000000"/>
          <w:sz w:val="24"/>
          <w:szCs w:val="24"/>
        </w:rPr>
        <w:t>.</w:t>
      </w:r>
    </w:p>
    <w:p w14:paraId="60EBC7B2" w14:textId="5B344C4A" w:rsidR="00560B79" w:rsidRPr="00640C6C" w:rsidRDefault="00640C6C" w:rsidP="00E04597">
      <w:pPr>
        <w:spacing w:before="240" w:line="276" w:lineRule="auto"/>
        <w:jc w:val="both"/>
        <w:rPr>
          <w:rFonts w:ascii="Times New Roman" w:eastAsia="Calibri" w:hAnsi="Times New Roman" w:cs="Times New Roman"/>
          <w:b/>
          <w:kern w:val="2"/>
          <w:sz w:val="24"/>
          <w:szCs w:val="24"/>
          <w14:ligatures w14:val="standardContextual"/>
        </w:rPr>
      </w:pPr>
      <w:bookmarkStart w:id="4" w:name="_Hlk194617376"/>
      <w:r>
        <w:rPr>
          <w:rFonts w:ascii="Times New Roman" w:eastAsia="Calibri" w:hAnsi="Times New Roman" w:cs="Times New Roman"/>
          <w:b/>
          <w:kern w:val="2"/>
          <w:sz w:val="24"/>
          <w:szCs w:val="24"/>
          <w14:ligatures w14:val="standardContextual"/>
        </w:rPr>
        <w:t xml:space="preserve">3.2.4 </w:t>
      </w:r>
      <w:r w:rsidR="00560B79" w:rsidRPr="00640C6C">
        <w:rPr>
          <w:rFonts w:ascii="Times New Roman" w:eastAsia="Calibri" w:hAnsi="Times New Roman" w:cs="Times New Roman"/>
          <w:b/>
          <w:kern w:val="2"/>
          <w:sz w:val="24"/>
          <w:szCs w:val="24"/>
          <w14:ligatures w14:val="standardContextual"/>
        </w:rPr>
        <w:t>International Organization for Standardization (ISO)</w:t>
      </w:r>
      <w:bookmarkEnd w:id="4"/>
    </w:p>
    <w:p w14:paraId="5058D82C" w14:textId="68CF77C6" w:rsidR="00560B79" w:rsidRDefault="00560B79" w:rsidP="00E04597">
      <w:pPr>
        <w:spacing w:before="240" w:line="276" w:lineRule="auto"/>
        <w:jc w:val="both"/>
        <w:rPr>
          <w:rFonts w:ascii="Times New Roman" w:hAnsi="Times New Roman" w:cs="Times New Roman"/>
          <w:bCs/>
          <w:color w:val="000000"/>
          <w:sz w:val="24"/>
          <w:szCs w:val="24"/>
        </w:rPr>
      </w:pPr>
      <w:r w:rsidRPr="00F20527">
        <w:rPr>
          <w:rFonts w:ascii="Times New Roman" w:hAnsi="Times New Roman" w:cs="Times New Roman"/>
          <w:bCs/>
          <w:color w:val="000000"/>
          <w:sz w:val="24"/>
          <w:szCs w:val="24"/>
        </w:rPr>
        <w:t xml:space="preserve">International standards </w:t>
      </w:r>
      <w:r>
        <w:rPr>
          <w:rFonts w:ascii="Times New Roman" w:hAnsi="Times New Roman" w:cs="Times New Roman"/>
          <w:bCs/>
          <w:color w:val="000000"/>
          <w:sz w:val="24"/>
          <w:szCs w:val="24"/>
        </w:rPr>
        <w:t>ensure</w:t>
      </w:r>
      <w:r w:rsidRPr="00F20527">
        <w:rPr>
          <w:rFonts w:ascii="Times New Roman" w:hAnsi="Times New Roman" w:cs="Times New Roman"/>
          <w:bCs/>
          <w:color w:val="000000"/>
          <w:sz w:val="24"/>
          <w:szCs w:val="24"/>
        </w:rPr>
        <w:t xml:space="preserve"> that the products and services </w:t>
      </w:r>
      <w:r>
        <w:rPr>
          <w:rFonts w:ascii="Times New Roman" w:hAnsi="Times New Roman" w:cs="Times New Roman"/>
          <w:bCs/>
          <w:color w:val="000000"/>
          <w:sz w:val="24"/>
          <w:szCs w:val="24"/>
        </w:rPr>
        <w:t>we</w:t>
      </w:r>
      <w:r w:rsidRPr="00F20527">
        <w:rPr>
          <w:rFonts w:ascii="Times New Roman" w:hAnsi="Times New Roman" w:cs="Times New Roman"/>
          <w:bCs/>
          <w:color w:val="000000"/>
          <w:sz w:val="24"/>
          <w:szCs w:val="24"/>
        </w:rPr>
        <w:t xml:space="preserve"> use every day are safe, </w:t>
      </w:r>
      <w:r>
        <w:rPr>
          <w:rFonts w:ascii="Times New Roman" w:hAnsi="Times New Roman" w:cs="Times New Roman"/>
          <w:bCs/>
          <w:color w:val="000000"/>
          <w:sz w:val="24"/>
          <w:szCs w:val="24"/>
        </w:rPr>
        <w:t>reliable</w:t>
      </w:r>
      <w:r w:rsidRPr="00F20527">
        <w:rPr>
          <w:rFonts w:ascii="Times New Roman" w:hAnsi="Times New Roman" w:cs="Times New Roman"/>
          <w:bCs/>
          <w:color w:val="000000"/>
          <w:sz w:val="24"/>
          <w:szCs w:val="24"/>
        </w:rPr>
        <w:t xml:space="preserve">, and of </w:t>
      </w:r>
      <w:r>
        <w:rPr>
          <w:rFonts w:ascii="Times New Roman" w:hAnsi="Times New Roman" w:cs="Times New Roman"/>
          <w:bCs/>
          <w:color w:val="000000"/>
          <w:sz w:val="24"/>
          <w:szCs w:val="24"/>
        </w:rPr>
        <w:t>high</w:t>
      </w:r>
      <w:r w:rsidRPr="00F20527">
        <w:rPr>
          <w:rFonts w:ascii="Times New Roman" w:hAnsi="Times New Roman" w:cs="Times New Roman"/>
          <w:bCs/>
          <w:color w:val="000000"/>
          <w:sz w:val="24"/>
          <w:szCs w:val="24"/>
        </w:rPr>
        <w:t xml:space="preserve"> quality. </w:t>
      </w:r>
      <w:r w:rsidRPr="00AB5E37">
        <w:rPr>
          <w:rFonts w:ascii="Times New Roman" w:hAnsi="Times New Roman" w:cs="Times New Roman"/>
          <w:bCs/>
          <w:color w:val="000000"/>
          <w:sz w:val="24"/>
          <w:szCs w:val="24"/>
        </w:rPr>
        <w:t>These standards do not give exact instructions over what an organization should do, but instead offer a framework that can be used for the development and implementation of systems that meet certain requirements with regard</w:t>
      </w:r>
      <w:r>
        <w:rPr>
          <w:rFonts w:ascii="Times New Roman" w:hAnsi="Times New Roman" w:cs="Times New Roman"/>
          <w:bCs/>
          <w:color w:val="000000"/>
          <w:sz w:val="24"/>
          <w:szCs w:val="24"/>
        </w:rPr>
        <w:t xml:space="preserve"> </w:t>
      </w:r>
      <w:r w:rsidRPr="00AB5E37">
        <w:rPr>
          <w:rFonts w:ascii="Times New Roman" w:hAnsi="Times New Roman" w:cs="Times New Roman"/>
          <w:bCs/>
          <w:color w:val="000000"/>
          <w:sz w:val="24"/>
          <w:szCs w:val="24"/>
        </w:rPr>
        <w:t>to quality, food safety and the protection of the environment</w:t>
      </w:r>
      <w:r>
        <w:rPr>
          <w:rFonts w:ascii="Times New Roman" w:hAnsi="Times New Roman" w:cs="Times New Roman"/>
          <w:bCs/>
          <w:color w:val="000000"/>
          <w:sz w:val="24"/>
          <w:szCs w:val="24"/>
        </w:rPr>
        <w:t>.</w:t>
      </w:r>
    </w:p>
    <w:p w14:paraId="702173D2" w14:textId="77777777" w:rsidR="00411F9B" w:rsidRDefault="00560B79" w:rsidP="00411F9B">
      <w:pPr>
        <w:spacing w:before="240" w:line="276" w:lineRule="auto"/>
        <w:jc w:val="both"/>
        <w:rPr>
          <w:rFonts w:ascii="Times New Roman" w:hAnsi="Times New Roman" w:cs="Times New Roman"/>
          <w:bCs/>
          <w:color w:val="000000"/>
          <w:sz w:val="24"/>
          <w:szCs w:val="24"/>
        </w:rPr>
      </w:pPr>
      <w:r w:rsidRPr="00A818A4">
        <w:rPr>
          <w:rFonts w:ascii="Times New Roman" w:hAnsi="Times New Roman" w:cs="Times New Roman"/>
          <w:bCs/>
          <w:color w:val="000000"/>
          <w:sz w:val="24"/>
          <w:szCs w:val="24"/>
        </w:rPr>
        <w:t>ISO is an independent, non-governmental international organization that develops standards to ensure the quality, safety, and efficiency of products, services, and systems.</w:t>
      </w:r>
      <w:r w:rsidR="00197FDE">
        <w:rPr>
          <w:rFonts w:ascii="Times New Roman" w:hAnsi="Times New Roman" w:cs="Times New Roman"/>
          <w:bCs/>
          <w:color w:val="000000"/>
          <w:sz w:val="24"/>
          <w:szCs w:val="24"/>
        </w:rPr>
        <w:t xml:space="preserve"> </w:t>
      </w:r>
      <w:r w:rsidRPr="00DB02F0">
        <w:rPr>
          <w:rFonts w:ascii="Times New Roman" w:hAnsi="Times New Roman" w:cs="Times New Roman"/>
          <w:bCs/>
          <w:color w:val="000000"/>
          <w:sz w:val="24"/>
          <w:szCs w:val="24"/>
        </w:rPr>
        <w:t>Certification is carried out by accredited external bodies, meaning that a company or organization cannot be certified directly by ISO.</w:t>
      </w:r>
      <w:bookmarkStart w:id="5" w:name="_Hlk194617417"/>
    </w:p>
    <w:p w14:paraId="4BB2DF99" w14:textId="14613456" w:rsidR="00560B79" w:rsidRPr="00411F9B" w:rsidRDefault="00560B79" w:rsidP="00411F9B">
      <w:pPr>
        <w:spacing w:before="240" w:line="276" w:lineRule="auto"/>
        <w:jc w:val="both"/>
        <w:rPr>
          <w:rFonts w:ascii="Times New Roman" w:hAnsi="Times New Roman" w:cs="Times New Roman"/>
          <w:bCs/>
          <w:color w:val="000000"/>
          <w:sz w:val="24"/>
          <w:szCs w:val="24"/>
        </w:rPr>
      </w:pPr>
      <w:r w:rsidRPr="00FD2819">
        <w:rPr>
          <w:rFonts w:ascii="Times New Roman" w:hAnsi="Times New Roman" w:cs="Times New Roman"/>
          <w:b/>
          <w:color w:val="000000"/>
          <w:sz w:val="24"/>
          <w:szCs w:val="24"/>
        </w:rPr>
        <w:t>ISO 9001</w:t>
      </w:r>
      <w:r>
        <w:rPr>
          <w:rFonts w:ascii="Times New Roman" w:hAnsi="Times New Roman" w:cs="Times New Roman"/>
          <w:b/>
          <w:color w:val="000000"/>
          <w:sz w:val="24"/>
          <w:szCs w:val="24"/>
        </w:rPr>
        <w:t>:2015 (Quality Management System)</w:t>
      </w:r>
      <w:bookmarkEnd w:id="5"/>
    </w:p>
    <w:p w14:paraId="44F54E48" w14:textId="77777777" w:rsidR="00411F9B" w:rsidRDefault="00560B79" w:rsidP="00411F9B">
      <w:pPr>
        <w:spacing w:before="240" w:line="276" w:lineRule="auto"/>
        <w:jc w:val="both"/>
        <w:rPr>
          <w:rFonts w:ascii="Times New Roman" w:hAnsi="Times New Roman" w:cs="Times New Roman"/>
          <w:bCs/>
          <w:color w:val="000000"/>
          <w:sz w:val="24"/>
          <w:szCs w:val="24"/>
        </w:rPr>
      </w:pPr>
      <w:r w:rsidRPr="003F71DD">
        <w:rPr>
          <w:rFonts w:ascii="Times New Roman" w:hAnsi="Times New Roman" w:cs="Times New Roman"/>
          <w:bCs/>
          <w:color w:val="000000"/>
          <w:sz w:val="24"/>
          <w:szCs w:val="24"/>
        </w:rPr>
        <w:t>ISO 9001</w:t>
      </w:r>
      <w:r>
        <w:rPr>
          <w:rFonts w:ascii="Times New Roman" w:hAnsi="Times New Roman" w:cs="Times New Roman"/>
          <w:bCs/>
          <w:color w:val="000000"/>
          <w:sz w:val="24"/>
          <w:szCs w:val="24"/>
        </w:rPr>
        <w:t>:2015</w:t>
      </w:r>
      <w:r w:rsidRPr="003F71DD">
        <w:rPr>
          <w:rFonts w:ascii="Times New Roman" w:hAnsi="Times New Roman" w:cs="Times New Roman"/>
          <w:bCs/>
          <w:color w:val="000000"/>
          <w:sz w:val="24"/>
          <w:szCs w:val="24"/>
        </w:rPr>
        <w:t xml:space="preserve"> is an internationally recognized standard</w:t>
      </w:r>
      <w:r>
        <w:rPr>
          <w:rFonts w:ascii="Times New Roman" w:hAnsi="Times New Roman" w:cs="Times New Roman"/>
          <w:bCs/>
          <w:color w:val="000000"/>
          <w:sz w:val="24"/>
          <w:szCs w:val="24"/>
        </w:rPr>
        <w:t xml:space="preserve"> and is the only standard in the ISO 9000 family that can be certified. </w:t>
      </w:r>
      <w:r w:rsidR="00387117">
        <w:rPr>
          <w:rFonts w:ascii="Times New Roman" w:hAnsi="Times New Roman" w:cs="Times New Roman"/>
          <w:bCs/>
          <w:color w:val="000000"/>
          <w:sz w:val="24"/>
          <w:szCs w:val="24"/>
        </w:rPr>
        <w:t xml:space="preserve">It primarily focuses on </w:t>
      </w:r>
      <w:r w:rsidR="00055DDF">
        <w:rPr>
          <w:rFonts w:ascii="Times New Roman" w:hAnsi="Times New Roman" w:cs="Times New Roman"/>
          <w:bCs/>
          <w:color w:val="000000"/>
          <w:sz w:val="24"/>
          <w:szCs w:val="24"/>
        </w:rPr>
        <w:t>f</w:t>
      </w:r>
      <w:r w:rsidR="00387117">
        <w:rPr>
          <w:rFonts w:ascii="Times New Roman" w:hAnsi="Times New Roman" w:cs="Times New Roman"/>
          <w:bCs/>
          <w:color w:val="000000"/>
          <w:sz w:val="24"/>
          <w:szCs w:val="24"/>
        </w:rPr>
        <w:t xml:space="preserve">ood </w:t>
      </w:r>
      <w:r w:rsidR="00055DDF">
        <w:rPr>
          <w:rFonts w:ascii="Times New Roman" w:hAnsi="Times New Roman" w:cs="Times New Roman"/>
          <w:bCs/>
          <w:color w:val="000000"/>
          <w:sz w:val="24"/>
          <w:szCs w:val="24"/>
        </w:rPr>
        <w:t>q</w:t>
      </w:r>
      <w:r w:rsidR="00387117">
        <w:rPr>
          <w:rFonts w:ascii="Times New Roman" w:hAnsi="Times New Roman" w:cs="Times New Roman"/>
          <w:bCs/>
          <w:color w:val="000000"/>
          <w:sz w:val="24"/>
          <w:szCs w:val="24"/>
        </w:rPr>
        <w:t xml:space="preserve">uality and </w:t>
      </w:r>
      <w:r w:rsidR="00055DDF">
        <w:rPr>
          <w:rFonts w:ascii="Times New Roman" w:hAnsi="Times New Roman" w:cs="Times New Roman"/>
          <w:bCs/>
          <w:color w:val="000000"/>
          <w:sz w:val="24"/>
          <w:szCs w:val="24"/>
        </w:rPr>
        <w:t xml:space="preserve">it is required in hotels, restaurants, catering or any </w:t>
      </w:r>
      <w:r w:rsidRPr="003F71DD">
        <w:rPr>
          <w:rFonts w:ascii="Times New Roman" w:hAnsi="Times New Roman" w:cs="Times New Roman"/>
          <w:bCs/>
          <w:color w:val="000000"/>
          <w:sz w:val="24"/>
          <w:szCs w:val="24"/>
        </w:rPr>
        <w:t>organization</w:t>
      </w:r>
      <w:r>
        <w:rPr>
          <w:rFonts w:ascii="Times New Roman" w:hAnsi="Times New Roman" w:cs="Times New Roman"/>
          <w:bCs/>
          <w:color w:val="000000"/>
          <w:sz w:val="24"/>
          <w:szCs w:val="24"/>
        </w:rPr>
        <w:t>s</w:t>
      </w:r>
      <w:r w:rsidRPr="003F71DD">
        <w:rPr>
          <w:rFonts w:ascii="Times New Roman" w:hAnsi="Times New Roman" w:cs="Times New Roman"/>
          <w:bCs/>
          <w:color w:val="000000"/>
          <w:sz w:val="24"/>
          <w:szCs w:val="24"/>
        </w:rPr>
        <w:t xml:space="preserve">, regardless of </w:t>
      </w:r>
      <w:r>
        <w:rPr>
          <w:rFonts w:ascii="Times New Roman" w:hAnsi="Times New Roman" w:cs="Times New Roman"/>
          <w:bCs/>
          <w:color w:val="000000"/>
          <w:sz w:val="24"/>
          <w:szCs w:val="24"/>
        </w:rPr>
        <w:t>their</w:t>
      </w:r>
      <w:r w:rsidRPr="003F71DD">
        <w:rPr>
          <w:rFonts w:ascii="Times New Roman" w:hAnsi="Times New Roman" w:cs="Times New Roman"/>
          <w:bCs/>
          <w:color w:val="000000"/>
          <w:sz w:val="24"/>
          <w:szCs w:val="24"/>
        </w:rPr>
        <w:t xml:space="preserve"> size, sector or activity or geographic location. </w:t>
      </w:r>
      <w:r>
        <w:rPr>
          <w:rFonts w:ascii="Times New Roman" w:hAnsi="Times New Roman" w:cs="Times New Roman"/>
          <w:bCs/>
          <w:color w:val="000000"/>
          <w:sz w:val="24"/>
          <w:szCs w:val="24"/>
        </w:rPr>
        <w:t>It</w:t>
      </w:r>
      <w:r w:rsidRPr="00A936FA">
        <w:rPr>
          <w:rFonts w:ascii="Times New Roman" w:hAnsi="Times New Roman" w:cs="Times New Roman"/>
          <w:bCs/>
          <w:color w:val="000000"/>
          <w:sz w:val="24"/>
          <w:szCs w:val="24"/>
        </w:rPr>
        <w:t xml:space="preserve"> guide</w:t>
      </w:r>
      <w:r>
        <w:rPr>
          <w:rFonts w:ascii="Times New Roman" w:hAnsi="Times New Roman" w:cs="Times New Roman"/>
          <w:bCs/>
          <w:color w:val="000000"/>
          <w:sz w:val="24"/>
          <w:szCs w:val="24"/>
        </w:rPr>
        <w:t>s</w:t>
      </w:r>
      <w:r w:rsidRPr="00A936FA">
        <w:rPr>
          <w:rFonts w:ascii="Times New Roman" w:hAnsi="Times New Roman" w:cs="Times New Roman"/>
          <w:bCs/>
          <w:color w:val="000000"/>
          <w:sz w:val="24"/>
          <w:szCs w:val="24"/>
        </w:rPr>
        <w:t xml:space="preserve"> and support</w:t>
      </w:r>
      <w:r>
        <w:rPr>
          <w:rFonts w:ascii="Times New Roman" w:hAnsi="Times New Roman" w:cs="Times New Roman"/>
          <w:bCs/>
          <w:color w:val="000000"/>
          <w:sz w:val="24"/>
          <w:szCs w:val="24"/>
        </w:rPr>
        <w:t xml:space="preserve">s </w:t>
      </w:r>
      <w:r w:rsidRPr="00A936FA">
        <w:rPr>
          <w:rFonts w:ascii="Times New Roman" w:hAnsi="Times New Roman" w:cs="Times New Roman"/>
          <w:bCs/>
          <w:color w:val="000000"/>
          <w:sz w:val="24"/>
          <w:szCs w:val="24"/>
        </w:rPr>
        <w:t>companies and</w:t>
      </w:r>
      <w:r>
        <w:rPr>
          <w:rFonts w:ascii="Times New Roman" w:hAnsi="Times New Roman" w:cs="Times New Roman"/>
          <w:bCs/>
          <w:color w:val="000000"/>
          <w:sz w:val="24"/>
          <w:szCs w:val="24"/>
        </w:rPr>
        <w:t xml:space="preserve"> </w:t>
      </w:r>
      <w:r w:rsidRPr="00A936FA">
        <w:rPr>
          <w:rFonts w:ascii="Times New Roman" w:hAnsi="Times New Roman" w:cs="Times New Roman"/>
          <w:bCs/>
          <w:color w:val="000000"/>
          <w:sz w:val="24"/>
          <w:szCs w:val="24"/>
        </w:rPr>
        <w:t>organizations through providing them with the tools they need to ensure that their products</w:t>
      </w:r>
      <w:r>
        <w:rPr>
          <w:rFonts w:ascii="Times New Roman" w:hAnsi="Times New Roman" w:cs="Times New Roman"/>
          <w:bCs/>
          <w:color w:val="000000"/>
          <w:sz w:val="24"/>
          <w:szCs w:val="24"/>
        </w:rPr>
        <w:t xml:space="preserve"> </w:t>
      </w:r>
      <w:r w:rsidRPr="00A936FA">
        <w:rPr>
          <w:rFonts w:ascii="Times New Roman" w:hAnsi="Times New Roman" w:cs="Times New Roman"/>
          <w:bCs/>
          <w:color w:val="000000"/>
          <w:sz w:val="24"/>
          <w:szCs w:val="24"/>
        </w:rPr>
        <w:t>and services are consistent and in accordance with what their customers need</w:t>
      </w:r>
      <w:r w:rsidR="00F204A3">
        <w:rPr>
          <w:rFonts w:ascii="Times New Roman" w:hAnsi="Times New Roman" w:cs="Times New Roman"/>
          <w:bCs/>
          <w:color w:val="000000"/>
          <w:sz w:val="24"/>
          <w:szCs w:val="24"/>
        </w:rPr>
        <w:t xml:space="preserve">.         </w:t>
      </w:r>
    </w:p>
    <w:p w14:paraId="238CBBFF" w14:textId="1DB1B18E" w:rsidR="00560B79" w:rsidRPr="00DB5FC3" w:rsidRDefault="00560B79" w:rsidP="00411F9B">
      <w:pPr>
        <w:spacing w:before="240" w:line="276" w:lineRule="auto"/>
        <w:jc w:val="both"/>
        <w:rPr>
          <w:rFonts w:ascii="Times New Roman" w:hAnsi="Times New Roman" w:cs="Times New Roman"/>
          <w:bCs/>
          <w:color w:val="000000"/>
          <w:sz w:val="24"/>
          <w:szCs w:val="24"/>
        </w:rPr>
      </w:pPr>
      <w:r w:rsidRPr="00223CCE">
        <w:rPr>
          <w:rFonts w:ascii="Times New Roman" w:hAnsi="Times New Roman" w:cs="Times New Roman"/>
          <w:b/>
          <w:color w:val="000000"/>
          <w:sz w:val="24"/>
          <w:szCs w:val="24"/>
        </w:rPr>
        <w:t xml:space="preserve">ISO </w:t>
      </w:r>
      <w:r>
        <w:rPr>
          <w:rFonts w:ascii="Times New Roman" w:hAnsi="Times New Roman" w:cs="Times New Roman"/>
          <w:b/>
          <w:color w:val="000000"/>
          <w:sz w:val="24"/>
          <w:szCs w:val="24"/>
        </w:rPr>
        <w:t>22000:2018</w:t>
      </w:r>
      <w:r w:rsidRPr="00223CC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Food Safety</w:t>
      </w:r>
      <w:r w:rsidRPr="00223CCE">
        <w:rPr>
          <w:rFonts w:ascii="Times New Roman" w:hAnsi="Times New Roman" w:cs="Times New Roman"/>
          <w:b/>
          <w:color w:val="000000"/>
          <w:sz w:val="24"/>
          <w:szCs w:val="24"/>
        </w:rPr>
        <w:t xml:space="preserve"> Management System</w:t>
      </w:r>
      <w:r>
        <w:rPr>
          <w:rFonts w:ascii="Times New Roman" w:hAnsi="Times New Roman" w:cs="Times New Roman"/>
          <w:b/>
          <w:color w:val="000000"/>
          <w:sz w:val="24"/>
          <w:szCs w:val="24"/>
        </w:rPr>
        <w:t>)</w:t>
      </w:r>
    </w:p>
    <w:p w14:paraId="6914F8E1" w14:textId="299250DC" w:rsidR="00560B79" w:rsidRDefault="00560B79" w:rsidP="00E04597">
      <w:pPr>
        <w:spacing w:before="240" w:line="276" w:lineRule="auto"/>
        <w:jc w:val="both"/>
        <w:rPr>
          <w:rFonts w:ascii="Times New Roman" w:hAnsi="Times New Roman" w:cs="Times New Roman"/>
          <w:sz w:val="24"/>
          <w:szCs w:val="24"/>
        </w:rPr>
      </w:pPr>
      <w:r w:rsidRPr="00907099">
        <w:rPr>
          <w:rFonts w:ascii="Times New Roman" w:hAnsi="Times New Roman" w:cs="Times New Roman"/>
          <w:sz w:val="24"/>
          <w:szCs w:val="24"/>
        </w:rPr>
        <w:t xml:space="preserve">ISO 22000:2018 is a global food safety management system standard that covers the entire food supply chain. </w:t>
      </w:r>
      <w:r w:rsidR="00F7130F" w:rsidRPr="00907099">
        <w:rPr>
          <w:rFonts w:ascii="Times New Roman" w:hAnsi="Times New Roman" w:cs="Times New Roman"/>
          <w:sz w:val="24"/>
          <w:szCs w:val="24"/>
        </w:rPr>
        <w:t xml:space="preserve">It applies to all organizations in the food supply chain, from farmers to processors to retailers, ensuring </w:t>
      </w:r>
      <w:r w:rsidR="00F7130F">
        <w:rPr>
          <w:rFonts w:ascii="Times New Roman" w:hAnsi="Times New Roman" w:cs="Times New Roman"/>
          <w:sz w:val="24"/>
          <w:szCs w:val="24"/>
        </w:rPr>
        <w:t xml:space="preserve">the delivery of </w:t>
      </w:r>
      <w:r w:rsidR="00F7130F" w:rsidRPr="00907099">
        <w:rPr>
          <w:rFonts w:ascii="Times New Roman" w:hAnsi="Times New Roman" w:cs="Times New Roman"/>
          <w:sz w:val="24"/>
          <w:szCs w:val="24"/>
        </w:rPr>
        <w:t xml:space="preserve">safe products </w:t>
      </w:r>
      <w:r w:rsidR="00F7130F">
        <w:rPr>
          <w:rFonts w:ascii="Times New Roman" w:hAnsi="Times New Roman" w:cs="Times New Roman"/>
          <w:sz w:val="24"/>
          <w:szCs w:val="24"/>
        </w:rPr>
        <w:t>to</w:t>
      </w:r>
      <w:r w:rsidR="00F7130F" w:rsidRPr="00907099">
        <w:rPr>
          <w:rFonts w:ascii="Times New Roman" w:hAnsi="Times New Roman" w:cs="Times New Roman"/>
          <w:sz w:val="24"/>
          <w:szCs w:val="24"/>
        </w:rPr>
        <w:t xml:space="preserve"> consumers.</w:t>
      </w:r>
      <w:r w:rsidR="00F7130F">
        <w:rPr>
          <w:rFonts w:ascii="Times New Roman" w:hAnsi="Times New Roman" w:cs="Times New Roman"/>
          <w:sz w:val="24"/>
          <w:szCs w:val="24"/>
        </w:rPr>
        <w:t xml:space="preserve"> </w:t>
      </w:r>
      <w:r w:rsidRPr="00907099">
        <w:rPr>
          <w:rFonts w:ascii="Times New Roman" w:hAnsi="Times New Roman" w:cs="Times New Roman"/>
          <w:sz w:val="24"/>
          <w:szCs w:val="24"/>
        </w:rPr>
        <w:t xml:space="preserve">It combines the </w:t>
      </w:r>
      <w:r w:rsidRPr="00907099">
        <w:rPr>
          <w:rFonts w:ascii="Times New Roman" w:hAnsi="Times New Roman" w:cs="Times New Roman"/>
          <w:sz w:val="24"/>
          <w:szCs w:val="24"/>
        </w:rPr>
        <w:lastRenderedPageBreak/>
        <w:t>principles of HACCP and ISO 9001</w:t>
      </w:r>
      <w:r>
        <w:rPr>
          <w:rFonts w:ascii="Times New Roman" w:hAnsi="Times New Roman" w:cs="Times New Roman"/>
          <w:sz w:val="24"/>
          <w:szCs w:val="24"/>
        </w:rPr>
        <w:t xml:space="preserve"> </w:t>
      </w:r>
      <w:r w:rsidRPr="00907099">
        <w:rPr>
          <w:rFonts w:ascii="Times New Roman" w:hAnsi="Times New Roman" w:cs="Times New Roman"/>
          <w:sz w:val="24"/>
          <w:szCs w:val="24"/>
        </w:rPr>
        <w:t xml:space="preserve">to help companies build a </w:t>
      </w:r>
      <w:r>
        <w:rPr>
          <w:rFonts w:ascii="Times New Roman" w:hAnsi="Times New Roman" w:cs="Times New Roman"/>
          <w:sz w:val="24"/>
          <w:szCs w:val="24"/>
        </w:rPr>
        <w:t xml:space="preserve">strong </w:t>
      </w:r>
      <w:r w:rsidRPr="00907099">
        <w:rPr>
          <w:rFonts w:ascii="Times New Roman" w:hAnsi="Times New Roman" w:cs="Times New Roman"/>
          <w:sz w:val="24"/>
          <w:szCs w:val="24"/>
        </w:rPr>
        <w:t>food safety and quality management system. It is one of the most popular standards around the world</w:t>
      </w:r>
      <w:r w:rsidR="0052639F">
        <w:rPr>
          <w:rFonts w:ascii="Times New Roman" w:hAnsi="Times New Roman" w:cs="Times New Roman"/>
          <w:sz w:val="24"/>
          <w:szCs w:val="24"/>
        </w:rPr>
        <w:t>.</w:t>
      </w:r>
    </w:p>
    <w:p w14:paraId="649CC85F" w14:textId="59631D0D" w:rsidR="00560B79" w:rsidRDefault="00560B79" w:rsidP="00E04597">
      <w:pPr>
        <w:spacing w:before="240" w:line="276" w:lineRule="auto"/>
        <w:jc w:val="both"/>
        <w:rPr>
          <w:rFonts w:ascii="Times New Roman" w:eastAsia="Aptos" w:hAnsi="Times New Roman" w:cs="Times New Roman"/>
          <w:bCs/>
          <w:sz w:val="24"/>
          <w:szCs w:val="24"/>
        </w:rPr>
      </w:pPr>
      <w:r w:rsidRPr="00C132F9">
        <w:rPr>
          <w:rFonts w:ascii="Times New Roman" w:hAnsi="Times New Roman" w:cs="Times New Roman"/>
          <w:sz w:val="24"/>
          <w:szCs w:val="24"/>
        </w:rPr>
        <w:t>A</w:t>
      </w:r>
      <w:r w:rsidR="00C07D79">
        <w:rPr>
          <w:rFonts w:ascii="Times New Roman" w:hAnsi="Times New Roman" w:cs="Times New Roman"/>
          <w:sz w:val="24"/>
          <w:szCs w:val="24"/>
        </w:rPr>
        <w:t xml:space="preserve"> </w:t>
      </w:r>
      <w:r w:rsidRPr="00C132F9">
        <w:rPr>
          <w:rFonts w:ascii="Times New Roman" w:hAnsi="Times New Roman" w:cs="Times New Roman"/>
          <w:sz w:val="24"/>
          <w:szCs w:val="24"/>
        </w:rPr>
        <w:t>very important reason why companies implement this standard is customer requirements. Generally, firms consider ISO</w:t>
      </w:r>
      <w:r>
        <w:rPr>
          <w:rFonts w:ascii="Times New Roman" w:hAnsi="Times New Roman" w:cs="Times New Roman"/>
          <w:sz w:val="24"/>
          <w:szCs w:val="24"/>
        </w:rPr>
        <w:t xml:space="preserve"> </w:t>
      </w:r>
      <w:r w:rsidRPr="00C132F9">
        <w:rPr>
          <w:rFonts w:ascii="Times New Roman" w:hAnsi="Times New Roman" w:cs="Times New Roman"/>
          <w:sz w:val="24"/>
          <w:szCs w:val="24"/>
        </w:rPr>
        <w:t>certification as a tool that offers them a competitive advantage</w:t>
      </w:r>
      <w:r w:rsidRPr="00C132F9">
        <w:rPr>
          <w:rFonts w:ascii="Times New Roman" w:eastAsia="Aptos" w:hAnsi="Times New Roman" w:cs="Times New Roman"/>
          <w:bCs/>
          <w:sz w:val="24"/>
          <w:szCs w:val="24"/>
        </w:rPr>
        <w:t>.</w:t>
      </w:r>
    </w:p>
    <w:p w14:paraId="34D80920" w14:textId="79E7FECA" w:rsidR="00FA6B39" w:rsidRPr="000C63B4" w:rsidRDefault="000C63B4" w:rsidP="00E04597">
      <w:pPr>
        <w:spacing w:before="240" w:line="276" w:lineRule="auto"/>
        <w:jc w:val="both"/>
        <w:rPr>
          <w:rFonts w:ascii="Times New Roman" w:eastAsia="Calibri" w:hAnsi="Times New Roman" w:cs="Times New Roman"/>
          <w:b/>
          <w:bCs/>
          <w:color w:val="000000"/>
          <w:sz w:val="24"/>
          <w:szCs w:val="24"/>
        </w:rPr>
      </w:pPr>
      <w:bookmarkStart w:id="6" w:name="_Hlk194617466"/>
      <w:r>
        <w:rPr>
          <w:rFonts w:ascii="Times New Roman" w:eastAsia="Calibri" w:hAnsi="Times New Roman" w:cs="Times New Roman"/>
          <w:b/>
          <w:bCs/>
          <w:color w:val="000000"/>
          <w:sz w:val="24"/>
          <w:szCs w:val="24"/>
        </w:rPr>
        <w:t xml:space="preserve">3.2.5 </w:t>
      </w:r>
      <w:r w:rsidR="00482000" w:rsidRPr="000C63B4">
        <w:rPr>
          <w:rFonts w:ascii="Times New Roman" w:eastAsia="Calibri" w:hAnsi="Times New Roman" w:cs="Times New Roman"/>
          <w:b/>
          <w:bCs/>
          <w:color w:val="000000"/>
          <w:sz w:val="24"/>
          <w:szCs w:val="24"/>
        </w:rPr>
        <w:t>Food Safety System Certification 22000 (FSSC 22000)</w:t>
      </w:r>
      <w:bookmarkEnd w:id="6"/>
    </w:p>
    <w:p w14:paraId="1D28923B" w14:textId="77777777" w:rsidR="00504780" w:rsidRDefault="00482000" w:rsidP="00E04597">
      <w:pPr>
        <w:spacing w:before="240" w:line="276" w:lineRule="auto"/>
        <w:jc w:val="both"/>
        <w:rPr>
          <w:rFonts w:ascii="Times New Roman" w:eastAsia="Calibri" w:hAnsi="Times New Roman" w:cs="Times New Roman"/>
          <w:color w:val="000000"/>
          <w:sz w:val="24"/>
          <w:szCs w:val="24"/>
        </w:rPr>
      </w:pPr>
      <w:r w:rsidRPr="00FA6B39">
        <w:rPr>
          <w:rFonts w:ascii="Times New Roman" w:eastAsia="Calibri" w:hAnsi="Times New Roman" w:cs="Times New Roman"/>
          <w:color w:val="000000"/>
          <w:sz w:val="24"/>
          <w:szCs w:val="24"/>
        </w:rPr>
        <w:t>FSSC 22000 is another globally recognized food safety certification, recognized by the Global Food Safety Initiative (GFSI). It is based on ISO 22000 and incorporates additional food safety requirements to ensure food safety along the supply chain and it is considered equivalent to BRC (British Retail Consortium). </w:t>
      </w:r>
    </w:p>
    <w:p w14:paraId="50A99DE1" w14:textId="4E834631" w:rsidR="00482000" w:rsidRDefault="00482000" w:rsidP="00E04597">
      <w:pPr>
        <w:spacing w:before="240" w:line="276" w:lineRule="auto"/>
        <w:jc w:val="both"/>
        <w:rPr>
          <w:rFonts w:ascii="Times New Roman" w:eastAsia="Calibri" w:hAnsi="Times New Roman" w:cs="Times New Roman"/>
          <w:kern w:val="2"/>
          <w:sz w:val="24"/>
          <w:szCs w:val="24"/>
          <w14:ligatures w14:val="standardContextual"/>
        </w:rPr>
      </w:pPr>
      <w:r w:rsidRPr="00FA6B39">
        <w:rPr>
          <w:rFonts w:ascii="Times New Roman" w:eastAsia="Calibri" w:hAnsi="Times New Roman" w:cs="Times New Roman"/>
          <w:kern w:val="2"/>
          <w:sz w:val="24"/>
          <w:szCs w:val="24"/>
          <w14:ligatures w14:val="standardContextual"/>
        </w:rPr>
        <w:t>For facilities already certified under ISO 22000, applying for FSSC 22000 Certification will be the logical next step who are eager to upgrade their certification to a GFSI-recognised standard.</w:t>
      </w:r>
    </w:p>
    <w:p w14:paraId="57BC8032" w14:textId="65964273" w:rsidR="00482000" w:rsidRPr="000C63B4" w:rsidRDefault="000C63B4" w:rsidP="00E04597">
      <w:pPr>
        <w:spacing w:before="240" w:line="276" w:lineRule="auto"/>
        <w:jc w:val="both"/>
        <w:rPr>
          <w:rFonts w:ascii="Times New Roman" w:eastAsia="Calibri" w:hAnsi="Times New Roman" w:cs="Times New Roman"/>
          <w:b/>
          <w:bCs/>
          <w:color w:val="000000"/>
          <w:sz w:val="24"/>
          <w:szCs w:val="24"/>
        </w:rPr>
      </w:pPr>
      <w:bookmarkStart w:id="7" w:name="_Hlk194617484"/>
      <w:r>
        <w:rPr>
          <w:rFonts w:ascii="Times New Roman" w:eastAsia="Calibri" w:hAnsi="Times New Roman" w:cs="Times New Roman"/>
          <w:b/>
          <w:bCs/>
          <w:color w:val="000000"/>
          <w:sz w:val="24"/>
          <w:szCs w:val="24"/>
        </w:rPr>
        <w:t xml:space="preserve">3.2.6 </w:t>
      </w:r>
      <w:r w:rsidR="00482000" w:rsidRPr="000C63B4">
        <w:rPr>
          <w:rFonts w:ascii="Times New Roman" w:eastAsia="Calibri" w:hAnsi="Times New Roman" w:cs="Times New Roman"/>
          <w:b/>
          <w:bCs/>
          <w:color w:val="000000"/>
          <w:sz w:val="24"/>
          <w:szCs w:val="24"/>
        </w:rPr>
        <w:t>British Retail Consortium (BRC)</w:t>
      </w:r>
      <w:bookmarkEnd w:id="7"/>
    </w:p>
    <w:p w14:paraId="758ED680" w14:textId="2580F9BB" w:rsidR="00482000" w:rsidRPr="00482000" w:rsidRDefault="00482000" w:rsidP="00E04597">
      <w:pPr>
        <w:spacing w:before="240" w:after="200" w:line="276" w:lineRule="auto"/>
        <w:jc w:val="both"/>
        <w:rPr>
          <w:rFonts w:ascii="Times New Roman" w:eastAsia="Calibri" w:hAnsi="Times New Roman" w:cs="Times New Roman"/>
          <w:color w:val="000000"/>
          <w:sz w:val="24"/>
          <w:szCs w:val="24"/>
        </w:rPr>
      </w:pPr>
      <w:r w:rsidRPr="00482000">
        <w:rPr>
          <w:rFonts w:ascii="Times New Roman" w:eastAsia="Calibri" w:hAnsi="Times New Roman" w:cs="Times New Roman"/>
          <w:kern w:val="2"/>
          <w:sz w:val="24"/>
          <w:szCs w:val="24"/>
          <w14:ligatures w14:val="standardContextual"/>
        </w:rPr>
        <w:t xml:space="preserve">BRC Global Standards, particularly the BRCGS Food Safety Standard, is a leading quality and food safety certification program for food products, originally developed by UK retailers. BRC Global Standards has become widely recognized </w:t>
      </w:r>
      <w:r w:rsidRPr="00482000">
        <w:rPr>
          <w:rFonts w:ascii="Times New Roman" w:eastAsia="Calibri" w:hAnsi="Times New Roman" w:cs="Times New Roman"/>
          <w:color w:val="000000"/>
          <w:sz w:val="24"/>
          <w:szCs w:val="24"/>
        </w:rPr>
        <w:t xml:space="preserve">by the Global Food Safety Initiative (GFSI) </w:t>
      </w:r>
      <w:r w:rsidRPr="00482000">
        <w:rPr>
          <w:rFonts w:ascii="Times New Roman" w:eastAsia="Calibri" w:hAnsi="Times New Roman" w:cs="Times New Roman"/>
          <w:kern w:val="2"/>
          <w:sz w:val="24"/>
          <w:szCs w:val="24"/>
          <w14:ligatures w14:val="standardContextual"/>
        </w:rPr>
        <w:t xml:space="preserve">and is a respected food safety certification program. It is among the most widely used standards in food industry, </w:t>
      </w:r>
      <w:r w:rsidR="00F41F3D">
        <w:rPr>
          <w:rFonts w:ascii="Times New Roman" w:eastAsia="Calibri" w:hAnsi="Times New Roman" w:cs="Times New Roman"/>
          <w:kern w:val="2"/>
          <w:sz w:val="24"/>
          <w:szCs w:val="24"/>
          <w14:ligatures w14:val="standardContextual"/>
        </w:rPr>
        <w:t xml:space="preserve">particularly by companies </w:t>
      </w:r>
      <w:r w:rsidR="0078495B">
        <w:rPr>
          <w:rFonts w:ascii="Times New Roman" w:eastAsia="Calibri" w:hAnsi="Times New Roman" w:cs="Times New Roman"/>
          <w:kern w:val="2"/>
          <w:sz w:val="24"/>
          <w:szCs w:val="24"/>
          <w14:ligatures w14:val="standardContextual"/>
        </w:rPr>
        <w:t>focused</w:t>
      </w:r>
      <w:r w:rsidR="00F41F3D">
        <w:rPr>
          <w:rFonts w:ascii="Times New Roman" w:eastAsia="Calibri" w:hAnsi="Times New Roman" w:cs="Times New Roman"/>
          <w:kern w:val="2"/>
          <w:sz w:val="24"/>
          <w:szCs w:val="24"/>
          <w14:ligatures w14:val="standardContextual"/>
        </w:rPr>
        <w:t xml:space="preserve"> on the retail market,</w:t>
      </w:r>
      <w:r w:rsidR="001F6AE1">
        <w:rPr>
          <w:rFonts w:ascii="Times New Roman" w:eastAsia="Calibri" w:hAnsi="Times New Roman" w:cs="Times New Roman"/>
          <w:kern w:val="2"/>
          <w:sz w:val="24"/>
          <w:szCs w:val="24"/>
          <w14:ligatures w14:val="standardContextual"/>
        </w:rPr>
        <w:t xml:space="preserve"> </w:t>
      </w:r>
      <w:r w:rsidRPr="00482000">
        <w:rPr>
          <w:rFonts w:ascii="Times New Roman" w:eastAsia="Calibri" w:hAnsi="Times New Roman" w:cs="Times New Roman"/>
          <w:kern w:val="2"/>
          <w:sz w:val="24"/>
          <w:szCs w:val="24"/>
          <w14:ligatures w14:val="standardContextual"/>
        </w:rPr>
        <w:t>with a strong presence in the UK, E</w:t>
      </w:r>
      <w:r w:rsidR="001F6AE1">
        <w:rPr>
          <w:rFonts w:ascii="Times New Roman" w:eastAsia="Calibri" w:hAnsi="Times New Roman" w:cs="Times New Roman"/>
          <w:kern w:val="2"/>
          <w:sz w:val="24"/>
          <w:szCs w:val="24"/>
          <w14:ligatures w14:val="standardContextual"/>
        </w:rPr>
        <w:t>U,</w:t>
      </w:r>
      <w:r w:rsidRPr="00482000">
        <w:rPr>
          <w:rFonts w:ascii="Times New Roman" w:eastAsia="Calibri" w:hAnsi="Times New Roman" w:cs="Times New Roman"/>
          <w:kern w:val="2"/>
          <w:sz w:val="24"/>
          <w:szCs w:val="24"/>
          <w14:ligatures w14:val="standardContextual"/>
        </w:rPr>
        <w:t xml:space="preserve"> </w:t>
      </w:r>
      <w:r w:rsidR="001F6AE1">
        <w:rPr>
          <w:rFonts w:ascii="Times New Roman" w:eastAsia="Calibri" w:hAnsi="Times New Roman" w:cs="Times New Roman"/>
          <w:kern w:val="2"/>
          <w:sz w:val="24"/>
          <w:szCs w:val="24"/>
          <w14:ligatures w14:val="standardContextual"/>
        </w:rPr>
        <w:t xml:space="preserve">Germany </w:t>
      </w:r>
      <w:r w:rsidRPr="00482000">
        <w:rPr>
          <w:rFonts w:ascii="Times New Roman" w:eastAsia="Calibri" w:hAnsi="Times New Roman" w:cs="Times New Roman"/>
          <w:kern w:val="2"/>
          <w:sz w:val="24"/>
          <w:szCs w:val="24"/>
          <w14:ligatures w14:val="standardContextual"/>
        </w:rPr>
        <w:t>and North America.</w:t>
      </w:r>
    </w:p>
    <w:p w14:paraId="03C7F2A0" w14:textId="56713B94" w:rsidR="00482000" w:rsidRPr="00482000" w:rsidRDefault="00FB4B8A" w:rsidP="00E04597">
      <w:pPr>
        <w:spacing w:before="240" w:after="200" w:line="276"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T</w:t>
      </w:r>
      <w:r w:rsidR="00482000" w:rsidRPr="00482000">
        <w:rPr>
          <w:rFonts w:ascii="Times New Roman" w:eastAsia="Calibri" w:hAnsi="Times New Roman" w:cs="Times New Roman"/>
          <w:color w:val="000000"/>
          <w:sz w:val="24"/>
          <w:szCs w:val="24"/>
        </w:rPr>
        <w:t xml:space="preserve">his standard </w:t>
      </w:r>
      <w:r>
        <w:rPr>
          <w:rFonts w:ascii="Times New Roman" w:eastAsia="Calibri" w:hAnsi="Times New Roman" w:cs="Times New Roman"/>
          <w:color w:val="000000"/>
          <w:sz w:val="24"/>
          <w:szCs w:val="24"/>
        </w:rPr>
        <w:t xml:space="preserve">gives </w:t>
      </w:r>
      <w:r w:rsidR="00482000" w:rsidRPr="00482000">
        <w:rPr>
          <w:rFonts w:ascii="Times New Roman" w:eastAsia="Calibri" w:hAnsi="Times New Roman" w:cs="Times New Roman"/>
          <w:color w:val="000000"/>
          <w:sz w:val="24"/>
          <w:szCs w:val="24"/>
        </w:rPr>
        <w:t xml:space="preserve">more emphasis </w:t>
      </w:r>
      <w:r w:rsidR="007F76E7">
        <w:rPr>
          <w:rFonts w:ascii="Times New Roman" w:eastAsia="Calibri" w:hAnsi="Times New Roman" w:cs="Times New Roman"/>
          <w:color w:val="000000"/>
          <w:sz w:val="24"/>
          <w:szCs w:val="24"/>
        </w:rPr>
        <w:t>on</w:t>
      </w:r>
      <w:r w:rsidR="00482000" w:rsidRPr="00482000">
        <w:rPr>
          <w:rFonts w:ascii="Times New Roman" w:eastAsia="Calibri" w:hAnsi="Times New Roman" w:cs="Times New Roman"/>
          <w:color w:val="000000"/>
          <w:sz w:val="24"/>
          <w:szCs w:val="24"/>
        </w:rPr>
        <w:t xml:space="preserve"> documentation, factory and facilities condition, controls on products and processes, and personnel. BRC provides a framework to assist food manufacturers in ensuring that the products produced are safe, while it also assists them in managing product quality to ensure customers’ requirements are met</w:t>
      </w:r>
      <w:r w:rsidR="00482000" w:rsidRPr="00482000">
        <w:rPr>
          <w:rFonts w:ascii="Times New Roman" w:eastAsia="Calibri" w:hAnsi="Times New Roman" w:cs="Times New Roman"/>
          <w:bCs/>
          <w:color w:val="000000"/>
          <w:sz w:val="24"/>
          <w:szCs w:val="24"/>
        </w:rPr>
        <w:t>.</w:t>
      </w:r>
    </w:p>
    <w:p w14:paraId="28B39CFF" w14:textId="385B18C5" w:rsidR="00482000" w:rsidRPr="00482000" w:rsidRDefault="00482000" w:rsidP="00E04597">
      <w:pPr>
        <w:spacing w:before="240" w:after="200" w:line="276" w:lineRule="auto"/>
        <w:jc w:val="both"/>
        <w:rPr>
          <w:rFonts w:ascii="Times New Roman" w:eastAsia="Calibri" w:hAnsi="Times New Roman" w:cs="Times New Roman"/>
          <w:kern w:val="2"/>
          <w:sz w:val="24"/>
          <w:szCs w:val="24"/>
          <w14:ligatures w14:val="standardContextual"/>
        </w:rPr>
      </w:pPr>
      <w:r w:rsidRPr="00482000">
        <w:rPr>
          <w:rFonts w:ascii="Times New Roman" w:eastAsia="Calibri" w:hAnsi="Times New Roman" w:cs="Times New Roman"/>
          <w:kern w:val="2"/>
          <w:sz w:val="24"/>
          <w:szCs w:val="24"/>
          <w14:ligatures w14:val="standardContextual"/>
        </w:rPr>
        <w:t xml:space="preserve">According to the </w:t>
      </w:r>
      <w:r w:rsidR="00EA6953" w:rsidRPr="00482000">
        <w:rPr>
          <w:rFonts w:ascii="Times New Roman" w:eastAsia="Calibri" w:hAnsi="Times New Roman" w:cs="Times New Roman"/>
          <w:kern w:val="2"/>
          <w:sz w:val="24"/>
          <w:szCs w:val="24"/>
          <w14:ligatures w14:val="standardContextual"/>
        </w:rPr>
        <w:t xml:space="preserve">Eurofins </w:t>
      </w:r>
      <w:r w:rsidR="00EA6953">
        <w:rPr>
          <w:rFonts w:ascii="Times New Roman" w:eastAsia="Calibri" w:hAnsi="Times New Roman" w:cs="Times New Roman"/>
          <w:kern w:val="2"/>
          <w:sz w:val="24"/>
          <w:szCs w:val="24"/>
          <w14:ligatures w14:val="standardContextual"/>
        </w:rPr>
        <w:t xml:space="preserve">and </w:t>
      </w:r>
      <w:r w:rsidRPr="00482000">
        <w:rPr>
          <w:rFonts w:ascii="Times New Roman" w:eastAsia="Calibri" w:hAnsi="Times New Roman" w:cs="Times New Roman"/>
          <w:kern w:val="2"/>
          <w:sz w:val="24"/>
          <w:szCs w:val="24"/>
          <w14:ligatures w14:val="standardContextual"/>
        </w:rPr>
        <w:t xml:space="preserve">IRQS Certification Body, the benefits of </w:t>
      </w:r>
      <w:r w:rsidR="0046078C">
        <w:rPr>
          <w:rFonts w:ascii="Times New Roman" w:eastAsia="Calibri" w:hAnsi="Times New Roman" w:cs="Times New Roman"/>
          <w:kern w:val="2"/>
          <w:sz w:val="24"/>
          <w:szCs w:val="24"/>
          <w14:ligatures w14:val="standardContextual"/>
        </w:rPr>
        <w:t xml:space="preserve">FSSC 22000 and </w:t>
      </w:r>
      <w:r w:rsidRPr="00482000">
        <w:rPr>
          <w:rFonts w:ascii="Times New Roman" w:eastAsia="Calibri" w:hAnsi="Times New Roman" w:cs="Times New Roman"/>
          <w:kern w:val="2"/>
          <w:sz w:val="24"/>
          <w:szCs w:val="24"/>
          <w14:ligatures w14:val="standardContextual"/>
        </w:rPr>
        <w:t xml:space="preserve">BRCGS </w:t>
      </w:r>
      <w:r w:rsidR="0046078C">
        <w:rPr>
          <w:rFonts w:ascii="Times New Roman" w:eastAsia="Calibri" w:hAnsi="Times New Roman" w:cs="Times New Roman"/>
          <w:kern w:val="2"/>
          <w:sz w:val="24"/>
          <w:szCs w:val="24"/>
          <w14:ligatures w14:val="standardContextual"/>
        </w:rPr>
        <w:t>includes</w:t>
      </w:r>
      <w:r w:rsidRPr="00482000">
        <w:rPr>
          <w:rFonts w:ascii="Times New Roman" w:eastAsia="Calibri" w:hAnsi="Times New Roman" w:cs="Times New Roman"/>
          <w:kern w:val="2"/>
          <w:sz w:val="24"/>
          <w:szCs w:val="24"/>
          <w14:ligatures w14:val="standardContextual"/>
        </w:rPr>
        <w:t xml:space="preserve">: </w:t>
      </w:r>
      <w:r w:rsidR="0046078C">
        <w:rPr>
          <w:rFonts w:ascii="Times New Roman" w:eastAsia="Calibri" w:hAnsi="Times New Roman" w:cs="Times New Roman"/>
          <w:kern w:val="2"/>
          <w:sz w:val="24"/>
          <w:szCs w:val="24"/>
          <w14:ligatures w14:val="standardContextual"/>
        </w:rPr>
        <w:t>a</w:t>
      </w:r>
      <w:r w:rsidR="0046078C" w:rsidRPr="00482000">
        <w:rPr>
          <w:rFonts w:ascii="Times New Roman" w:eastAsia="Calibri" w:hAnsi="Times New Roman" w:cs="Times New Roman"/>
          <w:bCs/>
          <w:color w:val="000000"/>
          <w:sz w:val="24"/>
          <w:szCs w:val="24"/>
        </w:rPr>
        <w:t xml:space="preserve">ssurance of </w:t>
      </w:r>
      <w:r w:rsidR="0046078C">
        <w:rPr>
          <w:rFonts w:ascii="Times New Roman" w:eastAsia="Calibri" w:hAnsi="Times New Roman" w:cs="Times New Roman"/>
          <w:bCs/>
          <w:color w:val="000000"/>
          <w:sz w:val="24"/>
          <w:szCs w:val="24"/>
        </w:rPr>
        <w:t>p</w:t>
      </w:r>
      <w:r w:rsidR="0046078C" w:rsidRPr="00482000">
        <w:rPr>
          <w:rFonts w:ascii="Times New Roman" w:eastAsia="Calibri" w:hAnsi="Times New Roman" w:cs="Times New Roman"/>
          <w:bCs/>
          <w:color w:val="000000"/>
          <w:sz w:val="24"/>
          <w:szCs w:val="24"/>
        </w:rPr>
        <w:t xml:space="preserve">roduct </w:t>
      </w:r>
      <w:r w:rsidR="0046078C">
        <w:rPr>
          <w:rFonts w:ascii="Times New Roman" w:eastAsia="Calibri" w:hAnsi="Times New Roman" w:cs="Times New Roman"/>
          <w:bCs/>
          <w:color w:val="000000"/>
          <w:sz w:val="24"/>
          <w:szCs w:val="24"/>
        </w:rPr>
        <w:t>s</w:t>
      </w:r>
      <w:r w:rsidR="0046078C" w:rsidRPr="00482000">
        <w:rPr>
          <w:rFonts w:ascii="Times New Roman" w:eastAsia="Calibri" w:hAnsi="Times New Roman" w:cs="Times New Roman"/>
          <w:bCs/>
          <w:color w:val="000000"/>
          <w:sz w:val="24"/>
          <w:szCs w:val="24"/>
        </w:rPr>
        <w:t xml:space="preserve">afety and </w:t>
      </w:r>
      <w:r w:rsidR="0046078C">
        <w:rPr>
          <w:rFonts w:ascii="Times New Roman" w:eastAsia="Calibri" w:hAnsi="Times New Roman" w:cs="Times New Roman"/>
          <w:bCs/>
          <w:color w:val="000000"/>
          <w:sz w:val="24"/>
          <w:szCs w:val="24"/>
        </w:rPr>
        <w:t>q</w:t>
      </w:r>
      <w:r w:rsidR="0046078C" w:rsidRPr="00482000">
        <w:rPr>
          <w:rFonts w:ascii="Times New Roman" w:eastAsia="Calibri" w:hAnsi="Times New Roman" w:cs="Times New Roman"/>
          <w:bCs/>
          <w:color w:val="000000"/>
          <w:sz w:val="24"/>
          <w:szCs w:val="24"/>
        </w:rPr>
        <w:t>uality</w:t>
      </w:r>
      <w:r w:rsidR="0046078C">
        <w:rPr>
          <w:rFonts w:ascii="Times New Roman" w:eastAsia="Calibri" w:hAnsi="Times New Roman" w:cs="Times New Roman"/>
          <w:bCs/>
          <w:color w:val="000000"/>
          <w:sz w:val="24"/>
          <w:szCs w:val="24"/>
        </w:rPr>
        <w:t>,</w:t>
      </w:r>
      <w:r w:rsidR="0046078C">
        <w:rPr>
          <w:rFonts w:ascii="Times New Roman" w:eastAsia="Calibri" w:hAnsi="Times New Roman" w:cs="Times New Roman"/>
          <w:kern w:val="2"/>
          <w:sz w:val="24"/>
          <w:szCs w:val="24"/>
          <w14:ligatures w14:val="standardContextual"/>
        </w:rPr>
        <w:t xml:space="preserve"> access to international markets, i</w:t>
      </w:r>
      <w:r w:rsidR="0046078C" w:rsidRPr="00482000">
        <w:rPr>
          <w:rFonts w:ascii="Times New Roman" w:eastAsia="Calibri" w:hAnsi="Times New Roman" w:cs="Times New Roman"/>
          <w:kern w:val="2"/>
          <w:sz w:val="24"/>
          <w:szCs w:val="24"/>
          <w14:ligatures w14:val="standardContextual"/>
        </w:rPr>
        <w:t>ncreased consumer confidence</w:t>
      </w:r>
      <w:r w:rsidR="0046078C">
        <w:rPr>
          <w:rFonts w:ascii="Times New Roman" w:eastAsia="Calibri" w:hAnsi="Times New Roman" w:cs="Times New Roman"/>
          <w:kern w:val="2"/>
          <w:sz w:val="24"/>
          <w:szCs w:val="24"/>
          <w14:ligatures w14:val="standardContextual"/>
        </w:rPr>
        <w:t>, and e</w:t>
      </w:r>
      <w:r w:rsidR="0046078C" w:rsidRPr="00482000">
        <w:rPr>
          <w:rFonts w:ascii="Times New Roman" w:eastAsia="Calibri" w:hAnsi="Times New Roman" w:cs="Times New Roman"/>
          <w:kern w:val="2"/>
          <w:sz w:val="24"/>
          <w:szCs w:val="24"/>
          <w14:ligatures w14:val="standardContextual"/>
        </w:rPr>
        <w:t>nhance</w:t>
      </w:r>
      <w:r w:rsidR="0046078C">
        <w:rPr>
          <w:rFonts w:ascii="Times New Roman" w:eastAsia="Calibri" w:hAnsi="Times New Roman" w:cs="Times New Roman"/>
          <w:kern w:val="2"/>
          <w:sz w:val="24"/>
          <w:szCs w:val="24"/>
          <w14:ligatures w14:val="standardContextual"/>
        </w:rPr>
        <w:t>d</w:t>
      </w:r>
      <w:r w:rsidR="0046078C" w:rsidRPr="00482000">
        <w:rPr>
          <w:rFonts w:ascii="Times New Roman" w:eastAsia="Calibri" w:hAnsi="Times New Roman" w:cs="Times New Roman"/>
          <w:kern w:val="2"/>
          <w:sz w:val="24"/>
          <w:szCs w:val="24"/>
          <w14:ligatures w14:val="standardContextual"/>
        </w:rPr>
        <w:t xml:space="preserve"> reputation</w:t>
      </w:r>
      <w:r w:rsidR="0046078C">
        <w:rPr>
          <w:rFonts w:ascii="Times New Roman" w:eastAsia="Calibri" w:hAnsi="Times New Roman" w:cs="Times New Roman"/>
          <w:kern w:val="2"/>
          <w:sz w:val="24"/>
          <w:szCs w:val="24"/>
          <w14:ligatures w14:val="standardContextual"/>
        </w:rPr>
        <w:t xml:space="preserve"> of the company.</w:t>
      </w:r>
    </w:p>
    <w:p w14:paraId="617ED289" w14:textId="56884971" w:rsidR="005643FE" w:rsidRPr="003F5B3E" w:rsidRDefault="003F5B3E" w:rsidP="00E04597">
      <w:pPr>
        <w:spacing w:before="24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3.2.7 </w:t>
      </w:r>
      <w:r w:rsidR="005643FE" w:rsidRPr="003F5B3E">
        <w:rPr>
          <w:rFonts w:ascii="Times New Roman" w:eastAsia="Calibri" w:hAnsi="Times New Roman" w:cs="Times New Roman"/>
          <w:b/>
          <w:bCs/>
          <w:sz w:val="24"/>
          <w:szCs w:val="24"/>
        </w:rPr>
        <w:t>Halal</w:t>
      </w:r>
    </w:p>
    <w:p w14:paraId="0EC04B89" w14:textId="442790FF" w:rsidR="005643FE" w:rsidRPr="005643FE" w:rsidRDefault="005643FE" w:rsidP="00E04597">
      <w:pPr>
        <w:spacing w:before="240" w:line="276" w:lineRule="auto"/>
        <w:jc w:val="both"/>
        <w:rPr>
          <w:rFonts w:ascii="Times New Roman" w:eastAsia="Calibri" w:hAnsi="Times New Roman" w:cs="Times New Roman"/>
          <w:b/>
          <w:bCs/>
          <w:sz w:val="24"/>
          <w:szCs w:val="24"/>
        </w:rPr>
      </w:pPr>
      <w:r w:rsidRPr="005643FE">
        <w:rPr>
          <w:rFonts w:ascii="Times New Roman" w:eastAsia="Calibri" w:hAnsi="Times New Roman" w:cs="Times New Roman"/>
          <w:sz w:val="24"/>
          <w:szCs w:val="24"/>
        </w:rPr>
        <w:t>Halal food follows the rules given in the Quran, the holy book of Islam. These rules explain what kinds of food can be eaten and how the food should be prepared and handled. When a product has Halal Certification, it means it has been checked and approved according to Islamic law.</w:t>
      </w:r>
      <w:r>
        <w:rPr>
          <w:rFonts w:ascii="Times New Roman" w:eastAsia="Calibri" w:hAnsi="Times New Roman" w:cs="Times New Roman"/>
          <w:b/>
          <w:bCs/>
          <w:sz w:val="24"/>
          <w:szCs w:val="24"/>
        </w:rPr>
        <w:t xml:space="preserve"> </w:t>
      </w:r>
      <w:r w:rsidRPr="005643FE">
        <w:rPr>
          <w:rFonts w:ascii="Times New Roman" w:eastAsia="Calibri" w:hAnsi="Times New Roman" w:cs="Times New Roman"/>
          <w:sz w:val="24"/>
          <w:szCs w:val="24"/>
        </w:rPr>
        <w:t>Halal-certified food products are not only recognized within the country but are also in demand globally, particularly in the United Arab Emirates. The Halal certificate signifies that the food meets high standards of hygiene, cleanliness, safety, and nutrition, and is produced strictly according to Islamic dietary guidelines.</w:t>
      </w:r>
    </w:p>
    <w:p w14:paraId="7F36EE3D" w14:textId="798F59D7" w:rsidR="005643FE" w:rsidRPr="00D137C0" w:rsidRDefault="00D137C0" w:rsidP="00E04597">
      <w:pPr>
        <w:spacing w:before="24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3.2.8 </w:t>
      </w:r>
      <w:r w:rsidR="005643FE" w:rsidRPr="00D137C0">
        <w:rPr>
          <w:rFonts w:ascii="Times New Roman" w:eastAsia="Calibri" w:hAnsi="Times New Roman" w:cs="Times New Roman"/>
          <w:b/>
          <w:bCs/>
          <w:sz w:val="24"/>
          <w:szCs w:val="24"/>
        </w:rPr>
        <w:t>Kosher</w:t>
      </w:r>
    </w:p>
    <w:p w14:paraId="00740CFB" w14:textId="0EF1D0F6" w:rsidR="005643FE" w:rsidRPr="005643FE" w:rsidRDefault="005643FE" w:rsidP="00E04597">
      <w:pPr>
        <w:spacing w:before="240" w:line="276" w:lineRule="auto"/>
        <w:jc w:val="both"/>
        <w:rPr>
          <w:rFonts w:ascii="Times New Roman" w:eastAsia="Calibri" w:hAnsi="Times New Roman" w:cs="Times New Roman"/>
          <w:sz w:val="24"/>
          <w:szCs w:val="24"/>
        </w:rPr>
      </w:pPr>
      <w:r w:rsidRPr="005643FE">
        <w:rPr>
          <w:rFonts w:ascii="Times New Roman" w:eastAsia="Calibri" w:hAnsi="Times New Roman" w:cs="Times New Roman"/>
          <w:sz w:val="24"/>
          <w:szCs w:val="24"/>
        </w:rPr>
        <w:lastRenderedPageBreak/>
        <w:t>A Kosher Certificate is an official document issued by a recognized Jewish authority that verifies a food product complies with Jewish dietary laws.</w:t>
      </w:r>
      <w:r>
        <w:rPr>
          <w:rFonts w:ascii="Times New Roman" w:eastAsia="Calibri" w:hAnsi="Times New Roman" w:cs="Times New Roman"/>
          <w:sz w:val="24"/>
          <w:szCs w:val="24"/>
        </w:rPr>
        <w:t xml:space="preserve"> </w:t>
      </w:r>
      <w:r w:rsidRPr="005643FE">
        <w:rPr>
          <w:rFonts w:ascii="Times New Roman" w:eastAsia="Calibri" w:hAnsi="Times New Roman" w:cs="Times New Roman"/>
          <w:sz w:val="24"/>
          <w:szCs w:val="24"/>
        </w:rPr>
        <w:t>Studies show that products with a kosher</w:t>
      </w:r>
      <w:r>
        <w:rPr>
          <w:rFonts w:ascii="Times New Roman" w:eastAsia="Calibri" w:hAnsi="Times New Roman" w:cs="Times New Roman"/>
          <w:sz w:val="24"/>
          <w:szCs w:val="24"/>
        </w:rPr>
        <w:t xml:space="preserve"> </w:t>
      </w:r>
      <w:r w:rsidRPr="005643FE">
        <w:rPr>
          <w:rFonts w:ascii="Times New Roman" w:eastAsia="Calibri" w:hAnsi="Times New Roman" w:cs="Times New Roman"/>
          <w:sz w:val="24"/>
          <w:szCs w:val="24"/>
        </w:rPr>
        <w:t>label tend to outperform similar non-kosher items by up to 20% when placed side by side. This certification is important to promote the export of food products to countries where an important Jewish community (i.e. Israel and USA) is living.</w:t>
      </w:r>
    </w:p>
    <w:p w14:paraId="6DA03F96" w14:textId="77777777" w:rsidR="005643FE" w:rsidRPr="005643FE" w:rsidRDefault="005643FE" w:rsidP="00E04597">
      <w:pPr>
        <w:spacing w:before="240" w:line="276" w:lineRule="auto"/>
        <w:jc w:val="both"/>
        <w:rPr>
          <w:rFonts w:ascii="Times New Roman" w:eastAsia="Calibri" w:hAnsi="Times New Roman" w:cs="Times New Roman"/>
          <w:sz w:val="24"/>
          <w:szCs w:val="24"/>
        </w:rPr>
      </w:pPr>
      <w:r w:rsidRPr="005643FE">
        <w:rPr>
          <w:rFonts w:ascii="Times New Roman" w:eastAsia="Calibri" w:hAnsi="Times New Roman" w:cs="Times New Roman"/>
          <w:sz w:val="24"/>
          <w:szCs w:val="24"/>
        </w:rPr>
        <w:t>Foods that are not considered kosher include specific animals, birds, and fish as well as most insects, shellfish, and reptiles. Additionally, animals that are permitted must be slaughtered according to specific kosher guidelines, and meat and dairy must not be produced or consumed together.</w:t>
      </w:r>
    </w:p>
    <w:p w14:paraId="6CE7EB7D" w14:textId="79FEE0E7" w:rsidR="003B2B1D" w:rsidRPr="001B2EF3" w:rsidRDefault="00E94C9D" w:rsidP="00E04597">
      <w:pPr>
        <w:spacing w:line="276" w:lineRule="auto"/>
        <w:rPr>
          <w:rStyle w:val="fontstyle01"/>
          <w:b/>
        </w:rPr>
      </w:pPr>
      <w:r>
        <w:rPr>
          <w:rStyle w:val="fontstyle01"/>
          <w:b/>
        </w:rPr>
        <w:t xml:space="preserve">4. </w:t>
      </w:r>
      <w:r w:rsidR="003B2B1D" w:rsidRPr="001B2EF3">
        <w:rPr>
          <w:rStyle w:val="fontstyle01"/>
          <w:b/>
        </w:rPr>
        <w:t>CONCLUSION</w:t>
      </w:r>
    </w:p>
    <w:p w14:paraId="141535F7" w14:textId="54A92A6E" w:rsidR="00A96044" w:rsidRPr="00A96044" w:rsidRDefault="00A96044" w:rsidP="00E04597">
      <w:pPr>
        <w:spacing w:line="276" w:lineRule="auto"/>
        <w:jc w:val="both"/>
        <w:rPr>
          <w:rFonts w:ascii="Times New Roman" w:hAnsi="Times New Roman" w:cs="Times New Roman"/>
          <w:sz w:val="24"/>
        </w:rPr>
      </w:pPr>
      <w:r w:rsidRPr="00A96044">
        <w:rPr>
          <w:rFonts w:ascii="Times New Roman" w:hAnsi="Times New Roman" w:cs="Times New Roman"/>
          <w:sz w:val="24"/>
        </w:rPr>
        <w:t xml:space="preserve">The study highlighted the importance of the food processing industry in the Indian economy, as it serves as a value-adding link between primary production and industrial output. The food processing sector remains a vital component of the Indian economy and is often referred to as a </w:t>
      </w:r>
      <w:r w:rsidRPr="00A96044">
        <w:rPr>
          <w:rFonts w:ascii="Times New Roman" w:hAnsi="Times New Roman" w:cs="Times New Roman"/>
          <w:sz w:val="24"/>
          <w:lang w:val="en-US"/>
        </w:rPr>
        <w:t>sunrise industry</w:t>
      </w:r>
      <w:r w:rsidR="0039214B">
        <w:rPr>
          <w:rFonts w:ascii="Times New Roman" w:hAnsi="Times New Roman" w:cs="Times New Roman"/>
          <w:sz w:val="24"/>
          <w:lang w:val="en-US"/>
        </w:rPr>
        <w:t>.</w:t>
      </w:r>
      <w:r w:rsidRPr="00A96044">
        <w:rPr>
          <w:rFonts w:ascii="Times New Roman" w:hAnsi="Times New Roman" w:cs="Times New Roman"/>
          <w:sz w:val="24"/>
        </w:rPr>
        <w:t xml:space="preserve"> However, its slower growth indicates the untapped potential.</w:t>
      </w:r>
      <w:r w:rsidR="00D3570D">
        <w:rPr>
          <w:rFonts w:ascii="Times New Roman" w:hAnsi="Times New Roman" w:cs="Times New Roman"/>
          <w:sz w:val="24"/>
        </w:rPr>
        <w:t xml:space="preserve"> </w:t>
      </w:r>
      <w:r w:rsidRPr="00A96044">
        <w:rPr>
          <w:rFonts w:ascii="Times New Roman" w:hAnsi="Times New Roman" w:cs="Times New Roman"/>
          <w:bCs/>
          <w:sz w:val="24"/>
          <w:lang w:val="en-US"/>
        </w:rPr>
        <w:t>The employment growth trend shows a gradual decline</w:t>
      </w:r>
      <w:r w:rsidR="00D3570D">
        <w:rPr>
          <w:rFonts w:ascii="Times New Roman" w:hAnsi="Times New Roman" w:cs="Times New Roman"/>
          <w:bCs/>
          <w:sz w:val="24"/>
          <w:lang w:val="en-US"/>
        </w:rPr>
        <w:t xml:space="preserve"> </w:t>
      </w:r>
      <w:r w:rsidR="00D3570D" w:rsidRPr="00A96044">
        <w:rPr>
          <w:rFonts w:ascii="Times New Roman" w:hAnsi="Times New Roman" w:cs="Times New Roman"/>
          <w:bCs/>
          <w:sz w:val="24"/>
          <w:lang w:val="en-US"/>
        </w:rPr>
        <w:t>in both the five-year and ten-year analyses</w:t>
      </w:r>
      <w:r w:rsidRPr="00A96044">
        <w:rPr>
          <w:rFonts w:ascii="Times New Roman" w:hAnsi="Times New Roman" w:cs="Times New Roman"/>
          <w:bCs/>
          <w:sz w:val="24"/>
          <w:lang w:val="en-US"/>
        </w:rPr>
        <w:t xml:space="preserve"> </w:t>
      </w:r>
      <w:r w:rsidRPr="00A96044">
        <w:rPr>
          <w:rFonts w:ascii="Times New Roman" w:hAnsi="Times New Roman" w:cs="Times New Roman"/>
          <w:sz w:val="24"/>
        </w:rPr>
        <w:t>indicates a slowdown in job creation within the sector.</w:t>
      </w:r>
      <w:r w:rsidR="001B285F">
        <w:rPr>
          <w:rFonts w:ascii="Times New Roman" w:hAnsi="Times New Roman" w:cs="Times New Roman"/>
          <w:sz w:val="24"/>
        </w:rPr>
        <w:t xml:space="preserve"> </w:t>
      </w:r>
      <w:r w:rsidR="00D3570D">
        <w:rPr>
          <w:rFonts w:ascii="Times New Roman" w:hAnsi="Times New Roman" w:cs="Times New Roman"/>
          <w:bCs/>
          <w:sz w:val="24"/>
        </w:rPr>
        <w:t>T</w:t>
      </w:r>
      <w:r w:rsidRPr="00A96044">
        <w:rPr>
          <w:rFonts w:ascii="Times New Roman" w:hAnsi="Times New Roman" w:cs="Times New Roman"/>
          <w:bCs/>
          <w:sz w:val="24"/>
        </w:rPr>
        <w:t>he o</w:t>
      </w:r>
      <w:r w:rsidRPr="00A96044">
        <w:rPr>
          <w:rFonts w:ascii="Times New Roman" w:hAnsi="Times New Roman" w:cs="Times New Roman"/>
          <w:sz w:val="24"/>
        </w:rPr>
        <w:t>verall CAGR</w:t>
      </w:r>
      <w:r w:rsidR="00D3570D">
        <w:rPr>
          <w:rFonts w:ascii="Times New Roman" w:hAnsi="Times New Roman" w:cs="Times New Roman"/>
          <w:sz w:val="24"/>
        </w:rPr>
        <w:t xml:space="preserve"> of the</w:t>
      </w:r>
      <w:r w:rsidRPr="00A96044">
        <w:rPr>
          <w:rFonts w:ascii="Times New Roman" w:hAnsi="Times New Roman" w:cs="Times New Roman"/>
          <w:sz w:val="24"/>
        </w:rPr>
        <w:t xml:space="preserve"> </w:t>
      </w:r>
      <w:r w:rsidR="00D3570D" w:rsidRPr="00A96044">
        <w:rPr>
          <w:rFonts w:ascii="Times New Roman" w:hAnsi="Times New Roman" w:cs="Times New Roman"/>
          <w:sz w:val="24"/>
        </w:rPr>
        <w:t>Foreign Direct Investment (FDI)</w:t>
      </w:r>
      <w:r w:rsidR="00D3570D">
        <w:rPr>
          <w:rFonts w:ascii="Times New Roman" w:hAnsi="Times New Roman" w:cs="Times New Roman"/>
          <w:sz w:val="24"/>
        </w:rPr>
        <w:t xml:space="preserve"> </w:t>
      </w:r>
      <w:r w:rsidRPr="00A96044">
        <w:rPr>
          <w:rFonts w:ascii="Times New Roman" w:hAnsi="Times New Roman" w:cs="Times New Roman"/>
          <w:sz w:val="24"/>
        </w:rPr>
        <w:t>indicates the long-term positive growth.</w:t>
      </w:r>
      <w:r w:rsidR="002321FA">
        <w:rPr>
          <w:rFonts w:ascii="Times New Roman" w:hAnsi="Times New Roman" w:cs="Times New Roman"/>
          <w:sz w:val="24"/>
        </w:rPr>
        <w:t xml:space="preserve"> </w:t>
      </w:r>
      <w:r w:rsidRPr="00A96044">
        <w:rPr>
          <w:rFonts w:ascii="Times New Roman" w:hAnsi="Times New Roman" w:cs="Times New Roman"/>
          <w:sz w:val="24"/>
        </w:rPr>
        <w:t>The export growth of agri-food products witnessed strong performance, reflecting growing global demand and increasing competitiveness of Indian agri-food exports</w:t>
      </w:r>
      <w:r w:rsidR="009C7ADF">
        <w:rPr>
          <w:rFonts w:ascii="Times New Roman" w:hAnsi="Times New Roman" w:cs="Times New Roman"/>
          <w:sz w:val="24"/>
        </w:rPr>
        <w:t>.</w:t>
      </w:r>
      <w:r w:rsidRPr="00A96044">
        <w:rPr>
          <w:rFonts w:ascii="Times New Roman" w:hAnsi="Times New Roman" w:cs="Times New Roman"/>
          <w:sz w:val="24"/>
        </w:rPr>
        <w:t xml:space="preserve"> </w:t>
      </w:r>
      <w:r w:rsidR="002321FA">
        <w:rPr>
          <w:rFonts w:ascii="Times New Roman" w:hAnsi="Times New Roman" w:cs="Times New Roman"/>
          <w:sz w:val="24"/>
        </w:rPr>
        <w:t>But, t</w:t>
      </w:r>
      <w:r w:rsidRPr="00A96044">
        <w:rPr>
          <w:rFonts w:ascii="Times New Roman" w:hAnsi="Times New Roman" w:cs="Times New Roman"/>
          <w:sz w:val="24"/>
        </w:rPr>
        <w:t>he overall CAGR of imports (10.19%) is higher than the CAGR of overall exports (9.03%), indicates sustained demand in our country.</w:t>
      </w:r>
    </w:p>
    <w:p w14:paraId="6CD387CE" w14:textId="1E39E28F" w:rsidR="00545B80" w:rsidRPr="00CF3F24" w:rsidRDefault="00A96044" w:rsidP="00E04597">
      <w:pPr>
        <w:spacing w:line="276" w:lineRule="auto"/>
        <w:jc w:val="both"/>
        <w:rPr>
          <w:rFonts w:ascii="Times New Roman" w:hAnsi="Times New Roman" w:cs="Times New Roman"/>
          <w:sz w:val="24"/>
        </w:rPr>
      </w:pPr>
      <w:r w:rsidRPr="00A96044">
        <w:rPr>
          <w:rFonts w:ascii="Times New Roman" w:hAnsi="Times New Roman" w:cs="Times New Roman"/>
          <w:sz w:val="24"/>
        </w:rPr>
        <w:t xml:space="preserve">Compliance with FSSAI guidelines not only ensures food safety within the domestic market but also aligns Indian food businesses with international standards. </w:t>
      </w:r>
      <w:r w:rsidR="00545B80" w:rsidRPr="00CF3F24">
        <w:rPr>
          <w:rFonts w:ascii="Times New Roman" w:hAnsi="Times New Roman" w:cs="Times New Roman"/>
          <w:sz w:val="24"/>
          <w:lang w:val="en-US"/>
        </w:rPr>
        <w:t>Quality standards such as the standards of the ISO 9000 series, and food safety standards (for example, BRC, FSSC 22000, HACCP, and so on) are now extensively used in the global food industry.</w:t>
      </w:r>
      <w:r w:rsidR="00545B80" w:rsidRPr="00545B80">
        <w:rPr>
          <w:rFonts w:ascii="Times New Roman" w:hAnsi="Times New Roman" w:cs="Times New Roman"/>
          <w:sz w:val="24"/>
          <w:lang w:val="en-US"/>
        </w:rPr>
        <w:t xml:space="preserve"> </w:t>
      </w:r>
      <w:r w:rsidR="00545B80" w:rsidRPr="00CF3F24">
        <w:rPr>
          <w:rFonts w:ascii="Times New Roman" w:hAnsi="Times New Roman" w:cs="Times New Roman"/>
          <w:sz w:val="24"/>
        </w:rPr>
        <w:t>Implementing rigorous safety and quality measures is essential. These measures not only safeguard consumer health but also enhance product acceptance in global markets, thereby positioning the industry competitively on an international scale.</w:t>
      </w:r>
    </w:p>
    <w:p w14:paraId="7C106CDA" w14:textId="77777777" w:rsidR="00855F40" w:rsidRDefault="00855F40" w:rsidP="00E04597">
      <w:pPr>
        <w:spacing w:line="276" w:lineRule="auto"/>
        <w:jc w:val="both"/>
        <w:rPr>
          <w:rFonts w:ascii="Times New Roman" w:hAnsi="Times New Roman" w:cs="Times New Roman"/>
          <w:color w:val="000000"/>
          <w:sz w:val="24"/>
          <w:szCs w:val="24"/>
          <w:lang w:val="en-US"/>
        </w:rPr>
      </w:pPr>
      <w:r w:rsidRPr="00855F40">
        <w:rPr>
          <w:rFonts w:ascii="Times New Roman" w:hAnsi="Times New Roman" w:cs="Times New Roman"/>
          <w:color w:val="000000"/>
          <w:sz w:val="24"/>
          <w:szCs w:val="24"/>
          <w:lang w:val="en-US"/>
        </w:rPr>
        <w:t>The findings of the present study would be of practical significance for researchers, extension personnel, policy makers, planners, administrators and farmers, enabling them to make informed and rational decisions.</w:t>
      </w:r>
    </w:p>
    <w:p w14:paraId="2AE3EEAA" w14:textId="77777777" w:rsidR="00166045" w:rsidRPr="001B2EF3" w:rsidRDefault="00166045" w:rsidP="00E04597">
      <w:pPr>
        <w:spacing w:line="276" w:lineRule="auto"/>
        <w:rPr>
          <w:rStyle w:val="fontstyle01"/>
          <w:b/>
        </w:rPr>
      </w:pPr>
      <w:r w:rsidRPr="001B2EF3">
        <w:rPr>
          <w:rStyle w:val="fontstyle01"/>
          <w:b/>
        </w:rPr>
        <w:t>REFERENCES</w:t>
      </w:r>
    </w:p>
    <w:p w14:paraId="1468F01B"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Adukia</w:t>
      </w:r>
      <w:proofErr w:type="spellEnd"/>
      <w:r w:rsidRPr="008E7B71">
        <w:rPr>
          <w:rFonts w:ascii="Times New Roman" w:hAnsi="Times New Roman" w:cs="Times New Roman"/>
          <w:sz w:val="24"/>
          <w:szCs w:val="20"/>
          <w:shd w:val="clear" w:color="auto" w:fill="FFFFFF"/>
        </w:rPr>
        <w:t xml:space="preserve">, R. S. (2012). </w:t>
      </w:r>
      <w:r w:rsidRPr="008E7B71">
        <w:rPr>
          <w:rFonts w:ascii="Times New Roman" w:hAnsi="Times New Roman" w:cs="Times New Roman"/>
          <w:i/>
          <w:iCs/>
          <w:sz w:val="24"/>
          <w:szCs w:val="20"/>
          <w:shd w:val="clear" w:color="auto" w:fill="FFFFFF"/>
        </w:rPr>
        <w:t>Food Processing Industry in India</w:t>
      </w:r>
      <w:r w:rsidRPr="008E7B71">
        <w:rPr>
          <w:rFonts w:ascii="Times New Roman" w:hAnsi="Times New Roman" w:cs="Times New Roman"/>
          <w:sz w:val="24"/>
          <w:szCs w:val="20"/>
          <w:shd w:val="clear" w:color="auto" w:fill="FFFFFF"/>
        </w:rPr>
        <w:t>. Mumbai, India.</w:t>
      </w:r>
    </w:p>
    <w:p w14:paraId="7B6C3D14" w14:textId="6DD2DA23"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British Retail Consortium Global Standards.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 xml:space="preserve">About BRCGS.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w:t>
      </w:r>
      <w:r w:rsidRPr="008E7B71">
        <w:rPr>
          <w:rFonts w:ascii="Times New Roman" w:hAnsi="Times New Roman" w:cs="Times New Roman"/>
          <w:bCs/>
          <w:sz w:val="24"/>
          <w:szCs w:val="20"/>
          <w:shd w:val="clear" w:color="auto" w:fill="FFFFFF"/>
        </w:rPr>
        <w:t>https://www.brcgs.com/about-brcgs/why-brcgs/</w:t>
      </w:r>
    </w:p>
    <w:p w14:paraId="027016DD" w14:textId="3C950182"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BTSA. (2025). </w:t>
      </w:r>
      <w:r w:rsidRPr="008E7B71">
        <w:rPr>
          <w:rFonts w:ascii="Times New Roman" w:hAnsi="Times New Roman" w:cs="Times New Roman"/>
          <w:i/>
          <w:iCs/>
          <w:sz w:val="24"/>
          <w:szCs w:val="20"/>
          <w:shd w:val="clear" w:color="auto" w:fill="FFFFFF"/>
        </w:rPr>
        <w:t xml:space="preserve">Main Food Certificates. </w:t>
      </w:r>
      <w:r w:rsidRPr="008E7B71">
        <w:rPr>
          <w:rFonts w:ascii="Times New Roman" w:hAnsi="Times New Roman" w:cs="Times New Roman"/>
          <w:sz w:val="24"/>
          <w:szCs w:val="20"/>
          <w:shd w:val="clear" w:color="auto" w:fill="FFFFFF"/>
        </w:rPr>
        <w:t>Retrieved from https://www.btsa.com/en/main-food-certificates/</w:t>
      </w:r>
    </w:p>
    <w:p w14:paraId="2129D3A9" w14:textId="2F7E5066"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Department for Promotion of Industry and Internal Trade. (2025). </w:t>
      </w:r>
      <w:r w:rsidRPr="008E7B71">
        <w:rPr>
          <w:rFonts w:ascii="Times New Roman" w:hAnsi="Times New Roman" w:cs="Times New Roman"/>
          <w:bCs/>
          <w:i/>
          <w:iCs/>
          <w:sz w:val="24"/>
          <w:szCs w:val="20"/>
          <w:shd w:val="clear" w:color="auto" w:fill="FFFFFF"/>
        </w:rPr>
        <w:t xml:space="preserve">FDI Statistics.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https://dpiit.gov.in/publications/fdi-statistics</w:t>
      </w:r>
      <w:r w:rsidRPr="008E7B71">
        <w:rPr>
          <w:rFonts w:ascii="Times New Roman" w:hAnsi="Times New Roman" w:cs="Times New Roman"/>
          <w:bCs/>
          <w:i/>
          <w:iCs/>
          <w:sz w:val="24"/>
          <w:szCs w:val="20"/>
          <w:shd w:val="clear" w:color="auto" w:fill="FFFFFF"/>
        </w:rPr>
        <w:t xml:space="preserve"> </w:t>
      </w:r>
    </w:p>
    <w:p w14:paraId="36FA6540" w14:textId="3B67B643"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bCs/>
          <w:sz w:val="24"/>
          <w:szCs w:val="20"/>
          <w:shd w:val="clear" w:color="auto" w:fill="FFFFFF"/>
        </w:rPr>
        <w:t xml:space="preserve">Eurofins. (2025). </w:t>
      </w:r>
      <w:r w:rsidRPr="008E7B71">
        <w:rPr>
          <w:rFonts w:ascii="Times New Roman" w:hAnsi="Times New Roman" w:cs="Times New Roman"/>
          <w:bCs/>
          <w:i/>
          <w:iCs/>
          <w:sz w:val="24"/>
          <w:szCs w:val="20"/>
          <w:shd w:val="clear" w:color="auto" w:fill="FFFFFF"/>
        </w:rPr>
        <w:t xml:space="preserve">Audit and Certification. </w:t>
      </w:r>
      <w:r w:rsidRPr="008E7B71">
        <w:rPr>
          <w:rFonts w:ascii="Times New Roman" w:hAnsi="Times New Roman" w:cs="Times New Roman"/>
          <w:bCs/>
          <w:sz w:val="24"/>
          <w:szCs w:val="20"/>
          <w:shd w:val="clear" w:color="auto" w:fill="FFFFFF"/>
        </w:rPr>
        <w:t>Retrieved from https://www.eurofins.in/assurance/food-india/audit-and-certification/</w:t>
      </w:r>
    </w:p>
    <w:p w14:paraId="3F0B1D98" w14:textId="2D9FDEC6"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sz w:val="24"/>
          <w:szCs w:val="20"/>
          <w:shd w:val="clear" w:color="auto" w:fill="FFFFFF"/>
        </w:rPr>
        <w:lastRenderedPageBreak/>
        <w:t xml:space="preserve">Eurofins.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i/>
          <w:iCs/>
          <w:sz w:val="24"/>
          <w:szCs w:val="20"/>
          <w:shd w:val="clear" w:color="auto" w:fill="FFFFFF"/>
        </w:rPr>
        <w:t>Food Safety System Certification</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Retrieved from https://www.eurofins.in/assurance/food-india/audit-and-certification/food-safety-system-certification-fssc/</w:t>
      </w:r>
    </w:p>
    <w:p w14:paraId="2B1911E3" w14:textId="269CBE33"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Food Safety and Standards Authority of India. (2025). </w:t>
      </w:r>
      <w:r w:rsidRPr="008E7B71">
        <w:rPr>
          <w:rFonts w:ascii="Times New Roman" w:hAnsi="Times New Roman" w:cs="Times New Roman"/>
          <w:bCs/>
          <w:i/>
          <w:iCs/>
          <w:sz w:val="24"/>
          <w:szCs w:val="20"/>
          <w:shd w:val="clear" w:color="auto" w:fill="FFFFFF"/>
        </w:rPr>
        <w:t>Annual Reports</w:t>
      </w:r>
      <w:r w:rsidRPr="008E7B71">
        <w:rPr>
          <w:rFonts w:ascii="Times New Roman" w:hAnsi="Times New Roman" w:cs="Times New Roman"/>
          <w:bCs/>
          <w:sz w:val="24"/>
          <w:szCs w:val="20"/>
          <w:shd w:val="clear" w:color="auto" w:fill="FFFFFF"/>
        </w:rPr>
        <w:t>. Retrieved from https://fssai.gov.in/</w:t>
      </w:r>
    </w:p>
    <w:p w14:paraId="18384ABA" w14:textId="14C8009C"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Go Audits. (2025). </w:t>
      </w:r>
      <w:r w:rsidRPr="008E7B71">
        <w:rPr>
          <w:rFonts w:ascii="Times New Roman" w:hAnsi="Times New Roman" w:cs="Times New Roman"/>
          <w:bCs/>
          <w:i/>
          <w:iCs/>
          <w:sz w:val="24"/>
          <w:szCs w:val="20"/>
          <w:shd w:val="clear" w:color="auto" w:fill="FFFFFF"/>
        </w:rPr>
        <w:t xml:space="preserve">Food Safety Standards and Certification Programs. </w:t>
      </w:r>
      <w:r w:rsidRPr="008E7B71">
        <w:rPr>
          <w:rFonts w:ascii="Times New Roman" w:hAnsi="Times New Roman" w:cs="Times New Roman"/>
          <w:bCs/>
          <w:sz w:val="24"/>
          <w:szCs w:val="20"/>
          <w:shd w:val="clear" w:color="auto" w:fill="FFFFFF"/>
        </w:rPr>
        <w:t>Retrieved from https://goaudits.com/blog/food-safety-standards-and-certification-programs/</w:t>
      </w:r>
    </w:p>
    <w:p w14:paraId="429774AC" w14:textId="37ED56FF"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Grant Thornton. (2025, April). </w:t>
      </w:r>
      <w:r w:rsidRPr="008E7B71">
        <w:rPr>
          <w:rFonts w:ascii="Times New Roman" w:hAnsi="Times New Roman" w:cs="Times New Roman"/>
          <w:i/>
          <w:iCs/>
          <w:sz w:val="24"/>
          <w:szCs w:val="20"/>
          <w:shd w:val="clear" w:color="auto" w:fill="FFFFFF"/>
        </w:rPr>
        <w:t xml:space="preserve">Viksit Bharat by 2047. </w:t>
      </w:r>
      <w:r w:rsidRPr="008E7B71">
        <w:rPr>
          <w:rFonts w:ascii="Times New Roman" w:hAnsi="Times New Roman" w:cs="Times New Roman"/>
          <w:sz w:val="24"/>
          <w:szCs w:val="20"/>
          <w:shd w:val="clear" w:color="auto" w:fill="FFFFFF"/>
        </w:rPr>
        <w:t>Retrieved from https://www.grantthornton.in/insights/articles/viksit-bharat-by-2047/</w:t>
      </w:r>
    </w:p>
    <w:p w14:paraId="4C076421" w14:textId="2D329ACB"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International Market Analysis Research and Consulting Group. (2025). </w:t>
      </w:r>
      <w:r w:rsidRPr="008E7B71">
        <w:rPr>
          <w:rFonts w:ascii="Times New Roman" w:hAnsi="Times New Roman" w:cs="Times New Roman"/>
          <w:bCs/>
          <w:i/>
          <w:iCs/>
          <w:sz w:val="24"/>
          <w:szCs w:val="20"/>
          <w:shd w:val="clear" w:color="auto" w:fill="FFFFFF"/>
        </w:rPr>
        <w:t>Food and Beverages Market Reports.</w:t>
      </w:r>
      <w:r w:rsidRPr="008E7B71">
        <w:rPr>
          <w:rFonts w:ascii="Times New Roman" w:hAnsi="Times New Roman" w:cs="Times New Roman"/>
          <w:bCs/>
          <w:sz w:val="24"/>
          <w:szCs w:val="20"/>
          <w:shd w:val="clear" w:color="auto" w:fill="FFFFFF"/>
        </w:rPr>
        <w:t xml:space="preserve"> Retrieved from</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sz w:val="24"/>
          <w:szCs w:val="20"/>
          <w:shd w:val="clear" w:color="auto" w:fill="FFFFFF"/>
        </w:rPr>
        <w:t xml:space="preserve">https://www.imarcgroup.com/categories/food-beverages-market-reports </w:t>
      </w:r>
    </w:p>
    <w:p w14:paraId="52991FAD" w14:textId="4B058949"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International Organization for Standardization.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 xml:space="preserve">Home.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https://www.iso.org/home.html</w:t>
      </w:r>
    </w:p>
    <w:p w14:paraId="576119F2" w14:textId="6F0CCD5E"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International Organization for Standardization.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ISO 9000 Family</w:t>
      </w:r>
      <w:r w:rsidRPr="008E7B71">
        <w:rPr>
          <w:rFonts w:ascii="Times New Roman" w:hAnsi="Times New Roman" w:cs="Times New Roman"/>
          <w:bCs/>
          <w:sz w:val="24"/>
          <w:szCs w:val="20"/>
          <w:shd w:val="clear" w:color="auto" w:fill="FFFFFF"/>
        </w:rPr>
        <w:t>.</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https://www.iso.org/standards/popular/iso-9000-family</w:t>
      </w:r>
    </w:p>
    <w:p w14:paraId="432D3A8C" w14:textId="42970D4B"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International Organization for Standardization.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 xml:space="preserve">ISO 22000 Food Safety Management.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https://www.iso.org/iso-22000-food-safety-management.html</w:t>
      </w:r>
    </w:p>
    <w:p w14:paraId="2DC99675" w14:textId="320CED81"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IRQS Certification Body. </w:t>
      </w:r>
      <w:r w:rsidRPr="008E7B71">
        <w:rPr>
          <w:rFonts w:ascii="Times New Roman" w:hAnsi="Times New Roman" w:cs="Times New Roman"/>
          <w:bCs/>
          <w:sz w:val="24"/>
          <w:szCs w:val="20"/>
          <w:shd w:val="clear" w:color="auto" w:fill="FFFFFF"/>
        </w:rPr>
        <w:t>(2025).</w:t>
      </w:r>
      <w:r w:rsidRPr="008E7B71">
        <w:rPr>
          <w:rFonts w:ascii="Times New Roman" w:hAnsi="Times New Roman" w:cs="Times New Roman"/>
          <w:bCs/>
          <w:i/>
          <w:iCs/>
          <w:sz w:val="24"/>
          <w:szCs w:val="20"/>
          <w:shd w:val="clear" w:color="auto" w:fill="FFFFFF"/>
        </w:rPr>
        <w:t xml:space="preserve"> BRCGS Certification. </w:t>
      </w:r>
      <w:r w:rsidRPr="008E7B71">
        <w:rPr>
          <w:rFonts w:ascii="Times New Roman" w:hAnsi="Times New Roman" w:cs="Times New Roman"/>
          <w:bCs/>
          <w:sz w:val="24"/>
          <w:szCs w:val="20"/>
          <w:shd w:val="clear" w:color="auto" w:fill="FFFFFF"/>
        </w:rPr>
        <w:t>Retrieved from https://irqs.co.in/iso/certification/brcgscertification/</w:t>
      </w:r>
    </w:p>
    <w:p w14:paraId="299DE3A4" w14:textId="663984F3"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Jamiat Halal Trust. (2025). </w:t>
      </w:r>
      <w:r w:rsidRPr="008E7B71">
        <w:rPr>
          <w:rFonts w:ascii="Times New Roman" w:hAnsi="Times New Roman" w:cs="Times New Roman"/>
          <w:i/>
          <w:iCs/>
          <w:sz w:val="24"/>
          <w:szCs w:val="20"/>
          <w:shd w:val="clear" w:color="auto" w:fill="FFFFFF"/>
        </w:rPr>
        <w:t xml:space="preserve">Halal Certification. </w:t>
      </w:r>
      <w:r w:rsidRPr="008E7B71">
        <w:rPr>
          <w:rFonts w:ascii="Times New Roman" w:hAnsi="Times New Roman" w:cs="Times New Roman"/>
          <w:sz w:val="24"/>
          <w:szCs w:val="20"/>
          <w:shd w:val="clear" w:color="auto" w:fill="FFFFFF"/>
        </w:rPr>
        <w:t>Retrieved from https://www.jamiathalaltrust.org/</w:t>
      </w:r>
    </w:p>
    <w:p w14:paraId="1F2CDD29"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Khan, A., &amp; Singh, A. K. (2022). A review on food processing industry in India. </w:t>
      </w:r>
      <w:r w:rsidRPr="008E7B71">
        <w:rPr>
          <w:rFonts w:ascii="Times New Roman" w:hAnsi="Times New Roman" w:cs="Times New Roman"/>
          <w:i/>
          <w:iCs/>
          <w:sz w:val="24"/>
          <w:szCs w:val="20"/>
          <w:shd w:val="clear" w:color="auto" w:fill="FFFFFF"/>
        </w:rPr>
        <w:t>Asian Journal of Research and Review in Agriculture</w:t>
      </w:r>
      <w:r w:rsidRPr="008E7B71">
        <w:rPr>
          <w:rFonts w:ascii="Times New Roman" w:hAnsi="Times New Roman" w:cs="Times New Roman"/>
          <w:sz w:val="24"/>
          <w:szCs w:val="20"/>
          <w:shd w:val="clear" w:color="auto" w:fill="FFFFFF"/>
        </w:rPr>
        <w:t>, 4(1), 90-97.</w:t>
      </w:r>
    </w:p>
    <w:p w14:paraId="172D263E" w14:textId="6652DB7E"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Kimura, A. H. (2010). Between technocracy and democracy: An experimental approach to certification of food products by Japanese consumer cooperative women. </w:t>
      </w:r>
      <w:r w:rsidRPr="008E7B71">
        <w:rPr>
          <w:rFonts w:ascii="Times New Roman" w:hAnsi="Times New Roman" w:cs="Times New Roman"/>
          <w:i/>
          <w:iCs/>
          <w:sz w:val="24"/>
          <w:szCs w:val="20"/>
          <w:shd w:val="clear" w:color="auto" w:fill="FFFFFF"/>
        </w:rPr>
        <w:t>Journal of Rural Studies,</w:t>
      </w:r>
      <w:r w:rsidRPr="008E7B71">
        <w:rPr>
          <w:rFonts w:ascii="Times New Roman" w:hAnsi="Times New Roman" w:cs="Times New Roman"/>
          <w:sz w:val="24"/>
          <w:szCs w:val="20"/>
          <w:shd w:val="clear" w:color="auto" w:fill="FFFFFF"/>
        </w:rPr>
        <w:t xml:space="preserve"> 26(2), 130-140.</w:t>
      </w:r>
    </w:p>
    <w:p w14:paraId="3A20E2C7"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Kotsanopoulos</w:t>
      </w:r>
      <w:proofErr w:type="spellEnd"/>
      <w:r w:rsidRPr="008E7B71">
        <w:rPr>
          <w:rFonts w:ascii="Times New Roman" w:hAnsi="Times New Roman" w:cs="Times New Roman"/>
          <w:sz w:val="24"/>
          <w:szCs w:val="20"/>
          <w:shd w:val="clear" w:color="auto" w:fill="FFFFFF"/>
        </w:rPr>
        <w:t>, K. V., &amp; Arvanitoyannis, I. S. (2017). The role of auditing, food safety, and food quality standards in the food industry: A review. </w:t>
      </w:r>
      <w:r w:rsidRPr="008E7B71">
        <w:rPr>
          <w:rFonts w:ascii="Times New Roman" w:hAnsi="Times New Roman" w:cs="Times New Roman"/>
          <w:i/>
          <w:iCs/>
          <w:sz w:val="24"/>
          <w:szCs w:val="20"/>
          <w:shd w:val="clear" w:color="auto" w:fill="FFFFFF"/>
        </w:rPr>
        <w:t>Comprehensive reviews in food science and food safety</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16</w:t>
      </w:r>
      <w:r w:rsidRPr="008E7B71">
        <w:rPr>
          <w:rFonts w:ascii="Times New Roman" w:hAnsi="Times New Roman" w:cs="Times New Roman"/>
          <w:sz w:val="24"/>
          <w:szCs w:val="20"/>
          <w:shd w:val="clear" w:color="auto" w:fill="FFFFFF"/>
        </w:rPr>
        <w:t>(5), 760-775.</w:t>
      </w:r>
    </w:p>
    <w:p w14:paraId="1AA8C65C"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Kumar, K. (2020). Trends in Indian food processing industry: Issues, challenges and ways forward. </w:t>
      </w:r>
      <w:r w:rsidRPr="008E7B71">
        <w:rPr>
          <w:rFonts w:ascii="Times New Roman" w:hAnsi="Times New Roman" w:cs="Times New Roman"/>
          <w:i/>
          <w:iCs/>
          <w:sz w:val="24"/>
          <w:szCs w:val="20"/>
          <w:shd w:val="clear" w:color="auto" w:fill="FFFFFF"/>
        </w:rPr>
        <w:t xml:space="preserve">Naveen </w:t>
      </w:r>
      <w:proofErr w:type="spellStart"/>
      <w:r w:rsidRPr="008E7B71">
        <w:rPr>
          <w:rFonts w:ascii="Times New Roman" w:hAnsi="Times New Roman" w:cs="Times New Roman"/>
          <w:i/>
          <w:iCs/>
          <w:sz w:val="24"/>
          <w:szCs w:val="20"/>
          <w:shd w:val="clear" w:color="auto" w:fill="FFFFFF"/>
        </w:rPr>
        <w:t>Shodh</w:t>
      </w:r>
      <w:proofErr w:type="spellEnd"/>
      <w:r w:rsidRPr="008E7B71">
        <w:rPr>
          <w:rFonts w:ascii="Times New Roman" w:hAnsi="Times New Roman" w:cs="Times New Roman"/>
          <w:i/>
          <w:iCs/>
          <w:sz w:val="24"/>
          <w:szCs w:val="20"/>
          <w:shd w:val="clear" w:color="auto" w:fill="FFFFFF"/>
        </w:rPr>
        <w:t xml:space="preserve"> </w:t>
      </w:r>
      <w:proofErr w:type="spellStart"/>
      <w:r w:rsidRPr="008E7B71">
        <w:rPr>
          <w:rFonts w:ascii="Times New Roman" w:hAnsi="Times New Roman" w:cs="Times New Roman"/>
          <w:i/>
          <w:iCs/>
          <w:sz w:val="24"/>
          <w:szCs w:val="20"/>
          <w:shd w:val="clear" w:color="auto" w:fill="FFFFFF"/>
        </w:rPr>
        <w:t>Sansar</w:t>
      </w:r>
      <w:proofErr w:type="spellEnd"/>
      <w:r w:rsidRPr="008E7B71">
        <w:rPr>
          <w:rFonts w:ascii="Times New Roman" w:hAnsi="Times New Roman" w:cs="Times New Roman"/>
          <w:i/>
          <w:iCs/>
          <w:sz w:val="24"/>
          <w:szCs w:val="20"/>
          <w:shd w:val="clear" w:color="auto" w:fill="FFFFFF"/>
        </w:rPr>
        <w:t xml:space="preserve">, </w:t>
      </w:r>
      <w:r w:rsidRPr="008E7B71">
        <w:rPr>
          <w:rFonts w:ascii="Times New Roman" w:hAnsi="Times New Roman" w:cs="Times New Roman"/>
          <w:sz w:val="24"/>
          <w:szCs w:val="20"/>
          <w:shd w:val="clear" w:color="auto" w:fill="FFFFFF"/>
        </w:rPr>
        <w:t>1(5), 19-25.</w:t>
      </w:r>
    </w:p>
    <w:p w14:paraId="57CE77A2" w14:textId="160A199A"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Laudan, R. (2010</w:t>
      </w:r>
      <w:r w:rsidRPr="008E7B71">
        <w:rPr>
          <w:rFonts w:ascii="Times New Roman" w:hAnsi="Times New Roman" w:cs="Times New Roman"/>
          <w:bCs/>
          <w:i/>
          <w:sz w:val="24"/>
          <w:szCs w:val="20"/>
          <w:shd w:val="clear" w:color="auto" w:fill="FFFFFF"/>
        </w:rPr>
        <w:t xml:space="preserve">). The </w:t>
      </w:r>
      <w:proofErr w:type="spellStart"/>
      <w:r w:rsidRPr="008E7B71">
        <w:rPr>
          <w:rFonts w:ascii="Times New Roman" w:hAnsi="Times New Roman" w:cs="Times New Roman"/>
          <w:bCs/>
          <w:i/>
          <w:sz w:val="24"/>
          <w:szCs w:val="20"/>
          <w:shd w:val="clear" w:color="auto" w:fill="FFFFFF"/>
        </w:rPr>
        <w:t>Gastronomica</w:t>
      </w:r>
      <w:proofErr w:type="spellEnd"/>
      <w:r w:rsidRPr="008E7B71">
        <w:rPr>
          <w:rFonts w:ascii="Times New Roman" w:hAnsi="Times New Roman" w:cs="Times New Roman"/>
          <w:bCs/>
          <w:i/>
          <w:sz w:val="24"/>
          <w:szCs w:val="20"/>
          <w:shd w:val="clear" w:color="auto" w:fill="FFFFFF"/>
        </w:rPr>
        <w:t xml:space="preserve"> Reader</w:t>
      </w:r>
      <w:r w:rsidRPr="008E7B71">
        <w:rPr>
          <w:rFonts w:ascii="Times New Roman" w:hAnsi="Times New Roman" w:cs="Times New Roman"/>
          <w:bCs/>
          <w:sz w:val="24"/>
          <w:szCs w:val="20"/>
          <w:shd w:val="clear" w:color="auto" w:fill="FFFFFF"/>
        </w:rPr>
        <w:t>. California, United Kingdom: UTNE Reader.</w:t>
      </w:r>
    </w:p>
    <w:p w14:paraId="26D0753E"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Mahajan, R., Garg, S., &amp; Sharma, P. B. (2014). Food safety in India: a case of Deli Processed Food Products Ltd. </w:t>
      </w:r>
      <w:r w:rsidRPr="008E7B71">
        <w:rPr>
          <w:rFonts w:ascii="Times New Roman" w:hAnsi="Times New Roman" w:cs="Times New Roman"/>
          <w:i/>
          <w:iCs/>
          <w:sz w:val="24"/>
          <w:szCs w:val="20"/>
          <w:shd w:val="clear" w:color="auto" w:fill="FFFFFF"/>
        </w:rPr>
        <w:t>International Journal of Productivity and Quality Management</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14</w:t>
      </w:r>
      <w:r w:rsidRPr="008E7B71">
        <w:rPr>
          <w:rFonts w:ascii="Times New Roman" w:hAnsi="Times New Roman" w:cs="Times New Roman"/>
          <w:sz w:val="24"/>
          <w:szCs w:val="20"/>
          <w:shd w:val="clear" w:color="auto" w:fill="FFFFFF"/>
        </w:rPr>
        <w:t>(1), 1-20.</w:t>
      </w:r>
    </w:p>
    <w:p w14:paraId="262E9AE0"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Makda, S. (2019). Food processing industry in India: Challenges and prospects. </w:t>
      </w:r>
      <w:r w:rsidRPr="008E7B71">
        <w:rPr>
          <w:rFonts w:ascii="Times New Roman" w:hAnsi="Times New Roman" w:cs="Times New Roman"/>
          <w:i/>
          <w:iCs/>
          <w:sz w:val="24"/>
          <w:szCs w:val="20"/>
          <w:shd w:val="clear" w:color="auto" w:fill="FFFFFF"/>
        </w:rPr>
        <w:t>Emerging Global Economic Situation: Impact on Trade and Agribusiness in India</w:t>
      </w:r>
      <w:r w:rsidRPr="008E7B71">
        <w:rPr>
          <w:rFonts w:ascii="Times New Roman" w:hAnsi="Times New Roman" w:cs="Times New Roman"/>
          <w:sz w:val="24"/>
          <w:szCs w:val="20"/>
          <w:shd w:val="clear" w:color="auto" w:fill="FFFFFF"/>
        </w:rPr>
        <w:t>, 2(3), 97-107.</w:t>
      </w:r>
    </w:p>
    <w:p w14:paraId="236B2334" w14:textId="47AE50CE"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Ministry of Commerce. (2025, April). </w:t>
      </w:r>
      <w:proofErr w:type="spellStart"/>
      <w:r w:rsidRPr="008E7B71">
        <w:rPr>
          <w:rFonts w:ascii="Times New Roman" w:hAnsi="Times New Roman" w:cs="Times New Roman"/>
          <w:bCs/>
          <w:i/>
          <w:iCs/>
          <w:sz w:val="24"/>
          <w:szCs w:val="20"/>
          <w:shd w:val="clear" w:color="auto" w:fill="FFFFFF"/>
        </w:rPr>
        <w:t>Tradestat</w:t>
      </w:r>
      <w:proofErr w:type="spellEnd"/>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w:t>
      </w:r>
      <w:r w:rsidRPr="008E7B71">
        <w:rPr>
          <w:rFonts w:ascii="Times New Roman" w:hAnsi="Times New Roman" w:cs="Times New Roman"/>
          <w:bCs/>
          <w:sz w:val="24"/>
          <w:szCs w:val="20"/>
          <w:shd w:val="clear" w:color="auto" w:fill="FFFFFF"/>
        </w:rPr>
        <w:t>https://tradestat.commerce.gov.in/</w:t>
      </w:r>
    </w:p>
    <w:p w14:paraId="031BF2F8" w14:textId="41641584"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bCs/>
          <w:sz w:val="24"/>
          <w:szCs w:val="20"/>
          <w:shd w:val="clear" w:color="auto" w:fill="FFFFFF"/>
        </w:rPr>
        <w:t xml:space="preserve">Ministry of Food Processing Industries. (2025). </w:t>
      </w:r>
      <w:r w:rsidRPr="008E7B71">
        <w:rPr>
          <w:rFonts w:ascii="Times New Roman" w:hAnsi="Times New Roman" w:cs="Times New Roman"/>
          <w:bCs/>
          <w:i/>
          <w:iCs/>
          <w:sz w:val="24"/>
          <w:szCs w:val="20"/>
          <w:shd w:val="clear" w:color="auto" w:fill="FFFFFF"/>
        </w:rPr>
        <w:t>Annual Reports</w:t>
      </w:r>
      <w:r w:rsidRPr="008E7B71">
        <w:rPr>
          <w:rFonts w:ascii="Times New Roman" w:hAnsi="Times New Roman" w:cs="Times New Roman"/>
          <w:bCs/>
          <w:sz w:val="24"/>
          <w:szCs w:val="20"/>
          <w:shd w:val="clear" w:color="auto" w:fill="FFFFFF"/>
        </w:rPr>
        <w:t>. Retrieved from https://www.mofpi.gov.in/en/documents/reports/annual-report</w:t>
      </w:r>
    </w:p>
    <w:p w14:paraId="7D108BF6" w14:textId="0AF4DA45"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lastRenderedPageBreak/>
        <w:t xml:space="preserve">Orthodox Union. (2025). </w:t>
      </w:r>
      <w:r w:rsidRPr="008E7B71">
        <w:rPr>
          <w:rFonts w:ascii="Times New Roman" w:hAnsi="Times New Roman" w:cs="Times New Roman"/>
          <w:i/>
          <w:iCs/>
          <w:sz w:val="24"/>
          <w:szCs w:val="20"/>
          <w:shd w:val="clear" w:color="auto" w:fill="FFFFFF"/>
        </w:rPr>
        <w:t xml:space="preserve">Kosher Certificate. </w:t>
      </w:r>
      <w:r w:rsidRPr="008E7B71">
        <w:rPr>
          <w:rFonts w:ascii="Times New Roman" w:hAnsi="Times New Roman" w:cs="Times New Roman"/>
          <w:sz w:val="24"/>
          <w:szCs w:val="20"/>
          <w:shd w:val="clear" w:color="auto" w:fill="FFFFFF"/>
        </w:rPr>
        <w:t xml:space="preserve">Retrieved from </w:t>
      </w:r>
      <w:r w:rsidR="00703C90" w:rsidRPr="008E7B71">
        <w:rPr>
          <w:rFonts w:ascii="Times New Roman" w:hAnsi="Times New Roman" w:cs="Times New Roman"/>
          <w:sz w:val="24"/>
          <w:szCs w:val="20"/>
          <w:shd w:val="clear" w:color="auto" w:fill="FFFFFF"/>
        </w:rPr>
        <w:t>https://oukosher.org/what-is-kosher/</w:t>
      </w:r>
      <w:r w:rsidR="00703C90">
        <w:rPr>
          <w:rFonts w:ascii="Times New Roman" w:hAnsi="Times New Roman" w:cs="Times New Roman"/>
          <w:sz w:val="24"/>
          <w:szCs w:val="20"/>
          <w:shd w:val="clear" w:color="auto" w:fill="FFFFFF"/>
        </w:rPr>
        <w:t xml:space="preserve"> </w:t>
      </w:r>
    </w:p>
    <w:p w14:paraId="22FEF3D2" w14:textId="26843C6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Rafeeque</w:t>
      </w:r>
      <w:proofErr w:type="spellEnd"/>
      <w:r w:rsidRPr="008E7B71">
        <w:rPr>
          <w:rFonts w:ascii="Times New Roman" w:hAnsi="Times New Roman" w:cs="Times New Roman"/>
          <w:sz w:val="24"/>
          <w:szCs w:val="20"/>
          <w:shd w:val="clear" w:color="auto" w:fill="FFFFFF"/>
        </w:rPr>
        <w:t xml:space="preserve">, M., &amp; </w:t>
      </w:r>
      <w:proofErr w:type="spellStart"/>
      <w:r w:rsidRPr="008E7B71">
        <w:rPr>
          <w:rFonts w:ascii="Times New Roman" w:hAnsi="Times New Roman" w:cs="Times New Roman"/>
          <w:sz w:val="24"/>
          <w:szCs w:val="20"/>
          <w:shd w:val="clear" w:color="auto" w:fill="FFFFFF"/>
        </w:rPr>
        <w:t>Sekharan</w:t>
      </w:r>
      <w:proofErr w:type="spellEnd"/>
      <w:r w:rsidRPr="008E7B71">
        <w:rPr>
          <w:rFonts w:ascii="Times New Roman" w:hAnsi="Times New Roman" w:cs="Times New Roman"/>
          <w:sz w:val="24"/>
          <w:szCs w:val="20"/>
          <w:shd w:val="clear" w:color="auto" w:fill="FFFFFF"/>
        </w:rPr>
        <w:t xml:space="preserve"> N, M. (2018). Multiple food safety management systems in food industry: A case study. </w:t>
      </w:r>
      <w:r w:rsidRPr="008E7B71">
        <w:rPr>
          <w:rFonts w:ascii="Times New Roman" w:hAnsi="Times New Roman" w:cs="Times New Roman"/>
          <w:i/>
          <w:iCs/>
          <w:sz w:val="24"/>
          <w:szCs w:val="20"/>
          <w:shd w:val="clear" w:color="auto" w:fill="FFFFFF"/>
        </w:rPr>
        <w:t>International Journal of Food Science and Nutrition</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3</w:t>
      </w:r>
      <w:r w:rsidRPr="008E7B71">
        <w:rPr>
          <w:rFonts w:ascii="Times New Roman" w:hAnsi="Times New Roman" w:cs="Times New Roman"/>
          <w:sz w:val="24"/>
          <w:szCs w:val="20"/>
          <w:shd w:val="clear" w:color="auto" w:fill="FFFFFF"/>
        </w:rPr>
        <w:t>(1), 37-44.</w:t>
      </w:r>
    </w:p>
    <w:p w14:paraId="29DC954F"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Raymond, A., &amp; Ramachandran, A. (2017). Food safety management systems in Indian seafood export industry-the case of Kerala. </w:t>
      </w:r>
      <w:r w:rsidRPr="008E7B71">
        <w:rPr>
          <w:rFonts w:ascii="Times New Roman" w:hAnsi="Times New Roman" w:cs="Times New Roman"/>
          <w:i/>
          <w:iCs/>
          <w:sz w:val="24"/>
          <w:szCs w:val="20"/>
          <w:shd w:val="clear" w:color="auto" w:fill="FFFFFF"/>
        </w:rPr>
        <w:t>International Journal of Management (IJM)</w:t>
      </w:r>
      <w:r w:rsidRPr="008E7B71">
        <w:rPr>
          <w:rFonts w:ascii="Times New Roman" w:hAnsi="Times New Roman" w:cs="Times New Roman"/>
          <w:sz w:val="24"/>
          <w:szCs w:val="20"/>
          <w:shd w:val="clear" w:color="auto" w:fill="FFFFFF"/>
        </w:rPr>
        <w:t>, 8(2), 199-208.</w:t>
      </w:r>
    </w:p>
    <w:p w14:paraId="0E58BF42"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Reddy, A. A., Cadman, T., Jain, A., &amp; </w:t>
      </w:r>
      <w:proofErr w:type="spellStart"/>
      <w:r w:rsidRPr="008E7B71">
        <w:rPr>
          <w:rFonts w:ascii="Times New Roman" w:hAnsi="Times New Roman" w:cs="Times New Roman"/>
          <w:sz w:val="24"/>
          <w:szCs w:val="20"/>
          <w:shd w:val="clear" w:color="auto" w:fill="FFFFFF"/>
        </w:rPr>
        <w:t>Vajrala</w:t>
      </w:r>
      <w:proofErr w:type="spellEnd"/>
      <w:r w:rsidRPr="008E7B71">
        <w:rPr>
          <w:rFonts w:ascii="Times New Roman" w:hAnsi="Times New Roman" w:cs="Times New Roman"/>
          <w:sz w:val="24"/>
          <w:szCs w:val="20"/>
          <w:shd w:val="clear" w:color="auto" w:fill="FFFFFF"/>
        </w:rPr>
        <w:t xml:space="preserve"> S. A. (2017). </w:t>
      </w:r>
      <w:r w:rsidRPr="008E7B71">
        <w:rPr>
          <w:rFonts w:ascii="Times New Roman" w:hAnsi="Times New Roman" w:cs="Times New Roman"/>
          <w:i/>
          <w:iCs/>
          <w:sz w:val="24"/>
          <w:szCs w:val="20"/>
          <w:shd w:val="clear" w:color="auto" w:fill="FFFFFF"/>
        </w:rPr>
        <w:t>Food Safety and Standards in India</w:t>
      </w:r>
      <w:r w:rsidRPr="008E7B71">
        <w:rPr>
          <w:rFonts w:ascii="Times New Roman" w:hAnsi="Times New Roman" w:cs="Times New Roman"/>
          <w:sz w:val="24"/>
          <w:szCs w:val="20"/>
          <w:shd w:val="clear" w:color="auto" w:fill="FFFFFF"/>
        </w:rPr>
        <w:t>. Indian Agricultural Research Institute and Griffith University. New Delhi, India.</w:t>
      </w:r>
    </w:p>
    <w:p w14:paraId="191D06E8" w14:textId="4780AB99"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sz w:val="24"/>
          <w:szCs w:val="20"/>
          <w:shd w:val="clear" w:color="auto" w:fill="FFFFFF"/>
        </w:rPr>
        <w:t xml:space="preserve">Saini, N., &amp; Sharma, R. (2021). To study the status and growth driver of food processing industry. </w:t>
      </w:r>
      <w:r w:rsidRPr="008E7B71">
        <w:rPr>
          <w:rFonts w:ascii="Times New Roman" w:hAnsi="Times New Roman" w:cs="Times New Roman"/>
          <w:bCs/>
          <w:i/>
          <w:sz w:val="24"/>
          <w:szCs w:val="20"/>
          <w:shd w:val="clear" w:color="auto" w:fill="FFFFFF"/>
        </w:rPr>
        <w:t>International Journal of Agricultural Science and Research (IJASR)</w:t>
      </w:r>
      <w:r w:rsidRPr="008E7B71">
        <w:rPr>
          <w:rFonts w:ascii="Times New Roman" w:hAnsi="Times New Roman" w:cs="Times New Roman"/>
          <w:bCs/>
          <w:sz w:val="24"/>
          <w:szCs w:val="20"/>
          <w:shd w:val="clear" w:color="auto" w:fill="FFFFFF"/>
        </w:rPr>
        <w:t>, 11(2), 91-96.</w:t>
      </w:r>
    </w:p>
    <w:p w14:paraId="44F6C93D" w14:textId="531E186D" w:rsid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Shelly, M., &amp; Kaur, K. (2015). Impacts of food processing industry on economic growth, FDI and exports of India. </w:t>
      </w:r>
      <w:r w:rsidRPr="008E7B71">
        <w:rPr>
          <w:rFonts w:ascii="Times New Roman" w:hAnsi="Times New Roman" w:cs="Times New Roman"/>
          <w:i/>
          <w:iCs/>
          <w:sz w:val="24"/>
          <w:szCs w:val="20"/>
          <w:shd w:val="clear" w:color="auto" w:fill="FFFFFF"/>
        </w:rPr>
        <w:t>Pacific Business Review International</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7</w:t>
      </w:r>
      <w:r w:rsidRPr="008E7B71">
        <w:rPr>
          <w:rFonts w:ascii="Times New Roman" w:hAnsi="Times New Roman" w:cs="Times New Roman"/>
          <w:sz w:val="24"/>
          <w:szCs w:val="20"/>
          <w:shd w:val="clear" w:color="auto" w:fill="FFFFFF"/>
        </w:rPr>
        <w:t>(12), 63-72.</w:t>
      </w:r>
    </w:p>
    <w:p w14:paraId="449BED22" w14:textId="114D561C" w:rsidR="00480A61" w:rsidRPr="00285BA8" w:rsidRDefault="00480A61" w:rsidP="009873C9">
      <w:pPr>
        <w:spacing w:after="0" w:line="276" w:lineRule="auto"/>
        <w:ind w:left="994" w:hanging="994"/>
        <w:jc w:val="both"/>
        <w:rPr>
          <w:rFonts w:ascii="Times New Roman" w:hAnsi="Times New Roman" w:cs="Times New Roman"/>
          <w:sz w:val="24"/>
          <w:szCs w:val="24"/>
          <w:shd w:val="clear" w:color="auto" w:fill="FFFFFF"/>
        </w:rPr>
      </w:pPr>
      <w:proofErr w:type="spellStart"/>
      <w:r w:rsidRPr="00285BA8">
        <w:rPr>
          <w:rFonts w:ascii="Times New Roman" w:hAnsi="Times New Roman" w:cs="Times New Roman"/>
          <w:color w:val="333333"/>
          <w:sz w:val="24"/>
          <w:szCs w:val="24"/>
          <w:shd w:val="clear" w:color="auto" w:fill="FFFFFF"/>
        </w:rPr>
        <w:t>Vasoya</w:t>
      </w:r>
      <w:proofErr w:type="spellEnd"/>
      <w:r w:rsidRPr="00285BA8">
        <w:rPr>
          <w:rFonts w:ascii="Times New Roman" w:hAnsi="Times New Roman" w:cs="Times New Roman"/>
          <w:color w:val="333333"/>
          <w:sz w:val="24"/>
          <w:szCs w:val="24"/>
          <w:shd w:val="clear" w:color="auto" w:fill="FFFFFF"/>
        </w:rPr>
        <w:t>, G. J., Dudhagara,</w:t>
      </w:r>
      <w:r w:rsidR="00837AB7">
        <w:rPr>
          <w:rFonts w:ascii="Times New Roman" w:hAnsi="Times New Roman" w:cs="Times New Roman"/>
          <w:color w:val="333333"/>
          <w:sz w:val="24"/>
          <w:szCs w:val="24"/>
          <w:shd w:val="clear" w:color="auto" w:fill="FFFFFF"/>
        </w:rPr>
        <w:t xml:space="preserve"> C. R.</w:t>
      </w:r>
      <w:r w:rsidRPr="00285BA8">
        <w:rPr>
          <w:rFonts w:ascii="Times New Roman" w:hAnsi="Times New Roman" w:cs="Times New Roman"/>
          <w:color w:val="333333"/>
          <w:sz w:val="24"/>
          <w:szCs w:val="24"/>
          <w:shd w:val="clear" w:color="auto" w:fill="FFFFFF"/>
        </w:rPr>
        <w:t xml:space="preserve"> and </w:t>
      </w:r>
      <w:r w:rsidR="00837AB7">
        <w:rPr>
          <w:rFonts w:ascii="Times New Roman" w:hAnsi="Times New Roman" w:cs="Times New Roman"/>
          <w:color w:val="333333"/>
          <w:sz w:val="24"/>
          <w:szCs w:val="24"/>
          <w:shd w:val="clear" w:color="auto" w:fill="FFFFFF"/>
        </w:rPr>
        <w:t xml:space="preserve">Khanna, </w:t>
      </w:r>
      <w:r w:rsidRPr="00285BA8">
        <w:rPr>
          <w:rFonts w:ascii="Times New Roman" w:hAnsi="Times New Roman" w:cs="Times New Roman"/>
          <w:color w:val="333333"/>
          <w:sz w:val="24"/>
          <w:szCs w:val="24"/>
          <w:shd w:val="clear" w:color="auto" w:fill="FFFFFF"/>
        </w:rPr>
        <w:t xml:space="preserve">V. R. </w:t>
      </w:r>
      <w:r w:rsidR="00837AB7">
        <w:rPr>
          <w:rFonts w:ascii="Times New Roman" w:hAnsi="Times New Roman" w:cs="Times New Roman"/>
          <w:color w:val="333333"/>
          <w:sz w:val="24"/>
          <w:szCs w:val="24"/>
          <w:shd w:val="clear" w:color="auto" w:fill="FFFFFF"/>
        </w:rPr>
        <w:t>(</w:t>
      </w:r>
      <w:r w:rsidRPr="00285BA8">
        <w:rPr>
          <w:rFonts w:ascii="Times New Roman" w:hAnsi="Times New Roman" w:cs="Times New Roman"/>
          <w:color w:val="333333"/>
          <w:sz w:val="24"/>
          <w:szCs w:val="24"/>
          <w:shd w:val="clear" w:color="auto" w:fill="FFFFFF"/>
        </w:rPr>
        <w:t>2023</w:t>
      </w:r>
      <w:r w:rsidR="00837AB7">
        <w:rPr>
          <w:rFonts w:ascii="Times New Roman" w:hAnsi="Times New Roman" w:cs="Times New Roman"/>
          <w:color w:val="333333"/>
          <w:sz w:val="24"/>
          <w:szCs w:val="24"/>
          <w:shd w:val="clear" w:color="auto" w:fill="FFFFFF"/>
        </w:rPr>
        <w:t>)</w:t>
      </w:r>
      <w:r w:rsidRPr="00285BA8">
        <w:rPr>
          <w:rFonts w:ascii="Times New Roman" w:hAnsi="Times New Roman" w:cs="Times New Roman"/>
          <w:color w:val="333333"/>
          <w:sz w:val="24"/>
          <w:szCs w:val="24"/>
          <w:shd w:val="clear" w:color="auto" w:fill="FFFFFF"/>
        </w:rPr>
        <w:t>. A Study on the Factors Affecting Purchase Decision for Cheese Analogue Premix in B2B Segment. </w:t>
      </w:r>
      <w:r w:rsidRPr="00285BA8">
        <w:rPr>
          <w:rFonts w:ascii="Times New Roman" w:hAnsi="Times New Roman" w:cs="Times New Roman"/>
          <w:i/>
          <w:iCs/>
          <w:color w:val="333333"/>
          <w:sz w:val="24"/>
          <w:szCs w:val="24"/>
          <w:shd w:val="clear" w:color="auto" w:fill="FFFFFF"/>
        </w:rPr>
        <w:t>Asian Journal of Agricultural Extension, Economics &amp; Sociology</w:t>
      </w:r>
      <w:r w:rsidR="00437F7A">
        <w:rPr>
          <w:rFonts w:ascii="Times New Roman" w:hAnsi="Times New Roman" w:cs="Times New Roman"/>
          <w:i/>
          <w:iCs/>
          <w:color w:val="333333"/>
          <w:sz w:val="24"/>
          <w:szCs w:val="24"/>
          <w:shd w:val="clear" w:color="auto" w:fill="FFFFFF"/>
        </w:rPr>
        <w:t>,</w:t>
      </w:r>
      <w:r w:rsidRPr="00285BA8">
        <w:rPr>
          <w:rFonts w:ascii="Times New Roman" w:hAnsi="Times New Roman" w:cs="Times New Roman"/>
          <w:color w:val="333333"/>
          <w:sz w:val="24"/>
          <w:szCs w:val="24"/>
          <w:shd w:val="clear" w:color="auto" w:fill="FFFFFF"/>
        </w:rPr>
        <w:t> 41(9)</w:t>
      </w:r>
      <w:r w:rsidR="00437F7A">
        <w:rPr>
          <w:rFonts w:ascii="Times New Roman" w:hAnsi="Times New Roman" w:cs="Times New Roman"/>
          <w:color w:val="333333"/>
          <w:sz w:val="24"/>
          <w:szCs w:val="24"/>
          <w:shd w:val="clear" w:color="auto" w:fill="FFFFFF"/>
        </w:rPr>
        <w:t xml:space="preserve">, </w:t>
      </w:r>
      <w:r w:rsidRPr="00285BA8">
        <w:rPr>
          <w:rFonts w:ascii="Times New Roman" w:hAnsi="Times New Roman" w:cs="Times New Roman"/>
          <w:color w:val="333333"/>
          <w:sz w:val="24"/>
          <w:szCs w:val="24"/>
          <w:shd w:val="clear" w:color="auto" w:fill="FFFFFF"/>
        </w:rPr>
        <w:t>382-88.</w:t>
      </w:r>
    </w:p>
    <w:p w14:paraId="0C0611DE" w14:textId="002A750C"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Venkateshalu</w:t>
      </w:r>
      <w:proofErr w:type="spellEnd"/>
      <w:r w:rsidRPr="008E7B71">
        <w:rPr>
          <w:rFonts w:ascii="Times New Roman" w:hAnsi="Times New Roman" w:cs="Times New Roman"/>
          <w:sz w:val="24"/>
          <w:szCs w:val="20"/>
          <w:shd w:val="clear" w:color="auto" w:fill="FFFFFF"/>
        </w:rPr>
        <w:t xml:space="preserve">, B. (2024). Food processing industry in India: A study on sunrise sector. </w:t>
      </w:r>
      <w:r w:rsidRPr="008E7B71">
        <w:rPr>
          <w:rFonts w:ascii="Times New Roman" w:hAnsi="Times New Roman" w:cs="Times New Roman"/>
          <w:i/>
          <w:iCs/>
          <w:sz w:val="24"/>
          <w:szCs w:val="20"/>
          <w:shd w:val="clear" w:color="auto" w:fill="FFFFFF"/>
        </w:rPr>
        <w:t>International Journal of Financial Management and Economics</w:t>
      </w:r>
      <w:r w:rsidRPr="008E7B71">
        <w:rPr>
          <w:rFonts w:ascii="Times New Roman" w:hAnsi="Times New Roman" w:cs="Times New Roman"/>
          <w:sz w:val="24"/>
          <w:szCs w:val="20"/>
          <w:shd w:val="clear" w:color="auto" w:fill="FFFFFF"/>
        </w:rPr>
        <w:t xml:space="preserve">, </w:t>
      </w:r>
      <w:r w:rsidRPr="008E7B71">
        <w:rPr>
          <w:rFonts w:ascii="Times New Roman" w:hAnsi="Times New Roman" w:cs="Times New Roman"/>
          <w:iCs/>
          <w:sz w:val="24"/>
          <w:szCs w:val="20"/>
          <w:shd w:val="clear" w:color="auto" w:fill="FFFFFF"/>
        </w:rPr>
        <w:t>7</w:t>
      </w:r>
      <w:r w:rsidRPr="008E7B71">
        <w:rPr>
          <w:rFonts w:ascii="Times New Roman" w:hAnsi="Times New Roman" w:cs="Times New Roman"/>
          <w:sz w:val="24"/>
          <w:szCs w:val="20"/>
          <w:shd w:val="clear" w:color="auto" w:fill="FFFFFF"/>
        </w:rPr>
        <w:t>(2), 156–161.</w:t>
      </w:r>
    </w:p>
    <w:p w14:paraId="5045FB5C" w14:textId="77777777" w:rsidR="008E7B71" w:rsidRPr="00166045" w:rsidRDefault="008E7B71" w:rsidP="009873C9">
      <w:pPr>
        <w:spacing w:after="0" w:line="276" w:lineRule="auto"/>
        <w:ind w:left="994" w:hanging="994"/>
        <w:jc w:val="both"/>
        <w:rPr>
          <w:rFonts w:ascii="Times New Roman" w:hAnsi="Times New Roman" w:cs="Times New Roman"/>
          <w:sz w:val="24"/>
          <w:szCs w:val="20"/>
          <w:shd w:val="clear" w:color="auto" w:fill="FFFFFF"/>
        </w:rPr>
      </w:pPr>
    </w:p>
    <w:sectPr w:rsidR="008E7B71" w:rsidRPr="00166045" w:rsidSect="00E335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929B5" w14:textId="77777777" w:rsidR="00F714FC" w:rsidRDefault="00F714FC" w:rsidP="001D3710">
      <w:pPr>
        <w:spacing w:after="0" w:line="240" w:lineRule="auto"/>
      </w:pPr>
      <w:r>
        <w:separator/>
      </w:r>
    </w:p>
  </w:endnote>
  <w:endnote w:type="continuationSeparator" w:id="0">
    <w:p w14:paraId="6A1C8355" w14:textId="77777777" w:rsidR="00F714FC" w:rsidRDefault="00F714FC" w:rsidP="001D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0258" w14:textId="77777777" w:rsidR="004643B1" w:rsidRDefault="00464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429293"/>
      <w:docPartObj>
        <w:docPartGallery w:val="Page Numbers (Bottom of Page)"/>
        <w:docPartUnique/>
      </w:docPartObj>
    </w:sdtPr>
    <w:sdtEndPr>
      <w:rPr>
        <w:rFonts w:ascii="Times New Roman" w:hAnsi="Times New Roman" w:cs="Times New Roman"/>
        <w:b/>
        <w:bCs/>
        <w:noProof/>
        <w:sz w:val="24"/>
        <w:szCs w:val="24"/>
      </w:rPr>
    </w:sdtEndPr>
    <w:sdtContent>
      <w:p w14:paraId="29B70E7C" w14:textId="60F9FD1A" w:rsidR="0010283D" w:rsidRPr="001D3710" w:rsidRDefault="0010283D">
        <w:pPr>
          <w:pStyle w:val="Footer"/>
          <w:jc w:val="right"/>
          <w:rPr>
            <w:rFonts w:ascii="Times New Roman" w:hAnsi="Times New Roman" w:cs="Times New Roman"/>
            <w:b/>
            <w:bCs/>
            <w:sz w:val="24"/>
            <w:szCs w:val="24"/>
          </w:rPr>
        </w:pPr>
        <w:r w:rsidRPr="001D3710">
          <w:rPr>
            <w:rFonts w:ascii="Times New Roman" w:hAnsi="Times New Roman" w:cs="Times New Roman"/>
            <w:b/>
            <w:bCs/>
            <w:sz w:val="24"/>
            <w:szCs w:val="24"/>
          </w:rPr>
          <w:fldChar w:fldCharType="begin"/>
        </w:r>
        <w:r w:rsidRPr="001D3710">
          <w:rPr>
            <w:rFonts w:ascii="Times New Roman" w:hAnsi="Times New Roman" w:cs="Times New Roman"/>
            <w:b/>
            <w:bCs/>
            <w:sz w:val="24"/>
            <w:szCs w:val="24"/>
          </w:rPr>
          <w:instrText xml:space="preserve"> PAGE   \* MERGEFORMAT </w:instrText>
        </w:r>
        <w:r w:rsidRPr="001D3710">
          <w:rPr>
            <w:rFonts w:ascii="Times New Roman" w:hAnsi="Times New Roman" w:cs="Times New Roman"/>
            <w:b/>
            <w:bCs/>
            <w:sz w:val="24"/>
            <w:szCs w:val="24"/>
          </w:rPr>
          <w:fldChar w:fldCharType="separate"/>
        </w:r>
        <w:r w:rsidRPr="001D3710">
          <w:rPr>
            <w:rFonts w:ascii="Times New Roman" w:hAnsi="Times New Roman" w:cs="Times New Roman"/>
            <w:b/>
            <w:bCs/>
            <w:noProof/>
            <w:sz w:val="24"/>
            <w:szCs w:val="24"/>
          </w:rPr>
          <w:t>2</w:t>
        </w:r>
        <w:r w:rsidRPr="001D3710">
          <w:rPr>
            <w:rFonts w:ascii="Times New Roman" w:hAnsi="Times New Roman" w:cs="Times New Roman"/>
            <w:b/>
            <w:bCs/>
            <w:noProof/>
            <w:sz w:val="24"/>
            <w:szCs w:val="24"/>
          </w:rPr>
          <w:fldChar w:fldCharType="end"/>
        </w:r>
      </w:p>
    </w:sdtContent>
  </w:sdt>
  <w:p w14:paraId="03AD0F42" w14:textId="77777777" w:rsidR="0010283D" w:rsidRDefault="00102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85D4" w14:textId="77777777" w:rsidR="004643B1" w:rsidRDefault="00464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9EFBD" w14:textId="77777777" w:rsidR="00F714FC" w:rsidRDefault="00F714FC" w:rsidP="001D3710">
      <w:pPr>
        <w:spacing w:after="0" w:line="240" w:lineRule="auto"/>
      </w:pPr>
      <w:r>
        <w:separator/>
      </w:r>
    </w:p>
  </w:footnote>
  <w:footnote w:type="continuationSeparator" w:id="0">
    <w:p w14:paraId="00C542CA" w14:textId="77777777" w:rsidR="00F714FC" w:rsidRDefault="00F714FC" w:rsidP="001D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43C9" w14:textId="57966C8F" w:rsidR="004643B1" w:rsidRDefault="004643B1">
    <w:pPr>
      <w:pStyle w:val="Header"/>
    </w:pPr>
    <w:r>
      <w:rPr>
        <w:noProof/>
      </w:rPr>
      <w:pict w14:anchorId="168A6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97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9675" w14:textId="5D8C00C0" w:rsidR="004643B1" w:rsidRDefault="004643B1">
    <w:pPr>
      <w:pStyle w:val="Header"/>
    </w:pPr>
    <w:r>
      <w:rPr>
        <w:noProof/>
      </w:rPr>
      <w:pict w14:anchorId="10E93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97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2E64" w14:textId="4D944B0F" w:rsidR="004643B1" w:rsidRDefault="004643B1">
    <w:pPr>
      <w:pStyle w:val="Header"/>
    </w:pPr>
    <w:r>
      <w:rPr>
        <w:noProof/>
      </w:rPr>
      <w:pict w14:anchorId="35BDC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97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7E9"/>
    <w:multiLevelType w:val="hybridMultilevel"/>
    <w:tmpl w:val="82CE9DB0"/>
    <w:lvl w:ilvl="0" w:tplc="40090017">
      <w:start w:val="1"/>
      <w:numFmt w:val="lowerLetter"/>
      <w:lvlText w:val="%1)"/>
      <w:lvlJc w:val="left"/>
      <w:pPr>
        <w:ind w:left="433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984011"/>
    <w:multiLevelType w:val="hybridMultilevel"/>
    <w:tmpl w:val="DC48365E"/>
    <w:lvl w:ilvl="0" w:tplc="1F7C47A2">
      <w:start w:val="1"/>
      <w:numFmt w:val="lowerLetter"/>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A958CF"/>
    <w:multiLevelType w:val="hybridMultilevel"/>
    <w:tmpl w:val="6CB83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5B20305"/>
    <w:multiLevelType w:val="hybridMultilevel"/>
    <w:tmpl w:val="FEE430B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F6D4E6E"/>
    <w:multiLevelType w:val="hybridMultilevel"/>
    <w:tmpl w:val="BE02D01E"/>
    <w:lvl w:ilvl="0" w:tplc="9F64551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2F"/>
    <w:rsid w:val="00003B13"/>
    <w:rsid w:val="00007A85"/>
    <w:rsid w:val="000125DD"/>
    <w:rsid w:val="00012D9F"/>
    <w:rsid w:val="00014AFF"/>
    <w:rsid w:val="00015552"/>
    <w:rsid w:val="0001570E"/>
    <w:rsid w:val="00025A26"/>
    <w:rsid w:val="00025F2F"/>
    <w:rsid w:val="00032857"/>
    <w:rsid w:val="000522C7"/>
    <w:rsid w:val="00055DDF"/>
    <w:rsid w:val="000568EF"/>
    <w:rsid w:val="00064386"/>
    <w:rsid w:val="00066934"/>
    <w:rsid w:val="00073ECC"/>
    <w:rsid w:val="000740B6"/>
    <w:rsid w:val="00077ECB"/>
    <w:rsid w:val="00091A02"/>
    <w:rsid w:val="000A098B"/>
    <w:rsid w:val="000A2B64"/>
    <w:rsid w:val="000B0C0D"/>
    <w:rsid w:val="000B27D0"/>
    <w:rsid w:val="000B4270"/>
    <w:rsid w:val="000B48C3"/>
    <w:rsid w:val="000C12E8"/>
    <w:rsid w:val="000C2171"/>
    <w:rsid w:val="000C6336"/>
    <w:rsid w:val="000C63B4"/>
    <w:rsid w:val="000E415D"/>
    <w:rsid w:val="000F1E6A"/>
    <w:rsid w:val="0010283D"/>
    <w:rsid w:val="001059EA"/>
    <w:rsid w:val="001121A7"/>
    <w:rsid w:val="001121E1"/>
    <w:rsid w:val="001125AF"/>
    <w:rsid w:val="00122124"/>
    <w:rsid w:val="00122D76"/>
    <w:rsid w:val="001246D5"/>
    <w:rsid w:val="00126E1D"/>
    <w:rsid w:val="00136AFA"/>
    <w:rsid w:val="00141186"/>
    <w:rsid w:val="00157BFA"/>
    <w:rsid w:val="00162568"/>
    <w:rsid w:val="00166045"/>
    <w:rsid w:val="0018591F"/>
    <w:rsid w:val="001873D4"/>
    <w:rsid w:val="00187D8E"/>
    <w:rsid w:val="00194F5E"/>
    <w:rsid w:val="00197FDE"/>
    <w:rsid w:val="001A281F"/>
    <w:rsid w:val="001A494F"/>
    <w:rsid w:val="001A4A4E"/>
    <w:rsid w:val="001B09B0"/>
    <w:rsid w:val="001B285F"/>
    <w:rsid w:val="001B2EF3"/>
    <w:rsid w:val="001B4ADF"/>
    <w:rsid w:val="001D0C51"/>
    <w:rsid w:val="001D3710"/>
    <w:rsid w:val="001D7709"/>
    <w:rsid w:val="001E216E"/>
    <w:rsid w:val="001E25DA"/>
    <w:rsid w:val="001E58CF"/>
    <w:rsid w:val="001F1B8D"/>
    <w:rsid w:val="001F2F24"/>
    <w:rsid w:val="001F6AE1"/>
    <w:rsid w:val="00216459"/>
    <w:rsid w:val="00217FFE"/>
    <w:rsid w:val="00221E6B"/>
    <w:rsid w:val="00222CE9"/>
    <w:rsid w:val="00226FF7"/>
    <w:rsid w:val="002321FA"/>
    <w:rsid w:val="00240B65"/>
    <w:rsid w:val="00245772"/>
    <w:rsid w:val="00245A5D"/>
    <w:rsid w:val="00253C9F"/>
    <w:rsid w:val="0025434C"/>
    <w:rsid w:val="00254660"/>
    <w:rsid w:val="00255C97"/>
    <w:rsid w:val="00260627"/>
    <w:rsid w:val="00260953"/>
    <w:rsid w:val="00264487"/>
    <w:rsid w:val="002722FD"/>
    <w:rsid w:val="00277E5D"/>
    <w:rsid w:val="00285BA8"/>
    <w:rsid w:val="00290515"/>
    <w:rsid w:val="00292E82"/>
    <w:rsid w:val="002A0205"/>
    <w:rsid w:val="002A2FDD"/>
    <w:rsid w:val="002A5EFB"/>
    <w:rsid w:val="002B3FDC"/>
    <w:rsid w:val="002C1032"/>
    <w:rsid w:val="002C14C0"/>
    <w:rsid w:val="002C50A0"/>
    <w:rsid w:val="002C7E79"/>
    <w:rsid w:val="002D020B"/>
    <w:rsid w:val="002D2C90"/>
    <w:rsid w:val="002D3B42"/>
    <w:rsid w:val="002E3E71"/>
    <w:rsid w:val="00300BDA"/>
    <w:rsid w:val="0030168F"/>
    <w:rsid w:val="00302184"/>
    <w:rsid w:val="0032500F"/>
    <w:rsid w:val="00325D5A"/>
    <w:rsid w:val="00327238"/>
    <w:rsid w:val="00335455"/>
    <w:rsid w:val="0034165A"/>
    <w:rsid w:val="00342821"/>
    <w:rsid w:val="00345ADB"/>
    <w:rsid w:val="003529AD"/>
    <w:rsid w:val="00367CE4"/>
    <w:rsid w:val="0037257A"/>
    <w:rsid w:val="00377990"/>
    <w:rsid w:val="00380234"/>
    <w:rsid w:val="00380333"/>
    <w:rsid w:val="00382CE9"/>
    <w:rsid w:val="00386DD0"/>
    <w:rsid w:val="00387117"/>
    <w:rsid w:val="0039214B"/>
    <w:rsid w:val="0039539A"/>
    <w:rsid w:val="003A4B8A"/>
    <w:rsid w:val="003B2B1D"/>
    <w:rsid w:val="003B5F5D"/>
    <w:rsid w:val="003C0DDE"/>
    <w:rsid w:val="003C2E88"/>
    <w:rsid w:val="003C46BB"/>
    <w:rsid w:val="003D0F01"/>
    <w:rsid w:val="003D401B"/>
    <w:rsid w:val="003D5101"/>
    <w:rsid w:val="003E02D0"/>
    <w:rsid w:val="003E046B"/>
    <w:rsid w:val="003E072F"/>
    <w:rsid w:val="003E3946"/>
    <w:rsid w:val="003E7923"/>
    <w:rsid w:val="003F5B3E"/>
    <w:rsid w:val="00411F9B"/>
    <w:rsid w:val="00413BEA"/>
    <w:rsid w:val="004209C6"/>
    <w:rsid w:val="00424868"/>
    <w:rsid w:val="0042565E"/>
    <w:rsid w:val="004347D6"/>
    <w:rsid w:val="00437F7A"/>
    <w:rsid w:val="00444F13"/>
    <w:rsid w:val="004500A3"/>
    <w:rsid w:val="0046078C"/>
    <w:rsid w:val="0046314A"/>
    <w:rsid w:val="004643B1"/>
    <w:rsid w:val="00471752"/>
    <w:rsid w:val="004741D0"/>
    <w:rsid w:val="00476A4F"/>
    <w:rsid w:val="00480A61"/>
    <w:rsid w:val="00482000"/>
    <w:rsid w:val="0048389E"/>
    <w:rsid w:val="004904E0"/>
    <w:rsid w:val="00493F68"/>
    <w:rsid w:val="004B153D"/>
    <w:rsid w:val="004B55E9"/>
    <w:rsid w:val="004C2450"/>
    <w:rsid w:val="004C32FC"/>
    <w:rsid w:val="004C3335"/>
    <w:rsid w:val="004D78FE"/>
    <w:rsid w:val="004F39FC"/>
    <w:rsid w:val="004F78A3"/>
    <w:rsid w:val="00501CC2"/>
    <w:rsid w:val="00502CEB"/>
    <w:rsid w:val="00504780"/>
    <w:rsid w:val="00504E9B"/>
    <w:rsid w:val="00516878"/>
    <w:rsid w:val="0052639F"/>
    <w:rsid w:val="00527DD1"/>
    <w:rsid w:val="0053292A"/>
    <w:rsid w:val="00533675"/>
    <w:rsid w:val="005420C6"/>
    <w:rsid w:val="00542A73"/>
    <w:rsid w:val="00545B80"/>
    <w:rsid w:val="00552B31"/>
    <w:rsid w:val="00554CB3"/>
    <w:rsid w:val="00560B79"/>
    <w:rsid w:val="00561CF1"/>
    <w:rsid w:val="00562798"/>
    <w:rsid w:val="005643FE"/>
    <w:rsid w:val="00564EEC"/>
    <w:rsid w:val="005701B8"/>
    <w:rsid w:val="0058064A"/>
    <w:rsid w:val="005A3581"/>
    <w:rsid w:val="005A6C09"/>
    <w:rsid w:val="005B03AC"/>
    <w:rsid w:val="005B238B"/>
    <w:rsid w:val="005C100C"/>
    <w:rsid w:val="005C7274"/>
    <w:rsid w:val="005D4A0F"/>
    <w:rsid w:val="005D75AD"/>
    <w:rsid w:val="005E328A"/>
    <w:rsid w:val="005F2614"/>
    <w:rsid w:val="005F3D8C"/>
    <w:rsid w:val="005F3FD6"/>
    <w:rsid w:val="005F4316"/>
    <w:rsid w:val="00615594"/>
    <w:rsid w:val="00615AB4"/>
    <w:rsid w:val="00627EB3"/>
    <w:rsid w:val="00630F06"/>
    <w:rsid w:val="00631C19"/>
    <w:rsid w:val="00633983"/>
    <w:rsid w:val="00637BD3"/>
    <w:rsid w:val="00640C6C"/>
    <w:rsid w:val="006430D1"/>
    <w:rsid w:val="00646343"/>
    <w:rsid w:val="00646A55"/>
    <w:rsid w:val="00647BD8"/>
    <w:rsid w:val="006529BD"/>
    <w:rsid w:val="006533D2"/>
    <w:rsid w:val="006545C9"/>
    <w:rsid w:val="0065764D"/>
    <w:rsid w:val="00660BD6"/>
    <w:rsid w:val="006A7E08"/>
    <w:rsid w:val="006B0C3C"/>
    <w:rsid w:val="006B111C"/>
    <w:rsid w:val="006D10B5"/>
    <w:rsid w:val="006D6391"/>
    <w:rsid w:val="00701745"/>
    <w:rsid w:val="00703C90"/>
    <w:rsid w:val="007042EF"/>
    <w:rsid w:val="00720D76"/>
    <w:rsid w:val="00737D32"/>
    <w:rsid w:val="00751407"/>
    <w:rsid w:val="00752F13"/>
    <w:rsid w:val="00755ED9"/>
    <w:rsid w:val="00756276"/>
    <w:rsid w:val="00763759"/>
    <w:rsid w:val="00764B76"/>
    <w:rsid w:val="00774418"/>
    <w:rsid w:val="00775F72"/>
    <w:rsid w:val="00776D06"/>
    <w:rsid w:val="00777F04"/>
    <w:rsid w:val="00780B5A"/>
    <w:rsid w:val="0078495B"/>
    <w:rsid w:val="00791D84"/>
    <w:rsid w:val="007A438A"/>
    <w:rsid w:val="007B53D3"/>
    <w:rsid w:val="007C116C"/>
    <w:rsid w:val="007D72FD"/>
    <w:rsid w:val="007E4965"/>
    <w:rsid w:val="007F24EF"/>
    <w:rsid w:val="007F76E7"/>
    <w:rsid w:val="00814008"/>
    <w:rsid w:val="008251F5"/>
    <w:rsid w:val="00826C72"/>
    <w:rsid w:val="00837AB7"/>
    <w:rsid w:val="00855AFF"/>
    <w:rsid w:val="00855F40"/>
    <w:rsid w:val="00856EDD"/>
    <w:rsid w:val="00864175"/>
    <w:rsid w:val="00873717"/>
    <w:rsid w:val="008764B5"/>
    <w:rsid w:val="00876C79"/>
    <w:rsid w:val="00881F22"/>
    <w:rsid w:val="00882DAD"/>
    <w:rsid w:val="008847B6"/>
    <w:rsid w:val="00885A37"/>
    <w:rsid w:val="00887F2F"/>
    <w:rsid w:val="00890905"/>
    <w:rsid w:val="00896A81"/>
    <w:rsid w:val="008A291C"/>
    <w:rsid w:val="008A34DF"/>
    <w:rsid w:val="008A4244"/>
    <w:rsid w:val="008A74C0"/>
    <w:rsid w:val="008C2550"/>
    <w:rsid w:val="008C5C43"/>
    <w:rsid w:val="008C7547"/>
    <w:rsid w:val="008D05DA"/>
    <w:rsid w:val="008E109A"/>
    <w:rsid w:val="008E2464"/>
    <w:rsid w:val="008E3ED8"/>
    <w:rsid w:val="008E68F0"/>
    <w:rsid w:val="008E7B71"/>
    <w:rsid w:val="008F1350"/>
    <w:rsid w:val="008F21E5"/>
    <w:rsid w:val="008F5D78"/>
    <w:rsid w:val="008F6935"/>
    <w:rsid w:val="008F7A17"/>
    <w:rsid w:val="009027A0"/>
    <w:rsid w:val="00915D20"/>
    <w:rsid w:val="0094245D"/>
    <w:rsid w:val="0094610F"/>
    <w:rsid w:val="00952C09"/>
    <w:rsid w:val="00970292"/>
    <w:rsid w:val="009873C9"/>
    <w:rsid w:val="00997115"/>
    <w:rsid w:val="009A3665"/>
    <w:rsid w:val="009A4371"/>
    <w:rsid w:val="009C6D5F"/>
    <w:rsid w:val="009C71E2"/>
    <w:rsid w:val="009C7ADF"/>
    <w:rsid w:val="009D01AD"/>
    <w:rsid w:val="009D0B04"/>
    <w:rsid w:val="009E06F3"/>
    <w:rsid w:val="009E7919"/>
    <w:rsid w:val="009F0F20"/>
    <w:rsid w:val="009F2AEB"/>
    <w:rsid w:val="009F453E"/>
    <w:rsid w:val="00A15D4F"/>
    <w:rsid w:val="00A226FE"/>
    <w:rsid w:val="00A243C2"/>
    <w:rsid w:val="00A336DA"/>
    <w:rsid w:val="00A33D95"/>
    <w:rsid w:val="00A35F48"/>
    <w:rsid w:val="00A37286"/>
    <w:rsid w:val="00A4151C"/>
    <w:rsid w:val="00A432D8"/>
    <w:rsid w:val="00A440C5"/>
    <w:rsid w:val="00A47C15"/>
    <w:rsid w:val="00A536EE"/>
    <w:rsid w:val="00A54B7C"/>
    <w:rsid w:val="00A54E63"/>
    <w:rsid w:val="00A5702F"/>
    <w:rsid w:val="00A6264E"/>
    <w:rsid w:val="00A67B5D"/>
    <w:rsid w:val="00A736F1"/>
    <w:rsid w:val="00A74D27"/>
    <w:rsid w:val="00A80293"/>
    <w:rsid w:val="00A83C1F"/>
    <w:rsid w:val="00A876E5"/>
    <w:rsid w:val="00A919DA"/>
    <w:rsid w:val="00A96044"/>
    <w:rsid w:val="00A97C35"/>
    <w:rsid w:val="00AA2207"/>
    <w:rsid w:val="00AA4A51"/>
    <w:rsid w:val="00AB230B"/>
    <w:rsid w:val="00AB3DA0"/>
    <w:rsid w:val="00AB4CAE"/>
    <w:rsid w:val="00AB5049"/>
    <w:rsid w:val="00AC2DC7"/>
    <w:rsid w:val="00AC6391"/>
    <w:rsid w:val="00AD1FCC"/>
    <w:rsid w:val="00AD5E2D"/>
    <w:rsid w:val="00AE49DF"/>
    <w:rsid w:val="00AE4DDD"/>
    <w:rsid w:val="00AE5427"/>
    <w:rsid w:val="00AE65AC"/>
    <w:rsid w:val="00AF1B43"/>
    <w:rsid w:val="00AF4BC3"/>
    <w:rsid w:val="00B01599"/>
    <w:rsid w:val="00B04449"/>
    <w:rsid w:val="00B062F5"/>
    <w:rsid w:val="00B06A85"/>
    <w:rsid w:val="00B12AF7"/>
    <w:rsid w:val="00B15855"/>
    <w:rsid w:val="00B16130"/>
    <w:rsid w:val="00B2467D"/>
    <w:rsid w:val="00B32FF2"/>
    <w:rsid w:val="00B40F2D"/>
    <w:rsid w:val="00B50929"/>
    <w:rsid w:val="00B50CE7"/>
    <w:rsid w:val="00B55840"/>
    <w:rsid w:val="00B56B13"/>
    <w:rsid w:val="00B7263C"/>
    <w:rsid w:val="00B82E92"/>
    <w:rsid w:val="00B83980"/>
    <w:rsid w:val="00B869B1"/>
    <w:rsid w:val="00BA25FA"/>
    <w:rsid w:val="00BA720C"/>
    <w:rsid w:val="00BA7285"/>
    <w:rsid w:val="00BB4B0E"/>
    <w:rsid w:val="00BB4EE3"/>
    <w:rsid w:val="00BC778F"/>
    <w:rsid w:val="00BE0BF4"/>
    <w:rsid w:val="00BE20C8"/>
    <w:rsid w:val="00BE3D2B"/>
    <w:rsid w:val="00BE5197"/>
    <w:rsid w:val="00BE667F"/>
    <w:rsid w:val="00BF1BCC"/>
    <w:rsid w:val="00BF5F4F"/>
    <w:rsid w:val="00C0034B"/>
    <w:rsid w:val="00C05867"/>
    <w:rsid w:val="00C07D79"/>
    <w:rsid w:val="00C22E36"/>
    <w:rsid w:val="00C26C6F"/>
    <w:rsid w:val="00C37300"/>
    <w:rsid w:val="00C476A9"/>
    <w:rsid w:val="00C5322F"/>
    <w:rsid w:val="00C552B9"/>
    <w:rsid w:val="00C731DE"/>
    <w:rsid w:val="00C74A73"/>
    <w:rsid w:val="00C85593"/>
    <w:rsid w:val="00C94C60"/>
    <w:rsid w:val="00C9545F"/>
    <w:rsid w:val="00C9791C"/>
    <w:rsid w:val="00CB7A9A"/>
    <w:rsid w:val="00CC46C6"/>
    <w:rsid w:val="00CC4E79"/>
    <w:rsid w:val="00CD101F"/>
    <w:rsid w:val="00CD1C5F"/>
    <w:rsid w:val="00CD7677"/>
    <w:rsid w:val="00CE27F6"/>
    <w:rsid w:val="00CE3876"/>
    <w:rsid w:val="00CF3F24"/>
    <w:rsid w:val="00CF6640"/>
    <w:rsid w:val="00D027D3"/>
    <w:rsid w:val="00D137C0"/>
    <w:rsid w:val="00D20428"/>
    <w:rsid w:val="00D2135C"/>
    <w:rsid w:val="00D26F9A"/>
    <w:rsid w:val="00D27ED9"/>
    <w:rsid w:val="00D34D9E"/>
    <w:rsid w:val="00D3570D"/>
    <w:rsid w:val="00D45DC0"/>
    <w:rsid w:val="00D46852"/>
    <w:rsid w:val="00D47A0F"/>
    <w:rsid w:val="00D54B86"/>
    <w:rsid w:val="00D60A32"/>
    <w:rsid w:val="00D75DD7"/>
    <w:rsid w:val="00D86866"/>
    <w:rsid w:val="00D910E3"/>
    <w:rsid w:val="00D91D7C"/>
    <w:rsid w:val="00D95590"/>
    <w:rsid w:val="00D9669C"/>
    <w:rsid w:val="00DA1642"/>
    <w:rsid w:val="00DA1E32"/>
    <w:rsid w:val="00DA5538"/>
    <w:rsid w:val="00DB42B8"/>
    <w:rsid w:val="00DD086A"/>
    <w:rsid w:val="00DE0214"/>
    <w:rsid w:val="00DF215F"/>
    <w:rsid w:val="00DF6FAA"/>
    <w:rsid w:val="00DF7939"/>
    <w:rsid w:val="00E008FF"/>
    <w:rsid w:val="00E020C2"/>
    <w:rsid w:val="00E04597"/>
    <w:rsid w:val="00E1094B"/>
    <w:rsid w:val="00E133CA"/>
    <w:rsid w:val="00E13778"/>
    <w:rsid w:val="00E32708"/>
    <w:rsid w:val="00E33250"/>
    <w:rsid w:val="00E335B4"/>
    <w:rsid w:val="00E43539"/>
    <w:rsid w:val="00E5465C"/>
    <w:rsid w:val="00E5621A"/>
    <w:rsid w:val="00E70FCC"/>
    <w:rsid w:val="00E753AE"/>
    <w:rsid w:val="00E90EC5"/>
    <w:rsid w:val="00E9253E"/>
    <w:rsid w:val="00E94C9D"/>
    <w:rsid w:val="00EA0581"/>
    <w:rsid w:val="00EA6096"/>
    <w:rsid w:val="00EA6953"/>
    <w:rsid w:val="00EB54B0"/>
    <w:rsid w:val="00EB70CE"/>
    <w:rsid w:val="00EC4847"/>
    <w:rsid w:val="00ED0DA7"/>
    <w:rsid w:val="00ED3EF5"/>
    <w:rsid w:val="00ED5377"/>
    <w:rsid w:val="00EE01A2"/>
    <w:rsid w:val="00EE600B"/>
    <w:rsid w:val="00F16AB2"/>
    <w:rsid w:val="00F204A3"/>
    <w:rsid w:val="00F21D7C"/>
    <w:rsid w:val="00F23BB5"/>
    <w:rsid w:val="00F35F3E"/>
    <w:rsid w:val="00F40A48"/>
    <w:rsid w:val="00F4195B"/>
    <w:rsid w:val="00F41F3D"/>
    <w:rsid w:val="00F476D8"/>
    <w:rsid w:val="00F5361F"/>
    <w:rsid w:val="00F57D67"/>
    <w:rsid w:val="00F61334"/>
    <w:rsid w:val="00F613EB"/>
    <w:rsid w:val="00F62301"/>
    <w:rsid w:val="00F674FA"/>
    <w:rsid w:val="00F7130F"/>
    <w:rsid w:val="00F714FC"/>
    <w:rsid w:val="00F71AF2"/>
    <w:rsid w:val="00F77C48"/>
    <w:rsid w:val="00F815C1"/>
    <w:rsid w:val="00F84B74"/>
    <w:rsid w:val="00F90713"/>
    <w:rsid w:val="00F930EC"/>
    <w:rsid w:val="00FA5100"/>
    <w:rsid w:val="00FA6B35"/>
    <w:rsid w:val="00FA6B39"/>
    <w:rsid w:val="00FA730F"/>
    <w:rsid w:val="00FB04A0"/>
    <w:rsid w:val="00FB363C"/>
    <w:rsid w:val="00FB4B6A"/>
    <w:rsid w:val="00FB4B8A"/>
    <w:rsid w:val="00FB559A"/>
    <w:rsid w:val="00FC71B6"/>
    <w:rsid w:val="00FD1883"/>
    <w:rsid w:val="00FD19DF"/>
    <w:rsid w:val="00FD50BB"/>
    <w:rsid w:val="00FD6792"/>
    <w:rsid w:val="00FE7E8E"/>
    <w:rsid w:val="00FF3BF1"/>
    <w:rsid w:val="00FF4C8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4E0AA1"/>
  <w15:chartTrackingRefBased/>
  <w15:docId w15:val="{F11D7B8F-9A55-4BF7-9BF6-74184FC5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ECB"/>
    <w:pPr>
      <w:keepNext/>
      <w:keepLines/>
      <w:spacing w:before="240" w:after="0"/>
      <w:outlineLvl w:val="0"/>
    </w:pPr>
    <w:rPr>
      <w:rFonts w:ascii="Cambria" w:eastAsia="Times New Roman" w:hAnsi="Cambria" w:cs="Times New Roman"/>
      <w:color w:val="365F91"/>
      <w:sz w:val="32"/>
      <w:szCs w:val="32"/>
    </w:rPr>
  </w:style>
  <w:style w:type="paragraph" w:styleId="Heading4">
    <w:name w:val="heading 4"/>
    <w:basedOn w:val="Normal"/>
    <w:link w:val="Heading4Char"/>
    <w:uiPriority w:val="9"/>
    <w:unhideWhenUsed/>
    <w:qFormat/>
    <w:rsid w:val="00077ECB"/>
    <w:pPr>
      <w:widowControl w:val="0"/>
      <w:autoSpaceDE w:val="0"/>
      <w:autoSpaceDN w:val="0"/>
      <w:spacing w:before="123" w:after="0" w:line="240" w:lineRule="auto"/>
      <w:ind w:left="1640"/>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5702F"/>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533675"/>
    <w:pPr>
      <w:spacing w:after="200" w:line="276" w:lineRule="auto"/>
      <w:ind w:left="720"/>
      <w:contextualSpacing/>
    </w:pPr>
    <w:rPr>
      <w:lang w:val="en-US"/>
    </w:rPr>
  </w:style>
  <w:style w:type="table" w:styleId="TableGrid">
    <w:name w:val="Table Grid"/>
    <w:basedOn w:val="TableNormal"/>
    <w:uiPriority w:val="39"/>
    <w:rsid w:val="00B8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045"/>
    <w:rPr>
      <w:color w:val="0563C1" w:themeColor="hyperlink"/>
      <w:u w:val="single"/>
    </w:rPr>
  </w:style>
  <w:style w:type="paragraph" w:styleId="Header">
    <w:name w:val="header"/>
    <w:basedOn w:val="Normal"/>
    <w:link w:val="HeaderChar"/>
    <w:uiPriority w:val="99"/>
    <w:unhideWhenUsed/>
    <w:rsid w:val="001D3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710"/>
  </w:style>
  <w:style w:type="paragraph" w:styleId="Footer">
    <w:name w:val="footer"/>
    <w:basedOn w:val="Normal"/>
    <w:link w:val="FooterChar"/>
    <w:uiPriority w:val="99"/>
    <w:unhideWhenUsed/>
    <w:rsid w:val="001D3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0"/>
  </w:style>
  <w:style w:type="paragraph" w:customStyle="1" w:styleId="Heading11">
    <w:name w:val="Heading 11"/>
    <w:basedOn w:val="Normal"/>
    <w:next w:val="Normal"/>
    <w:uiPriority w:val="9"/>
    <w:qFormat/>
    <w:rsid w:val="00077ECB"/>
    <w:pPr>
      <w:keepNext/>
      <w:keepLines/>
      <w:spacing w:before="240" w:after="0" w:line="276" w:lineRule="auto"/>
      <w:outlineLvl w:val="0"/>
    </w:pPr>
    <w:rPr>
      <w:rFonts w:ascii="Cambria" w:eastAsia="Times New Roman" w:hAnsi="Cambria" w:cs="Times New Roman"/>
      <w:color w:val="365F91"/>
      <w:sz w:val="32"/>
      <w:szCs w:val="32"/>
      <w:lang w:val="en-US"/>
    </w:rPr>
  </w:style>
  <w:style w:type="character" w:customStyle="1" w:styleId="Heading4Char">
    <w:name w:val="Heading 4 Char"/>
    <w:basedOn w:val="DefaultParagraphFont"/>
    <w:link w:val="Heading4"/>
    <w:uiPriority w:val="9"/>
    <w:rsid w:val="00077ECB"/>
    <w:rPr>
      <w:rFonts w:ascii="Times New Roman" w:eastAsia="Times New Roman" w:hAnsi="Times New Roman" w:cs="Times New Roman"/>
      <w:b/>
      <w:bCs/>
      <w:sz w:val="24"/>
      <w:szCs w:val="24"/>
      <w:lang w:val="en-US"/>
    </w:rPr>
  </w:style>
  <w:style w:type="numbering" w:customStyle="1" w:styleId="NoList1">
    <w:name w:val="No List1"/>
    <w:next w:val="NoList"/>
    <w:uiPriority w:val="99"/>
    <w:semiHidden/>
    <w:unhideWhenUsed/>
    <w:rsid w:val="00077ECB"/>
  </w:style>
  <w:style w:type="table" w:customStyle="1" w:styleId="TableGrid1">
    <w:name w:val="Table Grid1"/>
    <w:basedOn w:val="TableNormal"/>
    <w:next w:val="TableGrid"/>
    <w:uiPriority w:val="39"/>
    <w:rsid w:val="00077ECB"/>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077ECB"/>
    <w:pPr>
      <w:widowControl w:val="0"/>
      <w:autoSpaceDE w:val="0"/>
      <w:autoSpaceDN w:val="0"/>
      <w:spacing w:after="0" w:line="240" w:lineRule="auto"/>
    </w:pPr>
    <w:rPr>
      <w:rFonts w:ascii="Verdana" w:eastAsia="Verdana" w:hAnsi="Verdana" w:cs="Times New Roman"/>
      <w:sz w:val="17"/>
      <w:szCs w:val="17"/>
      <w:lang w:val="en-US"/>
    </w:rPr>
  </w:style>
  <w:style w:type="character" w:customStyle="1" w:styleId="BodyTextChar">
    <w:name w:val="Body Text Char"/>
    <w:basedOn w:val="DefaultParagraphFont"/>
    <w:link w:val="BodyText"/>
    <w:uiPriority w:val="1"/>
    <w:rsid w:val="00077ECB"/>
    <w:rPr>
      <w:rFonts w:ascii="Verdana" w:eastAsia="Verdana" w:hAnsi="Verdana" w:cs="Times New Roman"/>
      <w:sz w:val="17"/>
      <w:szCs w:val="17"/>
      <w:lang w:val="en-US"/>
    </w:rPr>
  </w:style>
  <w:style w:type="paragraph" w:styleId="BalloonText">
    <w:name w:val="Balloon Text"/>
    <w:basedOn w:val="Normal"/>
    <w:link w:val="BalloonTextChar"/>
    <w:uiPriority w:val="99"/>
    <w:semiHidden/>
    <w:unhideWhenUsed/>
    <w:rsid w:val="00077EC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77ECB"/>
    <w:rPr>
      <w:rFonts w:ascii="Tahoma" w:hAnsi="Tahoma" w:cs="Tahoma"/>
      <w:sz w:val="16"/>
      <w:szCs w:val="16"/>
      <w:lang w:val="en-US"/>
    </w:rPr>
  </w:style>
  <w:style w:type="paragraph" w:styleId="NormalWeb">
    <w:name w:val="Normal (Web)"/>
    <w:basedOn w:val="Normal"/>
    <w:uiPriority w:val="99"/>
    <w:unhideWhenUsed/>
    <w:rsid w:val="00077ECB"/>
    <w:pPr>
      <w:spacing w:after="200" w:line="276" w:lineRule="auto"/>
    </w:pPr>
    <w:rPr>
      <w:rFonts w:ascii="Times New Roman" w:hAnsi="Times New Roman" w:cs="Times New Roman"/>
      <w:sz w:val="24"/>
      <w:szCs w:val="24"/>
      <w:lang w:val="en-US"/>
    </w:rPr>
  </w:style>
  <w:style w:type="paragraph" w:customStyle="1" w:styleId="Default">
    <w:name w:val="Default"/>
    <w:rsid w:val="00077E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077ECB"/>
    <w:pPr>
      <w:widowControl w:val="0"/>
      <w:autoSpaceDE w:val="0"/>
      <w:autoSpaceDN w:val="0"/>
      <w:spacing w:before="65" w:after="0" w:line="240" w:lineRule="auto"/>
      <w:ind w:left="50"/>
    </w:pPr>
    <w:rPr>
      <w:rFonts w:ascii="Arial MT" w:eastAsia="Arial MT" w:hAnsi="Arial MT" w:cs="Arial MT"/>
      <w:lang w:val="en-US"/>
    </w:rPr>
  </w:style>
  <w:style w:type="character" w:styleId="UnresolvedMention">
    <w:name w:val="Unresolved Mention"/>
    <w:basedOn w:val="DefaultParagraphFont"/>
    <w:uiPriority w:val="99"/>
    <w:semiHidden/>
    <w:unhideWhenUsed/>
    <w:rsid w:val="00077ECB"/>
    <w:rPr>
      <w:color w:val="605E5C"/>
      <w:shd w:val="clear" w:color="auto" w:fill="E1DFDD"/>
    </w:rPr>
  </w:style>
  <w:style w:type="character" w:styleId="Strong">
    <w:name w:val="Strong"/>
    <w:basedOn w:val="DefaultParagraphFont"/>
    <w:uiPriority w:val="22"/>
    <w:qFormat/>
    <w:rsid w:val="00077ECB"/>
    <w:rPr>
      <w:b/>
      <w:bCs/>
    </w:rPr>
  </w:style>
  <w:style w:type="paragraph" w:customStyle="1" w:styleId="Subtitle1">
    <w:name w:val="Subtitle1"/>
    <w:basedOn w:val="Normal"/>
    <w:next w:val="Normal"/>
    <w:uiPriority w:val="11"/>
    <w:qFormat/>
    <w:rsid w:val="00077ECB"/>
    <w:pPr>
      <w:numPr>
        <w:ilvl w:val="1"/>
      </w:numPr>
      <w:spacing w:line="278" w:lineRule="auto"/>
    </w:pPr>
    <w:rPr>
      <w:rFonts w:eastAsia="Times New Roman"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077ECB"/>
    <w:rPr>
      <w:rFonts w:eastAsia="Times New Roman" w:cs="Times New Roman"/>
      <w:color w:val="595959"/>
      <w:spacing w:val="15"/>
      <w:kern w:val="2"/>
      <w:sz w:val="28"/>
      <w:szCs w:val="28"/>
      <w:lang w:val="en-IN"/>
      <w14:ligatures w14:val="standardContextual"/>
    </w:rPr>
  </w:style>
  <w:style w:type="character" w:customStyle="1" w:styleId="Heading1Char">
    <w:name w:val="Heading 1 Char"/>
    <w:basedOn w:val="DefaultParagraphFont"/>
    <w:link w:val="Heading1"/>
    <w:uiPriority w:val="9"/>
    <w:rsid w:val="00077ECB"/>
    <w:rPr>
      <w:rFonts w:ascii="Cambria" w:eastAsia="Times New Roman" w:hAnsi="Cambria" w:cs="Times New Roman"/>
      <w:color w:val="365F91"/>
      <w:sz w:val="32"/>
      <w:szCs w:val="32"/>
    </w:rPr>
  </w:style>
  <w:style w:type="paragraph" w:styleId="Subtitle">
    <w:name w:val="Subtitle"/>
    <w:basedOn w:val="Normal"/>
    <w:next w:val="Normal"/>
    <w:link w:val="SubtitleChar"/>
    <w:uiPriority w:val="11"/>
    <w:qFormat/>
    <w:rsid w:val="00077ECB"/>
    <w:pPr>
      <w:numPr>
        <w:ilvl w:val="1"/>
      </w:numPr>
    </w:pPr>
    <w:rPr>
      <w:rFonts w:eastAsia="Times New Roman" w:cs="Times New Roman"/>
      <w:color w:val="595959"/>
      <w:spacing w:val="15"/>
      <w:kern w:val="2"/>
      <w:sz w:val="28"/>
      <w:szCs w:val="28"/>
      <w14:ligatures w14:val="standardContextual"/>
    </w:rPr>
  </w:style>
  <w:style w:type="character" w:customStyle="1" w:styleId="SubtitleChar1">
    <w:name w:val="Subtitle Char1"/>
    <w:basedOn w:val="DefaultParagraphFont"/>
    <w:uiPriority w:val="11"/>
    <w:rsid w:val="00077ECB"/>
    <w:rPr>
      <w:rFonts w:eastAsiaTheme="minorEastAsia"/>
      <w:color w:val="5A5A5A" w:themeColor="text1" w:themeTint="A5"/>
      <w:spacing w:val="15"/>
    </w:rPr>
  </w:style>
  <w:style w:type="character" w:customStyle="1" w:styleId="Heading1Char1">
    <w:name w:val="Heading 1 Char1"/>
    <w:basedOn w:val="DefaultParagraphFont"/>
    <w:uiPriority w:val="9"/>
    <w:rsid w:val="00077ECB"/>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39"/>
    <w:rsid w:val="00A432D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75F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7293">
      <w:bodyDiv w:val="1"/>
      <w:marLeft w:val="0"/>
      <w:marRight w:val="0"/>
      <w:marTop w:val="0"/>
      <w:marBottom w:val="0"/>
      <w:divBdr>
        <w:top w:val="none" w:sz="0" w:space="0" w:color="auto"/>
        <w:left w:val="none" w:sz="0" w:space="0" w:color="auto"/>
        <w:bottom w:val="none" w:sz="0" w:space="0" w:color="auto"/>
        <w:right w:val="none" w:sz="0" w:space="0" w:color="auto"/>
      </w:divBdr>
    </w:div>
    <w:div w:id="315956344">
      <w:bodyDiv w:val="1"/>
      <w:marLeft w:val="0"/>
      <w:marRight w:val="0"/>
      <w:marTop w:val="0"/>
      <w:marBottom w:val="0"/>
      <w:divBdr>
        <w:top w:val="none" w:sz="0" w:space="0" w:color="auto"/>
        <w:left w:val="none" w:sz="0" w:space="0" w:color="auto"/>
        <w:bottom w:val="none" w:sz="0" w:space="0" w:color="auto"/>
        <w:right w:val="none" w:sz="0" w:space="0" w:color="auto"/>
      </w:divBdr>
    </w:div>
    <w:div w:id="422653520">
      <w:bodyDiv w:val="1"/>
      <w:marLeft w:val="0"/>
      <w:marRight w:val="0"/>
      <w:marTop w:val="0"/>
      <w:marBottom w:val="0"/>
      <w:divBdr>
        <w:top w:val="none" w:sz="0" w:space="0" w:color="auto"/>
        <w:left w:val="none" w:sz="0" w:space="0" w:color="auto"/>
        <w:bottom w:val="none" w:sz="0" w:space="0" w:color="auto"/>
        <w:right w:val="none" w:sz="0" w:space="0" w:color="auto"/>
      </w:divBdr>
    </w:div>
    <w:div w:id="936909423">
      <w:bodyDiv w:val="1"/>
      <w:marLeft w:val="0"/>
      <w:marRight w:val="0"/>
      <w:marTop w:val="0"/>
      <w:marBottom w:val="0"/>
      <w:divBdr>
        <w:top w:val="none" w:sz="0" w:space="0" w:color="auto"/>
        <w:left w:val="none" w:sz="0" w:space="0" w:color="auto"/>
        <w:bottom w:val="none" w:sz="0" w:space="0" w:color="auto"/>
        <w:right w:val="none" w:sz="0" w:space="0" w:color="auto"/>
      </w:divBdr>
    </w:div>
    <w:div w:id="1045713116">
      <w:bodyDiv w:val="1"/>
      <w:marLeft w:val="0"/>
      <w:marRight w:val="0"/>
      <w:marTop w:val="0"/>
      <w:marBottom w:val="0"/>
      <w:divBdr>
        <w:top w:val="none" w:sz="0" w:space="0" w:color="auto"/>
        <w:left w:val="none" w:sz="0" w:space="0" w:color="auto"/>
        <w:bottom w:val="none" w:sz="0" w:space="0" w:color="auto"/>
        <w:right w:val="none" w:sz="0" w:space="0" w:color="auto"/>
      </w:divBdr>
    </w:div>
    <w:div w:id="1064916862">
      <w:bodyDiv w:val="1"/>
      <w:marLeft w:val="0"/>
      <w:marRight w:val="0"/>
      <w:marTop w:val="0"/>
      <w:marBottom w:val="0"/>
      <w:divBdr>
        <w:top w:val="none" w:sz="0" w:space="0" w:color="auto"/>
        <w:left w:val="none" w:sz="0" w:space="0" w:color="auto"/>
        <w:bottom w:val="none" w:sz="0" w:space="0" w:color="auto"/>
        <w:right w:val="none" w:sz="0" w:space="0" w:color="auto"/>
      </w:divBdr>
    </w:div>
    <w:div w:id="1126775962">
      <w:bodyDiv w:val="1"/>
      <w:marLeft w:val="0"/>
      <w:marRight w:val="0"/>
      <w:marTop w:val="0"/>
      <w:marBottom w:val="0"/>
      <w:divBdr>
        <w:top w:val="none" w:sz="0" w:space="0" w:color="auto"/>
        <w:left w:val="none" w:sz="0" w:space="0" w:color="auto"/>
        <w:bottom w:val="none" w:sz="0" w:space="0" w:color="auto"/>
        <w:right w:val="none" w:sz="0" w:space="0" w:color="auto"/>
      </w:divBdr>
    </w:div>
    <w:div w:id="12370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E:\College\PG\4th%20Semester\Project%20Work\Ext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College\PG\4th%20Semester\Project%20Work\Report\Growth%20R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i="1">
                <a:latin typeface="Times New Roman" panose="02020603050405020304" pitchFamily="18" charset="0"/>
                <a:cs typeface="Times New Roman" panose="02020603050405020304" pitchFamily="18" charset="0"/>
              </a:rPr>
              <a:t>Food Processing Industry in India (USD billion)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5399848541971727E-2"/>
          <c:y val="0.17171296296296296"/>
          <c:w val="0.89515805089581191"/>
          <c:h val="0.72088764946048411"/>
        </c:manualLayout>
      </c:layout>
      <c:barChart>
        <c:barDir val="col"/>
        <c:grouping val="clustered"/>
        <c:varyColors val="0"/>
        <c:ser>
          <c:idx val="0"/>
          <c:order val="0"/>
          <c:tx>
            <c:strRef>
              <c:f>Sheet1!$C$18</c:f>
              <c:strCache>
                <c:ptCount val="1"/>
                <c:pt idx="0">
                  <c:v>Market Size (US$ billion)</c:v>
                </c:pt>
              </c:strCache>
            </c:strRef>
          </c:tx>
          <c:spPr>
            <a:solidFill>
              <a:schemeClr val="accent6"/>
            </a:solidFill>
            <a:ln>
              <a:noFill/>
            </a:ln>
            <a:effectLst/>
          </c:spPr>
          <c:invertIfNegative val="0"/>
          <c:dLbls>
            <c:dLbl>
              <c:idx val="7"/>
              <c:layout>
                <c:manualLayout>
                  <c:x val="0"/>
                  <c:y val="-2.92526972368869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3E-4C45-98F0-32928470C688}"/>
                </c:ext>
              </c:extLst>
            </c:dLbl>
            <c:dLbl>
              <c:idx val="9"/>
              <c:layout>
                <c:manualLayout>
                  <c:x val="-1.1079104808333112E-3"/>
                  <c:y val="1.4649261998143768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9.1782095817681569E-2"/>
                      <c:h val="6.1155188301082138E-2"/>
                    </c:manualLayout>
                  </c15:layout>
                </c:ext>
                <c:ext xmlns:c16="http://schemas.microsoft.com/office/drawing/2014/chart" uri="{C3380CC4-5D6E-409C-BE32-E72D297353CC}">
                  <c16:uniqueId val="{00000001-833E-4C45-98F0-32928470C68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linear"/>
            <c:dispRSqr val="0"/>
            <c:dispEq val="0"/>
          </c:trendline>
          <c:trendline>
            <c:spPr>
              <a:ln w="19050" cap="rnd">
                <a:solidFill>
                  <a:schemeClr val="accent6"/>
                </a:solidFill>
                <a:prstDash val="sysDot"/>
              </a:ln>
              <a:effectLst/>
            </c:spPr>
            <c:trendlineType val="linear"/>
            <c:dispRSqr val="0"/>
            <c:dispEq val="0"/>
          </c:trendline>
          <c:cat>
            <c:strRef>
              <c:f>Sheet1!$B$19:$B$29</c:f>
              <c:strCache>
                <c:ptCount val="10"/>
                <c:pt idx="0">
                  <c:v>2023</c:v>
                </c:pt>
                <c:pt idx="1">
                  <c:v>2024F</c:v>
                </c:pt>
                <c:pt idx="2">
                  <c:v>2025F</c:v>
                </c:pt>
                <c:pt idx="3">
                  <c:v>2026F</c:v>
                </c:pt>
                <c:pt idx="4">
                  <c:v>2027F</c:v>
                </c:pt>
                <c:pt idx="5">
                  <c:v>2028F</c:v>
                </c:pt>
                <c:pt idx="6">
                  <c:v>2029F</c:v>
                </c:pt>
                <c:pt idx="7">
                  <c:v>2030F</c:v>
                </c:pt>
                <c:pt idx="8">
                  <c:v>2031F</c:v>
                </c:pt>
                <c:pt idx="9">
                  <c:v>2032F</c:v>
                </c:pt>
              </c:strCache>
            </c:strRef>
          </c:cat>
          <c:val>
            <c:numRef>
              <c:f>Sheet1!$C$19:$C$29</c:f>
              <c:numCache>
                <c:formatCode>General</c:formatCode>
                <c:ptCount val="11"/>
                <c:pt idx="0">
                  <c:v>336.4</c:v>
                </c:pt>
                <c:pt idx="1">
                  <c:v>365.2</c:v>
                </c:pt>
                <c:pt idx="2">
                  <c:v>399.5</c:v>
                </c:pt>
                <c:pt idx="3">
                  <c:v>434.9</c:v>
                </c:pt>
                <c:pt idx="4">
                  <c:v>471.5</c:v>
                </c:pt>
                <c:pt idx="5">
                  <c:v>511</c:v>
                </c:pt>
                <c:pt idx="6">
                  <c:v>552.6</c:v>
                </c:pt>
                <c:pt idx="7">
                  <c:v>566.4</c:v>
                </c:pt>
                <c:pt idx="8">
                  <c:v>642.5</c:v>
                </c:pt>
                <c:pt idx="9">
                  <c:v>735.5</c:v>
                </c:pt>
              </c:numCache>
            </c:numRef>
          </c:val>
          <c:extLst>
            <c:ext xmlns:c16="http://schemas.microsoft.com/office/drawing/2014/chart" uri="{C3380CC4-5D6E-409C-BE32-E72D297353CC}">
              <c16:uniqueId val="{00000004-833E-4C45-98F0-32928470C688}"/>
            </c:ext>
          </c:extLst>
        </c:ser>
        <c:dLbls>
          <c:dLblPos val="outEnd"/>
          <c:showLegendKey val="0"/>
          <c:showVal val="1"/>
          <c:showCatName val="0"/>
          <c:showSerName val="0"/>
          <c:showPercent val="0"/>
          <c:showBubbleSize val="0"/>
        </c:dLbls>
        <c:gapWidth val="219"/>
        <c:overlap val="-27"/>
        <c:axId val="419057088"/>
        <c:axId val="419052736"/>
      </c:barChart>
      <c:catAx>
        <c:axId val="41905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9052736"/>
        <c:crosses val="autoZero"/>
        <c:auto val="1"/>
        <c:lblAlgn val="ctr"/>
        <c:lblOffset val="100"/>
        <c:noMultiLvlLbl val="0"/>
      </c:catAx>
      <c:valAx>
        <c:axId val="41905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905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i="1">
                <a:latin typeface="Times New Roman" panose="02020603050405020304" pitchFamily="18" charset="0"/>
                <a:cs typeface="Times New Roman" panose="02020603050405020304" pitchFamily="18" charset="0"/>
              </a:rPr>
              <a:t>Contribution to GVA</a:t>
            </a:r>
            <a:r>
              <a:rPr lang="en-IN" b="1" i="1" baseline="0">
                <a:latin typeface="Times New Roman" panose="02020603050405020304" pitchFamily="18" charset="0"/>
                <a:cs typeface="Times New Roman" panose="02020603050405020304" pitchFamily="18" charset="0"/>
              </a:rPr>
              <a:t> by FPI</a:t>
            </a:r>
            <a:endParaRPr lang="en-IN"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4"/>
          <c:order val="4"/>
          <c:tx>
            <c:strRef>
              <c:f>GVA!$G$14</c:f>
              <c:strCache>
                <c:ptCount val="1"/>
                <c:pt idx="0">
                  <c:v>Share of FPI in Overall GVA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GVA!$B$15:$B$26</c:f>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f>GVA!$G$15:$G$26</c:f>
              <c:numCache>
                <c:formatCode>0.00%</c:formatCode>
                <c:ptCount val="12"/>
                <c:pt idx="0">
                  <c:v>1.8132478105341063E-2</c:v>
                </c:pt>
                <c:pt idx="1">
                  <c:v>1.5211794991809035E-2</c:v>
                </c:pt>
                <c:pt idx="2">
                  <c:v>1.4342453662842012E-2</c:v>
                </c:pt>
                <c:pt idx="3">
                  <c:v>1.3797364085667216E-2</c:v>
                </c:pt>
                <c:pt idx="4">
                  <c:v>1.534502478078536E-2</c:v>
                </c:pt>
                <c:pt idx="5">
                  <c:v>1.5801553672316386E-2</c:v>
                </c:pt>
                <c:pt idx="6">
                  <c:v>1.6037892637527005E-2</c:v>
                </c:pt>
                <c:pt idx="7">
                  <c:v>1.853306109627768E-2</c:v>
                </c:pt>
                <c:pt idx="8">
                  <c:v>1.4808099123602295E-2</c:v>
                </c:pt>
                <c:pt idx="9">
                  <c:v>1.5448884685110742E-2</c:v>
                </c:pt>
                <c:pt idx="10">
                  <c:v>1.3691720112416227E-2</c:v>
                </c:pt>
                <c:pt idx="11">
                  <c:v>1.2968591691995946E-2</c:v>
                </c:pt>
              </c:numCache>
            </c:numRef>
          </c:val>
          <c:smooth val="0"/>
          <c:extLst>
            <c:ext xmlns:c16="http://schemas.microsoft.com/office/drawing/2014/chart" uri="{C3380CC4-5D6E-409C-BE32-E72D297353CC}">
              <c16:uniqueId val="{00000000-A9F8-471B-BD5B-ACF98C45A19C}"/>
            </c:ext>
          </c:extLst>
        </c:ser>
        <c:ser>
          <c:idx val="5"/>
          <c:order val="5"/>
          <c:tx>
            <c:strRef>
              <c:f>GVA!$H$14</c:f>
              <c:strCache>
                <c:ptCount val="1"/>
                <c:pt idx="0">
                  <c:v>Share of FPI in GVA Manufacturing</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3"/>
              <c:layout>
                <c:manualLayout>
                  <c:x val="-2.9437306202803628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F8-471B-BD5B-ACF98C45A19C}"/>
                </c:ext>
              </c:extLst>
            </c:dLbl>
            <c:dLbl>
              <c:idx val="4"/>
              <c:layout>
                <c:manualLayout>
                  <c:x val="-2.350038621144878E-2"/>
                  <c:y val="3.84464404840523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F8-471B-BD5B-ACF98C45A19C}"/>
                </c:ext>
              </c:extLst>
            </c:dLbl>
            <c:dLbl>
              <c:idx val="5"/>
              <c:layout>
                <c:manualLayout>
                  <c:x val="-2.7458332872352085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F8-471B-BD5B-ACF98C45A19C}"/>
                </c:ext>
              </c:extLst>
            </c:dLbl>
            <c:dLbl>
              <c:idx val="6"/>
              <c:layout>
                <c:manualLayout>
                  <c:x val="-2.7320233619446219E-2"/>
                  <c:y val="4.55479696457882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F8-471B-BD5B-ACF98C45A19C}"/>
                </c:ext>
              </c:extLst>
            </c:dLbl>
            <c:dLbl>
              <c:idx val="7"/>
              <c:layout>
                <c:manualLayout>
                  <c:x val="-5.0393518518518518E-2"/>
                  <c:y val="-3.61206356168688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F8-471B-BD5B-ACF98C45A19C}"/>
                </c:ext>
              </c:extLst>
            </c:dLbl>
            <c:dLbl>
              <c:idx val="8"/>
              <c:layout>
                <c:manualLayout>
                  <c:x val="-6.5058826150932711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F8-471B-BD5B-ACF98C45A19C}"/>
                </c:ext>
              </c:extLst>
            </c:dLbl>
            <c:dLbl>
              <c:idx val="9"/>
              <c:layout>
                <c:manualLayout>
                  <c:x val="-5.1206012837771549E-2"/>
                  <c:y val="4.5548081746041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F8-471B-BD5B-ACF98C45A19C}"/>
                </c:ext>
              </c:extLst>
            </c:dLbl>
            <c:dLbl>
              <c:idx val="10"/>
              <c:layout>
                <c:manualLayout>
                  <c:x val="-4.9227039507319784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F8-471B-BD5B-ACF98C45A19C}"/>
                </c:ext>
              </c:extLst>
            </c:dLbl>
            <c:dLbl>
              <c:idx val="11"/>
              <c:layout>
                <c:manualLayout>
                  <c:x val="-3.0163293348203307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F8-471B-BD5B-ACF98C45A1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GVA!$B$15:$B$26</c:f>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f>GVA!$H$15:$H$26</c:f>
              <c:numCache>
                <c:formatCode>0.00%</c:formatCode>
                <c:ptCount val="12"/>
                <c:pt idx="0">
                  <c:v>0.10425531914893617</c:v>
                </c:pt>
                <c:pt idx="1">
                  <c:v>8.7424344317417621E-2</c:v>
                </c:pt>
                <c:pt idx="2">
                  <c:v>8.3279948750800775E-2</c:v>
                </c:pt>
                <c:pt idx="3">
                  <c:v>7.9572446555819479E-2</c:v>
                </c:pt>
                <c:pt idx="4">
                  <c:v>8.455882352941177E-2</c:v>
                </c:pt>
                <c:pt idx="5">
                  <c:v>8.7104622871046228E-2</c:v>
                </c:pt>
                <c:pt idx="6">
                  <c:v>8.7369850611136252E-2</c:v>
                </c:pt>
                <c:pt idx="7">
                  <c:v>0.10133104336625161</c:v>
                </c:pt>
                <c:pt idx="8">
                  <c:v>8.6725663716814158E-2</c:v>
                </c:pt>
                <c:pt idx="9">
                  <c:v>8.4156290253327604E-2</c:v>
                </c:pt>
                <c:pt idx="10">
                  <c:v>7.41897696212417E-2</c:v>
                </c:pt>
                <c:pt idx="11">
                  <c:v>7.6646706586826346E-2</c:v>
                </c:pt>
              </c:numCache>
            </c:numRef>
          </c:val>
          <c:smooth val="0"/>
          <c:extLst>
            <c:ext xmlns:c16="http://schemas.microsoft.com/office/drawing/2014/chart" uri="{C3380CC4-5D6E-409C-BE32-E72D297353CC}">
              <c16:uniqueId val="{0000000A-A9F8-471B-BD5B-ACF98C45A19C}"/>
            </c:ext>
          </c:extLst>
        </c:ser>
        <c:ser>
          <c:idx val="6"/>
          <c:order val="6"/>
          <c:tx>
            <c:strRef>
              <c:f>GVA!$I$14</c:f>
              <c:strCache>
                <c:ptCount val="1"/>
                <c:pt idx="0">
                  <c:v>Share of FPI in GVA Agri</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3"/>
              <c:layout>
                <c:manualLayout>
                  <c:x val="-5.3184986168223015E-2"/>
                  <c:y val="-5.97513642700211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9F8-471B-BD5B-ACF98C45A19C}"/>
                </c:ext>
              </c:extLst>
            </c:dLbl>
            <c:dLbl>
              <c:idx val="4"/>
              <c:layout>
                <c:manualLayout>
                  <c:x val="-4.7248066176868241E-2"/>
                  <c:y val="-4.19972611150471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9F8-471B-BD5B-ACF98C45A19C}"/>
                </c:ext>
              </c:extLst>
            </c:dLbl>
            <c:dLbl>
              <c:idx val="5"/>
              <c:layout>
                <c:manualLayout>
                  <c:x val="-4.7742809509481073E-2"/>
                  <c:y val="-3.84464404840523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9F8-471B-BD5B-ACF98C45A19C}"/>
                </c:ext>
              </c:extLst>
            </c:dLbl>
            <c:dLbl>
              <c:idx val="6"/>
              <c:layout>
                <c:manualLayout>
                  <c:x val="-5.3679729500835924E-2"/>
                  <c:y val="-5.62005436390263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9F8-471B-BD5B-ACF98C45A19C}"/>
                </c:ext>
              </c:extLst>
            </c:dLbl>
            <c:dLbl>
              <c:idx val="7"/>
              <c:layout>
                <c:manualLayout>
                  <c:x val="-2.2264229090939122E-3"/>
                  <c:y val="-2.4243157960073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9F8-471B-BD5B-ACF98C45A19C}"/>
                </c:ext>
              </c:extLst>
            </c:dLbl>
            <c:dLbl>
              <c:idx val="8"/>
              <c:layout>
                <c:manualLayout>
                  <c:x val="-7.6685995678358555E-3"/>
                  <c:y val="-3.489561985305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9F8-471B-BD5B-ACF98C45A19C}"/>
                </c:ext>
              </c:extLst>
            </c:dLbl>
            <c:dLbl>
              <c:idx val="9"/>
              <c:layout>
                <c:manualLayout>
                  <c:x val="-3.7106529069326241E-3"/>
                  <c:y val="-4.5548081746041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9F8-471B-BD5B-ACF98C45A19C}"/>
                </c:ext>
              </c:extLst>
            </c:dLbl>
            <c:dLbl>
              <c:idx val="10"/>
              <c:layout>
                <c:manualLayout>
                  <c:x val="-2.2193090728523799E-2"/>
                  <c:y val="-3.46700525727335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9F8-471B-BD5B-ACF98C45A19C}"/>
                </c:ext>
              </c:extLst>
            </c:dLbl>
            <c:dLbl>
              <c:idx val="11"/>
              <c:layout>
                <c:manualLayout>
                  <c:x val="-1.1680972310893571E-2"/>
                  <c:y val="-7.74374360682256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9F8-471B-BD5B-ACF98C45A1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GVA!$B$15:$B$26</c:f>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f>GVA!$I$15:$I$26</c:f>
              <c:numCache>
                <c:formatCode>0.00%</c:formatCode>
                <c:ptCount val="12"/>
                <c:pt idx="0">
                  <c:v>9.7869507323568583E-2</c:v>
                </c:pt>
                <c:pt idx="1">
                  <c:v>8.5301837270341213E-2</c:v>
                </c:pt>
                <c:pt idx="2">
                  <c:v>8.079552517091361E-2</c:v>
                </c:pt>
                <c:pt idx="3">
                  <c:v>8.3437110834371123E-2</c:v>
                </c:pt>
                <c:pt idx="4">
                  <c:v>9.9628712871287134E-2</c:v>
                </c:pt>
                <c:pt idx="5">
                  <c:v>0.10370799536500579</c:v>
                </c:pt>
                <c:pt idx="6">
                  <c:v>0.10489130434782609</c:v>
                </c:pt>
                <c:pt idx="7">
                  <c:v>0.12559872272485365</c:v>
                </c:pt>
                <c:pt idx="8">
                  <c:v>9.8294884653961884E-2</c:v>
                </c:pt>
                <c:pt idx="9">
                  <c:v>9.4503375120540023E-2</c:v>
                </c:pt>
                <c:pt idx="10">
                  <c:v>8.755760368663594E-2</c:v>
                </c:pt>
                <c:pt idx="11">
                  <c:v>8.4507042253521125E-2</c:v>
                </c:pt>
              </c:numCache>
            </c:numRef>
          </c:val>
          <c:smooth val="0"/>
          <c:extLst>
            <c:ext xmlns:c16="http://schemas.microsoft.com/office/drawing/2014/chart" uri="{C3380CC4-5D6E-409C-BE32-E72D297353CC}">
              <c16:uniqueId val="{00000014-A9F8-471B-BD5B-ACF98C45A19C}"/>
            </c:ext>
          </c:extLst>
        </c:ser>
        <c:dLbls>
          <c:dLblPos val="t"/>
          <c:showLegendKey val="0"/>
          <c:showVal val="1"/>
          <c:showCatName val="0"/>
          <c:showSerName val="0"/>
          <c:showPercent val="0"/>
          <c:showBubbleSize val="0"/>
        </c:dLbls>
        <c:marker val="1"/>
        <c:smooth val="0"/>
        <c:axId val="1796634527"/>
        <c:axId val="1796637407"/>
        <c:extLst>
          <c:ext xmlns:c15="http://schemas.microsoft.com/office/drawing/2012/chart" uri="{02D57815-91ED-43cb-92C2-25804820EDAC}">
            <c15:filteredLineSeries>
              <c15:ser>
                <c:idx val="0"/>
                <c:order val="0"/>
                <c:tx>
                  <c:strRef>
                    <c:extLst>
                      <c:ext uri="{02D57815-91ED-43cb-92C2-25804820EDAC}">
                        <c15:formulaRef>
                          <c15:sqref>GVA!$C$14</c15:sqref>
                        </c15:formulaRef>
                      </c:ext>
                    </c:extLst>
                    <c:strCache>
                      <c:ptCount val="1"/>
                      <c:pt idx="0">
                        <c:v>GVA - All India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c:ext uri="{02D57815-91ED-43cb-92C2-25804820EDAC}">
                        <c15:formulaRef>
                          <c15:sqref>GVA!$C$15:$C$26</c15:sqref>
                        </c15:formulaRef>
                      </c:ext>
                    </c:extLst>
                    <c:numCache>
                      <c:formatCode>General</c:formatCode>
                      <c:ptCount val="12"/>
                      <c:pt idx="0">
                        <c:v>81.069999999999993</c:v>
                      </c:pt>
                      <c:pt idx="1">
                        <c:v>85.46</c:v>
                      </c:pt>
                      <c:pt idx="2">
                        <c:v>90.64</c:v>
                      </c:pt>
                      <c:pt idx="3">
                        <c:v>97.12</c:v>
                      </c:pt>
                      <c:pt idx="4">
                        <c:v>104.92</c:v>
                      </c:pt>
                      <c:pt idx="5">
                        <c:v>113.28</c:v>
                      </c:pt>
                      <c:pt idx="6">
                        <c:v>120.34</c:v>
                      </c:pt>
                      <c:pt idx="7">
                        <c:v>127.34</c:v>
                      </c:pt>
                      <c:pt idx="8">
                        <c:v>132.36000000000001</c:v>
                      </c:pt>
                      <c:pt idx="9">
                        <c:v>126.87</c:v>
                      </c:pt>
                      <c:pt idx="10">
                        <c:v>138.77000000000001</c:v>
                      </c:pt>
                      <c:pt idx="11">
                        <c:v>148.05000000000001</c:v>
                      </c:pt>
                    </c:numCache>
                  </c:numRef>
                </c:val>
                <c:smooth val="0"/>
                <c:extLst>
                  <c:ext xmlns:c16="http://schemas.microsoft.com/office/drawing/2014/chart" uri="{C3380CC4-5D6E-409C-BE32-E72D297353CC}">
                    <c16:uniqueId val="{00000015-A9F8-471B-BD5B-ACF98C45A19C}"/>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GVA!$D$14</c15:sqref>
                        </c15:formulaRef>
                      </c:ext>
                    </c:extLst>
                    <c:strCache>
                      <c:ptCount val="1"/>
                      <c:pt idx="0">
                        <c:v>GVA - Manufacturing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xmlns:c15="http://schemas.microsoft.com/office/drawing/2012/chart">
                      <c:ext xmlns:c15="http://schemas.microsoft.com/office/drawing/2012/chart" uri="{02D57815-91ED-43cb-92C2-25804820EDAC}">
                        <c15:formulaRef>
                          <c15:sqref>GVA!$D$15:$D$26</c15:sqref>
                        </c15:formulaRef>
                      </c:ext>
                    </c:extLst>
                    <c:numCache>
                      <c:formatCode>General</c:formatCode>
                      <c:ptCount val="12"/>
                      <c:pt idx="0">
                        <c:v>14.1</c:v>
                      </c:pt>
                      <c:pt idx="1">
                        <c:v>14.87</c:v>
                      </c:pt>
                      <c:pt idx="2">
                        <c:v>15.61</c:v>
                      </c:pt>
                      <c:pt idx="3">
                        <c:v>16.84</c:v>
                      </c:pt>
                      <c:pt idx="4">
                        <c:v>19.04</c:v>
                      </c:pt>
                      <c:pt idx="5">
                        <c:v>20.55</c:v>
                      </c:pt>
                      <c:pt idx="6">
                        <c:v>22.09</c:v>
                      </c:pt>
                      <c:pt idx="7">
                        <c:v>23.29</c:v>
                      </c:pt>
                      <c:pt idx="8">
                        <c:v>22.6</c:v>
                      </c:pt>
                      <c:pt idx="9">
                        <c:v>23.29</c:v>
                      </c:pt>
                      <c:pt idx="10">
                        <c:v>25.61</c:v>
                      </c:pt>
                      <c:pt idx="11">
                        <c:v>25.05</c:v>
                      </c:pt>
                    </c:numCache>
                  </c:numRef>
                </c:val>
                <c:smooth val="0"/>
                <c:extLst xmlns:c15="http://schemas.microsoft.com/office/drawing/2012/chart">
                  <c:ext xmlns:c16="http://schemas.microsoft.com/office/drawing/2014/chart" uri="{C3380CC4-5D6E-409C-BE32-E72D297353CC}">
                    <c16:uniqueId val="{00000016-A9F8-471B-BD5B-ACF98C45A19C}"/>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GVA!$E$14</c15:sqref>
                        </c15:formulaRef>
                      </c:ext>
                    </c:extLst>
                    <c:strCache>
                      <c:ptCount val="1"/>
                      <c:pt idx="0">
                        <c:v>GVA - Agri, Forestry &amp; Fishing</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xmlns:c15="http://schemas.microsoft.com/office/drawing/2012/chart">
                      <c:ext xmlns:c15="http://schemas.microsoft.com/office/drawing/2012/chart" uri="{02D57815-91ED-43cb-92C2-25804820EDAC}">
                        <c15:formulaRef>
                          <c15:sqref>GVA!$E$15:$E$26</c15:sqref>
                        </c15:formulaRef>
                      </c:ext>
                    </c:extLst>
                    <c:numCache>
                      <c:formatCode>General</c:formatCode>
                      <c:ptCount val="12"/>
                      <c:pt idx="0">
                        <c:v>15.02</c:v>
                      </c:pt>
                      <c:pt idx="1">
                        <c:v>15.24</c:v>
                      </c:pt>
                      <c:pt idx="2">
                        <c:v>16.09</c:v>
                      </c:pt>
                      <c:pt idx="3">
                        <c:v>16.059999999999999</c:v>
                      </c:pt>
                      <c:pt idx="4">
                        <c:v>16.16</c:v>
                      </c:pt>
                      <c:pt idx="5">
                        <c:v>17.260000000000002</c:v>
                      </c:pt>
                      <c:pt idx="6">
                        <c:v>18.399999999999999</c:v>
                      </c:pt>
                      <c:pt idx="7">
                        <c:v>18.79</c:v>
                      </c:pt>
                      <c:pt idx="8">
                        <c:v>19.940000000000001</c:v>
                      </c:pt>
                      <c:pt idx="9">
                        <c:v>20.74</c:v>
                      </c:pt>
                      <c:pt idx="10">
                        <c:v>21.7</c:v>
                      </c:pt>
                      <c:pt idx="11">
                        <c:v>22.72</c:v>
                      </c:pt>
                    </c:numCache>
                  </c:numRef>
                </c:val>
                <c:smooth val="0"/>
                <c:extLst xmlns:c15="http://schemas.microsoft.com/office/drawing/2012/chart">
                  <c:ext xmlns:c16="http://schemas.microsoft.com/office/drawing/2014/chart" uri="{C3380CC4-5D6E-409C-BE32-E72D297353CC}">
                    <c16:uniqueId val="{00000017-A9F8-471B-BD5B-ACF98C45A19C}"/>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GVA!$F$14</c15:sqref>
                        </c15:formulaRef>
                      </c:ext>
                    </c:extLst>
                    <c:strCache>
                      <c:ptCount val="1"/>
                      <c:pt idx="0">
                        <c:v>GVA - FPI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xmlns:c15="http://schemas.microsoft.com/office/drawing/2012/chart">
                      <c:ext xmlns:c15="http://schemas.microsoft.com/office/drawing/2012/chart" uri="{02D57815-91ED-43cb-92C2-25804820EDAC}">
                        <c15:formulaRef>
                          <c15:sqref>GVA!$F$15:$F$26</c15:sqref>
                        </c15:formulaRef>
                      </c:ext>
                    </c:extLst>
                    <c:numCache>
                      <c:formatCode>General</c:formatCode>
                      <c:ptCount val="12"/>
                      <c:pt idx="0">
                        <c:v>1.47</c:v>
                      </c:pt>
                      <c:pt idx="1">
                        <c:v>1.3</c:v>
                      </c:pt>
                      <c:pt idx="2">
                        <c:v>1.3</c:v>
                      </c:pt>
                      <c:pt idx="3">
                        <c:v>1.34</c:v>
                      </c:pt>
                      <c:pt idx="4">
                        <c:v>1.61</c:v>
                      </c:pt>
                      <c:pt idx="5">
                        <c:v>1.79</c:v>
                      </c:pt>
                      <c:pt idx="6">
                        <c:v>1.93</c:v>
                      </c:pt>
                      <c:pt idx="7">
                        <c:v>2.36</c:v>
                      </c:pt>
                      <c:pt idx="8">
                        <c:v>1.96</c:v>
                      </c:pt>
                      <c:pt idx="9">
                        <c:v>1.96</c:v>
                      </c:pt>
                      <c:pt idx="10">
                        <c:v>1.9</c:v>
                      </c:pt>
                      <c:pt idx="11">
                        <c:v>1.92</c:v>
                      </c:pt>
                    </c:numCache>
                  </c:numRef>
                </c:val>
                <c:smooth val="0"/>
                <c:extLst xmlns:c15="http://schemas.microsoft.com/office/drawing/2012/chart">
                  <c:ext xmlns:c16="http://schemas.microsoft.com/office/drawing/2014/chart" uri="{C3380CC4-5D6E-409C-BE32-E72D297353CC}">
                    <c16:uniqueId val="{00000018-A9F8-471B-BD5B-ACF98C45A19C}"/>
                  </c:ext>
                </c:extLst>
              </c15:ser>
            </c15:filteredLineSeries>
          </c:ext>
        </c:extLst>
      </c:lineChart>
      <c:catAx>
        <c:axId val="1796634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96637407"/>
        <c:crosses val="autoZero"/>
        <c:auto val="1"/>
        <c:lblAlgn val="ctr"/>
        <c:lblOffset val="100"/>
        <c:noMultiLvlLbl val="0"/>
      </c:catAx>
      <c:valAx>
        <c:axId val="17966374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96634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C3210-8AE9-400F-B1A2-F31BDFF5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5257</TotalTime>
  <Pages>15</Pages>
  <Words>5049</Words>
  <Characters>28781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505</cp:revision>
  <cp:lastPrinted>2025-05-30T19:46:00Z</cp:lastPrinted>
  <dcterms:created xsi:type="dcterms:W3CDTF">2025-01-03T05:13:00Z</dcterms:created>
  <dcterms:modified xsi:type="dcterms:W3CDTF">2025-06-21T06:45:00Z</dcterms:modified>
</cp:coreProperties>
</file>