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5C84" w14:textId="77777777" w:rsidR="008D17DF" w:rsidRPr="008D17DF" w:rsidRDefault="008D17DF" w:rsidP="008D1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fr-FR"/>
        </w:rPr>
      </w:pPr>
      <w:r w:rsidRPr="008D1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fr-FR"/>
        </w:rPr>
        <w:t>Original Research Article</w:t>
      </w:r>
    </w:p>
    <w:p w14:paraId="40F079F1" w14:textId="77777777" w:rsidR="00775D7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Evaluation of the in-vivo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antiparasitic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effects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aqueous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extract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leaves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Alchornea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Cordifolia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(AEAC)(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Euphorbiaceae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) as an alternative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poultry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farming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in Côte d'Ivoire.</w:t>
      </w:r>
    </w:p>
    <w:p w14:paraId="2AD25738" w14:textId="77777777" w:rsidR="00775D70" w:rsidRDefault="00775D70">
      <w:pPr>
        <w:pStyle w:val="CommentTex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45D54" w14:textId="77777777" w:rsidR="00BB438A" w:rsidRDefault="00BB438A">
      <w:pPr>
        <w:pStyle w:val="CommentTex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8BDFB" w14:textId="77777777" w:rsidR="00775D70" w:rsidRDefault="00000000">
      <w:pPr>
        <w:pStyle w:val="CommentTex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74D40B0" w14:textId="77777777" w:rsidR="00775D70" w:rsidRDefault="00000000">
      <w:pPr>
        <w:pStyle w:val="CommentTex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highly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susceptible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one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zootechnical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performance.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combating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involve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use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synthetic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anticoccidants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highly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risky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for alternatives,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natural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plants.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plant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Côte d'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Ivoire's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flora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recognised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therapeutic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phytochemical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screening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revealed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sterols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polyterpenes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polyphenols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quinone compounds,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alkaloids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catechic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tannins. The LD50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assessed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accordance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OECD guideline 423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toxic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doses of 2000 and 5000 mg/Kg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rats.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assessed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conversion,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indices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appearance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enabled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zootechnical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Evaluation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efficacy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Eimeria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broilers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similar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reference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anticoccidian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Indeed, at the end of the 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infestation rate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jumped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i.e.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102,300 OPG to 200 OPG for the control batch.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86350 OPG to 4200 OPG for the batch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5g/l EAAC.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21400 OPG to 3500 OPG for the batch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10g/l of AEAC.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reduction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all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shows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B79F78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poultry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farming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Oocysts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 gram (OPG).</w:t>
      </w:r>
    </w:p>
    <w:p w14:paraId="346D77EA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E241F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CAA7A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4F5C5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54C2C" w14:textId="77777777" w:rsidR="00775D70" w:rsidRDefault="00000000">
      <w:pPr>
        <w:pStyle w:val="CommentTex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>
        <w:rPr>
          <w:rFonts w:ascii="Times New Roman" w:hAnsi="Times New Roman" w:cs="Times New Roman"/>
          <w:bCs/>
          <w:sz w:val="24"/>
          <w:szCs w:val="24"/>
        </w:rPr>
        <w:t>INTRODUCTION</w:t>
      </w:r>
    </w:p>
    <w:p w14:paraId="6FD82A5E" w14:textId="24C0F5C6" w:rsidR="00775D70" w:rsidRDefault="00000000">
      <w:pPr>
        <w:pStyle w:val="CommentTex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protozoan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obligate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parasite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belonging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apicomplexan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phylum, a group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pathogens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high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veterinary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importance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Aitfella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2012).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one of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poultry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diseases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limit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poultry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production,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To combat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farmers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veterinary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medicines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whose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poorly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controlled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inappropriate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use has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resistance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Eimeria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anticoccidials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Dakpogan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et al., 2012).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resistance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harmful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consequences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for consumer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alternatives are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needed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(Kouamé et al., 2004)</w:t>
      </w:r>
      <w:r w:rsidR="00AC344B">
        <w:rPr>
          <w:rFonts w:ascii="Times New Roman" w:hAnsi="Times New Roman" w:cs="Times New Roman"/>
          <w:bCs/>
          <w:sz w:val="24"/>
          <w:szCs w:val="24"/>
        </w:rPr>
        <w:t xml:space="preserve"> ; </w:t>
      </w:r>
      <w:r w:rsidR="00AC344B" w:rsidRPr="007E20C3">
        <w:rPr>
          <w:rFonts w:ascii="Times New Roman" w:hAnsi="Times New Roman" w:cs="Times New Roman"/>
          <w:bCs/>
          <w:sz w:val="24"/>
          <w:szCs w:val="24"/>
        </w:rPr>
        <w:t>(F. S. Ouattara-Soro et al., 2023</w:t>
      </w:r>
      <w:proofErr w:type="gramStart"/>
      <w:r w:rsidR="00AC344B" w:rsidRPr="007E20C3">
        <w:rPr>
          <w:rFonts w:ascii="Times New Roman" w:hAnsi="Times New Roman" w:cs="Times New Roman"/>
          <w:bCs/>
          <w:sz w:val="24"/>
          <w:szCs w:val="24"/>
        </w:rPr>
        <w:t>)</w:t>
      </w:r>
      <w:r w:rsidR="00AC34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alternatives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medicinal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plants.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It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often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 an anti-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inflammatory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antifungal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antibacterial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analgesic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antioxidant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(Traoré, 2005 ; N'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2017).</w:t>
      </w:r>
    </w:p>
    <w:p w14:paraId="52DE580D" w14:textId="77777777" w:rsidR="00775D70" w:rsidRDefault="00000000">
      <w:pPr>
        <w:pStyle w:val="Comment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in vivo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antiparasitic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broiler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E4C6F6" w14:textId="77777777" w:rsidR="00775D70" w:rsidRDefault="00775D70">
      <w:pPr>
        <w:pStyle w:val="CommentText"/>
        <w:spacing w:line="360" w:lineRule="auto"/>
      </w:pPr>
    </w:p>
    <w:p w14:paraId="01B195DA" w14:textId="77777777" w:rsidR="00775D70" w:rsidRDefault="00000000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 AND METHOD</w:t>
      </w:r>
    </w:p>
    <w:p w14:paraId="14CE6E71" w14:textId="77777777" w:rsidR="00775D70" w:rsidRDefault="00775D70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4E6F98E7" w14:textId="77777777" w:rsidR="00775D70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</w:t>
      </w:r>
    </w:p>
    <w:p w14:paraId="2A49BB13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material</w:t>
      </w:r>
      <w:proofErr w:type="spellEnd"/>
    </w:p>
    <w:p w14:paraId="699A839E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plant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B83BAF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Animal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material</w:t>
      </w:r>
      <w:proofErr w:type="spellEnd"/>
    </w:p>
    <w:p w14:paraId="21D68902" w14:textId="77777777" w:rsidR="00775D70" w:rsidRDefault="0000000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The animal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Rattus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norvegicus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rats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g and 130 g,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toxicity</w:t>
      </w:r>
      <w:proofErr w:type="spellEnd"/>
      <w:r>
        <w:t>.</w:t>
      </w:r>
    </w:p>
    <w:p w14:paraId="3E52E2CD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Fifty</w:t>
      </w:r>
      <w:proofErr w:type="spellEnd"/>
      <w:r>
        <w:rPr>
          <w:rFonts w:ascii="Times New Roman" w:hAnsi="Times New Roman" w:cs="Times New Roman"/>
          <w:sz w:val="24"/>
          <w:szCs w:val="24"/>
        </w:rPr>
        <w:t>-one (51) one-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Gallus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43 g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IVOGRAIN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23 August 2022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</w:p>
    <w:p w14:paraId="0CD39A7B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A2984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775B5" w14:textId="77777777" w:rsidR="00775D70" w:rsidRDefault="000000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</w:t>
      </w:r>
    </w:p>
    <w:p w14:paraId="29EB88E8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Aqueous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preparation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leaves</w:t>
      </w:r>
      <w:proofErr w:type="spellEnd"/>
    </w:p>
    <w:p w14:paraId="4BEFF230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Bagré et al 2011. A total of 100 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dissolved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ml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macerated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bar magnet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stirrer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24 h at room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a speed of 3000 </w:t>
      </w:r>
      <w:proofErr w:type="spellStart"/>
      <w:r>
        <w:rPr>
          <w:rFonts w:ascii="Times New Roman" w:hAnsi="Times New Roman" w:cs="Times New Roman"/>
          <w:sz w:val="24"/>
          <w:szCs w:val="24"/>
        </w:rPr>
        <w:t>rpm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macerate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Wattman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40°C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dry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2B0755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Phytochemical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</w:p>
    <w:p w14:paraId="40C5374C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Phytochemical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screening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described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Lazureski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al (2007), Abo (2013) and Mea et al (2017) in the Animal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Phytotherapy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laboratory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Biosciences UFR (UFHB).</w:t>
      </w:r>
    </w:p>
    <w:p w14:paraId="68E73C44" w14:textId="77777777" w:rsidR="00775D70" w:rsidRDefault="00000000">
      <w:pPr>
        <w:pStyle w:val="CommentText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Acute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toxicity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 gavage of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experimental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adapted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described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guideline 423 (OECD 423, 2001).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Rattus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norgevicus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weighing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100 g to 130 g,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Increasing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prepared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solution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administered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(gavage)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groups of 6 rats at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one dose per group and 1 group of 6 rats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received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distilled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water.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evaluate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in vivo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antiparasitic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broiler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t xml:space="preserve"> </w:t>
      </w:r>
    </w:p>
    <w:p w14:paraId="09FFFEDB" w14:textId="77777777" w:rsidR="00775D70" w:rsidRDefault="00000000">
      <w:pPr>
        <w:pStyle w:val="CommentTex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Induction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coccidiosis</w:t>
      </w:r>
      <w:proofErr w:type="spellEnd"/>
    </w:p>
    <w:p w14:paraId="3CE0DE97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Fifty</w:t>
      </w:r>
      <w:proofErr w:type="spellEnd"/>
      <w:r>
        <w:rPr>
          <w:rFonts w:ascii="Times New Roman" w:hAnsi="Times New Roman" w:cs="Times New Roman"/>
          <w:sz w:val="24"/>
          <w:szCs w:val="24"/>
        </w:rPr>
        <w:t>-one one-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randomly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17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C82831" w14:textId="77777777" w:rsidR="00775D70" w:rsidRDefault="000000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Batch 1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prophylaxis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BA9168" w14:textId="77777777" w:rsidR="00775D70" w:rsidRDefault="000000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batch 2,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prophylaxis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5 g/l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68FFB3" w14:textId="77777777" w:rsidR="00775D70" w:rsidRDefault="0000000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batch 3,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prophylaxis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EAAC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10 g/l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26435A" w14:textId="77777777" w:rsidR="00775D70" w:rsidRDefault="0000000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microscopically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infestation.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contaminated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water for one night.</w:t>
      </w:r>
    </w:p>
    <w:p w14:paraId="67F2BEEA" w14:textId="77777777" w:rsidR="00775D70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at 2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 curative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cycle.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and 3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hand, curative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22, i.e. 5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infestation,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Batch 2 and 3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g/l and 10 g/l AEAC solution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anticoccidials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control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 g/l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prophylaxis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Droppings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14, 18, 21, 24 and 27 (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14, 18, 21, 24 and 27) and digestive 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end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931470" w14:textId="77777777" w:rsidR="00775D70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recontamination.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conversion,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excretion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intestinal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faecal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83E913" w14:textId="77777777" w:rsidR="00775D70" w:rsidRDefault="00775D7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6915651" w14:textId="77777777" w:rsidR="00775D70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Statistical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</w:p>
    <w:p w14:paraId="70A94826" w14:textId="77777777" w:rsidR="00775D70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analyses of variance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appropriate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statistical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software (ANOVA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OneWay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Graphical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EXCEL and XLSTAT.</w:t>
      </w:r>
    </w:p>
    <w:p w14:paraId="2941DB22" w14:textId="77777777" w:rsidR="00775D70" w:rsidRDefault="000000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</w:p>
    <w:p w14:paraId="5E806E9B" w14:textId="77777777" w:rsidR="00775D70" w:rsidRDefault="00775D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20268D" w14:textId="77777777" w:rsidR="00775D70" w:rsidRDefault="0000000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</w:rPr>
        <w:t>Phytochemical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screening</w:t>
      </w:r>
    </w:p>
    <w:p w14:paraId="6C739476" w14:textId="77777777" w:rsidR="00775D70" w:rsidRDefault="00000000">
      <w:pPr>
        <w:spacing w:line="360" w:lineRule="auto"/>
        <w:jc w:val="both"/>
        <w:rPr>
          <w:rFonts w:eastAsia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Phytochemical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screening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revealed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presence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sterols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polyterpenes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polyphenols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quinone compounds,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alkaloids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catechic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tannins</w:t>
      </w:r>
      <w:r>
        <w:rPr>
          <w:rFonts w:eastAsia="Times New Roman"/>
          <w:iCs/>
        </w:rPr>
        <w:t>.</w:t>
      </w:r>
    </w:p>
    <w:p w14:paraId="29135746" w14:textId="77777777" w:rsidR="00775D70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2. ACUTE TOXICITY</w:t>
      </w:r>
    </w:p>
    <w:p w14:paraId="6607E993" w14:textId="2883987D" w:rsidR="00775D70" w:rsidRDefault="000000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single gavage dose of 2000 mg/kg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behaviour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administration of a single dose of 5000 mg/kg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rats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corner of the cage for 30 minutes.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behaviour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normalised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 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mortality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fourteen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observation.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animals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survived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observation,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implying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LD50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5000 mg/kg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Globally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Harmonised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System of Classification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and Labelling of Chemicals (GHS, 2003),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aqueous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Alchornea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cordifolia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toxic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the oral route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rats (Table I).</w:t>
      </w:r>
    </w:p>
    <w:p w14:paraId="5898A1BD" w14:textId="77777777" w:rsidR="00775D70" w:rsidRDefault="00000000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earnings</w:t>
      </w:r>
      <w:proofErr w:type="spellEnd"/>
    </w:p>
    <w:p w14:paraId="7281BABB" w14:textId="77777777" w:rsidR="00775D70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and 3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EAAC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33.51 and 31.98 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That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33.15 g.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shows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 &gt;0.05)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(Figure 1). </w:t>
      </w:r>
    </w:p>
    <w:p w14:paraId="75E5876D" w14:textId="77777777" w:rsidR="00775D70" w:rsidRDefault="00000000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Consumption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index</w:t>
      </w:r>
    </w:p>
    <w:p w14:paraId="0189453B" w14:textId="77777777" w:rsidR="00775D70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conversion ratio of the control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5g and 10g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1.4, 1.42 and 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conversion ratio of the 2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the course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 &gt;0.05)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control batch (Figure 2).</w:t>
      </w:r>
    </w:p>
    <w:p w14:paraId="0A3199D1" w14:textId="77777777" w:rsidR="00775D70" w:rsidRDefault="00775D70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</w:p>
    <w:p w14:paraId="2BE68EF1" w14:textId="5B7DBC17" w:rsidR="00775D70" w:rsidRDefault="00000000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Table 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I: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phytochemical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screening of the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cordifolia</w:t>
      </w:r>
    </w:p>
    <w:tbl>
      <w:tblPr>
        <w:tblW w:w="8875" w:type="dxa"/>
        <w:jc w:val="center"/>
        <w:tblLook w:val="04A0" w:firstRow="1" w:lastRow="0" w:firstColumn="1" w:lastColumn="0" w:noHBand="0" w:noVBand="1"/>
      </w:tblPr>
      <w:tblGrid>
        <w:gridCol w:w="1242"/>
        <w:gridCol w:w="1593"/>
        <w:gridCol w:w="3828"/>
        <w:gridCol w:w="2212"/>
      </w:tblGrid>
      <w:tr w:rsidR="00775D70" w14:paraId="2C37BD86" w14:textId="77777777">
        <w:trPr>
          <w:trHeight w:val="429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7F7F7F"/>
              <w:right w:val="none" w:sz="4" w:space="0" w:color="000000"/>
            </w:tcBorders>
            <w:shd w:val="clear" w:color="auto" w:fill="FFFFFF"/>
          </w:tcPr>
          <w:p w14:paraId="47067261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Compounds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sought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7F7F7F"/>
            </w:tcBorders>
            <w:shd w:val="clear" w:color="auto" w:fill="FFFFFF"/>
          </w:tcPr>
          <w:p w14:paraId="5D5EC59F" w14:textId="70E1E987" w:rsidR="00775D70" w:rsidRDefault="007552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 or </w:t>
            </w:r>
            <w:proofErr w:type="spellStart"/>
            <w:r w:rsidRPr="00755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reagents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7F7F7F"/>
            </w:tcBorders>
            <w:shd w:val="clear" w:color="auto" w:fill="FFFFFF"/>
          </w:tcPr>
          <w:p w14:paraId="17D046C5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Results</w:t>
            </w:r>
            <w:proofErr w:type="spellEnd"/>
          </w:p>
        </w:tc>
      </w:tr>
      <w:tr w:rsidR="00775D70" w14:paraId="51585E3F" w14:textId="77777777">
        <w:trPr>
          <w:trHeight w:val="294"/>
          <w:jc w:val="center"/>
        </w:trPr>
        <w:tc>
          <w:tcPr>
            <w:tcW w:w="2835" w:type="dxa"/>
            <w:gridSpan w:val="2"/>
            <w:tcBorders>
              <w:top w:val="single" w:sz="4" w:space="0" w:color="7F7F7F"/>
            </w:tcBorders>
            <w:shd w:val="clear" w:color="auto" w:fill="F2F2F2"/>
          </w:tcPr>
          <w:p w14:paraId="716E7BDE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Sterols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polyterpenes</w:t>
            </w:r>
            <w:proofErr w:type="spellEnd"/>
          </w:p>
        </w:tc>
        <w:tc>
          <w:tcPr>
            <w:tcW w:w="3828" w:type="dxa"/>
            <w:tcBorders>
              <w:left w:val="none" w:sz="4" w:space="0" w:color="000000"/>
            </w:tcBorders>
            <w:shd w:val="clear" w:color="auto" w:fill="F2F2F2"/>
          </w:tcPr>
          <w:p w14:paraId="3692EAB6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Liebermann</w:t>
            </w:r>
          </w:p>
        </w:tc>
        <w:tc>
          <w:tcPr>
            <w:tcW w:w="2212" w:type="dxa"/>
            <w:shd w:val="clear" w:color="auto" w:fill="F2F2F2"/>
          </w:tcPr>
          <w:p w14:paraId="3D4313B8" w14:textId="77777777" w:rsidR="00775D70" w:rsidRDefault="0000000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5D70" w14:paraId="6F12A899" w14:textId="77777777">
        <w:trPr>
          <w:trHeight w:val="294"/>
          <w:jc w:val="center"/>
        </w:trPr>
        <w:tc>
          <w:tcPr>
            <w:tcW w:w="2835" w:type="dxa"/>
            <w:gridSpan w:val="2"/>
            <w:shd w:val="clear" w:color="auto" w:fill="FFFFFF"/>
          </w:tcPr>
          <w:p w14:paraId="46248003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Polyphenols</w:t>
            </w:r>
            <w:proofErr w:type="spellEnd"/>
          </w:p>
        </w:tc>
        <w:tc>
          <w:tcPr>
            <w:tcW w:w="3828" w:type="dxa"/>
            <w:tcBorders>
              <w:left w:val="none" w:sz="4" w:space="0" w:color="000000"/>
            </w:tcBorders>
            <w:shd w:val="clear" w:color="auto" w:fill="auto"/>
          </w:tcPr>
          <w:p w14:paraId="014FC6DD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chloride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14:paraId="6C8CC29B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5D70" w14:paraId="3B634818" w14:textId="77777777">
        <w:trPr>
          <w:trHeight w:val="285"/>
          <w:jc w:val="center"/>
        </w:trPr>
        <w:tc>
          <w:tcPr>
            <w:tcW w:w="2835" w:type="dxa"/>
            <w:gridSpan w:val="2"/>
            <w:shd w:val="clear" w:color="auto" w:fill="F2F2F2"/>
          </w:tcPr>
          <w:p w14:paraId="39DAD75D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Flavonoids</w:t>
            </w:r>
            <w:proofErr w:type="spellEnd"/>
          </w:p>
        </w:tc>
        <w:tc>
          <w:tcPr>
            <w:tcW w:w="3828" w:type="dxa"/>
            <w:tcBorders>
              <w:left w:val="none" w:sz="4" w:space="0" w:color="000000"/>
            </w:tcBorders>
            <w:shd w:val="clear" w:color="auto" w:fill="F2F2F2"/>
          </w:tcPr>
          <w:p w14:paraId="1B84E646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Cyanidine</w:t>
            </w:r>
            <w:proofErr w:type="spellEnd"/>
          </w:p>
        </w:tc>
        <w:tc>
          <w:tcPr>
            <w:tcW w:w="2212" w:type="dxa"/>
            <w:shd w:val="clear" w:color="auto" w:fill="F2F2F2"/>
          </w:tcPr>
          <w:p w14:paraId="5482DCF3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5D70" w14:paraId="307ABF24" w14:textId="77777777">
        <w:trPr>
          <w:trHeight w:val="294"/>
          <w:jc w:val="center"/>
        </w:trPr>
        <w:tc>
          <w:tcPr>
            <w:tcW w:w="2835" w:type="dxa"/>
            <w:gridSpan w:val="2"/>
            <w:shd w:val="clear" w:color="auto" w:fill="FFFFFF"/>
          </w:tcPr>
          <w:p w14:paraId="6AD1972F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Saponosides</w:t>
            </w:r>
          </w:p>
        </w:tc>
        <w:tc>
          <w:tcPr>
            <w:tcW w:w="3828" w:type="dxa"/>
            <w:tcBorders>
              <w:left w:val="none" w:sz="4" w:space="0" w:color="000000"/>
            </w:tcBorders>
            <w:shd w:val="clear" w:color="auto" w:fill="auto"/>
          </w:tcPr>
          <w:p w14:paraId="05A1D772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Vigorous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agitation</w:t>
            </w:r>
          </w:p>
        </w:tc>
        <w:tc>
          <w:tcPr>
            <w:tcW w:w="2212" w:type="dxa"/>
            <w:shd w:val="clear" w:color="auto" w:fill="auto"/>
          </w:tcPr>
          <w:p w14:paraId="2CD2DD26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5D70" w14:paraId="10FE993F" w14:textId="77777777">
        <w:trPr>
          <w:trHeight w:val="294"/>
          <w:jc w:val="center"/>
        </w:trPr>
        <w:tc>
          <w:tcPr>
            <w:tcW w:w="2835" w:type="dxa"/>
            <w:gridSpan w:val="2"/>
            <w:shd w:val="clear" w:color="auto" w:fill="F2F2F2"/>
          </w:tcPr>
          <w:p w14:paraId="700394BA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Quinonic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compounds</w:t>
            </w:r>
          </w:p>
        </w:tc>
        <w:tc>
          <w:tcPr>
            <w:tcW w:w="3828" w:type="dxa"/>
            <w:tcBorders>
              <w:left w:val="none" w:sz="4" w:space="0" w:color="000000"/>
            </w:tcBorders>
            <w:shd w:val="clear" w:color="auto" w:fill="F2F2F2"/>
          </w:tcPr>
          <w:p w14:paraId="546D9CCE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Borntraeger</w:t>
            </w:r>
            <w:proofErr w:type="spellEnd"/>
          </w:p>
        </w:tc>
        <w:tc>
          <w:tcPr>
            <w:tcW w:w="2212" w:type="dxa"/>
            <w:shd w:val="clear" w:color="auto" w:fill="F2F2F2"/>
          </w:tcPr>
          <w:p w14:paraId="0C2560C8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775D70" w14:paraId="2F63B299" w14:textId="77777777">
        <w:trPr>
          <w:trHeight w:val="294"/>
          <w:jc w:val="center"/>
        </w:trPr>
        <w:tc>
          <w:tcPr>
            <w:tcW w:w="2835" w:type="dxa"/>
            <w:gridSpan w:val="2"/>
            <w:vMerge w:val="restart"/>
            <w:shd w:val="clear" w:color="auto" w:fill="FFFFFF"/>
          </w:tcPr>
          <w:p w14:paraId="1249CF65" w14:textId="77777777" w:rsidR="00775D70" w:rsidRDefault="007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4A61070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Alkaloids</w:t>
            </w:r>
            <w:proofErr w:type="spellEnd"/>
          </w:p>
          <w:p w14:paraId="61D15BBF" w14:textId="77777777" w:rsidR="00775D70" w:rsidRDefault="00775D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one" w:sz="4" w:space="0" w:color="000000"/>
            </w:tcBorders>
            <w:shd w:val="clear" w:color="auto" w:fill="auto"/>
          </w:tcPr>
          <w:p w14:paraId="37B99E08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Dragendorff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14:paraId="66F0651B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5D70" w14:paraId="4258E2DB" w14:textId="77777777">
        <w:trPr>
          <w:trHeight w:val="101"/>
          <w:jc w:val="center"/>
        </w:trPr>
        <w:tc>
          <w:tcPr>
            <w:tcW w:w="2835" w:type="dxa"/>
            <w:gridSpan w:val="2"/>
            <w:vMerge/>
            <w:shd w:val="clear" w:color="auto" w:fill="FFFFFF"/>
          </w:tcPr>
          <w:p w14:paraId="1EC75FBE" w14:textId="77777777" w:rsidR="00775D70" w:rsidRDefault="00775D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one" w:sz="4" w:space="0" w:color="000000"/>
            </w:tcBorders>
            <w:shd w:val="clear" w:color="auto" w:fill="auto"/>
          </w:tcPr>
          <w:p w14:paraId="61B0AC6D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Bouchardat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14:paraId="51D3B879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5D70" w14:paraId="0EDC5637" w14:textId="77777777">
        <w:trPr>
          <w:trHeight w:val="294"/>
          <w:jc w:val="center"/>
        </w:trPr>
        <w:tc>
          <w:tcPr>
            <w:tcW w:w="1242" w:type="dxa"/>
            <w:vMerge w:val="restart"/>
            <w:tcBorders>
              <w:right w:val="single" w:sz="4" w:space="0" w:color="7F7F7F"/>
            </w:tcBorders>
            <w:shd w:val="clear" w:color="auto" w:fill="F2F2F2"/>
          </w:tcPr>
          <w:p w14:paraId="6703D0C9" w14:textId="77777777" w:rsidR="00775D70" w:rsidRDefault="0077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86D9812" w14:textId="77777777" w:rsidR="00775D7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Tannins</w:t>
            </w:r>
          </w:p>
        </w:tc>
        <w:tc>
          <w:tcPr>
            <w:tcW w:w="1593" w:type="dxa"/>
            <w:shd w:val="clear" w:color="auto" w:fill="F2F2F2"/>
          </w:tcPr>
          <w:p w14:paraId="3F6FB757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Catechics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3BD9656A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Stiasny</w:t>
            </w:r>
            <w:proofErr w:type="spellEnd"/>
          </w:p>
        </w:tc>
        <w:tc>
          <w:tcPr>
            <w:tcW w:w="2212" w:type="dxa"/>
            <w:shd w:val="clear" w:color="auto" w:fill="F2F2F2"/>
          </w:tcPr>
          <w:p w14:paraId="1E146110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75D70" w14:paraId="169BEC9C" w14:textId="77777777">
        <w:trPr>
          <w:trHeight w:val="101"/>
          <w:jc w:val="center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7F7F7F"/>
            </w:tcBorders>
            <w:shd w:val="clear" w:color="auto" w:fill="FFFFFF"/>
          </w:tcPr>
          <w:p w14:paraId="35E446AF" w14:textId="77777777" w:rsidR="00775D70" w:rsidRDefault="00775D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2F2F2"/>
          </w:tcPr>
          <w:p w14:paraId="11788517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Galliques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</w:tcPr>
          <w:p w14:paraId="57966AD7" w14:textId="77777777" w:rsidR="00775D70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Hydrochloric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2F2F2"/>
          </w:tcPr>
          <w:p w14:paraId="408DAFBE" w14:textId="77777777" w:rsidR="00775D70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76D0D551" w14:textId="77777777" w:rsidR="00775D70" w:rsidRDefault="00775D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46A8E" w14:textId="77777777" w:rsidR="00775D70" w:rsidRDefault="00000000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(+)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compound</w:t>
      </w:r>
    </w:p>
    <w:p w14:paraId="0CC8933E" w14:textId="77777777" w:rsidR="00775D70" w:rsidRDefault="00000000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CH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Absence of compound</w:t>
      </w:r>
      <w:bookmarkStart w:id="0" w:name="_Toc116842937"/>
    </w:p>
    <w:p w14:paraId="05C57A35" w14:textId="01A59F8B" w:rsidR="00775D70" w:rsidRDefault="00000000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Tableau \* ROMAN </w:instrTex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</w:t>
      </w:r>
      <w:bookmarkEnd w:id="0"/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of rats and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rate as a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of the dose of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extract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75D70" w14:paraId="08211124" w14:textId="77777777"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03EDFE14" w14:textId="77777777" w:rsidR="00775D70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Lots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5C38E8EE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EAAC dose</w:t>
            </w:r>
          </w:p>
          <w:p w14:paraId="0E4CDDFD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/kg PC)</w:t>
            </w:r>
          </w:p>
          <w:p w14:paraId="35ECD920" w14:textId="77777777" w:rsidR="00775D70" w:rsidRDefault="00775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5A526C87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rats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tested</w:t>
            </w:r>
            <w:proofErr w:type="spellEnd"/>
          </w:p>
          <w:p w14:paraId="271A50F5" w14:textId="77777777" w:rsidR="00775D70" w:rsidRDefault="00775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37A09FA5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rats</w:t>
            </w:r>
          </w:p>
          <w:p w14:paraId="28195236" w14:textId="77777777" w:rsidR="00775D70" w:rsidRDefault="00775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14:paraId="6E73B037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</w:t>
            </w:r>
          </w:p>
          <w:p w14:paraId="673C1C93" w14:textId="77777777" w:rsidR="00775D70" w:rsidRDefault="00775D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70" w14:paraId="1E890B9D" w14:textId="77777777">
        <w:tc>
          <w:tcPr>
            <w:tcW w:w="1812" w:type="dxa"/>
            <w:tcBorders>
              <w:top w:val="single" w:sz="4" w:space="0" w:color="auto"/>
            </w:tcBorders>
          </w:tcPr>
          <w:p w14:paraId="779B4E78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1C1E3ADF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4EC5386E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7F12AF5F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ADEC06F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75D70" w14:paraId="5567A442" w14:textId="77777777">
        <w:tc>
          <w:tcPr>
            <w:tcW w:w="1812" w:type="dxa"/>
            <w:tcBorders>
              <w:bottom w:val="single" w:sz="4" w:space="0" w:color="auto"/>
            </w:tcBorders>
          </w:tcPr>
          <w:p w14:paraId="0A8F3CBD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419C2B4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5B4F3507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8B22BE2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64A2484" w14:textId="77777777" w:rsidR="00775D70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4155CAF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15DD8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A111E" w14:textId="256F0AC8" w:rsidR="00775D70" w:rsidRDefault="00775D70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14:paraId="2BFF8A16" w14:textId="6D048056" w:rsidR="00775D70" w:rsidRDefault="00775D70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12DD6" w14:textId="60BC6517" w:rsidR="00775D70" w:rsidRDefault="009C4B7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D81F5" wp14:editId="367F1B51">
                <wp:simplePos x="0" y="0"/>
                <wp:positionH relativeFrom="margin">
                  <wp:align>right</wp:align>
                </wp:positionH>
                <wp:positionV relativeFrom="paragraph">
                  <wp:posOffset>1158265</wp:posOffset>
                </wp:positionV>
                <wp:extent cx="1007706" cy="479576"/>
                <wp:effectExtent l="0" t="0" r="2540" b="0"/>
                <wp:wrapNone/>
                <wp:docPr id="2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07706" cy="47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25C01" w14:textId="77777777" w:rsidR="00775D70" w:rsidRDefault="0000000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Duration of treatment</w:t>
                            </w:r>
                          </w:p>
                          <w:p w14:paraId="7A007557" w14:textId="77777777" w:rsidR="00775D70" w:rsidRDefault="00775D7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81F5" id="Rectangle 221" o:spid="_x0000_s1026" style="position:absolute;left:0;text-align:left;margin-left:28.15pt;margin-top:91.2pt;width:79.35pt;height:37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" fillcolor="white [3201]" stroked="f" strokeweight="1pt">
                <v:textbox>
                  <w:txbxContent>
                    <w:p w14:paraId="6F325C01" w14:textId="77777777" w:rsidR="00775D70" w:rsidRDefault="0000000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  <w:t>Duration of treatment</w:t>
                      </w:r>
                    </w:p>
                    <w:p w14:paraId="7A007557" w14:textId="77777777" w:rsidR="00775D70" w:rsidRDefault="00775D7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B8262" wp14:editId="38E0A11F">
                <wp:simplePos x="0" y="0"/>
                <wp:positionH relativeFrom="column">
                  <wp:posOffset>-639737</wp:posOffset>
                </wp:positionH>
                <wp:positionV relativeFrom="paragraph">
                  <wp:posOffset>1006182</wp:posOffset>
                </wp:positionV>
                <wp:extent cx="1000111" cy="479425"/>
                <wp:effectExtent l="12382" t="6668" r="3493" b="3492"/>
                <wp:wrapNone/>
                <wp:docPr id="1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199999">
                          <a:off x="0" y="0"/>
                          <a:ext cx="1000111" cy="479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F425D" w14:textId="77777777" w:rsidR="009C4B76" w:rsidRDefault="009C4B76" w:rsidP="009C4B76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Body mass(g)</w:t>
                            </w:r>
                          </w:p>
                          <w:p w14:paraId="2781DB9A" w14:textId="77777777" w:rsidR="009C4B76" w:rsidRDefault="009C4B76" w:rsidP="009C4B76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B8262" id="Rectangle 220" o:spid="_x0000_s1027" style="position:absolute;left:0;text-align:left;margin-left:-50.35pt;margin-top:79.25pt;width:78.75pt;height:37.75pt;rotation:-589824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" fillcolor="white [3201]" stroked="f" strokeweight="1pt">
                <v:textbox>
                  <w:txbxContent>
                    <w:p w14:paraId="7E5F425D" w14:textId="77777777" w:rsidR="009C4B76" w:rsidRDefault="009C4B76" w:rsidP="009C4B76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  <w:t>Body mass(g)</w:t>
                      </w:r>
                    </w:p>
                    <w:p w14:paraId="2781DB9A" w14:textId="77777777" w:rsidR="009C4B76" w:rsidRDefault="009C4B76" w:rsidP="009C4B76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5D4EE4" wp14:editId="73A83B45">
                <wp:simplePos x="0" y="0"/>
                <wp:positionH relativeFrom="margin">
                  <wp:align>center</wp:align>
                </wp:positionH>
                <wp:positionV relativeFrom="paragraph">
                  <wp:posOffset>2987715</wp:posOffset>
                </wp:positionV>
                <wp:extent cx="926123" cy="279400"/>
                <wp:effectExtent l="0" t="0" r="7620" b="6350"/>
                <wp:wrapNone/>
                <wp:docPr id="3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6123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93C4F" w14:textId="77777777" w:rsidR="00775D70" w:rsidRDefault="0000000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32 days</w:t>
                            </w:r>
                          </w:p>
                          <w:p w14:paraId="2C3B7B31" w14:textId="77777777" w:rsidR="00775D70" w:rsidRDefault="00775D7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D4EE4" id="Rectangle 37" o:spid="_x0000_s1028" style="position:absolute;left:0;text-align:left;margin-left:0;margin-top:235.25pt;width:72.9pt;height:22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" fillcolor="white [3201]" stroked="f" strokeweight="1pt">
                <v:textbox>
                  <w:txbxContent>
                    <w:p w14:paraId="3C693C4F" w14:textId="77777777" w:rsidR="00775D70" w:rsidRDefault="0000000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NewRomanPS-BoldMT" w:hAnsi="TimesNewRomanPS-BoldMT"/>
                          <w:bCs/>
                          <w:color w:val="000000"/>
                          <w:sz w:val="20"/>
                          <w:szCs w:val="20"/>
                        </w:rPr>
                        <w:t>32 days</w:t>
                      </w:r>
                    </w:p>
                    <w:p w14:paraId="2C3B7B31" w14:textId="77777777" w:rsidR="00775D70" w:rsidRDefault="00775D7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7F6B9FC" wp14:editId="6F49B78F">
            <wp:extent cx="4572000" cy="3541318"/>
            <wp:effectExtent l="0" t="0" r="0" b="254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2814EC" w14:textId="77777777" w:rsidR="00775D70" w:rsidRDefault="00775D70">
      <w:pPr>
        <w:rPr>
          <w:rFonts w:ascii="Times New Roman" w:hAnsi="Times New Roman" w:cs="Times New Roman"/>
          <w:sz w:val="24"/>
          <w:szCs w:val="24"/>
        </w:rPr>
      </w:pPr>
    </w:p>
    <w:p w14:paraId="28B7AC0E" w14:textId="77777777" w:rsidR="00775D70" w:rsidRDefault="00775D70">
      <w:pPr>
        <w:rPr>
          <w:rFonts w:ascii="Times New Roman" w:hAnsi="Times New Roman" w:cs="Times New Roman"/>
          <w:sz w:val="24"/>
          <w:szCs w:val="24"/>
        </w:rPr>
      </w:pPr>
    </w:p>
    <w:p w14:paraId="2950548D" w14:textId="77777777" w:rsidR="00775D70" w:rsidRDefault="00775D70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14:paraId="09C8794C" w14:textId="77777777" w:rsidR="00775D70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Figure 1 : Evolution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</w:p>
    <w:p w14:paraId="6AE20471" w14:textId="77777777" w:rsidR="00775D70" w:rsidRDefault="00775D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146DA" w14:textId="77777777" w:rsidR="00775D70" w:rsidRDefault="00775D70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14:paraId="2698174D" w14:textId="77777777" w:rsidR="00775D70" w:rsidRDefault="00000000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3DFEF" wp14:editId="6782BEBF">
                <wp:simplePos x="0" y="0"/>
                <wp:positionH relativeFrom="column">
                  <wp:posOffset>5134001</wp:posOffset>
                </wp:positionH>
                <wp:positionV relativeFrom="paragraph">
                  <wp:posOffset>1730375</wp:posOffset>
                </wp:positionV>
                <wp:extent cx="995265" cy="479425"/>
                <wp:effectExtent l="0" t="0" r="0" b="0"/>
                <wp:wrapNone/>
                <wp:docPr id="5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5265" cy="479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DC531" w14:textId="77777777" w:rsidR="00775D70" w:rsidRDefault="0000000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Duration of treatment</w:t>
                            </w:r>
                          </w:p>
                          <w:p w14:paraId="0F02D6A6" w14:textId="77777777" w:rsidR="00775D70" w:rsidRDefault="00775D7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3DFEF" id="Rectangle 223" o:spid="_x0000_s1029" style="position:absolute;left:0;text-align:left;margin-left:404.25pt;margin-top:136.25pt;width:78.35pt;height:3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" fillcolor="white [3201]" stroked="f" strokeweight="1pt">
                <v:textbox>
                  <w:txbxContent>
                    <w:p w14:paraId="577DC531" w14:textId="77777777" w:rsidR="00775D70" w:rsidRDefault="0000000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  <w:t>Duration of treatment</w:t>
                      </w:r>
                    </w:p>
                    <w:p w14:paraId="0F02D6A6" w14:textId="77777777" w:rsidR="00775D70" w:rsidRDefault="00775D7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C8705" wp14:editId="3034984B">
                <wp:simplePos x="0" y="0"/>
                <wp:positionH relativeFrom="column">
                  <wp:posOffset>2482313</wp:posOffset>
                </wp:positionH>
                <wp:positionV relativeFrom="paragraph">
                  <wp:posOffset>1958975</wp:posOffset>
                </wp:positionV>
                <wp:extent cx="926123" cy="334108"/>
                <wp:effectExtent l="0" t="0" r="7620" b="8890"/>
                <wp:wrapNone/>
                <wp:docPr id="6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6123" cy="334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6B0AA" w14:textId="77777777" w:rsidR="00775D70" w:rsidRDefault="0000000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8705" id="Rectangle 239" o:spid="_x0000_s1030" style="position:absolute;left:0;text-align:left;margin-left:195.45pt;margin-top:154.25pt;width:72.9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" fillcolor="white [3201]" stroked="f" strokeweight="1pt">
                <v:textbox>
                  <w:txbxContent>
                    <w:p w14:paraId="1A36B0AA" w14:textId="77777777" w:rsidR="00775D70" w:rsidRDefault="0000000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  <w:t>32 days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3480A" wp14:editId="1AAF9CD3">
                <wp:simplePos x="0" y="0"/>
                <wp:positionH relativeFrom="column">
                  <wp:posOffset>2841747</wp:posOffset>
                </wp:positionH>
                <wp:positionV relativeFrom="paragraph">
                  <wp:posOffset>1979119</wp:posOffset>
                </wp:positionV>
                <wp:extent cx="272374" cy="233464"/>
                <wp:effectExtent l="0" t="0" r="0" b="0"/>
                <wp:wrapNone/>
                <wp:docPr id="7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2374" cy="23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4A101" w14:textId="77777777" w:rsidR="00775D70" w:rsidRDefault="00775D7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480A" id="Rectangle 224" o:spid="_x0000_s1031" style="position:absolute;left:0;text-align:left;margin-left:223.75pt;margin-top:155.85pt;width:21.45pt;height:1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" fillcolor="white [3201]" stroked="f" strokeweight="1pt">
                <v:textbox>
                  <w:txbxContent>
                    <w:p w14:paraId="66C4A101" w14:textId="77777777" w:rsidR="00775D70" w:rsidRDefault="00775D7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0016C" wp14:editId="0CE383F9">
                <wp:simplePos x="0" y="0"/>
                <wp:positionH relativeFrom="column">
                  <wp:posOffset>-645660</wp:posOffset>
                </wp:positionH>
                <wp:positionV relativeFrom="paragraph">
                  <wp:posOffset>896620</wp:posOffset>
                </wp:positionV>
                <wp:extent cx="1904365" cy="479425"/>
                <wp:effectExtent l="7620" t="0" r="8255" b="8255"/>
                <wp:wrapNone/>
                <wp:docPr id="8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199999">
                          <a:off x="0" y="0"/>
                          <a:ext cx="1904365" cy="479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00063" w14:textId="77777777" w:rsidR="00775D70" w:rsidRDefault="0000000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Consumption index</w:t>
                            </w:r>
                          </w:p>
                          <w:p w14:paraId="649BCA54" w14:textId="77777777" w:rsidR="00775D70" w:rsidRDefault="00775D7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016C" id="Rectangle 222" o:spid="_x0000_s1032" style="position:absolute;left:0;text-align:left;margin-left:-50.85pt;margin-top:70.6pt;width:149.95pt;height:37.75pt;rotation:-589824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" fillcolor="white [3201]" stroked="f" strokeweight="1pt">
                <v:textbox>
                  <w:txbxContent>
                    <w:p w14:paraId="57800063" w14:textId="77777777" w:rsidR="00775D70" w:rsidRDefault="0000000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  <w:t>Consumption index</w:t>
                      </w:r>
                    </w:p>
                    <w:p w14:paraId="649BCA54" w14:textId="77777777" w:rsidR="00775D70" w:rsidRDefault="00775D7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F4AA4FA" wp14:editId="3DA7C32B">
            <wp:extent cx="4509654" cy="2504209"/>
            <wp:effectExtent l="0" t="0" r="5715" b="10795"/>
            <wp:docPr id="9" name="Graphique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C2B36C" w14:textId="77777777" w:rsidR="00775D70" w:rsidRDefault="00000000">
      <w:pPr>
        <w:pStyle w:val="Caption"/>
        <w:jc w:val="center"/>
      </w:pPr>
      <w:bookmarkStart w:id="1" w:name="_Toc119525024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2 : </w:t>
      </w:r>
      <w:bookmarkEnd w:id="1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Change in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feed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 conversion rate for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treated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chickens</w:t>
      </w:r>
      <w:proofErr w:type="spellEnd"/>
    </w:p>
    <w:p w14:paraId="4F6A16E4" w14:textId="77777777" w:rsidR="00775D70" w:rsidRDefault="00775D70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3FD0ECE" w14:textId="77777777" w:rsidR="00775D70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=17)</w:t>
      </w:r>
    </w:p>
    <w:p w14:paraId="0E2DD6D8" w14:textId="77777777" w:rsidR="00775D70" w:rsidRDefault="0000000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rate</w:t>
      </w:r>
    </w:p>
    <w:p w14:paraId="0F97E66D" w14:textId="77777777" w:rsidR="00775D70" w:rsidRDefault="000000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chickens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mortality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experimental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mortality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rate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chickens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experiment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0%.</w:t>
      </w:r>
    </w:p>
    <w:p w14:paraId="516FA1CA" w14:textId="77777777" w:rsidR="00775D70" w:rsidRDefault="0000000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Oocyst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excretion</w:t>
      </w:r>
      <w:proofErr w:type="spellEnd"/>
    </w:p>
    <w:p w14:paraId="429E9315" w14:textId="77777777" w:rsidR="00775D70" w:rsidRDefault="00775D7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D5828" w14:textId="77777777" w:rsidR="00775D70" w:rsidRDefault="00000000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before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artificial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infestation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treatment</w:t>
      </w:r>
      <w:proofErr w:type="spellEnd"/>
    </w:p>
    <w:p w14:paraId="5BABD3F7" w14:textId="77777777" w:rsidR="00775D70" w:rsidRDefault="00000000">
      <w:pPr>
        <w:spacing w:before="100" w:beforeAutospacing="1" w:after="100" w:afterAutospacing="1" w:line="360" w:lineRule="auto"/>
        <w:jc w:val="both"/>
        <w:rPr>
          <w:rFonts w:eastAsia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first to the 7th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coprological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droppings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revealed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coccidia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the control.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second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coccidia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AEAC 5 g/l and 10 g/l,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eggs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 gram (OPG)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50 and 7250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respectively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whereas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control batch,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showed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650 OPG (figure 3</w:t>
      </w:r>
      <w:r>
        <w:rPr>
          <w:rFonts w:eastAsia="Times New Roman"/>
          <w:lang w:eastAsia="fr-FR"/>
        </w:rPr>
        <w:t>).</w:t>
      </w:r>
    </w:p>
    <w:p w14:paraId="69EF97F9" w14:textId="77777777" w:rsidR="00775D70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infestation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treatment</w:t>
      </w:r>
      <w:proofErr w:type="spellEnd"/>
    </w:p>
    <w:p w14:paraId="27A62538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infestation,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droppings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all 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the control batch, 86350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g/l AEAC,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21400 OPG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For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g/l AEAC,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102,300 OPG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EE8F31" w14:textId="77777777" w:rsidR="00775D70" w:rsidRDefault="000000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26, i.e.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drop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coccidia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eggs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droppings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In the control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g/l AEAC,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OPG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86350 to 1600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102300 to 1800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respectively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at the dose of 10 g/l AEAC,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21400 to 13900 OPG. By the end of the 7-day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infestation 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all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microscopic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observation, an OPG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control batch, 4200 for the batch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g/l AEAC and an OPG of 3500 for the batch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g/l AEAC (figure 4).</w:t>
      </w:r>
    </w:p>
    <w:p w14:paraId="79F806F7" w14:textId="77777777" w:rsidR="00775D70" w:rsidRDefault="000000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index</w:t>
      </w:r>
    </w:p>
    <w:p w14:paraId="3B302C77" w14:textId="77777777" w:rsidR="00775D70" w:rsidRDefault="000000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Chickens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showed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signs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characteristic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coccidiosis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namely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prostration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-like posture,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drooping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ruffled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feathers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droppings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chickens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highly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variable,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normal to bloody.</w:t>
      </w:r>
    </w:p>
    <w:p w14:paraId="42269916" w14:textId="77777777" w:rsidR="00775D70" w:rsidRDefault="00000000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F712DF" wp14:editId="0C9BF571">
                <wp:simplePos x="0" y="0"/>
                <wp:positionH relativeFrom="column">
                  <wp:posOffset>5233169</wp:posOffset>
                </wp:positionH>
                <wp:positionV relativeFrom="paragraph">
                  <wp:posOffset>1594462</wp:posOffset>
                </wp:positionV>
                <wp:extent cx="586999" cy="325964"/>
                <wp:effectExtent l="0" t="0" r="381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8" cy="325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D18E8" w14:textId="77777777" w:rsidR="00775D7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712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3" type="#_x0000_t202" style="position:absolute;left:0;text-align:left;margin-left:412.05pt;margin-top:125.55pt;width:46.2pt;height:25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VxEgIAAPwDAAAOAAAAZHJzL2Uyb0RvYy54bWysU9uO2jAQfa/Uf7D8XgIUWIgIqy1bqkrb&#10;i7TtBxjHIVYdjzs2JPTrd+xkWdq+VfWDNeMZH8+cOV7fdo1hJ4Vegy34ZDTmTFkJpbaHgn//tnuz&#10;5M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" stroked="f">
                <v:textbox>
                  <w:txbxContent>
                    <w:p w14:paraId="72ED18E8" w14:textId="77777777" w:rsidR="00775D70" w:rsidRDefault="000000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23B043" wp14:editId="322DEDBB">
                <wp:simplePos x="0" y="0"/>
                <wp:positionH relativeFrom="column">
                  <wp:posOffset>1779978</wp:posOffset>
                </wp:positionH>
                <wp:positionV relativeFrom="paragraph">
                  <wp:posOffset>2246636</wp:posOffset>
                </wp:positionV>
                <wp:extent cx="502126" cy="232565"/>
                <wp:effectExtent l="0" t="0" r="0" b="0"/>
                <wp:wrapNone/>
                <wp:docPr id="1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25" cy="23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88A7" w14:textId="77777777" w:rsidR="00775D70" w:rsidRDefault="00000000">
                            <w:pPr>
                              <w:spacing w:line="276" w:lineRule="auto"/>
                              <w:jc w:val="center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Control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B043" id="Zone de texte 1" o:spid="_x0000_s1034" type="#_x0000_t202" style="position:absolute;left:0;text-align:left;margin-left:140.15pt;margin-top:176.9pt;width:39.55pt;height:18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" stroked="f">
                <v:textbox inset="1mm,1mm,1mm,1mm">
                  <w:txbxContent>
                    <w:p w14:paraId="425488A7" w14:textId="77777777" w:rsidR="00775D70" w:rsidRDefault="00000000">
                      <w:pPr>
                        <w:spacing w:line="276" w:lineRule="auto"/>
                        <w:jc w:val="center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sz w:val="18"/>
                          <w:szCs w:val="18"/>
                        </w:rP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05EE49" wp14:editId="299327B5">
                <wp:simplePos x="0" y="0"/>
                <wp:positionH relativeFrom="column">
                  <wp:posOffset>565150</wp:posOffset>
                </wp:positionH>
                <wp:positionV relativeFrom="paragraph">
                  <wp:posOffset>-240030</wp:posOffset>
                </wp:positionV>
                <wp:extent cx="495300" cy="1404620"/>
                <wp:effectExtent l="0" t="254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199999"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1DD3" w14:textId="77777777" w:rsidR="00775D7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5EE49" id="_x0000_s1035" type="#_x0000_t202" style="position:absolute;left:0;text-align:left;margin-left:44.5pt;margin-top:-18.9pt;width:39pt;height:110.6pt;rotation:-5898241fd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" stroked="f">
                <v:textbox style="mso-fit-shape-to-text:t">
                  <w:txbxContent>
                    <w:p w14:paraId="0B231DD3" w14:textId="77777777" w:rsidR="00775D70" w:rsidRDefault="000000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D6725A5" wp14:editId="491BEB14">
            <wp:extent cx="4572000" cy="2743200"/>
            <wp:effectExtent l="0" t="0" r="0" b="0"/>
            <wp:docPr id="13" name="Graphique 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CBC23F" w14:textId="77777777" w:rsidR="00775D70" w:rsidRDefault="00000000">
      <w:pPr>
        <w:pStyle w:val="Caption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</w:pPr>
      <w:bookmarkStart w:id="2" w:name="_Toc119525025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3 : </w:t>
      </w:r>
      <w:bookmarkEnd w:id="2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Changes in OPG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before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artificial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 infestation</w:t>
      </w:r>
    </w:p>
    <w:p w14:paraId="6CE7E23F" w14:textId="77777777" w:rsidR="00775D70" w:rsidRDefault="00775D70">
      <w:pPr>
        <w:pStyle w:val="Caption"/>
        <w:jc w:val="right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</w:pPr>
    </w:p>
    <w:p w14:paraId="16DF724A" w14:textId="77777777" w:rsidR="00775D70" w:rsidRDefault="00775D70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04DD6" w14:textId="77777777" w:rsidR="00775D70" w:rsidRDefault="00775D70">
      <w:pPr>
        <w:rPr>
          <w:rFonts w:ascii="Times New Roman" w:hAnsi="Times New Roman" w:cs="Times New Roman"/>
          <w:b/>
          <w:sz w:val="24"/>
          <w:szCs w:val="24"/>
        </w:rPr>
      </w:pPr>
    </w:p>
    <w:p w14:paraId="7926D31F" w14:textId="77777777" w:rsidR="00775D70" w:rsidRDefault="00775D7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7E37EF" w14:textId="77777777" w:rsidR="00775D70" w:rsidRDefault="00775D7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234A66A" w14:textId="77777777" w:rsidR="00775D70" w:rsidRDefault="00000000">
      <w:pPr>
        <w:keepNext/>
        <w:tabs>
          <w:tab w:val="left" w:pos="797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164AB0" wp14:editId="253C156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95300" cy="1404620"/>
                <wp:effectExtent l="0" t="254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199999"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F9826" w14:textId="77777777" w:rsidR="00775D70" w:rsidRDefault="000000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64AB0" id="_x0000_s1036" type="#_x0000_t202" style="position:absolute;margin-left:0;margin-top:3.6pt;width:39pt;height:110.6pt;rotation:-5898241fd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" stroked="f">
                <v:textbox style="mso-fit-shape-to-text:t">
                  <w:txbxContent>
                    <w:p w14:paraId="5E9F9826" w14:textId="77777777" w:rsidR="00775D70" w:rsidRDefault="0000000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E1DF6" wp14:editId="71A01E69">
                <wp:simplePos x="0" y="0"/>
                <wp:positionH relativeFrom="column">
                  <wp:posOffset>5259070</wp:posOffset>
                </wp:positionH>
                <wp:positionV relativeFrom="paragraph">
                  <wp:posOffset>1951423</wp:posOffset>
                </wp:positionV>
                <wp:extent cx="678928" cy="479576"/>
                <wp:effectExtent l="0" t="0" r="6985" b="0"/>
                <wp:wrapNone/>
                <wp:docPr id="15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8928" cy="47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984D0" w14:textId="77777777" w:rsidR="00775D70" w:rsidRDefault="00000000">
                            <w:pP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E1DF6" id="Rectangle 226" o:spid="_x0000_s1037" style="position:absolute;margin-left:414.1pt;margin-top:153.65pt;width:53.45pt;height: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" fillcolor="white [3201]" stroked="f" strokeweight="1pt">
                <v:textbox>
                  <w:txbxContent>
                    <w:p w14:paraId="37D984D0" w14:textId="77777777" w:rsidR="00775D70" w:rsidRDefault="00000000">
                      <w:pP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-BoldMT" w:hAnsi="TimesNewRomanPS-BoldMT"/>
                          <w:bCs/>
                          <w:color w:val="000000"/>
                          <w:sz w:val="24"/>
                          <w:szCs w:val="24"/>
                        </w:rPr>
                        <w:t>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6BB9D41" wp14:editId="068C8AE0">
            <wp:extent cx="4572000" cy="2743200"/>
            <wp:effectExtent l="0" t="0" r="0" b="0"/>
            <wp:docPr id="1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E0FB22" w14:textId="77777777" w:rsidR="00775D70" w:rsidRDefault="00000000">
      <w:pPr>
        <w:pStyle w:val="Caption"/>
        <w:tabs>
          <w:tab w:val="center" w:pos="4536"/>
          <w:tab w:val="left" w:pos="7736"/>
        </w:tabs>
      </w:pPr>
      <w:bookmarkStart w:id="3" w:name="_Toc119525026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Figure 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4: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bookmarkEnd w:id="3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Changes in OPG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>artificial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 infestation</w:t>
      </w:r>
    </w:p>
    <w:p w14:paraId="6A0F4441" w14:textId="77777777" w:rsidR="00775D70" w:rsidRDefault="00000000">
      <w:pPr>
        <w:pStyle w:val="Caption"/>
        <w:tabs>
          <w:tab w:val="center" w:pos="4536"/>
          <w:tab w:val="left" w:pos="7736"/>
        </w:tabs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</w:p>
    <w:p w14:paraId="66BA6A05" w14:textId="77777777" w:rsidR="00775D7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18823E0D" w14:textId="77777777" w:rsidR="00775D70" w:rsidRDefault="000000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index</w:t>
      </w:r>
    </w:p>
    <w:p w14:paraId="57933257" w14:textId="77777777" w:rsidR="00775D70" w:rsidRDefault="00775D70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F2798" w14:textId="77777777" w:rsidR="00775D70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end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intestines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duodenum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dilatation of the caeca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control batch.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hand,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intestines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slight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duodenum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Slightly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caeca</w:t>
      </w:r>
    </w:p>
    <w:p w14:paraId="0B9ED2F4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FA139" w14:textId="77777777" w:rsidR="00775D70" w:rsidRDefault="000000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5DA8E597" w14:textId="77777777" w:rsidR="00775D70" w:rsidRDefault="0000000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Phytochemical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screening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shown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aqueous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Alchornea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cordifolia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contains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sterols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polyterpenes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polyphenols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quinone compounds,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alkaloids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catechic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tannins.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phytochemical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compounds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plant's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therapeutic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properties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differ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al (2018),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ethanolic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extraction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reveal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flavonoids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tannins and an absence of quinone compounds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Alchornea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cordifolia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explained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the solvent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compounds. The solvent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determines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nature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compounds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37CC28C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acute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toxicity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oral administration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cause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rats at the respective doses of 2000 and 5000 mg/kg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Oral administration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tolerated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rats.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Consequently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LD50 of AEAC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greater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5000mg/kg body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rats,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line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previous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obtained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EAAC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(Traoré, 2004).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OECD's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globally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harmonised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classification system (OECD, 2001),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classified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category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considered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toxic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substance by the oral route.</w:t>
      </w:r>
    </w:p>
    <w:p w14:paraId="544055E4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2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5g/l and 10g/l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(P&gt;0.05)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control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1g/l SUPERCOX PLUS.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i.e. the control batch,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5g/l of EAAC and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10g/l of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Kouakou et al (2010).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 of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Thonningia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Balanophoraceae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anticoccidian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certainly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due to the plant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pharmacological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2BEE49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AEAC at 5 and 10g/l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33.51 and 31.98g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That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SUPERCOX PLUS at 1g/l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33.15g.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(P&gt;0.05)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libitum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proceeded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Chaaba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Artemisia herba alba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doses gave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control.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EAAC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affect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gain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broilers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6133ED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conversion ratio of the 2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the course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i.e.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(P&gt;0.05)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control batch.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Essomba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(2003). Indeed,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deteriorations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conversion ratio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11B090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rate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0%.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Bakli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(2020).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rearing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infestation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al (2010),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highest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sixth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eighth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infection, due to excessive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blood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diarrhoea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the case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although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bloody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diarrhoea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all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responded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occurred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similar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Kouakou et al (2010)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F5742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first to the 7th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droppings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the control.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Essomba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(2003).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incubation time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infestation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Essomba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incubation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B35BBD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outbreak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infestation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droppings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control,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g/l and 10 g/l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86350, 102 300 and 21400 OPG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infestation. Four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droppings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control,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g/l and 10 g/l of EAAC of 1600, 1800, 1900 OPG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 the end of the 7 </w:t>
      </w:r>
      <w:proofErr w:type="spellStart"/>
      <w:r>
        <w:rPr>
          <w:rFonts w:ascii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infestation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i.e. 200 OPG for the control batch, 4200 OPG for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5g/l EAAC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3500 OPG for the batch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10g/l AEAC.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all 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AEAC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due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compounds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Bakli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tannins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polysaccharides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condensed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tannins </w:t>
      </w:r>
      <w:proofErr w:type="spellStart"/>
      <w:r>
        <w:rPr>
          <w:rFonts w:ascii="Times New Roman" w:hAnsi="Times New Roman" w:cs="Times New Roman"/>
          <w:sz w:val="24"/>
          <w:szCs w:val="24"/>
        </w:rPr>
        <w:t>bind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destruction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structure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actions of tannins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so-called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bonding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hydrophobic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interactions,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by the formation of covalent bonds.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have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inactivate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adhesins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enzymes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envelope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due to the induction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D3368E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AEAC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contains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phenolic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compounds.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antimicrobial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phenols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expressed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microbial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wall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affecting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structure.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Phenols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interact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cytoplasmic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membrane and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modify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permeability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 H+ and K+ cations. The dissipation of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ionic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gradients leads to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alteration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essential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processes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allowing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escape of cellular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constituents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resulting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water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imbalance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a collapse in membrane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potential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inhibition of ATP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synthesis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leading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the parasite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wall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Bakli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., 2020). In addition,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the batch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SUPERCOX PLUS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200 OPG, i.e.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lower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3500 and 4200 OPG.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slight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difference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oocyst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reduction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synthetic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explained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by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concentration of the active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ingredient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contained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the plant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compared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synthetic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(Ola-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Fadunsin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Ademola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., 2014).</w:t>
      </w:r>
    </w:p>
    <w:p w14:paraId="45E0B7B5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contaminated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characteristic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prostration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-like posture,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drooping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ruffled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feathers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droppings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highly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variable,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ranging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normal to bloody.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confirmed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Kouakou et al (2010),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infestation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bloody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droppings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due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intestinal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walls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nutrients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F47797" w14:textId="77777777" w:rsidR="00775D70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Necropsy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end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intestines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duodenum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dilatation of the caeca in the control batch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SUPERCOX PLUS at 1g/l. On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hand,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AEAC at 5 and 10 g/l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intestines but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duodenum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slightly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caeca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indices due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appearance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due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efficacy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controls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out by Saarinen et al (2001)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use of plant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reduce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oxidative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stress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thereby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reducing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delaying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parasite.</w:t>
      </w:r>
    </w:p>
    <w:p w14:paraId="359CB7B8" w14:textId="77777777" w:rsidR="00775D70" w:rsidRDefault="00775D7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0DBD8" w14:textId="77777777" w:rsidR="00775D70" w:rsidRDefault="0000000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</w:p>
    <w:p w14:paraId="4B3ECAAE" w14:textId="77777777" w:rsidR="00775D70" w:rsidRDefault="00775D7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24D8D" w14:textId="77777777" w:rsidR="00775D70" w:rsidRDefault="00000000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CONCLUSION</w:t>
      </w:r>
    </w:p>
    <w:p w14:paraId="6495F9FB" w14:textId="77777777" w:rsidR="00775D70" w:rsidRDefault="00000000">
      <w:pPr>
        <w:pStyle w:val="CommentText"/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highlighted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anti-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parasitic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phytochemical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out on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several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groups,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responsible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therapeutic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attributed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the plant. The acute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toxicity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toxic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 LD50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greater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5000 mg/Kg CP.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support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safety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oral use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certain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illnesses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Evaluation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efficacy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Alchornea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cordifolia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concentrations of 5 g/l and 10 g/l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Eimeria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experimentally-infested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broilers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plant has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similar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SUPERCOX PLUS,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synthetic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anticoccidial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a dose of 1 g/l. Doses of 5 and 10g/l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significantly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reduced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intestinal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mucosa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against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harmful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coccidia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In addition,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adverse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conversion ratio 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zootechnical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parameters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compared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chickens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subacute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toxicity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recommended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use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plant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A3F144" w14:textId="77777777" w:rsidR="00775D70" w:rsidRDefault="00000000">
      <w:pPr>
        <w:pStyle w:val="CommentTex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</w:p>
    <w:p w14:paraId="746BAACC" w14:textId="77777777" w:rsidR="00775D70" w:rsidRDefault="00775D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43FEE" w14:textId="3836AE79" w:rsidR="00775D70" w:rsidRDefault="0000000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REFERENCES</w:t>
      </w:r>
    </w:p>
    <w:p w14:paraId="2F26B24F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Abo K.J.C., 2013-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plant to </w:t>
      </w:r>
      <w:proofErr w:type="spellStart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molecule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the plant to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molecule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Toxicity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pharmacological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mechanism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action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Justicia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secunda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Acanthaceae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), an antihypertensive plant, on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cardiovascular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system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mammals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PhD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Natural Sciences, Félix Houphouët-Boigny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Abidjan, Ivory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Coast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, 351p.</w:t>
      </w:r>
    </w:p>
    <w:p w14:paraId="7A9344BB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Aitfella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R., 2012-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anticoccidial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extracts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Peganum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harmala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Retana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sphaerocarpa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pollen grains. Dissertation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biochemistry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experimental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physiology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Natural and Life Sciences, Ferhat Abbas-Sétif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Senegal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, 139p.</w:t>
      </w:r>
    </w:p>
    <w:p w14:paraId="7EC0B76F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Bakli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S., 2020-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Antimicrobial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antioxidant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anticoccidial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properties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phenolic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extracts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local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medicinal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plants. Doctoral Dissertation in Science,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Microbiology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Ferhat Abbas Sétif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Natural and Life Sciences, Algeria, 216p.</w:t>
      </w:r>
    </w:p>
    <w:p w14:paraId="424A271E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Bagré I.,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Bahi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C., Ouattara K.,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Zirihi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G.N.,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Djaman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A.J., Coulibaly A. &amp; N’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guessan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J.D., 2011-Botanical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Exploration of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Antifungal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Activity of Morinda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morindoides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(Baker) Milne-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Redh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on the In Vitro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Cryptococcus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neoformans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Phytotherapy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9: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136-141.</w:t>
      </w:r>
    </w:p>
    <w:p w14:paraId="31CB853D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Chaabna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N., 20014-Anticoccidial Activity of Artemisia herba alba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Extracts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Dissertation,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Plant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Biology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Ecology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Ferhat Abbas Sétif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Natural and Life Sciences, Algeria, 91p.</w:t>
      </w:r>
    </w:p>
    <w:p w14:paraId="67C338BE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Dakpogan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H. B., Salifou S., Mensah G. A.,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Gbangbaotche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Youssao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I., Naciri M. &amp;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Sakiti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N., 2012-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controlling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preventing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coccidiosis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chickens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International Journal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Biological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Chemical Science, 6(6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6088-6105pp.</w:t>
      </w:r>
    </w:p>
    <w:p w14:paraId="4764CB15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Essomba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L. I., 2003-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Improving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poultry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production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through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the use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traditional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pharmacopoeia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fight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against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avian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coccidiosis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Cameroon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Dissertation, Cheikh Anta Diop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Dakar,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Senegal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, 44p.</w:t>
      </w:r>
    </w:p>
    <w:p w14:paraId="00CFBA5A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>Kouakou K.S., Toure A., Ouattara K. &amp; N’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guessan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J.D., 2010-In vivo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anticoccidial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aqueous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extract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Thonningia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sanguinea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balanophoraceae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) inflorescences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laying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hens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International Journal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Biological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Chemical Sciences, 4(4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864-870.</w:t>
      </w:r>
    </w:p>
    <w:p w14:paraId="3C2CBA61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Kouamé R. O., Coffi K., b,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Guessend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N.,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Séri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Y.,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Koukoua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G., Dosso M., N’Guessan Y. T.,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Figueredo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G.,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Chalchat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J.C., (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2004)-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Antibacterial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essential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oils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three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aromatic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plants of Côte d’Ivoire, Compte Rendu Chimie, 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7: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1081–1086.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Lazureski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G. V.,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Terenteva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I. V. &amp;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Chamchurin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A. A., 2007-Praticheskii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raboti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po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khimii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soedinienii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Vischaya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Chkola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Moscow,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, 334p.</w:t>
      </w:r>
    </w:p>
    <w:p w14:paraId="1AF6F11C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M’Bra V.D.P., 2017-Evaluation of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hepatoprotective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Alchornea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cordifolia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Sarenta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herbal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preparation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State doctoral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Pharmacy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UFR Pharmaceutical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Biological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Sciences, Félix Houphouët Boigny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Abidjan, Ivory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Coast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, 120p.</w:t>
      </w:r>
    </w:p>
    <w:p w14:paraId="0E8C8442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Mea A.,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Ekissi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Y.H.R., Abo K. J. C. &amp;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Kahou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B. G. P., 2017-Hypoglycaemic and anti-</w:t>
      </w:r>
    </w:p>
    <w:p w14:paraId="3FBA9D96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hyperglycaemic</w:t>
      </w:r>
      <w:proofErr w:type="spellEnd"/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Juscticia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secunda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vahl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acanthaceae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) on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glycaemia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wistar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rat. International Journal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, 07(06), 13178-13</w:t>
      </w:r>
    </w:p>
    <w:p w14:paraId="753C5383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Organization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Economic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Cooperation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, 2001-Guideline for the</w:t>
      </w:r>
    </w:p>
    <w:p w14:paraId="265CC87F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testing</w:t>
      </w:r>
      <w:proofErr w:type="spellEnd"/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chemical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Aceute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oral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toxicity-Aceute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Toxic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Class Method, 423. Masson, Paris.</w:t>
      </w:r>
    </w:p>
    <w:p w14:paraId="50846602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Saarinen M.T.,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Kettunen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H.,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Pulliainen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K.,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Peuranen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S.,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Tiihonen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K. &amp; Remus J., 2001- A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novel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analyze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betaine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chicken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liver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dietary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betaine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choline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supplementation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on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hepatic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betaine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concentration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broiler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chicks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Journal of Agricultural and Food Chemistry, 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49: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559-563.</w:t>
      </w:r>
    </w:p>
    <w:p w14:paraId="024A4B93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Saraka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A. I., Abo K., Coulibaly K. &amp;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Zirihi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G. N., 2018.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Phytochemical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antifungal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extracts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medicinal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Euphorbiaceae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used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among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the Baoulé of the Yamoussoukro district (Ivory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Coast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Scientific Journal, 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14: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1857-7431.</w:t>
      </w:r>
    </w:p>
    <w:p w14:paraId="7741E8A4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GHS. 2003.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Globally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Harmonized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System of Classification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Labeling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Chemicals. Acute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toxicity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United Nations New York and Geneva, United Nations publication sales </w:t>
      </w:r>
      <w:proofErr w:type="spellStart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E.03.II.E.25, 547p</w:t>
      </w:r>
    </w:p>
    <w:p w14:paraId="3686DC29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F. S. Ouattara-Soro, D. Camara, P.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Acray-Zengbe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J. R.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Djile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B. Yao Konan (2023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Aqueous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Extract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Leaves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Ocimum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gratissimum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Lamiaceae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) (False Basil) as an Alternative to the Chemical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Antibiotics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Used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Breeding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Cobb-500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Broiler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Chickens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the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Azaguie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Côte 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d'Ivoire;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J.Nutr</w:t>
      </w:r>
      <w:proofErr w:type="spellEnd"/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Food.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Saf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., vol. 15, no. 5, pp. 30-40, </w:t>
      </w:r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2023;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No.EJNFS</w:t>
      </w:r>
      <w:proofErr w:type="spellEnd"/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>. 99129</w:t>
      </w:r>
    </w:p>
    <w:p w14:paraId="6EB8CFC2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>http://dx.doi.org/10.9734/EJNFS/2023/v15i51310</w:t>
      </w:r>
    </w:p>
    <w:p w14:paraId="43072E87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0BE00" w14:textId="77777777" w:rsidR="000D106A" w:rsidRPr="000D106A" w:rsidRDefault="000D106A" w:rsidP="000D10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Traoré M., 2004 -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Alchornéa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cordifolia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Schmach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Euphorbiaceae</w:t>
      </w:r>
      <w:proofErr w:type="spellEnd"/>
      <w:proofErr w:type="gramStart"/>
      <w:r w:rsidRPr="000D106A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biological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toxicity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Doctoral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Pharmacy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Faculty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Pharmacy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Odontostomatology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of Bamako, Bamako, Mali, 107p.</w:t>
      </w:r>
    </w:p>
    <w:p w14:paraId="1CB53CAA" w14:textId="4B9B8D20" w:rsidR="00775D70" w:rsidRDefault="000D106A" w:rsidP="000D1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6A">
        <w:rPr>
          <w:rFonts w:ascii="Times New Roman" w:hAnsi="Times New Roman" w:cs="Times New Roman"/>
          <w:b/>
          <w:sz w:val="24"/>
          <w:szCs w:val="24"/>
        </w:rPr>
        <w:t xml:space="preserve">Wagner H. &amp;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Bladt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S., 2001 - Plant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drug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. A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thin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-layer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chromatography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 xml:space="preserve"> atlas. 2nd </w:t>
      </w:r>
      <w:proofErr w:type="spellStart"/>
      <w:r w:rsidRPr="000D106A">
        <w:rPr>
          <w:rFonts w:ascii="Times New Roman" w:hAnsi="Times New Roman" w:cs="Times New Roman"/>
          <w:b/>
          <w:sz w:val="24"/>
          <w:szCs w:val="24"/>
        </w:rPr>
        <w:t>edition</w:t>
      </w:r>
      <w:proofErr w:type="spellEnd"/>
      <w:r w:rsidRPr="000D106A">
        <w:rPr>
          <w:rFonts w:ascii="Times New Roman" w:hAnsi="Times New Roman" w:cs="Times New Roman"/>
          <w:b/>
          <w:sz w:val="24"/>
          <w:szCs w:val="24"/>
        </w:rPr>
        <w:t>. Springer, Berlin, Germany, 384p.</w:t>
      </w:r>
    </w:p>
    <w:sectPr w:rsidR="00775D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1EF4" w14:textId="77777777" w:rsidR="001D0F26" w:rsidRDefault="001D0F26">
      <w:pPr>
        <w:spacing w:after="0" w:line="240" w:lineRule="auto"/>
      </w:pPr>
      <w:r>
        <w:separator/>
      </w:r>
    </w:p>
  </w:endnote>
  <w:endnote w:type="continuationSeparator" w:id="0">
    <w:p w14:paraId="175D8857" w14:textId="77777777" w:rsidR="001D0F26" w:rsidRDefault="001D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</w:font>
  <w:font w:name="Times-Italic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9A2F" w14:textId="77777777" w:rsidR="00BB438A" w:rsidRDefault="00BB4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2658106"/>
      <w:docPartObj>
        <w:docPartGallery w:val="Page Numbers (Bottom of Page)"/>
        <w:docPartUnique/>
      </w:docPartObj>
    </w:sdtPr>
    <w:sdtContent>
      <w:p w14:paraId="56852FFD" w14:textId="77777777" w:rsidR="00775D70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4E8EE596" w14:textId="77777777" w:rsidR="00775D70" w:rsidRDefault="00775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90A5" w14:textId="77777777" w:rsidR="00BB438A" w:rsidRDefault="00BB4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E871C" w14:textId="77777777" w:rsidR="001D0F26" w:rsidRDefault="001D0F26">
      <w:pPr>
        <w:spacing w:after="0" w:line="240" w:lineRule="auto"/>
      </w:pPr>
      <w:r>
        <w:separator/>
      </w:r>
    </w:p>
  </w:footnote>
  <w:footnote w:type="continuationSeparator" w:id="0">
    <w:p w14:paraId="211C64AE" w14:textId="77777777" w:rsidR="001D0F26" w:rsidRDefault="001D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108C" w14:textId="2ED81F2A" w:rsidR="00BB438A" w:rsidRDefault="00BB438A">
    <w:pPr>
      <w:pStyle w:val="Header"/>
    </w:pPr>
    <w:r>
      <w:rPr>
        <w:noProof/>
      </w:rPr>
      <w:pict w14:anchorId="4D46C3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56438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B14A6" w14:textId="1CE48400" w:rsidR="00775D70" w:rsidRDefault="00BB438A">
    <w:pPr>
      <w:pStyle w:val="Header"/>
    </w:pPr>
    <w:r>
      <w:rPr>
        <w:noProof/>
      </w:rPr>
      <w:pict w14:anchorId="6DDB9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56439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  <w:p w14:paraId="6713E4BE" w14:textId="77777777" w:rsidR="00775D70" w:rsidRDefault="00775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3AF3" w14:textId="4B388731" w:rsidR="00BB438A" w:rsidRDefault="00BB438A">
    <w:pPr>
      <w:pStyle w:val="Header"/>
    </w:pPr>
    <w:r>
      <w:rPr>
        <w:noProof/>
      </w:rPr>
      <w:pict w14:anchorId="746469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956437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ACB"/>
    <w:multiLevelType w:val="multilevel"/>
    <w:tmpl w:val="AEA8D8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7BF"/>
    <w:multiLevelType w:val="multilevel"/>
    <w:tmpl w:val="E6FE4F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867E2"/>
    <w:multiLevelType w:val="multilevel"/>
    <w:tmpl w:val="18388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251E"/>
    <w:multiLevelType w:val="multilevel"/>
    <w:tmpl w:val="2D5ED8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FB148F"/>
    <w:multiLevelType w:val="multilevel"/>
    <w:tmpl w:val="A774AC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1C711E"/>
    <w:multiLevelType w:val="multilevel"/>
    <w:tmpl w:val="D6365022"/>
    <w:lvl w:ilvl="0">
      <w:start w:val="1"/>
      <w:numFmt w:val="decimal"/>
      <w:lvlText w:val="%1."/>
      <w:lvlJc w:val="right"/>
      <w:pPr>
        <w:ind w:left="720" w:hanging="36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672D8"/>
    <w:multiLevelType w:val="multilevel"/>
    <w:tmpl w:val="31A2960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7233E0"/>
    <w:multiLevelType w:val="multilevel"/>
    <w:tmpl w:val="C1821E5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869418926">
    <w:abstractNumId w:val="0"/>
  </w:num>
  <w:num w:numId="2" w16cid:durableId="1766994666">
    <w:abstractNumId w:val="6"/>
  </w:num>
  <w:num w:numId="3" w16cid:durableId="222301775">
    <w:abstractNumId w:val="7"/>
  </w:num>
  <w:num w:numId="4" w16cid:durableId="894270221">
    <w:abstractNumId w:val="1"/>
  </w:num>
  <w:num w:numId="5" w16cid:durableId="272397645">
    <w:abstractNumId w:val="3"/>
  </w:num>
  <w:num w:numId="6" w16cid:durableId="1674990703">
    <w:abstractNumId w:val="2"/>
  </w:num>
  <w:num w:numId="7" w16cid:durableId="2053458398">
    <w:abstractNumId w:val="4"/>
  </w:num>
  <w:num w:numId="8" w16cid:durableId="1741444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70"/>
    <w:rsid w:val="000D106A"/>
    <w:rsid w:val="001312B6"/>
    <w:rsid w:val="001D0F26"/>
    <w:rsid w:val="00272DA2"/>
    <w:rsid w:val="003E50AD"/>
    <w:rsid w:val="006F03DB"/>
    <w:rsid w:val="0072259F"/>
    <w:rsid w:val="007552B1"/>
    <w:rsid w:val="00775D70"/>
    <w:rsid w:val="008D17DF"/>
    <w:rsid w:val="008F683A"/>
    <w:rsid w:val="00946DE6"/>
    <w:rsid w:val="009C4B76"/>
    <w:rsid w:val="00A278B7"/>
    <w:rsid w:val="00AC344B"/>
    <w:rsid w:val="00B065B5"/>
    <w:rsid w:val="00B901FA"/>
    <w:rsid w:val="00BB438A"/>
    <w:rsid w:val="00D70B2E"/>
    <w:rsid w:val="00F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2EFEA"/>
  <w15:docId w15:val="{4C020CC5-0792-452D-827C-D1DA5699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fontstyle01">
    <w:name w:val="fontstyle01"/>
    <w:basedOn w:val="DefaultParagraphFont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DefaultParagraphFont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Corpsdetexte1">
    <w:name w:val="Corps de texte1"/>
    <w:uiPriority w:val="1"/>
    <w:qFormat/>
    <w:rsid w:val="00A278B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692000000000003E-2"/>
          <c:y val="2.6858E-2"/>
          <c:w val="0.902864"/>
          <c:h val="0.80893199999999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GMQ!$B$8</c:f>
              <c:strCache>
                <c:ptCount val="1"/>
                <c:pt idx="0">
                  <c:v>temoin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000000000000001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4995846-1FE5-4204-A409-F3537D01382A}" type="VALUE">
                      <a:rPr lang="en-US"/>
                      <a:pPr>
                        <a:defRPr sz="900" b="0" i="0" u="none" strike="noStrike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mc="http://schemas.openxmlformats.org/markup-compatibility/2006" xmlns:c15="http://schemas.microsoft.com/office/drawing/2012/chart" xmlns:c14="http://schemas.microsoft.com/office/drawing/2007/8/2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7F6-47A4-BAC5-3041797699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GMQ!$C$8</c:f>
              <c:numCache>
                <c:formatCode>General</c:formatCode>
                <c:ptCount val="1"/>
                <c:pt idx="0">
                  <c:v>33.15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F6-47A4-BAC5-304179769962}"/>
            </c:ext>
          </c:extLst>
        </c:ser>
        <c:ser>
          <c:idx val="1"/>
          <c:order val="1"/>
          <c:tx>
            <c:strRef>
              <c:f>GMQ!$B$9</c:f>
              <c:strCache>
                <c:ptCount val="1"/>
                <c:pt idx="0">
                  <c:v>lot 5g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23BE638-8888-4862-98A6-43AB64D705EE}" type="VALUE">
                      <a:rPr lang="en-US"/>
                      <a:pPr>
                        <a:defRPr sz="900" b="0" i="0" u="none" strike="noStrike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mc="http://schemas.openxmlformats.org/markup-compatibility/2006" xmlns:c15="http://schemas.microsoft.com/office/drawing/2012/chart" xmlns:c14="http://schemas.microsoft.com/office/drawing/2007/8/2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7F6-47A4-BAC5-3041797699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GMQ!$C$9</c:f>
              <c:numCache>
                <c:formatCode>General</c:formatCode>
                <c:ptCount val="1"/>
                <c:pt idx="0">
                  <c:v>33.51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F6-47A4-BAC5-304179769962}"/>
            </c:ext>
          </c:extLst>
        </c:ser>
        <c:ser>
          <c:idx val="2"/>
          <c:order val="2"/>
          <c:tx>
            <c:strRef>
              <c:f>GMQ!$B$10</c:f>
              <c:strCache>
                <c:ptCount val="1"/>
                <c:pt idx="0">
                  <c:v>lot 10g</c:v>
                </c:pt>
              </c:strCache>
            </c:strRef>
          </c:tx>
          <c:spPr>
            <a:prstGeom prst="rect">
              <a:avLst/>
            </a:prstGeom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100D662-ABFB-435B-8B8D-4FE28B04DBD3}" type="VALUE">
                      <a:rPr lang="en-US"/>
                      <a:pPr>
                        <a:defRPr sz="900" b="0" i="0" u="none" strike="noStrike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mc="http://schemas.openxmlformats.org/markup-compatibility/2006" xmlns:c15="http://schemas.microsoft.com/office/drawing/2012/chart" xmlns:c14="http://schemas.microsoft.com/office/drawing/2007/8/2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7F6-47A4-BAC5-3041797699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GMQ!$C$10</c:f>
              <c:numCache>
                <c:formatCode>General</c:formatCode>
                <c:ptCount val="1"/>
                <c:pt idx="0">
                  <c:v>31.98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7F6-47A4-BAC5-304179769962}"/>
            </c:ext>
          </c:extLst>
        </c:ser>
        <c:ser>
          <c:idx val="3"/>
          <c:order val="3"/>
          <c:tx>
            <c:strRef>
              <c:f>GMQ!$B$11</c:f>
              <c:strCache>
                <c:ptCount val="1"/>
              </c:strCache>
            </c:strRef>
          </c:tx>
          <c:spPr>
            <a:prstGeom prst="rect">
              <a:avLst/>
            </a:prstGeom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GMQ!$C$11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F6-47A4-BAC5-3041797699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2482248"/>
        <c:axId val="422484992"/>
      </c:barChart>
      <c:catAx>
        <c:axId val="42248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484992"/>
        <c:crosses val="autoZero"/>
        <c:auto val="1"/>
        <c:lblAlgn val="ctr"/>
        <c:lblOffset val="100"/>
        <c:noMultiLvlLbl val="0"/>
      </c:catAx>
      <c:valAx>
        <c:axId val="422484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solidFill>
              <a:schemeClr val="tx1"/>
            </a:solidFill>
            <a:headEnd type="none"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482248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486"/>
          <c:y val="0.908891"/>
          <c:w val="0.79991599999999996"/>
          <c:h val="6.4396999999999996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015999999999996E-2"/>
          <c:y val="6.0866999999999997E-2"/>
          <c:w val="0.89518600000000004"/>
          <c:h val="0.71050800000000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IC!$D$5</c:f>
              <c:strCache>
                <c:ptCount val="1"/>
                <c:pt idx="0">
                  <c:v>temoin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IC!$E$4</c:f>
              <c:strCache>
                <c:ptCount val="1"/>
                <c:pt idx="0">
                  <c:v>IC</c:v>
                </c:pt>
              </c:strCache>
            </c:strRef>
          </c:cat>
          <c:val>
            <c:numRef>
              <c:f>IC!$E$5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3-403C-9077-F11B8B1FA81E}"/>
            </c:ext>
          </c:extLst>
        </c:ser>
        <c:ser>
          <c:idx val="1"/>
          <c:order val="1"/>
          <c:tx>
            <c:strRef>
              <c:f>IC!$D$6</c:f>
              <c:strCache>
                <c:ptCount val="1"/>
                <c:pt idx="0">
                  <c:v>lot 5g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IC!$E$4</c:f>
              <c:strCache>
                <c:ptCount val="1"/>
                <c:pt idx="0">
                  <c:v>IC</c:v>
                </c:pt>
              </c:strCache>
            </c:strRef>
          </c:cat>
          <c:val>
            <c:numRef>
              <c:f>IC!$E$6</c:f>
              <c:numCache>
                <c:formatCode>General</c:formatCode>
                <c:ptCount val="1"/>
                <c:pt idx="0">
                  <c:v>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63-403C-9077-F11B8B1FA81E}"/>
            </c:ext>
          </c:extLst>
        </c:ser>
        <c:ser>
          <c:idx val="2"/>
          <c:order val="2"/>
          <c:tx>
            <c:strRef>
              <c:f>IC!$D$7</c:f>
              <c:strCache>
                <c:ptCount val="1"/>
                <c:pt idx="0">
                  <c:v>lot 10g</c:v>
                </c:pt>
              </c:strCache>
            </c:strRef>
          </c:tx>
          <c:spPr>
            <a:prstGeom prst="rect">
              <a:avLst/>
            </a:prstGeom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IC!$E$4</c:f>
              <c:strCache>
                <c:ptCount val="1"/>
                <c:pt idx="0">
                  <c:v>IC</c:v>
                </c:pt>
              </c:strCache>
            </c:strRef>
          </c:cat>
          <c:val>
            <c:numRef>
              <c:f>IC!$E$7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63-403C-9077-F11B8B1FA81E}"/>
            </c:ext>
          </c:extLst>
        </c:ser>
        <c:ser>
          <c:idx val="3"/>
          <c:order val="3"/>
          <c:tx>
            <c:strRef>
              <c:f>IC!$D$8</c:f>
              <c:strCache>
                <c:ptCount val="1"/>
              </c:strCache>
            </c:strRef>
          </c:tx>
          <c:spPr>
            <a:prstGeom prst="rect">
              <a:avLst/>
            </a:prstGeom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prstGeom prst="rect">
                <a:avLst/>
              </a:prstGeom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IC!$E$4</c:f>
              <c:strCache>
                <c:ptCount val="1"/>
                <c:pt idx="0">
                  <c:v>IC</c:v>
                </c:pt>
              </c:strCache>
            </c:strRef>
          </c:cat>
          <c:val>
            <c:numRef>
              <c:f>IC!$E$8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63-403C-9077-F11B8B1FA8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2484208"/>
        <c:axId val="422484600"/>
      </c:barChart>
      <c:catAx>
        <c:axId val="42248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484600"/>
        <c:crosses val="autoZero"/>
        <c:auto val="1"/>
        <c:lblAlgn val="ctr"/>
        <c:lblOffset val="100"/>
        <c:noMultiLvlLbl val="0"/>
      </c:catAx>
      <c:valAx>
        <c:axId val="422484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484208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42346"/>
          <c:y val="0.88397099999999995"/>
          <c:w val="0.72375699999999998"/>
          <c:h val="0.110957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47"/>
          <c:y val="2.5427999999999999E-2"/>
          <c:w val="0.87753000000000003"/>
          <c:h val="0.61498399999999998"/>
        </c:manualLayout>
      </c:layout>
      <c:lineChart>
        <c:grouping val="standard"/>
        <c:varyColors val="0"/>
        <c:ser>
          <c:idx val="0"/>
          <c:order val="0"/>
          <c:tx>
            <c:strRef>
              <c:f>Feuil1!$B$8</c:f>
              <c:strCache>
                <c:ptCount val="1"/>
                <c:pt idx="0">
                  <c:v>T</c:v>
                </c:pt>
              </c:strCache>
            </c:strRef>
          </c:tx>
          <c:spPr>
            <a:prstGeom prst="rect">
              <a:avLst/>
            </a:prstGeom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Feuil1!$C$7:$E$7</c:f>
              <c:strCache>
                <c:ptCount val="3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</c:strCache>
            </c:strRef>
          </c:cat>
          <c:val>
            <c:numRef>
              <c:f>Feuil1!$C$8:$E$8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650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7D-48A1-8A4E-D6109FAB5F79}"/>
            </c:ext>
          </c:extLst>
        </c:ser>
        <c:ser>
          <c:idx val="1"/>
          <c:order val="1"/>
          <c:tx>
            <c:strRef>
              <c:f>Feuil1!$B$9</c:f>
              <c:strCache>
                <c:ptCount val="1"/>
                <c:pt idx="0">
                  <c:v>5 g</c:v>
                </c:pt>
              </c:strCache>
            </c:strRef>
          </c:tx>
          <c:spPr>
            <a:prstGeom prst="rect">
              <a:avLst/>
            </a:prstGeom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Feuil1!$C$7:$E$7</c:f>
              <c:strCache>
                <c:ptCount val="3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</c:strCache>
            </c:strRef>
          </c:cat>
          <c:val>
            <c:numRef>
              <c:f>Feuil1!$C$9:$E$9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7250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7D-48A1-8A4E-D6109FAB5F79}"/>
            </c:ext>
          </c:extLst>
        </c:ser>
        <c:ser>
          <c:idx val="2"/>
          <c:order val="2"/>
          <c:tx>
            <c:strRef>
              <c:f>Feuil1!$B$10</c:f>
              <c:strCache>
                <c:ptCount val="1"/>
                <c:pt idx="0">
                  <c:v>10g</c:v>
                </c:pt>
              </c:strCache>
            </c:strRef>
          </c:tx>
          <c:spPr>
            <a:prstGeom prst="rect">
              <a:avLst/>
            </a:prstGeom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Feuil1!$C$7:$E$7</c:f>
              <c:strCache>
                <c:ptCount val="3"/>
                <c:pt idx="0">
                  <c:v>J0</c:v>
                </c:pt>
                <c:pt idx="1">
                  <c:v>J7</c:v>
                </c:pt>
                <c:pt idx="2">
                  <c:v>J14</c:v>
                </c:pt>
              </c:strCache>
            </c:strRef>
          </c:cat>
          <c:val>
            <c:numRef>
              <c:f>Feuil1!$C$10:$E$10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7D-48A1-8A4E-D6109FAB5F7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22477936"/>
        <c:axId val="422478328"/>
      </c:lineChart>
      <c:catAx>
        <c:axId val="42247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478328"/>
        <c:crosses val="autoZero"/>
        <c:auto val="1"/>
        <c:lblAlgn val="ctr"/>
        <c:lblOffset val="100"/>
        <c:noMultiLvlLbl val="0"/>
      </c:catAx>
      <c:valAx>
        <c:axId val="422478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247793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604999999999995E-2"/>
          <c:y val="0.79687399999999997"/>
          <c:w val="0.74912299999999998"/>
          <c:h val="0.12442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359"/>
          <c:y val="5.0925999999999999E-2"/>
          <c:w val="0.85219699999999998"/>
          <c:h val="0.73577099999999995"/>
        </c:manualLayout>
      </c:layout>
      <c:lineChart>
        <c:grouping val="standard"/>
        <c:varyColors val="0"/>
        <c:ser>
          <c:idx val="0"/>
          <c:order val="0"/>
          <c:tx>
            <c:strRef>
              <c:f>Feuil1!$D$13</c:f>
              <c:strCache>
                <c:ptCount val="1"/>
                <c:pt idx="0">
                  <c:v>T</c:v>
                </c:pt>
              </c:strCache>
            </c:strRef>
          </c:tx>
          <c:spPr>
            <a:prstGeom prst="rect">
              <a:avLst/>
            </a:prstGeom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Feuil1!$E$12:$G$12</c:f>
              <c:strCache>
                <c:ptCount val="3"/>
                <c:pt idx="0">
                  <c:v>J21</c:v>
                </c:pt>
                <c:pt idx="1">
                  <c:v>J26</c:v>
                </c:pt>
                <c:pt idx="2">
                  <c:v>J29</c:v>
                </c:pt>
              </c:strCache>
            </c:strRef>
          </c:cat>
          <c:val>
            <c:numRef>
              <c:f>Feuil1!$E$13:$G$13</c:f>
              <c:numCache>
                <c:formatCode>General</c:formatCode>
                <c:ptCount val="3"/>
                <c:pt idx="0">
                  <c:v>86350</c:v>
                </c:pt>
                <c:pt idx="1">
                  <c:v>1600</c:v>
                </c:pt>
                <c:pt idx="2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0B-4024-9C7C-4D880A12643C}"/>
            </c:ext>
          </c:extLst>
        </c:ser>
        <c:ser>
          <c:idx val="1"/>
          <c:order val="1"/>
          <c:tx>
            <c:strRef>
              <c:f>Feuil1!$D$14</c:f>
              <c:strCache>
                <c:ptCount val="1"/>
                <c:pt idx="0">
                  <c:v>5 g</c:v>
                </c:pt>
              </c:strCache>
            </c:strRef>
          </c:tx>
          <c:spPr>
            <a:prstGeom prst="rect">
              <a:avLst/>
            </a:prstGeom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Feuil1!$E$12:$G$12</c:f>
              <c:strCache>
                <c:ptCount val="3"/>
                <c:pt idx="0">
                  <c:v>J21</c:v>
                </c:pt>
                <c:pt idx="1">
                  <c:v>J26</c:v>
                </c:pt>
                <c:pt idx="2">
                  <c:v>J29</c:v>
                </c:pt>
              </c:strCache>
            </c:strRef>
          </c:cat>
          <c:val>
            <c:numRef>
              <c:f>Feuil1!$E$14:$G$14</c:f>
              <c:numCache>
                <c:formatCode>General</c:formatCode>
                <c:ptCount val="3"/>
                <c:pt idx="0">
                  <c:v>102300</c:v>
                </c:pt>
                <c:pt idx="1">
                  <c:v>1800</c:v>
                </c:pt>
                <c:pt idx="2">
                  <c:v>4200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0B-4024-9C7C-4D880A12643C}"/>
            </c:ext>
          </c:extLst>
        </c:ser>
        <c:ser>
          <c:idx val="2"/>
          <c:order val="2"/>
          <c:tx>
            <c:strRef>
              <c:f>Feuil1!$D$15</c:f>
              <c:strCache>
                <c:ptCount val="1"/>
                <c:pt idx="0">
                  <c:v>10g</c:v>
                </c:pt>
              </c:strCache>
            </c:strRef>
          </c:tx>
          <c:spPr>
            <a:prstGeom prst="rect">
              <a:avLst/>
            </a:prstGeom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Feuil1!$E$12:$G$12</c:f>
              <c:strCache>
                <c:ptCount val="3"/>
                <c:pt idx="0">
                  <c:v>J21</c:v>
                </c:pt>
                <c:pt idx="1">
                  <c:v>J26</c:v>
                </c:pt>
                <c:pt idx="2">
                  <c:v>J29</c:v>
                </c:pt>
              </c:strCache>
            </c:strRef>
          </c:cat>
          <c:val>
            <c:numRef>
              <c:f>Feuil1!$E$15:$G$15</c:f>
              <c:numCache>
                <c:formatCode>General</c:formatCode>
                <c:ptCount val="3"/>
                <c:pt idx="0">
                  <c:v>21400</c:v>
                </c:pt>
                <c:pt idx="1">
                  <c:v>13900</c:v>
                </c:pt>
                <c:pt idx="2">
                  <c:v>3500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0B-4024-9C7C-4D880A12643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9460608"/>
        <c:axId val="419464136"/>
      </c:lineChart>
      <c:catAx>
        <c:axId val="41946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9464136"/>
        <c:crosses val="autoZero"/>
        <c:auto val="1"/>
        <c:lblAlgn val="ctr"/>
        <c:lblOffset val="100"/>
        <c:noMultiLvlLbl val="0"/>
      </c:catAx>
      <c:valAx>
        <c:axId val="419464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19460608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05000000000001"/>
          <c:y val="0.89409700000000003"/>
          <c:w val="0.68245599999999995"/>
          <c:h val="6.4237000000000002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0.27215</cdr:x>
      <cdr:y>0.90252</cdr:y>
    </cdr:from>
    <cdr:to>
      <cdr:x>0.39114</cdr:x>
      <cdr:y>0.97208</cdr:y>
    </cdr:to>
    <cdr:sp macro="" textlink="">
      <cdr:nvSpPr>
        <cdr:cNvPr id="2" name="Zone de text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44280" y="3003632"/>
          <a:ext cx="544008" cy="23149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Control</a:t>
          </a:r>
          <a:endParaRPr/>
        </a:p>
      </cdr:txBody>
    </cdr:sp>
  </cdr:relSizeAnchor>
  <cdr:relSizeAnchor xmlns:cdr="http://schemas.openxmlformats.org/drawingml/2006/chartDrawing">
    <cdr:from>
      <cdr:x>0.65063</cdr:x>
      <cdr:y>0.906</cdr:y>
    </cdr:from>
    <cdr:to>
      <cdr:x>0.80633</cdr:x>
      <cdr:y>0.97382</cdr:y>
    </cdr:to>
    <cdr:sp macro="" textlink="">
      <cdr:nvSpPr>
        <cdr:cNvPr id="3" name="Zone de text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74692" y="3015202"/>
          <a:ext cx="711844" cy="22570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group 10g</a:t>
          </a:r>
          <a:endParaRPr/>
        </a:p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endParaRPr lang="fr-FR" sz="900">
            <a:latin typeface="Times New Roman"/>
            <a:ea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0.46301</cdr:x>
      <cdr:y>0.90214</cdr:y>
    </cdr:from>
    <cdr:to>
      <cdr:x>0.61871</cdr:x>
      <cdr:y>0.96996</cdr:y>
    </cdr:to>
    <cdr:sp macro="" textlink="">
      <cdr:nvSpPr>
        <cdr:cNvPr id="4" name="Zone de text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16879" y="3002342"/>
          <a:ext cx="711844" cy="22570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group 5g</a:t>
          </a:r>
          <a:endParaRPr/>
        </a:p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endParaRPr lang="fr-FR" sz="900">
            <a:latin typeface="Times New Roman"/>
            <a:ea typeface="Times New Roman"/>
            <a:cs typeface="Times New Roman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0.28015</cdr:x>
      <cdr:y>0.90996</cdr:y>
    </cdr:from>
    <cdr:to>
      <cdr:x>0.39151</cdr:x>
      <cdr:y>0.97951</cdr:y>
    </cdr:to>
    <cdr:sp macro="" textlink="">
      <cdr:nvSpPr>
        <cdr:cNvPr id="2" name="Zone de text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63246" y="2278368"/>
          <a:ext cx="502125" cy="17412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36000" tIns="36000" rIns="36000" bIns="3600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Control</a:t>
          </a:r>
        </a:p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endParaRPr lang="fr-FR" sz="900">
            <a:latin typeface="Times New Roman"/>
            <a:ea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0.49232</cdr:x>
      <cdr:y>0.89678</cdr:y>
    </cdr:from>
    <cdr:to>
      <cdr:x>0.60983</cdr:x>
      <cdr:y>0.97106</cdr:y>
    </cdr:to>
    <cdr:sp macro="" textlink="">
      <cdr:nvSpPr>
        <cdr:cNvPr id="3" name="Zone de text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9931" y="2245370"/>
          <a:ext cx="529875" cy="18598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36000" tIns="36000" rIns="36000" bIns="3600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Group 5g</a:t>
          </a:r>
          <a:endParaRPr/>
        </a:p>
        <a:p xmlns:a="http://schemas.openxmlformats.org/drawingml/2006/main">
          <a:pPr algn="l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p 5g</a:t>
          </a:r>
          <a:endParaRPr/>
        </a:p>
        <a:p xmlns:a="http://schemas.openxmlformats.org/drawingml/2006/main">
          <a:pPr algn="l">
            <a:lnSpc>
              <a:spcPct val="114999"/>
            </a:lnSpc>
            <a:spcAft>
              <a:spcPts val="800"/>
            </a:spcAft>
            <a:defRPr/>
          </a:pPr>
          <a:endParaRPr lang="fr-FR" sz="900">
            <a:latin typeface="Times New Roman"/>
            <a:ea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0.68962</cdr:x>
      <cdr:y>0.9014</cdr:y>
    </cdr:from>
    <cdr:to>
      <cdr:x>0.82639</cdr:x>
      <cdr:y>0.97106</cdr:y>
    </cdr:to>
    <cdr:sp macro="" textlink="">
      <cdr:nvSpPr>
        <cdr:cNvPr id="4" name="Zone de text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09611" y="2256930"/>
          <a:ext cx="616701" cy="17442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36000" tIns="36000" rIns="36000" bIns="3600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Group 10g</a:t>
          </a:r>
          <a:endParaRPr/>
        </a:p>
        <a:p xmlns:a="http://schemas.openxmlformats.org/drawingml/2006/main">
          <a:pPr algn="l">
            <a:lnSpc>
              <a:spcPct val="114999"/>
            </a:lnSpc>
            <a:spcAft>
              <a:spcPts val="800"/>
            </a:spcAft>
            <a:defRPr/>
          </a:pPr>
          <a:endParaRPr lang="fr-FR" sz="900">
            <a:latin typeface="Times New Roman"/>
            <a:ea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0.29142</cdr:x>
      <cdr:y>0.90351</cdr:y>
    </cdr:from>
    <cdr:to>
      <cdr:x>0.40278</cdr:x>
      <cdr:y>0.9998</cdr:y>
    </cdr:to>
    <cdr:sp macro="" textlink="">
      <cdr:nvSpPr>
        <cdr:cNvPr id="6" name="Zone de text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4046" y="2262215"/>
          <a:ext cx="502125" cy="24108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36000" tIns="36000" rIns="36000" bIns="3600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Times New Roman"/>
              <a:ea typeface="Times New Roman"/>
              <a:cs typeface="Times New Roman"/>
            </a:rPr>
            <a:t>Control</a:t>
          </a:r>
        </a:p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endParaRPr lang="fr-FR" sz="900">
            <a:latin typeface="Times New Roman"/>
            <a:ea typeface="Times New Roman"/>
            <a:cs typeface="Times New Roman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0.46312</cdr:x>
      <cdr:y>0.81509</cdr:y>
    </cdr:from>
    <cdr:to>
      <cdr:x>0.57284</cdr:x>
      <cdr:y>0.89981</cdr:y>
    </cdr:to>
    <cdr:sp macro="" textlink="">
      <cdr:nvSpPr>
        <cdr:cNvPr id="4" name="Zone de text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17376" y="2235942"/>
          <a:ext cx="501650" cy="2324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36000" tIns="36000" rIns="36000" bIns="36000" anchor="t" anchorCtr="0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Calibri"/>
              <a:ea typeface="Calibri"/>
              <a:cs typeface="Times New Roman"/>
            </a:rPr>
            <a:t>Group 5g</a:t>
          </a:r>
          <a:endParaRPr lang="fr-FR" sz="1100">
            <a:latin typeface="Calibri"/>
            <a:ea typeface="Calibri"/>
            <a:cs typeface="Times New Roman"/>
          </a:endParaRPr>
        </a:p>
      </cdr:txBody>
    </cdr:sp>
  </cdr:relSizeAnchor>
  <cdr:relSizeAnchor xmlns:cdr="http://schemas.openxmlformats.org/drawingml/2006/chartDrawing">
    <cdr:from>
      <cdr:x>0.68001</cdr:x>
      <cdr:y>0.81888</cdr:y>
    </cdr:from>
    <cdr:to>
      <cdr:x>0.82312</cdr:x>
      <cdr:y>0.9036</cdr:y>
    </cdr:to>
    <cdr:sp macro="" textlink="">
      <cdr:nvSpPr>
        <cdr:cNvPr id="5" name="Zone de texte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09003" y="2246358"/>
          <a:ext cx="654307" cy="23241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36000" tIns="36000" rIns="36000" bIns="3600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114999"/>
            </a:lnSpc>
            <a:spcAft>
              <a:spcPts val="800"/>
            </a:spcAft>
            <a:defRPr/>
          </a:pPr>
          <a:r>
            <a:rPr lang="fr-FR" sz="900">
              <a:latin typeface="Calibri"/>
              <a:ea typeface="Calibri"/>
              <a:cs typeface="Times New Roman"/>
            </a:rPr>
            <a:t>Group 10g</a:t>
          </a:r>
          <a:endParaRPr lang="fr-FR" sz="1100">
            <a:latin typeface="Calibri"/>
            <a:ea typeface="Calibri"/>
            <a:cs typeface="Times New Roman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0.32821</cdr:x>
      <cdr:y>0.89236</cdr:y>
    </cdr:from>
    <cdr:to>
      <cdr:x>0.47399</cdr:x>
      <cdr:y>0.9499</cdr:y>
    </cdr:to>
    <cdr:sp macro="" textlink="">
      <cdr:nvSpPr>
        <cdr:cNvPr id="2" name="Rectangle 1"/>
        <cdr:cNvSpPr/>
      </cdr:nvSpPr>
      <cdr:spPr bwMode="auto">
        <a:xfrm xmlns:a="http://schemas.openxmlformats.org/drawingml/2006/main">
          <a:off x="1500564" y="2447932"/>
          <a:ext cx="666512" cy="15784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36000" tIns="45720" rIns="3600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l">
            <a:lnSpc>
              <a:spcPct val="107000"/>
            </a:lnSpc>
            <a:spcAft>
              <a:spcPts val="800"/>
            </a:spcAft>
            <a:defRPr/>
          </a:pPr>
          <a:r>
            <a:rPr lang="fr-FR" sz="1050">
              <a:solidFill>
                <a:srgbClr val="000000"/>
              </a:solidFill>
              <a:latin typeface="TimesNewRomanPS-BoldMT"/>
              <a:ea typeface="Calibri"/>
              <a:cs typeface="Times New Roman"/>
            </a:rPr>
            <a:t>Control</a:t>
          </a:r>
          <a:endParaRPr lang="fr-FR" sz="1000">
            <a:ea typeface="Calibri"/>
            <a:cs typeface="Times New Roman"/>
          </a:endParaRPr>
        </a:p>
      </cdr:txBody>
    </cdr:sp>
  </cdr:relSizeAnchor>
  <cdr:relSizeAnchor xmlns:cdr="http://schemas.openxmlformats.org/drawingml/2006/chartDrawing">
    <cdr:from>
      <cdr:x>0.52313</cdr:x>
      <cdr:y>0.90317</cdr:y>
    </cdr:from>
    <cdr:to>
      <cdr:x>0.66891</cdr:x>
      <cdr:y>0.96071</cdr:y>
    </cdr:to>
    <cdr:sp macro="" textlink="">
      <cdr:nvSpPr>
        <cdr:cNvPr id="3" name="Rectangle 2"/>
        <cdr:cNvSpPr/>
      </cdr:nvSpPr>
      <cdr:spPr bwMode="auto">
        <a:xfrm xmlns:a="http://schemas.openxmlformats.org/drawingml/2006/main">
          <a:off x="2391766" y="2477589"/>
          <a:ext cx="666512" cy="15784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36000" tIns="45720" rIns="3600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>
            <a:lnSpc>
              <a:spcPct val="107000"/>
            </a:lnSpc>
            <a:spcAft>
              <a:spcPts val="800"/>
            </a:spcAft>
            <a:defRPr/>
          </a:pPr>
          <a:r>
            <a:rPr lang="fr-FR" sz="1050">
              <a:solidFill>
                <a:srgbClr val="000000"/>
              </a:solidFill>
              <a:latin typeface="TimesNewRomanPS-BoldMT"/>
              <a:ea typeface="Calibri"/>
              <a:cs typeface="Times New Roman"/>
            </a:rPr>
            <a:t>Group 5g</a:t>
          </a:r>
          <a:endParaRPr lang="fr-FR" sz="1000">
            <a:ea typeface="Calibri"/>
            <a:cs typeface="Times New Roman"/>
          </a:endParaRPr>
        </a:p>
      </cdr:txBody>
    </cdr:sp>
  </cdr:relSizeAnchor>
  <cdr:relSizeAnchor xmlns:cdr="http://schemas.openxmlformats.org/drawingml/2006/chartDrawing">
    <cdr:from>
      <cdr:x>0.72384</cdr:x>
      <cdr:y>0.89279</cdr:y>
    </cdr:from>
    <cdr:to>
      <cdr:x>0.86962</cdr:x>
      <cdr:y>0.95033</cdr:y>
    </cdr:to>
    <cdr:sp macro="" textlink="">
      <cdr:nvSpPr>
        <cdr:cNvPr id="4" name="Rectangle 3"/>
        <cdr:cNvSpPr/>
      </cdr:nvSpPr>
      <cdr:spPr bwMode="auto">
        <a:xfrm xmlns:a="http://schemas.openxmlformats.org/drawingml/2006/main">
          <a:off x="3309396" y="2449106"/>
          <a:ext cx="666512" cy="15784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ot="0" spcFirstLastPara="0" vert="horz" wrap="square" lIns="36000" tIns="45720" rIns="3600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>
            <a:lnSpc>
              <a:spcPct val="107000"/>
            </a:lnSpc>
            <a:spcAft>
              <a:spcPts val="800"/>
            </a:spcAft>
            <a:defRPr/>
          </a:pPr>
          <a:r>
            <a:rPr lang="fr-FR" sz="1050">
              <a:solidFill>
                <a:srgbClr val="000000"/>
              </a:solidFill>
              <a:latin typeface="TimesNewRomanPS-BoldMT"/>
              <a:ea typeface="Calibri"/>
              <a:cs typeface="Times New Roman"/>
            </a:rPr>
            <a:t>Group 10g</a:t>
          </a:r>
          <a:endParaRPr lang="fr-FR" sz="1000">
            <a:ea typeface="Calibri"/>
            <a:cs typeface="Times New Roman"/>
          </a:endParaRP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Office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Office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C046-3BFC-4052-B142-5721CC84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4013</Words>
  <Characters>22877</Characters>
  <Application>Microsoft Office Word</Application>
  <DocSecurity>0</DocSecurity>
  <Lines>190</Lines>
  <Paragraphs>53</Paragraphs>
  <ScaleCrop>false</ScaleCrop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Editor-22</cp:lastModifiedBy>
  <cp:revision>11</cp:revision>
  <dcterms:created xsi:type="dcterms:W3CDTF">2025-06-02T12:30:00Z</dcterms:created>
  <dcterms:modified xsi:type="dcterms:W3CDTF">2025-06-06T12:46:00Z</dcterms:modified>
</cp:coreProperties>
</file>