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2FBE5" w14:textId="77777777" w:rsidR="00754C9A" w:rsidRDefault="00754C9A" w:rsidP="00441B6F">
      <w:pPr>
        <w:pStyle w:val="Title"/>
        <w:spacing w:after="0"/>
        <w:jc w:val="both"/>
        <w:rPr>
          <w:rFonts w:ascii="Arial" w:hAnsi="Arial" w:cs="Arial"/>
        </w:rPr>
      </w:pPr>
    </w:p>
    <w:p w14:paraId="7A8A1C4D" w14:textId="77777777" w:rsidR="00D355D1" w:rsidRPr="00BF1719" w:rsidRDefault="00D355D1" w:rsidP="00D355D1">
      <w:pPr>
        <w:jc w:val="both"/>
        <w:rPr>
          <w:rFonts w:ascii="Arial" w:hAnsi="Arial" w:cs="Arial"/>
          <w:b/>
          <w:bCs/>
          <w:sz w:val="36"/>
          <w:szCs w:val="36"/>
        </w:rPr>
      </w:pPr>
      <w:r w:rsidRPr="00BF1719">
        <w:rPr>
          <w:rFonts w:ascii="Arial" w:hAnsi="Arial" w:cs="Arial"/>
          <w:b/>
          <w:bCs/>
          <w:sz w:val="36"/>
          <w:szCs w:val="36"/>
        </w:rPr>
        <w:t xml:space="preserve">Assessment of the Post-Closure Energy Potential of the Former </w:t>
      </w:r>
      <w:proofErr w:type="spellStart"/>
      <w:r w:rsidRPr="00BF1719">
        <w:rPr>
          <w:rFonts w:ascii="Arial" w:hAnsi="Arial" w:cs="Arial"/>
          <w:b/>
          <w:bCs/>
          <w:sz w:val="36"/>
          <w:szCs w:val="36"/>
        </w:rPr>
        <w:t>Akouédo</w:t>
      </w:r>
      <w:proofErr w:type="spellEnd"/>
      <w:r w:rsidRPr="00BF1719">
        <w:rPr>
          <w:rFonts w:ascii="Arial" w:hAnsi="Arial" w:cs="Arial"/>
          <w:b/>
          <w:bCs/>
          <w:sz w:val="36"/>
          <w:szCs w:val="36"/>
        </w:rPr>
        <w:t xml:space="preserve"> Landfill (Abidjan) Using a First-Order Decay Kinetic Model </w:t>
      </w:r>
    </w:p>
    <w:p w14:paraId="474ECB71" w14:textId="77777777" w:rsidR="00A258C3" w:rsidRPr="00790ADA" w:rsidRDefault="00A258C3" w:rsidP="00441B6F">
      <w:pPr>
        <w:pStyle w:val="Author"/>
        <w:spacing w:line="240" w:lineRule="auto"/>
        <w:jc w:val="both"/>
        <w:rPr>
          <w:rFonts w:ascii="Arial" w:hAnsi="Arial" w:cs="Arial"/>
          <w:sz w:val="36"/>
        </w:rPr>
      </w:pPr>
    </w:p>
    <w:p w14:paraId="5A617C62" w14:textId="77777777" w:rsidR="00790ADA" w:rsidRDefault="00790ADA" w:rsidP="00441B6F">
      <w:pPr>
        <w:pStyle w:val="Affiliation"/>
        <w:spacing w:after="0" w:line="240" w:lineRule="auto"/>
        <w:jc w:val="both"/>
        <w:rPr>
          <w:rFonts w:ascii="Arial" w:hAnsi="Arial" w:cs="Arial"/>
        </w:rPr>
      </w:pPr>
    </w:p>
    <w:p w14:paraId="68EDABFE" w14:textId="77777777" w:rsidR="002C57D2" w:rsidRPr="00FB3A86" w:rsidRDefault="002C57D2" w:rsidP="00441B6F">
      <w:pPr>
        <w:pStyle w:val="Affiliation"/>
        <w:spacing w:after="0" w:line="240" w:lineRule="auto"/>
        <w:jc w:val="both"/>
        <w:rPr>
          <w:rFonts w:ascii="Arial" w:hAnsi="Arial" w:cs="Arial"/>
        </w:rPr>
      </w:pPr>
    </w:p>
    <w:p w14:paraId="00EC1ACD" w14:textId="77777777" w:rsidR="00B01FCD" w:rsidRPr="00FB3A86" w:rsidRDefault="00854DBB" w:rsidP="00441B6F">
      <w:pPr>
        <w:pStyle w:val="Copyright"/>
        <w:spacing w:after="0" w:line="240" w:lineRule="auto"/>
        <w:jc w:val="both"/>
        <w:rPr>
          <w:rFonts w:ascii="Arial" w:hAnsi="Arial" w:cs="Arial"/>
        </w:rPr>
        <w:sectPr w:rsidR="00B01FCD" w:rsidRPr="00FB3A86" w:rsidSect="00AB751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A08991">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CCCD0AF" w14:textId="11ABB57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86EBB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589AEEC" w14:textId="77777777" w:rsidTr="001E44FE">
        <w:tc>
          <w:tcPr>
            <w:tcW w:w="9576" w:type="dxa"/>
            <w:shd w:val="clear" w:color="auto" w:fill="F2F2F2"/>
          </w:tcPr>
          <w:p w14:paraId="7E9F08FB" w14:textId="77777777" w:rsidR="0033653C" w:rsidRPr="00BF1719" w:rsidRDefault="0033653C" w:rsidP="0033653C">
            <w:pPr>
              <w:spacing w:line="360" w:lineRule="auto"/>
              <w:jc w:val="both"/>
              <w:rPr>
                <w:rFonts w:ascii="Arial" w:hAnsi="Arial" w:cs="Arial"/>
                <w:lang w:eastAsia="fr-FR"/>
              </w:rPr>
            </w:pPr>
            <w:r w:rsidRPr="00BF1719">
              <w:rPr>
                <w:rFonts w:ascii="Arial" w:hAnsi="Arial" w:cs="Arial"/>
                <w:lang w:eastAsia="fr-FR"/>
              </w:rPr>
              <w:t xml:space="preserve">This study aims </w:t>
            </w:r>
            <w:r w:rsidRPr="003E03C7">
              <w:rPr>
                <w:rFonts w:ascii="Arial" w:hAnsi="Arial" w:cs="Arial"/>
                <w:lang w:eastAsia="fr-FR"/>
              </w:rPr>
              <w:t xml:space="preserve">is to </w:t>
            </w:r>
            <w:proofErr w:type="spellStart"/>
            <w:r w:rsidRPr="003E03C7">
              <w:rPr>
                <w:rFonts w:ascii="Arial" w:hAnsi="Arial" w:cs="Arial"/>
                <w:lang w:eastAsia="fr-FR"/>
              </w:rPr>
              <w:t>assesss</w:t>
            </w:r>
            <w:proofErr w:type="spellEnd"/>
            <w:r w:rsidRPr="003E03C7">
              <w:rPr>
                <w:rFonts w:ascii="Arial" w:hAnsi="Arial" w:cs="Arial"/>
                <w:lang w:eastAsia="fr-FR"/>
              </w:rPr>
              <w:t xml:space="preserve">, through a comparative modeling approach, the production and energy recovery potential of residual biomethane from a closed landfill, </w:t>
            </w:r>
            <w:proofErr w:type="spellStart"/>
            <w:r w:rsidRPr="00BF1719">
              <w:rPr>
                <w:rFonts w:ascii="Arial" w:hAnsi="Arial" w:cs="Arial"/>
                <w:lang w:eastAsia="fr-FR"/>
              </w:rPr>
              <w:t>Akouédo</w:t>
            </w:r>
            <w:proofErr w:type="spellEnd"/>
            <w:r>
              <w:rPr>
                <w:rFonts w:ascii="Arial" w:hAnsi="Arial" w:cs="Arial"/>
                <w:lang w:eastAsia="fr-FR"/>
              </w:rPr>
              <w:t xml:space="preserve">, </w:t>
            </w:r>
            <w:r w:rsidRPr="00BF1719">
              <w:rPr>
                <w:rFonts w:ascii="Arial" w:hAnsi="Arial" w:cs="Arial"/>
                <w:lang w:eastAsia="fr-FR"/>
              </w:rPr>
              <w:t xml:space="preserve">located in Abidjan (Côte d'Ivoire) using the </w:t>
            </w:r>
            <w:proofErr w:type="spellStart"/>
            <w:r w:rsidRPr="00BF1719">
              <w:rPr>
                <w:rFonts w:ascii="Arial" w:hAnsi="Arial" w:cs="Arial"/>
                <w:lang w:eastAsia="fr-FR"/>
              </w:rPr>
              <w:t>LandGEM</w:t>
            </w:r>
            <w:proofErr w:type="spellEnd"/>
            <w:r w:rsidRPr="00BF1719">
              <w:rPr>
                <w:rFonts w:ascii="Arial" w:hAnsi="Arial" w:cs="Arial"/>
                <w:lang w:eastAsia="fr-FR"/>
              </w:rPr>
              <w:t xml:space="preserve"> 3.02 and IPCC 2006 </w:t>
            </w:r>
            <w:bookmarkStart w:id="1" w:name="_Hlk202377474"/>
            <w:r w:rsidRPr="00BF1719">
              <w:rPr>
                <w:rFonts w:ascii="Arial" w:hAnsi="Arial" w:cs="Arial"/>
                <w:lang w:eastAsia="fr-FR"/>
              </w:rPr>
              <w:t>first-order decay models</w:t>
            </w:r>
            <w:bookmarkEnd w:id="1"/>
            <w:r w:rsidRPr="00BF1719">
              <w:rPr>
                <w:rFonts w:ascii="Arial" w:hAnsi="Arial" w:cs="Arial"/>
                <w:lang w:eastAsia="fr-FR"/>
              </w:rPr>
              <w:t xml:space="preserve">. The study adopts a comparative approach to estimate the methane volumes generated over a 40-year post-closure period following the official closure of the landfill in 2018. The methodology involves using the physical and mass characteristics of municipal solid waste (MSW) to input into the models and estimate the volumes of biogas produced. The results show that biogas production remains significant for several decades, with a peak of 288 GWh/year in 2019, allowing the installation of a cogeneration plant with a maximum capacity of 24.8 MW according to the IPCC model and 10.8 MW according to the </w:t>
            </w:r>
            <w:proofErr w:type="spellStart"/>
            <w:r w:rsidRPr="00BF1719">
              <w:rPr>
                <w:rFonts w:ascii="Arial" w:hAnsi="Arial" w:cs="Arial"/>
                <w:lang w:eastAsia="fr-FR"/>
              </w:rPr>
              <w:t>LandGEM</w:t>
            </w:r>
            <w:proofErr w:type="spellEnd"/>
            <w:r w:rsidRPr="00BF1719">
              <w:rPr>
                <w:rFonts w:ascii="Arial" w:hAnsi="Arial" w:cs="Arial"/>
                <w:lang w:eastAsia="fr-FR"/>
              </w:rPr>
              <w:t xml:space="preserve"> model. Even by 2038, the available biogas could generate approximately 6 MW, confirming the long-term viability of a valorization system. This study underscores the importance of modeling post-closure emissions and highlights the urgency of installing an on-site cogeneration unit to capture, valorize, and control residual methane emissions. In the context of sustainable urban development, this approach can reconcile the energy transition, greenhouse gas emission reduction, environmental security of the urban infrastructure, and the development of a sustainable urban environment.</w:t>
            </w:r>
          </w:p>
          <w:p w14:paraId="62B359D2" w14:textId="78CCF251" w:rsidR="00505F06" w:rsidRPr="00BA1B01" w:rsidRDefault="00505F06" w:rsidP="0033653C">
            <w:pPr>
              <w:spacing w:after="160" w:line="360" w:lineRule="auto"/>
              <w:jc w:val="both"/>
              <w:rPr>
                <w:rFonts w:ascii="Arial" w:eastAsia="Calibri" w:hAnsi="Arial" w:cs="Arial"/>
                <w:szCs w:val="22"/>
              </w:rPr>
            </w:pPr>
          </w:p>
        </w:tc>
      </w:tr>
    </w:tbl>
    <w:p w14:paraId="5E086135" w14:textId="77777777" w:rsidR="00636EB2" w:rsidRDefault="00636EB2" w:rsidP="00441B6F">
      <w:pPr>
        <w:pStyle w:val="Body"/>
        <w:spacing w:after="0"/>
        <w:rPr>
          <w:rFonts w:ascii="Arial" w:hAnsi="Arial" w:cs="Arial"/>
          <w:i/>
        </w:rPr>
      </w:pPr>
    </w:p>
    <w:p w14:paraId="0286276B" w14:textId="23C8F39D" w:rsidR="00A24E7E" w:rsidRDefault="00A24E7E" w:rsidP="00441B6F">
      <w:pPr>
        <w:pStyle w:val="Body"/>
        <w:spacing w:after="0"/>
        <w:rPr>
          <w:rFonts w:ascii="Arial" w:hAnsi="Arial" w:cs="Arial"/>
          <w:i/>
        </w:rPr>
      </w:pPr>
      <w:r>
        <w:rPr>
          <w:rFonts w:ascii="Arial" w:hAnsi="Arial" w:cs="Arial"/>
          <w:i/>
        </w:rPr>
        <w:t>Keywords</w:t>
      </w:r>
      <w:r w:rsidR="0033653C" w:rsidRPr="00BF1719">
        <w:rPr>
          <w:rFonts w:ascii="Arial" w:hAnsi="Arial" w:cs="Arial"/>
          <w:i/>
          <w:iCs/>
          <w:lang w:eastAsia="fr-FR"/>
        </w:rPr>
        <w:t xml:space="preserve">:  Biomethane production, </w:t>
      </w:r>
      <w:r w:rsidR="0033653C">
        <w:rPr>
          <w:rFonts w:ascii="Arial" w:hAnsi="Arial" w:cs="Arial"/>
          <w:i/>
          <w:iCs/>
          <w:lang w:eastAsia="fr-FR"/>
        </w:rPr>
        <w:t>e</w:t>
      </w:r>
      <w:r w:rsidR="0033653C" w:rsidRPr="00BF1719">
        <w:rPr>
          <w:rFonts w:ascii="Arial" w:hAnsi="Arial" w:cs="Arial"/>
          <w:i/>
          <w:iCs/>
          <w:lang w:eastAsia="fr-FR"/>
        </w:rPr>
        <w:t>nergy recovery, sustainable urban development</w:t>
      </w:r>
      <w:r w:rsidR="0033653C">
        <w:rPr>
          <w:rFonts w:ascii="Arial" w:hAnsi="Arial" w:cs="Arial"/>
          <w:i/>
          <w:iCs/>
          <w:lang w:eastAsia="fr-FR"/>
        </w:rPr>
        <w:t xml:space="preserve">, </w:t>
      </w:r>
      <w:r w:rsidR="0033653C" w:rsidRPr="005C2608">
        <w:rPr>
          <w:rFonts w:ascii="Arial" w:hAnsi="Arial" w:cs="Arial"/>
          <w:i/>
          <w:iCs/>
          <w:lang w:eastAsia="fr-FR"/>
        </w:rPr>
        <w:t>first-order decay models</w:t>
      </w:r>
      <w:r w:rsidR="0033653C" w:rsidRPr="00BF1719">
        <w:rPr>
          <w:rFonts w:ascii="Arial" w:hAnsi="Arial" w:cs="Arial"/>
          <w:i/>
          <w:iCs/>
          <w:lang w:eastAsia="fr-FR"/>
        </w:rPr>
        <w:t>.</w:t>
      </w:r>
      <w:r w:rsidR="0066510A">
        <w:rPr>
          <w:rFonts w:ascii="Arial" w:hAnsi="Arial" w:cs="Arial"/>
          <w:i/>
        </w:rPr>
        <w:t xml:space="preserve"> </w:t>
      </w:r>
    </w:p>
    <w:p w14:paraId="6FA2DC54" w14:textId="77777777" w:rsidR="00790ADA" w:rsidRDefault="00790ADA" w:rsidP="00441B6F">
      <w:pPr>
        <w:pStyle w:val="Body"/>
        <w:spacing w:after="0"/>
        <w:rPr>
          <w:rFonts w:ascii="Arial" w:hAnsi="Arial" w:cs="Arial"/>
          <w:i/>
        </w:rPr>
      </w:pPr>
    </w:p>
    <w:p w14:paraId="2F1D4E8D" w14:textId="77777777" w:rsidR="0024282C" w:rsidRDefault="0024282C" w:rsidP="00441B6F">
      <w:pPr>
        <w:pStyle w:val="Body"/>
        <w:spacing w:after="0"/>
        <w:rPr>
          <w:rFonts w:ascii="Arial" w:hAnsi="Arial" w:cs="Arial"/>
          <w:i/>
          <w:sz w:val="18"/>
        </w:rPr>
      </w:pPr>
    </w:p>
    <w:p w14:paraId="125B4168" w14:textId="77777777" w:rsidR="00505F06" w:rsidRPr="00A24E7E" w:rsidRDefault="00505F06" w:rsidP="00441B6F">
      <w:pPr>
        <w:pStyle w:val="Body"/>
        <w:spacing w:after="0"/>
        <w:rPr>
          <w:rFonts w:ascii="Arial" w:hAnsi="Arial" w:cs="Arial"/>
          <w:i/>
        </w:rPr>
      </w:pPr>
    </w:p>
    <w:p w14:paraId="51E8DF83" w14:textId="4900D2FE"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DD38F49" w14:textId="77777777" w:rsidR="00790ADA" w:rsidRPr="00FB3A86" w:rsidRDefault="00790ADA" w:rsidP="00441B6F">
      <w:pPr>
        <w:pStyle w:val="AbstHead"/>
        <w:spacing w:after="0"/>
        <w:jc w:val="both"/>
        <w:rPr>
          <w:rFonts w:ascii="Arial" w:hAnsi="Arial" w:cs="Arial"/>
        </w:rPr>
      </w:pPr>
    </w:p>
    <w:p w14:paraId="05F6E7F2" w14:textId="77777777" w:rsidR="0033653C" w:rsidRPr="00BF1719" w:rsidRDefault="0033653C" w:rsidP="0033653C">
      <w:pPr>
        <w:spacing w:before="100" w:beforeAutospacing="1" w:line="360" w:lineRule="auto"/>
        <w:jc w:val="both"/>
        <w:rPr>
          <w:rFonts w:ascii="Arial" w:hAnsi="Arial" w:cs="Arial"/>
          <w:lang w:eastAsia="fr-FR"/>
        </w:rPr>
      </w:pPr>
      <w:r w:rsidRPr="00BF1719">
        <w:rPr>
          <w:rFonts w:ascii="Arial" w:hAnsi="Arial" w:cs="Arial"/>
          <w:lang w:eastAsia="fr-FR"/>
        </w:rPr>
        <w:t xml:space="preserve">Municipal solid waste (MSW) management is a major challenge in developing countries, at the crossroads of environmental, health and energy issues </w:t>
      </w:r>
      <w:r w:rsidRPr="00BF1719">
        <w:rPr>
          <w:rFonts w:ascii="Arial" w:hAnsi="Arial" w:cs="Arial"/>
          <w:b/>
          <w:bCs/>
          <w:lang w:eastAsia="fr-FR"/>
        </w:rPr>
        <w:t>(Zhang et al., 2024)</w:t>
      </w:r>
      <w:r w:rsidRPr="00BF1719">
        <w:rPr>
          <w:rFonts w:ascii="Arial" w:hAnsi="Arial" w:cs="Arial"/>
          <w:lang w:eastAsia="fr-FR"/>
        </w:rPr>
        <w:t xml:space="preserve">. Landfilling remains the most widely used treatment method in African urban areas, although it is associated with multiple negative impacts, including the uncontrolled generation of biogas and leachate </w:t>
      </w:r>
      <w:r w:rsidRPr="00BF1719">
        <w:rPr>
          <w:rFonts w:ascii="Arial" w:hAnsi="Arial" w:cs="Arial"/>
          <w:b/>
          <w:bCs/>
          <w:lang w:eastAsia="fr-FR"/>
        </w:rPr>
        <w:t>(Idowu et al., 2019)</w:t>
      </w:r>
      <w:r w:rsidRPr="00BF1719">
        <w:rPr>
          <w:rFonts w:ascii="Arial" w:hAnsi="Arial" w:cs="Arial"/>
          <w:lang w:eastAsia="fr-FR"/>
        </w:rPr>
        <w:t>. During their degradation under anaerobic conditions, organic waste produces biogas, mainly composed of methane (CH</w:t>
      </w:r>
      <w:r w:rsidRPr="00BF1719">
        <w:rPr>
          <w:rFonts w:ascii="Cambria Math" w:hAnsi="Cambria Math" w:cs="Cambria Math"/>
          <w:lang w:eastAsia="fr-FR"/>
        </w:rPr>
        <w:t>₄</w:t>
      </w:r>
      <w:r w:rsidRPr="00BF1719">
        <w:rPr>
          <w:rFonts w:ascii="Arial" w:hAnsi="Arial" w:cs="Arial"/>
          <w:lang w:eastAsia="fr-FR"/>
        </w:rPr>
        <w:t>), a greenhouse gas whose global warming potential (GWP) is 28 times greater than that of carbon dioxide (CO</w:t>
      </w:r>
      <w:r w:rsidRPr="00BF1719">
        <w:rPr>
          <w:rFonts w:ascii="Cambria Math" w:hAnsi="Cambria Math" w:cs="Cambria Math"/>
          <w:lang w:eastAsia="fr-FR"/>
        </w:rPr>
        <w:t>₂</w:t>
      </w:r>
      <w:r w:rsidRPr="00BF1719">
        <w:rPr>
          <w:rFonts w:ascii="Arial" w:hAnsi="Arial" w:cs="Arial"/>
          <w:lang w:eastAsia="fr-FR"/>
        </w:rPr>
        <w:t xml:space="preserve">) over a 100-year time horizon </w:t>
      </w:r>
      <w:r w:rsidRPr="00BF1719">
        <w:rPr>
          <w:rFonts w:ascii="Arial" w:hAnsi="Arial" w:cs="Arial"/>
          <w:b/>
          <w:bCs/>
          <w:lang w:eastAsia="fr-FR"/>
        </w:rPr>
        <w:t>(IPCC AR5, 2013)</w:t>
      </w:r>
      <w:r w:rsidRPr="00BF1719">
        <w:rPr>
          <w:rFonts w:ascii="Arial" w:hAnsi="Arial" w:cs="Arial"/>
          <w:lang w:eastAsia="fr-FR"/>
        </w:rPr>
        <w:t>.</w:t>
      </w:r>
    </w:p>
    <w:p w14:paraId="6C2CDA25" w14:textId="77777777" w:rsidR="0033653C" w:rsidRPr="00BF1719" w:rsidRDefault="0033653C" w:rsidP="0033653C">
      <w:pPr>
        <w:spacing w:before="100" w:beforeAutospacing="1" w:line="360" w:lineRule="auto"/>
        <w:jc w:val="both"/>
        <w:rPr>
          <w:rFonts w:ascii="Arial" w:hAnsi="Arial" w:cs="Arial"/>
          <w:lang w:eastAsia="fr-FR"/>
        </w:rPr>
      </w:pPr>
      <w:r w:rsidRPr="00BF1719">
        <w:rPr>
          <w:rFonts w:ascii="Arial" w:hAnsi="Arial" w:cs="Arial"/>
          <w:lang w:eastAsia="fr-FR"/>
        </w:rPr>
        <w:t>Methane from landfills accounts for around 11% of global anthropogenic CH</w:t>
      </w:r>
      <w:r w:rsidRPr="00BF1719">
        <w:rPr>
          <w:rFonts w:ascii="Cambria Math" w:hAnsi="Cambria Math" w:cs="Cambria Math"/>
          <w:lang w:eastAsia="fr-FR"/>
        </w:rPr>
        <w:t>₄</w:t>
      </w:r>
      <w:r w:rsidRPr="00BF1719">
        <w:rPr>
          <w:rFonts w:ascii="Arial" w:hAnsi="Arial" w:cs="Arial"/>
          <w:lang w:eastAsia="fr-FR"/>
        </w:rPr>
        <w:t xml:space="preserve"> emissions, or almost 70 million </w:t>
      </w:r>
      <w:proofErr w:type="spellStart"/>
      <w:r w:rsidRPr="00BF1719">
        <w:rPr>
          <w:rFonts w:ascii="Arial" w:hAnsi="Arial" w:cs="Arial"/>
          <w:lang w:eastAsia="fr-FR"/>
        </w:rPr>
        <w:t>tonnes</w:t>
      </w:r>
      <w:proofErr w:type="spellEnd"/>
      <w:r w:rsidRPr="00BF1719">
        <w:rPr>
          <w:rFonts w:ascii="Arial" w:hAnsi="Arial" w:cs="Arial"/>
          <w:lang w:eastAsia="fr-FR"/>
        </w:rPr>
        <w:t xml:space="preserve"> per year </w:t>
      </w:r>
      <w:r w:rsidRPr="00BF1719">
        <w:rPr>
          <w:rFonts w:ascii="Arial" w:hAnsi="Arial" w:cs="Arial"/>
          <w:b/>
          <w:bCs/>
          <w:lang w:eastAsia="fr-FR"/>
        </w:rPr>
        <w:t>(UNEP, 2022)</w:t>
      </w:r>
      <w:r w:rsidRPr="00BF1719">
        <w:rPr>
          <w:rFonts w:ascii="Arial" w:hAnsi="Arial" w:cs="Arial"/>
          <w:lang w:eastAsia="fr-FR"/>
        </w:rPr>
        <w:t xml:space="preserve">. Yet this gas can be valorized as a renewable energy source, thus contributing to the energy transition and the reduction of GHG emissions. Yet, in many parts of the South, post-closure management of landfills remains largely neglected, despite the fact that biogas production can continue for several decades after the end of operation </w:t>
      </w:r>
      <w:r w:rsidRPr="00BF1719">
        <w:rPr>
          <w:rFonts w:ascii="Arial" w:hAnsi="Arial" w:cs="Arial"/>
          <w:b/>
          <w:bCs/>
          <w:lang w:eastAsia="fr-FR"/>
        </w:rPr>
        <w:t>(Huber-Humer et al., 2008; Mønsted et al., 2019)</w:t>
      </w:r>
      <w:r w:rsidRPr="00BF1719">
        <w:rPr>
          <w:rFonts w:ascii="Arial" w:hAnsi="Arial" w:cs="Arial"/>
          <w:lang w:eastAsia="fr-FR"/>
        </w:rPr>
        <w:t>.</w:t>
      </w:r>
    </w:p>
    <w:p w14:paraId="0FB9B63B" w14:textId="77777777" w:rsidR="0033653C" w:rsidRPr="00BF1719" w:rsidRDefault="0033653C" w:rsidP="0033653C">
      <w:pPr>
        <w:spacing w:line="360" w:lineRule="auto"/>
        <w:jc w:val="both"/>
        <w:rPr>
          <w:rFonts w:ascii="Arial" w:hAnsi="Arial" w:cs="Arial"/>
          <w:lang w:eastAsia="fr-FR"/>
        </w:rPr>
      </w:pPr>
      <w:r w:rsidRPr="00BF1719">
        <w:rPr>
          <w:rFonts w:ascii="Arial" w:hAnsi="Arial" w:cs="Arial"/>
          <w:lang w:eastAsia="fr-FR"/>
        </w:rPr>
        <w:t xml:space="preserve">In this context, modeling post-closure biogas emissions has become an indispensable tool for anticipating long-term environmental risks, optimizing biogas recovery systems and assessing the energy potential of closed landfill sites. Among the models most widely used internationally are </w:t>
      </w:r>
      <w:proofErr w:type="spellStart"/>
      <w:r w:rsidRPr="00BF1719">
        <w:rPr>
          <w:rFonts w:ascii="Arial" w:hAnsi="Arial" w:cs="Arial"/>
          <w:lang w:eastAsia="fr-FR"/>
        </w:rPr>
        <w:t>LandGEM</w:t>
      </w:r>
      <w:proofErr w:type="spellEnd"/>
      <w:r w:rsidRPr="00BF1719">
        <w:rPr>
          <w:rFonts w:ascii="Arial" w:hAnsi="Arial" w:cs="Arial"/>
          <w:lang w:eastAsia="fr-FR"/>
        </w:rPr>
        <w:t xml:space="preserve"> (Landfill Gas Emissions Model) version 3.02, developed by the US Environmental Protection Agency (EPA), and the 2006 IPCC model, incorporated into the UNFCCC guidelines for national GHG inventories (</w:t>
      </w:r>
      <w:r w:rsidRPr="00BF1719">
        <w:rPr>
          <w:rFonts w:ascii="Arial" w:hAnsi="Arial" w:cs="Arial"/>
          <w:b/>
          <w:bCs/>
          <w:lang w:eastAsia="fr-FR"/>
        </w:rPr>
        <w:t>USEPA, 2005; IPCC, 2006</w:t>
      </w:r>
      <w:r w:rsidRPr="00BF1719">
        <w:rPr>
          <w:rFonts w:ascii="Arial" w:hAnsi="Arial" w:cs="Arial"/>
          <w:lang w:eastAsia="fr-FR"/>
        </w:rPr>
        <w:t>).</w:t>
      </w:r>
    </w:p>
    <w:p w14:paraId="6290A16A" w14:textId="77777777" w:rsidR="0033653C" w:rsidRPr="00BF1719" w:rsidRDefault="0033653C" w:rsidP="0033653C">
      <w:pPr>
        <w:spacing w:line="360" w:lineRule="auto"/>
        <w:jc w:val="both"/>
        <w:rPr>
          <w:rFonts w:ascii="Arial" w:hAnsi="Arial" w:cs="Arial"/>
          <w:lang w:eastAsia="fr-FR"/>
        </w:rPr>
      </w:pPr>
      <w:r w:rsidRPr="00BF1719">
        <w:rPr>
          <w:rFonts w:ascii="Arial" w:hAnsi="Arial" w:cs="Arial"/>
          <w:lang w:eastAsia="fr-FR"/>
        </w:rPr>
        <w:t xml:space="preserve">The general objective of this study </w:t>
      </w:r>
      <w:bookmarkStart w:id="2" w:name="_Hlk202378644"/>
      <w:r w:rsidRPr="00BF1719">
        <w:rPr>
          <w:rFonts w:ascii="Arial" w:hAnsi="Arial" w:cs="Arial"/>
          <w:lang w:eastAsia="fr-FR"/>
        </w:rPr>
        <w:t xml:space="preserve">is to </w:t>
      </w:r>
      <w:proofErr w:type="spellStart"/>
      <w:r>
        <w:rPr>
          <w:rFonts w:ascii="Arial" w:hAnsi="Arial" w:cs="Arial"/>
          <w:lang w:eastAsia="fr-FR"/>
        </w:rPr>
        <w:t>assesss</w:t>
      </w:r>
      <w:proofErr w:type="spellEnd"/>
      <w:r w:rsidRPr="00BF1719">
        <w:rPr>
          <w:rFonts w:ascii="Arial" w:hAnsi="Arial" w:cs="Arial"/>
          <w:lang w:eastAsia="fr-FR"/>
        </w:rPr>
        <w:t xml:space="preserve">, through a comparative modeling approach, the production and energy recovery potential of residual biomethane from a closed landfill, </w:t>
      </w:r>
      <w:bookmarkEnd w:id="2"/>
      <w:r w:rsidRPr="00BF1719">
        <w:rPr>
          <w:rFonts w:ascii="Arial" w:hAnsi="Arial" w:cs="Arial"/>
          <w:lang w:eastAsia="fr-FR"/>
        </w:rPr>
        <w:t>in a West African urban context.</w:t>
      </w:r>
    </w:p>
    <w:p w14:paraId="618D513F" w14:textId="77777777" w:rsidR="0033653C" w:rsidRDefault="0033653C" w:rsidP="0033653C">
      <w:pPr>
        <w:spacing w:line="360" w:lineRule="auto"/>
        <w:jc w:val="both"/>
        <w:rPr>
          <w:rFonts w:ascii="Arial" w:hAnsi="Arial" w:cs="Arial"/>
          <w:lang w:eastAsia="fr-FR"/>
        </w:rPr>
      </w:pPr>
      <w:r w:rsidRPr="00BF1719">
        <w:rPr>
          <w:rFonts w:ascii="Arial" w:hAnsi="Arial" w:cs="Arial"/>
          <w:lang w:eastAsia="fr-FR"/>
        </w:rPr>
        <w:t xml:space="preserve">More specifically, the aim is </w:t>
      </w:r>
      <w:proofErr w:type="gramStart"/>
      <w:r w:rsidRPr="00BF1719">
        <w:rPr>
          <w:rFonts w:ascii="Arial" w:hAnsi="Arial" w:cs="Arial"/>
          <w:lang w:eastAsia="fr-FR"/>
        </w:rPr>
        <w:t>to :</w:t>
      </w:r>
      <w:proofErr w:type="gramEnd"/>
    </w:p>
    <w:p w14:paraId="0572D3C1" w14:textId="77777777" w:rsidR="0033653C" w:rsidRPr="00BF1719" w:rsidRDefault="0033653C" w:rsidP="0033653C">
      <w:pPr>
        <w:spacing w:line="360" w:lineRule="auto"/>
        <w:jc w:val="both"/>
        <w:rPr>
          <w:rFonts w:ascii="Arial" w:hAnsi="Arial" w:cs="Arial"/>
          <w:lang w:eastAsia="fr-FR"/>
        </w:rPr>
      </w:pPr>
      <w:r w:rsidRPr="00BF1719">
        <w:rPr>
          <w:rFonts w:ascii="Arial" w:hAnsi="Arial" w:cs="Arial"/>
          <w:lang w:eastAsia="fr-FR"/>
        </w:rPr>
        <w:t>- estimate the volumes of methane generated over a post-closure period of 40 years;</w:t>
      </w:r>
    </w:p>
    <w:p w14:paraId="21323BE0" w14:textId="77777777" w:rsidR="0033653C" w:rsidRPr="00BF1719" w:rsidRDefault="0033653C" w:rsidP="0033653C">
      <w:pPr>
        <w:spacing w:line="360" w:lineRule="auto"/>
        <w:jc w:val="both"/>
        <w:rPr>
          <w:rFonts w:ascii="Arial" w:hAnsi="Arial" w:cs="Arial"/>
          <w:lang w:eastAsia="fr-FR"/>
        </w:rPr>
      </w:pPr>
      <w:r w:rsidRPr="00BF1719">
        <w:rPr>
          <w:rFonts w:ascii="Arial" w:hAnsi="Arial" w:cs="Arial"/>
          <w:lang w:eastAsia="fr-FR"/>
        </w:rPr>
        <w:t>- assess the energy potential exploitable by cogeneration from the captured biogas.</w:t>
      </w:r>
    </w:p>
    <w:p w14:paraId="1F2FD306" w14:textId="77777777" w:rsidR="0033653C" w:rsidRPr="00BF1719" w:rsidRDefault="0033653C" w:rsidP="0033653C">
      <w:pPr>
        <w:spacing w:after="100" w:afterAutospacing="1" w:line="360" w:lineRule="auto"/>
        <w:jc w:val="both"/>
        <w:rPr>
          <w:rFonts w:ascii="Arial" w:hAnsi="Arial" w:cs="Arial"/>
          <w:lang w:eastAsia="fr-FR"/>
        </w:rPr>
      </w:pPr>
      <w:r w:rsidRPr="00BF1719">
        <w:rPr>
          <w:rFonts w:ascii="Arial" w:hAnsi="Arial" w:cs="Arial"/>
          <w:lang w:eastAsia="fr-FR"/>
        </w:rPr>
        <w:t xml:space="preserve">To this end, the study focuses on the former </w:t>
      </w:r>
      <w:proofErr w:type="spellStart"/>
      <w:r w:rsidRPr="00BF1719">
        <w:rPr>
          <w:rFonts w:ascii="Arial" w:hAnsi="Arial" w:cs="Arial"/>
          <w:lang w:eastAsia="fr-FR"/>
        </w:rPr>
        <w:t>Akouédo</w:t>
      </w:r>
      <w:proofErr w:type="spellEnd"/>
      <w:r w:rsidRPr="00BF1719">
        <w:rPr>
          <w:rFonts w:ascii="Arial" w:hAnsi="Arial" w:cs="Arial"/>
          <w:lang w:eastAsia="fr-FR"/>
        </w:rPr>
        <w:t xml:space="preserve"> landfill, located in Abidjan (Côte d'Ivoire), operated for over fifty years before its closure in 2018. This study provides unprecedented data for a major African site, and aims to support the development of public policies for post-closure management, while contributing to the achievement of the Sustainable Development Goals (SDGs 7, 11 and 13) through the promotion of clean energy, resilient urbanization and the fight against climate change.</w:t>
      </w:r>
    </w:p>
    <w:p w14:paraId="78407C6A" w14:textId="77777777" w:rsidR="00790ADA" w:rsidRPr="00FB3A86" w:rsidRDefault="00790ADA" w:rsidP="00441B6F">
      <w:pPr>
        <w:pStyle w:val="Body"/>
        <w:spacing w:after="0"/>
        <w:rPr>
          <w:rFonts w:ascii="Arial" w:hAnsi="Arial" w:cs="Arial"/>
        </w:rPr>
      </w:pPr>
    </w:p>
    <w:p w14:paraId="5CF1E711" w14:textId="62CB1BA3" w:rsidR="007F7B32" w:rsidRDefault="00902823" w:rsidP="00441B6F">
      <w:pPr>
        <w:pStyle w:val="AbstHead"/>
        <w:spacing w:after="0"/>
        <w:jc w:val="both"/>
        <w:rPr>
          <w:rFonts w:ascii="Arial" w:hAnsi="Arial" w:cs="Arial"/>
        </w:rPr>
      </w:pPr>
      <w:r>
        <w:rPr>
          <w:rFonts w:ascii="Arial" w:hAnsi="Arial" w:cs="Arial"/>
        </w:rPr>
        <w:t>2.</w:t>
      </w:r>
      <w:r w:rsidR="006B57D0">
        <w:rPr>
          <w:rFonts w:ascii="Arial" w:hAnsi="Arial" w:cs="Arial"/>
        </w:rPr>
        <w:t xml:space="preserve"> methodology</w:t>
      </w:r>
      <w:r w:rsidR="007F7B32">
        <w:rPr>
          <w:rFonts w:ascii="Arial" w:hAnsi="Arial" w:cs="Arial"/>
        </w:rPr>
        <w:t xml:space="preserve"> </w:t>
      </w:r>
    </w:p>
    <w:p w14:paraId="473A5B0E" w14:textId="77777777" w:rsidR="00790ADA" w:rsidRPr="00FB3A86" w:rsidRDefault="00790ADA" w:rsidP="00441B6F">
      <w:pPr>
        <w:pStyle w:val="AbstHead"/>
        <w:spacing w:after="0"/>
        <w:jc w:val="both"/>
        <w:rPr>
          <w:rFonts w:ascii="Arial" w:hAnsi="Arial" w:cs="Arial"/>
        </w:rPr>
      </w:pPr>
    </w:p>
    <w:p w14:paraId="0462BF52" w14:textId="77777777" w:rsidR="00790ADA" w:rsidRPr="00FB3A86" w:rsidRDefault="00790ADA" w:rsidP="00441B6F">
      <w:pPr>
        <w:pStyle w:val="Body"/>
        <w:spacing w:after="0"/>
        <w:rPr>
          <w:rFonts w:ascii="Arial" w:hAnsi="Arial" w:cs="Arial"/>
        </w:rPr>
      </w:pPr>
    </w:p>
    <w:p w14:paraId="69C23121" w14:textId="77777777" w:rsidR="0033653C" w:rsidRDefault="00AA74E0" w:rsidP="00441B6F">
      <w:pPr>
        <w:pStyle w:val="Body"/>
        <w:spacing w:after="0"/>
        <w:rPr>
          <w:rFonts w:ascii="Arial" w:hAnsi="Arial" w:cs="Arial"/>
        </w:rPr>
      </w:pPr>
      <w:bookmarkStart w:id="3" w:name="_Hlk202387424"/>
      <w:r w:rsidRPr="00C30A0F">
        <w:rPr>
          <w:rFonts w:ascii="Arial" w:hAnsi="Arial" w:cs="Arial"/>
          <w:b/>
          <w:caps/>
          <w:sz w:val="22"/>
        </w:rPr>
        <w:t xml:space="preserve">2.1 </w:t>
      </w:r>
      <w:r w:rsidR="0033653C" w:rsidRPr="0033653C">
        <w:rPr>
          <w:rFonts w:ascii="Arial" w:hAnsi="Arial" w:cs="Arial"/>
          <w:b/>
          <w:bCs/>
          <w:sz w:val="22"/>
          <w:szCs w:val="22"/>
        </w:rPr>
        <w:t>Mass and Physical Characteristics of Municipal Solid Waste</w:t>
      </w:r>
      <w:r w:rsidRPr="00FB3A86">
        <w:rPr>
          <w:rFonts w:ascii="Arial" w:hAnsi="Arial" w:cs="Arial"/>
        </w:rPr>
        <w:t xml:space="preserve"> </w:t>
      </w:r>
    </w:p>
    <w:bookmarkEnd w:id="3"/>
    <w:p w14:paraId="224BEE25" w14:textId="77777777" w:rsidR="0033653C" w:rsidRDefault="0033653C" w:rsidP="00441B6F">
      <w:pPr>
        <w:pStyle w:val="Body"/>
        <w:spacing w:after="0"/>
        <w:rPr>
          <w:rFonts w:ascii="Arial" w:hAnsi="Arial" w:cs="Arial"/>
        </w:rPr>
      </w:pPr>
    </w:p>
    <w:p w14:paraId="10779D9B" w14:textId="77777777" w:rsidR="0033653C" w:rsidRDefault="0033653C" w:rsidP="0033653C">
      <w:pPr>
        <w:widowControl w:val="0"/>
        <w:autoSpaceDE w:val="0"/>
        <w:autoSpaceDN w:val="0"/>
        <w:spacing w:line="360" w:lineRule="auto"/>
        <w:ind w:firstLine="710"/>
        <w:jc w:val="both"/>
        <w:rPr>
          <w:rFonts w:ascii="Arial" w:hAnsi="Arial" w:cs="Arial"/>
          <w:b/>
        </w:rPr>
      </w:pPr>
      <w:r w:rsidRPr="00BF1719">
        <w:rPr>
          <w:rFonts w:ascii="Arial" w:hAnsi="Arial" w:cs="Arial"/>
        </w:rPr>
        <w:t xml:space="preserve">The composition of Abidjan's municipal solid waste (MSW) is shown in </w:t>
      </w:r>
      <w:r w:rsidRPr="00BF1719">
        <w:rPr>
          <w:rFonts w:ascii="Arial" w:hAnsi="Arial" w:cs="Arial"/>
          <w:b/>
          <w:bCs/>
        </w:rPr>
        <w:t>t</w:t>
      </w:r>
      <w:r w:rsidRPr="00BF1719">
        <w:rPr>
          <w:rFonts w:ascii="Arial" w:hAnsi="Arial" w:cs="Arial"/>
          <w:b/>
        </w:rPr>
        <w:t xml:space="preserve">able 1 (Cyril </w:t>
      </w:r>
      <w:r w:rsidRPr="00BF1719">
        <w:rPr>
          <w:rFonts w:ascii="Arial" w:hAnsi="Arial" w:cs="Arial"/>
          <w:b/>
          <w:i/>
          <w:iCs/>
        </w:rPr>
        <w:t>et al.</w:t>
      </w:r>
      <w:r w:rsidRPr="00BF1719">
        <w:rPr>
          <w:rFonts w:ascii="Arial" w:hAnsi="Arial" w:cs="Arial"/>
          <w:b/>
        </w:rPr>
        <w:t>,2018):</w:t>
      </w:r>
    </w:p>
    <w:p w14:paraId="50EE8C0A" w14:textId="77777777" w:rsidR="0033653C" w:rsidRPr="00BF1719" w:rsidRDefault="0033653C" w:rsidP="0033653C">
      <w:pPr>
        <w:widowControl w:val="0"/>
        <w:autoSpaceDE w:val="0"/>
        <w:autoSpaceDN w:val="0"/>
        <w:spacing w:before="241"/>
        <w:ind w:left="130" w:right="547"/>
        <w:jc w:val="center"/>
        <w:rPr>
          <w:rFonts w:ascii="Arial" w:hAnsi="Arial" w:cs="Arial"/>
        </w:rPr>
      </w:pPr>
      <w:r w:rsidRPr="00BF1719">
        <w:rPr>
          <w:rFonts w:ascii="Arial" w:hAnsi="Arial" w:cs="Arial"/>
          <w:b/>
        </w:rPr>
        <w:t>Table</w:t>
      </w:r>
      <w:r w:rsidRPr="00BF1719">
        <w:rPr>
          <w:rFonts w:ascii="Arial" w:hAnsi="Arial" w:cs="Arial"/>
          <w:b/>
          <w:spacing w:val="-3"/>
        </w:rPr>
        <w:t xml:space="preserve"> </w:t>
      </w:r>
      <w:r w:rsidRPr="00BF1719">
        <w:rPr>
          <w:rFonts w:ascii="Arial" w:hAnsi="Arial" w:cs="Arial"/>
          <w:b/>
        </w:rPr>
        <w:t>1:</w:t>
      </w:r>
      <w:r w:rsidRPr="00BF1719">
        <w:rPr>
          <w:rFonts w:ascii="Arial" w:hAnsi="Arial" w:cs="Arial"/>
          <w:b/>
          <w:spacing w:val="1"/>
        </w:rPr>
        <w:t xml:space="preserve"> </w:t>
      </w:r>
      <w:r w:rsidRPr="00BF1719">
        <w:rPr>
          <w:rFonts w:ascii="Arial" w:hAnsi="Arial" w:cs="Arial"/>
        </w:rPr>
        <w:t>Average annual composition of Abidjan's MSWs</w:t>
      </w:r>
    </w:p>
    <w:p w14:paraId="6A7F3180" w14:textId="77777777" w:rsidR="0033653C" w:rsidRPr="00BF1719" w:rsidRDefault="0033653C" w:rsidP="0033653C">
      <w:pPr>
        <w:widowControl w:val="0"/>
        <w:autoSpaceDE w:val="0"/>
        <w:autoSpaceDN w:val="0"/>
        <w:spacing w:before="129"/>
        <w:rPr>
          <w:rFonts w:ascii="Arial" w:hAnsi="Arial" w:cs="Arial"/>
        </w:rPr>
      </w:pPr>
    </w:p>
    <w:tbl>
      <w:tblPr>
        <w:tblStyle w:val="TableNormal2"/>
        <w:tblW w:w="0" w:type="auto"/>
        <w:tblInd w:w="2814" w:type="dxa"/>
        <w:tblLayout w:type="fixed"/>
        <w:tblLook w:val="01E0" w:firstRow="1" w:lastRow="1" w:firstColumn="1" w:lastColumn="1" w:noHBand="0" w:noVBand="0"/>
      </w:tblPr>
      <w:tblGrid>
        <w:gridCol w:w="2302"/>
        <w:gridCol w:w="2287"/>
      </w:tblGrid>
      <w:tr w:rsidR="0033653C" w:rsidRPr="00BF1719" w14:paraId="5C5E3437" w14:textId="77777777" w:rsidTr="008C19DC">
        <w:trPr>
          <w:trHeight w:val="410"/>
        </w:trPr>
        <w:tc>
          <w:tcPr>
            <w:tcW w:w="2302" w:type="dxa"/>
            <w:tcBorders>
              <w:top w:val="single" w:sz="18" w:space="0" w:color="000000"/>
              <w:bottom w:val="single" w:sz="18" w:space="0" w:color="000000"/>
            </w:tcBorders>
          </w:tcPr>
          <w:p w14:paraId="2C9ADB7C" w14:textId="77777777" w:rsidR="0033653C" w:rsidRPr="00BF1719" w:rsidRDefault="0033653C" w:rsidP="008C19DC">
            <w:pPr>
              <w:ind w:left="112"/>
              <w:rPr>
                <w:rFonts w:ascii="Arial" w:eastAsia="Times New Roman" w:hAnsi="Arial" w:cs="Arial"/>
                <w:b/>
                <w:sz w:val="20"/>
                <w:szCs w:val="20"/>
              </w:rPr>
            </w:pPr>
            <w:r w:rsidRPr="00BF1719">
              <w:rPr>
                <w:rFonts w:ascii="Arial" w:eastAsia="Times New Roman" w:hAnsi="Arial" w:cs="Arial"/>
                <w:b/>
                <w:sz w:val="20"/>
                <w:szCs w:val="20"/>
              </w:rPr>
              <w:t>Categories of MSW</w:t>
            </w:r>
          </w:p>
        </w:tc>
        <w:tc>
          <w:tcPr>
            <w:tcW w:w="2287" w:type="dxa"/>
            <w:tcBorders>
              <w:top w:val="single" w:sz="18" w:space="0" w:color="000000"/>
              <w:bottom w:val="single" w:sz="18" w:space="0" w:color="000000"/>
            </w:tcBorders>
          </w:tcPr>
          <w:p w14:paraId="4BE2F1AC" w14:textId="77777777" w:rsidR="0033653C" w:rsidRPr="00BF1719" w:rsidRDefault="0033653C" w:rsidP="008C19DC">
            <w:pPr>
              <w:ind w:left="111"/>
              <w:rPr>
                <w:rFonts w:ascii="Arial" w:eastAsia="Times New Roman" w:hAnsi="Arial" w:cs="Arial"/>
                <w:b/>
                <w:sz w:val="20"/>
                <w:szCs w:val="20"/>
              </w:rPr>
            </w:pPr>
            <w:r w:rsidRPr="00BF1719">
              <w:rPr>
                <w:rFonts w:ascii="Arial" w:eastAsia="Times New Roman" w:hAnsi="Arial" w:cs="Arial"/>
                <w:b/>
                <w:sz w:val="20"/>
                <w:szCs w:val="20"/>
              </w:rPr>
              <w:t xml:space="preserve">Percentage </w:t>
            </w:r>
            <w:r w:rsidRPr="00BF1719">
              <w:rPr>
                <w:rFonts w:ascii="Arial" w:eastAsia="Times New Roman" w:hAnsi="Arial" w:cs="Arial"/>
                <w:b/>
                <w:spacing w:val="-5"/>
                <w:sz w:val="20"/>
                <w:szCs w:val="20"/>
              </w:rPr>
              <w:t>(%)</w:t>
            </w:r>
          </w:p>
        </w:tc>
      </w:tr>
      <w:tr w:rsidR="0033653C" w:rsidRPr="00BF1719" w14:paraId="2642C8E1" w14:textId="77777777" w:rsidTr="008C19DC">
        <w:trPr>
          <w:trHeight w:val="354"/>
        </w:trPr>
        <w:tc>
          <w:tcPr>
            <w:tcW w:w="2302" w:type="dxa"/>
            <w:tcBorders>
              <w:top w:val="single" w:sz="18" w:space="0" w:color="000000"/>
            </w:tcBorders>
          </w:tcPr>
          <w:p w14:paraId="25060EEE" w14:textId="77777777" w:rsidR="0033653C" w:rsidRPr="00BF1719" w:rsidRDefault="0033653C" w:rsidP="008C19DC">
            <w:pPr>
              <w:spacing w:before="5"/>
              <w:ind w:left="112"/>
              <w:rPr>
                <w:rFonts w:ascii="Arial" w:eastAsia="Times New Roman" w:hAnsi="Arial" w:cs="Arial"/>
                <w:sz w:val="20"/>
                <w:szCs w:val="20"/>
              </w:rPr>
            </w:pPr>
            <w:r w:rsidRPr="00BF1719">
              <w:rPr>
                <w:rFonts w:ascii="Arial" w:eastAsia="Times New Roman" w:hAnsi="Arial" w:cs="Arial"/>
                <w:spacing w:val="-2"/>
                <w:sz w:val="20"/>
                <w:szCs w:val="20"/>
              </w:rPr>
              <w:t>Putrescible</w:t>
            </w:r>
          </w:p>
        </w:tc>
        <w:tc>
          <w:tcPr>
            <w:tcW w:w="2287" w:type="dxa"/>
            <w:tcBorders>
              <w:top w:val="single" w:sz="18" w:space="0" w:color="000000"/>
            </w:tcBorders>
          </w:tcPr>
          <w:p w14:paraId="747777FB" w14:textId="77777777" w:rsidR="0033653C" w:rsidRPr="00BF1719" w:rsidRDefault="0033653C" w:rsidP="008C19DC">
            <w:pPr>
              <w:spacing w:before="5"/>
              <w:ind w:left="422" w:right="522"/>
              <w:jc w:val="center"/>
              <w:rPr>
                <w:rFonts w:ascii="Arial" w:eastAsia="Times New Roman" w:hAnsi="Arial" w:cs="Arial"/>
                <w:sz w:val="20"/>
                <w:szCs w:val="20"/>
              </w:rPr>
            </w:pPr>
            <w:r w:rsidRPr="00BF1719">
              <w:rPr>
                <w:rFonts w:ascii="Arial" w:eastAsia="Times New Roman" w:hAnsi="Arial" w:cs="Arial"/>
                <w:spacing w:val="-2"/>
                <w:sz w:val="20"/>
                <w:szCs w:val="20"/>
              </w:rPr>
              <w:t>45,42</w:t>
            </w:r>
          </w:p>
        </w:tc>
      </w:tr>
      <w:tr w:rsidR="0033653C" w:rsidRPr="00BF1719" w14:paraId="216CF3B7" w14:textId="77777777" w:rsidTr="008C19DC">
        <w:trPr>
          <w:trHeight w:val="413"/>
        </w:trPr>
        <w:tc>
          <w:tcPr>
            <w:tcW w:w="2302" w:type="dxa"/>
          </w:tcPr>
          <w:p w14:paraId="6B211A68"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Papier-carton</w:t>
            </w:r>
          </w:p>
        </w:tc>
        <w:tc>
          <w:tcPr>
            <w:tcW w:w="2287" w:type="dxa"/>
          </w:tcPr>
          <w:p w14:paraId="6FFEEA3C" w14:textId="77777777" w:rsidR="0033653C" w:rsidRPr="00BF1719" w:rsidRDefault="0033653C" w:rsidP="008C19DC">
            <w:pPr>
              <w:spacing w:before="63"/>
              <w:ind w:left="120" w:right="522"/>
              <w:jc w:val="center"/>
              <w:rPr>
                <w:rFonts w:ascii="Arial" w:eastAsia="Times New Roman" w:hAnsi="Arial" w:cs="Arial"/>
                <w:sz w:val="20"/>
                <w:szCs w:val="20"/>
              </w:rPr>
            </w:pPr>
            <w:r w:rsidRPr="00BF1719">
              <w:rPr>
                <w:rFonts w:ascii="Arial" w:eastAsia="Times New Roman" w:hAnsi="Arial" w:cs="Arial"/>
                <w:spacing w:val="-5"/>
                <w:sz w:val="20"/>
                <w:szCs w:val="20"/>
              </w:rPr>
              <w:t>14</w:t>
            </w:r>
          </w:p>
        </w:tc>
      </w:tr>
      <w:tr w:rsidR="0033653C" w:rsidRPr="00BF1719" w14:paraId="76B14462" w14:textId="77777777" w:rsidTr="008C19DC">
        <w:trPr>
          <w:trHeight w:val="412"/>
        </w:trPr>
        <w:tc>
          <w:tcPr>
            <w:tcW w:w="2302" w:type="dxa"/>
          </w:tcPr>
          <w:p w14:paraId="6BCE66F4"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Leaves</w:t>
            </w:r>
          </w:p>
        </w:tc>
        <w:tc>
          <w:tcPr>
            <w:tcW w:w="2287" w:type="dxa"/>
          </w:tcPr>
          <w:p w14:paraId="685096AC" w14:textId="77777777" w:rsidR="0033653C" w:rsidRPr="00BF1719" w:rsidRDefault="0033653C" w:rsidP="008C19DC">
            <w:pPr>
              <w:spacing w:before="63"/>
              <w:ind w:right="522"/>
              <w:jc w:val="center"/>
              <w:rPr>
                <w:rFonts w:ascii="Arial" w:eastAsia="Times New Roman" w:hAnsi="Arial" w:cs="Arial"/>
                <w:sz w:val="20"/>
                <w:szCs w:val="20"/>
              </w:rPr>
            </w:pPr>
            <w:r w:rsidRPr="00BF1719">
              <w:rPr>
                <w:rFonts w:ascii="Arial" w:eastAsia="Times New Roman" w:hAnsi="Arial" w:cs="Arial"/>
                <w:spacing w:val="-10"/>
                <w:sz w:val="20"/>
                <w:szCs w:val="20"/>
              </w:rPr>
              <w:t>2</w:t>
            </w:r>
          </w:p>
        </w:tc>
      </w:tr>
      <w:tr w:rsidR="0033653C" w:rsidRPr="00BF1719" w14:paraId="753191F7" w14:textId="77777777" w:rsidTr="008C19DC">
        <w:trPr>
          <w:trHeight w:val="415"/>
        </w:trPr>
        <w:tc>
          <w:tcPr>
            <w:tcW w:w="2302" w:type="dxa"/>
          </w:tcPr>
          <w:p w14:paraId="09996621"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4"/>
                <w:sz w:val="20"/>
                <w:szCs w:val="20"/>
              </w:rPr>
              <w:t>Wood</w:t>
            </w:r>
          </w:p>
        </w:tc>
        <w:tc>
          <w:tcPr>
            <w:tcW w:w="2287" w:type="dxa"/>
          </w:tcPr>
          <w:p w14:paraId="5CEFC3A6" w14:textId="77777777" w:rsidR="0033653C" w:rsidRPr="00BF1719" w:rsidRDefault="0033653C" w:rsidP="008C19DC">
            <w:pPr>
              <w:spacing w:before="63"/>
              <w:ind w:right="522"/>
              <w:jc w:val="center"/>
              <w:rPr>
                <w:rFonts w:ascii="Arial" w:eastAsia="Times New Roman" w:hAnsi="Arial" w:cs="Arial"/>
                <w:sz w:val="20"/>
                <w:szCs w:val="20"/>
              </w:rPr>
            </w:pPr>
            <w:r w:rsidRPr="00BF1719">
              <w:rPr>
                <w:rFonts w:ascii="Arial" w:eastAsia="Times New Roman" w:hAnsi="Arial" w:cs="Arial"/>
                <w:spacing w:val="-10"/>
                <w:sz w:val="20"/>
                <w:szCs w:val="20"/>
              </w:rPr>
              <w:t>4</w:t>
            </w:r>
          </w:p>
        </w:tc>
      </w:tr>
      <w:tr w:rsidR="0033653C" w:rsidRPr="00BF1719" w14:paraId="5B534B6C" w14:textId="77777777" w:rsidTr="008C19DC">
        <w:trPr>
          <w:trHeight w:val="415"/>
        </w:trPr>
        <w:tc>
          <w:tcPr>
            <w:tcW w:w="2302" w:type="dxa"/>
          </w:tcPr>
          <w:p w14:paraId="09B9A8B2" w14:textId="77777777" w:rsidR="0033653C" w:rsidRPr="00BF1719" w:rsidRDefault="0033653C" w:rsidP="008C19DC">
            <w:pPr>
              <w:spacing w:before="65"/>
              <w:ind w:left="112"/>
              <w:rPr>
                <w:rFonts w:ascii="Arial" w:eastAsia="Times New Roman" w:hAnsi="Arial" w:cs="Arial"/>
                <w:sz w:val="20"/>
                <w:szCs w:val="20"/>
              </w:rPr>
            </w:pPr>
            <w:r w:rsidRPr="00BF1719">
              <w:rPr>
                <w:rFonts w:ascii="Arial" w:eastAsia="Times New Roman" w:hAnsi="Arial" w:cs="Arial"/>
                <w:sz w:val="20"/>
                <w:szCs w:val="20"/>
              </w:rPr>
              <w:t>Bones and straw</w:t>
            </w:r>
          </w:p>
        </w:tc>
        <w:tc>
          <w:tcPr>
            <w:tcW w:w="2287" w:type="dxa"/>
          </w:tcPr>
          <w:p w14:paraId="328960CC" w14:textId="77777777" w:rsidR="0033653C" w:rsidRPr="00BF1719" w:rsidRDefault="0033653C" w:rsidP="008C19DC">
            <w:pPr>
              <w:spacing w:before="65"/>
              <w:ind w:left="302" w:right="522"/>
              <w:jc w:val="center"/>
              <w:rPr>
                <w:rFonts w:ascii="Arial" w:eastAsia="Times New Roman" w:hAnsi="Arial" w:cs="Arial"/>
                <w:sz w:val="20"/>
                <w:szCs w:val="20"/>
              </w:rPr>
            </w:pPr>
            <w:r w:rsidRPr="00BF1719">
              <w:rPr>
                <w:rFonts w:ascii="Arial" w:eastAsia="Times New Roman" w:hAnsi="Arial" w:cs="Arial"/>
                <w:spacing w:val="-4"/>
                <w:sz w:val="20"/>
                <w:szCs w:val="20"/>
              </w:rPr>
              <w:t>3,42</w:t>
            </w:r>
          </w:p>
        </w:tc>
      </w:tr>
      <w:tr w:rsidR="0033653C" w:rsidRPr="00BF1719" w14:paraId="18565DEE" w14:textId="77777777" w:rsidTr="008C19DC">
        <w:trPr>
          <w:trHeight w:val="412"/>
        </w:trPr>
        <w:tc>
          <w:tcPr>
            <w:tcW w:w="2302" w:type="dxa"/>
          </w:tcPr>
          <w:p w14:paraId="25815BDB"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Textiles</w:t>
            </w:r>
          </w:p>
        </w:tc>
        <w:tc>
          <w:tcPr>
            <w:tcW w:w="2287" w:type="dxa"/>
          </w:tcPr>
          <w:p w14:paraId="6EADB06E" w14:textId="77777777" w:rsidR="0033653C" w:rsidRPr="00BF1719" w:rsidRDefault="0033653C" w:rsidP="008C19DC">
            <w:pPr>
              <w:spacing w:before="63"/>
              <w:ind w:left="302" w:right="522"/>
              <w:jc w:val="center"/>
              <w:rPr>
                <w:rFonts w:ascii="Arial" w:eastAsia="Times New Roman" w:hAnsi="Arial" w:cs="Arial"/>
                <w:sz w:val="20"/>
                <w:szCs w:val="20"/>
              </w:rPr>
            </w:pPr>
            <w:r w:rsidRPr="00BF1719">
              <w:rPr>
                <w:rFonts w:ascii="Arial" w:eastAsia="Times New Roman" w:hAnsi="Arial" w:cs="Arial"/>
                <w:spacing w:val="-4"/>
                <w:sz w:val="20"/>
                <w:szCs w:val="20"/>
              </w:rPr>
              <w:t>2,75</w:t>
            </w:r>
          </w:p>
        </w:tc>
      </w:tr>
      <w:tr w:rsidR="0033653C" w:rsidRPr="00BF1719" w14:paraId="6E9F0BC8" w14:textId="77777777" w:rsidTr="008C19DC">
        <w:trPr>
          <w:trHeight w:val="413"/>
        </w:trPr>
        <w:tc>
          <w:tcPr>
            <w:tcW w:w="2302" w:type="dxa"/>
          </w:tcPr>
          <w:p w14:paraId="445E3194"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Glass</w:t>
            </w:r>
          </w:p>
        </w:tc>
        <w:tc>
          <w:tcPr>
            <w:tcW w:w="2287" w:type="dxa"/>
          </w:tcPr>
          <w:p w14:paraId="6CA0C47E" w14:textId="77777777" w:rsidR="0033653C" w:rsidRPr="00BF1719" w:rsidRDefault="0033653C" w:rsidP="008C19DC">
            <w:pPr>
              <w:spacing w:before="63"/>
              <w:ind w:left="182" w:right="522"/>
              <w:jc w:val="center"/>
              <w:rPr>
                <w:rFonts w:ascii="Arial" w:eastAsia="Times New Roman" w:hAnsi="Arial" w:cs="Arial"/>
                <w:sz w:val="20"/>
                <w:szCs w:val="20"/>
              </w:rPr>
            </w:pPr>
            <w:r w:rsidRPr="00BF1719">
              <w:rPr>
                <w:rFonts w:ascii="Arial" w:eastAsia="Times New Roman" w:hAnsi="Arial" w:cs="Arial"/>
                <w:spacing w:val="-5"/>
                <w:sz w:val="20"/>
                <w:szCs w:val="20"/>
              </w:rPr>
              <w:t>2,5</w:t>
            </w:r>
          </w:p>
        </w:tc>
      </w:tr>
      <w:tr w:rsidR="0033653C" w:rsidRPr="00BF1719" w14:paraId="4B40A7AB" w14:textId="77777777" w:rsidTr="008C19DC">
        <w:trPr>
          <w:trHeight w:val="415"/>
        </w:trPr>
        <w:tc>
          <w:tcPr>
            <w:tcW w:w="2302" w:type="dxa"/>
          </w:tcPr>
          <w:p w14:paraId="6693FB27"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Metals</w:t>
            </w:r>
          </w:p>
        </w:tc>
        <w:tc>
          <w:tcPr>
            <w:tcW w:w="2287" w:type="dxa"/>
          </w:tcPr>
          <w:p w14:paraId="5616FEFA" w14:textId="77777777" w:rsidR="0033653C" w:rsidRPr="00BF1719" w:rsidRDefault="0033653C" w:rsidP="008C19DC">
            <w:pPr>
              <w:spacing w:before="63"/>
              <w:ind w:left="302" w:right="522"/>
              <w:jc w:val="center"/>
              <w:rPr>
                <w:rFonts w:ascii="Arial" w:eastAsia="Times New Roman" w:hAnsi="Arial" w:cs="Arial"/>
                <w:sz w:val="20"/>
                <w:szCs w:val="20"/>
              </w:rPr>
            </w:pPr>
            <w:r w:rsidRPr="00BF1719">
              <w:rPr>
                <w:rFonts w:ascii="Arial" w:eastAsia="Times New Roman" w:hAnsi="Arial" w:cs="Arial"/>
                <w:spacing w:val="-4"/>
                <w:sz w:val="20"/>
                <w:szCs w:val="20"/>
              </w:rPr>
              <w:t>1,75</w:t>
            </w:r>
          </w:p>
        </w:tc>
      </w:tr>
      <w:tr w:rsidR="0033653C" w:rsidRPr="00BF1719" w14:paraId="4A1A52EE" w14:textId="77777777" w:rsidTr="008C19DC">
        <w:trPr>
          <w:trHeight w:val="415"/>
        </w:trPr>
        <w:tc>
          <w:tcPr>
            <w:tcW w:w="2302" w:type="dxa"/>
          </w:tcPr>
          <w:p w14:paraId="0A6D25B7" w14:textId="77777777" w:rsidR="0033653C" w:rsidRPr="00BF1719" w:rsidRDefault="0033653C" w:rsidP="008C19DC">
            <w:pPr>
              <w:spacing w:before="65"/>
              <w:ind w:left="112"/>
              <w:rPr>
                <w:rFonts w:ascii="Arial" w:eastAsia="Times New Roman" w:hAnsi="Arial" w:cs="Arial"/>
                <w:sz w:val="20"/>
                <w:szCs w:val="20"/>
              </w:rPr>
            </w:pPr>
            <w:r w:rsidRPr="00BF1719">
              <w:rPr>
                <w:rFonts w:ascii="Arial" w:eastAsia="Times New Roman" w:hAnsi="Arial" w:cs="Arial"/>
                <w:spacing w:val="-2"/>
                <w:sz w:val="20"/>
                <w:szCs w:val="20"/>
              </w:rPr>
              <w:t>Plastics</w:t>
            </w:r>
          </w:p>
        </w:tc>
        <w:tc>
          <w:tcPr>
            <w:tcW w:w="2287" w:type="dxa"/>
          </w:tcPr>
          <w:p w14:paraId="184C81C0" w14:textId="77777777" w:rsidR="0033653C" w:rsidRPr="00BF1719" w:rsidRDefault="0033653C" w:rsidP="008C19DC">
            <w:pPr>
              <w:spacing w:before="65"/>
              <w:ind w:left="182" w:right="522"/>
              <w:jc w:val="center"/>
              <w:rPr>
                <w:rFonts w:ascii="Arial" w:eastAsia="Times New Roman" w:hAnsi="Arial" w:cs="Arial"/>
                <w:sz w:val="20"/>
                <w:szCs w:val="20"/>
              </w:rPr>
            </w:pPr>
            <w:r w:rsidRPr="00BF1719">
              <w:rPr>
                <w:rFonts w:ascii="Arial" w:eastAsia="Times New Roman" w:hAnsi="Arial" w:cs="Arial"/>
                <w:spacing w:val="-5"/>
                <w:sz w:val="20"/>
                <w:szCs w:val="20"/>
              </w:rPr>
              <w:t>8,5</w:t>
            </w:r>
          </w:p>
        </w:tc>
      </w:tr>
      <w:tr w:rsidR="0033653C" w:rsidRPr="00BF1719" w14:paraId="14BE71E4" w14:textId="77777777" w:rsidTr="008C19DC">
        <w:trPr>
          <w:trHeight w:val="413"/>
        </w:trPr>
        <w:tc>
          <w:tcPr>
            <w:tcW w:w="2302" w:type="dxa"/>
          </w:tcPr>
          <w:p w14:paraId="6EEC466E"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Stone</w:t>
            </w:r>
          </w:p>
        </w:tc>
        <w:tc>
          <w:tcPr>
            <w:tcW w:w="2287" w:type="dxa"/>
          </w:tcPr>
          <w:p w14:paraId="7956DF38" w14:textId="77777777" w:rsidR="0033653C" w:rsidRPr="00BF1719" w:rsidRDefault="0033653C" w:rsidP="008C19DC">
            <w:pPr>
              <w:spacing w:before="63"/>
              <w:ind w:right="522"/>
              <w:jc w:val="center"/>
              <w:rPr>
                <w:rFonts w:ascii="Arial" w:eastAsia="Times New Roman" w:hAnsi="Arial" w:cs="Arial"/>
                <w:sz w:val="20"/>
                <w:szCs w:val="20"/>
              </w:rPr>
            </w:pPr>
            <w:r w:rsidRPr="00BF1719">
              <w:rPr>
                <w:rFonts w:ascii="Arial" w:eastAsia="Times New Roman" w:hAnsi="Arial" w:cs="Arial"/>
                <w:spacing w:val="-10"/>
                <w:sz w:val="20"/>
                <w:szCs w:val="20"/>
              </w:rPr>
              <w:t>1</w:t>
            </w:r>
          </w:p>
        </w:tc>
      </w:tr>
      <w:tr w:rsidR="0033653C" w:rsidRPr="00BF1719" w14:paraId="1C984736" w14:textId="77777777" w:rsidTr="008C19DC">
        <w:trPr>
          <w:trHeight w:val="413"/>
        </w:trPr>
        <w:tc>
          <w:tcPr>
            <w:tcW w:w="2302" w:type="dxa"/>
          </w:tcPr>
          <w:p w14:paraId="6923E5C2"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pacing w:val="-2"/>
                <w:sz w:val="20"/>
                <w:szCs w:val="20"/>
              </w:rPr>
              <w:t>Cells</w:t>
            </w:r>
          </w:p>
        </w:tc>
        <w:tc>
          <w:tcPr>
            <w:tcW w:w="2287" w:type="dxa"/>
          </w:tcPr>
          <w:p w14:paraId="21322A95" w14:textId="77777777" w:rsidR="0033653C" w:rsidRPr="00BF1719" w:rsidRDefault="0033653C" w:rsidP="008C19DC">
            <w:pPr>
              <w:spacing w:before="63"/>
              <w:ind w:left="302" w:right="522"/>
              <w:jc w:val="center"/>
              <w:rPr>
                <w:rFonts w:ascii="Arial" w:eastAsia="Times New Roman" w:hAnsi="Arial" w:cs="Arial"/>
                <w:sz w:val="20"/>
                <w:szCs w:val="20"/>
              </w:rPr>
            </w:pPr>
            <w:r w:rsidRPr="00BF1719">
              <w:rPr>
                <w:rFonts w:ascii="Arial" w:eastAsia="Times New Roman" w:hAnsi="Arial" w:cs="Arial"/>
                <w:spacing w:val="-4"/>
                <w:sz w:val="20"/>
                <w:szCs w:val="20"/>
              </w:rPr>
              <w:t>1,41</w:t>
            </w:r>
          </w:p>
        </w:tc>
      </w:tr>
      <w:tr w:rsidR="0033653C" w:rsidRPr="00BF1719" w14:paraId="63DEBD23" w14:textId="77777777" w:rsidTr="008C19DC">
        <w:trPr>
          <w:trHeight w:val="415"/>
        </w:trPr>
        <w:tc>
          <w:tcPr>
            <w:tcW w:w="2302" w:type="dxa"/>
          </w:tcPr>
          <w:p w14:paraId="18F0951F" w14:textId="77777777" w:rsidR="0033653C" w:rsidRPr="00BF1719" w:rsidRDefault="0033653C" w:rsidP="008C19DC">
            <w:pPr>
              <w:spacing w:before="63"/>
              <w:ind w:left="112"/>
              <w:rPr>
                <w:rFonts w:ascii="Arial" w:eastAsia="Times New Roman" w:hAnsi="Arial" w:cs="Arial"/>
                <w:sz w:val="20"/>
                <w:szCs w:val="20"/>
              </w:rPr>
            </w:pPr>
            <w:r w:rsidRPr="00BF1719">
              <w:rPr>
                <w:rFonts w:ascii="Arial" w:eastAsia="Times New Roman" w:hAnsi="Arial" w:cs="Arial"/>
                <w:sz w:val="20"/>
                <w:szCs w:val="20"/>
              </w:rPr>
              <w:t>Sand, dust</w:t>
            </w:r>
          </w:p>
        </w:tc>
        <w:tc>
          <w:tcPr>
            <w:tcW w:w="2287" w:type="dxa"/>
          </w:tcPr>
          <w:p w14:paraId="60958A12" w14:textId="77777777" w:rsidR="0033653C" w:rsidRPr="00BF1719" w:rsidRDefault="0033653C" w:rsidP="008C19DC">
            <w:pPr>
              <w:spacing w:before="63"/>
              <w:ind w:left="422" w:right="522"/>
              <w:jc w:val="center"/>
              <w:rPr>
                <w:rFonts w:ascii="Arial" w:eastAsia="Times New Roman" w:hAnsi="Arial" w:cs="Arial"/>
                <w:sz w:val="20"/>
                <w:szCs w:val="20"/>
              </w:rPr>
            </w:pPr>
            <w:r w:rsidRPr="00BF1719">
              <w:rPr>
                <w:rFonts w:ascii="Arial" w:eastAsia="Times New Roman" w:hAnsi="Arial" w:cs="Arial"/>
                <w:spacing w:val="-2"/>
                <w:sz w:val="20"/>
                <w:szCs w:val="20"/>
              </w:rPr>
              <w:t>13,25</w:t>
            </w:r>
          </w:p>
        </w:tc>
      </w:tr>
      <w:tr w:rsidR="0033653C" w:rsidRPr="00BF1719" w14:paraId="116F2398" w14:textId="77777777" w:rsidTr="008C19DC">
        <w:trPr>
          <w:trHeight w:val="476"/>
        </w:trPr>
        <w:tc>
          <w:tcPr>
            <w:tcW w:w="2302" w:type="dxa"/>
            <w:tcBorders>
              <w:bottom w:val="single" w:sz="18" w:space="0" w:color="000000"/>
            </w:tcBorders>
          </w:tcPr>
          <w:p w14:paraId="730AD76E" w14:textId="77777777" w:rsidR="0033653C" w:rsidRPr="00BF1719" w:rsidRDefault="0033653C" w:rsidP="008C19DC">
            <w:pPr>
              <w:spacing w:before="65"/>
              <w:ind w:left="112"/>
              <w:rPr>
                <w:rFonts w:ascii="Arial" w:eastAsia="Times New Roman" w:hAnsi="Arial" w:cs="Arial"/>
                <w:b/>
                <w:sz w:val="20"/>
                <w:szCs w:val="20"/>
              </w:rPr>
            </w:pPr>
            <w:r w:rsidRPr="00BF1719">
              <w:rPr>
                <w:rFonts w:ascii="Arial" w:eastAsia="Times New Roman" w:hAnsi="Arial" w:cs="Arial"/>
                <w:b/>
                <w:spacing w:val="-2"/>
                <w:sz w:val="20"/>
                <w:szCs w:val="20"/>
              </w:rPr>
              <w:t>Total</w:t>
            </w:r>
          </w:p>
        </w:tc>
        <w:tc>
          <w:tcPr>
            <w:tcW w:w="2287" w:type="dxa"/>
            <w:tcBorders>
              <w:bottom w:val="single" w:sz="18" w:space="0" w:color="000000"/>
            </w:tcBorders>
          </w:tcPr>
          <w:p w14:paraId="01F79080" w14:textId="77777777" w:rsidR="0033653C" w:rsidRPr="00BF1719" w:rsidRDefault="0033653C" w:rsidP="008C19DC">
            <w:pPr>
              <w:spacing w:before="65"/>
              <w:ind w:left="240" w:right="522"/>
              <w:jc w:val="center"/>
              <w:rPr>
                <w:rFonts w:ascii="Arial" w:eastAsia="Times New Roman" w:hAnsi="Arial" w:cs="Arial"/>
                <w:b/>
                <w:sz w:val="20"/>
                <w:szCs w:val="20"/>
              </w:rPr>
            </w:pPr>
            <w:r w:rsidRPr="00BF1719">
              <w:rPr>
                <w:rFonts w:ascii="Arial" w:eastAsia="Times New Roman" w:hAnsi="Arial" w:cs="Arial"/>
                <w:b/>
                <w:spacing w:val="-5"/>
                <w:sz w:val="20"/>
                <w:szCs w:val="20"/>
              </w:rPr>
              <w:t>100</w:t>
            </w:r>
          </w:p>
        </w:tc>
      </w:tr>
    </w:tbl>
    <w:p w14:paraId="6FB52E53" w14:textId="77777777" w:rsidR="0033653C" w:rsidRDefault="0033653C" w:rsidP="0033653C">
      <w:pPr>
        <w:rPr>
          <w:rFonts w:ascii="Arial" w:hAnsi="Arial" w:cs="Arial"/>
        </w:rPr>
      </w:pPr>
    </w:p>
    <w:p w14:paraId="14BF0829" w14:textId="77777777" w:rsidR="0033653C" w:rsidRDefault="0033653C" w:rsidP="0033653C">
      <w:pPr>
        <w:spacing w:line="360" w:lineRule="auto"/>
        <w:rPr>
          <w:rFonts w:ascii="Arial" w:hAnsi="Arial" w:cs="Arial"/>
        </w:rPr>
      </w:pPr>
      <w:r w:rsidRPr="006F3D87">
        <w:rPr>
          <w:rFonts w:ascii="Arial" w:hAnsi="Arial" w:cs="Arial"/>
        </w:rPr>
        <w:t xml:space="preserve">Waste masses from 2008 to 2015 were obtained from the </w:t>
      </w:r>
      <w:proofErr w:type="spellStart"/>
      <w:r w:rsidRPr="006F3D87">
        <w:rPr>
          <w:rFonts w:ascii="Arial" w:hAnsi="Arial" w:cs="Arial"/>
        </w:rPr>
        <w:t>Agence</w:t>
      </w:r>
      <w:proofErr w:type="spellEnd"/>
      <w:r w:rsidRPr="006F3D87">
        <w:rPr>
          <w:rFonts w:ascii="Arial" w:hAnsi="Arial" w:cs="Arial"/>
        </w:rPr>
        <w:t xml:space="preserve"> </w:t>
      </w:r>
      <w:proofErr w:type="spellStart"/>
      <w:r w:rsidRPr="006F3D87">
        <w:rPr>
          <w:rFonts w:ascii="Arial" w:hAnsi="Arial" w:cs="Arial"/>
        </w:rPr>
        <w:t>Nationale</w:t>
      </w:r>
      <w:proofErr w:type="spellEnd"/>
      <w:r w:rsidRPr="006F3D87">
        <w:rPr>
          <w:rFonts w:ascii="Arial" w:hAnsi="Arial" w:cs="Arial"/>
        </w:rPr>
        <w:t xml:space="preserve"> de la </w:t>
      </w:r>
      <w:proofErr w:type="spellStart"/>
      <w:r w:rsidRPr="006F3D87">
        <w:rPr>
          <w:rFonts w:ascii="Arial" w:hAnsi="Arial" w:cs="Arial"/>
        </w:rPr>
        <w:t>Salubrité</w:t>
      </w:r>
      <w:proofErr w:type="spellEnd"/>
      <w:r w:rsidRPr="006F3D87">
        <w:rPr>
          <w:rFonts w:ascii="Arial" w:hAnsi="Arial" w:cs="Arial"/>
        </w:rPr>
        <w:t xml:space="preserve"> </w:t>
      </w:r>
      <w:proofErr w:type="spellStart"/>
      <w:r w:rsidRPr="006F3D87">
        <w:rPr>
          <w:rFonts w:ascii="Arial" w:hAnsi="Arial" w:cs="Arial"/>
        </w:rPr>
        <w:t>Urbaine</w:t>
      </w:r>
      <w:proofErr w:type="spellEnd"/>
      <w:r w:rsidRPr="006F3D87">
        <w:rPr>
          <w:rFonts w:ascii="Arial" w:hAnsi="Arial" w:cs="Arial"/>
        </w:rPr>
        <w:t xml:space="preserve"> (ANASUR), which was responsible for managing garbage collection in the Abidjan district. </w:t>
      </w:r>
    </w:p>
    <w:p w14:paraId="7A7358FB" w14:textId="70C48AEC" w:rsidR="0033653C" w:rsidRPr="0033653C" w:rsidRDefault="00AA74E0" w:rsidP="0033653C">
      <w:pPr>
        <w:pStyle w:val="Body"/>
        <w:spacing w:after="0"/>
        <w:rPr>
          <w:rFonts w:ascii="Arial" w:hAnsi="Arial" w:cs="Arial"/>
        </w:rPr>
      </w:pPr>
      <w:r w:rsidRPr="00FB3A86">
        <w:rPr>
          <w:rFonts w:ascii="Arial" w:hAnsi="Arial" w:cs="Arial"/>
        </w:rPr>
        <w:t xml:space="preserve"> </w:t>
      </w:r>
      <w:r w:rsidR="0033653C" w:rsidRPr="0033653C">
        <w:rPr>
          <w:rFonts w:ascii="Arial" w:hAnsi="Arial" w:cs="Arial"/>
          <w:b/>
        </w:rPr>
        <w:t>2.</w:t>
      </w:r>
      <w:r w:rsidR="0033653C">
        <w:rPr>
          <w:rFonts w:ascii="Arial" w:hAnsi="Arial" w:cs="Arial"/>
          <w:b/>
        </w:rPr>
        <w:t>2</w:t>
      </w:r>
      <w:r w:rsidR="0033653C" w:rsidRPr="0033653C">
        <w:rPr>
          <w:rFonts w:ascii="Arial" w:hAnsi="Arial" w:cs="Arial"/>
          <w:b/>
        </w:rPr>
        <w:t xml:space="preserve"> </w:t>
      </w:r>
      <w:r w:rsidR="0033653C" w:rsidRPr="00382907">
        <w:rPr>
          <w:rFonts w:ascii="Arial" w:hAnsi="Arial" w:cs="Arial"/>
          <w:b/>
          <w:bCs/>
          <w:sz w:val="22"/>
          <w:szCs w:val="22"/>
        </w:rPr>
        <w:t xml:space="preserve">Estimated Volume </w:t>
      </w:r>
      <w:r w:rsidR="0033653C">
        <w:rPr>
          <w:rFonts w:ascii="Arial" w:hAnsi="Arial" w:cs="Arial"/>
          <w:b/>
          <w:bCs/>
          <w:sz w:val="22"/>
          <w:szCs w:val="22"/>
        </w:rPr>
        <w:t>o</w:t>
      </w:r>
      <w:r w:rsidR="0033653C" w:rsidRPr="00382907">
        <w:rPr>
          <w:rFonts w:ascii="Arial" w:hAnsi="Arial" w:cs="Arial"/>
          <w:b/>
          <w:bCs/>
          <w:sz w:val="22"/>
          <w:szCs w:val="22"/>
        </w:rPr>
        <w:t>f Biogas Generated</w:t>
      </w:r>
    </w:p>
    <w:p w14:paraId="27864006" w14:textId="77777777" w:rsidR="0033653C" w:rsidRPr="0033653C" w:rsidRDefault="0033653C" w:rsidP="0033653C">
      <w:pPr>
        <w:widowControl w:val="0"/>
        <w:autoSpaceDE w:val="0"/>
        <w:autoSpaceDN w:val="0"/>
        <w:spacing w:before="237" w:line="360" w:lineRule="auto"/>
        <w:ind w:firstLine="710"/>
        <w:jc w:val="both"/>
        <w:rPr>
          <w:rFonts w:ascii="Arial" w:hAnsi="Arial" w:cs="Arial"/>
        </w:rPr>
      </w:pPr>
      <w:r w:rsidRPr="0033653C">
        <w:rPr>
          <w:rFonts w:ascii="Arial" w:hAnsi="Arial" w:cs="Arial"/>
        </w:rPr>
        <w:t xml:space="preserve">Two first-order mathematical models were used to estimate the volume of biogas generated by the waste buried at the former </w:t>
      </w:r>
      <w:proofErr w:type="spellStart"/>
      <w:r w:rsidRPr="0033653C">
        <w:rPr>
          <w:rFonts w:ascii="Arial" w:hAnsi="Arial" w:cs="Arial"/>
        </w:rPr>
        <w:t>Akouédo</w:t>
      </w:r>
      <w:proofErr w:type="spellEnd"/>
      <w:r w:rsidRPr="0033653C">
        <w:rPr>
          <w:rFonts w:ascii="Arial" w:hAnsi="Arial" w:cs="Arial"/>
        </w:rPr>
        <w:t xml:space="preserve"> landfill. These were the </w:t>
      </w:r>
      <w:proofErr w:type="spellStart"/>
      <w:r w:rsidRPr="0033653C">
        <w:rPr>
          <w:rFonts w:ascii="Arial" w:hAnsi="Arial" w:cs="Arial"/>
        </w:rPr>
        <w:t>LandGEM</w:t>
      </w:r>
      <w:proofErr w:type="spellEnd"/>
      <w:r w:rsidRPr="0033653C">
        <w:rPr>
          <w:rFonts w:ascii="Arial" w:hAnsi="Arial" w:cs="Arial"/>
        </w:rPr>
        <w:t xml:space="preserve"> 3.02 model and the IPCC waste model.</w:t>
      </w:r>
    </w:p>
    <w:p w14:paraId="03B6B1B2" w14:textId="77777777" w:rsidR="00505F06" w:rsidRDefault="00505F06" w:rsidP="00441B6F">
      <w:pPr>
        <w:pStyle w:val="Body"/>
        <w:spacing w:after="0"/>
        <w:rPr>
          <w:rFonts w:ascii="Arial" w:hAnsi="Arial" w:cs="Arial"/>
        </w:rPr>
      </w:pPr>
    </w:p>
    <w:p w14:paraId="12CBB22A" w14:textId="086F288D" w:rsidR="00AA74E0"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w:t>
      </w:r>
      <w:r w:rsidR="0033653C">
        <w:rPr>
          <w:rFonts w:ascii="Arial" w:hAnsi="Arial" w:cs="Arial"/>
          <w:b/>
          <w:u w:val="single"/>
        </w:rPr>
        <w:t>2</w:t>
      </w:r>
      <w:r w:rsidRPr="00902823">
        <w:rPr>
          <w:rFonts w:ascii="Arial" w:hAnsi="Arial" w:cs="Arial"/>
          <w:b/>
          <w:u w:val="single"/>
        </w:rPr>
        <w:t xml:space="preserve">.1 </w:t>
      </w:r>
      <w:r w:rsidR="00E415CF" w:rsidRPr="00BF1719">
        <w:rPr>
          <w:rFonts w:ascii="Arial" w:hAnsi="Arial" w:cs="Arial"/>
          <w:b/>
          <w:bCs/>
        </w:rPr>
        <w:t>Landfill gas emission model Version 3.02</w:t>
      </w:r>
      <w:r w:rsidR="00E415CF" w:rsidRPr="007F7B32">
        <w:rPr>
          <w:rFonts w:ascii="Arial" w:hAnsi="Arial" w:cs="Arial"/>
        </w:rPr>
        <w:t xml:space="preserve"> </w:t>
      </w:r>
      <w:r w:rsidRPr="00FB3A86">
        <w:rPr>
          <w:rFonts w:ascii="Arial" w:hAnsi="Arial" w:cs="Arial"/>
        </w:rPr>
        <w:t xml:space="preserve"> </w:t>
      </w:r>
    </w:p>
    <w:p w14:paraId="2B73513C" w14:textId="5141F6DC" w:rsidR="00E415CF" w:rsidRDefault="00E415CF" w:rsidP="00441B6F">
      <w:pPr>
        <w:pStyle w:val="Body"/>
        <w:spacing w:after="0"/>
        <w:rPr>
          <w:rFonts w:ascii="Arial" w:hAnsi="Arial" w:cs="Arial"/>
        </w:rPr>
      </w:pPr>
    </w:p>
    <w:p w14:paraId="7F8D0CBB" w14:textId="77777777" w:rsidR="00E415CF" w:rsidRDefault="00E415CF" w:rsidP="00E415CF">
      <w:pPr>
        <w:pStyle w:val="Body"/>
        <w:spacing w:after="0"/>
        <w:rPr>
          <w:rFonts w:ascii="Arial" w:hAnsi="Arial" w:cs="Arial"/>
          <w:b/>
          <w:bCs/>
          <w:i/>
          <w:iCs/>
        </w:rPr>
      </w:pPr>
      <w:r w:rsidRPr="00C30A0F">
        <w:rPr>
          <w:rFonts w:ascii="Arial" w:hAnsi="Arial" w:cs="Arial"/>
          <w:i/>
        </w:rPr>
        <w:lastRenderedPageBreak/>
        <w:t>2.</w:t>
      </w:r>
      <w:r>
        <w:rPr>
          <w:rFonts w:ascii="Arial" w:hAnsi="Arial" w:cs="Arial"/>
          <w:i/>
        </w:rPr>
        <w:t>2</w:t>
      </w:r>
      <w:r w:rsidRPr="00C30A0F">
        <w:rPr>
          <w:rFonts w:ascii="Arial" w:hAnsi="Arial" w:cs="Arial"/>
          <w:i/>
        </w:rPr>
        <w:t xml:space="preserve">.1.1 </w:t>
      </w:r>
      <w:r w:rsidRPr="00382907">
        <w:rPr>
          <w:rFonts w:ascii="Arial" w:hAnsi="Arial" w:cs="Arial"/>
          <w:b/>
          <w:bCs/>
          <w:i/>
          <w:iCs/>
        </w:rPr>
        <w:t xml:space="preserve">Principle of the </w:t>
      </w:r>
      <w:proofErr w:type="spellStart"/>
      <w:r w:rsidRPr="00382907">
        <w:rPr>
          <w:rFonts w:ascii="Arial" w:hAnsi="Arial" w:cs="Arial"/>
          <w:b/>
          <w:bCs/>
          <w:i/>
          <w:iCs/>
        </w:rPr>
        <w:t>landgem</w:t>
      </w:r>
      <w:proofErr w:type="spellEnd"/>
      <w:r w:rsidRPr="00382907">
        <w:rPr>
          <w:rFonts w:ascii="Arial" w:hAnsi="Arial" w:cs="Arial"/>
          <w:b/>
          <w:bCs/>
          <w:i/>
          <w:iCs/>
        </w:rPr>
        <w:t xml:space="preserve"> model Version 3.02</w:t>
      </w:r>
    </w:p>
    <w:p w14:paraId="6AA829EA" w14:textId="77777777" w:rsidR="00E415CF" w:rsidRDefault="00E415CF" w:rsidP="00441B6F">
      <w:pPr>
        <w:pStyle w:val="Body"/>
        <w:spacing w:after="0"/>
        <w:rPr>
          <w:rFonts w:ascii="Arial" w:hAnsi="Arial" w:cs="Arial"/>
        </w:rPr>
      </w:pPr>
    </w:p>
    <w:p w14:paraId="05320CB9" w14:textId="77777777" w:rsidR="00E415CF" w:rsidRDefault="00E415CF" w:rsidP="00E415CF">
      <w:pPr>
        <w:widowControl w:val="0"/>
        <w:autoSpaceDE w:val="0"/>
        <w:autoSpaceDN w:val="0"/>
        <w:spacing w:before="1" w:line="357" w:lineRule="auto"/>
        <w:ind w:firstLine="710"/>
        <w:jc w:val="both"/>
        <w:rPr>
          <w:rFonts w:ascii="Arial" w:hAnsi="Arial" w:cs="Arial"/>
        </w:rPr>
      </w:pPr>
      <w:r w:rsidRPr="00BF1719">
        <w:rPr>
          <w:rFonts w:ascii="Arial" w:hAnsi="Arial" w:cs="Arial"/>
        </w:rPr>
        <w:t xml:space="preserve">The annual biogas volume in this case was determined using </w:t>
      </w:r>
      <w:proofErr w:type="spellStart"/>
      <w:r w:rsidRPr="00BF1719">
        <w:rPr>
          <w:rFonts w:ascii="Arial" w:hAnsi="Arial" w:cs="Arial"/>
        </w:rPr>
        <w:t>LandGEM</w:t>
      </w:r>
      <w:proofErr w:type="spellEnd"/>
      <w:r w:rsidRPr="00BF1719">
        <w:rPr>
          <w:rFonts w:ascii="Arial" w:hAnsi="Arial" w:cs="Arial"/>
        </w:rPr>
        <w:t xml:space="preserve"> 3.02 software </w:t>
      </w:r>
      <w:proofErr w:type="gramStart"/>
      <w:r w:rsidRPr="00BF1719">
        <w:rPr>
          <w:rFonts w:ascii="Arial" w:hAnsi="Arial" w:cs="Arial"/>
        </w:rPr>
        <w:t>(</w:t>
      </w:r>
      <w:r w:rsidRPr="00BF1719">
        <w:rPr>
          <w:rFonts w:ascii="Arial" w:hAnsi="Arial" w:cs="Arial"/>
          <w:b/>
          <w:bCs/>
        </w:rPr>
        <w:t xml:space="preserve"> USEPA</w:t>
      </w:r>
      <w:proofErr w:type="gramEnd"/>
      <w:r w:rsidRPr="00BF1719">
        <w:rPr>
          <w:rFonts w:ascii="Arial" w:hAnsi="Arial" w:cs="Arial"/>
          <w:b/>
          <w:bCs/>
        </w:rPr>
        <w:t>, 2005</w:t>
      </w:r>
      <w:r w:rsidRPr="00BF1719">
        <w:rPr>
          <w:rFonts w:ascii="Arial" w:hAnsi="Arial" w:cs="Arial"/>
        </w:rPr>
        <w:t xml:space="preserve">). In this study, the default values for k and L0 proposed by the </w:t>
      </w:r>
      <w:proofErr w:type="spellStart"/>
      <w:r w:rsidRPr="00BF1719">
        <w:rPr>
          <w:rFonts w:ascii="Arial" w:hAnsi="Arial" w:cs="Arial"/>
        </w:rPr>
        <w:t>LandGEM</w:t>
      </w:r>
      <w:proofErr w:type="spellEnd"/>
      <w:r w:rsidRPr="00BF1719">
        <w:rPr>
          <w:rFonts w:ascii="Arial" w:hAnsi="Arial" w:cs="Arial"/>
        </w:rPr>
        <w:t xml:space="preserve"> 3.02 model were used (</w:t>
      </w:r>
      <w:r w:rsidRPr="00BF1719">
        <w:rPr>
          <w:rFonts w:ascii="Arial" w:hAnsi="Arial" w:cs="Arial"/>
          <w:b/>
          <w:bCs/>
        </w:rPr>
        <w:t>Table 2</w:t>
      </w:r>
      <w:r w:rsidRPr="00BF1719">
        <w:rPr>
          <w:rFonts w:ascii="Arial" w:hAnsi="Arial" w:cs="Arial"/>
        </w:rPr>
        <w:t>).</w:t>
      </w:r>
    </w:p>
    <w:p w14:paraId="6C1EDA70" w14:textId="77777777" w:rsidR="00E415CF" w:rsidRPr="00BF1719" w:rsidRDefault="00E415CF" w:rsidP="00E415CF">
      <w:pPr>
        <w:widowControl w:val="0"/>
        <w:autoSpaceDE w:val="0"/>
        <w:autoSpaceDN w:val="0"/>
        <w:rPr>
          <w:rFonts w:ascii="Arial" w:hAnsi="Arial" w:cs="Arial"/>
        </w:rPr>
      </w:pPr>
      <w:r w:rsidRPr="00BF1719">
        <w:rPr>
          <w:rFonts w:ascii="Arial" w:hAnsi="Arial" w:cs="Arial"/>
        </w:rPr>
        <w:t xml:space="preserve">Calculations were made using the Excel spreadsheet published by USEPA </w:t>
      </w:r>
      <w:bookmarkStart w:id="4" w:name="_Hlk202103591"/>
      <w:r w:rsidRPr="00BF1719">
        <w:rPr>
          <w:rFonts w:ascii="Arial" w:hAnsi="Arial" w:cs="Arial"/>
        </w:rPr>
        <w:t>(</w:t>
      </w:r>
      <w:r w:rsidRPr="00BF1719">
        <w:rPr>
          <w:rFonts w:ascii="Arial" w:hAnsi="Arial" w:cs="Arial"/>
          <w:b/>
          <w:bCs/>
        </w:rPr>
        <w:t>US EPA, 2016</w:t>
      </w:r>
      <w:proofErr w:type="gramStart"/>
      <w:r w:rsidRPr="00BF1719">
        <w:rPr>
          <w:rFonts w:ascii="Arial" w:hAnsi="Arial" w:cs="Arial"/>
        </w:rPr>
        <w:t xml:space="preserve">) </w:t>
      </w:r>
      <w:bookmarkEnd w:id="4"/>
      <w:r w:rsidRPr="00BF1719">
        <w:rPr>
          <w:rFonts w:ascii="Arial" w:hAnsi="Arial" w:cs="Arial"/>
          <w:spacing w:val="-2"/>
        </w:rPr>
        <w:t>.</w:t>
      </w:r>
      <w:proofErr w:type="gramEnd"/>
    </w:p>
    <w:p w14:paraId="5F6CEDEF" w14:textId="77777777" w:rsidR="00E415CF" w:rsidRDefault="00E415CF" w:rsidP="00E415CF">
      <w:pPr>
        <w:widowControl w:val="0"/>
        <w:autoSpaceDE w:val="0"/>
        <w:autoSpaceDN w:val="0"/>
        <w:spacing w:before="1" w:line="357" w:lineRule="auto"/>
        <w:ind w:left="566" w:right="984" w:firstLine="710"/>
        <w:jc w:val="both"/>
        <w:rPr>
          <w:rFonts w:ascii="Arial" w:hAnsi="Arial" w:cs="Arial"/>
          <w:b/>
          <w:bCs/>
        </w:rPr>
      </w:pPr>
    </w:p>
    <w:p w14:paraId="70F0DD83" w14:textId="35C83896" w:rsidR="00E415CF" w:rsidRPr="00BF1719" w:rsidRDefault="00E415CF" w:rsidP="00E415CF">
      <w:pPr>
        <w:widowControl w:val="0"/>
        <w:autoSpaceDE w:val="0"/>
        <w:autoSpaceDN w:val="0"/>
        <w:spacing w:before="1" w:line="357" w:lineRule="auto"/>
        <w:ind w:firstLine="710"/>
        <w:jc w:val="both"/>
        <w:rPr>
          <w:rFonts w:ascii="Arial" w:hAnsi="Arial" w:cs="Arial"/>
          <w:b/>
        </w:rPr>
      </w:pPr>
      <w:r w:rsidRPr="00BF1719">
        <w:rPr>
          <w:rFonts w:ascii="Arial" w:hAnsi="Arial" w:cs="Arial"/>
          <w:b/>
          <w:bCs/>
        </w:rPr>
        <w:t>Table</w:t>
      </w:r>
      <w:r w:rsidRPr="00BF1719">
        <w:rPr>
          <w:rFonts w:ascii="Arial" w:hAnsi="Arial" w:cs="Arial"/>
          <w:b/>
          <w:bCs/>
          <w:spacing w:val="-1"/>
        </w:rPr>
        <w:t xml:space="preserve"> </w:t>
      </w:r>
      <w:proofErr w:type="gramStart"/>
      <w:r w:rsidRPr="00BF1719">
        <w:rPr>
          <w:rFonts w:ascii="Arial" w:hAnsi="Arial" w:cs="Arial"/>
          <w:b/>
          <w:bCs/>
        </w:rPr>
        <w:t>2 :</w:t>
      </w:r>
      <w:proofErr w:type="gramEnd"/>
      <w:r w:rsidRPr="00BF1719">
        <w:rPr>
          <w:rFonts w:ascii="Arial" w:hAnsi="Arial" w:cs="Arial"/>
          <w:b/>
          <w:bCs/>
          <w:spacing w:val="2"/>
        </w:rPr>
        <w:t xml:space="preserve"> </w:t>
      </w:r>
      <w:r w:rsidRPr="00BF1719">
        <w:rPr>
          <w:rFonts w:ascii="Arial" w:hAnsi="Arial" w:cs="Arial"/>
          <w:b/>
          <w:bCs/>
        </w:rPr>
        <w:t xml:space="preserve">Parameter values used in </w:t>
      </w:r>
      <w:proofErr w:type="spellStart"/>
      <w:r w:rsidRPr="00BF1719">
        <w:rPr>
          <w:rFonts w:ascii="Arial" w:hAnsi="Arial" w:cs="Arial"/>
          <w:b/>
          <w:bCs/>
        </w:rPr>
        <w:t>Landgem</w:t>
      </w:r>
      <w:proofErr w:type="spellEnd"/>
      <w:r w:rsidRPr="00BF1719">
        <w:rPr>
          <w:rFonts w:ascii="Arial" w:hAnsi="Arial" w:cs="Arial"/>
          <w:b/>
          <w:bCs/>
        </w:rPr>
        <w:t xml:space="preserve"> 3.02 (10: US EPA, 2016) </w:t>
      </w:r>
    </w:p>
    <w:p w14:paraId="636ED5CF" w14:textId="6C8C6DD4" w:rsidR="00E415CF" w:rsidRPr="00BF1719" w:rsidRDefault="00854DBB" w:rsidP="00E415CF">
      <w:pPr>
        <w:widowControl w:val="0"/>
        <w:autoSpaceDE w:val="0"/>
        <w:autoSpaceDN w:val="0"/>
        <w:spacing w:before="1"/>
        <w:rPr>
          <w:rFonts w:ascii="Arial" w:hAnsi="Arial" w:cs="Arial"/>
        </w:rPr>
      </w:pPr>
      <w:r>
        <w:rPr>
          <w:noProof/>
        </w:rPr>
        <w:pict w14:anchorId="26538119">
          <v:shape id="Graphic 113" o:spid="_x0000_s1028" style="position:absolute;margin-left:144.05pt;margin-top:7pt;width:307.35pt;height:2.2pt;z-index:-251657216;visibility:visible;mso-wrap-style:square;mso-wrap-distance-left:0;mso-wrap-distance-top:0;mso-wrap-distance-right:0;mso-wrap-distance-bottom:0;mso-position-horizontal:absolute;mso-position-horizontal-relative:page;mso-position-vertical:absolute;mso-position-vertical-relative:text;v-text-anchor:top" coordsize="390334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" path="m3902964,l1979041,r-27432,l,,,27432r1951609,l1979041,27432r1923923,l3902964,xe" fillcolor="black" stroked="f">
            <v:path arrowok="t"/>
            <w10:wrap type="topAndBottom" anchorx="page"/>
          </v:shape>
        </w:pict>
      </w:r>
    </w:p>
    <w:p w14:paraId="2E0D63B5" w14:textId="77777777" w:rsidR="00E415CF" w:rsidRPr="00BF1719" w:rsidRDefault="00E415CF" w:rsidP="00E415CF">
      <w:pPr>
        <w:widowControl w:val="0"/>
        <w:tabs>
          <w:tab w:val="left" w:pos="2059"/>
        </w:tabs>
        <w:autoSpaceDE w:val="0"/>
        <w:autoSpaceDN w:val="0"/>
        <w:spacing w:before="1"/>
        <w:jc w:val="center"/>
        <w:rPr>
          <w:rFonts w:ascii="Arial" w:hAnsi="Arial" w:cs="Arial"/>
        </w:rPr>
      </w:pPr>
      <w:r w:rsidRPr="00BF1719">
        <w:rPr>
          <w:rFonts w:ascii="Arial" w:hAnsi="Arial" w:cs="Arial"/>
          <w:spacing w:val="-10"/>
        </w:rPr>
        <w:t>k</w:t>
      </w:r>
      <w:r w:rsidRPr="00BF1719">
        <w:rPr>
          <w:rFonts w:ascii="Arial" w:hAnsi="Arial" w:cs="Arial"/>
        </w:rPr>
        <w:tab/>
        <w:t>0,05</w:t>
      </w:r>
      <w:r w:rsidRPr="00BF1719">
        <w:rPr>
          <w:rFonts w:ascii="Arial" w:hAnsi="Arial" w:cs="Arial"/>
          <w:spacing w:val="2"/>
        </w:rPr>
        <w:t xml:space="preserve"> </w:t>
      </w:r>
      <w:r w:rsidRPr="00BF1719">
        <w:rPr>
          <w:rFonts w:ascii="Arial" w:hAnsi="Arial" w:cs="Arial"/>
          <w:spacing w:val="-5"/>
        </w:rPr>
        <w:t>/an</w:t>
      </w:r>
    </w:p>
    <w:p w14:paraId="52B6D3BF" w14:textId="77777777" w:rsidR="00E415CF" w:rsidRPr="00BF1719" w:rsidRDefault="00E415CF" w:rsidP="00E415CF">
      <w:pPr>
        <w:widowControl w:val="0"/>
        <w:tabs>
          <w:tab w:val="left" w:pos="2107"/>
        </w:tabs>
        <w:autoSpaceDE w:val="0"/>
        <w:autoSpaceDN w:val="0"/>
        <w:spacing w:before="40"/>
        <w:jc w:val="center"/>
        <w:rPr>
          <w:rFonts w:ascii="Arial" w:hAnsi="Arial" w:cs="Arial"/>
          <w:position w:val="2"/>
        </w:rPr>
      </w:pPr>
      <w:r w:rsidRPr="00BF1719">
        <w:rPr>
          <w:rFonts w:ascii="Arial" w:hAnsi="Arial" w:cs="Arial"/>
          <w:i/>
          <w:spacing w:val="-5"/>
          <w:position w:val="2"/>
        </w:rPr>
        <w:t>L</w:t>
      </w:r>
      <w:r w:rsidRPr="00BF1719">
        <w:rPr>
          <w:rFonts w:ascii="Arial" w:hAnsi="Arial" w:cs="Arial"/>
          <w:i/>
          <w:spacing w:val="-5"/>
        </w:rPr>
        <w:t>0</w:t>
      </w:r>
      <w:r w:rsidRPr="00BF1719">
        <w:rPr>
          <w:rFonts w:ascii="Arial" w:hAnsi="Arial" w:cs="Arial"/>
          <w:i/>
        </w:rPr>
        <w:tab/>
      </w:r>
      <w:r w:rsidRPr="00BF1719">
        <w:rPr>
          <w:rFonts w:ascii="Arial" w:hAnsi="Arial" w:cs="Arial"/>
          <w:position w:val="2"/>
        </w:rPr>
        <w:t>170</w:t>
      </w:r>
      <w:r w:rsidRPr="00BF1719">
        <w:rPr>
          <w:rFonts w:ascii="Arial" w:hAnsi="Arial" w:cs="Arial"/>
          <w:spacing w:val="2"/>
          <w:position w:val="2"/>
        </w:rPr>
        <w:t xml:space="preserve"> </w:t>
      </w:r>
      <w:r w:rsidRPr="00BF1719">
        <w:rPr>
          <w:rFonts w:ascii="Arial" w:hAnsi="Arial" w:cs="Arial"/>
          <w:spacing w:val="-4"/>
          <w:position w:val="2"/>
        </w:rPr>
        <w:t>m</w:t>
      </w:r>
      <w:r w:rsidRPr="00BF1719">
        <w:rPr>
          <w:rFonts w:ascii="Arial" w:hAnsi="Arial" w:cs="Arial"/>
          <w:spacing w:val="-4"/>
          <w:position w:val="2"/>
          <w:vertAlign w:val="superscript"/>
        </w:rPr>
        <w:t>3</w:t>
      </w:r>
      <w:r w:rsidRPr="00BF1719">
        <w:rPr>
          <w:rFonts w:ascii="Arial" w:hAnsi="Arial" w:cs="Arial"/>
          <w:spacing w:val="-4"/>
          <w:position w:val="2"/>
        </w:rPr>
        <w:t>/t</w:t>
      </w:r>
    </w:p>
    <w:p w14:paraId="4AE61AAE" w14:textId="26B8FF1C" w:rsidR="00E415CF" w:rsidRPr="00BF1719" w:rsidRDefault="00E415CF" w:rsidP="00E415CF">
      <w:pPr>
        <w:widowControl w:val="0"/>
        <w:tabs>
          <w:tab w:val="left" w:pos="5925"/>
        </w:tabs>
        <w:autoSpaceDE w:val="0"/>
        <w:autoSpaceDN w:val="0"/>
        <w:spacing w:before="23"/>
        <w:rPr>
          <w:rFonts w:ascii="Arial" w:hAnsi="Arial" w:cs="Arial"/>
        </w:rPr>
      </w:pPr>
      <w:r>
        <w:rPr>
          <w:rFonts w:ascii="Arial" w:hAnsi="Arial" w:cs="Arial"/>
        </w:rPr>
        <w:t xml:space="preserve">                                              </w:t>
      </w:r>
      <w:r w:rsidRPr="00BF1719">
        <w:rPr>
          <w:rFonts w:ascii="Arial" w:hAnsi="Arial" w:cs="Arial"/>
        </w:rPr>
        <w:t>%</w:t>
      </w:r>
      <w:r w:rsidRPr="00BF1719">
        <w:rPr>
          <w:rFonts w:ascii="Arial" w:hAnsi="Arial" w:cs="Arial"/>
          <w:spacing w:val="-1"/>
        </w:rPr>
        <w:t xml:space="preserve"> </w:t>
      </w:r>
      <w:r w:rsidRPr="00BF1719">
        <w:rPr>
          <w:rFonts w:ascii="Cambria Math" w:eastAsia="Cambria Math" w:hAnsi="Cambria Math" w:cs="Cambria Math"/>
          <w:spacing w:val="-5"/>
        </w:rPr>
        <w:t>𝐶𝐻</w:t>
      </w:r>
      <w:r w:rsidRPr="00BF1719">
        <w:rPr>
          <w:rFonts w:ascii="Arial" w:eastAsia="Cambria Math" w:hAnsi="Arial" w:cs="Arial"/>
          <w:spacing w:val="-5"/>
          <w:vertAlign w:val="subscript"/>
        </w:rPr>
        <w:t>4</w:t>
      </w:r>
      <w:r w:rsidRPr="00BF1719">
        <w:rPr>
          <w:rFonts w:ascii="Arial" w:eastAsia="Cambria Math" w:hAnsi="Arial" w:cs="Arial"/>
        </w:rPr>
        <w:tab/>
      </w:r>
      <w:r w:rsidRPr="00BF1719">
        <w:rPr>
          <w:rFonts w:ascii="Arial" w:hAnsi="Arial" w:cs="Arial"/>
        </w:rPr>
        <w:t xml:space="preserve">60 </w:t>
      </w:r>
      <w:r w:rsidRPr="00BF1719">
        <w:rPr>
          <w:rFonts w:ascii="Arial" w:hAnsi="Arial" w:cs="Arial"/>
          <w:spacing w:val="-10"/>
        </w:rPr>
        <w:t>%</w:t>
      </w:r>
    </w:p>
    <w:p w14:paraId="789A6C4F" w14:textId="7167CE7A" w:rsidR="00E415CF" w:rsidRPr="00BF1719" w:rsidRDefault="00854DBB" w:rsidP="00E415CF">
      <w:pPr>
        <w:widowControl w:val="0"/>
        <w:tabs>
          <w:tab w:val="left" w:pos="5925"/>
        </w:tabs>
        <w:autoSpaceDE w:val="0"/>
        <w:autoSpaceDN w:val="0"/>
        <w:spacing w:before="44"/>
        <w:rPr>
          <w:rFonts w:ascii="Arial" w:hAnsi="Arial" w:cs="Arial"/>
        </w:rPr>
      </w:pPr>
      <w:r>
        <w:rPr>
          <w:noProof/>
        </w:rPr>
        <w:pict w14:anchorId="1F3D6F4F">
          <v:shape id="Graphic 114" o:spid="_x0000_s1027" style="position:absolute;margin-left:143.35pt;margin-top:17.95pt;width:308.05pt;height:2.2pt;z-index:-251656192;visibility:visible;mso-wrap-style:square;mso-wrap-distance-left:0;mso-wrap-distance-top:0;mso-wrap-distance-right:0;mso-wrap-distance-bottom:0;mso-position-horizontal:absolute;mso-position-horizontal-relative:page;mso-position-vertical:absolute;mso-position-vertical-relative:text;v-text-anchor:top" coordsize="391223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" path="m3912108,l1979041,r-18288,l1951609,,,,,27432r1951609,l1960753,27432r18288,l3912108,27432r,-27432xe" fillcolor="black" stroked="f">
            <v:path arrowok="t"/>
            <w10:wrap type="topAndBottom" anchorx="page"/>
          </v:shape>
        </w:pict>
      </w:r>
      <w:r w:rsidR="00E415CF">
        <w:rPr>
          <w:rFonts w:ascii="Arial" w:hAnsi="Arial" w:cs="Arial"/>
          <w:spacing w:val="-4"/>
        </w:rPr>
        <w:t xml:space="preserve">                                                  </w:t>
      </w:r>
      <w:r w:rsidR="00E415CF" w:rsidRPr="00BF1719">
        <w:rPr>
          <w:rFonts w:ascii="Arial" w:hAnsi="Arial" w:cs="Arial"/>
          <w:spacing w:val="-4"/>
        </w:rPr>
        <w:t>NMOC</w:t>
      </w:r>
      <w:r w:rsidR="00E415CF">
        <w:rPr>
          <w:rFonts w:ascii="Arial" w:hAnsi="Arial" w:cs="Arial"/>
          <w:spacing w:val="-4"/>
          <w:vertAlign w:val="superscript"/>
        </w:rPr>
        <w:t>*</w:t>
      </w:r>
      <w:r w:rsidR="00E415CF" w:rsidRPr="00BF1719">
        <w:rPr>
          <w:rFonts w:ascii="Arial" w:hAnsi="Arial" w:cs="Arial"/>
        </w:rPr>
        <w:tab/>
      </w:r>
      <w:r w:rsidR="00E415CF" w:rsidRPr="00BF1719">
        <w:rPr>
          <w:rFonts w:ascii="Arial" w:hAnsi="Arial" w:cs="Arial"/>
          <w:spacing w:val="-2"/>
        </w:rPr>
        <w:t>4000ppm</w:t>
      </w:r>
    </w:p>
    <w:p w14:paraId="573A1081" w14:textId="28F82DE3" w:rsidR="00E415CF" w:rsidRPr="00E415CF" w:rsidRDefault="00E415CF" w:rsidP="00E415CF">
      <w:pPr>
        <w:widowControl w:val="0"/>
        <w:autoSpaceDE w:val="0"/>
        <w:autoSpaceDN w:val="0"/>
        <w:spacing w:before="1"/>
        <w:jc w:val="center"/>
        <w:rPr>
          <w:rFonts w:ascii="Arial" w:hAnsi="Arial" w:cs="Arial"/>
          <w:sz w:val="16"/>
          <w:szCs w:val="16"/>
        </w:rPr>
      </w:pPr>
      <w:r>
        <w:rPr>
          <w:rFonts w:ascii="Arial" w:hAnsi="Arial" w:cs="Arial"/>
          <w:sz w:val="16"/>
          <w:szCs w:val="16"/>
        </w:rPr>
        <w:t>*</w:t>
      </w:r>
      <w:r w:rsidRPr="00E415CF">
        <w:rPr>
          <w:rFonts w:ascii="Arial" w:hAnsi="Arial" w:cs="Arial"/>
          <w:sz w:val="16"/>
          <w:szCs w:val="16"/>
        </w:rPr>
        <w:t>NMOC (non-methane organic compound)</w:t>
      </w:r>
    </w:p>
    <w:p w14:paraId="6997FDCD" w14:textId="77777777" w:rsidR="00E415CF" w:rsidRPr="00BF1719" w:rsidRDefault="00E415CF" w:rsidP="00E415CF">
      <w:pPr>
        <w:widowControl w:val="0"/>
        <w:autoSpaceDE w:val="0"/>
        <w:autoSpaceDN w:val="0"/>
        <w:spacing w:before="126"/>
        <w:rPr>
          <w:rFonts w:ascii="Arial" w:hAnsi="Arial" w:cs="Arial"/>
        </w:rPr>
      </w:pPr>
    </w:p>
    <w:p w14:paraId="38225C76" w14:textId="77777777" w:rsidR="00E415CF" w:rsidRPr="00382907" w:rsidRDefault="00E415CF" w:rsidP="00E415CF">
      <w:pPr>
        <w:widowControl w:val="0"/>
        <w:tabs>
          <w:tab w:val="left" w:pos="2102"/>
        </w:tabs>
        <w:autoSpaceDE w:val="0"/>
        <w:autoSpaceDN w:val="0"/>
        <w:spacing w:before="79" w:line="360" w:lineRule="auto"/>
        <w:rPr>
          <w:rFonts w:ascii="Arial" w:hAnsi="Arial" w:cs="Arial"/>
          <w:b/>
          <w:bCs/>
          <w:i/>
          <w:iCs/>
        </w:rPr>
      </w:pPr>
      <w:r w:rsidRPr="00382907">
        <w:rPr>
          <w:rFonts w:ascii="Arial" w:hAnsi="Arial" w:cs="Arial"/>
          <w:b/>
          <w:bCs/>
          <w:i/>
          <w:iCs/>
        </w:rPr>
        <w:t xml:space="preserve">           2.2.1.2. Electrical energy generated according to the landfill gas emission model Version 3.02</w:t>
      </w:r>
    </w:p>
    <w:p w14:paraId="197A4DC5" w14:textId="77777777" w:rsidR="00E415CF" w:rsidRDefault="00E415CF" w:rsidP="00E415CF">
      <w:pPr>
        <w:widowControl w:val="0"/>
        <w:autoSpaceDE w:val="0"/>
        <w:autoSpaceDN w:val="0"/>
        <w:spacing w:line="360" w:lineRule="auto"/>
        <w:rPr>
          <w:rFonts w:ascii="Arial" w:hAnsi="Arial" w:cs="Arial"/>
          <w:position w:val="2"/>
        </w:rPr>
      </w:pPr>
      <w:r w:rsidRPr="00BF1719">
        <w:rPr>
          <w:rFonts w:ascii="Arial" w:hAnsi="Arial" w:cs="Arial"/>
          <w:position w:val="2"/>
        </w:rPr>
        <w:t>The potential electrical energy generated Eth (GWh/year) and the electrical power P</w:t>
      </w:r>
      <w:r w:rsidRPr="00EE25DC">
        <w:rPr>
          <w:rFonts w:ascii="Arial" w:hAnsi="Arial" w:cs="Arial"/>
          <w:position w:val="2"/>
          <w:vertAlign w:val="subscript"/>
        </w:rPr>
        <w:t xml:space="preserve">el </w:t>
      </w:r>
      <w:r w:rsidRPr="00BF1719">
        <w:rPr>
          <w:rFonts w:ascii="Arial" w:hAnsi="Arial" w:cs="Arial"/>
          <w:position w:val="2"/>
        </w:rPr>
        <w:t>(MW) were estimated from the annual quantity of methane generated according to equations</w:t>
      </w:r>
      <w:r>
        <w:rPr>
          <w:rFonts w:ascii="Arial" w:hAnsi="Arial" w:cs="Arial"/>
          <w:position w:val="2"/>
        </w:rPr>
        <w:t xml:space="preserve"> 1 and respectively</w:t>
      </w:r>
    </w:p>
    <w:p w14:paraId="04062C6D" w14:textId="77777777" w:rsidR="00E415CF" w:rsidRPr="00E11F07" w:rsidRDefault="00E415CF" w:rsidP="00E415CF">
      <w:pPr>
        <w:spacing w:line="360" w:lineRule="auto"/>
        <w:rPr>
          <w:rFonts w:ascii="Arial" w:hAnsi="Arial" w:cs="Arial"/>
          <w:position w:val="2"/>
        </w:rPr>
      </w:pPr>
      <w:r w:rsidRPr="00E11F07">
        <w:rPr>
          <w:rFonts w:ascii="Arial" w:hAnsi="Arial" w:cs="Arial"/>
        </w:rPr>
        <w:t xml:space="preserve">     </w:t>
      </w:r>
      <m:oMath>
        <m:sSub>
          <m:sSubPr>
            <m:ctrlPr>
              <w:rPr>
                <w:rFonts w:ascii="Cambria Math" w:hAnsi="Cambria Math" w:cs="Arial"/>
                <w:i/>
              </w:rPr>
            </m:ctrlPr>
          </m:sSubPr>
          <m:e>
            <m:r>
              <w:rPr>
                <w:rFonts w:ascii="Cambria Math" w:hAnsi="Cambria Math" w:cs="Arial"/>
              </w:rPr>
              <m:t>E</m:t>
            </m:r>
          </m:e>
          <m:sub>
            <m:r>
              <w:rPr>
                <w:rFonts w:ascii="Cambria Math" w:hAnsi="Cambria Math" w:cs="Arial"/>
              </w:rPr>
              <m:t>th(GWh /year)</m:t>
            </m:r>
          </m:sub>
        </m:sSub>
        <m:r>
          <w:rPr>
            <w:rFonts w:ascii="Cambria Math" w:hAnsi="Cambria Math" w:cs="Arial"/>
          </w:rPr>
          <m:t>=</m:t>
        </m:r>
        <m:f>
          <m:fPr>
            <m:ctrlPr>
              <w:rPr>
                <w:rFonts w:ascii="Cambria Math" w:eastAsiaTheme="minorHAnsi" w:hAnsi="Cambria Math" w:cs="Arial"/>
                <w:i/>
                <w:sz w:val="22"/>
                <w:szCs w:val="22"/>
              </w:rPr>
            </m:ctrlPr>
          </m:fPr>
          <m:num>
            <m:r>
              <w:rPr>
                <w:rFonts w:ascii="Cambria Math" w:hAnsi="Cambria Math" w:cs="Arial"/>
              </w:rPr>
              <m:t>R×</m:t>
            </m:r>
            <m:sSub>
              <m:sSubPr>
                <m:ctrlPr>
                  <w:rPr>
                    <w:rFonts w:ascii="Cambria Math" w:eastAsiaTheme="minorHAnsi" w:hAnsi="Cambria Math" w:cs="Arial"/>
                    <w:i/>
                    <w:sz w:val="22"/>
                    <w:szCs w:val="22"/>
                  </w:rPr>
                </m:ctrlPr>
              </m:sSubPr>
              <m:e>
                <m:r>
                  <w:rPr>
                    <w:rFonts w:ascii="Cambria Math" w:hAnsi="Cambria Math" w:cs="Arial"/>
                  </w:rPr>
                  <m:t>Q</m:t>
                </m:r>
              </m:e>
              <m:sub>
                <m:sSub>
                  <m:sSubPr>
                    <m:ctrlPr>
                      <w:rPr>
                        <w:rFonts w:ascii="Cambria Math" w:eastAsiaTheme="minorHAnsi" w:hAnsi="Cambria Math" w:cs="Arial"/>
                        <w:i/>
                        <w:sz w:val="22"/>
                        <w:szCs w:val="22"/>
                      </w:rPr>
                    </m:ctrlPr>
                  </m:sSubPr>
                  <m:e>
                    <m:r>
                      <w:rPr>
                        <w:rFonts w:ascii="Cambria Math" w:hAnsi="Cambria Math" w:cs="Arial"/>
                      </w:rPr>
                      <m:t>CH</m:t>
                    </m:r>
                  </m:e>
                  <m:sub>
                    <m:r>
                      <w:rPr>
                        <w:rFonts w:ascii="Cambria Math" w:hAnsi="Cambria Math" w:cs="Arial"/>
                      </w:rPr>
                      <m:t>4</m:t>
                    </m:r>
                  </m:sub>
                </m:sSub>
              </m:sub>
            </m:sSub>
            <m:r>
              <w:rPr>
                <w:rFonts w:ascii="Cambria Math" w:hAnsi="Cambria Math" w:cs="Arial"/>
              </w:rPr>
              <m:t>×</m:t>
            </m:r>
            <m:sSub>
              <m:sSubPr>
                <m:ctrlPr>
                  <w:rPr>
                    <w:rFonts w:ascii="Cambria Math" w:eastAsiaTheme="minorHAnsi" w:hAnsi="Cambria Math" w:cs="Arial"/>
                    <w:i/>
                    <w:sz w:val="22"/>
                    <w:szCs w:val="22"/>
                  </w:rPr>
                </m:ctrlPr>
              </m:sSubPr>
              <m:e>
                <m:r>
                  <w:rPr>
                    <w:rFonts w:ascii="Cambria Math" w:hAnsi="Cambria Math" w:cs="Arial"/>
                  </w:rPr>
                  <m:t>PCI</m:t>
                </m:r>
              </m:e>
              <m:sub>
                <m:sSub>
                  <m:sSubPr>
                    <m:ctrlPr>
                      <w:rPr>
                        <w:rFonts w:ascii="Cambria Math" w:eastAsiaTheme="minorHAnsi" w:hAnsi="Cambria Math" w:cs="Arial"/>
                        <w:i/>
                        <w:sz w:val="22"/>
                        <w:szCs w:val="22"/>
                      </w:rPr>
                    </m:ctrlPr>
                  </m:sSubPr>
                  <m:e>
                    <m:r>
                      <w:rPr>
                        <w:rFonts w:ascii="Cambria Math" w:hAnsi="Cambria Math" w:cs="Arial"/>
                      </w:rPr>
                      <m:t>CH</m:t>
                    </m:r>
                  </m:e>
                  <m:sub>
                    <m:r>
                      <w:rPr>
                        <w:rFonts w:ascii="Cambria Math" w:hAnsi="Cambria Math" w:cs="Arial"/>
                      </w:rPr>
                      <m:t>4</m:t>
                    </m:r>
                  </m:sub>
                </m:sSub>
              </m:sub>
            </m:sSub>
          </m:num>
          <m:den>
            <m:r>
              <w:rPr>
                <w:rFonts w:ascii="Cambria Math" w:hAnsi="Cambria Math" w:cs="Arial"/>
              </w:rPr>
              <m:t>3 600 000</m:t>
            </m:r>
          </m:den>
        </m:f>
        <m:r>
          <w:rPr>
            <w:rFonts w:ascii="Cambria Math" w:hAnsi="Cambria Math" w:cs="Arial"/>
          </w:rPr>
          <m:t xml:space="preserve">  </m:t>
        </m:r>
      </m:oMath>
      <w:r w:rsidRPr="00E11F07">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Pr="00E11F07">
        <w:rPr>
          <w:rFonts w:ascii="Arial" w:hAnsi="Arial" w:cs="Arial"/>
          <w:position w:val="2"/>
        </w:rPr>
        <w:t xml:space="preserve">                                                                                                                                                                                            </w:t>
      </w:r>
    </w:p>
    <w:p w14:paraId="7BE30B5D" w14:textId="77777777" w:rsidR="00E415CF" w:rsidRPr="00BF1719" w:rsidRDefault="00E415CF" w:rsidP="00E415CF">
      <w:pPr>
        <w:widowControl w:val="0"/>
        <w:autoSpaceDE w:val="0"/>
        <w:autoSpaceDN w:val="0"/>
        <w:spacing w:line="360" w:lineRule="auto"/>
        <w:rPr>
          <w:rFonts w:ascii="Arial" w:hAnsi="Arial" w:cs="Arial"/>
          <w:i/>
        </w:rPr>
      </w:pPr>
      <w:r>
        <w:rPr>
          <w:rFonts w:ascii="Arial" w:hAnsi="Arial" w:cs="Arial"/>
          <w:position w:val="2"/>
        </w:rPr>
        <w:t>Where</w:t>
      </w:r>
      <w:r w:rsidRPr="00BF1719">
        <w:rPr>
          <w:rFonts w:ascii="Cambria Math" w:eastAsia="Cambria Math" w:hAnsi="Cambria Math" w:cs="Cambria Math"/>
        </w:rPr>
        <w:t>𝑄</w:t>
      </w:r>
      <w:r w:rsidRPr="00BF1719">
        <w:rPr>
          <w:rFonts w:ascii="Cambria Math" w:eastAsia="Cambria Math" w:hAnsi="Cambria Math" w:cs="Cambria Math"/>
          <w:vertAlign w:val="subscript"/>
        </w:rPr>
        <w:t>𝐶𝐻</w:t>
      </w:r>
      <w:proofErr w:type="gramStart"/>
      <w:r w:rsidRPr="005C2608">
        <w:rPr>
          <w:rFonts w:ascii="Arial" w:eastAsia="Cambria Math" w:hAnsi="Arial" w:cs="Arial"/>
          <w:vertAlign w:val="subscript"/>
        </w:rPr>
        <w:t xml:space="preserve">4 </w:t>
      </w:r>
      <w:r w:rsidRPr="00BF1719">
        <w:rPr>
          <w:rFonts w:ascii="Arial" w:hAnsi="Arial" w:cs="Arial"/>
          <w:i/>
        </w:rPr>
        <w:t>:</w:t>
      </w:r>
      <w:proofErr w:type="gramEnd"/>
      <w:r w:rsidRPr="00BF1719">
        <w:rPr>
          <w:rFonts w:ascii="Arial" w:hAnsi="Arial" w:cs="Arial"/>
          <w:i/>
          <w:spacing w:val="-1"/>
        </w:rPr>
        <w:t xml:space="preserve"> </w:t>
      </w:r>
      <w:r w:rsidRPr="00BF1719">
        <w:rPr>
          <w:rFonts w:ascii="Arial" w:hAnsi="Arial" w:cs="Arial"/>
          <w:i/>
        </w:rPr>
        <w:t>annual volume of methane in the calculation year (m</w:t>
      </w:r>
      <w:r w:rsidRPr="006F3D87">
        <w:rPr>
          <w:rFonts w:ascii="Arial" w:hAnsi="Arial" w:cs="Arial"/>
          <w:i/>
          <w:vertAlign w:val="superscript"/>
        </w:rPr>
        <w:t>3</w:t>
      </w:r>
      <w:r w:rsidRPr="00BF1719">
        <w:rPr>
          <w:rFonts w:ascii="Arial" w:hAnsi="Arial" w:cs="Arial"/>
          <w:i/>
        </w:rPr>
        <w:t>/year)</w:t>
      </w:r>
      <w:r w:rsidRPr="00BF1719">
        <w:rPr>
          <w:rFonts w:ascii="Arial" w:hAnsi="Arial" w:cs="Arial"/>
          <w:i/>
          <w:spacing w:val="-10"/>
        </w:rPr>
        <w:t>;</w:t>
      </w:r>
    </w:p>
    <w:p w14:paraId="5037F0B6" w14:textId="77777777" w:rsidR="00E415CF" w:rsidRPr="00BF1719" w:rsidRDefault="00E415CF" w:rsidP="00E415CF">
      <w:pPr>
        <w:widowControl w:val="0"/>
        <w:autoSpaceDE w:val="0"/>
        <w:autoSpaceDN w:val="0"/>
        <w:spacing w:line="360" w:lineRule="auto"/>
        <w:rPr>
          <w:rFonts w:ascii="Arial" w:hAnsi="Arial" w:cs="Arial"/>
          <w:i/>
          <w:position w:val="2"/>
        </w:rPr>
      </w:pPr>
      <w:r w:rsidRPr="00EE25DC">
        <w:rPr>
          <w:rFonts w:ascii="Cambria Math" w:eastAsia="Cambria Math" w:hAnsi="Cambria Math" w:cs="Cambria Math"/>
          <w:position w:val="2"/>
        </w:rPr>
        <w:t xml:space="preserve"> </w:t>
      </w:r>
      <w:r>
        <w:rPr>
          <w:rFonts w:ascii="Cambria Math" w:eastAsia="Cambria Math" w:hAnsi="Cambria Math" w:cs="Cambria Math"/>
          <w:position w:val="2"/>
        </w:rPr>
        <w:t xml:space="preserve">            </w:t>
      </w:r>
      <w:r w:rsidRPr="00BF1719">
        <w:rPr>
          <w:rFonts w:ascii="Cambria Math" w:eastAsia="Cambria Math" w:hAnsi="Cambria Math" w:cs="Cambria Math"/>
          <w:position w:val="2"/>
        </w:rPr>
        <w:t>𝑃𝐶𝐼</w:t>
      </w:r>
      <w:r w:rsidRPr="00BF1719">
        <w:rPr>
          <w:rFonts w:ascii="Cambria Math" w:eastAsia="Cambria Math" w:hAnsi="Cambria Math" w:cs="Cambria Math"/>
          <w:position w:val="2"/>
          <w:vertAlign w:val="subscript"/>
        </w:rPr>
        <w:t>𝐶𝐻</w:t>
      </w:r>
      <w:proofErr w:type="gramStart"/>
      <w:r w:rsidRPr="006F3D87">
        <w:rPr>
          <w:rFonts w:ascii="Cambria Math" w:eastAsia="Cambria Math" w:hAnsi="Cambria Math" w:cs="Cambria Math"/>
          <w:position w:val="2"/>
          <w:vertAlign w:val="subscript"/>
        </w:rPr>
        <w:t>4</w:t>
      </w:r>
      <w:r w:rsidRPr="00BF1719">
        <w:rPr>
          <w:rFonts w:ascii="Arial" w:eastAsia="Cambria Math" w:hAnsi="Arial" w:cs="Arial"/>
          <w:spacing w:val="39"/>
          <w:position w:val="2"/>
        </w:rPr>
        <w:t xml:space="preserve"> </w:t>
      </w:r>
      <w:r w:rsidRPr="00BF1719">
        <w:rPr>
          <w:rFonts w:ascii="Arial" w:eastAsia="Cambria Math" w:hAnsi="Arial" w:cs="Arial"/>
          <w:position w:val="2"/>
        </w:rPr>
        <w:t>:</w:t>
      </w:r>
      <w:proofErr w:type="gramEnd"/>
      <w:r w:rsidRPr="00BF1719">
        <w:rPr>
          <w:rFonts w:ascii="Arial" w:eastAsia="Cambria Math" w:hAnsi="Arial" w:cs="Arial"/>
          <w:spacing w:val="-2"/>
          <w:position w:val="2"/>
        </w:rPr>
        <w:t xml:space="preserve"> </w:t>
      </w:r>
      <w:r w:rsidRPr="00BF1719">
        <w:rPr>
          <w:rFonts w:ascii="Arial" w:hAnsi="Arial" w:cs="Arial"/>
          <w:i/>
          <w:position w:val="2"/>
        </w:rPr>
        <w:t>lower calorific value of CH</w:t>
      </w:r>
      <w:r w:rsidRPr="00BF1719">
        <w:rPr>
          <w:rFonts w:ascii="Arial" w:hAnsi="Arial" w:cs="Arial"/>
          <w:i/>
          <w:position w:val="2"/>
          <w:vertAlign w:val="subscript"/>
        </w:rPr>
        <w:t>4</w:t>
      </w:r>
      <w:r w:rsidRPr="00BF1719">
        <w:rPr>
          <w:rFonts w:ascii="Arial" w:hAnsi="Arial" w:cs="Arial"/>
          <w:i/>
          <w:position w:val="2"/>
        </w:rPr>
        <w:t xml:space="preserve"> (37.2 MJ/m3)</w:t>
      </w:r>
      <w:r w:rsidRPr="00BF1719">
        <w:rPr>
          <w:rFonts w:ascii="Arial" w:hAnsi="Arial" w:cs="Arial"/>
          <w:i/>
          <w:spacing w:val="-10"/>
          <w:position w:val="2"/>
        </w:rPr>
        <w:t>;</w:t>
      </w:r>
    </w:p>
    <w:p w14:paraId="0D1A4EC3" w14:textId="77777777" w:rsidR="00E415CF" w:rsidRPr="00BF1719" w:rsidRDefault="00E415CF" w:rsidP="00E415CF">
      <w:pPr>
        <w:widowControl w:val="0"/>
        <w:autoSpaceDE w:val="0"/>
        <w:autoSpaceDN w:val="0"/>
        <w:spacing w:line="360" w:lineRule="auto"/>
        <w:rPr>
          <w:rFonts w:ascii="Arial" w:hAnsi="Arial" w:cs="Arial"/>
          <w:i/>
        </w:rPr>
      </w:pPr>
      <w:r w:rsidRPr="00BF1719">
        <w:rPr>
          <w:rFonts w:ascii="Cambria Math" w:eastAsia="Cambria Math" w:hAnsi="Cambria Math" w:cs="Cambria Math"/>
        </w:rPr>
        <w:t>𝑅</w:t>
      </w:r>
      <w:r w:rsidRPr="00BF1719">
        <w:rPr>
          <w:rFonts w:ascii="Arial" w:eastAsia="Cambria Math" w:hAnsi="Arial" w:cs="Arial"/>
          <w:spacing w:val="15"/>
        </w:rPr>
        <w:t xml:space="preserve"> </w:t>
      </w:r>
      <w:r w:rsidRPr="00BF1719">
        <w:rPr>
          <w:rFonts w:ascii="Cambria Math" w:eastAsia="Cambria Math" w:hAnsi="Cambria Math" w:cs="Cambria Math"/>
        </w:rPr>
        <w:t>∶</w:t>
      </w:r>
      <w:r w:rsidRPr="00BF1719">
        <w:rPr>
          <w:rFonts w:ascii="Arial" w:eastAsia="Cambria Math" w:hAnsi="Arial" w:cs="Arial"/>
          <w:spacing w:val="7"/>
        </w:rPr>
        <w:t xml:space="preserve"> </w:t>
      </w:r>
      <w:r w:rsidRPr="00BF1719">
        <w:rPr>
          <w:rFonts w:ascii="Arial" w:hAnsi="Arial" w:cs="Arial"/>
          <w:i/>
        </w:rPr>
        <w:t xml:space="preserve">biogas recovery rate </w:t>
      </w:r>
      <w:r w:rsidRPr="00BF1719">
        <w:rPr>
          <w:rFonts w:ascii="Arial" w:hAnsi="Arial" w:cs="Arial"/>
          <w:i/>
          <w:spacing w:val="-2"/>
        </w:rPr>
        <w:t>(0,66);</w:t>
      </w:r>
    </w:p>
    <w:p w14:paraId="454C3DBF" w14:textId="77777777" w:rsidR="00E415CF" w:rsidRPr="00BF1719" w:rsidRDefault="00E415CF" w:rsidP="00E415CF">
      <w:pPr>
        <w:widowControl w:val="0"/>
        <w:autoSpaceDE w:val="0"/>
        <w:autoSpaceDN w:val="0"/>
        <w:spacing w:line="360" w:lineRule="auto"/>
        <w:rPr>
          <w:rFonts w:ascii="Arial" w:hAnsi="Arial" w:cs="Arial"/>
          <w:i/>
        </w:rPr>
      </w:pPr>
      <w:r w:rsidRPr="00BF1719">
        <w:rPr>
          <w:rFonts w:ascii="Arial" w:hAnsi="Arial" w:cs="Arial"/>
          <w:i/>
        </w:rPr>
        <w:t>8760: number of hours in a year.</w:t>
      </w:r>
    </w:p>
    <w:p w14:paraId="18E996FD" w14:textId="77777777" w:rsidR="00E415CF" w:rsidRPr="006F3D87" w:rsidRDefault="00E415CF" w:rsidP="00E415CF">
      <w:pPr>
        <w:widowControl w:val="0"/>
        <w:autoSpaceDE w:val="0"/>
        <w:autoSpaceDN w:val="0"/>
        <w:spacing w:line="360" w:lineRule="auto"/>
        <w:rPr>
          <w:rFonts w:ascii="Arial" w:hAnsi="Arial" w:cs="Arial"/>
          <w:iCs/>
        </w:rPr>
      </w:pPr>
      <w:r>
        <w:rPr>
          <w:rFonts w:ascii="Arial" w:hAnsi="Arial" w:cs="Arial"/>
          <w:iCs/>
        </w:rPr>
        <w:t xml:space="preserve">      </w:t>
      </w:r>
      <m:oMath>
        <m:sSub>
          <m:sSubPr>
            <m:ctrlPr>
              <w:rPr>
                <w:rFonts w:ascii="Cambria Math" w:hAnsi="Cambria Math" w:cs="Arial"/>
                <w:i/>
                <w:iCs/>
              </w:rPr>
            </m:ctrlPr>
          </m:sSubPr>
          <m:e>
            <m:r>
              <w:rPr>
                <w:rFonts w:ascii="Cambria Math" w:hAnsi="Cambria Math" w:cs="Arial"/>
              </w:rPr>
              <m:t>P</m:t>
            </m:r>
          </m:e>
          <m:sub>
            <m:r>
              <w:rPr>
                <w:rFonts w:ascii="Cambria Math" w:hAnsi="Cambria Math" w:cs="Arial"/>
              </w:rPr>
              <m:t>el(GW)</m:t>
            </m:r>
          </m:sub>
        </m:sSub>
        <m:r>
          <w:rPr>
            <w:rFonts w:ascii="Cambria Math" w:hAnsi="Cambria Math" w:cs="Arial"/>
          </w:rPr>
          <m:t xml:space="preserve">= </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E</m:t>
                </m:r>
              </m:e>
              <m:sub>
                <m:r>
                  <w:rPr>
                    <w:rFonts w:ascii="Cambria Math" w:hAnsi="Cambria Math" w:cs="Arial"/>
                  </w:rPr>
                  <m:t>th(GWh/year)</m:t>
                </m:r>
              </m:sub>
            </m:sSub>
          </m:num>
          <m:den>
            <m:r>
              <w:rPr>
                <w:rFonts w:ascii="Cambria Math" w:hAnsi="Cambria Math" w:cs="Arial"/>
              </w:rPr>
              <m:t>8760</m:t>
            </m:r>
          </m:den>
        </m:f>
        <m:r>
          <w:rPr>
            <w:rFonts w:ascii="Cambria Math" w:hAnsi="Cambria Math" w:cs="Arial"/>
          </w:rPr>
          <m:t xml:space="preserve">× </m:t>
        </m:r>
        <m:sSub>
          <m:sSubPr>
            <m:ctrlPr>
              <w:rPr>
                <w:rFonts w:ascii="Cambria Math" w:hAnsi="Cambria Math" w:cs="Arial"/>
                <w:i/>
                <w:iCs/>
              </w:rPr>
            </m:ctrlPr>
          </m:sSubPr>
          <m:e>
            <m:r>
              <w:rPr>
                <w:rFonts w:ascii="Cambria Math" w:hAnsi="Cambria Math" w:cs="Arial"/>
              </w:rPr>
              <m:t>n</m:t>
            </m:r>
          </m:e>
          <m:sub>
            <m:r>
              <w:rPr>
                <w:rFonts w:ascii="Cambria Math" w:hAnsi="Cambria Math" w:cs="Arial"/>
              </w:rPr>
              <m:t>el</m:t>
            </m:r>
          </m:sub>
        </m:sSub>
      </m:oMath>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t>(2)</w:t>
      </w:r>
    </w:p>
    <w:p w14:paraId="54523024" w14:textId="77777777" w:rsidR="00E415CF" w:rsidRDefault="00E415CF" w:rsidP="00E415CF">
      <w:pPr>
        <w:widowControl w:val="0"/>
        <w:autoSpaceDE w:val="0"/>
        <w:autoSpaceDN w:val="0"/>
        <w:spacing w:line="360" w:lineRule="auto"/>
        <w:rPr>
          <w:rFonts w:ascii="Arial" w:hAnsi="Arial" w:cs="Arial"/>
        </w:rPr>
      </w:pPr>
      <w:r>
        <w:rPr>
          <w:rFonts w:ascii="Arial" w:hAnsi="Arial" w:cs="Arial"/>
        </w:rPr>
        <w:t xml:space="preserve">Where: </w:t>
      </w:r>
    </w:p>
    <w:p w14:paraId="700DB2D0" w14:textId="77777777" w:rsidR="00E415CF" w:rsidRPr="00AC45A2" w:rsidRDefault="00E415CF" w:rsidP="00E415CF">
      <w:pPr>
        <w:widowControl w:val="0"/>
        <w:autoSpaceDE w:val="0"/>
        <w:autoSpaceDN w:val="0"/>
        <w:spacing w:line="360" w:lineRule="auto"/>
        <w:rPr>
          <w:rFonts w:ascii="Arial" w:hAnsi="Arial" w:cs="Arial"/>
        </w:rPr>
      </w:pPr>
      <w:r>
        <w:rPr>
          <w:rFonts w:ascii="Arial" w:hAnsi="Arial" w:cs="Arial"/>
        </w:rPr>
        <w:t xml:space="preserve"> -</w:t>
      </w:r>
      <w:proofErr w:type="spellStart"/>
      <w:r w:rsidRPr="00AC45A2">
        <w:rPr>
          <w:rFonts w:ascii="Arial" w:hAnsi="Arial" w:cs="Arial"/>
        </w:rPr>
        <w:t>η</w:t>
      </w:r>
      <w:proofErr w:type="gramStart"/>
      <w:r w:rsidRPr="00AC45A2">
        <w:rPr>
          <w:rFonts w:ascii="Arial" w:hAnsi="Arial" w:cs="Arial"/>
          <w:vertAlign w:val="subscript"/>
        </w:rPr>
        <w:t>el</w:t>
      </w:r>
      <w:proofErr w:type="spellEnd"/>
      <w:r w:rsidRPr="00AC45A2">
        <w:rPr>
          <w:rFonts w:ascii="Arial" w:hAnsi="Arial" w:cs="Arial"/>
        </w:rPr>
        <w:t xml:space="preserve"> :</w:t>
      </w:r>
      <w:proofErr w:type="gramEnd"/>
      <w:r w:rsidRPr="00AC45A2">
        <w:rPr>
          <w:rFonts w:ascii="Arial" w:hAnsi="Arial" w:cs="Arial"/>
        </w:rPr>
        <w:t xml:space="preserve"> electrical conversion efficiency (0.33) for a given internal combustion engine</w:t>
      </w:r>
      <w:r>
        <w:rPr>
          <w:rFonts w:ascii="Arial" w:hAnsi="Arial" w:cs="Arial"/>
        </w:rPr>
        <w:t>;</w:t>
      </w:r>
    </w:p>
    <w:p w14:paraId="5891B851" w14:textId="77777777" w:rsidR="00E415CF" w:rsidRDefault="00E415CF" w:rsidP="00E415CF">
      <w:pPr>
        <w:widowControl w:val="0"/>
        <w:autoSpaceDE w:val="0"/>
        <w:autoSpaceDN w:val="0"/>
        <w:spacing w:line="360" w:lineRule="auto"/>
        <w:rPr>
          <w:rFonts w:ascii="Arial" w:hAnsi="Arial" w:cs="Arial"/>
        </w:rPr>
      </w:pPr>
      <w:r>
        <w:rPr>
          <w:rFonts w:ascii="Arial" w:hAnsi="Arial" w:cs="Arial"/>
        </w:rPr>
        <w:t>-</w:t>
      </w:r>
      <w:r w:rsidRPr="00AC45A2">
        <w:rPr>
          <w:rFonts w:ascii="Arial" w:hAnsi="Arial" w:cs="Arial"/>
        </w:rPr>
        <w:t>8760: number of hours in a yea</w:t>
      </w:r>
      <w:r>
        <w:rPr>
          <w:rFonts w:ascii="Arial" w:hAnsi="Arial" w:cs="Arial"/>
        </w:rPr>
        <w:t>r.</w:t>
      </w:r>
    </w:p>
    <w:p w14:paraId="646D2892" w14:textId="77777777" w:rsidR="00E415CF" w:rsidRPr="00BF1719" w:rsidRDefault="00E415CF" w:rsidP="00E415CF">
      <w:pPr>
        <w:widowControl w:val="0"/>
        <w:autoSpaceDE w:val="0"/>
        <w:autoSpaceDN w:val="0"/>
        <w:spacing w:before="141"/>
        <w:rPr>
          <w:rFonts w:ascii="Arial" w:hAnsi="Arial" w:cs="Arial"/>
        </w:rPr>
      </w:pPr>
      <w:r w:rsidRPr="00BF1719">
        <w:rPr>
          <w:rFonts w:ascii="Arial" w:hAnsi="Arial" w:cs="Arial"/>
        </w:rPr>
        <w:t xml:space="preserve">2.2.2. </w:t>
      </w:r>
      <w:r w:rsidRPr="00BF1719">
        <w:rPr>
          <w:rFonts w:ascii="Arial" w:hAnsi="Arial" w:cs="Arial"/>
          <w:b/>
          <w:bCs/>
        </w:rPr>
        <w:t>IPCC 2006 waste model</w:t>
      </w:r>
    </w:p>
    <w:p w14:paraId="2152A9E2" w14:textId="77777777" w:rsidR="00E415CF" w:rsidRDefault="00E415CF" w:rsidP="00E415CF">
      <w:pPr>
        <w:pStyle w:val="Body"/>
        <w:spacing w:after="0"/>
        <w:ind w:firstLine="720"/>
        <w:rPr>
          <w:rFonts w:ascii="Arial" w:hAnsi="Arial" w:cs="Arial"/>
        </w:rPr>
      </w:pPr>
    </w:p>
    <w:p w14:paraId="158202FB" w14:textId="77777777" w:rsidR="00E415CF" w:rsidRPr="00BF1719" w:rsidRDefault="00E415CF" w:rsidP="00E415CF">
      <w:pPr>
        <w:widowControl w:val="0"/>
        <w:autoSpaceDE w:val="0"/>
        <w:autoSpaceDN w:val="0"/>
        <w:spacing w:line="360" w:lineRule="auto"/>
        <w:ind w:firstLine="542"/>
        <w:jc w:val="both"/>
        <w:rPr>
          <w:rFonts w:ascii="Arial" w:hAnsi="Arial" w:cs="Arial"/>
          <w:b/>
        </w:rPr>
      </w:pPr>
      <w:r w:rsidRPr="00BF1719">
        <w:rPr>
          <w:rFonts w:ascii="Arial" w:hAnsi="Arial" w:cs="Arial"/>
        </w:rPr>
        <w:t xml:space="preserve">Estimation of the volume of methane generated is based on the quantity of degradable organic carbon decomposed (CODDm). CODDm represents the quantity of degradable organic matter contained in the waste that is decomposed in the anaerobic phase. For the first year of burial, the quantity of methane generated is considered to be zero. The volume of methane generated (CH4 generated T) during year T is finally calculated with the quantity </w:t>
      </w:r>
      <w:r w:rsidRPr="00BF1719">
        <w:rPr>
          <w:rFonts w:ascii="Arial" w:hAnsi="Arial" w:cs="Arial"/>
        </w:rPr>
        <w:lastRenderedPageBreak/>
        <w:t>of decomposed material</w:t>
      </w:r>
      <w:r>
        <w:rPr>
          <w:rFonts w:ascii="Arial" w:hAnsi="Arial" w:cs="Arial"/>
        </w:rPr>
        <w:t xml:space="preserve"> </w:t>
      </w:r>
      <w:r w:rsidRPr="00BF1719">
        <w:rPr>
          <w:rFonts w:ascii="Arial" w:hAnsi="Arial" w:cs="Arial"/>
        </w:rPr>
        <w:t>CODD</w:t>
      </w:r>
      <w:r w:rsidRPr="00BF1719">
        <w:rPr>
          <w:rFonts w:ascii="Cambria Math" w:hAnsi="Cambria Math" w:cs="Cambria Math"/>
        </w:rPr>
        <w:t>𝑚𝑑𝑒𝑐𝑜𝑚𝑝𝑇</w:t>
      </w:r>
      <w:r w:rsidRPr="00BF1719">
        <w:rPr>
          <w:rFonts w:ascii="Arial" w:hAnsi="Arial" w:cs="Arial"/>
        </w:rPr>
        <w:t xml:space="preserve"> (</w:t>
      </w:r>
      <w:r w:rsidRPr="00BF1719">
        <w:rPr>
          <w:rFonts w:ascii="Arial" w:hAnsi="Arial" w:cs="Arial"/>
          <w:b/>
          <w:bCs/>
        </w:rPr>
        <w:t>IPCC, 2006</w:t>
      </w:r>
      <w:r w:rsidRPr="00BF1719">
        <w:rPr>
          <w:rFonts w:ascii="Arial" w:hAnsi="Arial" w:cs="Arial"/>
        </w:rPr>
        <w:t>) by equation 3</w:t>
      </w:r>
      <w:r w:rsidRPr="00BF1719">
        <w:rPr>
          <w:rFonts w:ascii="Arial" w:hAnsi="Arial" w:cs="Arial"/>
          <w:b/>
        </w:rPr>
        <w:t>.</w:t>
      </w:r>
    </w:p>
    <w:p w14:paraId="37B9270F" w14:textId="77777777" w:rsidR="00E415CF" w:rsidRPr="00BF1719" w:rsidRDefault="00E415CF" w:rsidP="00E415CF">
      <w:pPr>
        <w:widowControl w:val="0"/>
        <w:autoSpaceDE w:val="0"/>
        <w:autoSpaceDN w:val="0"/>
        <w:spacing w:before="10"/>
        <w:rPr>
          <w:rFonts w:ascii="Arial" w:hAnsi="Arial" w:cs="Arial"/>
          <w:bCs/>
        </w:rPr>
      </w:pPr>
      <w:r w:rsidRPr="00BF1719">
        <w:rPr>
          <w:rFonts w:ascii="Arial" w:hAnsi="Arial" w:cs="Arial"/>
          <w:bCs/>
        </w:rPr>
        <w:t xml:space="preserve">                               </w:t>
      </w:r>
    </w:p>
    <w:p w14:paraId="551C360D" w14:textId="77777777" w:rsidR="00E415CF" w:rsidRPr="00BF1719" w:rsidRDefault="00E415CF" w:rsidP="00E415CF">
      <w:pPr>
        <w:widowControl w:val="0"/>
        <w:autoSpaceDE w:val="0"/>
        <w:autoSpaceDN w:val="0"/>
        <w:spacing w:line="360" w:lineRule="auto"/>
        <w:rPr>
          <w:rFonts w:ascii="Arial" w:hAnsi="Arial" w:cs="Arial"/>
          <w:bCs/>
        </w:rPr>
      </w:pPr>
      <w:r w:rsidRPr="00BF1719">
        <w:rPr>
          <w:rFonts w:ascii="Arial" w:hAnsi="Arial" w:cs="Arial"/>
          <w:bCs/>
        </w:rPr>
        <w:t xml:space="preserve">                          </w:t>
      </w:r>
      <w:proofErr w:type="gramStart"/>
      <w:r w:rsidRPr="00BF1719">
        <w:rPr>
          <w:rFonts w:ascii="Arial" w:hAnsi="Arial" w:cs="Arial"/>
          <w:bCs/>
        </w:rPr>
        <w:t>CH</w:t>
      </w:r>
      <w:r w:rsidRPr="00BF1719">
        <w:rPr>
          <w:rFonts w:ascii="Arial" w:hAnsi="Arial" w:cs="Arial"/>
          <w:bCs/>
          <w:vertAlign w:val="subscript"/>
        </w:rPr>
        <w:t xml:space="preserve">generatedT  </w:t>
      </w:r>
      <w:r w:rsidRPr="00BF1719">
        <w:rPr>
          <w:rFonts w:ascii="Arial" w:hAnsi="Arial" w:cs="Arial"/>
          <w:bCs/>
        </w:rPr>
        <w:t>=</w:t>
      </w:r>
      <w:proofErr w:type="gramEnd"/>
      <w:r w:rsidRPr="00BF1719">
        <w:rPr>
          <w:rFonts w:ascii="Arial" w:hAnsi="Arial" w:cs="Arial"/>
          <w:bCs/>
        </w:rPr>
        <w:t xml:space="preserve"> </w:t>
      </w:r>
      <m:oMath>
        <m:f>
          <m:fPr>
            <m:ctrlPr>
              <w:rPr>
                <w:rFonts w:ascii="Cambria Math" w:hAnsi="Cambria Math" w:cs="Arial"/>
                <w:bCs/>
                <w:i/>
              </w:rPr>
            </m:ctrlPr>
          </m:fPr>
          <m:num>
            <m:r>
              <w:rPr>
                <w:rFonts w:ascii="Cambria Math" w:hAnsi="Cambria Math" w:cs="Arial"/>
              </w:rPr>
              <m:t>16</m:t>
            </m:r>
          </m:num>
          <m:den>
            <m:r>
              <w:rPr>
                <w:rFonts w:ascii="Cambria Math" w:hAnsi="Cambria Math" w:cs="Arial"/>
              </w:rPr>
              <m:t>12</m:t>
            </m:r>
          </m:den>
        </m:f>
      </m:oMath>
      <w:r w:rsidRPr="00BF1719">
        <w:rPr>
          <w:rFonts w:ascii="Arial" w:hAnsi="Arial" w:cs="Arial"/>
          <w:bCs/>
        </w:rPr>
        <w:t xml:space="preserve"> </w:t>
      </w:r>
      <m:oMath>
        <m:r>
          <w:rPr>
            <w:rFonts w:ascii="Cambria Math" w:hAnsi="Cambria Math" w:cs="Arial"/>
          </w:rPr>
          <m:t>×</m:t>
        </m:r>
      </m:oMath>
      <w:r w:rsidRPr="00BF1719">
        <w:rPr>
          <w:rFonts w:ascii="Arial" w:hAnsi="Arial" w:cs="Arial"/>
          <w:bCs/>
        </w:rPr>
        <w:t xml:space="preserve"> CODD </w:t>
      </w:r>
      <w:r w:rsidRPr="00BF1719">
        <w:rPr>
          <w:rFonts w:ascii="Arial" w:hAnsi="Arial" w:cs="Arial"/>
          <w:bCs/>
          <w:vertAlign w:val="subscript"/>
        </w:rPr>
        <w:t>mdecompT</w:t>
      </w:r>
      <m:oMath>
        <m:r>
          <w:rPr>
            <w:rFonts w:ascii="Cambria Math" w:hAnsi="Cambria Math" w:cs="Arial"/>
            <w:vertAlign w:val="subscript"/>
          </w:rPr>
          <m:t>×</m:t>
        </m:r>
      </m:oMath>
      <w:r w:rsidRPr="00BF1719">
        <w:rPr>
          <w:rFonts w:ascii="Arial" w:hAnsi="Arial" w:cs="Arial"/>
          <w:bCs/>
        </w:rPr>
        <w:t xml:space="preserve"> F                                                (3)</w:t>
      </w:r>
    </w:p>
    <w:p w14:paraId="36527521" w14:textId="77777777" w:rsidR="00E415CF" w:rsidRPr="00BF1719" w:rsidRDefault="00E415CF" w:rsidP="00E415CF">
      <w:pPr>
        <w:widowControl w:val="0"/>
        <w:autoSpaceDE w:val="0"/>
        <w:autoSpaceDN w:val="0"/>
        <w:spacing w:line="360" w:lineRule="auto"/>
        <w:rPr>
          <w:rFonts w:ascii="Arial" w:hAnsi="Arial" w:cs="Arial"/>
          <w:bCs/>
        </w:rPr>
      </w:pPr>
    </w:p>
    <w:p w14:paraId="146435C1" w14:textId="6D1A4DFC" w:rsidR="00E415CF" w:rsidRPr="00BF1719" w:rsidRDefault="00E415CF" w:rsidP="00E415CF">
      <w:pPr>
        <w:widowControl w:val="0"/>
        <w:autoSpaceDE w:val="0"/>
        <w:autoSpaceDN w:val="0"/>
        <w:spacing w:line="360" w:lineRule="auto"/>
        <w:rPr>
          <w:rFonts w:ascii="Arial" w:hAnsi="Arial" w:cs="Arial"/>
          <w:bCs/>
        </w:rPr>
      </w:pPr>
      <w:proofErr w:type="gramStart"/>
      <w:r w:rsidRPr="00BF1719">
        <w:rPr>
          <w:rFonts w:ascii="Arial" w:hAnsi="Arial" w:cs="Arial"/>
          <w:bCs/>
        </w:rPr>
        <w:t>With  CH</w:t>
      </w:r>
      <w:r w:rsidRPr="00BF1719">
        <w:rPr>
          <w:rFonts w:ascii="Arial" w:hAnsi="Arial" w:cs="Arial"/>
          <w:bCs/>
          <w:vertAlign w:val="subscript"/>
        </w:rPr>
        <w:t>generatedT</w:t>
      </w:r>
      <w:proofErr w:type="gramEnd"/>
      <w:r w:rsidRPr="00BF1719">
        <w:rPr>
          <w:rFonts w:ascii="Arial" w:hAnsi="Arial" w:cs="Arial"/>
          <w:bCs/>
        </w:rPr>
        <w:t>: volume of CH4 generated from CODDm that breaks down in year T;</w:t>
      </w:r>
    </w:p>
    <w:p w14:paraId="636EDA85" w14:textId="13E14244" w:rsidR="00E415CF" w:rsidRPr="00BF1719" w:rsidRDefault="00E415CF" w:rsidP="00E415CF">
      <w:pPr>
        <w:widowControl w:val="0"/>
        <w:autoSpaceDE w:val="0"/>
        <w:autoSpaceDN w:val="0"/>
        <w:spacing w:line="360" w:lineRule="auto"/>
        <w:rPr>
          <w:rFonts w:ascii="Arial" w:hAnsi="Arial" w:cs="Arial"/>
          <w:bCs/>
        </w:rPr>
      </w:pPr>
      <w:r w:rsidRPr="00BF1719">
        <w:rPr>
          <w:rFonts w:ascii="Arial" w:hAnsi="Arial" w:cs="Arial"/>
          <w:bCs/>
        </w:rPr>
        <w:t xml:space="preserve">          F: volume fraction of CH4 in generated biogas (fraction);</w:t>
      </w:r>
    </w:p>
    <w:p w14:paraId="2EC1FD01" w14:textId="0E3F453B" w:rsidR="00E415CF" w:rsidRPr="00BF1719" w:rsidRDefault="00E415CF" w:rsidP="00E415CF">
      <w:pPr>
        <w:widowControl w:val="0"/>
        <w:autoSpaceDE w:val="0"/>
        <w:autoSpaceDN w:val="0"/>
        <w:spacing w:line="360" w:lineRule="auto"/>
        <w:rPr>
          <w:rFonts w:ascii="Arial" w:hAnsi="Arial" w:cs="Arial"/>
          <w:bCs/>
        </w:rPr>
      </w:pPr>
      <w:r w:rsidRPr="00BF1719">
        <w:rPr>
          <w:rFonts w:ascii="Arial" w:hAnsi="Arial" w:cs="Arial"/>
          <w:bCs/>
        </w:rPr>
        <w:t xml:space="preserve">          CODD</w:t>
      </w:r>
      <w:r w:rsidRPr="00BF1719">
        <w:rPr>
          <w:rFonts w:ascii="Cambria Math" w:hAnsi="Cambria Math" w:cs="Cambria Math"/>
          <w:bCs/>
        </w:rPr>
        <w:t>𝑚𝑑𝑒𝑐𝑜𝑚𝑝𝑇</w:t>
      </w:r>
      <w:r w:rsidRPr="00BF1719">
        <w:rPr>
          <w:rFonts w:ascii="Arial" w:hAnsi="Arial" w:cs="Arial"/>
          <w:bCs/>
        </w:rPr>
        <w:t>: CODDm (gigagram) decomposed during year T.</w:t>
      </w:r>
    </w:p>
    <w:p w14:paraId="6313DD49" w14:textId="77777777" w:rsidR="00E415CF" w:rsidRPr="00BF1719" w:rsidRDefault="00E415CF" w:rsidP="00E415CF">
      <w:pPr>
        <w:widowControl w:val="0"/>
        <w:autoSpaceDE w:val="0"/>
        <w:autoSpaceDN w:val="0"/>
        <w:spacing w:line="360" w:lineRule="auto"/>
        <w:rPr>
          <w:rFonts w:ascii="Arial" w:hAnsi="Arial" w:cs="Arial"/>
          <w:bCs/>
        </w:rPr>
      </w:pPr>
      <w:r w:rsidRPr="00BF1719">
        <w:rPr>
          <w:rFonts w:ascii="Arial" w:hAnsi="Arial" w:cs="Arial"/>
          <w:bCs/>
        </w:rPr>
        <w:t xml:space="preserve">                    The CH</w:t>
      </w:r>
      <w:r w:rsidRPr="00BD46B0">
        <w:rPr>
          <w:rFonts w:ascii="Arial" w:hAnsi="Arial" w:cs="Arial"/>
          <w:bCs/>
          <w:vertAlign w:val="subscript"/>
        </w:rPr>
        <w:t>4</w:t>
      </w:r>
      <w:r w:rsidRPr="00BF1719">
        <w:rPr>
          <w:rFonts w:ascii="Arial" w:hAnsi="Arial" w:cs="Arial"/>
          <w:bCs/>
        </w:rPr>
        <w:t xml:space="preserve"> generated by each waste category is added together to obtain the total volume of CH4 generated each year. Calculations were made using Excel software.</w:t>
      </w:r>
    </w:p>
    <w:p w14:paraId="2B7EA716" w14:textId="77777777" w:rsidR="00505F06" w:rsidRDefault="00505F06" w:rsidP="00441B6F">
      <w:pPr>
        <w:pStyle w:val="Body"/>
        <w:spacing w:after="0"/>
        <w:rPr>
          <w:rFonts w:ascii="Arial" w:hAnsi="Arial" w:cs="Arial"/>
        </w:rPr>
      </w:pPr>
    </w:p>
    <w:p w14:paraId="34DCC8D1" w14:textId="0F6E4B11" w:rsidR="00AA74E0" w:rsidRDefault="00AA74E0" w:rsidP="00441B6F">
      <w:pPr>
        <w:pStyle w:val="Body"/>
        <w:spacing w:after="0"/>
        <w:rPr>
          <w:rFonts w:ascii="Arial" w:hAnsi="Arial" w:cs="Arial"/>
        </w:rPr>
      </w:pPr>
      <w:r w:rsidRPr="00FB3A86">
        <w:rPr>
          <w:rFonts w:ascii="Arial" w:hAnsi="Arial" w:cs="Arial"/>
        </w:rPr>
        <w:t xml:space="preserve">  </w:t>
      </w:r>
    </w:p>
    <w:p w14:paraId="1510BAE4" w14:textId="77777777" w:rsidR="00790ADA" w:rsidRPr="00FB3A86" w:rsidRDefault="00790ADA" w:rsidP="00441B6F">
      <w:pPr>
        <w:pStyle w:val="Body"/>
        <w:spacing w:after="0"/>
        <w:rPr>
          <w:rFonts w:ascii="Arial" w:hAnsi="Arial" w:cs="Arial"/>
        </w:rPr>
      </w:pPr>
    </w:p>
    <w:p w14:paraId="3DDE82D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C4D3211" w14:textId="77777777" w:rsidR="00790ADA" w:rsidRPr="00FB3A86" w:rsidRDefault="00790ADA" w:rsidP="00441B6F">
      <w:pPr>
        <w:pStyle w:val="Head1"/>
        <w:spacing w:after="0"/>
        <w:jc w:val="both"/>
        <w:rPr>
          <w:rFonts w:ascii="Arial" w:hAnsi="Arial" w:cs="Arial"/>
        </w:rPr>
      </w:pPr>
    </w:p>
    <w:p w14:paraId="2B19F91E" w14:textId="77777777" w:rsidR="00E415CF" w:rsidRPr="00382907" w:rsidRDefault="00E415CF" w:rsidP="00E415CF">
      <w:pPr>
        <w:spacing w:line="360" w:lineRule="auto"/>
        <w:rPr>
          <w:rFonts w:ascii="Arial" w:hAnsi="Arial" w:cs="Arial"/>
          <w:b/>
          <w:bCs/>
          <w:sz w:val="22"/>
          <w:szCs w:val="22"/>
        </w:rPr>
      </w:pPr>
      <w:r w:rsidRPr="00382907">
        <w:rPr>
          <w:rFonts w:ascii="Arial" w:hAnsi="Arial" w:cs="Arial"/>
          <w:b/>
          <w:bCs/>
          <w:sz w:val="22"/>
          <w:szCs w:val="22"/>
        </w:rPr>
        <w:t>3.1.</w:t>
      </w:r>
      <w:r w:rsidRPr="00382907">
        <w:rPr>
          <w:rFonts w:ascii="Arial" w:hAnsi="Arial" w:cs="Arial"/>
          <w:sz w:val="22"/>
          <w:szCs w:val="22"/>
        </w:rPr>
        <w:t xml:space="preserve"> </w:t>
      </w:r>
      <w:r w:rsidRPr="00382907">
        <w:rPr>
          <w:rFonts w:ascii="Arial" w:hAnsi="Arial" w:cs="Arial"/>
          <w:b/>
          <w:bCs/>
          <w:sz w:val="22"/>
          <w:szCs w:val="22"/>
        </w:rPr>
        <w:t>Application of the Landfill Gas Emission model</w:t>
      </w:r>
    </w:p>
    <w:p w14:paraId="1E76CE7D" w14:textId="77777777" w:rsidR="00E415CF" w:rsidRPr="00382907" w:rsidRDefault="00E415CF" w:rsidP="00E415CF">
      <w:pPr>
        <w:widowControl w:val="0"/>
        <w:tabs>
          <w:tab w:val="left" w:pos="2127"/>
        </w:tabs>
        <w:autoSpaceDE w:val="0"/>
        <w:autoSpaceDN w:val="0"/>
        <w:spacing w:line="360" w:lineRule="auto"/>
        <w:rPr>
          <w:rFonts w:ascii="Arial" w:hAnsi="Arial" w:cs="Arial"/>
          <w:b/>
          <w:bCs/>
        </w:rPr>
      </w:pPr>
      <w:r w:rsidRPr="00382907">
        <w:rPr>
          <w:rFonts w:ascii="Arial" w:hAnsi="Arial" w:cs="Arial"/>
          <w:b/>
          <w:bCs/>
        </w:rPr>
        <w:t xml:space="preserve"> 3.1.1. Estimated biogas volume</w:t>
      </w:r>
    </w:p>
    <w:p w14:paraId="39D5AB89" w14:textId="77777777" w:rsidR="00E415CF" w:rsidRDefault="00E053D0" w:rsidP="00E415CF">
      <w:pPr>
        <w:widowControl w:val="0"/>
        <w:autoSpaceDE w:val="0"/>
        <w:autoSpaceDN w:val="0"/>
        <w:spacing w:line="360" w:lineRule="auto"/>
        <w:ind w:firstLine="710"/>
        <w:jc w:val="both"/>
        <w:rPr>
          <w:rFonts w:ascii="Arial" w:hAnsi="Arial" w:cs="Arial"/>
          <w:position w:val="2"/>
        </w:rPr>
      </w:pPr>
      <w:r w:rsidRPr="00E053D0">
        <w:rPr>
          <w:rFonts w:ascii="Arial" w:hAnsi="Arial" w:cs="Arial"/>
          <w:lang w:val="en-GB" w:eastAsia="en-GB"/>
        </w:rPr>
        <w:br/>
      </w:r>
      <w:r w:rsidR="00E415CF" w:rsidRPr="00BF1719">
        <w:rPr>
          <w:rFonts w:ascii="Arial" w:hAnsi="Arial" w:cs="Arial"/>
          <w:position w:val="2"/>
        </w:rPr>
        <w:t>Figure 1 shows the volumes of CH</w:t>
      </w:r>
      <w:r w:rsidR="00E415CF" w:rsidRPr="00BF1719">
        <w:rPr>
          <w:rFonts w:ascii="Arial" w:hAnsi="Arial" w:cs="Arial"/>
          <w:position w:val="2"/>
          <w:vertAlign w:val="subscript"/>
        </w:rPr>
        <w:t>4</w:t>
      </w:r>
      <w:r w:rsidR="00E415CF" w:rsidRPr="00BF1719">
        <w:rPr>
          <w:rFonts w:ascii="Arial" w:hAnsi="Arial" w:cs="Arial"/>
          <w:position w:val="2"/>
        </w:rPr>
        <w:t xml:space="preserve"> and CO</w:t>
      </w:r>
      <w:r w:rsidR="00E415CF" w:rsidRPr="00BF1719">
        <w:rPr>
          <w:rFonts w:ascii="Arial" w:hAnsi="Arial" w:cs="Arial"/>
          <w:position w:val="2"/>
          <w:vertAlign w:val="subscript"/>
        </w:rPr>
        <w:t>2</w:t>
      </w:r>
      <w:r w:rsidR="00E415CF" w:rsidRPr="00BF1719">
        <w:rPr>
          <w:rFonts w:ascii="Arial" w:hAnsi="Arial" w:cs="Arial"/>
          <w:position w:val="2"/>
        </w:rPr>
        <w:t xml:space="preserve"> that could be generated from 2009 to 2059.</w:t>
      </w:r>
    </w:p>
    <w:p w14:paraId="55227FA2" w14:textId="77777777" w:rsidR="00E415CF" w:rsidRPr="00BF1719" w:rsidRDefault="00E415CF" w:rsidP="00E415CF">
      <w:pPr>
        <w:widowControl w:val="0"/>
        <w:autoSpaceDE w:val="0"/>
        <w:autoSpaceDN w:val="0"/>
        <w:spacing w:line="360" w:lineRule="auto"/>
        <w:ind w:firstLine="710"/>
        <w:jc w:val="both"/>
        <w:rPr>
          <w:rFonts w:ascii="Arial" w:hAnsi="Arial" w:cs="Arial"/>
        </w:rPr>
      </w:pPr>
      <w:r w:rsidRPr="00BF1719">
        <w:rPr>
          <w:rFonts w:ascii="Arial" w:hAnsi="Arial" w:cs="Arial"/>
        </w:rPr>
        <w:t>The estimated biogas volume is very high. It increases very rapidly from 2009, with a value of 3.3×107m</w:t>
      </w:r>
      <w:r w:rsidRPr="00BF1719">
        <w:rPr>
          <w:rFonts w:ascii="Arial" w:hAnsi="Arial" w:cs="Arial"/>
          <w:vertAlign w:val="superscript"/>
        </w:rPr>
        <w:t>3</w:t>
      </w:r>
      <w:r w:rsidRPr="00BF1719">
        <w:rPr>
          <w:rFonts w:ascii="Arial" w:hAnsi="Arial" w:cs="Arial"/>
        </w:rPr>
        <w:t>, to 2019, with a maximum of 7.0×107m3. After 2019, the volume of biogas decreases exponentially until 2059, with a value of 1.3× 107m</w:t>
      </w:r>
      <w:r w:rsidRPr="00BF1719">
        <w:rPr>
          <w:rFonts w:ascii="Arial" w:hAnsi="Arial" w:cs="Arial"/>
          <w:vertAlign w:val="superscript"/>
        </w:rPr>
        <w:t>3</w:t>
      </w:r>
      <w:r w:rsidRPr="00BF1719">
        <w:rPr>
          <w:rFonts w:ascii="Arial" w:hAnsi="Arial" w:cs="Arial"/>
        </w:rPr>
        <w:t>. As expected, methane and carbon dioxide volumes follow the same trend as biogas. In 2018, these maximum CH4 and CO2 volumes were 4.2× 107m</w:t>
      </w:r>
      <w:r w:rsidRPr="00BF1719">
        <w:rPr>
          <w:rFonts w:ascii="Arial" w:hAnsi="Arial" w:cs="Arial"/>
          <w:vertAlign w:val="superscript"/>
        </w:rPr>
        <w:t>3</w:t>
      </w:r>
      <w:r w:rsidRPr="00BF1719">
        <w:rPr>
          <w:rFonts w:ascii="Arial" w:hAnsi="Arial" w:cs="Arial"/>
        </w:rPr>
        <w:t xml:space="preserve"> and 2.8× 107m</w:t>
      </w:r>
      <w:r w:rsidRPr="00BF1719">
        <w:rPr>
          <w:rFonts w:ascii="Arial" w:hAnsi="Arial" w:cs="Arial"/>
          <w:vertAlign w:val="superscript"/>
        </w:rPr>
        <w:t>3</w:t>
      </w:r>
      <w:r w:rsidRPr="00BF1719">
        <w:rPr>
          <w:rFonts w:ascii="Arial" w:hAnsi="Arial" w:cs="Arial"/>
        </w:rPr>
        <w:t xml:space="preserve"> respectively.</w:t>
      </w:r>
    </w:p>
    <w:p w14:paraId="27875407" w14:textId="77777777" w:rsidR="00E415CF" w:rsidRDefault="00E415CF" w:rsidP="00E415CF">
      <w:pPr>
        <w:widowControl w:val="0"/>
        <w:autoSpaceDE w:val="0"/>
        <w:autoSpaceDN w:val="0"/>
        <w:spacing w:line="360" w:lineRule="auto"/>
        <w:ind w:firstLine="710"/>
        <w:jc w:val="both"/>
        <w:rPr>
          <w:rFonts w:ascii="Arial" w:hAnsi="Arial" w:cs="Arial"/>
        </w:rPr>
      </w:pPr>
      <w:r w:rsidRPr="00BF1719">
        <w:rPr>
          <w:rFonts w:ascii="Arial" w:hAnsi="Arial" w:cs="Arial"/>
        </w:rPr>
        <w:t>The large volume of biogas estimated could be explained by the composition of the MSW, which contains a high organic waste fraction of 80.09% (Table 1). It is well known that organic matter has a high biogas production capacity (</w:t>
      </w:r>
      <w:r w:rsidRPr="004F4E8C">
        <w:rPr>
          <w:rFonts w:ascii="Arial" w:hAnsi="Arial" w:cs="Arial"/>
          <w:b/>
          <w:bCs/>
        </w:rPr>
        <w:t xml:space="preserve">Kim </w:t>
      </w:r>
      <w:r w:rsidRPr="00BF1719">
        <w:rPr>
          <w:rFonts w:ascii="Arial" w:hAnsi="Arial" w:cs="Arial"/>
          <w:b/>
          <w:bCs/>
        </w:rPr>
        <w:t>and Kim 2025</w:t>
      </w:r>
      <w:r w:rsidRPr="00BF1719">
        <w:rPr>
          <w:rFonts w:ascii="Arial" w:hAnsi="Arial" w:cs="Arial"/>
        </w:rPr>
        <w:t>). The exponential growth in biogas volume observed is thought to be due to the accumulation of a large mass of biodegradable organic matter in the landfill (</w:t>
      </w:r>
      <w:proofErr w:type="spellStart"/>
      <w:r w:rsidRPr="00BF1719">
        <w:rPr>
          <w:rFonts w:ascii="Arial" w:hAnsi="Arial" w:cs="Arial"/>
          <w:b/>
          <w:bCs/>
        </w:rPr>
        <w:t>Ntakiyiruta</w:t>
      </w:r>
      <w:proofErr w:type="spellEnd"/>
      <w:r w:rsidRPr="00BF1719">
        <w:rPr>
          <w:rFonts w:ascii="Arial" w:hAnsi="Arial" w:cs="Arial"/>
          <w:b/>
          <w:bCs/>
        </w:rPr>
        <w:t>, et al., 2024; Abu-</w:t>
      </w:r>
      <w:proofErr w:type="spellStart"/>
      <w:r w:rsidRPr="00BF1719">
        <w:rPr>
          <w:rFonts w:ascii="Arial" w:hAnsi="Arial" w:cs="Arial"/>
          <w:b/>
          <w:bCs/>
        </w:rPr>
        <w:t>Qdais</w:t>
      </w:r>
      <w:proofErr w:type="spellEnd"/>
      <w:r w:rsidRPr="00BF1719">
        <w:rPr>
          <w:rFonts w:ascii="Arial" w:hAnsi="Arial" w:cs="Arial"/>
          <w:b/>
          <w:bCs/>
        </w:rPr>
        <w:t xml:space="preserve"> et al., 2010</w:t>
      </w:r>
      <w:r w:rsidRPr="00BF1719">
        <w:rPr>
          <w:rFonts w:ascii="Arial" w:hAnsi="Arial" w:cs="Arial"/>
        </w:rPr>
        <w:t>). Furthermore, the anaerobic decomposition of waste in the methanogenic phase takes place progressively, depending on the type of organic waste (food waste, paper-cardboard, wood, etc.). Food waste degrades very rapidly, while paper and cardboard take four to ten years to decompose (Engineers</w:t>
      </w:r>
      <w:r w:rsidRPr="00BF1719">
        <w:rPr>
          <w:rFonts w:ascii="Arial" w:hAnsi="Arial" w:cs="Arial"/>
          <w:b/>
          <w:bCs/>
        </w:rPr>
        <w:t>, S. C. S.,2009</w:t>
      </w:r>
      <w:r w:rsidRPr="00BF1719">
        <w:rPr>
          <w:rFonts w:ascii="Arial" w:hAnsi="Arial" w:cs="Arial"/>
        </w:rPr>
        <w:t>).</w:t>
      </w:r>
    </w:p>
    <w:p w14:paraId="0DAF52C8" w14:textId="77777777" w:rsidR="00E415CF" w:rsidRDefault="00E415CF" w:rsidP="00E415CF">
      <w:pPr>
        <w:widowControl w:val="0"/>
        <w:autoSpaceDE w:val="0"/>
        <w:autoSpaceDN w:val="0"/>
        <w:spacing w:line="360" w:lineRule="auto"/>
        <w:ind w:left="566" w:right="985" w:firstLine="710"/>
        <w:jc w:val="both"/>
        <w:rPr>
          <w:rFonts w:ascii="Arial" w:hAnsi="Arial" w:cs="Arial"/>
        </w:rPr>
      </w:pPr>
    </w:p>
    <w:p w14:paraId="1A078C04" w14:textId="77777777" w:rsidR="00E415CF" w:rsidRPr="00BF1719" w:rsidRDefault="00E415CF" w:rsidP="00E415CF">
      <w:pPr>
        <w:widowControl w:val="0"/>
        <w:autoSpaceDE w:val="0"/>
        <w:autoSpaceDN w:val="0"/>
        <w:spacing w:line="357" w:lineRule="auto"/>
        <w:ind w:right="979"/>
        <w:jc w:val="both"/>
        <w:rPr>
          <w:rFonts w:ascii="Arial" w:hAnsi="Arial" w:cs="Arial"/>
        </w:rPr>
      </w:pPr>
      <w:r w:rsidRPr="005C2608">
        <w:rPr>
          <w:rFonts w:ascii="Arial" w:hAnsi="Arial" w:cs="Arial"/>
          <w:noProof/>
        </w:rPr>
        <w:lastRenderedPageBreak/>
        <w:drawing>
          <wp:inline distT="0" distB="0" distL="0" distR="0" wp14:anchorId="72C59B29" wp14:editId="21DE5ED2">
            <wp:extent cx="5231959" cy="2764690"/>
            <wp:effectExtent l="0" t="0" r="698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46533" cy="2983760"/>
                    </a:xfrm>
                    <a:prstGeom prst="rect">
                      <a:avLst/>
                    </a:prstGeom>
                  </pic:spPr>
                </pic:pic>
              </a:graphicData>
            </a:graphic>
          </wp:inline>
        </w:drawing>
      </w:r>
    </w:p>
    <w:p w14:paraId="2E932243" w14:textId="77777777" w:rsidR="00E415CF" w:rsidRPr="00540789" w:rsidRDefault="00E415CF" w:rsidP="00E415CF">
      <w:pPr>
        <w:rPr>
          <w:rFonts w:ascii="Arial" w:hAnsi="Arial" w:cs="Arial"/>
        </w:rPr>
      </w:pPr>
      <w:r w:rsidRPr="00540789">
        <w:rPr>
          <w:rFonts w:ascii="Arial" w:hAnsi="Arial" w:cs="Arial"/>
          <w:b/>
          <w:bCs/>
        </w:rPr>
        <w:t>Figure</w:t>
      </w:r>
      <w:r w:rsidRPr="00540789">
        <w:rPr>
          <w:rFonts w:ascii="Arial" w:hAnsi="Arial" w:cs="Arial"/>
          <w:b/>
          <w:bCs/>
          <w:spacing w:val="1"/>
        </w:rPr>
        <w:t xml:space="preserve"> </w:t>
      </w:r>
      <w:proofErr w:type="gramStart"/>
      <w:r w:rsidRPr="00540789">
        <w:rPr>
          <w:rFonts w:ascii="Arial" w:hAnsi="Arial" w:cs="Arial"/>
          <w:b/>
          <w:bCs/>
        </w:rPr>
        <w:t>1</w:t>
      </w:r>
      <w:r w:rsidRPr="00540789">
        <w:rPr>
          <w:rFonts w:ascii="Arial" w:hAnsi="Arial" w:cs="Arial"/>
          <w:spacing w:val="1"/>
        </w:rPr>
        <w:t xml:space="preserve"> </w:t>
      </w:r>
      <w:r w:rsidRPr="00540789">
        <w:rPr>
          <w:rFonts w:ascii="Arial" w:hAnsi="Arial" w:cs="Arial"/>
        </w:rPr>
        <w:t>:</w:t>
      </w:r>
      <w:proofErr w:type="gramEnd"/>
      <w:r w:rsidRPr="00540789">
        <w:rPr>
          <w:rFonts w:ascii="Arial" w:hAnsi="Arial" w:cs="Arial"/>
          <w:spacing w:val="-2"/>
        </w:rPr>
        <w:t xml:space="preserve"> </w:t>
      </w:r>
      <w:r w:rsidRPr="00540789">
        <w:rPr>
          <w:rFonts w:ascii="Arial" w:hAnsi="Arial" w:cs="Arial"/>
        </w:rPr>
        <w:t>CH</w:t>
      </w:r>
      <w:r w:rsidRPr="00540789">
        <w:rPr>
          <w:rFonts w:ascii="Arial" w:hAnsi="Arial" w:cs="Arial"/>
          <w:vertAlign w:val="subscript"/>
        </w:rPr>
        <w:t>4</w:t>
      </w:r>
      <w:r w:rsidRPr="00540789">
        <w:rPr>
          <w:rFonts w:ascii="Arial" w:hAnsi="Arial" w:cs="Arial"/>
        </w:rPr>
        <w:t xml:space="preserve"> and CO</w:t>
      </w:r>
      <w:r w:rsidRPr="00540789">
        <w:rPr>
          <w:rFonts w:ascii="Arial" w:hAnsi="Arial" w:cs="Arial"/>
          <w:vertAlign w:val="subscript"/>
        </w:rPr>
        <w:t>2</w:t>
      </w:r>
      <w:r w:rsidRPr="00540789">
        <w:rPr>
          <w:rFonts w:ascii="Arial" w:hAnsi="Arial" w:cs="Arial"/>
        </w:rPr>
        <w:t xml:space="preserve"> generation per year according to </w:t>
      </w:r>
      <w:proofErr w:type="spellStart"/>
      <w:r w:rsidRPr="00540789">
        <w:rPr>
          <w:rFonts w:ascii="Arial" w:hAnsi="Arial" w:cs="Arial"/>
        </w:rPr>
        <w:t>LandGEM</w:t>
      </w:r>
      <w:proofErr w:type="spellEnd"/>
      <w:r w:rsidRPr="00540789">
        <w:rPr>
          <w:rFonts w:ascii="Arial" w:hAnsi="Arial" w:cs="Arial"/>
        </w:rPr>
        <w:t xml:space="preserve"> V3.02 model</w:t>
      </w:r>
    </w:p>
    <w:p w14:paraId="5D962FA4" w14:textId="77777777" w:rsidR="00E415CF" w:rsidRPr="00BF1719" w:rsidRDefault="00E415CF" w:rsidP="00E415CF">
      <w:pPr>
        <w:widowControl w:val="0"/>
        <w:autoSpaceDE w:val="0"/>
        <w:autoSpaceDN w:val="0"/>
        <w:spacing w:line="360" w:lineRule="auto"/>
        <w:ind w:firstLine="710"/>
        <w:jc w:val="both"/>
        <w:rPr>
          <w:rFonts w:ascii="Arial" w:hAnsi="Arial" w:cs="Arial"/>
        </w:rPr>
      </w:pPr>
    </w:p>
    <w:p w14:paraId="65AE9578" w14:textId="30D77D71" w:rsidR="00E415CF" w:rsidRDefault="00E415CF" w:rsidP="00E415CF">
      <w:pPr>
        <w:widowControl w:val="0"/>
        <w:autoSpaceDE w:val="0"/>
        <w:autoSpaceDN w:val="0"/>
        <w:spacing w:line="360" w:lineRule="auto"/>
        <w:ind w:firstLine="710"/>
        <w:jc w:val="both"/>
        <w:rPr>
          <w:rFonts w:ascii="Arial" w:hAnsi="Arial" w:cs="Arial"/>
        </w:rPr>
      </w:pPr>
      <w:r w:rsidRPr="00BF1719">
        <w:rPr>
          <w:rFonts w:ascii="Arial" w:hAnsi="Arial" w:cs="Arial"/>
        </w:rPr>
        <w:t xml:space="preserve">The exponential decrease in biogas volume observed is linked to the reduction in the amount of decomposable organic matter in the landfill following its closure in 2018 </w:t>
      </w:r>
      <w:r w:rsidRPr="00BF1719">
        <w:rPr>
          <w:rFonts w:ascii="Arial" w:hAnsi="Arial" w:cs="Arial"/>
          <w:b/>
          <w:bCs/>
        </w:rPr>
        <w:t>(</w:t>
      </w:r>
      <w:proofErr w:type="spellStart"/>
      <w:r w:rsidRPr="00BF1719">
        <w:rPr>
          <w:rFonts w:ascii="Arial" w:hAnsi="Arial" w:cs="Arial"/>
          <w:b/>
          <w:bCs/>
        </w:rPr>
        <w:t>Ntakiyiruta</w:t>
      </w:r>
      <w:proofErr w:type="spellEnd"/>
      <w:r w:rsidRPr="00BF1719">
        <w:rPr>
          <w:rFonts w:ascii="Arial" w:hAnsi="Arial" w:cs="Arial"/>
          <w:b/>
          <w:bCs/>
        </w:rPr>
        <w:t>, et al., 2024; 14: Abu-</w:t>
      </w:r>
      <w:proofErr w:type="spellStart"/>
      <w:r w:rsidRPr="00BF1719">
        <w:rPr>
          <w:rFonts w:ascii="Arial" w:hAnsi="Arial" w:cs="Arial"/>
          <w:b/>
          <w:bCs/>
        </w:rPr>
        <w:t>Qdais</w:t>
      </w:r>
      <w:proofErr w:type="spellEnd"/>
      <w:r w:rsidRPr="00BF1719">
        <w:rPr>
          <w:rFonts w:ascii="Arial" w:hAnsi="Arial" w:cs="Arial"/>
          <w:b/>
          <w:bCs/>
        </w:rPr>
        <w:t xml:space="preserve"> et al., 2010</w:t>
      </w:r>
      <w:r w:rsidRPr="00BF1719">
        <w:rPr>
          <w:rFonts w:ascii="Arial" w:hAnsi="Arial" w:cs="Arial"/>
        </w:rPr>
        <w:t>). After this date, the landfill entered its stabilization phase, where methanogenic bacteria produce fewer greenhouse gases due to their low water content and low biodegradability (</w:t>
      </w:r>
      <w:r w:rsidRPr="00BF1719">
        <w:rPr>
          <w:rFonts w:ascii="Arial" w:hAnsi="Arial" w:cs="Arial"/>
          <w:b/>
          <w:bCs/>
        </w:rPr>
        <w:t>Zairi et al.,2014</w:t>
      </w:r>
      <w:r w:rsidRPr="00BF1719">
        <w:rPr>
          <w:rFonts w:ascii="Arial" w:hAnsi="Arial" w:cs="Arial"/>
        </w:rPr>
        <w:t>). This decrease indicates that the degradation process is coming to an end. However, the volume of biogas remains high. This represents a potential risk for the ecosystem.</w:t>
      </w:r>
    </w:p>
    <w:p w14:paraId="55F435EF" w14:textId="42DBA1F0" w:rsidR="00E415CF" w:rsidRDefault="00E415CF" w:rsidP="00E415CF">
      <w:pPr>
        <w:widowControl w:val="0"/>
        <w:autoSpaceDE w:val="0"/>
        <w:autoSpaceDN w:val="0"/>
        <w:spacing w:line="360" w:lineRule="auto"/>
        <w:ind w:firstLine="710"/>
        <w:jc w:val="both"/>
        <w:rPr>
          <w:rFonts w:ascii="Arial" w:hAnsi="Arial" w:cs="Arial"/>
        </w:rPr>
      </w:pPr>
    </w:p>
    <w:p w14:paraId="1E60650A" w14:textId="77777777" w:rsidR="00E415CF" w:rsidRPr="00382907" w:rsidRDefault="00E415CF" w:rsidP="00E415CF">
      <w:pPr>
        <w:widowControl w:val="0"/>
        <w:tabs>
          <w:tab w:val="left" w:pos="2183"/>
        </w:tabs>
        <w:autoSpaceDE w:val="0"/>
        <w:autoSpaceDN w:val="0"/>
        <w:spacing w:line="360" w:lineRule="auto"/>
        <w:jc w:val="both"/>
        <w:rPr>
          <w:rFonts w:ascii="Arial" w:hAnsi="Arial" w:cs="Arial"/>
          <w:b/>
          <w:bCs/>
        </w:rPr>
      </w:pPr>
      <w:r w:rsidRPr="00382907">
        <w:rPr>
          <w:rFonts w:ascii="Arial" w:hAnsi="Arial" w:cs="Arial"/>
          <w:b/>
          <w:bCs/>
        </w:rPr>
        <w:t xml:space="preserve">                   3.1.2. Estimated energy potential</w:t>
      </w:r>
    </w:p>
    <w:p w14:paraId="7EE04209" w14:textId="77777777" w:rsidR="00E415CF" w:rsidRDefault="00E415CF" w:rsidP="00E415CF">
      <w:pPr>
        <w:widowControl w:val="0"/>
        <w:autoSpaceDE w:val="0"/>
        <w:autoSpaceDN w:val="0"/>
        <w:spacing w:line="360" w:lineRule="auto"/>
        <w:ind w:firstLine="710"/>
        <w:jc w:val="both"/>
        <w:rPr>
          <w:rFonts w:ascii="Arial" w:hAnsi="Arial" w:cs="Arial"/>
        </w:rPr>
      </w:pPr>
    </w:p>
    <w:p w14:paraId="5265DE20" w14:textId="77777777" w:rsidR="008C19DC" w:rsidRDefault="008C19DC" w:rsidP="008C19DC">
      <w:pPr>
        <w:widowControl w:val="0"/>
        <w:autoSpaceDE w:val="0"/>
        <w:autoSpaceDN w:val="0"/>
        <w:spacing w:line="360" w:lineRule="auto"/>
        <w:ind w:firstLine="710"/>
        <w:jc w:val="both"/>
        <w:rPr>
          <w:rFonts w:ascii="Arial" w:hAnsi="Arial" w:cs="Arial"/>
          <w:noProof/>
        </w:rPr>
      </w:pPr>
      <w:r w:rsidRPr="00BF1719">
        <w:rPr>
          <w:rFonts w:ascii="Arial" w:hAnsi="Arial" w:cs="Arial"/>
          <w:noProof/>
        </w:rPr>
        <w:t xml:space="preserve">The electrical energy potential generated by the Akouédo landfill from 2017 to 2059 is shown in </w:t>
      </w:r>
      <w:r w:rsidRPr="00BF1719">
        <w:rPr>
          <w:rFonts w:ascii="Arial" w:hAnsi="Arial" w:cs="Arial"/>
          <w:b/>
          <w:bCs/>
          <w:noProof/>
        </w:rPr>
        <w:t>figure 2</w:t>
      </w:r>
      <w:r w:rsidRPr="00BF1719">
        <w:rPr>
          <w:rFonts w:ascii="Arial" w:hAnsi="Arial" w:cs="Arial"/>
          <w:noProof/>
        </w:rPr>
        <w:t>.</w:t>
      </w:r>
    </w:p>
    <w:p w14:paraId="29074878"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 estimated energy potential is high. From 2018 to 2019, it rises from 266 GWh (10 MW) to 288 GWh (10.8 MW), with a peak in 2019. After 2019, the energy potential decreases exponentially until 2059, with a value of 56 GWh (2.1MW). Assuming that the biogas plant starts operating in 2019, by the twentieth year of operation (2038), the recovered biogas will be sufficient to generate 164 GWh (6MW), providing a significant energy opportunity for the cogeneration plant at the existing </w:t>
      </w:r>
      <w:proofErr w:type="spellStart"/>
      <w:r w:rsidRPr="00BF1719">
        <w:rPr>
          <w:rFonts w:ascii="Arial" w:hAnsi="Arial" w:cs="Arial"/>
        </w:rPr>
        <w:t>Akouédo</w:t>
      </w:r>
      <w:proofErr w:type="spellEnd"/>
      <w:r w:rsidRPr="00BF1719">
        <w:rPr>
          <w:rFonts w:ascii="Arial" w:hAnsi="Arial" w:cs="Arial"/>
        </w:rPr>
        <w:t xml:space="preserve"> urban park. Even in 2059, more than 40 years after its closure, the available biogas would be sufficient to generate 2 MW of power.</w:t>
      </w:r>
    </w:p>
    <w:p w14:paraId="1773EB14"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These high values of estimated energy potential could be explained by high values </w:t>
      </w:r>
      <w:r w:rsidRPr="00BF1719">
        <w:rPr>
          <w:rFonts w:ascii="Arial" w:hAnsi="Arial" w:cs="Arial"/>
        </w:rPr>
        <w:lastRenderedPageBreak/>
        <w:t>of biogas volume. The increase in energy potential from 2018 to 2019 can also be explained by the increase in methane volume over the same period. The exponential decrease in energy potential observed is explained by the exponential decrease in methane volume.</w:t>
      </w:r>
    </w:p>
    <w:p w14:paraId="550E1CAE" w14:textId="77777777" w:rsidR="008C19DC"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This production of energy from waste at the </w:t>
      </w:r>
      <w:proofErr w:type="spellStart"/>
      <w:r w:rsidRPr="00BF1719">
        <w:rPr>
          <w:rFonts w:ascii="Arial" w:hAnsi="Arial" w:cs="Arial"/>
        </w:rPr>
        <w:t>Akouédo</w:t>
      </w:r>
      <w:proofErr w:type="spellEnd"/>
      <w:r w:rsidRPr="00BF1719">
        <w:rPr>
          <w:rFonts w:ascii="Arial" w:hAnsi="Arial" w:cs="Arial"/>
        </w:rPr>
        <w:t xml:space="preserve"> landfill can enable Côte d'Ivoire to ensure its energy transition by substituting fossil fuels. Waste-to-energy conversion can become a green, renewable and sustainable energy source (</w:t>
      </w:r>
      <w:r w:rsidRPr="00BF1719">
        <w:rPr>
          <w:rFonts w:ascii="Arial" w:hAnsi="Arial" w:cs="Arial"/>
          <w:b/>
          <w:bCs/>
        </w:rPr>
        <w:t>Rico de la Hera et al., 2014</w:t>
      </w:r>
      <w:r w:rsidRPr="00BF1719">
        <w:rPr>
          <w:rFonts w:ascii="Arial" w:hAnsi="Arial" w:cs="Arial"/>
        </w:rPr>
        <w:t>). What's more, converting biogas into energy prevents the release of CH</w:t>
      </w:r>
      <w:r w:rsidRPr="00BF1719">
        <w:rPr>
          <w:rFonts w:ascii="Arial" w:hAnsi="Arial" w:cs="Arial"/>
          <w:vertAlign w:val="subscript"/>
        </w:rPr>
        <w:t>4</w:t>
      </w:r>
      <w:r w:rsidRPr="00BF1719">
        <w:rPr>
          <w:rFonts w:ascii="Arial" w:hAnsi="Arial" w:cs="Arial"/>
        </w:rPr>
        <w:t>, a greenhouse gas, into the atmosphere.</w:t>
      </w:r>
    </w:p>
    <w:p w14:paraId="196F24D1" w14:textId="77777777" w:rsidR="008C19DC" w:rsidRDefault="008C19DC" w:rsidP="008C19DC">
      <w:pPr>
        <w:widowControl w:val="0"/>
        <w:autoSpaceDE w:val="0"/>
        <w:autoSpaceDN w:val="0"/>
        <w:spacing w:line="360" w:lineRule="auto"/>
        <w:jc w:val="both"/>
        <w:rPr>
          <w:rFonts w:ascii="Arial" w:hAnsi="Arial" w:cs="Arial"/>
          <w:noProof/>
        </w:rPr>
      </w:pPr>
      <w:r>
        <w:rPr>
          <w:rFonts w:ascii="Arial" w:hAnsi="Arial" w:cs="Arial"/>
          <w:noProof/>
        </w:rPr>
        <w:t xml:space="preserve">            </w:t>
      </w:r>
      <w:r w:rsidRPr="005C2608">
        <w:rPr>
          <w:rFonts w:ascii="Arial" w:hAnsi="Arial" w:cs="Arial"/>
          <w:noProof/>
        </w:rPr>
        <w:drawing>
          <wp:inline distT="0" distB="0" distL="0" distR="0" wp14:anchorId="40314568" wp14:editId="3D408830">
            <wp:extent cx="3419060" cy="2035896"/>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84935" cy="2134667"/>
                    </a:xfrm>
                    <a:prstGeom prst="rect">
                      <a:avLst/>
                    </a:prstGeom>
                  </pic:spPr>
                </pic:pic>
              </a:graphicData>
            </a:graphic>
          </wp:inline>
        </w:drawing>
      </w:r>
    </w:p>
    <w:p w14:paraId="57E42517" w14:textId="77777777" w:rsidR="008C19DC" w:rsidRPr="00BF1719" w:rsidRDefault="008C19DC" w:rsidP="008C19DC">
      <w:pPr>
        <w:widowControl w:val="0"/>
        <w:autoSpaceDE w:val="0"/>
        <w:autoSpaceDN w:val="0"/>
        <w:spacing w:line="360" w:lineRule="auto"/>
        <w:ind w:left="566" w:right="981" w:firstLine="710"/>
        <w:jc w:val="both"/>
        <w:rPr>
          <w:rFonts w:ascii="Arial" w:hAnsi="Arial" w:cs="Arial"/>
        </w:rPr>
      </w:pPr>
    </w:p>
    <w:p w14:paraId="666FC1EA" w14:textId="77777777" w:rsidR="008C19DC" w:rsidRPr="00BF1719" w:rsidRDefault="008C19DC" w:rsidP="008C19DC">
      <w:pPr>
        <w:widowControl w:val="0"/>
        <w:autoSpaceDE w:val="0"/>
        <w:autoSpaceDN w:val="0"/>
        <w:spacing w:line="360" w:lineRule="auto"/>
        <w:rPr>
          <w:rFonts w:ascii="Arial" w:hAnsi="Arial" w:cs="Arial"/>
        </w:rPr>
      </w:pPr>
      <w:r w:rsidRPr="00BF1719">
        <w:rPr>
          <w:rFonts w:ascii="Arial" w:hAnsi="Arial" w:cs="Arial"/>
          <w:b/>
        </w:rPr>
        <w:t>Figure</w:t>
      </w:r>
      <w:r w:rsidRPr="00BF1719">
        <w:rPr>
          <w:rFonts w:ascii="Arial" w:hAnsi="Arial" w:cs="Arial"/>
          <w:b/>
          <w:spacing w:val="-3"/>
        </w:rPr>
        <w:t xml:space="preserve"> </w:t>
      </w:r>
      <w:r w:rsidRPr="00BF1719">
        <w:rPr>
          <w:rFonts w:ascii="Arial" w:hAnsi="Arial" w:cs="Arial"/>
          <w:b/>
        </w:rPr>
        <w:t>2</w:t>
      </w:r>
      <w:r w:rsidRPr="00BF1719">
        <w:rPr>
          <w:rFonts w:ascii="Arial" w:hAnsi="Arial" w:cs="Arial"/>
          <w:b/>
          <w:spacing w:val="-3"/>
        </w:rPr>
        <w:t>:</w:t>
      </w:r>
      <w:r w:rsidRPr="00BF1719">
        <w:rPr>
          <w:rFonts w:ascii="Arial" w:hAnsi="Arial" w:cs="Arial"/>
          <w:spacing w:val="-3"/>
        </w:rPr>
        <w:t xml:space="preserve"> </w:t>
      </w:r>
      <w:r w:rsidRPr="00BF1719">
        <w:rPr>
          <w:rFonts w:ascii="Arial" w:hAnsi="Arial" w:cs="Arial"/>
        </w:rPr>
        <w:t xml:space="preserve">Energy potential of biogas from the </w:t>
      </w:r>
      <w:proofErr w:type="spellStart"/>
      <w:r w:rsidRPr="00BF1719">
        <w:rPr>
          <w:rFonts w:ascii="Arial" w:hAnsi="Arial" w:cs="Arial"/>
        </w:rPr>
        <w:t>Akouédo</w:t>
      </w:r>
      <w:proofErr w:type="spellEnd"/>
      <w:r w:rsidRPr="00BF1719">
        <w:rPr>
          <w:rFonts w:ascii="Arial" w:hAnsi="Arial" w:cs="Arial"/>
        </w:rPr>
        <w:t xml:space="preserve"> landfill according to </w:t>
      </w:r>
      <w:proofErr w:type="spellStart"/>
      <w:r w:rsidRPr="00BF1719">
        <w:rPr>
          <w:rFonts w:ascii="Arial" w:hAnsi="Arial" w:cs="Arial"/>
        </w:rPr>
        <w:t>LandGEM</w:t>
      </w:r>
      <w:proofErr w:type="spellEnd"/>
      <w:r w:rsidRPr="00BF1719">
        <w:rPr>
          <w:rFonts w:ascii="Arial" w:hAnsi="Arial" w:cs="Arial"/>
        </w:rPr>
        <w:t xml:space="preserve"> 3.02</w:t>
      </w:r>
    </w:p>
    <w:p w14:paraId="686F10B0" w14:textId="77777777" w:rsidR="008C19DC" w:rsidRPr="00382907" w:rsidRDefault="008C19DC" w:rsidP="008C19DC">
      <w:pPr>
        <w:widowControl w:val="0"/>
        <w:autoSpaceDE w:val="0"/>
        <w:autoSpaceDN w:val="0"/>
        <w:spacing w:before="240" w:line="360" w:lineRule="auto"/>
        <w:jc w:val="both"/>
        <w:rPr>
          <w:rFonts w:ascii="Arial" w:hAnsi="Arial" w:cs="Arial"/>
          <w:position w:val="2"/>
          <w:sz w:val="22"/>
          <w:szCs w:val="22"/>
        </w:rPr>
      </w:pPr>
      <w:r w:rsidRPr="00382907">
        <w:rPr>
          <w:rFonts w:ascii="Arial" w:hAnsi="Arial" w:cs="Arial"/>
          <w:position w:val="2"/>
          <w:sz w:val="22"/>
          <w:szCs w:val="22"/>
        </w:rPr>
        <w:t>3.2.</w:t>
      </w:r>
      <w:r w:rsidRPr="00382907">
        <w:rPr>
          <w:rFonts w:ascii="Arial" w:hAnsi="Arial" w:cs="Arial"/>
          <w:sz w:val="22"/>
          <w:szCs w:val="22"/>
        </w:rPr>
        <w:t xml:space="preserve"> </w:t>
      </w:r>
      <w:r w:rsidRPr="00382907">
        <w:rPr>
          <w:rFonts w:ascii="Arial" w:hAnsi="Arial" w:cs="Arial"/>
          <w:b/>
          <w:bCs/>
          <w:sz w:val="22"/>
          <w:szCs w:val="22"/>
        </w:rPr>
        <w:t xml:space="preserve">Application of the IPCC 2006 model to municipal solid waste from the </w:t>
      </w:r>
      <w:proofErr w:type="spellStart"/>
      <w:r w:rsidRPr="00382907">
        <w:rPr>
          <w:rFonts w:ascii="Arial" w:hAnsi="Arial" w:cs="Arial"/>
          <w:b/>
          <w:bCs/>
          <w:sz w:val="22"/>
          <w:szCs w:val="22"/>
        </w:rPr>
        <w:t>Akouédo</w:t>
      </w:r>
      <w:proofErr w:type="spellEnd"/>
      <w:r w:rsidRPr="00382907">
        <w:rPr>
          <w:rFonts w:ascii="Arial" w:hAnsi="Arial" w:cs="Arial"/>
          <w:b/>
          <w:bCs/>
          <w:sz w:val="22"/>
          <w:szCs w:val="22"/>
        </w:rPr>
        <w:t xml:space="preserve"> landfill site</w:t>
      </w:r>
    </w:p>
    <w:p w14:paraId="07E0123F" w14:textId="77777777" w:rsidR="008C19DC" w:rsidRPr="00382907" w:rsidRDefault="008C19DC" w:rsidP="008C19DC">
      <w:pPr>
        <w:widowControl w:val="0"/>
        <w:tabs>
          <w:tab w:val="left" w:pos="2185"/>
        </w:tabs>
        <w:autoSpaceDE w:val="0"/>
        <w:autoSpaceDN w:val="0"/>
        <w:spacing w:before="243"/>
        <w:rPr>
          <w:rFonts w:ascii="Arial" w:hAnsi="Arial" w:cs="Arial"/>
          <w:b/>
          <w:bCs/>
        </w:rPr>
      </w:pPr>
      <w:r w:rsidRPr="00382907">
        <w:rPr>
          <w:rFonts w:ascii="Arial" w:hAnsi="Arial" w:cs="Arial"/>
          <w:b/>
          <w:bCs/>
        </w:rPr>
        <w:t>3.2.1. Estimated biogas volume based on IPCC 2006 model</w:t>
      </w:r>
    </w:p>
    <w:p w14:paraId="3A28BA5A" w14:textId="77777777" w:rsidR="008C19DC" w:rsidRPr="00BF1719" w:rsidRDefault="008C19DC" w:rsidP="008C19DC">
      <w:pPr>
        <w:widowControl w:val="0"/>
        <w:autoSpaceDE w:val="0"/>
        <w:autoSpaceDN w:val="0"/>
        <w:spacing w:before="100"/>
        <w:rPr>
          <w:rFonts w:ascii="Arial" w:hAnsi="Arial" w:cs="Arial"/>
        </w:rPr>
      </w:pPr>
    </w:p>
    <w:p w14:paraId="4781E2C4" w14:textId="77777777" w:rsidR="008C19DC" w:rsidRPr="00BF1719" w:rsidRDefault="008C19DC" w:rsidP="008C19DC">
      <w:pPr>
        <w:widowControl w:val="0"/>
        <w:autoSpaceDE w:val="0"/>
        <w:autoSpaceDN w:val="0"/>
        <w:spacing w:line="360" w:lineRule="auto"/>
        <w:ind w:firstLine="710"/>
        <w:jc w:val="both"/>
        <w:rPr>
          <w:rFonts w:ascii="Arial" w:hAnsi="Arial" w:cs="Arial"/>
          <w:position w:val="2"/>
        </w:rPr>
      </w:pPr>
      <w:r w:rsidRPr="00BF1719">
        <w:rPr>
          <w:rFonts w:ascii="Arial" w:hAnsi="Arial" w:cs="Arial"/>
          <w:b/>
          <w:bCs/>
          <w:position w:val="2"/>
        </w:rPr>
        <w:t>Figure 3</w:t>
      </w:r>
      <w:r w:rsidRPr="00BF1719">
        <w:rPr>
          <w:rFonts w:ascii="Arial" w:hAnsi="Arial" w:cs="Arial"/>
          <w:position w:val="2"/>
        </w:rPr>
        <w:t xml:space="preserve"> shows the CH</w:t>
      </w:r>
      <w:r w:rsidRPr="00BF1719">
        <w:rPr>
          <w:rFonts w:ascii="Arial" w:hAnsi="Arial" w:cs="Arial"/>
          <w:position w:val="2"/>
          <w:vertAlign w:val="subscript"/>
        </w:rPr>
        <w:t>4</w:t>
      </w:r>
      <w:r w:rsidRPr="00BF1719">
        <w:rPr>
          <w:rFonts w:ascii="Arial" w:hAnsi="Arial" w:cs="Arial"/>
          <w:position w:val="2"/>
        </w:rPr>
        <w:t xml:space="preserve"> and CO</w:t>
      </w:r>
      <w:r w:rsidRPr="00BF1719">
        <w:rPr>
          <w:rFonts w:ascii="Arial" w:hAnsi="Arial" w:cs="Arial"/>
          <w:position w:val="2"/>
          <w:vertAlign w:val="subscript"/>
        </w:rPr>
        <w:t>2</w:t>
      </w:r>
      <w:r w:rsidRPr="00BF1719">
        <w:rPr>
          <w:rFonts w:ascii="Arial" w:hAnsi="Arial" w:cs="Arial"/>
          <w:position w:val="2"/>
        </w:rPr>
        <w:t xml:space="preserve"> volumes generated from 2009 to 2059. The estimated volume of biogas is very significant. It also increases very rapidly from the year 2009 with a value of 7.7×107m</w:t>
      </w:r>
      <w:r w:rsidRPr="00BF1719">
        <w:rPr>
          <w:rFonts w:ascii="Arial" w:hAnsi="Arial" w:cs="Arial"/>
          <w:position w:val="2"/>
          <w:vertAlign w:val="superscript"/>
        </w:rPr>
        <w:t>3</w:t>
      </w:r>
      <w:r w:rsidRPr="00BF1719">
        <w:rPr>
          <w:rFonts w:ascii="Arial" w:hAnsi="Arial" w:cs="Arial"/>
          <w:position w:val="2"/>
        </w:rPr>
        <w:t xml:space="preserve"> to the year 2019 with a maximum of 15.7×107m</w:t>
      </w:r>
      <w:r w:rsidRPr="00BF1719">
        <w:rPr>
          <w:rFonts w:ascii="Arial" w:hAnsi="Arial" w:cs="Arial"/>
          <w:position w:val="2"/>
          <w:vertAlign w:val="superscript"/>
        </w:rPr>
        <w:t>3</w:t>
      </w:r>
      <w:r w:rsidRPr="00BF1719">
        <w:rPr>
          <w:rFonts w:ascii="Arial" w:hAnsi="Arial" w:cs="Arial"/>
          <w:position w:val="2"/>
        </w:rPr>
        <w:t>. After 2018, the volume of biogas decreases exponentially until 2059, with a value of 4.2× 105m</w:t>
      </w:r>
      <w:r w:rsidRPr="00BF1719">
        <w:rPr>
          <w:rFonts w:ascii="Arial" w:hAnsi="Arial" w:cs="Arial"/>
          <w:position w:val="2"/>
          <w:vertAlign w:val="superscript"/>
        </w:rPr>
        <w:t>3</w:t>
      </w:r>
      <w:r w:rsidRPr="00BF1719">
        <w:rPr>
          <w:rFonts w:ascii="Arial" w:hAnsi="Arial" w:cs="Arial"/>
          <w:position w:val="2"/>
        </w:rPr>
        <w:t>. Methane and carbon dioxide volumes follow the same trend as biogas. In 2019, the maximum CH</w:t>
      </w:r>
      <w:r w:rsidRPr="00BF1719">
        <w:rPr>
          <w:rFonts w:ascii="Arial" w:hAnsi="Arial" w:cs="Arial"/>
          <w:position w:val="2"/>
          <w:vertAlign w:val="subscript"/>
        </w:rPr>
        <w:t>4</w:t>
      </w:r>
      <w:r w:rsidRPr="00BF1719">
        <w:rPr>
          <w:rFonts w:ascii="Arial" w:hAnsi="Arial" w:cs="Arial"/>
          <w:position w:val="2"/>
        </w:rPr>
        <w:t xml:space="preserve"> and CO</w:t>
      </w:r>
      <w:r w:rsidRPr="00BF1719">
        <w:rPr>
          <w:rFonts w:ascii="Arial" w:hAnsi="Arial" w:cs="Arial"/>
          <w:position w:val="2"/>
          <w:vertAlign w:val="subscript"/>
        </w:rPr>
        <w:t>2</w:t>
      </w:r>
      <w:r w:rsidRPr="00BF1719">
        <w:rPr>
          <w:rFonts w:ascii="Arial" w:hAnsi="Arial" w:cs="Arial"/>
          <w:position w:val="2"/>
        </w:rPr>
        <w:t xml:space="preserve"> volumes are 9.4×107m</w:t>
      </w:r>
      <w:r w:rsidRPr="00BF1719">
        <w:rPr>
          <w:rFonts w:ascii="Arial" w:hAnsi="Arial" w:cs="Arial"/>
          <w:position w:val="2"/>
          <w:vertAlign w:val="superscript"/>
        </w:rPr>
        <w:t>3</w:t>
      </w:r>
      <w:r w:rsidRPr="00BF1719">
        <w:rPr>
          <w:rFonts w:ascii="Arial" w:hAnsi="Arial" w:cs="Arial"/>
          <w:position w:val="2"/>
        </w:rPr>
        <w:t xml:space="preserve"> and 6.3×107 m</w:t>
      </w:r>
      <w:r w:rsidRPr="00BF1719">
        <w:rPr>
          <w:rFonts w:ascii="Arial" w:hAnsi="Arial" w:cs="Arial"/>
          <w:position w:val="2"/>
          <w:vertAlign w:val="superscript"/>
        </w:rPr>
        <w:t>3</w:t>
      </w:r>
      <w:r w:rsidRPr="00BF1719">
        <w:rPr>
          <w:rFonts w:ascii="Arial" w:hAnsi="Arial" w:cs="Arial"/>
          <w:position w:val="2"/>
        </w:rPr>
        <w:t xml:space="preserve"> respectively.</w:t>
      </w:r>
    </w:p>
    <w:p w14:paraId="5CE54B66" w14:textId="77777777" w:rsidR="008C19DC" w:rsidRPr="00BF1719" w:rsidRDefault="008C19DC" w:rsidP="008C19DC">
      <w:pPr>
        <w:widowControl w:val="0"/>
        <w:autoSpaceDE w:val="0"/>
        <w:autoSpaceDN w:val="0"/>
        <w:spacing w:line="360" w:lineRule="auto"/>
        <w:jc w:val="both"/>
        <w:rPr>
          <w:rFonts w:ascii="Arial" w:hAnsi="Arial" w:cs="Arial"/>
        </w:rPr>
      </w:pPr>
      <w:r w:rsidRPr="00BF1719">
        <w:rPr>
          <w:rFonts w:ascii="Arial" w:hAnsi="Arial" w:cs="Arial"/>
        </w:rPr>
        <w:t>Les</w:t>
      </w:r>
      <w:r w:rsidRPr="00BF1719">
        <w:rPr>
          <w:rFonts w:ascii="Arial" w:hAnsi="Arial" w:cs="Arial"/>
          <w:spacing w:val="52"/>
          <w:w w:val="150"/>
        </w:rPr>
        <w:t xml:space="preserve"> </w:t>
      </w:r>
      <w:r w:rsidRPr="00BF1719">
        <w:rPr>
          <w:rFonts w:ascii="Arial" w:hAnsi="Arial" w:cs="Arial"/>
        </w:rPr>
        <w:t>Estimated variations in biogas volume as a function of time could be explained by the</w:t>
      </w:r>
    </w:p>
    <w:p w14:paraId="638A6BDB" w14:textId="77777777" w:rsidR="008C19DC" w:rsidRPr="00BF1719" w:rsidRDefault="008C19DC" w:rsidP="008C19DC">
      <w:pPr>
        <w:widowControl w:val="0"/>
        <w:autoSpaceDE w:val="0"/>
        <w:autoSpaceDN w:val="0"/>
        <w:spacing w:line="360" w:lineRule="auto"/>
        <w:jc w:val="both"/>
        <w:rPr>
          <w:rFonts w:ascii="Arial" w:hAnsi="Arial" w:cs="Arial"/>
        </w:rPr>
      </w:pPr>
      <w:r w:rsidRPr="00BF1719">
        <w:rPr>
          <w:rFonts w:ascii="Arial" w:hAnsi="Arial" w:cs="Arial"/>
        </w:rPr>
        <w:t xml:space="preserve">          above-mentioned factors, such as waste composition, waste mass and the age of the waste.</w:t>
      </w:r>
    </w:p>
    <w:p w14:paraId="5058AEAA" w14:textId="77777777" w:rsidR="008C19DC" w:rsidRPr="00BF1719" w:rsidRDefault="008C19DC" w:rsidP="008C19DC">
      <w:pPr>
        <w:widowControl w:val="0"/>
        <w:autoSpaceDE w:val="0"/>
        <w:autoSpaceDN w:val="0"/>
        <w:spacing w:line="360" w:lineRule="auto"/>
        <w:jc w:val="both"/>
        <w:rPr>
          <w:rFonts w:ascii="Arial" w:hAnsi="Arial" w:cs="Arial"/>
        </w:rPr>
      </w:pPr>
    </w:p>
    <w:p w14:paraId="75317E21" w14:textId="77777777" w:rsidR="008C19DC" w:rsidRPr="00BF1719" w:rsidRDefault="008C19DC" w:rsidP="008C19DC">
      <w:pPr>
        <w:widowControl w:val="0"/>
        <w:autoSpaceDE w:val="0"/>
        <w:autoSpaceDN w:val="0"/>
        <w:spacing w:before="137" w:line="360" w:lineRule="auto"/>
        <w:ind w:right="992"/>
        <w:jc w:val="both"/>
        <w:rPr>
          <w:rFonts w:ascii="Arial" w:hAnsi="Arial" w:cs="Arial"/>
        </w:rPr>
      </w:pPr>
      <w:r w:rsidRPr="00BF1719">
        <w:rPr>
          <w:rFonts w:ascii="Arial" w:hAnsi="Arial" w:cs="Arial"/>
          <w:noProof/>
        </w:rPr>
        <w:lastRenderedPageBreak/>
        <w:drawing>
          <wp:inline distT="0" distB="0" distL="0" distR="0" wp14:anchorId="6FB5785E" wp14:editId="1FD7B3AC">
            <wp:extent cx="5416828" cy="2667137"/>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16828" cy="2667137"/>
                    </a:xfrm>
                    <a:prstGeom prst="rect">
                      <a:avLst/>
                    </a:prstGeom>
                  </pic:spPr>
                </pic:pic>
              </a:graphicData>
            </a:graphic>
          </wp:inline>
        </w:drawing>
      </w:r>
      <w:r w:rsidRPr="00BF1719">
        <w:rPr>
          <w:rFonts w:ascii="Arial" w:hAnsi="Arial" w:cs="Arial"/>
        </w:rPr>
        <w:t xml:space="preserve">                </w:t>
      </w:r>
    </w:p>
    <w:p w14:paraId="06C0B80B" w14:textId="77777777" w:rsidR="008C19DC" w:rsidRPr="00BF1719" w:rsidRDefault="008C19DC" w:rsidP="008C19DC">
      <w:pPr>
        <w:widowControl w:val="0"/>
        <w:autoSpaceDE w:val="0"/>
        <w:autoSpaceDN w:val="0"/>
        <w:spacing w:before="137" w:line="360" w:lineRule="auto"/>
        <w:jc w:val="both"/>
        <w:rPr>
          <w:rFonts w:ascii="Arial" w:hAnsi="Arial" w:cs="Arial"/>
        </w:rPr>
      </w:pPr>
      <w:r w:rsidRPr="00BF1719">
        <w:rPr>
          <w:rFonts w:ascii="Arial" w:hAnsi="Arial" w:cs="Arial"/>
        </w:rPr>
        <w:t xml:space="preserve">            </w:t>
      </w:r>
      <w:r w:rsidRPr="00BF1719">
        <w:rPr>
          <w:rFonts w:ascii="Arial" w:hAnsi="Arial" w:cs="Arial"/>
          <w:b/>
        </w:rPr>
        <w:t xml:space="preserve">              Figure</w:t>
      </w:r>
      <w:r w:rsidRPr="00BF1719">
        <w:rPr>
          <w:rFonts w:ascii="Arial" w:hAnsi="Arial" w:cs="Arial"/>
          <w:b/>
          <w:spacing w:val="-1"/>
        </w:rPr>
        <w:t xml:space="preserve"> </w:t>
      </w:r>
      <w:r w:rsidRPr="00BF1719">
        <w:rPr>
          <w:rFonts w:ascii="Arial" w:hAnsi="Arial" w:cs="Arial"/>
          <w:b/>
        </w:rPr>
        <w:t>3</w:t>
      </w:r>
      <w:r w:rsidRPr="00BF1719">
        <w:rPr>
          <w:rFonts w:ascii="Arial" w:hAnsi="Arial" w:cs="Arial"/>
          <w:b/>
          <w:spacing w:val="-1"/>
        </w:rPr>
        <w:t>:</w:t>
      </w:r>
      <w:r w:rsidRPr="00BF1719">
        <w:rPr>
          <w:rFonts w:ascii="Arial" w:hAnsi="Arial" w:cs="Arial"/>
          <w:spacing w:val="-5"/>
        </w:rPr>
        <w:t xml:space="preserve"> </w:t>
      </w:r>
      <w:r w:rsidRPr="00BF1719">
        <w:rPr>
          <w:rFonts w:ascii="Arial" w:hAnsi="Arial" w:cs="Arial"/>
        </w:rPr>
        <w:t>Biogas volume estimates based on the IPCC 2006 waste model</w:t>
      </w:r>
    </w:p>
    <w:p w14:paraId="2A6141CF" w14:textId="77777777" w:rsidR="008C19DC" w:rsidRDefault="008C19DC" w:rsidP="008C19DC">
      <w:pPr>
        <w:rPr>
          <w:rFonts w:ascii="Arial" w:hAnsi="Arial" w:cs="Arial"/>
        </w:rPr>
      </w:pPr>
    </w:p>
    <w:p w14:paraId="7026646F" w14:textId="77777777" w:rsidR="008C19DC" w:rsidRPr="00382907" w:rsidRDefault="008C19DC" w:rsidP="008C19DC">
      <w:pPr>
        <w:widowControl w:val="0"/>
        <w:tabs>
          <w:tab w:val="left" w:pos="2183"/>
        </w:tabs>
        <w:autoSpaceDE w:val="0"/>
        <w:autoSpaceDN w:val="0"/>
        <w:spacing w:before="79"/>
        <w:jc w:val="both"/>
        <w:rPr>
          <w:rFonts w:ascii="Arial" w:hAnsi="Arial" w:cs="Arial"/>
          <w:b/>
          <w:bCs/>
        </w:rPr>
      </w:pPr>
      <w:r w:rsidRPr="00382907">
        <w:rPr>
          <w:rFonts w:ascii="Arial" w:hAnsi="Arial" w:cs="Arial"/>
          <w:b/>
          <w:bCs/>
        </w:rPr>
        <w:t xml:space="preserve">            </w:t>
      </w:r>
      <w:bookmarkStart w:id="5" w:name="_Hlk201955024"/>
      <w:r w:rsidRPr="00382907">
        <w:rPr>
          <w:rFonts w:ascii="Arial" w:hAnsi="Arial" w:cs="Arial"/>
          <w:b/>
          <w:bCs/>
        </w:rPr>
        <w:t>3.2.2.</w:t>
      </w:r>
      <w:bookmarkEnd w:id="5"/>
      <w:r w:rsidRPr="00382907">
        <w:rPr>
          <w:rFonts w:ascii="Arial" w:hAnsi="Arial" w:cs="Arial"/>
          <w:b/>
          <w:bCs/>
        </w:rPr>
        <w:t xml:space="preserve"> Potential energy generated according to the IPCC 2006 model</w:t>
      </w:r>
    </w:p>
    <w:p w14:paraId="0BE7E60C" w14:textId="77777777" w:rsidR="008C19DC" w:rsidRPr="00BF1719" w:rsidRDefault="008C19DC" w:rsidP="008C19DC">
      <w:pPr>
        <w:widowControl w:val="0"/>
        <w:autoSpaceDE w:val="0"/>
        <w:autoSpaceDN w:val="0"/>
        <w:spacing w:before="62"/>
        <w:rPr>
          <w:rFonts w:ascii="Arial" w:hAnsi="Arial" w:cs="Arial"/>
        </w:rPr>
      </w:pPr>
    </w:p>
    <w:p w14:paraId="5A71073D" w14:textId="77777777" w:rsidR="008C19DC" w:rsidRPr="00BF1719" w:rsidRDefault="008C19DC" w:rsidP="008C19DC">
      <w:pPr>
        <w:widowControl w:val="0"/>
        <w:autoSpaceDE w:val="0"/>
        <w:autoSpaceDN w:val="0"/>
        <w:jc w:val="both"/>
        <w:rPr>
          <w:rFonts w:ascii="Arial" w:hAnsi="Arial" w:cs="Arial"/>
        </w:rPr>
      </w:pPr>
      <w:r w:rsidRPr="00BF1719">
        <w:rPr>
          <w:rFonts w:ascii="Arial" w:hAnsi="Arial" w:cs="Arial"/>
        </w:rPr>
        <w:t xml:space="preserve">The electrical energy potential generated by the </w:t>
      </w:r>
      <w:proofErr w:type="spellStart"/>
      <w:r w:rsidRPr="00BF1719">
        <w:rPr>
          <w:rFonts w:ascii="Arial" w:hAnsi="Arial" w:cs="Arial"/>
        </w:rPr>
        <w:t>Akouédo</w:t>
      </w:r>
      <w:proofErr w:type="spellEnd"/>
      <w:r w:rsidRPr="00BF1719">
        <w:rPr>
          <w:rFonts w:ascii="Arial" w:hAnsi="Arial" w:cs="Arial"/>
        </w:rPr>
        <w:t xml:space="preserve"> discharge is shown </w:t>
      </w:r>
      <w:r w:rsidRPr="00BF1719">
        <w:rPr>
          <w:rFonts w:ascii="Arial" w:hAnsi="Arial" w:cs="Arial"/>
          <w:b/>
          <w:bCs/>
        </w:rPr>
        <w:t xml:space="preserve">in Figure </w:t>
      </w:r>
      <w:r>
        <w:rPr>
          <w:rFonts w:ascii="Arial" w:hAnsi="Arial" w:cs="Arial"/>
          <w:b/>
          <w:bCs/>
        </w:rPr>
        <w:t>4.</w:t>
      </w:r>
    </w:p>
    <w:p w14:paraId="3D2FA7CC" w14:textId="77777777" w:rsidR="008C19DC" w:rsidRPr="00BF1719" w:rsidRDefault="008C19DC" w:rsidP="008C19DC">
      <w:pPr>
        <w:widowControl w:val="0"/>
        <w:autoSpaceDE w:val="0"/>
        <w:autoSpaceDN w:val="0"/>
        <w:spacing w:before="1"/>
        <w:jc w:val="center"/>
        <w:rPr>
          <w:rFonts w:ascii="Arial" w:hAnsi="Arial" w:cs="Arial"/>
        </w:rPr>
      </w:pPr>
    </w:p>
    <w:p w14:paraId="68450184" w14:textId="77777777" w:rsidR="008C19DC" w:rsidRPr="00BF1719" w:rsidRDefault="008C19DC" w:rsidP="008C19DC">
      <w:pPr>
        <w:widowControl w:val="0"/>
        <w:autoSpaceDE w:val="0"/>
        <w:autoSpaceDN w:val="0"/>
        <w:spacing w:before="1"/>
        <w:ind w:left="804" w:right="514"/>
        <w:jc w:val="center"/>
        <w:rPr>
          <w:rFonts w:ascii="Arial" w:hAnsi="Arial" w:cs="Arial"/>
        </w:rPr>
      </w:pPr>
      <w:r w:rsidRPr="00BF1719">
        <w:rPr>
          <w:rFonts w:ascii="Arial" w:hAnsi="Arial" w:cs="Arial"/>
          <w:noProof/>
        </w:rPr>
        <w:drawing>
          <wp:inline distT="0" distB="0" distL="0" distR="0" wp14:anchorId="31149B56" wp14:editId="7E980183">
            <wp:extent cx="4341412" cy="2622700"/>
            <wp:effectExtent l="0" t="0" r="254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93391" cy="2654101"/>
                    </a:xfrm>
                    <a:prstGeom prst="rect">
                      <a:avLst/>
                    </a:prstGeom>
                  </pic:spPr>
                </pic:pic>
              </a:graphicData>
            </a:graphic>
          </wp:inline>
        </w:drawing>
      </w:r>
    </w:p>
    <w:p w14:paraId="3A581EF0" w14:textId="77777777" w:rsidR="008C19DC" w:rsidRPr="00BF1719" w:rsidRDefault="008C19DC" w:rsidP="008C19DC">
      <w:pPr>
        <w:tabs>
          <w:tab w:val="left" w:pos="2326"/>
        </w:tabs>
        <w:rPr>
          <w:rFonts w:ascii="Arial" w:hAnsi="Arial" w:cs="Arial"/>
          <w:b/>
        </w:rPr>
      </w:pPr>
      <w:r w:rsidRPr="00BF1719">
        <w:rPr>
          <w:rFonts w:ascii="Arial" w:hAnsi="Arial" w:cs="Arial"/>
        </w:rPr>
        <w:tab/>
      </w:r>
    </w:p>
    <w:p w14:paraId="61A7ABEF" w14:textId="77777777" w:rsidR="008C19DC" w:rsidRPr="00BF1719" w:rsidRDefault="008C19DC" w:rsidP="008C19DC">
      <w:pPr>
        <w:widowControl w:val="0"/>
        <w:autoSpaceDE w:val="0"/>
        <w:autoSpaceDN w:val="0"/>
        <w:spacing w:before="1"/>
        <w:rPr>
          <w:rFonts w:ascii="Arial" w:hAnsi="Arial" w:cs="Arial"/>
        </w:rPr>
      </w:pPr>
      <w:r w:rsidRPr="00BF1719">
        <w:rPr>
          <w:rFonts w:ascii="Arial" w:hAnsi="Arial" w:cs="Arial"/>
          <w:b/>
        </w:rPr>
        <w:t xml:space="preserve">       Figure</w:t>
      </w:r>
      <w:r w:rsidRPr="00BF1719">
        <w:rPr>
          <w:rFonts w:ascii="Arial" w:hAnsi="Arial" w:cs="Arial"/>
          <w:b/>
          <w:spacing w:val="-1"/>
        </w:rPr>
        <w:t xml:space="preserve"> </w:t>
      </w:r>
      <w:proofErr w:type="gramStart"/>
      <w:r w:rsidRPr="00BF1719">
        <w:rPr>
          <w:rFonts w:ascii="Arial" w:hAnsi="Arial" w:cs="Arial"/>
          <w:b/>
        </w:rPr>
        <w:t>4</w:t>
      </w:r>
      <w:r w:rsidRPr="00BF1719">
        <w:rPr>
          <w:rFonts w:ascii="Arial" w:hAnsi="Arial" w:cs="Arial"/>
          <w:b/>
          <w:spacing w:val="1"/>
        </w:rPr>
        <w:t xml:space="preserve"> </w:t>
      </w:r>
      <w:r w:rsidRPr="00BF1719">
        <w:rPr>
          <w:rFonts w:ascii="Arial" w:hAnsi="Arial" w:cs="Arial"/>
        </w:rPr>
        <w:t>:</w:t>
      </w:r>
      <w:proofErr w:type="gramEnd"/>
      <w:r w:rsidRPr="00BF1719">
        <w:rPr>
          <w:rFonts w:ascii="Arial" w:hAnsi="Arial" w:cs="Arial"/>
        </w:rPr>
        <w:t xml:space="preserve"> Energy potential of </w:t>
      </w:r>
      <w:proofErr w:type="spellStart"/>
      <w:r w:rsidRPr="00BF1719">
        <w:rPr>
          <w:rFonts w:ascii="Arial" w:hAnsi="Arial" w:cs="Arial"/>
        </w:rPr>
        <w:t>Akouedo</w:t>
      </w:r>
      <w:proofErr w:type="spellEnd"/>
      <w:r w:rsidRPr="00BF1719">
        <w:rPr>
          <w:rFonts w:ascii="Arial" w:hAnsi="Arial" w:cs="Arial"/>
        </w:rPr>
        <w:t xml:space="preserve"> landfill biogas according to IPCC </w:t>
      </w:r>
      <w:r w:rsidRPr="00BF1719">
        <w:rPr>
          <w:rFonts w:ascii="Arial" w:hAnsi="Arial" w:cs="Arial"/>
          <w:spacing w:val="-4"/>
        </w:rPr>
        <w:t>2006</w:t>
      </w:r>
    </w:p>
    <w:p w14:paraId="787BEC5A" w14:textId="77777777" w:rsidR="008C19DC" w:rsidRPr="00BF1719" w:rsidRDefault="008C19DC" w:rsidP="008C19DC">
      <w:pPr>
        <w:widowControl w:val="0"/>
        <w:autoSpaceDE w:val="0"/>
        <w:autoSpaceDN w:val="0"/>
        <w:spacing w:before="62"/>
        <w:rPr>
          <w:rFonts w:ascii="Arial" w:hAnsi="Arial" w:cs="Arial"/>
        </w:rPr>
      </w:pPr>
    </w:p>
    <w:p w14:paraId="4527348D" w14:textId="77777777" w:rsidR="008C19DC"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 maximum electrical energy potentially available from the </w:t>
      </w:r>
      <w:proofErr w:type="spellStart"/>
      <w:r w:rsidRPr="00BF1719">
        <w:rPr>
          <w:rFonts w:ascii="Arial" w:hAnsi="Arial" w:cs="Arial"/>
        </w:rPr>
        <w:t>Akouédo</w:t>
      </w:r>
      <w:proofErr w:type="spellEnd"/>
      <w:r w:rsidRPr="00BF1719">
        <w:rPr>
          <w:rFonts w:ascii="Arial" w:hAnsi="Arial" w:cs="Arial"/>
        </w:rPr>
        <w:t xml:space="preserve"> landfill is 658 GWh in 2019. Converting this energy using a 33%-efficiency internal combustion engine will yield 217.1GWh, or 13% of CIE's total energy production in 2015 </w:t>
      </w:r>
      <w:r w:rsidRPr="00BF1719">
        <w:rPr>
          <w:rFonts w:ascii="Arial" w:hAnsi="Arial" w:cs="Arial"/>
          <w:b/>
          <w:bCs/>
        </w:rPr>
        <w:t>(CIE, 2015)</w:t>
      </w:r>
      <w:r w:rsidRPr="00BF1719">
        <w:rPr>
          <w:rFonts w:ascii="Arial" w:hAnsi="Arial" w:cs="Arial"/>
        </w:rPr>
        <w:t xml:space="preserve">. This </w:t>
      </w:r>
      <w:r w:rsidRPr="00BF1719">
        <w:rPr>
          <w:rFonts w:ascii="Arial" w:hAnsi="Arial" w:cs="Arial"/>
        </w:rPr>
        <w:lastRenderedPageBreak/>
        <w:t xml:space="preserve">corresponds to a maximum capacity of 24.8 MW, or a quarter of the installed capacity of the </w:t>
      </w:r>
      <w:proofErr w:type="spellStart"/>
      <w:r w:rsidRPr="00BF1719">
        <w:rPr>
          <w:rFonts w:ascii="Arial" w:hAnsi="Arial" w:cs="Arial"/>
        </w:rPr>
        <w:t>Vridi</w:t>
      </w:r>
      <w:proofErr w:type="spellEnd"/>
      <w:r w:rsidRPr="00BF1719">
        <w:rPr>
          <w:rFonts w:ascii="Arial" w:hAnsi="Arial" w:cs="Arial"/>
        </w:rPr>
        <w:t xml:space="preserve"> thermal power plant </w:t>
      </w:r>
      <w:r w:rsidRPr="00BF1719">
        <w:rPr>
          <w:rFonts w:ascii="Arial" w:hAnsi="Arial" w:cs="Arial"/>
          <w:b/>
          <w:bCs/>
        </w:rPr>
        <w:t>(CIE, 2015)</w:t>
      </w:r>
      <w:r w:rsidRPr="00BF1719">
        <w:rPr>
          <w:rFonts w:ascii="Arial" w:hAnsi="Arial" w:cs="Arial"/>
        </w:rPr>
        <w:t xml:space="preserve">. This capacity will decrease each year. By 2038, the recovered biogas will be sufficient to generate 39 GWh (1.5 MW), offering a significant energy generation opportunity. </w:t>
      </w:r>
    </w:p>
    <w:p w14:paraId="0C17E8CE" w14:textId="77777777" w:rsidR="008C19DC" w:rsidRPr="00BF1719" w:rsidRDefault="008C19DC" w:rsidP="008C19DC">
      <w:pPr>
        <w:widowControl w:val="0"/>
        <w:autoSpaceDE w:val="0"/>
        <w:autoSpaceDN w:val="0"/>
        <w:spacing w:line="360" w:lineRule="auto"/>
        <w:ind w:firstLine="710"/>
        <w:jc w:val="both"/>
        <w:rPr>
          <w:rFonts w:ascii="Arial" w:hAnsi="Arial" w:cs="Arial"/>
        </w:rPr>
      </w:pPr>
    </w:p>
    <w:p w14:paraId="0C4AE9AD" w14:textId="77777777" w:rsidR="008C19DC" w:rsidRPr="00382907" w:rsidRDefault="008C19DC" w:rsidP="008C19DC">
      <w:pPr>
        <w:widowControl w:val="0"/>
        <w:autoSpaceDE w:val="0"/>
        <w:autoSpaceDN w:val="0"/>
        <w:spacing w:line="360" w:lineRule="auto"/>
        <w:ind w:firstLine="710"/>
        <w:jc w:val="both"/>
        <w:rPr>
          <w:rFonts w:ascii="Arial" w:hAnsi="Arial" w:cs="Arial"/>
          <w:b/>
          <w:bCs/>
          <w:sz w:val="22"/>
          <w:szCs w:val="22"/>
        </w:rPr>
      </w:pPr>
      <w:r w:rsidRPr="00382907">
        <w:rPr>
          <w:rFonts w:ascii="Arial" w:hAnsi="Arial" w:cs="Arial"/>
          <w:b/>
          <w:bCs/>
          <w:sz w:val="22"/>
          <w:szCs w:val="22"/>
        </w:rPr>
        <w:t>3.3. Comparison of the first-order models used</w:t>
      </w:r>
    </w:p>
    <w:p w14:paraId="30F34639" w14:textId="77777777" w:rsidR="008C19DC" w:rsidRPr="00BF1719" w:rsidRDefault="008C19DC" w:rsidP="008C19DC">
      <w:pPr>
        <w:widowControl w:val="0"/>
        <w:autoSpaceDE w:val="0"/>
        <w:autoSpaceDN w:val="0"/>
        <w:spacing w:before="63"/>
        <w:rPr>
          <w:rFonts w:ascii="Arial" w:hAnsi="Arial" w:cs="Arial"/>
        </w:rPr>
      </w:pPr>
    </w:p>
    <w:p w14:paraId="7FD9D145"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 volumes estimated from the </w:t>
      </w:r>
      <w:proofErr w:type="spellStart"/>
      <w:r w:rsidRPr="00BF1719">
        <w:rPr>
          <w:rFonts w:ascii="Arial" w:hAnsi="Arial" w:cs="Arial"/>
        </w:rPr>
        <w:t>LandGEM</w:t>
      </w:r>
      <w:proofErr w:type="spellEnd"/>
      <w:r w:rsidRPr="00BF1719">
        <w:rPr>
          <w:rFonts w:ascii="Arial" w:hAnsi="Arial" w:cs="Arial"/>
        </w:rPr>
        <w:t xml:space="preserve"> 3.02, Mexican 2.0 and IPCC 2006 models were compared (</w:t>
      </w:r>
      <w:r w:rsidRPr="00BF1719">
        <w:rPr>
          <w:rFonts w:ascii="Arial" w:hAnsi="Arial" w:cs="Arial"/>
          <w:b/>
          <w:bCs/>
        </w:rPr>
        <w:t>Figure 5</w:t>
      </w:r>
      <w:r w:rsidRPr="00BF1719">
        <w:rPr>
          <w:rFonts w:ascii="Arial" w:hAnsi="Arial" w:cs="Arial"/>
        </w:rPr>
        <w:t>).</w:t>
      </w:r>
    </w:p>
    <w:p w14:paraId="623E38BA" w14:textId="77777777" w:rsidR="008C19DC" w:rsidRPr="00BF1719" w:rsidRDefault="008C19DC" w:rsidP="008C19DC">
      <w:pPr>
        <w:widowControl w:val="0"/>
        <w:autoSpaceDE w:val="0"/>
        <w:autoSpaceDN w:val="0"/>
        <w:spacing w:line="360" w:lineRule="auto"/>
        <w:jc w:val="both"/>
        <w:rPr>
          <w:rFonts w:ascii="Arial" w:hAnsi="Arial" w:cs="Arial"/>
        </w:rPr>
      </w:pPr>
    </w:p>
    <w:p w14:paraId="081330BC" w14:textId="77777777" w:rsidR="008C19DC" w:rsidRPr="00BF1719" w:rsidRDefault="008C19DC" w:rsidP="008C19DC">
      <w:pPr>
        <w:tabs>
          <w:tab w:val="left" w:pos="1008"/>
        </w:tabs>
        <w:rPr>
          <w:rFonts w:ascii="Arial" w:hAnsi="Arial" w:cs="Arial"/>
        </w:rPr>
      </w:pPr>
      <w:r w:rsidRPr="00BF1719">
        <w:rPr>
          <w:rFonts w:ascii="Arial" w:hAnsi="Arial" w:cs="Arial"/>
        </w:rPr>
        <w:tab/>
      </w:r>
      <w:r w:rsidRPr="00BF1719">
        <w:rPr>
          <w:rFonts w:ascii="Arial" w:hAnsi="Arial" w:cs="Arial"/>
          <w:noProof/>
        </w:rPr>
        <w:drawing>
          <wp:inline distT="0" distB="0" distL="0" distR="0" wp14:anchorId="287F058A" wp14:editId="2C0437DB">
            <wp:extent cx="3411110" cy="2327978"/>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29640" cy="2477118"/>
                    </a:xfrm>
                    <a:prstGeom prst="rect">
                      <a:avLst/>
                    </a:prstGeom>
                  </pic:spPr>
                </pic:pic>
              </a:graphicData>
            </a:graphic>
          </wp:inline>
        </w:drawing>
      </w:r>
    </w:p>
    <w:p w14:paraId="634144C2" w14:textId="77777777" w:rsidR="008C19DC" w:rsidRPr="00BF1719" w:rsidRDefault="008C19DC" w:rsidP="008C19DC">
      <w:pPr>
        <w:spacing w:after="200" w:line="360" w:lineRule="auto"/>
        <w:rPr>
          <w:rFonts w:ascii="Arial" w:hAnsi="Arial" w:cs="Arial"/>
          <w:lang w:eastAsia="fr-FR"/>
        </w:rPr>
      </w:pPr>
      <w:r w:rsidRPr="00BF1719">
        <w:rPr>
          <w:rFonts w:ascii="Arial" w:hAnsi="Arial" w:cs="Arial"/>
        </w:rPr>
        <w:t xml:space="preserve">              </w:t>
      </w:r>
      <w:r w:rsidRPr="00BF1719">
        <w:rPr>
          <w:rFonts w:ascii="Arial" w:hAnsi="Arial" w:cs="Arial"/>
          <w:b/>
          <w:lang w:eastAsia="fr-FR"/>
        </w:rPr>
        <w:t>Figure 5.</w:t>
      </w:r>
      <w:r w:rsidRPr="00BF1719">
        <w:rPr>
          <w:rFonts w:ascii="Arial" w:hAnsi="Arial" w:cs="Arial"/>
          <w:lang w:eastAsia="fr-FR"/>
        </w:rPr>
        <w:t xml:space="preserve"> Comparison of methane volumes estimated by </w:t>
      </w:r>
      <w:proofErr w:type="spellStart"/>
      <w:r w:rsidRPr="00BF1719">
        <w:rPr>
          <w:rFonts w:ascii="Arial" w:hAnsi="Arial" w:cs="Arial"/>
          <w:lang w:eastAsia="fr-FR"/>
        </w:rPr>
        <w:t>LandGEM</w:t>
      </w:r>
      <w:proofErr w:type="spellEnd"/>
      <w:r w:rsidRPr="00BF1719">
        <w:rPr>
          <w:rFonts w:ascii="Arial" w:hAnsi="Arial" w:cs="Arial"/>
          <w:lang w:eastAsia="fr-FR"/>
        </w:rPr>
        <w:t xml:space="preserve"> and IPCC models</w:t>
      </w:r>
    </w:p>
    <w:p w14:paraId="59F7A39C" w14:textId="77777777" w:rsidR="008C19DC" w:rsidRPr="00BF1719" w:rsidRDefault="008C19DC" w:rsidP="008C19DC">
      <w:pPr>
        <w:widowControl w:val="0"/>
        <w:autoSpaceDE w:val="0"/>
        <w:autoSpaceDN w:val="0"/>
        <w:spacing w:before="199" w:line="360" w:lineRule="auto"/>
        <w:ind w:firstLine="710"/>
        <w:jc w:val="both"/>
        <w:rPr>
          <w:rFonts w:ascii="Arial" w:hAnsi="Arial" w:cs="Arial"/>
        </w:rPr>
      </w:pPr>
      <w:r w:rsidRPr="00BF1719">
        <w:rPr>
          <w:rFonts w:ascii="Arial" w:hAnsi="Arial" w:cs="Arial"/>
          <w:b/>
          <w:lang w:eastAsia="fr-FR"/>
        </w:rPr>
        <w:tab/>
      </w:r>
      <w:r w:rsidRPr="00BF1719">
        <w:rPr>
          <w:rFonts w:ascii="Arial" w:hAnsi="Arial" w:cs="Arial"/>
        </w:rPr>
        <w:t xml:space="preserve">Maximum estimated methane volumes were obtained in 2019 for both models. They are 4.2×107m3and 9.4×107m3 respectively for the </w:t>
      </w:r>
      <w:proofErr w:type="spellStart"/>
      <w:r w:rsidRPr="00BF1719">
        <w:rPr>
          <w:rFonts w:ascii="Arial" w:hAnsi="Arial" w:cs="Arial"/>
        </w:rPr>
        <w:t>LandGEM</w:t>
      </w:r>
      <w:proofErr w:type="spellEnd"/>
      <w:r w:rsidRPr="00BF1719">
        <w:rPr>
          <w:rFonts w:ascii="Arial" w:hAnsi="Arial" w:cs="Arial"/>
        </w:rPr>
        <w:t xml:space="preserve"> and IPCC models. The IPCC model maximum is more than double that of the </w:t>
      </w:r>
      <w:proofErr w:type="spellStart"/>
      <w:r w:rsidRPr="00BF1719">
        <w:rPr>
          <w:rFonts w:ascii="Arial" w:hAnsi="Arial" w:cs="Arial"/>
        </w:rPr>
        <w:t>LandGEM</w:t>
      </w:r>
      <w:proofErr w:type="spellEnd"/>
      <w:r w:rsidRPr="00BF1719">
        <w:rPr>
          <w:rFonts w:ascii="Arial" w:hAnsi="Arial" w:cs="Arial"/>
        </w:rPr>
        <w:t xml:space="preserve"> model. For the period 2009 to 2026, methane volumes estimated by the IPCC model are higher than those estimated by the </w:t>
      </w:r>
      <w:proofErr w:type="spellStart"/>
      <w:r w:rsidRPr="00BF1719">
        <w:rPr>
          <w:rFonts w:ascii="Arial" w:hAnsi="Arial" w:cs="Arial"/>
        </w:rPr>
        <w:t>LandGEM</w:t>
      </w:r>
      <w:proofErr w:type="spellEnd"/>
      <w:r w:rsidRPr="00BF1719">
        <w:rPr>
          <w:rFonts w:ascii="Arial" w:hAnsi="Arial" w:cs="Arial"/>
        </w:rPr>
        <w:t xml:space="preserve"> model. However, they are lower than those estimated by the </w:t>
      </w:r>
      <w:proofErr w:type="spellStart"/>
      <w:r w:rsidRPr="00BF1719">
        <w:rPr>
          <w:rFonts w:ascii="Arial" w:hAnsi="Arial" w:cs="Arial"/>
        </w:rPr>
        <w:t>LandGEM</w:t>
      </w:r>
      <w:proofErr w:type="spellEnd"/>
      <w:r w:rsidRPr="00BF1719">
        <w:rPr>
          <w:rFonts w:ascii="Arial" w:hAnsi="Arial" w:cs="Arial"/>
        </w:rPr>
        <w:t xml:space="preserve"> model for the period 2026 to 2056. There is a significant difference between the methane volumes estimated by the two different models. The IPCC model tends to overestimate biogas volumes compared with the </w:t>
      </w:r>
      <w:proofErr w:type="spellStart"/>
      <w:r w:rsidRPr="00BF1719">
        <w:rPr>
          <w:rFonts w:ascii="Arial" w:hAnsi="Arial" w:cs="Arial"/>
        </w:rPr>
        <w:t>LandGEM</w:t>
      </w:r>
      <w:proofErr w:type="spellEnd"/>
      <w:r w:rsidRPr="00BF1719">
        <w:rPr>
          <w:rFonts w:ascii="Arial" w:hAnsi="Arial" w:cs="Arial"/>
        </w:rPr>
        <w:t xml:space="preserve"> model.</w:t>
      </w:r>
    </w:p>
    <w:p w14:paraId="0C4C8F69" w14:textId="77777777" w:rsidR="008C19DC" w:rsidRPr="00BF1719" w:rsidRDefault="008C19DC" w:rsidP="008C19DC">
      <w:pPr>
        <w:widowControl w:val="0"/>
        <w:autoSpaceDE w:val="0"/>
        <w:autoSpaceDN w:val="0"/>
        <w:spacing w:line="360" w:lineRule="auto"/>
        <w:ind w:firstLine="710"/>
        <w:jc w:val="both"/>
        <w:rPr>
          <w:rFonts w:ascii="Arial" w:hAnsi="Arial" w:cs="Arial"/>
          <w:b/>
        </w:rPr>
      </w:pPr>
      <w:r w:rsidRPr="00BF1719">
        <w:rPr>
          <w:rFonts w:ascii="Arial" w:hAnsi="Arial" w:cs="Arial"/>
          <w:b/>
          <w:lang w:eastAsia="fr-FR"/>
        </w:rPr>
        <w:tab/>
      </w:r>
      <w:r w:rsidRPr="00BF1719">
        <w:rPr>
          <w:rFonts w:ascii="Arial" w:hAnsi="Arial" w:cs="Arial"/>
        </w:rPr>
        <w:t xml:space="preserve">The methane volumes overestimated by the IPCC model compared with other models could be explained by the fact that the IPCC model takes into account higher quantities of organic carbon, unlike the </w:t>
      </w:r>
      <w:proofErr w:type="spellStart"/>
      <w:r w:rsidRPr="00BF1719">
        <w:rPr>
          <w:rFonts w:ascii="Arial" w:hAnsi="Arial" w:cs="Arial"/>
        </w:rPr>
        <w:t>LandGEM</w:t>
      </w:r>
      <w:proofErr w:type="spellEnd"/>
      <w:r w:rsidRPr="00BF1719">
        <w:rPr>
          <w:rFonts w:ascii="Arial" w:hAnsi="Arial" w:cs="Arial"/>
        </w:rPr>
        <w:t xml:space="preserve"> model (</w:t>
      </w:r>
      <w:r w:rsidRPr="00BF1719">
        <w:rPr>
          <w:rFonts w:ascii="Arial" w:hAnsi="Arial" w:cs="Arial"/>
          <w:b/>
          <w:bCs/>
        </w:rPr>
        <w:t>Scharff &amp; Jacobs, 2006</w:t>
      </w:r>
      <w:r w:rsidRPr="00BF1719">
        <w:rPr>
          <w:rFonts w:ascii="Arial" w:hAnsi="Arial" w:cs="Arial"/>
        </w:rPr>
        <w:t>).</w:t>
      </w:r>
    </w:p>
    <w:p w14:paraId="70266CA8" w14:textId="77777777" w:rsidR="008C19DC" w:rsidRPr="00BF1719" w:rsidRDefault="008C19DC" w:rsidP="008C19DC">
      <w:pPr>
        <w:tabs>
          <w:tab w:val="left" w:pos="1617"/>
        </w:tabs>
        <w:spacing w:line="360" w:lineRule="auto"/>
        <w:jc w:val="both"/>
        <w:rPr>
          <w:rFonts w:ascii="Arial" w:hAnsi="Arial" w:cs="Arial"/>
          <w:b/>
          <w:lang w:eastAsia="fr-FR"/>
        </w:rPr>
      </w:pPr>
      <w:r w:rsidRPr="00BF1719">
        <w:rPr>
          <w:rFonts w:ascii="Arial" w:hAnsi="Arial" w:cs="Arial"/>
          <w:b/>
          <w:lang w:eastAsia="fr-FR"/>
        </w:rPr>
        <w:tab/>
      </w:r>
      <w:r w:rsidRPr="00BF1719">
        <w:rPr>
          <w:rFonts w:ascii="Arial" w:hAnsi="Arial" w:cs="Arial"/>
        </w:rPr>
        <w:t xml:space="preserve">The </w:t>
      </w:r>
      <w:proofErr w:type="spellStart"/>
      <w:r w:rsidRPr="00BF1719">
        <w:rPr>
          <w:rFonts w:ascii="Arial" w:hAnsi="Arial" w:cs="Arial"/>
        </w:rPr>
        <w:t>LandGEM</w:t>
      </w:r>
      <w:proofErr w:type="spellEnd"/>
      <w:r w:rsidRPr="00BF1719">
        <w:rPr>
          <w:rFonts w:ascii="Arial" w:hAnsi="Arial" w:cs="Arial"/>
        </w:rPr>
        <w:t xml:space="preserve"> model estimates the volume of methane generated, assuming that all waste is considered municipal solid waste. The </w:t>
      </w:r>
      <w:proofErr w:type="spellStart"/>
      <w:r w:rsidRPr="00BF1719">
        <w:rPr>
          <w:rFonts w:ascii="Arial" w:hAnsi="Arial" w:cs="Arial"/>
        </w:rPr>
        <w:t>LandGEM</w:t>
      </w:r>
      <w:proofErr w:type="spellEnd"/>
      <w:r w:rsidRPr="00BF1719">
        <w:rPr>
          <w:rFonts w:ascii="Arial" w:hAnsi="Arial" w:cs="Arial"/>
        </w:rPr>
        <w:t xml:space="preserve"> model has a </w:t>
      </w:r>
      <w:r w:rsidRPr="00BF1719">
        <w:rPr>
          <w:rFonts w:ascii="Arial" w:hAnsi="Arial" w:cs="Arial"/>
        </w:rPr>
        <w:lastRenderedPageBreak/>
        <w:t xml:space="preserve">limited number of parameters. However, all organic carbon present in waste is assumed to be potentially converted, which is not realistic </w:t>
      </w:r>
      <w:r w:rsidRPr="00BF1719">
        <w:rPr>
          <w:rFonts w:ascii="Arial" w:hAnsi="Arial" w:cs="Arial"/>
          <w:b/>
          <w:bCs/>
        </w:rPr>
        <w:t>(Scharff &amp; Jacobs, 2006)</w:t>
      </w:r>
      <w:r w:rsidRPr="00BF1719">
        <w:rPr>
          <w:rFonts w:ascii="Arial" w:hAnsi="Arial" w:cs="Arial"/>
        </w:rPr>
        <w:t xml:space="preserve">. The IPCC model (like the </w:t>
      </w:r>
      <w:proofErr w:type="spellStart"/>
      <w:r w:rsidRPr="00BF1719">
        <w:rPr>
          <w:rFonts w:ascii="Arial" w:hAnsi="Arial" w:cs="Arial"/>
        </w:rPr>
        <w:t>LandGEM</w:t>
      </w:r>
      <w:proofErr w:type="spellEnd"/>
      <w:r w:rsidRPr="00BF1719">
        <w:rPr>
          <w:rFonts w:ascii="Arial" w:hAnsi="Arial" w:cs="Arial"/>
        </w:rPr>
        <w:t xml:space="preserve"> model) implicitly considers waste quality (moisture content, age of waste) and landfill condition (temperature, precipitation).</w:t>
      </w:r>
    </w:p>
    <w:p w14:paraId="0D236E1B" w14:textId="77777777" w:rsidR="008C19DC" w:rsidRPr="00BF1719" w:rsidRDefault="008C19DC" w:rsidP="008C19DC">
      <w:pPr>
        <w:tabs>
          <w:tab w:val="left" w:pos="1207"/>
        </w:tabs>
        <w:spacing w:line="360" w:lineRule="auto"/>
        <w:jc w:val="both"/>
        <w:rPr>
          <w:rFonts w:ascii="Arial" w:hAnsi="Arial" w:cs="Arial"/>
        </w:rPr>
      </w:pPr>
      <w:r w:rsidRPr="00BF1719">
        <w:rPr>
          <w:rFonts w:ascii="Arial" w:hAnsi="Arial" w:cs="Arial"/>
        </w:rPr>
        <w:tab/>
        <w:t xml:space="preserve">The </w:t>
      </w:r>
      <w:proofErr w:type="spellStart"/>
      <w:r w:rsidRPr="00BF1719">
        <w:rPr>
          <w:rFonts w:ascii="Arial" w:hAnsi="Arial" w:cs="Arial"/>
        </w:rPr>
        <w:t>LandGEM</w:t>
      </w:r>
      <w:proofErr w:type="spellEnd"/>
      <w:r w:rsidRPr="00BF1719">
        <w:rPr>
          <w:rFonts w:ascii="Arial" w:hAnsi="Arial" w:cs="Arial"/>
        </w:rPr>
        <w:t xml:space="preserve"> model estimates the volume of methane generated, assuming that all waste is considered municipal solid waste. The </w:t>
      </w:r>
      <w:proofErr w:type="spellStart"/>
      <w:r w:rsidRPr="00BF1719">
        <w:rPr>
          <w:rFonts w:ascii="Arial" w:hAnsi="Arial" w:cs="Arial"/>
        </w:rPr>
        <w:t>LandGEM</w:t>
      </w:r>
      <w:proofErr w:type="spellEnd"/>
      <w:r w:rsidRPr="00BF1719">
        <w:rPr>
          <w:rFonts w:ascii="Arial" w:hAnsi="Arial" w:cs="Arial"/>
        </w:rPr>
        <w:t xml:space="preserve"> model has a limited number of parameters. However, all organic carbon present in waste is assumed to be potentially converted, which is not realistic </w:t>
      </w:r>
      <w:r w:rsidRPr="00BF1719">
        <w:rPr>
          <w:rFonts w:ascii="Arial" w:hAnsi="Arial" w:cs="Arial"/>
          <w:b/>
          <w:bCs/>
        </w:rPr>
        <w:t>(Scharff &amp; Jacobs, 2006)</w:t>
      </w:r>
      <w:r w:rsidRPr="00BF1719">
        <w:rPr>
          <w:rFonts w:ascii="Arial" w:hAnsi="Arial" w:cs="Arial"/>
        </w:rPr>
        <w:t xml:space="preserve">. The IPCC model (like the </w:t>
      </w:r>
      <w:proofErr w:type="spellStart"/>
      <w:r w:rsidRPr="00BF1719">
        <w:rPr>
          <w:rFonts w:ascii="Arial" w:hAnsi="Arial" w:cs="Arial"/>
        </w:rPr>
        <w:t>LandGEM</w:t>
      </w:r>
      <w:proofErr w:type="spellEnd"/>
      <w:r w:rsidRPr="00BF1719">
        <w:rPr>
          <w:rFonts w:ascii="Arial" w:hAnsi="Arial" w:cs="Arial"/>
        </w:rPr>
        <w:t xml:space="preserve"> model) implicitly considers waste quality (moisture content, age of waste) and landfill condition (temperature, precipitation).</w:t>
      </w:r>
    </w:p>
    <w:p w14:paraId="2343CC11" w14:textId="77777777" w:rsidR="008C19DC" w:rsidRPr="00540789" w:rsidRDefault="008C19DC" w:rsidP="008C19DC">
      <w:pPr>
        <w:tabs>
          <w:tab w:val="left" w:pos="1207"/>
        </w:tabs>
        <w:spacing w:line="360" w:lineRule="auto"/>
        <w:jc w:val="both"/>
        <w:rPr>
          <w:rFonts w:ascii="Arial" w:hAnsi="Arial" w:cs="Arial"/>
        </w:rPr>
      </w:pPr>
      <w:r w:rsidRPr="00BF1719">
        <w:rPr>
          <w:rFonts w:ascii="Arial" w:hAnsi="Arial" w:cs="Arial"/>
        </w:rPr>
        <w:tab/>
        <w:t>The various methane flow rates estimated in this study were compared with those obtained in other studies (</w:t>
      </w:r>
      <w:r w:rsidRPr="00BF1719">
        <w:rPr>
          <w:rFonts w:ascii="Arial" w:hAnsi="Arial" w:cs="Arial"/>
          <w:b/>
          <w:bCs/>
        </w:rPr>
        <w:t>Table 3</w:t>
      </w:r>
      <w:r w:rsidRPr="00BF1719">
        <w:rPr>
          <w:rFonts w:ascii="Arial" w:hAnsi="Arial" w:cs="Arial"/>
        </w:rPr>
        <w:t>).</w:t>
      </w:r>
    </w:p>
    <w:p w14:paraId="7AF85BDF" w14:textId="77777777" w:rsidR="008C19DC" w:rsidRPr="00BF1719" w:rsidRDefault="008C19DC" w:rsidP="008C19DC">
      <w:pPr>
        <w:pStyle w:val="NormalWeb"/>
        <w:spacing w:before="0" w:beforeAutospacing="0" w:after="0" w:afterAutospacing="0"/>
        <w:rPr>
          <w:rFonts w:ascii="Arial" w:hAnsi="Arial" w:cs="Arial"/>
          <w:sz w:val="20"/>
          <w:szCs w:val="20"/>
          <w:lang w:val="en-US"/>
        </w:rPr>
      </w:pPr>
      <w:r>
        <w:rPr>
          <w:rFonts w:ascii="Arial" w:hAnsi="Arial" w:cs="Arial"/>
          <w:sz w:val="20"/>
          <w:szCs w:val="20"/>
          <w:lang w:val="en-US"/>
        </w:rPr>
        <w:t xml:space="preserve">                                       </w:t>
      </w:r>
      <w:r w:rsidRPr="00BF1719">
        <w:rPr>
          <w:rFonts w:ascii="Arial" w:hAnsi="Arial" w:cs="Arial"/>
          <w:sz w:val="20"/>
          <w:szCs w:val="20"/>
          <w:lang w:val="en-US"/>
        </w:rPr>
        <w:t xml:space="preserve"> </w:t>
      </w:r>
      <w:r w:rsidRPr="00BF1719">
        <w:rPr>
          <w:rFonts w:ascii="Arial" w:hAnsi="Arial" w:cs="Arial"/>
          <w:b/>
          <w:sz w:val="20"/>
          <w:szCs w:val="20"/>
          <w:lang w:val="en-US"/>
        </w:rPr>
        <w:t>Table</w:t>
      </w:r>
      <w:r>
        <w:rPr>
          <w:rFonts w:ascii="Arial" w:hAnsi="Arial" w:cs="Arial"/>
          <w:b/>
          <w:sz w:val="20"/>
          <w:szCs w:val="20"/>
          <w:lang w:val="en-US"/>
        </w:rPr>
        <w:t xml:space="preserve"> </w:t>
      </w:r>
      <w:r w:rsidRPr="00BF1719">
        <w:rPr>
          <w:rFonts w:ascii="Arial" w:hAnsi="Arial" w:cs="Arial"/>
          <w:b/>
          <w:sz w:val="20"/>
          <w:szCs w:val="20"/>
          <w:lang w:val="en-US"/>
        </w:rPr>
        <w:t>3</w:t>
      </w:r>
      <w:r w:rsidRPr="00BF1719">
        <w:rPr>
          <w:rFonts w:ascii="Arial" w:hAnsi="Arial" w:cs="Arial"/>
          <w:b/>
          <w:spacing w:val="-3"/>
          <w:sz w:val="20"/>
          <w:szCs w:val="20"/>
          <w:lang w:val="en-US"/>
        </w:rPr>
        <w:t>:</w:t>
      </w:r>
      <w:r w:rsidRPr="00BF1719">
        <w:rPr>
          <w:rFonts w:ascii="Arial" w:hAnsi="Arial" w:cs="Arial"/>
          <w:sz w:val="20"/>
          <w:szCs w:val="20"/>
          <w:lang w:val="en-US"/>
        </w:rPr>
        <w:t xml:space="preserve"> Comparison of methane flow rates</w:t>
      </w:r>
    </w:p>
    <w:p w14:paraId="24E986F4" w14:textId="77777777" w:rsidR="008C19DC" w:rsidRPr="00BF1719" w:rsidRDefault="008C19DC" w:rsidP="008C19DC">
      <w:pPr>
        <w:widowControl w:val="0"/>
        <w:autoSpaceDE w:val="0"/>
        <w:autoSpaceDN w:val="0"/>
        <w:rPr>
          <w:rFonts w:ascii="Arial" w:hAnsi="Arial" w:cs="Arial"/>
        </w:rPr>
      </w:pPr>
    </w:p>
    <w:tbl>
      <w:tblPr>
        <w:tblStyle w:val="TableNormal1"/>
        <w:tblW w:w="9356" w:type="dxa"/>
        <w:tblLayout w:type="fixed"/>
        <w:tblLook w:val="01E0" w:firstRow="1" w:lastRow="1" w:firstColumn="1" w:lastColumn="1" w:noHBand="0" w:noVBand="0"/>
      </w:tblPr>
      <w:tblGrid>
        <w:gridCol w:w="2694"/>
        <w:gridCol w:w="1275"/>
        <w:gridCol w:w="1560"/>
        <w:gridCol w:w="2126"/>
        <w:gridCol w:w="1701"/>
      </w:tblGrid>
      <w:tr w:rsidR="008C19DC" w:rsidRPr="00BF1719" w14:paraId="42DE4F91" w14:textId="77777777" w:rsidTr="008C19DC">
        <w:trPr>
          <w:trHeight w:val="412"/>
        </w:trPr>
        <w:tc>
          <w:tcPr>
            <w:tcW w:w="2694" w:type="dxa"/>
            <w:tcBorders>
              <w:top w:val="single" w:sz="18" w:space="0" w:color="000000"/>
              <w:bottom w:val="single" w:sz="18" w:space="0" w:color="000000"/>
            </w:tcBorders>
          </w:tcPr>
          <w:p w14:paraId="2DEB0BBE" w14:textId="77777777" w:rsidR="008C19DC" w:rsidRPr="00BF1719" w:rsidRDefault="008C19DC" w:rsidP="008C19DC">
            <w:pPr>
              <w:ind w:left="113"/>
              <w:rPr>
                <w:rFonts w:ascii="Arial" w:eastAsia="Times New Roman" w:hAnsi="Arial" w:cs="Arial"/>
                <w:sz w:val="20"/>
                <w:szCs w:val="20"/>
              </w:rPr>
            </w:pPr>
            <w:r w:rsidRPr="00BF1719">
              <w:rPr>
                <w:rFonts w:ascii="Arial" w:eastAsia="Times New Roman" w:hAnsi="Arial" w:cs="Arial"/>
                <w:spacing w:val="-2"/>
                <w:sz w:val="20"/>
                <w:szCs w:val="20"/>
              </w:rPr>
              <w:t>Authors</w:t>
            </w:r>
          </w:p>
        </w:tc>
        <w:tc>
          <w:tcPr>
            <w:tcW w:w="1275" w:type="dxa"/>
            <w:tcBorders>
              <w:top w:val="single" w:sz="18" w:space="0" w:color="000000"/>
              <w:bottom w:val="single" w:sz="18" w:space="0" w:color="000000"/>
            </w:tcBorders>
          </w:tcPr>
          <w:p w14:paraId="2D2E4E58" w14:textId="77777777" w:rsidR="008C19DC" w:rsidRPr="00BF1719" w:rsidRDefault="008C19DC" w:rsidP="008C19DC">
            <w:pPr>
              <w:ind w:left="305"/>
              <w:rPr>
                <w:rFonts w:ascii="Arial" w:eastAsia="Times New Roman" w:hAnsi="Arial" w:cs="Arial"/>
                <w:sz w:val="20"/>
                <w:szCs w:val="20"/>
              </w:rPr>
            </w:pPr>
            <w:r w:rsidRPr="00BF1719">
              <w:rPr>
                <w:rFonts w:ascii="Arial" w:eastAsia="Times New Roman" w:hAnsi="Arial" w:cs="Arial"/>
                <w:spacing w:val="-2"/>
                <w:sz w:val="20"/>
                <w:szCs w:val="20"/>
              </w:rPr>
              <w:t>Year</w:t>
            </w:r>
          </w:p>
        </w:tc>
        <w:tc>
          <w:tcPr>
            <w:tcW w:w="1560" w:type="dxa"/>
            <w:tcBorders>
              <w:top w:val="single" w:sz="18" w:space="0" w:color="000000"/>
              <w:bottom w:val="single" w:sz="18" w:space="0" w:color="000000"/>
            </w:tcBorders>
          </w:tcPr>
          <w:p w14:paraId="64804309" w14:textId="77777777" w:rsidR="008C19DC" w:rsidRPr="00BF1719" w:rsidRDefault="008C19DC" w:rsidP="008C19DC">
            <w:pPr>
              <w:ind w:left="113"/>
              <w:rPr>
                <w:rFonts w:ascii="Arial" w:eastAsia="Times New Roman" w:hAnsi="Arial" w:cs="Arial"/>
                <w:spacing w:val="-2"/>
                <w:sz w:val="20"/>
                <w:szCs w:val="20"/>
              </w:rPr>
            </w:pPr>
            <w:r w:rsidRPr="00BF1719">
              <w:rPr>
                <w:rFonts w:ascii="Arial" w:eastAsia="Times New Roman" w:hAnsi="Arial" w:cs="Arial"/>
                <w:sz w:val="20"/>
                <w:szCs w:val="20"/>
              </w:rPr>
              <w:t xml:space="preserve">Study </w:t>
            </w:r>
            <w:r w:rsidRPr="00BF1719">
              <w:rPr>
                <w:rFonts w:ascii="Arial" w:eastAsia="Times New Roman" w:hAnsi="Arial" w:cs="Arial"/>
                <w:spacing w:val="-2"/>
                <w:sz w:val="20"/>
                <w:szCs w:val="20"/>
              </w:rPr>
              <w:t>area</w:t>
            </w:r>
          </w:p>
          <w:p w14:paraId="27988B89" w14:textId="77777777" w:rsidR="008C19DC" w:rsidRPr="00BF1719" w:rsidRDefault="008C19DC" w:rsidP="008C19DC">
            <w:pPr>
              <w:ind w:left="113"/>
              <w:rPr>
                <w:rFonts w:ascii="Arial" w:eastAsia="Times New Roman" w:hAnsi="Arial" w:cs="Arial"/>
                <w:sz w:val="20"/>
                <w:szCs w:val="20"/>
              </w:rPr>
            </w:pPr>
          </w:p>
        </w:tc>
        <w:tc>
          <w:tcPr>
            <w:tcW w:w="2126" w:type="dxa"/>
            <w:tcBorders>
              <w:top w:val="single" w:sz="18" w:space="0" w:color="000000"/>
              <w:bottom w:val="single" w:sz="18" w:space="0" w:color="000000"/>
            </w:tcBorders>
          </w:tcPr>
          <w:p w14:paraId="222DC363" w14:textId="77777777" w:rsidR="008C19DC" w:rsidRPr="00BF1719" w:rsidRDefault="008C19DC" w:rsidP="008C19DC">
            <w:pPr>
              <w:ind w:left="213"/>
              <w:rPr>
                <w:rFonts w:ascii="Arial" w:eastAsia="Times New Roman" w:hAnsi="Arial" w:cs="Arial"/>
                <w:position w:val="2"/>
                <w:sz w:val="20"/>
                <w:szCs w:val="20"/>
              </w:rPr>
            </w:pPr>
            <w:r w:rsidRPr="00BF1719">
              <w:rPr>
                <w:rFonts w:ascii="Arial" w:eastAsia="Times New Roman" w:hAnsi="Arial" w:cs="Arial"/>
                <w:position w:val="2"/>
                <w:sz w:val="20"/>
                <w:szCs w:val="20"/>
              </w:rPr>
              <w:t>Maximum CH</w:t>
            </w:r>
            <w:r w:rsidRPr="00BF1719">
              <w:rPr>
                <w:rFonts w:ascii="Arial" w:eastAsia="Times New Roman" w:hAnsi="Arial" w:cs="Arial"/>
                <w:position w:val="2"/>
                <w:sz w:val="20"/>
                <w:szCs w:val="20"/>
                <w:vertAlign w:val="subscript"/>
              </w:rPr>
              <w:t xml:space="preserve">4 </w:t>
            </w:r>
            <w:r w:rsidRPr="00BF1719">
              <w:rPr>
                <w:rFonts w:ascii="Arial" w:eastAsia="Times New Roman" w:hAnsi="Arial" w:cs="Arial"/>
                <w:position w:val="2"/>
                <w:sz w:val="20"/>
                <w:szCs w:val="20"/>
              </w:rPr>
              <w:t>flow</w:t>
            </w:r>
          </w:p>
          <w:p w14:paraId="50AD84C8" w14:textId="77777777" w:rsidR="008C19DC" w:rsidRPr="00BF1719" w:rsidRDefault="008C19DC" w:rsidP="008C19DC">
            <w:pPr>
              <w:ind w:left="213"/>
              <w:rPr>
                <w:rFonts w:ascii="Arial" w:eastAsia="Times New Roman" w:hAnsi="Arial" w:cs="Arial"/>
                <w:position w:val="2"/>
                <w:sz w:val="20"/>
                <w:szCs w:val="20"/>
              </w:rPr>
            </w:pPr>
            <w:r w:rsidRPr="00BF1719">
              <w:rPr>
                <w:rFonts w:ascii="Arial" w:eastAsia="Times New Roman" w:hAnsi="Arial" w:cs="Arial"/>
                <w:position w:val="2"/>
                <w:sz w:val="20"/>
                <w:szCs w:val="20"/>
              </w:rPr>
              <w:t xml:space="preserve"> rate </w:t>
            </w:r>
            <w:r w:rsidRPr="00BF1719">
              <w:rPr>
                <w:rFonts w:ascii="Arial" w:eastAsia="Times New Roman" w:hAnsi="Arial" w:cs="Arial"/>
                <w:spacing w:val="-2"/>
                <w:position w:val="2"/>
                <w:sz w:val="20"/>
                <w:szCs w:val="20"/>
              </w:rPr>
              <w:t>(m</w:t>
            </w:r>
            <w:r w:rsidRPr="00BF1719">
              <w:rPr>
                <w:rFonts w:ascii="Arial" w:eastAsia="Times New Roman" w:hAnsi="Arial" w:cs="Arial"/>
                <w:spacing w:val="-2"/>
                <w:position w:val="2"/>
                <w:sz w:val="20"/>
                <w:szCs w:val="20"/>
                <w:vertAlign w:val="superscript"/>
              </w:rPr>
              <w:t>3</w:t>
            </w:r>
            <w:r w:rsidRPr="00BF1719">
              <w:rPr>
                <w:rFonts w:ascii="Arial" w:eastAsia="Times New Roman" w:hAnsi="Arial" w:cs="Arial"/>
                <w:spacing w:val="-2"/>
                <w:position w:val="2"/>
                <w:sz w:val="20"/>
                <w:szCs w:val="20"/>
              </w:rPr>
              <w:t>/h)</w:t>
            </w:r>
          </w:p>
        </w:tc>
        <w:tc>
          <w:tcPr>
            <w:tcW w:w="1701" w:type="dxa"/>
            <w:tcBorders>
              <w:top w:val="single" w:sz="18" w:space="0" w:color="000000"/>
              <w:bottom w:val="single" w:sz="18" w:space="0" w:color="000000"/>
            </w:tcBorders>
          </w:tcPr>
          <w:p w14:paraId="2BCBC200" w14:textId="77777777" w:rsidR="008C19DC" w:rsidRPr="00BF1719" w:rsidRDefault="008C19DC" w:rsidP="008C19DC">
            <w:pPr>
              <w:ind w:left="133"/>
              <w:rPr>
                <w:rFonts w:ascii="Arial" w:eastAsia="Times New Roman" w:hAnsi="Arial" w:cs="Arial"/>
                <w:sz w:val="20"/>
                <w:szCs w:val="20"/>
              </w:rPr>
            </w:pPr>
            <w:r w:rsidRPr="00BF1719">
              <w:rPr>
                <w:rFonts w:ascii="Arial" w:eastAsia="Times New Roman" w:hAnsi="Arial" w:cs="Arial"/>
                <w:sz w:val="20"/>
                <w:szCs w:val="20"/>
              </w:rPr>
              <w:t xml:space="preserve">MSW mass </w:t>
            </w:r>
            <w:r w:rsidRPr="00BF1719">
              <w:rPr>
                <w:rFonts w:ascii="Arial" w:eastAsia="Times New Roman" w:hAnsi="Arial" w:cs="Arial"/>
                <w:spacing w:val="-5"/>
                <w:sz w:val="20"/>
                <w:szCs w:val="20"/>
              </w:rPr>
              <w:t>(t)</w:t>
            </w:r>
          </w:p>
        </w:tc>
      </w:tr>
      <w:tr w:rsidR="008C19DC" w:rsidRPr="00BF1719" w14:paraId="52BC1F70" w14:textId="77777777" w:rsidTr="008C19DC">
        <w:trPr>
          <w:trHeight w:val="353"/>
        </w:trPr>
        <w:tc>
          <w:tcPr>
            <w:tcW w:w="2694" w:type="dxa"/>
            <w:tcBorders>
              <w:top w:val="single" w:sz="18" w:space="0" w:color="000000"/>
            </w:tcBorders>
          </w:tcPr>
          <w:p w14:paraId="659F5826" w14:textId="77777777" w:rsidR="008C19DC" w:rsidRPr="00BF1719" w:rsidRDefault="008C19DC" w:rsidP="008C19DC">
            <w:pPr>
              <w:spacing w:before="6"/>
              <w:ind w:left="113"/>
              <w:rPr>
                <w:rFonts w:ascii="Arial" w:eastAsia="Times New Roman" w:hAnsi="Arial" w:cs="Arial"/>
                <w:sz w:val="20"/>
                <w:szCs w:val="20"/>
              </w:rPr>
            </w:pPr>
            <w:r w:rsidRPr="00BF1719">
              <w:rPr>
                <w:rFonts w:ascii="Arial" w:eastAsia="Times New Roman" w:hAnsi="Arial" w:cs="Arial"/>
                <w:spacing w:val="-2"/>
                <w:sz w:val="20"/>
                <w:szCs w:val="20"/>
              </w:rPr>
              <w:t>present study</w:t>
            </w:r>
          </w:p>
        </w:tc>
        <w:tc>
          <w:tcPr>
            <w:tcW w:w="1275" w:type="dxa"/>
            <w:tcBorders>
              <w:top w:val="single" w:sz="18" w:space="0" w:color="000000"/>
            </w:tcBorders>
          </w:tcPr>
          <w:p w14:paraId="2D0587EB" w14:textId="77777777" w:rsidR="008C19DC" w:rsidRPr="00BF1719" w:rsidRDefault="008C19DC" w:rsidP="008C19DC">
            <w:pPr>
              <w:spacing w:before="6"/>
              <w:ind w:left="305"/>
              <w:rPr>
                <w:rFonts w:ascii="Arial" w:eastAsia="Times New Roman" w:hAnsi="Arial" w:cs="Arial"/>
                <w:sz w:val="20"/>
                <w:szCs w:val="20"/>
              </w:rPr>
            </w:pPr>
            <w:r w:rsidRPr="00BF1719">
              <w:rPr>
                <w:rFonts w:ascii="Arial" w:eastAsia="Times New Roman" w:hAnsi="Arial" w:cs="Arial"/>
                <w:spacing w:val="-4"/>
                <w:sz w:val="20"/>
                <w:szCs w:val="20"/>
              </w:rPr>
              <w:t>2025</w:t>
            </w:r>
          </w:p>
        </w:tc>
        <w:tc>
          <w:tcPr>
            <w:tcW w:w="1560" w:type="dxa"/>
            <w:tcBorders>
              <w:top w:val="single" w:sz="18" w:space="0" w:color="000000"/>
            </w:tcBorders>
          </w:tcPr>
          <w:p w14:paraId="483BFB3E" w14:textId="77777777" w:rsidR="008C19DC" w:rsidRPr="00BF1719" w:rsidRDefault="008C19DC" w:rsidP="008C19DC">
            <w:pPr>
              <w:spacing w:before="6"/>
              <w:ind w:left="113"/>
              <w:rPr>
                <w:rFonts w:ascii="Arial" w:eastAsia="Times New Roman" w:hAnsi="Arial" w:cs="Arial"/>
                <w:sz w:val="20"/>
                <w:szCs w:val="20"/>
              </w:rPr>
            </w:pPr>
            <w:r w:rsidRPr="00BF1719">
              <w:rPr>
                <w:rFonts w:ascii="Arial" w:eastAsia="Times New Roman" w:hAnsi="Arial" w:cs="Arial"/>
                <w:spacing w:val="-2"/>
                <w:sz w:val="20"/>
                <w:szCs w:val="20"/>
              </w:rPr>
              <w:t>Abidjan</w:t>
            </w:r>
          </w:p>
        </w:tc>
        <w:tc>
          <w:tcPr>
            <w:tcW w:w="2126" w:type="dxa"/>
            <w:tcBorders>
              <w:top w:val="single" w:sz="18" w:space="0" w:color="000000"/>
            </w:tcBorders>
          </w:tcPr>
          <w:p w14:paraId="40224E31" w14:textId="77777777" w:rsidR="008C19DC" w:rsidRPr="00BF1719" w:rsidRDefault="008C19DC" w:rsidP="008C19DC">
            <w:pPr>
              <w:spacing w:before="6"/>
              <w:ind w:left="213"/>
              <w:rPr>
                <w:rFonts w:ascii="Arial" w:eastAsia="Times New Roman" w:hAnsi="Arial" w:cs="Arial"/>
                <w:sz w:val="20"/>
                <w:szCs w:val="20"/>
              </w:rPr>
            </w:pPr>
            <w:r w:rsidRPr="00BF1719">
              <w:rPr>
                <w:rFonts w:ascii="Arial" w:eastAsia="Times New Roman" w:hAnsi="Arial" w:cs="Arial"/>
                <w:spacing w:val="-2"/>
                <w:sz w:val="20"/>
                <w:szCs w:val="20"/>
              </w:rPr>
              <w:t>4794-10731</w:t>
            </w:r>
          </w:p>
        </w:tc>
        <w:tc>
          <w:tcPr>
            <w:tcW w:w="1701" w:type="dxa"/>
            <w:tcBorders>
              <w:top w:val="single" w:sz="18" w:space="0" w:color="000000"/>
            </w:tcBorders>
          </w:tcPr>
          <w:p w14:paraId="7F1E9161" w14:textId="77777777" w:rsidR="008C19DC" w:rsidRPr="00BF1719" w:rsidRDefault="008C19DC" w:rsidP="008C19DC">
            <w:pPr>
              <w:spacing w:before="6"/>
              <w:ind w:left="133"/>
              <w:rPr>
                <w:rFonts w:ascii="Arial" w:eastAsia="Times New Roman" w:hAnsi="Arial" w:cs="Arial"/>
                <w:sz w:val="20"/>
                <w:szCs w:val="20"/>
              </w:rPr>
            </w:pPr>
            <w:r w:rsidRPr="00BF1719">
              <w:rPr>
                <w:rFonts w:ascii="Arial" w:eastAsia="Times New Roman" w:hAnsi="Arial" w:cs="Arial"/>
                <w:sz w:val="20"/>
                <w:szCs w:val="20"/>
              </w:rPr>
              <w:t>1</w:t>
            </w:r>
            <w:r w:rsidRPr="00BF1719">
              <w:rPr>
                <w:rFonts w:ascii="Arial" w:eastAsia="Times New Roman" w:hAnsi="Arial" w:cs="Arial"/>
                <w:spacing w:val="2"/>
                <w:sz w:val="20"/>
                <w:szCs w:val="20"/>
              </w:rPr>
              <w:t xml:space="preserve"> </w:t>
            </w:r>
            <w:r w:rsidRPr="00BF1719">
              <w:rPr>
                <w:rFonts w:ascii="Arial" w:eastAsia="Times New Roman" w:hAnsi="Arial" w:cs="Arial"/>
                <w:sz w:val="20"/>
                <w:szCs w:val="20"/>
              </w:rPr>
              <w:t>209</w:t>
            </w:r>
            <w:r w:rsidRPr="00BF1719">
              <w:rPr>
                <w:rFonts w:ascii="Arial" w:eastAsia="Times New Roman" w:hAnsi="Arial" w:cs="Arial"/>
                <w:spacing w:val="2"/>
                <w:sz w:val="20"/>
                <w:szCs w:val="20"/>
              </w:rPr>
              <w:t xml:space="preserve"> </w:t>
            </w:r>
            <w:r w:rsidRPr="00BF1719">
              <w:rPr>
                <w:rFonts w:ascii="Arial" w:eastAsia="Times New Roman" w:hAnsi="Arial" w:cs="Arial"/>
                <w:spacing w:val="-5"/>
                <w:sz w:val="20"/>
                <w:szCs w:val="20"/>
              </w:rPr>
              <w:t>135</w:t>
            </w:r>
          </w:p>
        </w:tc>
      </w:tr>
      <w:tr w:rsidR="008C19DC" w:rsidRPr="00BF1719" w14:paraId="6742B9DC" w14:textId="77777777" w:rsidTr="008C19DC">
        <w:trPr>
          <w:trHeight w:val="409"/>
        </w:trPr>
        <w:tc>
          <w:tcPr>
            <w:tcW w:w="2694" w:type="dxa"/>
          </w:tcPr>
          <w:p w14:paraId="160EE66E" w14:textId="77777777" w:rsidR="008C19DC" w:rsidRPr="00BF1719" w:rsidRDefault="008C19DC" w:rsidP="008C19DC">
            <w:pPr>
              <w:spacing w:before="63"/>
              <w:ind w:left="113"/>
              <w:rPr>
                <w:rFonts w:ascii="Arial" w:eastAsia="Times New Roman" w:hAnsi="Arial" w:cs="Arial"/>
                <w:sz w:val="20"/>
                <w:szCs w:val="20"/>
              </w:rPr>
            </w:pPr>
          </w:p>
        </w:tc>
        <w:tc>
          <w:tcPr>
            <w:tcW w:w="1275" w:type="dxa"/>
          </w:tcPr>
          <w:p w14:paraId="54AABC29" w14:textId="77777777" w:rsidR="008C19DC" w:rsidRPr="00BF1719" w:rsidRDefault="008C19DC" w:rsidP="008C19DC">
            <w:pPr>
              <w:rPr>
                <w:rFonts w:ascii="Arial" w:eastAsia="Times New Roman" w:hAnsi="Arial" w:cs="Arial"/>
                <w:sz w:val="20"/>
                <w:szCs w:val="20"/>
              </w:rPr>
            </w:pPr>
          </w:p>
        </w:tc>
        <w:tc>
          <w:tcPr>
            <w:tcW w:w="1560" w:type="dxa"/>
          </w:tcPr>
          <w:p w14:paraId="3501658F" w14:textId="77777777" w:rsidR="008C19DC" w:rsidRPr="00BF1719" w:rsidRDefault="008C19DC" w:rsidP="008C19DC">
            <w:pPr>
              <w:rPr>
                <w:rFonts w:ascii="Arial" w:eastAsia="Times New Roman" w:hAnsi="Arial" w:cs="Arial"/>
                <w:sz w:val="20"/>
                <w:szCs w:val="20"/>
              </w:rPr>
            </w:pPr>
          </w:p>
        </w:tc>
        <w:tc>
          <w:tcPr>
            <w:tcW w:w="2126" w:type="dxa"/>
          </w:tcPr>
          <w:p w14:paraId="11A1F1AC" w14:textId="77777777" w:rsidR="008C19DC" w:rsidRPr="00BF1719" w:rsidRDefault="008C19DC" w:rsidP="008C19DC">
            <w:pPr>
              <w:rPr>
                <w:rFonts w:ascii="Arial" w:eastAsia="Times New Roman" w:hAnsi="Arial" w:cs="Arial"/>
                <w:sz w:val="20"/>
                <w:szCs w:val="20"/>
              </w:rPr>
            </w:pPr>
          </w:p>
        </w:tc>
        <w:tc>
          <w:tcPr>
            <w:tcW w:w="1701" w:type="dxa"/>
          </w:tcPr>
          <w:p w14:paraId="0CC11B58" w14:textId="77777777" w:rsidR="008C19DC" w:rsidRPr="00BF1719" w:rsidRDefault="008C19DC" w:rsidP="008C19DC">
            <w:pPr>
              <w:rPr>
                <w:rFonts w:ascii="Arial" w:eastAsia="Times New Roman" w:hAnsi="Arial" w:cs="Arial"/>
                <w:sz w:val="20"/>
                <w:szCs w:val="20"/>
              </w:rPr>
            </w:pPr>
          </w:p>
        </w:tc>
      </w:tr>
      <w:tr w:rsidR="008C19DC" w:rsidRPr="00BF1719" w14:paraId="189364AC" w14:textId="77777777" w:rsidTr="008C19DC">
        <w:trPr>
          <w:trHeight w:val="412"/>
        </w:trPr>
        <w:tc>
          <w:tcPr>
            <w:tcW w:w="2694" w:type="dxa"/>
          </w:tcPr>
          <w:p w14:paraId="05E12449" w14:textId="77777777" w:rsidR="008C19DC" w:rsidRPr="00BF1719" w:rsidRDefault="008C19DC" w:rsidP="008C19DC">
            <w:pPr>
              <w:spacing w:before="63"/>
              <w:rPr>
                <w:rFonts w:ascii="Arial" w:eastAsia="Times New Roman" w:hAnsi="Arial" w:cs="Arial"/>
                <w:b/>
                <w:sz w:val="20"/>
                <w:szCs w:val="20"/>
              </w:rPr>
            </w:pPr>
            <w:r w:rsidRPr="00BF1719">
              <w:rPr>
                <w:rFonts w:ascii="Arial" w:eastAsia="Times New Roman" w:hAnsi="Arial" w:cs="Arial"/>
                <w:b/>
                <w:spacing w:val="-2"/>
                <w:sz w:val="20"/>
                <w:szCs w:val="20"/>
                <w:lang w:val="fr-FR"/>
              </w:rPr>
              <w:t>(</w:t>
            </w:r>
            <w:proofErr w:type="spellStart"/>
            <w:r w:rsidRPr="00BF1719">
              <w:rPr>
                <w:rFonts w:ascii="Arial" w:eastAsia="Times New Roman" w:hAnsi="Arial" w:cs="Arial"/>
                <w:b/>
                <w:spacing w:val="-2"/>
                <w:sz w:val="20"/>
                <w:szCs w:val="20"/>
                <w:lang w:val="fr-FR"/>
              </w:rPr>
              <w:t>Zairi</w:t>
            </w:r>
            <w:proofErr w:type="spellEnd"/>
            <w:r w:rsidRPr="00BF1719">
              <w:rPr>
                <w:rFonts w:ascii="Arial" w:eastAsia="Times New Roman" w:hAnsi="Arial" w:cs="Arial"/>
                <w:b/>
                <w:spacing w:val="-2"/>
                <w:sz w:val="20"/>
                <w:szCs w:val="20"/>
                <w:lang w:val="fr-FR"/>
              </w:rPr>
              <w:t xml:space="preserve"> et al., 2014)</w:t>
            </w:r>
          </w:p>
        </w:tc>
        <w:tc>
          <w:tcPr>
            <w:tcW w:w="1275" w:type="dxa"/>
          </w:tcPr>
          <w:p w14:paraId="2939C58F" w14:textId="77777777" w:rsidR="008C19DC" w:rsidRPr="00BF1719" w:rsidRDefault="008C19DC" w:rsidP="008C19DC">
            <w:pPr>
              <w:spacing w:before="63"/>
              <w:ind w:left="305"/>
              <w:rPr>
                <w:rFonts w:ascii="Arial" w:eastAsia="Times New Roman" w:hAnsi="Arial" w:cs="Arial"/>
                <w:sz w:val="20"/>
                <w:szCs w:val="20"/>
              </w:rPr>
            </w:pPr>
            <w:r w:rsidRPr="00BF1719">
              <w:rPr>
                <w:rFonts w:ascii="Arial" w:eastAsia="Times New Roman" w:hAnsi="Arial" w:cs="Arial"/>
                <w:spacing w:val="-4"/>
                <w:sz w:val="20"/>
                <w:szCs w:val="20"/>
              </w:rPr>
              <w:t>2010</w:t>
            </w:r>
          </w:p>
        </w:tc>
        <w:tc>
          <w:tcPr>
            <w:tcW w:w="1560" w:type="dxa"/>
          </w:tcPr>
          <w:p w14:paraId="285CCBE7" w14:textId="77777777" w:rsidR="008C19DC" w:rsidRPr="00BF1719" w:rsidRDefault="008C19DC" w:rsidP="008C19DC">
            <w:pPr>
              <w:spacing w:before="63"/>
              <w:ind w:left="113"/>
              <w:rPr>
                <w:rFonts w:ascii="Arial" w:eastAsia="Times New Roman" w:hAnsi="Arial" w:cs="Arial"/>
                <w:sz w:val="20"/>
                <w:szCs w:val="20"/>
              </w:rPr>
            </w:pPr>
            <w:r w:rsidRPr="00BF1719">
              <w:rPr>
                <w:rFonts w:ascii="Arial" w:eastAsia="Times New Roman" w:hAnsi="Arial" w:cs="Arial"/>
                <w:spacing w:val="-2"/>
                <w:sz w:val="20"/>
                <w:szCs w:val="20"/>
              </w:rPr>
              <w:t>Tunis</w:t>
            </w:r>
          </w:p>
        </w:tc>
        <w:tc>
          <w:tcPr>
            <w:tcW w:w="2126" w:type="dxa"/>
          </w:tcPr>
          <w:p w14:paraId="0B07254D" w14:textId="77777777" w:rsidR="008C19DC" w:rsidRPr="00BF1719" w:rsidRDefault="008C19DC" w:rsidP="008C19DC">
            <w:pPr>
              <w:spacing w:before="63"/>
              <w:ind w:left="213"/>
              <w:rPr>
                <w:rFonts w:ascii="Arial" w:eastAsia="Times New Roman" w:hAnsi="Arial" w:cs="Arial"/>
                <w:sz w:val="20"/>
                <w:szCs w:val="20"/>
              </w:rPr>
            </w:pPr>
            <w:r w:rsidRPr="00BF1719">
              <w:rPr>
                <w:rFonts w:ascii="Arial" w:eastAsia="Times New Roman" w:hAnsi="Arial" w:cs="Arial"/>
                <w:spacing w:val="-4"/>
                <w:sz w:val="20"/>
                <w:szCs w:val="20"/>
              </w:rPr>
              <w:t>3995</w:t>
            </w:r>
          </w:p>
        </w:tc>
        <w:tc>
          <w:tcPr>
            <w:tcW w:w="1701" w:type="dxa"/>
          </w:tcPr>
          <w:p w14:paraId="2C2EC048" w14:textId="77777777" w:rsidR="008C19DC" w:rsidRPr="00BF1719" w:rsidRDefault="008C19DC" w:rsidP="008C19DC">
            <w:pPr>
              <w:spacing w:before="63"/>
              <w:ind w:left="133"/>
              <w:rPr>
                <w:rFonts w:ascii="Arial" w:eastAsia="Times New Roman" w:hAnsi="Arial" w:cs="Arial"/>
                <w:sz w:val="20"/>
                <w:szCs w:val="20"/>
              </w:rPr>
            </w:pPr>
            <w:r w:rsidRPr="00BF1719">
              <w:rPr>
                <w:rFonts w:ascii="Arial" w:eastAsia="Times New Roman" w:hAnsi="Arial" w:cs="Arial"/>
                <w:sz w:val="20"/>
                <w:szCs w:val="20"/>
              </w:rPr>
              <w:t>680</w:t>
            </w:r>
            <w:r w:rsidRPr="00BF1719">
              <w:rPr>
                <w:rFonts w:ascii="Arial" w:eastAsia="Times New Roman" w:hAnsi="Arial" w:cs="Arial"/>
                <w:spacing w:val="2"/>
                <w:sz w:val="20"/>
                <w:szCs w:val="20"/>
              </w:rPr>
              <w:t xml:space="preserve"> </w:t>
            </w:r>
            <w:r w:rsidRPr="00BF1719">
              <w:rPr>
                <w:rFonts w:ascii="Arial" w:eastAsia="Times New Roman" w:hAnsi="Arial" w:cs="Arial"/>
                <w:spacing w:val="-5"/>
                <w:sz w:val="20"/>
                <w:szCs w:val="20"/>
              </w:rPr>
              <w:t>000</w:t>
            </w:r>
          </w:p>
        </w:tc>
      </w:tr>
      <w:tr w:rsidR="008C19DC" w:rsidRPr="00BF1719" w14:paraId="4EACBD8A" w14:textId="77777777" w:rsidTr="008C19DC">
        <w:trPr>
          <w:trHeight w:val="412"/>
        </w:trPr>
        <w:tc>
          <w:tcPr>
            <w:tcW w:w="2694" w:type="dxa"/>
          </w:tcPr>
          <w:p w14:paraId="6989DE24" w14:textId="77777777" w:rsidR="008C19DC" w:rsidRPr="00BF1719" w:rsidRDefault="008C19DC" w:rsidP="008C19DC">
            <w:pPr>
              <w:spacing w:before="65"/>
              <w:rPr>
                <w:rFonts w:ascii="Arial" w:eastAsia="Times New Roman" w:hAnsi="Arial" w:cs="Arial"/>
                <w:b/>
                <w:sz w:val="20"/>
                <w:szCs w:val="20"/>
              </w:rPr>
            </w:pPr>
            <w:r w:rsidRPr="00BF1719">
              <w:rPr>
                <w:rFonts w:ascii="Arial" w:eastAsia="Times New Roman" w:hAnsi="Arial" w:cs="Arial"/>
                <w:b/>
                <w:spacing w:val="-2"/>
                <w:sz w:val="20"/>
                <w:szCs w:val="20"/>
              </w:rPr>
              <w:t>(Mebarki et al., 2015)</w:t>
            </w:r>
          </w:p>
        </w:tc>
        <w:tc>
          <w:tcPr>
            <w:tcW w:w="1275" w:type="dxa"/>
          </w:tcPr>
          <w:p w14:paraId="691C0C1A" w14:textId="77777777" w:rsidR="008C19DC" w:rsidRPr="00BF1719" w:rsidRDefault="008C19DC" w:rsidP="008C19DC">
            <w:pPr>
              <w:spacing w:before="65"/>
              <w:ind w:left="305"/>
              <w:rPr>
                <w:rFonts w:ascii="Arial" w:eastAsia="Times New Roman" w:hAnsi="Arial" w:cs="Arial"/>
                <w:sz w:val="20"/>
                <w:szCs w:val="20"/>
              </w:rPr>
            </w:pPr>
            <w:r w:rsidRPr="00BF1719">
              <w:rPr>
                <w:rFonts w:ascii="Arial" w:eastAsia="Times New Roman" w:hAnsi="Arial" w:cs="Arial"/>
                <w:spacing w:val="-4"/>
                <w:sz w:val="20"/>
                <w:szCs w:val="20"/>
              </w:rPr>
              <w:t>2013</w:t>
            </w:r>
          </w:p>
        </w:tc>
        <w:tc>
          <w:tcPr>
            <w:tcW w:w="1560" w:type="dxa"/>
          </w:tcPr>
          <w:p w14:paraId="74093967" w14:textId="77777777" w:rsidR="008C19DC" w:rsidRPr="00BF1719" w:rsidRDefault="008C19DC" w:rsidP="008C19DC">
            <w:pPr>
              <w:spacing w:before="65"/>
              <w:ind w:left="113"/>
              <w:rPr>
                <w:rFonts w:ascii="Arial" w:eastAsia="Times New Roman" w:hAnsi="Arial" w:cs="Arial"/>
                <w:sz w:val="20"/>
                <w:szCs w:val="20"/>
              </w:rPr>
            </w:pPr>
            <w:r w:rsidRPr="00BF1719">
              <w:rPr>
                <w:rFonts w:ascii="Arial" w:eastAsia="Times New Roman" w:hAnsi="Arial" w:cs="Arial"/>
                <w:spacing w:val="-4"/>
                <w:sz w:val="20"/>
                <w:szCs w:val="20"/>
              </w:rPr>
              <w:t>Alger</w:t>
            </w:r>
          </w:p>
        </w:tc>
        <w:tc>
          <w:tcPr>
            <w:tcW w:w="2126" w:type="dxa"/>
          </w:tcPr>
          <w:p w14:paraId="20EC1D34" w14:textId="77777777" w:rsidR="008C19DC" w:rsidRPr="00BF1719" w:rsidRDefault="008C19DC" w:rsidP="008C19DC">
            <w:pPr>
              <w:spacing w:before="65"/>
              <w:ind w:left="213"/>
              <w:rPr>
                <w:rFonts w:ascii="Arial" w:eastAsia="Times New Roman" w:hAnsi="Arial" w:cs="Arial"/>
                <w:sz w:val="20"/>
                <w:szCs w:val="20"/>
              </w:rPr>
            </w:pPr>
            <w:r w:rsidRPr="00BF1719">
              <w:rPr>
                <w:rFonts w:ascii="Arial" w:eastAsia="Times New Roman" w:hAnsi="Arial" w:cs="Arial"/>
                <w:spacing w:val="-4"/>
                <w:sz w:val="20"/>
                <w:szCs w:val="20"/>
              </w:rPr>
              <w:t>2192</w:t>
            </w:r>
          </w:p>
        </w:tc>
        <w:tc>
          <w:tcPr>
            <w:tcW w:w="1701" w:type="dxa"/>
          </w:tcPr>
          <w:p w14:paraId="1D29263D" w14:textId="77777777" w:rsidR="008C19DC" w:rsidRPr="00BF1719" w:rsidRDefault="008C19DC" w:rsidP="008C19DC">
            <w:pPr>
              <w:spacing w:before="65"/>
              <w:ind w:left="133"/>
              <w:rPr>
                <w:rFonts w:ascii="Arial" w:eastAsia="Times New Roman" w:hAnsi="Arial" w:cs="Arial"/>
                <w:sz w:val="20"/>
                <w:szCs w:val="20"/>
              </w:rPr>
            </w:pPr>
            <w:r w:rsidRPr="00BF1719">
              <w:rPr>
                <w:rFonts w:ascii="Arial" w:eastAsia="Times New Roman" w:hAnsi="Arial" w:cs="Arial"/>
                <w:sz w:val="20"/>
                <w:szCs w:val="20"/>
              </w:rPr>
              <w:t>91</w:t>
            </w:r>
            <w:r w:rsidRPr="00BF1719">
              <w:rPr>
                <w:rFonts w:ascii="Arial" w:eastAsia="Times New Roman" w:hAnsi="Arial" w:cs="Arial"/>
                <w:spacing w:val="2"/>
                <w:sz w:val="20"/>
                <w:szCs w:val="20"/>
              </w:rPr>
              <w:t xml:space="preserve"> </w:t>
            </w:r>
            <w:r w:rsidRPr="00BF1719">
              <w:rPr>
                <w:rFonts w:ascii="Arial" w:eastAsia="Times New Roman" w:hAnsi="Arial" w:cs="Arial"/>
                <w:spacing w:val="-5"/>
                <w:sz w:val="20"/>
                <w:szCs w:val="20"/>
              </w:rPr>
              <w:t>400</w:t>
            </w:r>
          </w:p>
        </w:tc>
      </w:tr>
      <w:tr w:rsidR="008C19DC" w:rsidRPr="00BF1719" w14:paraId="71CE166F" w14:textId="77777777" w:rsidTr="008C19DC">
        <w:trPr>
          <w:trHeight w:val="475"/>
        </w:trPr>
        <w:tc>
          <w:tcPr>
            <w:tcW w:w="2694" w:type="dxa"/>
            <w:tcBorders>
              <w:bottom w:val="single" w:sz="18" w:space="0" w:color="000000"/>
            </w:tcBorders>
          </w:tcPr>
          <w:p w14:paraId="53F026A1" w14:textId="77777777" w:rsidR="008C19DC" w:rsidRPr="00BF1719" w:rsidRDefault="008C19DC" w:rsidP="008C19DC">
            <w:pPr>
              <w:spacing w:before="63"/>
              <w:rPr>
                <w:rFonts w:ascii="Arial" w:eastAsia="Times New Roman" w:hAnsi="Arial" w:cs="Arial"/>
                <w:b/>
                <w:sz w:val="20"/>
                <w:szCs w:val="20"/>
              </w:rPr>
            </w:pPr>
            <w:r w:rsidRPr="00BF1719">
              <w:rPr>
                <w:rFonts w:ascii="Arial" w:eastAsia="Times New Roman" w:hAnsi="Arial" w:cs="Arial"/>
                <w:b/>
                <w:spacing w:val="-4"/>
                <w:sz w:val="20"/>
                <w:szCs w:val="20"/>
              </w:rPr>
              <w:t>(Aguilar-Virgen et al., 2014)</w:t>
            </w:r>
          </w:p>
        </w:tc>
        <w:tc>
          <w:tcPr>
            <w:tcW w:w="1275" w:type="dxa"/>
            <w:tcBorders>
              <w:bottom w:val="single" w:sz="18" w:space="0" w:color="000000"/>
            </w:tcBorders>
          </w:tcPr>
          <w:p w14:paraId="3F06E3FA" w14:textId="77777777" w:rsidR="008C19DC" w:rsidRPr="00BF1719" w:rsidRDefault="008C19DC" w:rsidP="008C19DC">
            <w:pPr>
              <w:spacing w:before="63"/>
              <w:ind w:left="305"/>
              <w:rPr>
                <w:rFonts w:ascii="Arial" w:eastAsia="Times New Roman" w:hAnsi="Arial" w:cs="Arial"/>
                <w:sz w:val="20"/>
                <w:szCs w:val="20"/>
              </w:rPr>
            </w:pPr>
            <w:r w:rsidRPr="00BF1719">
              <w:rPr>
                <w:rFonts w:ascii="Arial" w:eastAsia="Times New Roman" w:hAnsi="Arial" w:cs="Arial"/>
                <w:spacing w:val="-4"/>
                <w:sz w:val="20"/>
                <w:szCs w:val="20"/>
              </w:rPr>
              <w:t>2018</w:t>
            </w:r>
          </w:p>
        </w:tc>
        <w:tc>
          <w:tcPr>
            <w:tcW w:w="1560" w:type="dxa"/>
            <w:tcBorders>
              <w:bottom w:val="single" w:sz="18" w:space="0" w:color="000000"/>
            </w:tcBorders>
          </w:tcPr>
          <w:p w14:paraId="0664C078" w14:textId="77777777" w:rsidR="008C19DC" w:rsidRPr="00BF1719" w:rsidRDefault="008C19DC" w:rsidP="008C19DC">
            <w:pPr>
              <w:spacing w:before="63"/>
              <w:ind w:left="113"/>
              <w:rPr>
                <w:rFonts w:ascii="Arial" w:eastAsia="Times New Roman" w:hAnsi="Arial" w:cs="Arial"/>
                <w:sz w:val="20"/>
                <w:szCs w:val="20"/>
              </w:rPr>
            </w:pPr>
            <w:r w:rsidRPr="00BF1719">
              <w:rPr>
                <w:rFonts w:ascii="Arial" w:eastAsia="Times New Roman" w:hAnsi="Arial" w:cs="Arial"/>
                <w:spacing w:val="-2"/>
                <w:sz w:val="20"/>
                <w:szCs w:val="20"/>
              </w:rPr>
              <w:t>Ensenada</w:t>
            </w:r>
          </w:p>
        </w:tc>
        <w:tc>
          <w:tcPr>
            <w:tcW w:w="2126" w:type="dxa"/>
            <w:tcBorders>
              <w:bottom w:val="single" w:sz="18" w:space="0" w:color="000000"/>
            </w:tcBorders>
          </w:tcPr>
          <w:p w14:paraId="62387C7B" w14:textId="77777777" w:rsidR="008C19DC" w:rsidRPr="00BF1719" w:rsidRDefault="008C19DC" w:rsidP="008C19DC">
            <w:pPr>
              <w:spacing w:before="63"/>
              <w:ind w:left="213"/>
              <w:rPr>
                <w:rFonts w:ascii="Arial" w:eastAsia="Times New Roman" w:hAnsi="Arial" w:cs="Arial"/>
                <w:sz w:val="20"/>
                <w:szCs w:val="20"/>
              </w:rPr>
            </w:pPr>
            <w:r w:rsidRPr="00BF1719">
              <w:rPr>
                <w:rFonts w:ascii="Arial" w:eastAsia="Times New Roman" w:hAnsi="Arial" w:cs="Arial"/>
                <w:spacing w:val="-4"/>
                <w:sz w:val="20"/>
                <w:szCs w:val="20"/>
              </w:rPr>
              <w:t>2213</w:t>
            </w:r>
          </w:p>
        </w:tc>
        <w:tc>
          <w:tcPr>
            <w:tcW w:w="1701" w:type="dxa"/>
            <w:tcBorders>
              <w:bottom w:val="single" w:sz="18" w:space="0" w:color="000000"/>
            </w:tcBorders>
          </w:tcPr>
          <w:p w14:paraId="2C0C6010" w14:textId="77777777" w:rsidR="008C19DC" w:rsidRPr="00BF1719" w:rsidRDefault="008C19DC" w:rsidP="008C19DC">
            <w:pPr>
              <w:spacing w:before="63"/>
              <w:ind w:left="133"/>
              <w:rPr>
                <w:rFonts w:ascii="Arial" w:eastAsia="Times New Roman" w:hAnsi="Arial" w:cs="Arial"/>
                <w:sz w:val="20"/>
                <w:szCs w:val="20"/>
              </w:rPr>
            </w:pPr>
            <w:r w:rsidRPr="00BF1719">
              <w:rPr>
                <w:rFonts w:ascii="Arial" w:eastAsia="Times New Roman" w:hAnsi="Arial" w:cs="Arial"/>
                <w:spacing w:val="-2"/>
                <w:sz w:val="20"/>
                <w:szCs w:val="20"/>
              </w:rPr>
              <w:t>132055</w:t>
            </w:r>
          </w:p>
        </w:tc>
      </w:tr>
    </w:tbl>
    <w:p w14:paraId="0A3F8B40" w14:textId="77777777" w:rsidR="008C19DC" w:rsidRPr="00BF1719" w:rsidRDefault="008C19DC" w:rsidP="008C19DC">
      <w:pPr>
        <w:tabs>
          <w:tab w:val="left" w:pos="1329"/>
          <w:tab w:val="left" w:pos="1540"/>
        </w:tabs>
        <w:rPr>
          <w:rFonts w:ascii="Arial" w:hAnsi="Arial" w:cs="Arial"/>
        </w:rPr>
      </w:pPr>
      <w:r w:rsidRPr="00BF1719">
        <w:rPr>
          <w:rFonts w:ascii="Arial" w:hAnsi="Arial" w:cs="Arial"/>
        </w:rPr>
        <w:tab/>
      </w:r>
    </w:p>
    <w:p w14:paraId="42CDD185" w14:textId="77777777" w:rsidR="008C19DC" w:rsidRPr="00BF1719" w:rsidRDefault="008C19DC" w:rsidP="008C19DC">
      <w:pPr>
        <w:widowControl w:val="0"/>
        <w:autoSpaceDE w:val="0"/>
        <w:autoSpaceDN w:val="0"/>
        <w:spacing w:line="362" w:lineRule="auto"/>
        <w:ind w:firstLine="710"/>
        <w:jc w:val="both"/>
        <w:rPr>
          <w:rFonts w:ascii="Arial" w:hAnsi="Arial" w:cs="Arial"/>
        </w:rPr>
      </w:pPr>
      <w:r w:rsidRPr="00BF1719">
        <w:rPr>
          <w:rFonts w:ascii="Arial" w:hAnsi="Arial" w:cs="Arial"/>
        </w:rPr>
        <w:tab/>
        <w:t>The maximum methane flow rates obtained in the present study are higher than those obtained in other studies.</w:t>
      </w:r>
    </w:p>
    <w:p w14:paraId="6CEBA8CA"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 xml:space="preserve">The very high maximum methane flows obtained in this study could be explained by the fact that the annual mass of DSM used in this study is much higher than in the other studies. </w:t>
      </w:r>
    </w:p>
    <w:p w14:paraId="27B7468B" w14:textId="77777777" w:rsidR="008C19DC" w:rsidRPr="00BF1719" w:rsidRDefault="008C19DC" w:rsidP="008C19DC">
      <w:pPr>
        <w:widowControl w:val="0"/>
        <w:autoSpaceDE w:val="0"/>
        <w:autoSpaceDN w:val="0"/>
        <w:spacing w:line="360" w:lineRule="auto"/>
        <w:ind w:firstLine="710"/>
        <w:jc w:val="both"/>
        <w:rPr>
          <w:rFonts w:ascii="Arial" w:hAnsi="Arial" w:cs="Arial"/>
        </w:rPr>
      </w:pPr>
      <w:r w:rsidRPr="00BF1719">
        <w:rPr>
          <w:rFonts w:ascii="Arial" w:hAnsi="Arial" w:cs="Arial"/>
        </w:rPr>
        <w:tab/>
        <w:t xml:space="preserve">Each model has its own advantages and disadvantages, and no model is well-defined for estimating the volume of biogas generated by a landfill. Among these models, the </w:t>
      </w:r>
      <w:proofErr w:type="spellStart"/>
      <w:r w:rsidRPr="00BF1719">
        <w:rPr>
          <w:rFonts w:ascii="Arial" w:hAnsi="Arial" w:cs="Arial"/>
        </w:rPr>
        <w:t>LandGEM</w:t>
      </w:r>
      <w:proofErr w:type="spellEnd"/>
      <w:r w:rsidRPr="00BF1719">
        <w:rPr>
          <w:rFonts w:ascii="Arial" w:hAnsi="Arial" w:cs="Arial"/>
        </w:rPr>
        <w:t xml:space="preserve"> model has a relatively simple approach to estimating the methane generated by landfills. Moreover, the </w:t>
      </w:r>
      <w:proofErr w:type="spellStart"/>
      <w:r w:rsidRPr="00BF1719">
        <w:rPr>
          <w:rFonts w:ascii="Arial" w:hAnsi="Arial" w:cs="Arial"/>
        </w:rPr>
        <w:t>LandGEM</w:t>
      </w:r>
      <w:proofErr w:type="spellEnd"/>
      <w:r w:rsidRPr="00BF1719">
        <w:rPr>
          <w:rFonts w:ascii="Arial" w:hAnsi="Arial" w:cs="Arial"/>
        </w:rPr>
        <w:t xml:space="preserve"> model is widely used (</w:t>
      </w:r>
      <w:r w:rsidRPr="00BF1719">
        <w:rPr>
          <w:rFonts w:ascii="Arial" w:hAnsi="Arial" w:cs="Arial"/>
          <w:b/>
          <w:bCs/>
        </w:rPr>
        <w:t>Zairi et al., 2014</w:t>
      </w:r>
      <w:r w:rsidRPr="00BF1719">
        <w:rPr>
          <w:rFonts w:ascii="Arial" w:hAnsi="Arial" w:cs="Arial"/>
        </w:rPr>
        <w:t>). For this reason, this model has been retained for the remainder of this study.</w:t>
      </w:r>
    </w:p>
    <w:p w14:paraId="3D1A1165" w14:textId="77777777" w:rsidR="008C19DC" w:rsidRPr="00BF1719" w:rsidRDefault="008C19DC" w:rsidP="008C19DC">
      <w:pPr>
        <w:widowControl w:val="0"/>
        <w:autoSpaceDE w:val="0"/>
        <w:autoSpaceDN w:val="0"/>
        <w:spacing w:line="360" w:lineRule="auto"/>
        <w:ind w:firstLine="710"/>
        <w:jc w:val="both"/>
        <w:rPr>
          <w:rFonts w:ascii="Arial" w:hAnsi="Arial" w:cs="Arial"/>
          <w:strike/>
        </w:rPr>
      </w:pPr>
      <w:r w:rsidRPr="00BF1719">
        <w:rPr>
          <w:rFonts w:ascii="Arial" w:hAnsi="Arial" w:cs="Arial"/>
        </w:rPr>
        <w:tab/>
        <w:t xml:space="preserve">Evaluation of the energy potential of biogas from the </w:t>
      </w:r>
      <w:proofErr w:type="spellStart"/>
      <w:r w:rsidRPr="00BF1719">
        <w:rPr>
          <w:rFonts w:ascii="Arial" w:hAnsi="Arial" w:cs="Arial"/>
        </w:rPr>
        <w:t>Akouédo</w:t>
      </w:r>
      <w:proofErr w:type="spellEnd"/>
      <w:r w:rsidRPr="00BF1719">
        <w:rPr>
          <w:rFonts w:ascii="Arial" w:hAnsi="Arial" w:cs="Arial"/>
        </w:rPr>
        <w:t xml:space="preserve"> landfill using first-order decay models (</w:t>
      </w:r>
      <w:r w:rsidRPr="003E03C7">
        <w:rPr>
          <w:rFonts w:ascii="Arial" w:hAnsi="Arial" w:cs="Arial"/>
          <w:b/>
          <w:bCs/>
        </w:rPr>
        <w:t>Table 4</w:t>
      </w:r>
      <w:r w:rsidRPr="00BF1719">
        <w:rPr>
          <w:rFonts w:ascii="Arial" w:hAnsi="Arial" w:cs="Arial"/>
        </w:rPr>
        <w:t>) shows that it is possible to install a 10 MW thermal power plant at the landfill. However, the plant's operating time can be reduced over time, depending on the volume of biomethane available.</w:t>
      </w:r>
    </w:p>
    <w:p w14:paraId="2C1A33CC" w14:textId="77777777" w:rsidR="008C19DC" w:rsidRPr="00BF1719" w:rsidRDefault="008C19DC" w:rsidP="008C19DC">
      <w:pPr>
        <w:widowControl w:val="0"/>
        <w:autoSpaceDE w:val="0"/>
        <w:autoSpaceDN w:val="0"/>
        <w:spacing w:line="360" w:lineRule="auto"/>
        <w:jc w:val="both"/>
        <w:rPr>
          <w:rFonts w:ascii="Arial" w:hAnsi="Arial" w:cs="Arial"/>
        </w:rPr>
      </w:pPr>
      <w:r w:rsidRPr="00BF1719">
        <w:rPr>
          <w:rFonts w:ascii="Arial" w:hAnsi="Arial" w:cs="Arial"/>
        </w:rPr>
        <w:lastRenderedPageBreak/>
        <w:tab/>
      </w:r>
      <w:r w:rsidRPr="00BF1719">
        <w:rPr>
          <w:rFonts w:ascii="Arial" w:hAnsi="Arial" w:cs="Arial"/>
          <w:b/>
        </w:rPr>
        <w:t xml:space="preserve">Table </w:t>
      </w:r>
      <w:proofErr w:type="gramStart"/>
      <w:r w:rsidRPr="00BF1719">
        <w:rPr>
          <w:rFonts w:ascii="Arial" w:hAnsi="Arial" w:cs="Arial"/>
          <w:b/>
        </w:rPr>
        <w:t>4</w:t>
      </w:r>
      <w:r w:rsidRPr="00BF1719">
        <w:rPr>
          <w:rFonts w:ascii="Arial" w:hAnsi="Arial" w:cs="Arial"/>
          <w:b/>
          <w:spacing w:val="-1"/>
        </w:rPr>
        <w:t xml:space="preserve"> </w:t>
      </w:r>
      <w:r w:rsidRPr="00BF1719">
        <w:rPr>
          <w:rFonts w:ascii="Arial" w:hAnsi="Arial" w:cs="Arial"/>
        </w:rPr>
        <w:t>:</w:t>
      </w:r>
      <w:proofErr w:type="gramEnd"/>
      <w:r w:rsidRPr="00BF1719">
        <w:rPr>
          <w:rFonts w:ascii="Arial" w:hAnsi="Arial" w:cs="Arial"/>
        </w:rPr>
        <w:t xml:space="preserve"> Summary of zero-order and first-order model energy potentials for 2018</w:t>
      </w:r>
    </w:p>
    <w:p w14:paraId="0441E65D" w14:textId="77777777" w:rsidR="008C19DC" w:rsidRPr="00BF1719" w:rsidRDefault="008C19DC" w:rsidP="008C19DC">
      <w:pPr>
        <w:widowControl w:val="0"/>
        <w:autoSpaceDE w:val="0"/>
        <w:autoSpaceDN w:val="0"/>
        <w:jc w:val="center"/>
        <w:rPr>
          <w:rFonts w:ascii="Arial" w:hAnsi="Arial" w:cs="Arial"/>
        </w:rPr>
      </w:pPr>
    </w:p>
    <w:p w14:paraId="6F2F3BAC" w14:textId="77777777" w:rsidR="008C19DC" w:rsidRPr="00BF1719" w:rsidRDefault="008C19DC" w:rsidP="008C19DC">
      <w:pPr>
        <w:widowControl w:val="0"/>
        <w:autoSpaceDE w:val="0"/>
        <w:autoSpaceDN w:val="0"/>
        <w:jc w:val="center"/>
        <w:rPr>
          <w:rFonts w:ascii="Arial" w:hAnsi="Arial" w:cs="Arial"/>
        </w:rPr>
      </w:pPr>
    </w:p>
    <w:tbl>
      <w:tblPr>
        <w:tblStyle w:val="TableNormal1"/>
        <w:tblW w:w="0" w:type="auto"/>
        <w:tblInd w:w="1701" w:type="dxa"/>
        <w:tblBorders>
          <w:top w:val="single" w:sz="4" w:space="0" w:color="auto"/>
          <w:bottom w:val="single" w:sz="4" w:space="0" w:color="auto"/>
        </w:tblBorders>
        <w:tblLayout w:type="fixed"/>
        <w:tblLook w:val="01E0" w:firstRow="1" w:lastRow="1" w:firstColumn="1" w:lastColumn="1" w:noHBand="0" w:noVBand="0"/>
      </w:tblPr>
      <w:tblGrid>
        <w:gridCol w:w="1111"/>
        <w:gridCol w:w="5126"/>
      </w:tblGrid>
      <w:tr w:rsidR="008C19DC" w:rsidRPr="00BF1719" w14:paraId="6979305B" w14:textId="77777777" w:rsidTr="008C19DC">
        <w:trPr>
          <w:trHeight w:val="417"/>
        </w:trPr>
        <w:tc>
          <w:tcPr>
            <w:tcW w:w="6237" w:type="dxa"/>
            <w:gridSpan w:val="2"/>
            <w:tcBorders>
              <w:top w:val="single" w:sz="12" w:space="0" w:color="auto"/>
              <w:bottom w:val="single" w:sz="12" w:space="0" w:color="auto"/>
            </w:tcBorders>
          </w:tcPr>
          <w:p w14:paraId="0211370A"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First-order model</w:t>
            </w:r>
          </w:p>
        </w:tc>
      </w:tr>
      <w:tr w:rsidR="008C19DC" w:rsidRPr="00BF1719" w14:paraId="4908E087" w14:textId="77777777" w:rsidTr="008C19DC">
        <w:trPr>
          <w:trHeight w:val="352"/>
        </w:trPr>
        <w:tc>
          <w:tcPr>
            <w:tcW w:w="1111" w:type="dxa"/>
            <w:tcBorders>
              <w:top w:val="single" w:sz="12" w:space="0" w:color="auto"/>
            </w:tcBorders>
          </w:tcPr>
          <w:p w14:paraId="6940F5F7"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pacing w:val="-2"/>
                <w:sz w:val="20"/>
                <w:szCs w:val="20"/>
              </w:rPr>
              <w:t>Model</w:t>
            </w:r>
          </w:p>
        </w:tc>
        <w:tc>
          <w:tcPr>
            <w:tcW w:w="5126" w:type="dxa"/>
            <w:tcBorders>
              <w:top w:val="single" w:sz="12" w:space="0" w:color="auto"/>
            </w:tcBorders>
          </w:tcPr>
          <w:p w14:paraId="7C28EC94"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Energy potential</w:t>
            </w:r>
          </w:p>
        </w:tc>
      </w:tr>
      <w:tr w:rsidR="008C19DC" w:rsidRPr="00BF1719" w14:paraId="00427DCA" w14:textId="77777777" w:rsidTr="008C19DC">
        <w:trPr>
          <w:trHeight w:val="414"/>
        </w:trPr>
        <w:tc>
          <w:tcPr>
            <w:tcW w:w="1111" w:type="dxa"/>
          </w:tcPr>
          <w:p w14:paraId="749A7122" w14:textId="77777777" w:rsidR="008C19DC" w:rsidRPr="00BF1719" w:rsidRDefault="008C19DC" w:rsidP="008C19DC">
            <w:pPr>
              <w:jc w:val="center"/>
              <w:rPr>
                <w:rFonts w:ascii="Arial" w:eastAsia="Times New Roman" w:hAnsi="Arial" w:cs="Arial"/>
                <w:sz w:val="20"/>
                <w:szCs w:val="20"/>
              </w:rPr>
            </w:pPr>
            <w:proofErr w:type="spellStart"/>
            <w:r w:rsidRPr="00BF1719">
              <w:rPr>
                <w:rFonts w:ascii="Arial" w:eastAsia="Times New Roman" w:hAnsi="Arial" w:cs="Arial"/>
                <w:sz w:val="20"/>
                <w:szCs w:val="20"/>
              </w:rPr>
              <w:t>landGEM</w:t>
            </w:r>
            <w:proofErr w:type="spellEnd"/>
            <w:r w:rsidRPr="00BF1719">
              <w:rPr>
                <w:rFonts w:ascii="Arial" w:eastAsia="Times New Roman" w:hAnsi="Arial" w:cs="Arial"/>
                <w:spacing w:val="-2"/>
                <w:sz w:val="20"/>
                <w:szCs w:val="20"/>
              </w:rPr>
              <w:t xml:space="preserve"> </w:t>
            </w:r>
            <w:r w:rsidRPr="00BF1719">
              <w:rPr>
                <w:rFonts w:ascii="Arial" w:eastAsia="Times New Roman" w:hAnsi="Arial" w:cs="Arial"/>
                <w:spacing w:val="-4"/>
                <w:sz w:val="20"/>
                <w:szCs w:val="20"/>
              </w:rPr>
              <w:t>3.02</w:t>
            </w:r>
          </w:p>
        </w:tc>
        <w:tc>
          <w:tcPr>
            <w:tcW w:w="5126" w:type="dxa"/>
          </w:tcPr>
          <w:p w14:paraId="63F31A3D"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11.80</w:t>
            </w:r>
            <w:r w:rsidRPr="00BF1719">
              <w:rPr>
                <w:rFonts w:ascii="Arial" w:eastAsia="Times New Roman" w:hAnsi="Arial" w:cs="Arial"/>
                <w:spacing w:val="4"/>
                <w:sz w:val="20"/>
                <w:szCs w:val="20"/>
              </w:rPr>
              <w:t xml:space="preserve"> </w:t>
            </w:r>
            <w:r w:rsidRPr="00BF1719">
              <w:rPr>
                <w:rFonts w:ascii="Arial" w:eastAsia="Times New Roman" w:hAnsi="Arial" w:cs="Arial"/>
                <w:spacing w:val="-5"/>
                <w:sz w:val="20"/>
                <w:szCs w:val="20"/>
              </w:rPr>
              <w:t>MW</w:t>
            </w:r>
          </w:p>
        </w:tc>
      </w:tr>
      <w:tr w:rsidR="008C19DC" w:rsidRPr="00BF1719" w14:paraId="6DD31F46" w14:textId="77777777" w:rsidTr="008C19DC">
        <w:trPr>
          <w:trHeight w:val="417"/>
        </w:trPr>
        <w:tc>
          <w:tcPr>
            <w:tcW w:w="1111" w:type="dxa"/>
            <w:tcBorders>
              <w:top w:val="nil"/>
              <w:bottom w:val="single" w:sz="12" w:space="0" w:color="auto"/>
            </w:tcBorders>
          </w:tcPr>
          <w:p w14:paraId="11E069E1"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GIEC</w:t>
            </w:r>
            <w:r w:rsidRPr="00BF1719">
              <w:rPr>
                <w:rFonts w:ascii="Arial" w:eastAsia="Times New Roman" w:hAnsi="Arial" w:cs="Arial"/>
                <w:spacing w:val="1"/>
                <w:sz w:val="20"/>
                <w:szCs w:val="20"/>
              </w:rPr>
              <w:t xml:space="preserve"> </w:t>
            </w:r>
            <w:r w:rsidRPr="00BF1719">
              <w:rPr>
                <w:rFonts w:ascii="Arial" w:eastAsia="Times New Roman" w:hAnsi="Arial" w:cs="Arial"/>
                <w:spacing w:val="-4"/>
                <w:sz w:val="20"/>
                <w:szCs w:val="20"/>
              </w:rPr>
              <w:t>2006</w:t>
            </w:r>
          </w:p>
        </w:tc>
        <w:tc>
          <w:tcPr>
            <w:tcW w:w="5126" w:type="dxa"/>
            <w:tcBorders>
              <w:top w:val="nil"/>
              <w:bottom w:val="single" w:sz="12" w:space="0" w:color="auto"/>
            </w:tcBorders>
          </w:tcPr>
          <w:p w14:paraId="694A98C1" w14:textId="77777777" w:rsidR="008C19DC" w:rsidRPr="00BF1719" w:rsidRDefault="008C19DC" w:rsidP="008C19DC">
            <w:pPr>
              <w:jc w:val="center"/>
              <w:rPr>
                <w:rFonts w:ascii="Arial" w:eastAsia="Times New Roman" w:hAnsi="Arial" w:cs="Arial"/>
                <w:sz w:val="20"/>
                <w:szCs w:val="20"/>
              </w:rPr>
            </w:pPr>
            <w:r w:rsidRPr="00BF1719">
              <w:rPr>
                <w:rFonts w:ascii="Arial" w:eastAsia="Times New Roman" w:hAnsi="Arial" w:cs="Arial"/>
                <w:sz w:val="20"/>
                <w:szCs w:val="20"/>
              </w:rPr>
              <w:t>24.8</w:t>
            </w:r>
            <w:r w:rsidRPr="00BF1719">
              <w:rPr>
                <w:rFonts w:ascii="Arial" w:eastAsia="Times New Roman" w:hAnsi="Arial" w:cs="Arial"/>
                <w:spacing w:val="4"/>
                <w:sz w:val="20"/>
                <w:szCs w:val="20"/>
              </w:rPr>
              <w:t xml:space="preserve"> </w:t>
            </w:r>
            <w:r w:rsidRPr="00BF1719">
              <w:rPr>
                <w:rFonts w:ascii="Arial" w:eastAsia="Times New Roman" w:hAnsi="Arial" w:cs="Arial"/>
                <w:spacing w:val="-5"/>
                <w:sz w:val="20"/>
                <w:szCs w:val="20"/>
              </w:rPr>
              <w:t>MW</w:t>
            </w:r>
          </w:p>
        </w:tc>
      </w:tr>
    </w:tbl>
    <w:p w14:paraId="5763B9D0" w14:textId="77777777" w:rsidR="008C19DC" w:rsidRDefault="008C19DC" w:rsidP="008C19DC">
      <w:pPr>
        <w:rPr>
          <w:rFonts w:ascii="Arial" w:hAnsi="Arial" w:cs="Arial"/>
        </w:rPr>
      </w:pPr>
    </w:p>
    <w:p w14:paraId="27DC444B" w14:textId="77777777" w:rsidR="008C19DC" w:rsidRPr="00BF1719" w:rsidRDefault="008C19DC" w:rsidP="008C19DC">
      <w:pPr>
        <w:rPr>
          <w:rFonts w:ascii="Arial" w:hAnsi="Arial" w:cs="Arial"/>
        </w:rPr>
      </w:pPr>
    </w:p>
    <w:p w14:paraId="4834C205" w14:textId="77777777" w:rsidR="008C19DC" w:rsidRPr="00BF1719" w:rsidRDefault="008C19DC" w:rsidP="008C19DC">
      <w:pPr>
        <w:spacing w:line="360" w:lineRule="auto"/>
        <w:rPr>
          <w:rFonts w:ascii="Arial" w:hAnsi="Arial" w:cs="Arial"/>
          <w:b/>
          <w:bCs/>
        </w:rPr>
      </w:pPr>
      <w:r w:rsidRPr="00BF1719">
        <w:rPr>
          <w:rFonts w:ascii="Arial" w:hAnsi="Arial" w:cs="Arial"/>
        </w:rPr>
        <w:tab/>
      </w:r>
      <w:r w:rsidRPr="00BF1719">
        <w:rPr>
          <w:rFonts w:ascii="Arial" w:hAnsi="Arial" w:cs="Arial"/>
          <w:b/>
          <w:bCs/>
        </w:rPr>
        <w:t>4.</w:t>
      </w:r>
      <w:r w:rsidRPr="00BD46B0">
        <w:rPr>
          <w:rFonts w:ascii="Arial" w:hAnsi="Arial" w:cs="Arial"/>
          <w:b/>
          <w:bCs/>
          <w:sz w:val="22"/>
          <w:szCs w:val="22"/>
        </w:rPr>
        <w:t>CONCLUSION</w:t>
      </w:r>
    </w:p>
    <w:p w14:paraId="2B040C50" w14:textId="77777777" w:rsidR="008C19DC" w:rsidRPr="00BF1719" w:rsidRDefault="008C19DC" w:rsidP="008C19DC">
      <w:pPr>
        <w:spacing w:line="360" w:lineRule="auto"/>
        <w:jc w:val="both"/>
        <w:rPr>
          <w:rFonts w:ascii="Arial" w:hAnsi="Arial" w:cs="Arial"/>
          <w:lang w:eastAsia="fr-FR"/>
        </w:rPr>
      </w:pPr>
      <w:r w:rsidRPr="00BF1719">
        <w:rPr>
          <w:rFonts w:ascii="Arial" w:hAnsi="Arial" w:cs="Arial"/>
          <w:lang w:eastAsia="fr-FR"/>
        </w:rPr>
        <w:t xml:space="preserve">This study assessed the potential for residual biomethane production after closure of the </w:t>
      </w:r>
      <w:proofErr w:type="spellStart"/>
      <w:r w:rsidRPr="00BF1719">
        <w:rPr>
          <w:rFonts w:ascii="Arial" w:hAnsi="Arial" w:cs="Arial"/>
          <w:lang w:eastAsia="fr-FR"/>
        </w:rPr>
        <w:t>Akouédo</w:t>
      </w:r>
      <w:proofErr w:type="spellEnd"/>
      <w:r w:rsidRPr="00BF1719">
        <w:rPr>
          <w:rFonts w:ascii="Arial" w:hAnsi="Arial" w:cs="Arial"/>
          <w:lang w:eastAsia="fr-FR"/>
        </w:rPr>
        <w:t xml:space="preserve"> landfill in Abidjan, through comparative modeling based on two first-order decay models: </w:t>
      </w:r>
      <w:proofErr w:type="spellStart"/>
      <w:r w:rsidRPr="00BF1719">
        <w:rPr>
          <w:rFonts w:ascii="Arial" w:hAnsi="Arial" w:cs="Arial"/>
          <w:lang w:eastAsia="fr-FR"/>
        </w:rPr>
        <w:t>LandGEM</w:t>
      </w:r>
      <w:proofErr w:type="spellEnd"/>
      <w:r w:rsidRPr="00BF1719">
        <w:rPr>
          <w:rFonts w:ascii="Arial" w:hAnsi="Arial" w:cs="Arial"/>
          <w:lang w:eastAsia="fr-FR"/>
        </w:rPr>
        <w:t xml:space="preserve"> 3.02 and the IPCC 2006 model. The results showed that, after the official closure of the site in 2018, methane production remains significant for several decades, with a peak observed in 2019 and a gradual decline until 2059. The volumes generated mean that the site can be considered a secondary energy source, still active in the long term.</w:t>
      </w:r>
    </w:p>
    <w:p w14:paraId="55593260" w14:textId="77777777" w:rsidR="008C19DC" w:rsidRPr="00BF1719" w:rsidRDefault="008C19DC" w:rsidP="008C19DC">
      <w:pPr>
        <w:spacing w:line="360" w:lineRule="auto"/>
        <w:jc w:val="both"/>
        <w:rPr>
          <w:rFonts w:ascii="Arial" w:hAnsi="Arial" w:cs="Arial"/>
          <w:lang w:eastAsia="fr-FR"/>
        </w:rPr>
      </w:pPr>
      <w:r w:rsidRPr="00BF1719">
        <w:rPr>
          <w:rFonts w:ascii="Arial" w:hAnsi="Arial" w:cs="Arial"/>
          <w:lang w:eastAsia="fr-FR"/>
        </w:rPr>
        <w:t xml:space="preserve">The energy potential associated with this biogas is high. In 2019, it has been estimated at 288 GWh/year, representing an installable electrical capacity of 24.8 MW according to the IPCC 2006 model, and 11.8 MW according to the </w:t>
      </w:r>
      <w:proofErr w:type="spellStart"/>
      <w:r w:rsidRPr="00BF1719">
        <w:rPr>
          <w:rFonts w:ascii="Arial" w:hAnsi="Arial" w:cs="Arial"/>
          <w:lang w:eastAsia="fr-FR"/>
        </w:rPr>
        <w:t>LandGEM</w:t>
      </w:r>
      <w:proofErr w:type="spellEnd"/>
      <w:r w:rsidRPr="00BF1719">
        <w:rPr>
          <w:rFonts w:ascii="Arial" w:hAnsi="Arial" w:cs="Arial"/>
          <w:lang w:eastAsia="fr-FR"/>
        </w:rPr>
        <w:t xml:space="preserve"> model. Even up to 2038, the available volumes would generate around 6 MW, confirming the technical viability of a cogeneration project on a semi-industrial scale. These data demonstrate the relevance of investing in a cogeneration plant installed directly on the </w:t>
      </w:r>
      <w:proofErr w:type="spellStart"/>
      <w:r w:rsidRPr="00BF1719">
        <w:rPr>
          <w:rFonts w:ascii="Arial" w:hAnsi="Arial" w:cs="Arial"/>
          <w:lang w:eastAsia="fr-FR"/>
        </w:rPr>
        <w:t>Akouédo</w:t>
      </w:r>
      <w:proofErr w:type="spellEnd"/>
      <w:r w:rsidRPr="00BF1719">
        <w:rPr>
          <w:rFonts w:ascii="Arial" w:hAnsi="Arial" w:cs="Arial"/>
          <w:lang w:eastAsia="fr-FR"/>
        </w:rPr>
        <w:t xml:space="preserve"> site, to valorize residual biogas locally.</w:t>
      </w:r>
    </w:p>
    <w:p w14:paraId="59EE7A7E" w14:textId="77777777" w:rsidR="008C19DC" w:rsidRPr="00BF1719" w:rsidRDefault="008C19DC" w:rsidP="008C19DC">
      <w:pPr>
        <w:spacing w:line="360" w:lineRule="auto"/>
        <w:jc w:val="both"/>
        <w:rPr>
          <w:rFonts w:ascii="Arial" w:hAnsi="Arial" w:cs="Arial"/>
          <w:lang w:eastAsia="fr-FR"/>
        </w:rPr>
      </w:pPr>
      <w:r w:rsidRPr="00BF1719">
        <w:rPr>
          <w:rFonts w:ascii="Arial" w:hAnsi="Arial" w:cs="Arial"/>
          <w:lang w:eastAsia="fr-FR"/>
        </w:rPr>
        <w:t>Beyond energy considerations, the installation of such an infrastructure is strategic to support the conversion of the site into an urban park, by ensuring the environmental safety of the subsoil, which is still active in terms of methane production. It would enable methane to be captured and burned in a controlled manner, thus reducing its impact on the climate, while injecting renewable electricity into the local grid.</w:t>
      </w:r>
    </w:p>
    <w:p w14:paraId="2CDE2A03" w14:textId="77777777" w:rsidR="008C19DC" w:rsidRPr="00BF1719" w:rsidRDefault="008C19DC" w:rsidP="008C19DC">
      <w:pPr>
        <w:spacing w:line="360" w:lineRule="auto"/>
        <w:jc w:val="both"/>
        <w:rPr>
          <w:rFonts w:ascii="Arial" w:hAnsi="Arial" w:cs="Arial"/>
          <w:lang w:eastAsia="fr-FR"/>
        </w:rPr>
      </w:pPr>
      <w:r w:rsidRPr="00BF1719">
        <w:rPr>
          <w:rFonts w:ascii="Arial" w:hAnsi="Arial" w:cs="Arial"/>
          <w:lang w:eastAsia="fr-FR"/>
        </w:rPr>
        <w:t>In conclusion, this study fully justifies the immediate installation of a cogeneration system with an initial capacity of 10 MW, depending on the scenario selected. It paves the way for an integrated approach to post-closure landfill management, reconciling sustainable urban development, reduced greenhouse gas emissions and decentralized renewable energy production, in the service of an ambitious and realistic local energy transition for West Africa.</w:t>
      </w:r>
    </w:p>
    <w:p w14:paraId="61FE80B1" w14:textId="77777777" w:rsidR="008C19DC" w:rsidRDefault="008C19DC" w:rsidP="008C19DC">
      <w:pPr>
        <w:rPr>
          <w:rFonts w:ascii="Arial" w:hAnsi="Arial" w:cs="Arial"/>
          <w:b/>
          <w:bCs/>
        </w:rPr>
      </w:pPr>
    </w:p>
    <w:p w14:paraId="02CF62B6" w14:textId="77777777" w:rsidR="00790ADA" w:rsidRPr="00FB3A86" w:rsidRDefault="00790ADA" w:rsidP="00441B6F">
      <w:pPr>
        <w:pStyle w:val="Body"/>
        <w:spacing w:after="0"/>
        <w:rPr>
          <w:rFonts w:ascii="Arial" w:hAnsi="Arial" w:cs="Arial"/>
        </w:rPr>
      </w:pPr>
    </w:p>
    <w:p w14:paraId="3F1284A2" w14:textId="77777777" w:rsidR="005C784C" w:rsidRDefault="005C784C" w:rsidP="00441B6F">
      <w:pPr>
        <w:pStyle w:val="ReferHead"/>
        <w:spacing w:after="0"/>
        <w:jc w:val="both"/>
        <w:rPr>
          <w:rFonts w:ascii="Arial" w:hAnsi="Arial" w:cs="Arial"/>
          <w:b w:val="0"/>
          <w:caps w:val="0"/>
          <w:sz w:val="20"/>
        </w:rPr>
      </w:pPr>
    </w:p>
    <w:p w14:paraId="3CD87D2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845885F" w14:textId="77777777" w:rsidR="00790ADA" w:rsidRPr="00FB3A86" w:rsidRDefault="00790ADA" w:rsidP="00441B6F">
      <w:pPr>
        <w:pStyle w:val="ReferHead"/>
        <w:spacing w:after="0"/>
        <w:jc w:val="both"/>
        <w:rPr>
          <w:rFonts w:ascii="Arial" w:hAnsi="Arial" w:cs="Arial"/>
        </w:rPr>
      </w:pPr>
    </w:p>
    <w:p w14:paraId="19AE7ABA" w14:textId="77777777" w:rsidR="008C19DC" w:rsidRPr="00BF1719" w:rsidRDefault="008C19DC" w:rsidP="008C19DC">
      <w:pPr>
        <w:jc w:val="both"/>
        <w:rPr>
          <w:rFonts w:ascii="Arial" w:hAnsi="Arial" w:cs="Arial"/>
        </w:rPr>
      </w:pPr>
      <w:bookmarkStart w:id="6" w:name="_Hlk202011726"/>
      <w:r w:rsidRPr="007C5C26">
        <w:rPr>
          <w:rFonts w:ascii="Arial" w:hAnsi="Arial" w:cs="Arial"/>
        </w:rPr>
        <w:t>[1</w:t>
      </w:r>
      <w:bookmarkEnd w:id="6"/>
      <w:r w:rsidRPr="007C5C26">
        <w:rPr>
          <w:rFonts w:ascii="Arial" w:hAnsi="Arial" w:cs="Arial"/>
        </w:rPr>
        <w:t xml:space="preserve">] Zhang, Z., Chen, Z., Zhang, J., Liu, Y., Chen, L., Yang, M. </w:t>
      </w:r>
      <w:r w:rsidRPr="007C5C26">
        <w:rPr>
          <w:rFonts w:ascii="Arial" w:hAnsi="Arial" w:cs="Arial"/>
          <w:i/>
          <w:iCs/>
        </w:rPr>
        <w:t>et al</w:t>
      </w:r>
      <w:r w:rsidRPr="007C5C26">
        <w:rPr>
          <w:rFonts w:ascii="Arial" w:hAnsi="Arial" w:cs="Arial"/>
        </w:rPr>
        <w:t xml:space="preserve">. </w:t>
      </w:r>
      <w:r w:rsidRPr="008C19DC">
        <w:rPr>
          <w:rFonts w:ascii="Arial" w:hAnsi="Arial" w:cs="Arial"/>
        </w:rPr>
        <w:t xml:space="preserve">(2024). </w:t>
      </w:r>
      <w:r w:rsidRPr="00BF1719">
        <w:rPr>
          <w:rFonts w:ascii="Arial" w:hAnsi="Arial" w:cs="Arial"/>
        </w:rPr>
        <w:t xml:space="preserve">Municipal solid waste management challenges in developing regions: A comprehensive review and future perspectives for Asia and Africa. Science of the Total Environment, 172794. </w:t>
      </w:r>
      <w:hyperlink r:id="rId19" w:history="1">
        <w:r w:rsidRPr="00742620">
          <w:rPr>
            <w:rStyle w:val="Hyperlink"/>
            <w:rFonts w:ascii="Arial" w:hAnsi="Arial" w:cs="Arial"/>
          </w:rPr>
          <w:t>https://doi.org/10.1016/j.scitotenv.2024.172794</w:t>
        </w:r>
      </w:hyperlink>
      <w:r w:rsidRPr="00BF1719">
        <w:rPr>
          <w:rFonts w:ascii="Arial" w:hAnsi="Arial" w:cs="Arial"/>
        </w:rPr>
        <w:t xml:space="preserve"> </w:t>
      </w:r>
    </w:p>
    <w:p w14:paraId="55A6F6E1" w14:textId="77777777" w:rsidR="008C19DC" w:rsidRPr="00BF1719" w:rsidRDefault="008C19DC" w:rsidP="008C19DC">
      <w:pPr>
        <w:jc w:val="both"/>
        <w:rPr>
          <w:rFonts w:ascii="Arial" w:hAnsi="Arial" w:cs="Arial"/>
          <w:color w:val="222222"/>
          <w:shd w:val="clear" w:color="auto" w:fill="FFFFFF"/>
        </w:rPr>
      </w:pPr>
      <w:bookmarkStart w:id="7" w:name="_Hlk202012038"/>
      <w:r w:rsidRPr="00BF1719">
        <w:rPr>
          <w:rFonts w:ascii="Arial" w:hAnsi="Arial" w:cs="Arial"/>
          <w:color w:val="222222"/>
          <w:shd w:val="clear" w:color="auto" w:fill="FFFFFF"/>
        </w:rPr>
        <w:t xml:space="preserve">[2] </w:t>
      </w:r>
      <w:bookmarkStart w:id="8" w:name="_Hlk202011763"/>
      <w:bookmarkEnd w:id="7"/>
      <w:r w:rsidRPr="00BF1719">
        <w:rPr>
          <w:rFonts w:ascii="Arial" w:hAnsi="Arial" w:cs="Arial"/>
          <w:color w:val="222222"/>
          <w:shd w:val="clear" w:color="auto" w:fill="FFFFFF"/>
        </w:rPr>
        <w:t xml:space="preserve">Idowu, </w:t>
      </w:r>
      <w:bookmarkEnd w:id="8"/>
      <w:r w:rsidRPr="00BF1719">
        <w:rPr>
          <w:rFonts w:ascii="Arial" w:hAnsi="Arial" w:cs="Arial"/>
          <w:color w:val="222222"/>
          <w:shd w:val="clear" w:color="auto" w:fill="FFFFFF"/>
        </w:rPr>
        <w:t xml:space="preserve">I. A., Atherton, W., Hashim, K., Kot, P., </w:t>
      </w:r>
      <w:proofErr w:type="spellStart"/>
      <w:r w:rsidRPr="00BF1719">
        <w:rPr>
          <w:rFonts w:ascii="Arial" w:hAnsi="Arial" w:cs="Arial"/>
          <w:color w:val="222222"/>
          <w:shd w:val="clear" w:color="auto" w:fill="FFFFFF"/>
        </w:rPr>
        <w:t>Alkhaddar</w:t>
      </w:r>
      <w:proofErr w:type="spellEnd"/>
      <w:r w:rsidRPr="00BF1719">
        <w:rPr>
          <w:rFonts w:ascii="Arial" w:hAnsi="Arial" w:cs="Arial"/>
          <w:color w:val="222222"/>
          <w:shd w:val="clear" w:color="auto" w:fill="FFFFFF"/>
        </w:rPr>
        <w:t>, R., Alo, B. I., et al. (2019). An analysis of the status of landfill classification systems in developing countries: Sub Saharan Africa landfill experiences. </w:t>
      </w:r>
      <w:r w:rsidRPr="00BF1719">
        <w:rPr>
          <w:rFonts w:ascii="Arial" w:hAnsi="Arial" w:cs="Arial"/>
          <w:i/>
          <w:iCs/>
          <w:color w:val="222222"/>
          <w:shd w:val="clear" w:color="auto" w:fill="FFFFFF"/>
        </w:rPr>
        <w:t>Waste Management</w:t>
      </w:r>
      <w:r w:rsidRPr="00BF1719">
        <w:rPr>
          <w:rFonts w:ascii="Arial" w:hAnsi="Arial" w:cs="Arial"/>
          <w:color w:val="222222"/>
          <w:shd w:val="clear" w:color="auto" w:fill="FFFFFF"/>
        </w:rPr>
        <w:t>, </w:t>
      </w:r>
      <w:r w:rsidRPr="00BF1719">
        <w:rPr>
          <w:rFonts w:ascii="Arial" w:hAnsi="Arial" w:cs="Arial"/>
          <w:i/>
          <w:iCs/>
          <w:color w:val="222222"/>
          <w:shd w:val="clear" w:color="auto" w:fill="FFFFFF"/>
        </w:rPr>
        <w:t>87</w:t>
      </w:r>
      <w:r w:rsidRPr="00BF1719">
        <w:rPr>
          <w:rFonts w:ascii="Arial" w:hAnsi="Arial" w:cs="Arial"/>
          <w:color w:val="222222"/>
          <w:shd w:val="clear" w:color="auto" w:fill="FFFFFF"/>
        </w:rPr>
        <w:t>, 761-771.</w:t>
      </w:r>
      <w:r w:rsidRPr="00BF1719">
        <w:rPr>
          <w:rFonts w:ascii="Arial" w:hAnsi="Arial" w:cs="Arial"/>
        </w:rPr>
        <w:t xml:space="preserve"> </w:t>
      </w:r>
      <w:hyperlink r:id="rId20" w:history="1">
        <w:r w:rsidRPr="00BF1719">
          <w:rPr>
            <w:rStyle w:val="Hyperlink"/>
            <w:rFonts w:ascii="Arial" w:hAnsi="Arial" w:cs="Arial"/>
            <w:shd w:val="clear" w:color="auto" w:fill="FFFFFF"/>
          </w:rPr>
          <w:t>https://doi.org/10.1016/j.scitotenv.2024.172794</w:t>
        </w:r>
      </w:hyperlink>
      <w:r w:rsidRPr="00BF1719">
        <w:rPr>
          <w:rFonts w:ascii="Arial" w:hAnsi="Arial" w:cs="Arial"/>
          <w:color w:val="222222"/>
          <w:shd w:val="clear" w:color="auto" w:fill="FFFFFF"/>
        </w:rPr>
        <w:t xml:space="preserve"> </w:t>
      </w:r>
    </w:p>
    <w:p w14:paraId="0159F041" w14:textId="77777777" w:rsidR="008C19DC" w:rsidRPr="00BF1719" w:rsidRDefault="008C19DC" w:rsidP="008C19DC">
      <w:pPr>
        <w:jc w:val="both"/>
        <w:rPr>
          <w:rFonts w:ascii="Arial" w:hAnsi="Arial" w:cs="Arial"/>
        </w:rPr>
      </w:pPr>
      <w:bookmarkStart w:id="9" w:name="_Hlk202012892"/>
      <w:r w:rsidRPr="00BF1719">
        <w:rPr>
          <w:rFonts w:ascii="Arial" w:hAnsi="Arial" w:cs="Arial"/>
        </w:rPr>
        <w:t xml:space="preserve">[3] </w:t>
      </w:r>
      <w:bookmarkEnd w:id="9"/>
      <w:r w:rsidRPr="00BF1719">
        <w:rPr>
          <w:rFonts w:ascii="Arial" w:hAnsi="Arial" w:cs="Arial"/>
        </w:rPr>
        <w:t xml:space="preserve">Intergovernmental Panel on Climate Change. (2013). </w:t>
      </w:r>
      <w:r w:rsidRPr="00BF1719">
        <w:rPr>
          <w:rStyle w:val="Emphasis"/>
          <w:rFonts w:ascii="Arial" w:hAnsi="Arial" w:cs="Arial"/>
        </w:rPr>
        <w:t>Climate Change 2013: The Physical Science Basis. Contribution of Working Group I to the Fifth Assessment Report</w:t>
      </w:r>
      <w:r w:rsidRPr="00BF1719">
        <w:rPr>
          <w:rFonts w:ascii="Arial" w:hAnsi="Arial" w:cs="Arial"/>
        </w:rPr>
        <w:t xml:space="preserve"> (T. F. Stocker </w:t>
      </w:r>
      <w:r w:rsidRPr="00BF1719">
        <w:rPr>
          <w:rStyle w:val="Emphasis"/>
          <w:rFonts w:ascii="Arial" w:hAnsi="Arial" w:cs="Arial"/>
        </w:rPr>
        <w:t>et al.</w:t>
      </w:r>
      <w:r w:rsidRPr="00BF1719">
        <w:rPr>
          <w:rFonts w:ascii="Arial" w:hAnsi="Arial" w:cs="Arial"/>
        </w:rPr>
        <w:t xml:space="preserve">, </w:t>
      </w:r>
      <w:proofErr w:type="spellStart"/>
      <w:r w:rsidRPr="00BF1719">
        <w:rPr>
          <w:rFonts w:ascii="Arial" w:hAnsi="Arial" w:cs="Arial"/>
        </w:rPr>
        <w:t>Éds</w:t>
      </w:r>
      <w:proofErr w:type="spellEnd"/>
      <w:r w:rsidRPr="00BF1719">
        <w:rPr>
          <w:rFonts w:ascii="Arial" w:hAnsi="Arial" w:cs="Arial"/>
        </w:rPr>
        <w:t>.). Cambridge, UK: Cambridge University Press</w:t>
      </w:r>
    </w:p>
    <w:p w14:paraId="7262B145" w14:textId="77777777" w:rsidR="008C19DC" w:rsidRPr="00BF1719" w:rsidRDefault="008C19DC" w:rsidP="008C19DC">
      <w:pPr>
        <w:jc w:val="both"/>
        <w:rPr>
          <w:rFonts w:ascii="Arial" w:hAnsi="Arial" w:cs="Arial"/>
          <w:i/>
          <w:iCs/>
        </w:rPr>
      </w:pPr>
      <w:bookmarkStart w:id="10" w:name="_Hlk202013583"/>
      <w:r w:rsidRPr="00BF1719">
        <w:rPr>
          <w:rFonts w:ascii="Arial" w:hAnsi="Arial" w:cs="Arial"/>
        </w:rPr>
        <w:t xml:space="preserve">[4] </w:t>
      </w:r>
      <w:bookmarkEnd w:id="10"/>
      <w:r w:rsidRPr="00BF1719">
        <w:rPr>
          <w:rFonts w:ascii="Arial" w:hAnsi="Arial" w:cs="Arial"/>
        </w:rPr>
        <w:t xml:space="preserve">United Nations Environment </w:t>
      </w:r>
      <w:proofErr w:type="spellStart"/>
      <w:r w:rsidRPr="00BF1719">
        <w:rPr>
          <w:rFonts w:ascii="Arial" w:hAnsi="Arial" w:cs="Arial"/>
        </w:rPr>
        <w:t>Programme</w:t>
      </w:r>
      <w:proofErr w:type="spellEnd"/>
      <w:r w:rsidRPr="00BF1719">
        <w:rPr>
          <w:rFonts w:ascii="Arial" w:hAnsi="Arial" w:cs="Arial"/>
        </w:rPr>
        <w:t xml:space="preserve">/Climate and Clean Air Coalition (2022). </w:t>
      </w:r>
      <w:r w:rsidRPr="00BF1719">
        <w:rPr>
          <w:rFonts w:ascii="Arial" w:hAnsi="Arial" w:cs="Arial"/>
          <w:i/>
          <w:iCs/>
        </w:rPr>
        <w:t>Global Methane Assessment: 2030 Baseline Report. Nairobi</w:t>
      </w:r>
      <w:r w:rsidRPr="00BF1719">
        <w:rPr>
          <w:rFonts w:ascii="Arial" w:hAnsi="Arial" w:cs="Arial"/>
        </w:rPr>
        <w:t>.</w:t>
      </w:r>
    </w:p>
    <w:p w14:paraId="4F37A518" w14:textId="77777777" w:rsidR="008C19DC" w:rsidRPr="00BF1719" w:rsidRDefault="008C19DC" w:rsidP="008C19DC">
      <w:pPr>
        <w:pStyle w:val="NormalWeb"/>
        <w:jc w:val="both"/>
        <w:rPr>
          <w:rFonts w:ascii="Arial" w:hAnsi="Arial" w:cs="Arial"/>
          <w:sz w:val="20"/>
          <w:szCs w:val="20"/>
          <w:lang w:val="en-US"/>
        </w:rPr>
      </w:pPr>
      <w:r w:rsidRPr="00BF1719">
        <w:rPr>
          <w:rStyle w:val="Strong"/>
          <w:rFonts w:ascii="Arial" w:hAnsi="Arial" w:cs="Arial"/>
          <w:sz w:val="20"/>
          <w:szCs w:val="20"/>
          <w:lang w:val="en-US"/>
        </w:rPr>
        <w:t>[5] Huber-Humer, M., Gebert, J., &amp; Hilger, H. (2008).</w:t>
      </w:r>
      <w:r w:rsidRPr="00BF1719">
        <w:rPr>
          <w:rStyle w:val="Strong"/>
          <w:rFonts w:ascii="Arial" w:hAnsi="Arial" w:cs="Arial"/>
          <w:b w:val="0"/>
          <w:bCs w:val="0"/>
          <w:sz w:val="20"/>
          <w:szCs w:val="20"/>
          <w:lang w:val="en-US"/>
        </w:rPr>
        <w:t xml:space="preserve"> </w:t>
      </w:r>
      <w:r w:rsidRPr="00BF1719">
        <w:rPr>
          <w:rStyle w:val="relative"/>
          <w:rFonts w:ascii="Arial" w:hAnsi="Arial" w:cs="Arial"/>
          <w:sz w:val="20"/>
          <w:szCs w:val="20"/>
          <w:lang w:val="en-US"/>
        </w:rPr>
        <w:t xml:space="preserve">Biotic systems to mitigate landfill methane emissions. </w:t>
      </w:r>
      <w:r w:rsidRPr="00BF1719">
        <w:rPr>
          <w:rStyle w:val="Emphasis"/>
          <w:rFonts w:ascii="Arial" w:hAnsi="Arial" w:cs="Arial"/>
          <w:sz w:val="20"/>
          <w:szCs w:val="20"/>
          <w:lang w:val="en-US"/>
        </w:rPr>
        <w:t>Waste Management &amp; Research</w:t>
      </w:r>
      <w:r w:rsidRPr="00BF1719">
        <w:rPr>
          <w:rStyle w:val="relative"/>
          <w:rFonts w:ascii="Arial" w:hAnsi="Arial" w:cs="Arial"/>
          <w:sz w:val="20"/>
          <w:szCs w:val="20"/>
          <w:lang w:val="en-US"/>
        </w:rPr>
        <w:t xml:space="preserve">, 26(1), 33–46. </w:t>
      </w:r>
      <w:hyperlink r:id="rId21" w:history="1">
        <w:r w:rsidRPr="00BF1719">
          <w:rPr>
            <w:rStyle w:val="Hyperlink"/>
            <w:rFonts w:ascii="Arial" w:eastAsia="Arial" w:hAnsi="Arial" w:cs="Arial"/>
            <w:sz w:val="20"/>
            <w:szCs w:val="20"/>
            <w:lang w:val="en-US"/>
          </w:rPr>
          <w:t>https://doi.org/10.1177/0734242X07087977</w:t>
        </w:r>
      </w:hyperlink>
    </w:p>
    <w:p w14:paraId="24C566DB" w14:textId="77777777" w:rsidR="008C19DC" w:rsidRPr="00BF1719" w:rsidRDefault="008C19DC" w:rsidP="008C19DC">
      <w:pPr>
        <w:pStyle w:val="NormalWeb"/>
        <w:jc w:val="both"/>
        <w:rPr>
          <w:rFonts w:ascii="Arial" w:hAnsi="Arial" w:cs="Arial"/>
          <w:sz w:val="20"/>
          <w:szCs w:val="20"/>
          <w:lang w:val="en-US"/>
        </w:rPr>
      </w:pPr>
      <w:bookmarkStart w:id="11" w:name="_Hlk202014428"/>
      <w:r w:rsidRPr="00BF1719">
        <w:rPr>
          <w:rStyle w:val="Strong"/>
          <w:rFonts w:ascii="Arial" w:hAnsi="Arial" w:cs="Arial"/>
          <w:sz w:val="20"/>
          <w:szCs w:val="20"/>
          <w:lang w:val="en-US"/>
        </w:rPr>
        <w:t xml:space="preserve">[6] </w:t>
      </w:r>
      <w:bookmarkStart w:id="12" w:name="_Hlk202013789"/>
      <w:bookmarkEnd w:id="11"/>
      <w:r w:rsidRPr="00BF1719">
        <w:rPr>
          <w:rStyle w:val="Strong"/>
          <w:rFonts w:ascii="Arial" w:hAnsi="Arial" w:cs="Arial"/>
          <w:sz w:val="20"/>
          <w:szCs w:val="20"/>
          <w:lang w:val="en-US"/>
        </w:rPr>
        <w:t>Mønsted</w:t>
      </w:r>
      <w:bookmarkEnd w:id="12"/>
      <w:r w:rsidRPr="00BF1719">
        <w:rPr>
          <w:rStyle w:val="Strong"/>
          <w:rFonts w:ascii="Arial" w:hAnsi="Arial" w:cs="Arial"/>
          <w:sz w:val="20"/>
          <w:szCs w:val="20"/>
          <w:lang w:val="en-US"/>
        </w:rPr>
        <w:t>, J., Kjeldsen, P., &amp; Scheutz, C. (2019).</w:t>
      </w:r>
      <w:r w:rsidRPr="00BF1719">
        <w:rPr>
          <w:rStyle w:val="Strong"/>
          <w:rFonts w:ascii="Arial" w:hAnsi="Arial" w:cs="Arial"/>
          <w:b w:val="0"/>
          <w:bCs w:val="0"/>
          <w:sz w:val="20"/>
          <w:szCs w:val="20"/>
          <w:lang w:val="en-US"/>
        </w:rPr>
        <w:t xml:space="preserve"> </w:t>
      </w:r>
      <w:r w:rsidRPr="00BF1719">
        <w:rPr>
          <w:rStyle w:val="relative"/>
          <w:rFonts w:ascii="Arial" w:hAnsi="Arial" w:cs="Arial"/>
          <w:sz w:val="20"/>
          <w:szCs w:val="20"/>
          <w:lang w:val="en-US"/>
        </w:rPr>
        <w:t xml:space="preserve">Methodologies for measuring fugitive methane emissions from landfills – A review. </w:t>
      </w:r>
      <w:r w:rsidRPr="00BF1719">
        <w:rPr>
          <w:rStyle w:val="Emphasis"/>
          <w:rFonts w:ascii="Arial" w:hAnsi="Arial" w:cs="Arial"/>
          <w:sz w:val="20"/>
          <w:szCs w:val="20"/>
          <w:lang w:val="en-US"/>
        </w:rPr>
        <w:t>Waste Management</w:t>
      </w:r>
      <w:r w:rsidRPr="00BF1719">
        <w:rPr>
          <w:rStyle w:val="relative"/>
          <w:rFonts w:ascii="Arial" w:hAnsi="Arial" w:cs="Arial"/>
          <w:sz w:val="20"/>
          <w:szCs w:val="20"/>
          <w:lang w:val="en-US"/>
        </w:rPr>
        <w:t xml:space="preserve">, 87, 835–859. </w:t>
      </w:r>
      <w:hyperlink r:id="rId22" w:tgtFrame="_new" w:history="1">
        <w:r w:rsidRPr="00BF1719">
          <w:rPr>
            <w:rStyle w:val="Hyperlink"/>
            <w:rFonts w:ascii="Arial" w:eastAsia="Arial" w:hAnsi="Arial" w:cs="Arial"/>
            <w:sz w:val="20"/>
            <w:szCs w:val="20"/>
            <w:lang w:val="en-US"/>
          </w:rPr>
          <w:t>https://doi.org/10.1016/j.wasman.2018.12.047</w:t>
        </w:r>
      </w:hyperlink>
    </w:p>
    <w:p w14:paraId="4407B0EE" w14:textId="77777777" w:rsidR="008C19DC" w:rsidRPr="00BF1719" w:rsidRDefault="008C19DC" w:rsidP="008C19DC">
      <w:pPr>
        <w:rPr>
          <w:rFonts w:ascii="Arial" w:hAnsi="Arial" w:cs="Arial"/>
        </w:rPr>
      </w:pPr>
      <w:r w:rsidRPr="00BF1719">
        <w:rPr>
          <w:rStyle w:val="Strong"/>
          <w:rFonts w:ascii="Arial" w:hAnsi="Arial" w:cs="Arial"/>
        </w:rPr>
        <w:t xml:space="preserve">[7] U.S. Environmental Protection Agency (EPA). (2005). </w:t>
      </w:r>
      <w:r w:rsidRPr="00BF1719">
        <w:rPr>
          <w:rStyle w:val="Emphasis"/>
          <w:rFonts w:ascii="Arial" w:hAnsi="Arial" w:cs="Arial"/>
        </w:rPr>
        <w:t>Landfill Gas Emissions Model (</w:t>
      </w:r>
      <w:proofErr w:type="spellStart"/>
      <w:r w:rsidRPr="00BF1719">
        <w:rPr>
          <w:rStyle w:val="Emphasis"/>
          <w:rFonts w:ascii="Arial" w:hAnsi="Arial" w:cs="Arial"/>
        </w:rPr>
        <w:t>LandGEM</w:t>
      </w:r>
      <w:proofErr w:type="spellEnd"/>
      <w:r w:rsidRPr="00BF1719">
        <w:rPr>
          <w:rStyle w:val="Emphasis"/>
          <w:rFonts w:ascii="Arial" w:hAnsi="Arial" w:cs="Arial"/>
        </w:rPr>
        <w:t>) Version 3.02 User’s Guide</w:t>
      </w:r>
      <w:r w:rsidRPr="00BF1719">
        <w:rPr>
          <w:rFonts w:ascii="Arial" w:hAnsi="Arial" w:cs="Arial"/>
        </w:rPr>
        <w:t xml:space="preserve"> (EPA-600/R-05/047). Cincinnati, OH: EPA Office of Research and Development.  </w:t>
      </w:r>
      <w:hyperlink r:id="rId23" w:tgtFrame="_new" w:history="1">
        <w:r w:rsidRPr="00BF1719">
          <w:rPr>
            <w:rStyle w:val="Hyperlink"/>
            <w:rFonts w:ascii="Arial" w:hAnsi="Arial" w:cs="Arial"/>
          </w:rPr>
          <w:t>https://www3.epa.gov/ttncatc1/dir1/landgem-v302-guide.pdf</w:t>
        </w:r>
      </w:hyperlink>
    </w:p>
    <w:p w14:paraId="761B7E56" w14:textId="77777777" w:rsidR="008C19DC" w:rsidRPr="00BF1719" w:rsidRDefault="008C19DC" w:rsidP="008C19DC">
      <w:pPr>
        <w:rPr>
          <w:rFonts w:ascii="Arial" w:hAnsi="Arial" w:cs="Arial"/>
        </w:rPr>
      </w:pPr>
    </w:p>
    <w:p w14:paraId="17CAAE51" w14:textId="77777777" w:rsidR="008C19DC" w:rsidRPr="00BF1719" w:rsidRDefault="008C19DC" w:rsidP="008C19DC">
      <w:pPr>
        <w:jc w:val="both"/>
        <w:rPr>
          <w:rFonts w:ascii="Arial" w:hAnsi="Arial" w:cs="Arial"/>
        </w:rPr>
      </w:pPr>
      <w:bookmarkStart w:id="13" w:name="_Hlk202014740"/>
      <w:r w:rsidRPr="00BF1719">
        <w:rPr>
          <w:rStyle w:val="Strong"/>
          <w:rFonts w:ascii="Arial" w:hAnsi="Arial" w:cs="Arial"/>
        </w:rPr>
        <w:t xml:space="preserve">[8] </w:t>
      </w:r>
      <w:bookmarkEnd w:id="13"/>
      <w:r w:rsidRPr="00BF1719">
        <w:rPr>
          <w:rStyle w:val="Strong"/>
          <w:rFonts w:ascii="Arial" w:hAnsi="Arial" w:cs="Arial"/>
        </w:rPr>
        <w:t>Eggleston, S., Buendia, L., Miwa, K., Ngara, T., &amp; Tanabe, K. (</w:t>
      </w:r>
      <w:proofErr w:type="spellStart"/>
      <w:r w:rsidRPr="00BF1719">
        <w:rPr>
          <w:rStyle w:val="Strong"/>
          <w:rFonts w:ascii="Arial" w:hAnsi="Arial" w:cs="Arial"/>
        </w:rPr>
        <w:t>Éds</w:t>
      </w:r>
      <w:proofErr w:type="spellEnd"/>
      <w:r w:rsidRPr="00BF1719">
        <w:rPr>
          <w:rStyle w:val="Strong"/>
          <w:rFonts w:ascii="Arial" w:hAnsi="Arial" w:cs="Arial"/>
        </w:rPr>
        <w:t>.). (2006).</w:t>
      </w:r>
      <w:r w:rsidRPr="00BF1719">
        <w:rPr>
          <w:rFonts w:ascii="Arial" w:hAnsi="Arial" w:cs="Arial"/>
          <w:b/>
          <w:bCs/>
        </w:rPr>
        <w:br/>
      </w:r>
      <w:r w:rsidRPr="00BF1719">
        <w:rPr>
          <w:rStyle w:val="Emphasis"/>
          <w:rFonts w:ascii="Arial" w:hAnsi="Arial" w:cs="Arial"/>
        </w:rPr>
        <w:t>2006 IPCC Guidelines for National Greenhouse Gas Inventories</w:t>
      </w:r>
      <w:r w:rsidRPr="00BF1719">
        <w:rPr>
          <w:rFonts w:ascii="Arial" w:hAnsi="Arial" w:cs="Arial"/>
        </w:rPr>
        <w:t xml:space="preserve">. </w:t>
      </w:r>
      <w:proofErr w:type="spellStart"/>
      <w:r w:rsidRPr="00BF1719">
        <w:rPr>
          <w:rFonts w:ascii="Arial" w:hAnsi="Arial" w:cs="Arial"/>
        </w:rPr>
        <w:t>Hayama</w:t>
      </w:r>
      <w:proofErr w:type="spellEnd"/>
      <w:r w:rsidRPr="00BF1719">
        <w:rPr>
          <w:rFonts w:ascii="Arial" w:hAnsi="Arial" w:cs="Arial"/>
        </w:rPr>
        <w:t xml:space="preserve">, </w:t>
      </w:r>
      <w:proofErr w:type="spellStart"/>
      <w:r w:rsidRPr="00BF1719">
        <w:rPr>
          <w:rFonts w:ascii="Arial" w:hAnsi="Arial" w:cs="Arial"/>
        </w:rPr>
        <w:t>Japon</w:t>
      </w:r>
      <w:proofErr w:type="spellEnd"/>
      <w:r w:rsidRPr="00BF1719">
        <w:rPr>
          <w:rFonts w:ascii="Arial" w:hAnsi="Arial" w:cs="Arial"/>
        </w:rPr>
        <w:t xml:space="preserve">: Institute for Global Environmental Strategies.    </w:t>
      </w:r>
      <w:hyperlink r:id="rId24" w:history="1">
        <w:r w:rsidRPr="00BF1719">
          <w:rPr>
            <w:rStyle w:val="Hyperlink"/>
            <w:rFonts w:ascii="Arial" w:hAnsi="Arial" w:cs="Arial"/>
          </w:rPr>
          <w:t>https://www.ipcc-nggip.iges.or.jp/public/2006gl/</w:t>
        </w:r>
      </w:hyperlink>
    </w:p>
    <w:p w14:paraId="558E23AE" w14:textId="77777777" w:rsidR="008C19DC" w:rsidRPr="00BF1719" w:rsidRDefault="008C19DC" w:rsidP="008C19DC">
      <w:pPr>
        <w:jc w:val="both"/>
        <w:rPr>
          <w:rFonts w:ascii="Arial" w:hAnsi="Arial" w:cs="Arial"/>
          <w:i/>
          <w:iCs/>
          <w:color w:val="222222"/>
          <w:shd w:val="clear" w:color="auto" w:fill="FFFFFF"/>
        </w:rPr>
      </w:pPr>
      <w:bookmarkStart w:id="14" w:name="_Hlk202015168"/>
      <w:r w:rsidRPr="00BF1719">
        <w:rPr>
          <w:rFonts w:ascii="Arial" w:hAnsi="Arial" w:cs="Arial"/>
          <w:color w:val="222222"/>
          <w:shd w:val="clear" w:color="auto" w:fill="FFFFFF"/>
        </w:rPr>
        <w:t xml:space="preserve">[9] </w:t>
      </w:r>
      <w:bookmarkStart w:id="15" w:name="_Hlk202014771"/>
      <w:bookmarkEnd w:id="14"/>
      <w:r w:rsidRPr="00BF1719">
        <w:rPr>
          <w:rFonts w:ascii="Arial" w:hAnsi="Arial" w:cs="Arial"/>
          <w:color w:val="222222"/>
          <w:shd w:val="clear" w:color="auto" w:fill="FFFFFF"/>
        </w:rPr>
        <w:t xml:space="preserve">Cyril, </w:t>
      </w:r>
      <w:bookmarkEnd w:id="15"/>
      <w:r w:rsidRPr="00BF1719">
        <w:rPr>
          <w:rFonts w:ascii="Arial" w:hAnsi="Arial" w:cs="Arial"/>
          <w:color w:val="222222"/>
          <w:shd w:val="clear" w:color="auto" w:fill="FFFFFF"/>
        </w:rPr>
        <w:t xml:space="preserve">K. M., Essi, K., </w:t>
      </w:r>
      <w:proofErr w:type="spellStart"/>
      <w:r w:rsidRPr="00BF1719">
        <w:rPr>
          <w:rFonts w:ascii="Arial" w:hAnsi="Arial" w:cs="Arial"/>
          <w:color w:val="222222"/>
          <w:shd w:val="clear" w:color="auto" w:fill="FFFFFF"/>
        </w:rPr>
        <w:t>Agboue</w:t>
      </w:r>
      <w:proofErr w:type="spellEnd"/>
      <w:r w:rsidRPr="00BF1719">
        <w:rPr>
          <w:rFonts w:ascii="Arial" w:hAnsi="Arial" w:cs="Arial"/>
          <w:color w:val="222222"/>
          <w:shd w:val="clear" w:color="auto" w:fill="FFFFFF"/>
        </w:rPr>
        <w:t xml:space="preserve">, A., &amp; Albert, T. (2018). Characterization of the parameters and estimation of potential biogas of a Landfill in tropical area: case study of the principal landfill of Abidjan </w:t>
      </w:r>
      <w:proofErr w:type="spellStart"/>
      <w:r w:rsidRPr="00BF1719">
        <w:rPr>
          <w:rFonts w:ascii="Arial" w:hAnsi="Arial" w:cs="Arial"/>
          <w:color w:val="222222"/>
          <w:shd w:val="clear" w:color="auto" w:fill="FFFFFF"/>
        </w:rPr>
        <w:t>Akouedo</w:t>
      </w:r>
      <w:proofErr w:type="spellEnd"/>
      <w:r w:rsidRPr="00BF1719">
        <w:rPr>
          <w:rFonts w:ascii="Arial" w:hAnsi="Arial" w:cs="Arial"/>
          <w:color w:val="222222"/>
          <w:shd w:val="clear" w:color="auto" w:fill="FFFFFF"/>
        </w:rPr>
        <w:t xml:space="preserve"> landfill. </w:t>
      </w:r>
      <w:r w:rsidRPr="00BF1719">
        <w:rPr>
          <w:rFonts w:ascii="Arial" w:hAnsi="Arial" w:cs="Arial"/>
          <w:i/>
          <w:iCs/>
          <w:color w:val="222222"/>
          <w:shd w:val="clear" w:color="auto" w:fill="FFFFFF"/>
        </w:rPr>
        <w:t>Research &amp; Reviews: Journal of Ecology and Environmental Sciences</w:t>
      </w:r>
      <w:r w:rsidRPr="00BF1719">
        <w:rPr>
          <w:rFonts w:ascii="Arial" w:hAnsi="Arial" w:cs="Arial"/>
          <w:color w:val="222222"/>
          <w:shd w:val="clear" w:color="auto" w:fill="FFFFFF"/>
        </w:rPr>
        <w:t>, </w:t>
      </w:r>
      <w:r w:rsidRPr="00BF1719">
        <w:rPr>
          <w:rFonts w:ascii="Arial" w:hAnsi="Arial" w:cs="Arial"/>
          <w:i/>
          <w:iCs/>
          <w:color w:val="222222"/>
          <w:shd w:val="clear" w:color="auto" w:fill="FFFFFF"/>
        </w:rPr>
        <w:t>6</w:t>
      </w:r>
      <w:r w:rsidRPr="00BF1719">
        <w:rPr>
          <w:rFonts w:ascii="Arial" w:hAnsi="Arial" w:cs="Arial"/>
          <w:color w:val="222222"/>
          <w:shd w:val="clear" w:color="auto" w:fill="FFFFFF"/>
        </w:rPr>
        <w:t>, 43-49.</w:t>
      </w:r>
    </w:p>
    <w:p w14:paraId="48FBA446" w14:textId="77777777" w:rsidR="008C19DC" w:rsidRPr="00BF1719" w:rsidRDefault="008C19DC" w:rsidP="008C19DC">
      <w:pPr>
        <w:jc w:val="both"/>
        <w:rPr>
          <w:rFonts w:ascii="Arial" w:hAnsi="Arial" w:cs="Arial"/>
        </w:rPr>
      </w:pPr>
      <w:r w:rsidRPr="00BF1719">
        <w:rPr>
          <w:rFonts w:ascii="Arial" w:hAnsi="Arial" w:cs="Arial"/>
        </w:rPr>
        <w:t xml:space="preserve">[10] </w:t>
      </w:r>
      <w:bookmarkStart w:id="16" w:name="_Hlk202015699"/>
      <w:r w:rsidRPr="00BF1719">
        <w:rPr>
          <w:rFonts w:ascii="Arial" w:hAnsi="Arial" w:cs="Arial"/>
        </w:rPr>
        <w:t xml:space="preserve">US EPA (2016) </w:t>
      </w:r>
      <w:bookmarkEnd w:id="16"/>
      <w:r w:rsidRPr="00BF1719">
        <w:rPr>
          <w:rFonts w:ascii="Arial" w:hAnsi="Arial" w:cs="Arial"/>
        </w:rPr>
        <w:t xml:space="preserve">Inventory of US greenhouse gas emissions and sinks: 1990–2014, </w:t>
      </w:r>
      <w:proofErr w:type="gramStart"/>
      <w:r w:rsidRPr="00BF1719">
        <w:rPr>
          <w:rFonts w:ascii="Arial" w:hAnsi="Arial" w:cs="Arial"/>
        </w:rPr>
        <w:t xml:space="preserve">EPA  </w:t>
      </w:r>
      <w:proofErr w:type="spellStart"/>
      <w:r w:rsidRPr="00BF1719">
        <w:rPr>
          <w:rFonts w:ascii="Arial" w:hAnsi="Arial" w:cs="Arial"/>
        </w:rPr>
        <w:t>EPA</w:t>
      </w:r>
      <w:proofErr w:type="spellEnd"/>
      <w:proofErr w:type="gramEnd"/>
      <w:r w:rsidRPr="00BF1719">
        <w:rPr>
          <w:rFonts w:ascii="Arial" w:hAnsi="Arial" w:cs="Arial"/>
        </w:rPr>
        <w:t xml:space="preserve"> 430-R-16- 002, Washington</w:t>
      </w:r>
    </w:p>
    <w:p w14:paraId="78D9F801" w14:textId="4E73BB7F" w:rsidR="008C19DC" w:rsidRPr="00BF1719" w:rsidRDefault="008C19DC" w:rsidP="008C19DC">
      <w:pPr>
        <w:jc w:val="both"/>
        <w:rPr>
          <w:rFonts w:ascii="Arial" w:hAnsi="Arial" w:cs="Arial"/>
        </w:rPr>
      </w:pPr>
      <w:bookmarkStart w:id="17" w:name="_Hlk202114832"/>
      <w:r w:rsidRPr="00BF1719">
        <w:rPr>
          <w:rFonts w:ascii="Arial" w:hAnsi="Arial" w:cs="Arial"/>
        </w:rPr>
        <w:t xml:space="preserve">[11] </w:t>
      </w:r>
      <w:bookmarkStart w:id="18" w:name="_Hlk202016095"/>
      <w:bookmarkEnd w:id="17"/>
      <w:r w:rsidRPr="00BF1719">
        <w:rPr>
          <w:rFonts w:ascii="Arial" w:hAnsi="Arial" w:cs="Arial"/>
        </w:rPr>
        <w:t>IPCC (2006</w:t>
      </w:r>
      <w:bookmarkEnd w:id="18"/>
      <w:r w:rsidRPr="00BF1719">
        <w:rPr>
          <w:rFonts w:ascii="Arial" w:hAnsi="Arial" w:cs="Arial"/>
        </w:rPr>
        <w:t>) Guidelines for national greenhouse gas inventories:</w:t>
      </w:r>
      <w:r w:rsidR="006C2646">
        <w:rPr>
          <w:rFonts w:ascii="Arial" w:hAnsi="Arial" w:cs="Arial"/>
        </w:rPr>
        <w:t xml:space="preserve"> </w:t>
      </w:r>
      <w:r w:rsidRPr="00BF1719">
        <w:rPr>
          <w:rFonts w:ascii="Arial" w:hAnsi="Arial" w:cs="Arial"/>
        </w:rPr>
        <w:t>intergovernmental panel on climate change. Waste, vol 5. IGES</w:t>
      </w:r>
    </w:p>
    <w:p w14:paraId="5D0C31C0" w14:textId="77777777" w:rsidR="008C19DC" w:rsidRPr="00BF1719" w:rsidRDefault="008C19DC" w:rsidP="008C19DC">
      <w:pPr>
        <w:jc w:val="both"/>
        <w:rPr>
          <w:rFonts w:ascii="Arial" w:hAnsi="Arial" w:cs="Arial"/>
        </w:rPr>
      </w:pPr>
      <w:r w:rsidRPr="00BF1719">
        <w:rPr>
          <w:rFonts w:ascii="Arial" w:hAnsi="Arial" w:cs="Arial"/>
        </w:rPr>
        <w:t xml:space="preserve">[12] </w:t>
      </w:r>
      <w:bookmarkStart w:id="19" w:name="_Hlk202114871"/>
      <w:r w:rsidRPr="00BF1719">
        <w:rPr>
          <w:rFonts w:ascii="Arial" w:hAnsi="Arial" w:cs="Arial"/>
        </w:rPr>
        <w:t xml:space="preserve">Kim, D., &amp; Kim, J. (2025). </w:t>
      </w:r>
      <w:bookmarkEnd w:id="19"/>
      <w:r w:rsidRPr="00BF1719">
        <w:rPr>
          <w:rFonts w:ascii="Arial" w:hAnsi="Arial" w:cs="Arial"/>
        </w:rPr>
        <w:t xml:space="preserve">Predicting biogas production from organic waste through anaerobic co-digestion. Journal of Cleaner Production, 496, 145122. </w:t>
      </w:r>
      <w:hyperlink r:id="rId25" w:history="1">
        <w:r w:rsidRPr="00BF1719">
          <w:rPr>
            <w:rStyle w:val="Hyperlink"/>
            <w:rFonts w:ascii="Arial" w:hAnsi="Arial" w:cs="Arial"/>
          </w:rPr>
          <w:t>https://doi.org/10.1016/j.jclepro.2025.145122</w:t>
        </w:r>
      </w:hyperlink>
      <w:r w:rsidRPr="00BF1719">
        <w:rPr>
          <w:rFonts w:ascii="Arial" w:hAnsi="Arial" w:cs="Arial"/>
        </w:rPr>
        <w:t xml:space="preserve"> </w:t>
      </w:r>
    </w:p>
    <w:p w14:paraId="37DD8877" w14:textId="77777777" w:rsidR="008C19DC" w:rsidRPr="00BF1719" w:rsidRDefault="008C19DC" w:rsidP="008C19DC">
      <w:pPr>
        <w:jc w:val="both"/>
        <w:rPr>
          <w:rFonts w:ascii="Arial" w:hAnsi="Arial" w:cs="Arial"/>
        </w:rPr>
      </w:pPr>
      <w:r w:rsidRPr="00BF1719">
        <w:rPr>
          <w:rFonts w:ascii="Arial" w:hAnsi="Arial" w:cs="Arial"/>
        </w:rPr>
        <w:t xml:space="preserve">[13] </w:t>
      </w:r>
      <w:bookmarkStart w:id="20" w:name="_Hlk202116398"/>
      <w:proofErr w:type="spellStart"/>
      <w:r w:rsidRPr="00BF1719">
        <w:rPr>
          <w:rFonts w:ascii="Arial" w:hAnsi="Arial" w:cs="Arial"/>
        </w:rPr>
        <w:t>Ntakiyiruta</w:t>
      </w:r>
      <w:proofErr w:type="spellEnd"/>
      <w:r w:rsidRPr="00BF1719">
        <w:rPr>
          <w:rFonts w:ascii="Arial" w:hAnsi="Arial" w:cs="Arial"/>
        </w:rPr>
        <w:t xml:space="preserve">, </w:t>
      </w:r>
      <w:bookmarkEnd w:id="20"/>
      <w:r w:rsidRPr="00BF1719">
        <w:rPr>
          <w:rFonts w:ascii="Arial" w:hAnsi="Arial" w:cs="Arial"/>
        </w:rPr>
        <w:t xml:space="preserve">P., </w:t>
      </w:r>
      <w:proofErr w:type="spellStart"/>
      <w:r w:rsidRPr="00BF1719">
        <w:rPr>
          <w:rFonts w:ascii="Arial" w:hAnsi="Arial" w:cs="Arial"/>
        </w:rPr>
        <w:t>Agossi</w:t>
      </w:r>
      <w:proofErr w:type="spellEnd"/>
      <w:r w:rsidRPr="00BF1719">
        <w:rPr>
          <w:rFonts w:ascii="Arial" w:hAnsi="Arial" w:cs="Arial"/>
        </w:rPr>
        <w:t xml:space="preserve">, D. A. P., Briton, B. G. H., &amp; Hien, S. A. (2024). Biogas Potential of Wastewater Sludge from a Palm Oil Refinery Plant.  DOI:10.31695/IJASRE.2024.10.1 </w:t>
      </w:r>
    </w:p>
    <w:p w14:paraId="48C8FE6B" w14:textId="77777777" w:rsidR="008C19DC" w:rsidRPr="00BF1719" w:rsidRDefault="008C19DC" w:rsidP="008C19DC">
      <w:pPr>
        <w:jc w:val="both"/>
        <w:rPr>
          <w:rFonts w:ascii="Arial" w:hAnsi="Arial" w:cs="Arial"/>
        </w:rPr>
      </w:pPr>
      <w:r w:rsidRPr="00BF1719">
        <w:rPr>
          <w:rFonts w:ascii="Arial" w:hAnsi="Arial" w:cs="Arial"/>
        </w:rPr>
        <w:t xml:space="preserve">[14] </w:t>
      </w:r>
      <w:bookmarkStart w:id="21" w:name="_Hlk202104581"/>
      <w:r w:rsidRPr="00BF1719">
        <w:rPr>
          <w:rFonts w:ascii="Arial" w:hAnsi="Arial" w:cs="Arial"/>
        </w:rPr>
        <w:t>Abu-</w:t>
      </w:r>
      <w:proofErr w:type="spellStart"/>
      <w:r w:rsidRPr="00BF1719">
        <w:rPr>
          <w:rFonts w:ascii="Arial" w:hAnsi="Arial" w:cs="Arial"/>
        </w:rPr>
        <w:t>Qdais</w:t>
      </w:r>
      <w:proofErr w:type="spellEnd"/>
      <w:r w:rsidRPr="00BF1719">
        <w:rPr>
          <w:rFonts w:ascii="Arial" w:hAnsi="Arial" w:cs="Arial"/>
        </w:rPr>
        <w:t xml:space="preserve"> </w:t>
      </w:r>
      <w:bookmarkEnd w:id="21"/>
      <w:r w:rsidRPr="00BF1719">
        <w:rPr>
          <w:rFonts w:ascii="Arial" w:hAnsi="Arial" w:cs="Arial"/>
        </w:rPr>
        <w:t xml:space="preserve">H, Abdullah F, </w:t>
      </w:r>
      <w:proofErr w:type="spellStart"/>
      <w:r w:rsidRPr="00BF1719">
        <w:rPr>
          <w:rFonts w:ascii="Arial" w:hAnsi="Arial" w:cs="Arial"/>
        </w:rPr>
        <w:t>Qrenawi</w:t>
      </w:r>
      <w:proofErr w:type="spellEnd"/>
      <w:r w:rsidRPr="00BF1719">
        <w:rPr>
          <w:rFonts w:ascii="Arial" w:hAnsi="Arial" w:cs="Arial"/>
        </w:rPr>
        <w:t xml:space="preserve"> L. (2010). Solid waste landfills as a source of green energy: case study of Al </w:t>
      </w:r>
      <w:proofErr w:type="spellStart"/>
      <w:r w:rsidRPr="00BF1719">
        <w:rPr>
          <w:rFonts w:ascii="Arial" w:hAnsi="Arial" w:cs="Arial"/>
        </w:rPr>
        <w:t>Akeeder</w:t>
      </w:r>
      <w:proofErr w:type="spellEnd"/>
      <w:r w:rsidRPr="00BF1719">
        <w:rPr>
          <w:rFonts w:ascii="Arial" w:hAnsi="Arial" w:cs="Arial"/>
        </w:rPr>
        <w:t xml:space="preserve"> Landfill. Jordan Journal of Mechanical and Industrial Engineering, 4:69–74.</w:t>
      </w:r>
    </w:p>
    <w:p w14:paraId="61D529C2" w14:textId="77777777" w:rsidR="008C19DC" w:rsidRPr="00BF1719" w:rsidRDefault="008C19DC" w:rsidP="008C19DC">
      <w:pPr>
        <w:jc w:val="both"/>
        <w:rPr>
          <w:rFonts w:ascii="Arial" w:hAnsi="Arial" w:cs="Arial"/>
        </w:rPr>
      </w:pPr>
      <w:r w:rsidRPr="00BF1719">
        <w:rPr>
          <w:rFonts w:ascii="Arial" w:hAnsi="Arial" w:cs="Arial"/>
        </w:rPr>
        <w:t xml:space="preserve">[15] Engineers, S. C. S. (2009). User's manual </w:t>
      </w:r>
      <w:proofErr w:type="spellStart"/>
      <w:r w:rsidRPr="00BF1719">
        <w:rPr>
          <w:rFonts w:ascii="Arial" w:hAnsi="Arial" w:cs="Arial"/>
        </w:rPr>
        <w:t>mexico</w:t>
      </w:r>
      <w:proofErr w:type="spellEnd"/>
      <w:r w:rsidRPr="00BF1719">
        <w:rPr>
          <w:rFonts w:ascii="Arial" w:hAnsi="Arial" w:cs="Arial"/>
        </w:rPr>
        <w:t xml:space="preserve"> landfill gas model version 2.0. USEPA 2009.</w:t>
      </w:r>
    </w:p>
    <w:p w14:paraId="49AFDDFA" w14:textId="77777777" w:rsidR="008C19DC" w:rsidRPr="00BF1719" w:rsidRDefault="008C19DC" w:rsidP="008C19DC">
      <w:pPr>
        <w:jc w:val="both"/>
        <w:rPr>
          <w:rFonts w:ascii="Arial" w:hAnsi="Arial" w:cs="Arial"/>
        </w:rPr>
      </w:pPr>
      <w:bookmarkStart w:id="22" w:name="_Hlk202103957"/>
      <w:r w:rsidRPr="00BF1719">
        <w:rPr>
          <w:rFonts w:ascii="Arial" w:hAnsi="Arial" w:cs="Arial"/>
        </w:rPr>
        <w:lastRenderedPageBreak/>
        <w:t xml:space="preserve">[16] Zairi, </w:t>
      </w:r>
      <w:bookmarkEnd w:id="22"/>
      <w:r w:rsidRPr="00BF1719">
        <w:rPr>
          <w:rFonts w:ascii="Arial" w:hAnsi="Arial" w:cs="Arial"/>
        </w:rPr>
        <w:t xml:space="preserve">M., Aydi, A., &amp; Dhia, H. B. (2014). Leachate generation and biogas energy recovery in the Jebel Chakir municipal solid waste landfill, Tunisia. </w:t>
      </w:r>
      <w:r w:rsidRPr="00BF1719">
        <w:rPr>
          <w:rFonts w:ascii="Arial" w:hAnsi="Arial" w:cs="Arial"/>
          <w:i/>
          <w:iCs/>
        </w:rPr>
        <w:t>Journal of Material Cycles and Waste Management</w:t>
      </w:r>
      <w:r w:rsidRPr="00BF1719">
        <w:rPr>
          <w:rFonts w:ascii="Arial" w:hAnsi="Arial" w:cs="Arial"/>
        </w:rPr>
        <w:t>, 16(1), 141-150. DOI 10.1007/s10163-013-0164-3</w:t>
      </w:r>
    </w:p>
    <w:p w14:paraId="7AE3AC3D" w14:textId="77777777" w:rsidR="008C19DC" w:rsidRPr="00BF1719" w:rsidRDefault="008C19DC" w:rsidP="008C19DC">
      <w:pPr>
        <w:jc w:val="both"/>
        <w:rPr>
          <w:rFonts w:ascii="Arial" w:hAnsi="Arial" w:cs="Arial"/>
        </w:rPr>
      </w:pPr>
      <w:r w:rsidRPr="00BF1719">
        <w:rPr>
          <w:rFonts w:ascii="Arial" w:hAnsi="Arial" w:cs="Arial"/>
        </w:rPr>
        <w:t>[17]</w:t>
      </w:r>
      <w:bookmarkStart w:id="23" w:name="_Hlk202105138"/>
      <w:r w:rsidRPr="00BF1719">
        <w:rPr>
          <w:rFonts w:ascii="Arial" w:hAnsi="Arial" w:cs="Arial"/>
        </w:rPr>
        <w:t xml:space="preserve"> </w:t>
      </w:r>
      <w:bookmarkEnd w:id="23"/>
      <w:r w:rsidRPr="00BF1719">
        <w:rPr>
          <w:rFonts w:ascii="Arial" w:hAnsi="Arial" w:cs="Arial"/>
        </w:rPr>
        <w:t xml:space="preserve">Rico, C., Diego, R., Valcarce, A., &amp; Rico, J. L. (2014). Biogas production from various typical organic wastes generated in the region of </w:t>
      </w:r>
      <w:proofErr w:type="spellStart"/>
      <w:r w:rsidRPr="00BF1719">
        <w:rPr>
          <w:rFonts w:ascii="Arial" w:hAnsi="Arial" w:cs="Arial"/>
        </w:rPr>
        <w:t>cantabria</w:t>
      </w:r>
      <w:proofErr w:type="spellEnd"/>
      <w:r w:rsidRPr="00BF1719">
        <w:rPr>
          <w:rFonts w:ascii="Arial" w:hAnsi="Arial" w:cs="Arial"/>
        </w:rPr>
        <w:t xml:space="preserve"> (Spain): methane yields and co-digestion tests. </w:t>
      </w:r>
      <w:r w:rsidRPr="008C19DC">
        <w:rPr>
          <w:rFonts w:ascii="Arial" w:hAnsi="Arial" w:cs="Arial"/>
          <w:i/>
          <w:iCs/>
        </w:rPr>
        <w:t>Smart Grid and Renewable Energy</w:t>
      </w:r>
      <w:r w:rsidRPr="008C19DC">
        <w:rPr>
          <w:rFonts w:ascii="Arial" w:hAnsi="Arial" w:cs="Arial"/>
        </w:rPr>
        <w:t>, </w:t>
      </w:r>
      <w:r w:rsidRPr="008C19DC">
        <w:rPr>
          <w:rFonts w:ascii="Arial" w:hAnsi="Arial" w:cs="Arial"/>
          <w:i/>
          <w:iCs/>
        </w:rPr>
        <w:t>5</w:t>
      </w:r>
      <w:r w:rsidRPr="008C19DC">
        <w:rPr>
          <w:rFonts w:ascii="Arial" w:hAnsi="Arial" w:cs="Arial"/>
        </w:rPr>
        <w:t>(6), 128-136.</w:t>
      </w:r>
      <w:r w:rsidRPr="00BF1719">
        <w:rPr>
          <w:rFonts w:ascii="Arial" w:hAnsi="Arial" w:cs="Arial"/>
          <w:b/>
          <w:bCs/>
          <w:color w:val="232323"/>
          <w:shd w:val="clear" w:color="auto" w:fill="FFFFFF"/>
        </w:rPr>
        <w:t xml:space="preserve"> </w:t>
      </w:r>
      <w:r w:rsidRPr="00BF1719">
        <w:rPr>
          <w:rFonts w:ascii="Arial" w:hAnsi="Arial" w:cs="Arial"/>
          <w:b/>
          <w:bCs/>
        </w:rPr>
        <w:t>DOI: </w:t>
      </w:r>
      <w:hyperlink r:id="rId26" w:tgtFrame="_blank" w:history="1">
        <w:r w:rsidRPr="00BF1719">
          <w:rPr>
            <w:rStyle w:val="Hyperlink"/>
            <w:rFonts w:ascii="Arial" w:hAnsi="Arial" w:cs="Arial"/>
          </w:rPr>
          <w:t>10.4236/sgre.2014.56012</w:t>
        </w:r>
      </w:hyperlink>
      <w:r w:rsidRPr="00BF1719">
        <w:rPr>
          <w:rFonts w:ascii="Arial" w:hAnsi="Arial" w:cs="Arial"/>
        </w:rPr>
        <w:t>  </w:t>
      </w:r>
    </w:p>
    <w:p w14:paraId="0B5399FF" w14:textId="77777777" w:rsidR="008C19DC" w:rsidRPr="00BF1719" w:rsidRDefault="008C19DC" w:rsidP="008C19DC">
      <w:pPr>
        <w:jc w:val="both"/>
        <w:rPr>
          <w:rFonts w:ascii="Arial" w:hAnsi="Arial" w:cs="Arial"/>
        </w:rPr>
      </w:pPr>
      <w:r w:rsidRPr="00BF1719">
        <w:rPr>
          <w:rFonts w:ascii="Arial" w:hAnsi="Arial" w:cs="Arial"/>
        </w:rPr>
        <w:t>[18]</w:t>
      </w:r>
      <w:r w:rsidRPr="00BF1719">
        <w:rPr>
          <w:rFonts w:ascii="Arial" w:hAnsi="Arial" w:cs="Arial"/>
        </w:rPr>
        <w:tab/>
        <w:t>CIE RAPPORT ANNUEL 2015</w:t>
      </w:r>
    </w:p>
    <w:p w14:paraId="21478C9A" w14:textId="77777777" w:rsidR="008C19DC" w:rsidRPr="00BF1719" w:rsidRDefault="00854DBB" w:rsidP="008C19DC">
      <w:pPr>
        <w:jc w:val="both"/>
        <w:rPr>
          <w:rFonts w:ascii="Arial" w:hAnsi="Arial" w:cs="Arial"/>
        </w:rPr>
      </w:pPr>
      <w:hyperlink r:id="rId27" w:history="1">
        <w:r w:rsidR="008C19DC" w:rsidRPr="00BF1719">
          <w:rPr>
            <w:rStyle w:val="Hyperlink"/>
            <w:rFonts w:ascii="Arial" w:hAnsi="Arial" w:cs="Arial"/>
          </w:rPr>
          <w:t>www.cie.ci/ebook/rapportannuel_2015/docs/rapportannuel_2015.pdf</w:t>
        </w:r>
      </w:hyperlink>
      <w:r w:rsidR="008C19DC" w:rsidRPr="00BF1719">
        <w:rPr>
          <w:rFonts w:ascii="Arial" w:hAnsi="Arial" w:cs="Arial"/>
        </w:rPr>
        <w:t xml:space="preserve"> , accessed on August 20, 2018.</w:t>
      </w:r>
    </w:p>
    <w:p w14:paraId="50E9B5ED" w14:textId="77777777" w:rsidR="008C19DC" w:rsidRPr="00BF1719" w:rsidRDefault="008C19DC" w:rsidP="008C19DC">
      <w:pPr>
        <w:rPr>
          <w:rFonts w:ascii="Arial" w:hAnsi="Arial" w:cs="Arial"/>
        </w:rPr>
      </w:pPr>
      <w:r w:rsidRPr="00BF1719">
        <w:rPr>
          <w:rFonts w:ascii="Arial" w:hAnsi="Arial" w:cs="Arial"/>
        </w:rPr>
        <w:t xml:space="preserve">[19] </w:t>
      </w:r>
      <w:bookmarkStart w:id="24" w:name="_Hlk202106447"/>
      <w:r w:rsidRPr="00BF1719">
        <w:rPr>
          <w:rFonts w:ascii="Arial" w:hAnsi="Arial" w:cs="Arial"/>
        </w:rPr>
        <w:t>Scharff, H., &amp; Jacobs, J. (2006)</w:t>
      </w:r>
      <w:bookmarkEnd w:id="24"/>
      <w:r w:rsidRPr="00BF1719">
        <w:rPr>
          <w:rFonts w:ascii="Arial" w:hAnsi="Arial" w:cs="Arial"/>
        </w:rPr>
        <w:t xml:space="preserve">. Applying guidance for methane emission estimation for landfills. </w:t>
      </w:r>
      <w:r w:rsidRPr="00BF1719">
        <w:rPr>
          <w:rFonts w:ascii="Arial" w:hAnsi="Arial" w:cs="Arial"/>
          <w:i/>
          <w:iCs/>
        </w:rPr>
        <w:t>Waste Management</w:t>
      </w:r>
      <w:r w:rsidRPr="00BF1719">
        <w:rPr>
          <w:rFonts w:ascii="Arial" w:hAnsi="Arial" w:cs="Arial"/>
        </w:rPr>
        <w:t xml:space="preserve">, 26 (4), 417-429. </w:t>
      </w:r>
      <w:proofErr w:type="gramStart"/>
      <w:r w:rsidRPr="008C19DC">
        <w:rPr>
          <w:rFonts w:ascii="Arial" w:hAnsi="Arial" w:cs="Arial"/>
        </w:rPr>
        <w:t>doi:10.1016/j.wasman</w:t>
      </w:r>
      <w:proofErr w:type="gramEnd"/>
      <w:r w:rsidRPr="008C19DC">
        <w:rPr>
          <w:rFonts w:ascii="Arial" w:hAnsi="Arial" w:cs="Arial"/>
        </w:rPr>
        <w:t>.2005.11.015</w:t>
      </w:r>
      <w:r w:rsidRPr="00BF1719">
        <w:rPr>
          <w:rFonts w:ascii="Arial" w:hAnsi="Arial" w:cs="Arial"/>
        </w:rPr>
        <w:t xml:space="preserve"> </w:t>
      </w:r>
    </w:p>
    <w:p w14:paraId="30F537F7" w14:textId="77777777" w:rsidR="008C19DC" w:rsidRPr="00BF1719" w:rsidRDefault="008C19DC" w:rsidP="008C19DC">
      <w:pPr>
        <w:jc w:val="both"/>
        <w:rPr>
          <w:rFonts w:ascii="Arial" w:hAnsi="Arial" w:cs="Arial"/>
        </w:rPr>
      </w:pPr>
      <w:r w:rsidRPr="00BF1719">
        <w:rPr>
          <w:rFonts w:ascii="Arial" w:hAnsi="Arial" w:cs="Arial"/>
        </w:rPr>
        <w:t xml:space="preserve">[20] Mebarki, B., </w:t>
      </w:r>
      <w:proofErr w:type="spellStart"/>
      <w:r w:rsidRPr="00BF1719">
        <w:rPr>
          <w:rFonts w:ascii="Arial" w:hAnsi="Arial" w:cs="Arial"/>
        </w:rPr>
        <w:t>Adouane</w:t>
      </w:r>
      <w:proofErr w:type="spellEnd"/>
      <w:r w:rsidRPr="00BF1719">
        <w:rPr>
          <w:rFonts w:ascii="Arial" w:hAnsi="Arial" w:cs="Arial"/>
        </w:rPr>
        <w:t xml:space="preserve">, B., Khaldi, F., </w:t>
      </w:r>
      <w:proofErr w:type="spellStart"/>
      <w:r w:rsidRPr="00BF1719">
        <w:rPr>
          <w:rFonts w:ascii="Arial" w:hAnsi="Arial" w:cs="Arial"/>
        </w:rPr>
        <w:t>Dehimi</w:t>
      </w:r>
      <w:proofErr w:type="spellEnd"/>
      <w:r w:rsidRPr="00BF1719">
        <w:rPr>
          <w:rFonts w:ascii="Arial" w:hAnsi="Arial" w:cs="Arial"/>
        </w:rPr>
        <w:t xml:space="preserve">, S., &amp; Haddad, D. (2015). Theoretical estimation of the production of biogas from the landfill of </w:t>
      </w:r>
      <w:proofErr w:type="spellStart"/>
      <w:r w:rsidRPr="00BF1719">
        <w:rPr>
          <w:rFonts w:ascii="Arial" w:hAnsi="Arial" w:cs="Arial"/>
        </w:rPr>
        <w:t>Batna</w:t>
      </w:r>
      <w:proofErr w:type="spellEnd"/>
      <w:r w:rsidRPr="00BF1719">
        <w:rPr>
          <w:rFonts w:ascii="Arial" w:hAnsi="Arial" w:cs="Arial"/>
        </w:rPr>
        <w:t xml:space="preserve"> city and its electrical conversion by a SOFC. </w:t>
      </w:r>
      <w:r w:rsidRPr="00BF1719">
        <w:rPr>
          <w:rFonts w:ascii="Arial" w:hAnsi="Arial" w:cs="Arial"/>
          <w:i/>
          <w:iCs/>
        </w:rPr>
        <w:t>International Journal of Hydrogen Energy</w:t>
      </w:r>
      <w:r w:rsidRPr="00BF1719">
        <w:rPr>
          <w:rFonts w:ascii="Arial" w:hAnsi="Arial" w:cs="Arial"/>
        </w:rPr>
        <w:t xml:space="preserve">, 40(39), 13799-13805. </w:t>
      </w:r>
      <w:hyperlink r:id="rId28" w:tgtFrame="_blank" w:tooltip="Persistent link using digital object identifier" w:history="1">
        <w:r w:rsidRPr="00BF1719">
          <w:rPr>
            <w:rStyle w:val="Hyperlink"/>
            <w:rFonts w:ascii="Arial" w:hAnsi="Arial" w:cs="Arial"/>
          </w:rPr>
          <w:t>https://doi.org/10.1016/j.ijhydene.2015.03.062</w:t>
        </w:r>
      </w:hyperlink>
    </w:p>
    <w:p w14:paraId="4A70C3AA" w14:textId="77777777" w:rsidR="008C19DC" w:rsidRPr="00BF1719" w:rsidRDefault="008C19DC" w:rsidP="008C19DC">
      <w:pPr>
        <w:jc w:val="both"/>
        <w:rPr>
          <w:rFonts w:ascii="Arial" w:hAnsi="Arial" w:cs="Arial"/>
        </w:rPr>
      </w:pPr>
      <w:r w:rsidRPr="00BF1719">
        <w:rPr>
          <w:rFonts w:ascii="Arial" w:hAnsi="Arial" w:cs="Arial"/>
        </w:rPr>
        <w:t xml:space="preserve">[21] Aguilar-Virgen, Q., Taboada-González, P., Ojeda-Benítez, S., &amp; Cruz-Sotelo, S. (2014). Power generation with biogas from municipal solid waste: Prediction of gas generation with in situ parameters. </w:t>
      </w:r>
      <w:r w:rsidRPr="00BF1719">
        <w:rPr>
          <w:rFonts w:ascii="Arial" w:hAnsi="Arial" w:cs="Arial"/>
          <w:i/>
          <w:iCs/>
        </w:rPr>
        <w:t>Renewable and Sustainable Energy Reviews</w:t>
      </w:r>
      <w:r w:rsidRPr="00BF1719">
        <w:rPr>
          <w:rFonts w:ascii="Arial" w:hAnsi="Arial" w:cs="Arial"/>
        </w:rPr>
        <w:t xml:space="preserve">, 30, 412-419. </w:t>
      </w:r>
      <w:hyperlink r:id="rId29" w:history="1">
        <w:r w:rsidRPr="00BF1719">
          <w:rPr>
            <w:rStyle w:val="Hyperlink"/>
            <w:rFonts w:ascii="Arial" w:hAnsi="Arial" w:cs="Arial"/>
          </w:rPr>
          <w:t>http://dx.doi.org/10.1016/j.rser.2013.10.014</w:t>
        </w:r>
      </w:hyperlink>
      <w:r w:rsidRPr="00BF1719">
        <w:rPr>
          <w:rFonts w:ascii="Arial" w:hAnsi="Arial" w:cs="Arial"/>
        </w:rPr>
        <w:t xml:space="preserve"> </w:t>
      </w:r>
    </w:p>
    <w:p w14:paraId="630F2ECA" w14:textId="77777777" w:rsidR="008C19DC" w:rsidRPr="00BF1719" w:rsidRDefault="008C19DC" w:rsidP="008C19DC">
      <w:pPr>
        <w:rPr>
          <w:rFonts w:ascii="Arial" w:hAnsi="Arial" w:cs="Arial"/>
        </w:rPr>
      </w:pPr>
    </w:p>
    <w:p w14:paraId="1955E5B2" w14:textId="77777777" w:rsidR="00B01FCD" w:rsidRPr="00FB3A86" w:rsidRDefault="00B01FCD" w:rsidP="008C19DC">
      <w:pPr>
        <w:pStyle w:val="Body"/>
        <w:spacing w:after="0"/>
        <w:rPr>
          <w:rFonts w:ascii="Arial" w:hAnsi="Arial" w:cs="Arial"/>
          <w:b/>
        </w:rPr>
      </w:pPr>
    </w:p>
    <w:sectPr w:rsidR="00B01FCD" w:rsidRPr="00FB3A86" w:rsidSect="00AB751B">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72A5B" w14:textId="77777777" w:rsidR="00854DBB" w:rsidRDefault="00854DBB" w:rsidP="00C37E61">
      <w:r>
        <w:separator/>
      </w:r>
    </w:p>
  </w:endnote>
  <w:endnote w:type="continuationSeparator" w:id="0">
    <w:p w14:paraId="27D2A44B" w14:textId="77777777" w:rsidR="00854DBB" w:rsidRDefault="00854D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3D21" w14:textId="77777777" w:rsidR="00AB751B" w:rsidRDefault="00AB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30EC" w14:textId="31879284" w:rsidR="008C19DC" w:rsidRDefault="008C19D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1233C" w14:textId="1AB7DBA7" w:rsidR="008C19DC" w:rsidRPr="00AB751B" w:rsidRDefault="008C19DC" w:rsidP="00AB751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24C8" w14:textId="77777777" w:rsidR="008C19DC" w:rsidRPr="00C37E61" w:rsidRDefault="008C19D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A0CA4" w14:textId="77777777" w:rsidR="00854DBB" w:rsidRDefault="00854DBB" w:rsidP="00C37E61">
      <w:r>
        <w:separator/>
      </w:r>
    </w:p>
  </w:footnote>
  <w:footnote w:type="continuationSeparator" w:id="0">
    <w:p w14:paraId="4439EF10" w14:textId="77777777" w:rsidR="00854DBB" w:rsidRDefault="00854D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3D3C" w14:textId="125CDF53" w:rsidR="00AB751B" w:rsidRDefault="00AB751B">
    <w:pPr>
      <w:pStyle w:val="Header"/>
    </w:pPr>
    <w:r>
      <w:rPr>
        <w:noProof/>
      </w:rPr>
      <w:pict w14:anchorId="12599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73B6" w14:textId="57B12C8A" w:rsidR="00AB751B" w:rsidRDefault="00AB751B">
    <w:pPr>
      <w:pStyle w:val="Header"/>
    </w:pPr>
    <w:r>
      <w:rPr>
        <w:noProof/>
      </w:rPr>
      <w:pict w14:anchorId="72C3A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886B" w14:textId="7FB82637" w:rsidR="008C19DC" w:rsidRPr="00296529" w:rsidRDefault="00AB751B" w:rsidP="00296529">
    <w:pPr>
      <w:ind w:left="2160"/>
      <w:jc w:val="center"/>
      <w:rPr>
        <w:rFonts w:ascii="Times New Roman" w:eastAsia="Calibri" w:hAnsi="Times New Roman"/>
        <w:i/>
        <w:sz w:val="18"/>
        <w:szCs w:val="22"/>
      </w:rPr>
    </w:pPr>
    <w:r>
      <w:rPr>
        <w:noProof/>
      </w:rPr>
      <w:pict w14:anchorId="76143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D495486" w14:textId="77777777" w:rsidR="008C19DC" w:rsidRPr="00296529" w:rsidRDefault="008C19D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13C88D9" w14:textId="77777777" w:rsidR="008C19DC" w:rsidRPr="00296529" w:rsidRDefault="008C19D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5AC385" w14:textId="77777777" w:rsidR="008C19DC" w:rsidRPr="00296529" w:rsidRDefault="008C19D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0BCB97" w14:textId="77777777" w:rsidR="008C19DC" w:rsidRDefault="008C19D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8E2683" w14:textId="77777777" w:rsidR="008C19DC" w:rsidRDefault="008C19D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A685471" w14:textId="77777777" w:rsidR="008C19DC" w:rsidRDefault="008C19D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EB07" w14:textId="73B9D470" w:rsidR="00AB751B" w:rsidRDefault="00AB751B">
    <w:pPr>
      <w:pStyle w:val="Header"/>
    </w:pPr>
    <w:r>
      <w:rPr>
        <w:noProof/>
      </w:rPr>
      <w:pict w14:anchorId="68788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E09D" w14:textId="4F9F9C91" w:rsidR="00AB751B" w:rsidRDefault="00AB751B">
    <w:pPr>
      <w:pStyle w:val="Header"/>
    </w:pPr>
    <w:r>
      <w:rPr>
        <w:noProof/>
      </w:rPr>
      <w:pict w14:anchorId="3224F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4506" w14:textId="4539FBF3" w:rsidR="00AB751B" w:rsidRDefault="00AB751B">
    <w:pPr>
      <w:pStyle w:val="Header"/>
    </w:pPr>
    <w:r>
      <w:rPr>
        <w:noProof/>
      </w:rPr>
      <w:pict w14:anchorId="2DFFB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51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3BE3"/>
    <w:rsid w:val="000A47FA"/>
    <w:rsid w:val="000A65D3"/>
    <w:rsid w:val="000B1E33"/>
    <w:rsid w:val="000B586B"/>
    <w:rsid w:val="000C5943"/>
    <w:rsid w:val="000D689F"/>
    <w:rsid w:val="000E7B7B"/>
    <w:rsid w:val="000E7D62"/>
    <w:rsid w:val="00103357"/>
    <w:rsid w:val="00123C9F"/>
    <w:rsid w:val="00126190"/>
    <w:rsid w:val="00130F17"/>
    <w:rsid w:val="001320BF"/>
    <w:rsid w:val="00163BC4"/>
    <w:rsid w:val="00182AD9"/>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BEB"/>
    <w:rsid w:val="00296529"/>
    <w:rsid w:val="002B27FB"/>
    <w:rsid w:val="002B685A"/>
    <w:rsid w:val="002C57D2"/>
    <w:rsid w:val="002E0D56"/>
    <w:rsid w:val="00315186"/>
    <w:rsid w:val="003263FB"/>
    <w:rsid w:val="0033343E"/>
    <w:rsid w:val="0033653C"/>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5BAD"/>
    <w:rsid w:val="00440F43"/>
    <w:rsid w:val="00441B6F"/>
    <w:rsid w:val="00446221"/>
    <w:rsid w:val="00450E62"/>
    <w:rsid w:val="004539DB"/>
    <w:rsid w:val="00470029"/>
    <w:rsid w:val="00471A80"/>
    <w:rsid w:val="004B39AE"/>
    <w:rsid w:val="004D305E"/>
    <w:rsid w:val="004D4277"/>
    <w:rsid w:val="00502516"/>
    <w:rsid w:val="00505F06"/>
    <w:rsid w:val="00506828"/>
    <w:rsid w:val="00524EAE"/>
    <w:rsid w:val="0053056E"/>
    <w:rsid w:val="00554FDA"/>
    <w:rsid w:val="005A4823"/>
    <w:rsid w:val="005C784C"/>
    <w:rsid w:val="005D17F6"/>
    <w:rsid w:val="005E5539"/>
    <w:rsid w:val="00602BF5"/>
    <w:rsid w:val="00617FDD"/>
    <w:rsid w:val="00633614"/>
    <w:rsid w:val="00633F68"/>
    <w:rsid w:val="00636EB2"/>
    <w:rsid w:val="006375B8"/>
    <w:rsid w:val="00653AD9"/>
    <w:rsid w:val="0066510A"/>
    <w:rsid w:val="00673F9F"/>
    <w:rsid w:val="00686953"/>
    <w:rsid w:val="00687DEA"/>
    <w:rsid w:val="00687E67"/>
    <w:rsid w:val="006967F7"/>
    <w:rsid w:val="006A250C"/>
    <w:rsid w:val="006B21D3"/>
    <w:rsid w:val="006B57D0"/>
    <w:rsid w:val="006C2646"/>
    <w:rsid w:val="006D30FF"/>
    <w:rsid w:val="006D6940"/>
    <w:rsid w:val="006F11EC"/>
    <w:rsid w:val="006F6B38"/>
    <w:rsid w:val="0070082C"/>
    <w:rsid w:val="00717E54"/>
    <w:rsid w:val="007369E6"/>
    <w:rsid w:val="00746E59"/>
    <w:rsid w:val="00754C9A"/>
    <w:rsid w:val="0075599A"/>
    <w:rsid w:val="00761D52"/>
    <w:rsid w:val="0077749E"/>
    <w:rsid w:val="00790ADA"/>
    <w:rsid w:val="007C5C26"/>
    <w:rsid w:val="007D2288"/>
    <w:rsid w:val="007E088F"/>
    <w:rsid w:val="007F7B32"/>
    <w:rsid w:val="00804BC2"/>
    <w:rsid w:val="0081431A"/>
    <w:rsid w:val="00832050"/>
    <w:rsid w:val="0083216F"/>
    <w:rsid w:val="00854DBB"/>
    <w:rsid w:val="00860000"/>
    <w:rsid w:val="00863BD3"/>
    <w:rsid w:val="00863F70"/>
    <w:rsid w:val="008641ED"/>
    <w:rsid w:val="00866D66"/>
    <w:rsid w:val="008671C6"/>
    <w:rsid w:val="00875803"/>
    <w:rsid w:val="008B459E"/>
    <w:rsid w:val="008C19DC"/>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B751B"/>
    <w:rsid w:val="00AC6BB8"/>
    <w:rsid w:val="00AE008F"/>
    <w:rsid w:val="00B01FCD"/>
    <w:rsid w:val="00B1776C"/>
    <w:rsid w:val="00B37D2F"/>
    <w:rsid w:val="00B43A3B"/>
    <w:rsid w:val="00B52583"/>
    <w:rsid w:val="00B52896"/>
    <w:rsid w:val="00B95236"/>
    <w:rsid w:val="00B96BD9"/>
    <w:rsid w:val="00BA1B01"/>
    <w:rsid w:val="00BA2641"/>
    <w:rsid w:val="00BB37AA"/>
    <w:rsid w:val="00BC53A0"/>
    <w:rsid w:val="00BD0EF8"/>
    <w:rsid w:val="00BE62AD"/>
    <w:rsid w:val="00BF121F"/>
    <w:rsid w:val="00BF1F80"/>
    <w:rsid w:val="00C13FEC"/>
    <w:rsid w:val="00C166EF"/>
    <w:rsid w:val="00C17EB0"/>
    <w:rsid w:val="00C27F5F"/>
    <w:rsid w:val="00C30A0F"/>
    <w:rsid w:val="00C37E61"/>
    <w:rsid w:val="00C67B18"/>
    <w:rsid w:val="00C70F1B"/>
    <w:rsid w:val="00C71A47"/>
    <w:rsid w:val="00C7464C"/>
    <w:rsid w:val="00C85588"/>
    <w:rsid w:val="00CD6755"/>
    <w:rsid w:val="00CD6856"/>
    <w:rsid w:val="00CE0089"/>
    <w:rsid w:val="00CE786A"/>
    <w:rsid w:val="00CE793C"/>
    <w:rsid w:val="00CF193C"/>
    <w:rsid w:val="00D173F1"/>
    <w:rsid w:val="00D355D1"/>
    <w:rsid w:val="00D40B12"/>
    <w:rsid w:val="00D74CB0"/>
    <w:rsid w:val="00D8295D"/>
    <w:rsid w:val="00DC2A65"/>
    <w:rsid w:val="00DE15F0"/>
    <w:rsid w:val="00DE5663"/>
    <w:rsid w:val="00DE78AA"/>
    <w:rsid w:val="00E053D0"/>
    <w:rsid w:val="00E15994"/>
    <w:rsid w:val="00E3114E"/>
    <w:rsid w:val="00E31A70"/>
    <w:rsid w:val="00E35B02"/>
    <w:rsid w:val="00E415CF"/>
    <w:rsid w:val="00E66496"/>
    <w:rsid w:val="00E66B35"/>
    <w:rsid w:val="00E66E10"/>
    <w:rsid w:val="00E71B4A"/>
    <w:rsid w:val="00E769F6"/>
    <w:rsid w:val="00E8407C"/>
    <w:rsid w:val="00E84F3C"/>
    <w:rsid w:val="00EA012C"/>
    <w:rsid w:val="00EC6A55"/>
    <w:rsid w:val="00ED0288"/>
    <w:rsid w:val="00EE2F1D"/>
    <w:rsid w:val="00EE52CB"/>
    <w:rsid w:val="00EF581D"/>
    <w:rsid w:val="00EF7FD8"/>
    <w:rsid w:val="00F06F59"/>
    <w:rsid w:val="00F17988"/>
    <w:rsid w:val="00F469F0"/>
    <w:rsid w:val="00F53273"/>
    <w:rsid w:val="00F755E4"/>
    <w:rsid w:val="00F77D02"/>
    <w:rsid w:val="00FB3A86"/>
    <w:rsid w:val="00FD36C8"/>
    <w:rsid w:val="00FF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9"/>
      </o:rules>
    </o:shapelayout>
  </w:shapeDefaults>
  <w:decimalSymbol w:val="."/>
  <w:listSeparator w:val=","/>
  <w14:docId w14:val="0DAFEF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Normal2">
    <w:name w:val="Table Normal2"/>
    <w:uiPriority w:val="2"/>
    <w:semiHidden/>
    <w:unhideWhenUsed/>
    <w:qFormat/>
    <w:rsid w:val="0033653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9D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NormalWeb">
    <w:name w:val="Normal (Web)"/>
    <w:basedOn w:val="Normal"/>
    <w:uiPriority w:val="99"/>
    <w:unhideWhenUsed/>
    <w:rsid w:val="008C19DC"/>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8C19DC"/>
    <w:rPr>
      <w:b/>
      <w:bCs/>
    </w:rPr>
  </w:style>
  <w:style w:type="character" w:customStyle="1" w:styleId="relative">
    <w:name w:val="relative"/>
    <w:basedOn w:val="DefaultParagraphFont"/>
    <w:rsid w:val="008C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dx.doi.org/10.4236/sgre.2014.56012" TargetMode="External"/><Relationship Id="rId3" Type="http://schemas.openxmlformats.org/officeDocument/2006/relationships/styles" Target="styles.xml"/><Relationship Id="rId21" Type="http://schemas.openxmlformats.org/officeDocument/2006/relationships/hyperlink" Target="https://doi.org/10.1177/0734242X0708797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jclepro.2025.145122"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16/j.scitotenv.2024.172794" TargetMode="External"/><Relationship Id="rId29" Type="http://schemas.openxmlformats.org/officeDocument/2006/relationships/hyperlink" Target="http://dx.doi.org/10.1016/j.rser.2013.1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pcc-nggip.iges.or.jp/public/2006g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3.epa.gov/ttncatc1/dir1/landgem-v302-guide.pdf" TargetMode="External"/><Relationship Id="rId28" Type="http://schemas.openxmlformats.org/officeDocument/2006/relationships/hyperlink" Target="https://doi.org/10.1016/j.ijhydene.2015.03.062" TargetMode="External"/><Relationship Id="rId10" Type="http://schemas.openxmlformats.org/officeDocument/2006/relationships/footer" Target="footer1.xml"/><Relationship Id="rId19" Type="http://schemas.openxmlformats.org/officeDocument/2006/relationships/hyperlink" Target="https://doi.org/10.1016/j.scitotenv.2024.172794"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wasman.2018.12.047" TargetMode="External"/><Relationship Id="rId27" Type="http://schemas.openxmlformats.org/officeDocument/2006/relationships/hyperlink" Target="http://www.cie.ci/ebook/rapportannuel_2015/docs/rapportannuel_2015.pdf"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4B3B-8883-409A-B1C4-E8166192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185</TotalTime>
  <Pages>13</Pages>
  <Words>3667</Words>
  <Characters>20904</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24522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30</cp:revision>
  <cp:lastPrinted>1999-07-06T11:00:00Z</cp:lastPrinted>
  <dcterms:created xsi:type="dcterms:W3CDTF">2014-10-25T14:34:00Z</dcterms:created>
  <dcterms:modified xsi:type="dcterms:W3CDTF">2025-07-04T11:07:00Z</dcterms:modified>
</cp:coreProperties>
</file>