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12B6F" w14:textId="77777777" w:rsidR="005E7D09" w:rsidRPr="003C4B06" w:rsidRDefault="003C4B06" w:rsidP="00F26D1D">
      <w:pPr>
        <w:spacing w:line="276" w:lineRule="auto"/>
        <w:jc w:val="center"/>
        <w:rPr>
          <w:rFonts w:ascii="Arial" w:hAnsi="Arial" w:cs="Arial"/>
          <w:b/>
          <w:lang w:val="en-US"/>
        </w:rPr>
      </w:pPr>
      <w:bookmarkStart w:id="0" w:name="_GoBack"/>
      <w:bookmarkEnd w:id="0"/>
      <w:r w:rsidRPr="003C4B06">
        <w:rPr>
          <w:rFonts w:ascii="Arial" w:hAnsi="Arial" w:cs="Arial"/>
          <w:b/>
          <w:lang w:val="en-US"/>
        </w:rPr>
        <w:t>TECHNOLOGY FOR THE SYNTHESIS OF POLYMER-ENCAPSULATED UREA FERTILIZERS INCORPORATING HYDROQUINONE AS A NITRIFICATION INHIBITOR</w:t>
      </w:r>
    </w:p>
    <w:p w14:paraId="5B136E7C" w14:textId="77777777" w:rsidR="00AC4401" w:rsidRPr="00B74FB6" w:rsidRDefault="00AC4401" w:rsidP="00AC4401">
      <w:pPr>
        <w:spacing w:line="276" w:lineRule="auto"/>
        <w:rPr>
          <w:rFonts w:ascii="Arial" w:hAnsi="Arial" w:cs="Arial"/>
          <w:b/>
          <w:color w:val="4472C4" w:themeColor="accent5"/>
          <w:sz w:val="20"/>
          <w:szCs w:val="20"/>
          <w:lang w:val="en-US"/>
        </w:rPr>
      </w:pPr>
    </w:p>
    <w:p w14:paraId="5CA0F5E7" w14:textId="77777777" w:rsidR="00AC4401" w:rsidRPr="00264D73" w:rsidRDefault="00AC4401" w:rsidP="00F26D1D">
      <w:pPr>
        <w:spacing w:line="240" w:lineRule="auto"/>
        <w:jc w:val="center"/>
        <w:rPr>
          <w:rFonts w:ascii="Arial" w:hAnsi="Arial" w:cs="Arial"/>
          <w:i/>
          <w:lang w:val="en-US"/>
        </w:rPr>
      </w:pPr>
    </w:p>
    <w:p w14:paraId="75CCEED2" w14:textId="77777777" w:rsidR="006C3B37" w:rsidRPr="00F26D1D" w:rsidRDefault="006C3B37" w:rsidP="00F26D1D">
      <w:pPr>
        <w:spacing w:line="240" w:lineRule="auto"/>
        <w:jc w:val="center"/>
        <w:rPr>
          <w:rFonts w:ascii="Arial" w:hAnsi="Arial" w:cs="Arial"/>
          <w:i/>
          <w:sz w:val="20"/>
          <w:szCs w:val="20"/>
          <w:lang w:val="en-US"/>
        </w:rPr>
      </w:pPr>
    </w:p>
    <w:p w14:paraId="51F2E486" w14:textId="77777777" w:rsidR="002B129C" w:rsidRPr="003C4B06" w:rsidRDefault="003C4B06" w:rsidP="00F26D1D">
      <w:pPr>
        <w:spacing w:line="276" w:lineRule="auto"/>
        <w:ind w:firstLine="708"/>
        <w:rPr>
          <w:rFonts w:ascii="Arial" w:hAnsi="Arial" w:cs="Arial"/>
          <w:b/>
          <w:lang w:val="en-US"/>
        </w:rPr>
      </w:pPr>
      <w:r w:rsidRPr="003C4B06">
        <w:rPr>
          <w:rFonts w:ascii="Arial" w:hAnsi="Arial" w:cs="Arial"/>
          <w:b/>
          <w:lang w:val="en-US"/>
        </w:rPr>
        <w:t>ABSTRACT</w:t>
      </w:r>
    </w:p>
    <w:p w14:paraId="6E35DACB" w14:textId="77777777"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This study investigates the development of a polymer-based encapsulated urea fertilizer through the incorporation of hydroquinone as a nitrification inhibitor. The primary aim is to mitigate nitrogen losses resulting from volatilization and leaching, thereby improving the nitrogen use efficiency of conventional urea fertilizers. A polymer matrix containing hydroquinone was synthesized and employed as a coating material for urea granules. The encapsulated formulations were systematically evaluated for their nitrogen release kinetics, mechanical durability, and surface morphology. Experimental findings indicate that hydroquinone significantly delays nitrogen release while simultaneously enhancing the structural integrity of the fertilizer granules. These outcomes underscore the potential of hydroquinone-integrated polymer coatings in the advancement of controlled-release fertilizer technologies.</w:t>
      </w:r>
    </w:p>
    <w:p w14:paraId="23179017" w14:textId="77777777" w:rsidR="002B129C" w:rsidRPr="003C4B06" w:rsidRDefault="003C4B06" w:rsidP="00F26D1D">
      <w:pPr>
        <w:spacing w:line="276" w:lineRule="auto"/>
        <w:ind w:firstLine="708"/>
        <w:rPr>
          <w:rFonts w:ascii="Arial" w:hAnsi="Arial" w:cs="Arial"/>
          <w:b/>
          <w:lang w:val="en-US"/>
        </w:rPr>
      </w:pPr>
      <w:r w:rsidRPr="003C4B06">
        <w:rPr>
          <w:rFonts w:ascii="Arial" w:hAnsi="Arial" w:cs="Arial"/>
          <w:b/>
          <w:lang w:val="en-US"/>
        </w:rPr>
        <w:t>INTRODUCTION</w:t>
      </w:r>
    </w:p>
    <w:p w14:paraId="59FF7D06" w14:textId="77777777"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Urea is recognized as one of the most extensively applied nitrogen fertilizers in global agricultural systems due to its high nitrogen content (46% by weight), ease of applic</w:t>
      </w:r>
      <w:r w:rsidR="003C4B06">
        <w:rPr>
          <w:rFonts w:ascii="Arial" w:hAnsi="Arial" w:cs="Arial"/>
          <w:sz w:val="20"/>
          <w:szCs w:val="20"/>
          <w:lang w:val="en-US"/>
        </w:rPr>
        <w:t>ation, and economic efficiency [1]</w:t>
      </w:r>
      <w:r w:rsidRPr="00BF295E">
        <w:rPr>
          <w:rFonts w:ascii="Arial" w:hAnsi="Arial" w:cs="Arial"/>
          <w:sz w:val="20"/>
          <w:szCs w:val="20"/>
          <w:lang w:val="en-US"/>
        </w:rPr>
        <w:t>. Its widespread use is driven by the increasing global demand for food, which necessitates high crop yields supported by efficient nitrogen manag</w:t>
      </w:r>
      <w:r w:rsidR="003C4B06">
        <w:rPr>
          <w:rFonts w:ascii="Arial" w:hAnsi="Arial" w:cs="Arial"/>
          <w:sz w:val="20"/>
          <w:szCs w:val="20"/>
          <w:lang w:val="en-US"/>
        </w:rPr>
        <w:t>ement strategies [2]</w:t>
      </w:r>
      <w:r w:rsidRPr="00BF295E">
        <w:rPr>
          <w:rFonts w:ascii="Arial" w:hAnsi="Arial" w:cs="Arial"/>
          <w:sz w:val="20"/>
          <w:szCs w:val="20"/>
          <w:lang w:val="en-US"/>
        </w:rPr>
        <w:t>. However, the agronomic efficiency of urea is often compromised by rapid nitrogen transformations in the soil environment, which lead to considerable nitrogen losses via volatilization,</w:t>
      </w:r>
      <w:r w:rsidR="003C4B06">
        <w:rPr>
          <w:rFonts w:ascii="Arial" w:hAnsi="Arial" w:cs="Arial"/>
          <w:sz w:val="20"/>
          <w:szCs w:val="20"/>
          <w:lang w:val="en-US"/>
        </w:rPr>
        <w:t xml:space="preserve"> leaching, and denitrification [3]</w:t>
      </w:r>
      <w:r w:rsidRPr="00BF295E">
        <w:rPr>
          <w:rFonts w:ascii="Arial" w:hAnsi="Arial" w:cs="Arial"/>
          <w:sz w:val="20"/>
          <w:szCs w:val="20"/>
          <w:lang w:val="en-US"/>
        </w:rPr>
        <w:t>.</w:t>
      </w:r>
    </w:p>
    <w:p w14:paraId="396C31A3" w14:textId="77777777"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Upon application, urea undergoes enzymatic hydrolysis catalyzed by urease enzymes, rapidly converting it into ammonium carbonate, which subsequently forms ammonium ions. These ions are then subject to microbial nitrification, wherein </w:t>
      </w:r>
      <w:r w:rsidRPr="001D7FE4">
        <w:rPr>
          <w:rStyle w:val="Strong"/>
          <w:rFonts w:ascii="Arial" w:hAnsi="Arial" w:cs="Arial"/>
          <w:b w:val="0"/>
          <w:sz w:val="20"/>
          <w:szCs w:val="20"/>
          <w:lang w:val="en-US"/>
        </w:rPr>
        <w:t>Nitrosomonas</w:t>
      </w:r>
      <w:r w:rsidRPr="00BF295E">
        <w:rPr>
          <w:rFonts w:ascii="Arial" w:hAnsi="Arial" w:cs="Arial"/>
          <w:sz w:val="20"/>
          <w:szCs w:val="20"/>
          <w:lang w:val="en-US"/>
        </w:rPr>
        <w:t xml:space="preserve"> and </w:t>
      </w:r>
      <w:r w:rsidRPr="001D7FE4">
        <w:rPr>
          <w:rStyle w:val="Strong"/>
          <w:rFonts w:ascii="Arial" w:hAnsi="Arial" w:cs="Arial"/>
          <w:b w:val="0"/>
          <w:sz w:val="20"/>
          <w:szCs w:val="20"/>
          <w:lang w:val="en-US"/>
        </w:rPr>
        <w:t>Nitrobacter</w:t>
      </w:r>
      <w:r w:rsidRPr="00BF295E">
        <w:rPr>
          <w:rFonts w:ascii="Arial" w:hAnsi="Arial" w:cs="Arial"/>
          <w:sz w:val="20"/>
          <w:szCs w:val="20"/>
          <w:lang w:val="en-US"/>
        </w:rPr>
        <w:t xml:space="preserve"> species oxidize ammonium to nitrate. This process significantly increases the mobility of nitrogen in the soil, leading to leaching, particularly under conditions of heavy rainfall or irrigation, and contributes to nitrate contaminat</w:t>
      </w:r>
      <w:r w:rsidR="003C4B06">
        <w:rPr>
          <w:rFonts w:ascii="Arial" w:hAnsi="Arial" w:cs="Arial"/>
          <w:sz w:val="20"/>
          <w:szCs w:val="20"/>
          <w:lang w:val="en-US"/>
        </w:rPr>
        <w:t>ion of groundwater resources [4</w:t>
      </w:r>
      <w:r w:rsidRPr="00BF295E">
        <w:rPr>
          <w:rFonts w:ascii="Arial" w:hAnsi="Arial" w:cs="Arial"/>
          <w:sz w:val="20"/>
          <w:szCs w:val="20"/>
          <w:lang w:val="en-US"/>
        </w:rPr>
        <w:t>;</w:t>
      </w:r>
      <w:r w:rsidR="003C4B06">
        <w:rPr>
          <w:rFonts w:ascii="Arial" w:hAnsi="Arial" w:cs="Arial"/>
          <w:sz w:val="20"/>
          <w:szCs w:val="20"/>
          <w:lang w:val="en-US"/>
        </w:rPr>
        <w:t>5]</w:t>
      </w:r>
      <w:r w:rsidRPr="00BF295E">
        <w:rPr>
          <w:rFonts w:ascii="Arial" w:hAnsi="Arial" w:cs="Arial"/>
          <w:sz w:val="20"/>
          <w:szCs w:val="20"/>
          <w:lang w:val="en-US"/>
        </w:rPr>
        <w:t xml:space="preserve">. Simultaneously, nitrogen loss through </w:t>
      </w:r>
      <w:r w:rsidRPr="001D7FE4">
        <w:rPr>
          <w:rStyle w:val="Strong"/>
          <w:rFonts w:ascii="Arial" w:hAnsi="Arial" w:cs="Arial"/>
          <w:b w:val="0"/>
          <w:sz w:val="20"/>
          <w:szCs w:val="20"/>
          <w:lang w:val="en-US"/>
        </w:rPr>
        <w:t>ammonia</w:t>
      </w:r>
      <w:r w:rsidRPr="00BF295E">
        <w:rPr>
          <w:rStyle w:val="Strong"/>
          <w:rFonts w:ascii="Arial" w:hAnsi="Arial" w:cs="Arial"/>
          <w:sz w:val="20"/>
          <w:szCs w:val="20"/>
          <w:lang w:val="en-US"/>
        </w:rPr>
        <w:t xml:space="preserve"> </w:t>
      </w:r>
      <w:r w:rsidRPr="001D7FE4">
        <w:rPr>
          <w:rStyle w:val="Strong"/>
          <w:rFonts w:ascii="Arial" w:hAnsi="Arial" w:cs="Arial"/>
          <w:b w:val="0"/>
          <w:sz w:val="20"/>
          <w:szCs w:val="20"/>
          <w:lang w:val="en-US"/>
        </w:rPr>
        <w:t>volatilization</w:t>
      </w:r>
      <w:r w:rsidRPr="00BF295E">
        <w:rPr>
          <w:rFonts w:ascii="Arial" w:hAnsi="Arial" w:cs="Arial"/>
          <w:sz w:val="20"/>
          <w:szCs w:val="20"/>
          <w:lang w:val="en-US"/>
        </w:rPr>
        <w:t xml:space="preserve"> in alkaline or poorly buffered soils and </w:t>
      </w:r>
      <w:r w:rsidRPr="001D7FE4">
        <w:rPr>
          <w:rStyle w:val="Strong"/>
          <w:rFonts w:ascii="Arial" w:hAnsi="Arial" w:cs="Arial"/>
          <w:b w:val="0"/>
          <w:sz w:val="20"/>
          <w:szCs w:val="20"/>
          <w:lang w:val="en-US"/>
        </w:rPr>
        <w:t>denitrification</w:t>
      </w:r>
      <w:r w:rsidRPr="00BF295E">
        <w:rPr>
          <w:rFonts w:ascii="Arial" w:hAnsi="Arial" w:cs="Arial"/>
          <w:sz w:val="20"/>
          <w:szCs w:val="20"/>
          <w:lang w:val="en-US"/>
        </w:rPr>
        <w:t xml:space="preserve"> under anaerobic conditions leads to the emission of greenhouse gases such as nitrous oxide (N</w:t>
      </w:r>
      <w:r w:rsidRPr="00BF295E">
        <w:rPr>
          <w:rFonts w:ascii="Cambria Math" w:hAnsi="Cambria Math" w:cs="Cambria Math"/>
          <w:sz w:val="20"/>
          <w:szCs w:val="20"/>
          <w:lang w:val="en-US"/>
        </w:rPr>
        <w:t>₂</w:t>
      </w:r>
      <w:r w:rsidRPr="00BF295E">
        <w:rPr>
          <w:rFonts w:ascii="Arial" w:hAnsi="Arial" w:cs="Arial"/>
          <w:sz w:val="20"/>
          <w:szCs w:val="20"/>
          <w:lang w:val="en-US"/>
        </w:rPr>
        <w:t>O), which has a global warming potential approximately 298 times greater than CO</w:t>
      </w:r>
      <w:r w:rsidRPr="00BF295E">
        <w:rPr>
          <w:rFonts w:ascii="Cambria Math" w:hAnsi="Cambria Math" w:cs="Cambria Math"/>
          <w:sz w:val="20"/>
          <w:szCs w:val="20"/>
          <w:lang w:val="en-US"/>
        </w:rPr>
        <w:t>₂</w:t>
      </w:r>
      <w:r w:rsidR="003C4B06">
        <w:rPr>
          <w:rFonts w:ascii="Arial" w:hAnsi="Arial" w:cs="Arial"/>
          <w:sz w:val="20"/>
          <w:szCs w:val="20"/>
          <w:lang w:val="en-US"/>
        </w:rPr>
        <w:t xml:space="preserve"> [6]. </w:t>
      </w:r>
      <w:r w:rsidRPr="00BF295E">
        <w:rPr>
          <w:rFonts w:ascii="Arial" w:hAnsi="Arial" w:cs="Arial"/>
          <w:sz w:val="20"/>
          <w:szCs w:val="20"/>
          <w:lang w:val="en-US"/>
        </w:rPr>
        <w:t>These inefficiencies not only diminish crop nitrogen use efficiency (NUE), often below 50%, but also pose serious environmental risks, including water eutrophication, biodive</w:t>
      </w:r>
      <w:r w:rsidR="003C4B06">
        <w:rPr>
          <w:rFonts w:ascii="Arial" w:hAnsi="Arial" w:cs="Arial"/>
          <w:sz w:val="20"/>
          <w:szCs w:val="20"/>
          <w:lang w:val="en-US"/>
        </w:rPr>
        <w:t>rsity loss, and climate change [7]</w:t>
      </w:r>
      <w:r w:rsidRPr="00BF295E">
        <w:rPr>
          <w:rFonts w:ascii="Arial" w:hAnsi="Arial" w:cs="Arial"/>
          <w:sz w:val="20"/>
          <w:szCs w:val="20"/>
          <w:lang w:val="en-US"/>
        </w:rPr>
        <w:t xml:space="preserve">. As a response, considerable research has focused on the development of </w:t>
      </w:r>
      <w:r w:rsidRPr="00BF295E">
        <w:rPr>
          <w:rStyle w:val="Strong"/>
          <w:rFonts w:ascii="Arial" w:hAnsi="Arial" w:cs="Arial"/>
          <w:b w:val="0"/>
          <w:sz w:val="20"/>
          <w:szCs w:val="20"/>
          <w:lang w:val="en-US"/>
        </w:rPr>
        <w:t>enhanced-efficiency fertilizers (EEFs)</w:t>
      </w:r>
      <w:r w:rsidRPr="00BF295E">
        <w:rPr>
          <w:rFonts w:ascii="Arial" w:hAnsi="Arial" w:cs="Arial"/>
          <w:b/>
          <w:sz w:val="20"/>
          <w:szCs w:val="20"/>
          <w:lang w:val="en-US"/>
        </w:rPr>
        <w:t>,</w:t>
      </w:r>
      <w:r w:rsidRPr="00BF295E">
        <w:rPr>
          <w:rFonts w:ascii="Arial" w:hAnsi="Arial" w:cs="Arial"/>
          <w:sz w:val="20"/>
          <w:szCs w:val="20"/>
          <w:lang w:val="en-US"/>
        </w:rPr>
        <w:t xml:space="preserve"> particularly those involving physical encapsulation techniques and the application of </w:t>
      </w:r>
      <w:r w:rsidRPr="00BF295E">
        <w:rPr>
          <w:rStyle w:val="Strong"/>
          <w:rFonts w:ascii="Arial" w:hAnsi="Arial" w:cs="Arial"/>
          <w:b w:val="0"/>
          <w:sz w:val="20"/>
          <w:szCs w:val="20"/>
          <w:lang w:val="en-US"/>
        </w:rPr>
        <w:t>nitrification inhibitors</w:t>
      </w:r>
      <w:r w:rsidR="003C4B06">
        <w:rPr>
          <w:rFonts w:ascii="Arial" w:hAnsi="Arial" w:cs="Arial"/>
          <w:sz w:val="20"/>
          <w:szCs w:val="20"/>
          <w:lang w:val="en-US"/>
        </w:rPr>
        <w:t xml:space="preserve"> [8]</w:t>
      </w:r>
      <w:r w:rsidRPr="00BF295E">
        <w:rPr>
          <w:rFonts w:ascii="Arial" w:hAnsi="Arial" w:cs="Arial"/>
          <w:sz w:val="20"/>
          <w:szCs w:val="20"/>
          <w:lang w:val="en-US"/>
        </w:rPr>
        <w:t>.</w:t>
      </w:r>
    </w:p>
    <w:p w14:paraId="06B9079F" w14:textId="77777777"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Among the most effective nitrification inhibitors is </w:t>
      </w:r>
      <w:r w:rsidRPr="00BF295E">
        <w:rPr>
          <w:rStyle w:val="Strong"/>
          <w:rFonts w:ascii="Arial" w:hAnsi="Arial" w:cs="Arial"/>
          <w:b w:val="0"/>
          <w:sz w:val="20"/>
          <w:szCs w:val="20"/>
          <w:lang w:val="en-US"/>
        </w:rPr>
        <w:t>hydroquinone (HQ</w:t>
      </w:r>
      <w:r w:rsidRPr="00BF295E">
        <w:rPr>
          <w:rStyle w:val="Strong"/>
          <w:rFonts w:ascii="Arial" w:hAnsi="Arial" w:cs="Arial"/>
          <w:sz w:val="20"/>
          <w:szCs w:val="20"/>
          <w:lang w:val="en-US"/>
        </w:rPr>
        <w:t>)</w:t>
      </w:r>
      <w:r w:rsidRPr="00BF295E">
        <w:rPr>
          <w:rFonts w:ascii="Arial" w:hAnsi="Arial" w:cs="Arial"/>
          <w:sz w:val="20"/>
          <w:szCs w:val="20"/>
          <w:lang w:val="en-US"/>
        </w:rPr>
        <w:t xml:space="preserve"> — a phenolic compound that selectively inhibits the activity of </w:t>
      </w:r>
      <w:r w:rsidRPr="00BF295E">
        <w:rPr>
          <w:rStyle w:val="Strong"/>
          <w:rFonts w:ascii="Arial" w:hAnsi="Arial" w:cs="Arial"/>
          <w:b w:val="0"/>
          <w:sz w:val="20"/>
          <w:szCs w:val="20"/>
          <w:lang w:val="en-US"/>
        </w:rPr>
        <w:t>ammonia</w:t>
      </w:r>
      <w:r w:rsidRPr="00BF295E">
        <w:rPr>
          <w:rStyle w:val="Strong"/>
          <w:rFonts w:ascii="Arial" w:hAnsi="Arial" w:cs="Arial"/>
          <w:sz w:val="20"/>
          <w:szCs w:val="20"/>
          <w:lang w:val="en-US"/>
        </w:rPr>
        <w:t>-</w:t>
      </w:r>
      <w:r w:rsidRPr="00BF295E">
        <w:rPr>
          <w:rStyle w:val="Strong"/>
          <w:rFonts w:ascii="Arial" w:hAnsi="Arial" w:cs="Arial"/>
          <w:b w:val="0"/>
          <w:sz w:val="20"/>
          <w:szCs w:val="20"/>
          <w:lang w:val="en-US"/>
        </w:rPr>
        <w:t>oxidizing</w:t>
      </w:r>
      <w:r w:rsidRPr="00BF295E">
        <w:rPr>
          <w:rStyle w:val="Strong"/>
          <w:rFonts w:ascii="Arial" w:hAnsi="Arial" w:cs="Arial"/>
          <w:sz w:val="20"/>
          <w:szCs w:val="20"/>
          <w:lang w:val="en-US"/>
        </w:rPr>
        <w:t xml:space="preserve"> </w:t>
      </w:r>
      <w:r w:rsidRPr="00BF295E">
        <w:rPr>
          <w:rStyle w:val="Strong"/>
          <w:rFonts w:ascii="Arial" w:hAnsi="Arial" w:cs="Arial"/>
          <w:b w:val="0"/>
          <w:sz w:val="20"/>
          <w:szCs w:val="20"/>
          <w:lang w:val="en-US"/>
        </w:rPr>
        <w:t>bacteria</w:t>
      </w:r>
      <w:r w:rsidRPr="00BF295E">
        <w:rPr>
          <w:rStyle w:val="Strong"/>
          <w:rFonts w:ascii="Arial" w:hAnsi="Arial" w:cs="Arial"/>
          <w:sz w:val="20"/>
          <w:szCs w:val="20"/>
          <w:lang w:val="en-US"/>
        </w:rPr>
        <w:t xml:space="preserve"> </w:t>
      </w:r>
      <w:r w:rsidRPr="00BF295E">
        <w:rPr>
          <w:rStyle w:val="Strong"/>
          <w:rFonts w:ascii="Arial" w:hAnsi="Arial" w:cs="Arial"/>
          <w:b w:val="0"/>
          <w:sz w:val="20"/>
          <w:szCs w:val="20"/>
          <w:lang w:val="en-US"/>
        </w:rPr>
        <w:t>(AOB)</w:t>
      </w:r>
      <w:r w:rsidRPr="00BF295E">
        <w:rPr>
          <w:rFonts w:ascii="Arial" w:hAnsi="Arial" w:cs="Arial"/>
          <w:sz w:val="20"/>
          <w:szCs w:val="20"/>
          <w:lang w:val="en-US"/>
        </w:rPr>
        <w:t>, thereby delaying the conversion of ammonium to nitrate and prolonging nitrogen av</w:t>
      </w:r>
      <w:r w:rsidR="003C4B06">
        <w:rPr>
          <w:rFonts w:ascii="Arial" w:hAnsi="Arial" w:cs="Arial"/>
          <w:sz w:val="20"/>
          <w:szCs w:val="20"/>
          <w:lang w:val="en-US"/>
        </w:rPr>
        <w:t>ailability in the rhizosphere [9;10]</w:t>
      </w:r>
      <w:r w:rsidRPr="00BF295E">
        <w:rPr>
          <w:rFonts w:ascii="Arial" w:hAnsi="Arial" w:cs="Arial"/>
          <w:sz w:val="20"/>
          <w:szCs w:val="20"/>
          <w:lang w:val="en-US"/>
        </w:rPr>
        <w:t xml:space="preserve">. In recent years, the integration of hydroquinone into </w:t>
      </w:r>
      <w:r w:rsidRPr="001D7FE4">
        <w:rPr>
          <w:rStyle w:val="Strong"/>
          <w:rFonts w:ascii="Arial" w:hAnsi="Arial" w:cs="Arial"/>
          <w:b w:val="0"/>
          <w:sz w:val="20"/>
          <w:szCs w:val="20"/>
          <w:lang w:val="en-US"/>
        </w:rPr>
        <w:t>polymer-based</w:t>
      </w:r>
      <w:r w:rsidRPr="00BF295E">
        <w:rPr>
          <w:rStyle w:val="Strong"/>
          <w:rFonts w:ascii="Arial" w:hAnsi="Arial" w:cs="Arial"/>
          <w:sz w:val="20"/>
          <w:szCs w:val="20"/>
          <w:lang w:val="en-US"/>
        </w:rPr>
        <w:t xml:space="preserve"> </w:t>
      </w:r>
      <w:r w:rsidRPr="00BF295E">
        <w:rPr>
          <w:rStyle w:val="Strong"/>
          <w:rFonts w:ascii="Arial" w:hAnsi="Arial" w:cs="Arial"/>
          <w:b w:val="0"/>
          <w:sz w:val="20"/>
          <w:szCs w:val="20"/>
          <w:lang w:val="en-US"/>
        </w:rPr>
        <w:t>encapsulation systems</w:t>
      </w:r>
      <w:r w:rsidRPr="00BF295E">
        <w:rPr>
          <w:rFonts w:ascii="Arial" w:hAnsi="Arial" w:cs="Arial"/>
          <w:sz w:val="20"/>
          <w:szCs w:val="20"/>
          <w:lang w:val="en-US"/>
        </w:rPr>
        <w:t xml:space="preserve"> has garnered significant attention. These coatings serve not only as a physical barrier to control nutrient diffusion but also as carriers for functional additives like HQ, enabling </w:t>
      </w:r>
      <w:r w:rsidRPr="001D7FE4">
        <w:rPr>
          <w:rStyle w:val="Strong"/>
          <w:rFonts w:ascii="Arial" w:hAnsi="Arial" w:cs="Arial"/>
          <w:b w:val="0"/>
          <w:sz w:val="20"/>
          <w:szCs w:val="20"/>
          <w:lang w:val="en-US"/>
        </w:rPr>
        <w:t>synchronized nutrient</w:t>
      </w:r>
      <w:r w:rsidRPr="00BF295E">
        <w:rPr>
          <w:rStyle w:val="Strong"/>
          <w:rFonts w:ascii="Arial" w:hAnsi="Arial" w:cs="Arial"/>
          <w:sz w:val="20"/>
          <w:szCs w:val="20"/>
          <w:lang w:val="en-US"/>
        </w:rPr>
        <w:t xml:space="preserve"> </w:t>
      </w:r>
      <w:r w:rsidRPr="003C4B06">
        <w:rPr>
          <w:rStyle w:val="Strong"/>
          <w:rFonts w:ascii="Arial" w:hAnsi="Arial" w:cs="Arial"/>
          <w:b w:val="0"/>
          <w:sz w:val="20"/>
          <w:szCs w:val="20"/>
          <w:lang w:val="en-US"/>
        </w:rPr>
        <w:t>release</w:t>
      </w:r>
      <w:r w:rsidRPr="00BF295E">
        <w:rPr>
          <w:rFonts w:ascii="Arial" w:hAnsi="Arial" w:cs="Arial"/>
          <w:sz w:val="20"/>
          <w:szCs w:val="20"/>
          <w:lang w:val="en-US"/>
        </w:rPr>
        <w:t xml:space="preserve"> aligned with crop demand </w:t>
      </w:r>
      <w:r w:rsidR="003C4B06">
        <w:rPr>
          <w:rFonts w:ascii="Arial" w:hAnsi="Arial" w:cs="Arial"/>
          <w:sz w:val="20"/>
          <w:szCs w:val="20"/>
          <w:lang w:val="en-US"/>
        </w:rPr>
        <w:t>[11;12].</w:t>
      </w:r>
    </w:p>
    <w:p w14:paraId="0366043B" w14:textId="77777777" w:rsidR="002B129C" w:rsidRPr="00BF295E" w:rsidRDefault="002B129C"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This study aims to design and evaluate a novel urea-based controlled-release fertilizer by incorporating hydroquinone into a biodegradable polymer matrix. The primary objective is to assess the formulation's capacity to enhance nitrogen retention in soil, reduce environmental nitrogen losses, and improve overall fertilizer efficiency. This approach aligns with global sustainability goals for environmentally responsible agriculture and resource-efficient food production.</w:t>
      </w:r>
    </w:p>
    <w:p w14:paraId="7BBCF803" w14:textId="77777777" w:rsidR="002B129C" w:rsidRPr="002B129C" w:rsidRDefault="002B129C" w:rsidP="00F26D1D">
      <w:pPr>
        <w:spacing w:before="100" w:beforeAutospacing="1" w:after="100" w:afterAutospacing="1" w:line="276" w:lineRule="auto"/>
        <w:ind w:firstLine="708"/>
        <w:outlineLvl w:val="2"/>
        <w:rPr>
          <w:rFonts w:ascii="Arial" w:eastAsia="Times New Roman" w:hAnsi="Arial" w:cs="Arial"/>
          <w:b/>
          <w:bCs/>
          <w:sz w:val="20"/>
          <w:szCs w:val="20"/>
          <w:lang w:eastAsia="ru-RU"/>
        </w:rPr>
      </w:pPr>
      <w:r w:rsidRPr="00BF295E">
        <w:rPr>
          <w:rFonts w:ascii="Arial" w:eastAsia="Times New Roman" w:hAnsi="Arial" w:cs="Arial"/>
          <w:b/>
          <w:bCs/>
          <w:sz w:val="20"/>
          <w:szCs w:val="20"/>
          <w:lang w:eastAsia="ru-RU"/>
        </w:rPr>
        <w:lastRenderedPageBreak/>
        <w:t>2</w:t>
      </w:r>
      <w:r w:rsidR="003C4B06" w:rsidRPr="003C4B06">
        <w:rPr>
          <w:rFonts w:ascii="Arial" w:eastAsia="Times New Roman" w:hAnsi="Arial" w:cs="Arial"/>
          <w:b/>
          <w:bCs/>
          <w:lang w:eastAsia="ru-RU"/>
        </w:rPr>
        <w:t>. MATERIALS AND METHODS</w:t>
      </w:r>
    </w:p>
    <w:p w14:paraId="1B838E38" w14:textId="77777777"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eastAsia="ru-RU"/>
        </w:rPr>
        <w:t>2.1 Materials</w:t>
      </w:r>
    </w:p>
    <w:p w14:paraId="20F3A907" w14:textId="77777777"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Urea</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Commercially available agricultural-grade urea (46% N).</w:t>
      </w:r>
    </w:p>
    <w:p w14:paraId="3EA82B3D" w14:textId="77777777"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Hydroquinone (HQ)</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Analytical grade, used as a nitrification inhibitor.</w:t>
      </w:r>
    </w:p>
    <w:p w14:paraId="548F97C1" w14:textId="77777777"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Polymer Matrix</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 biodegradable polymer (e.g., polyvinyl alcohol, starch-based blend) was selected as the encapsulating agent.</w:t>
      </w:r>
    </w:p>
    <w:p w14:paraId="23BDA3BA" w14:textId="77777777" w:rsidR="002B129C" w:rsidRPr="002B129C" w:rsidRDefault="002B129C" w:rsidP="00F26D1D">
      <w:pPr>
        <w:numPr>
          <w:ilvl w:val="0"/>
          <w:numId w:val="1"/>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Solvents and Reagents</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Ethanol, distilled water, and plasticizers.</w:t>
      </w:r>
    </w:p>
    <w:p w14:paraId="3D3EDD87" w14:textId="77777777"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val="en-US" w:eastAsia="ru-RU"/>
        </w:rPr>
        <w:t>2.2 Synthesis of Hydroquinone-Polymer Coating</w:t>
      </w:r>
      <w:r w:rsidRPr="002B129C">
        <w:rPr>
          <w:rFonts w:ascii="Arial" w:eastAsia="Times New Roman" w:hAnsi="Arial" w:cs="Arial"/>
          <w:sz w:val="20"/>
          <w:szCs w:val="20"/>
          <w:lang w:val="en-US" w:eastAsia="ru-RU"/>
        </w:rPr>
        <w:br/>
        <w:t xml:space="preserve">Hydroquinone was dissolved in ethanol and incorporated into the polymer matrix under controlled stirring and heating. The mixture was then cooled and used to coat pre-weighed urea granules using a pan coating method. </w:t>
      </w:r>
      <w:r w:rsidRPr="002B129C">
        <w:rPr>
          <w:rFonts w:ascii="Arial" w:eastAsia="Times New Roman" w:hAnsi="Arial" w:cs="Arial"/>
          <w:sz w:val="20"/>
          <w:szCs w:val="20"/>
          <w:lang w:eastAsia="ru-RU"/>
        </w:rPr>
        <w:t>Different hydroquinone concentrations (</w:t>
      </w:r>
      <w:r w:rsidR="00BF295E">
        <w:rPr>
          <w:rFonts w:ascii="Arial" w:eastAsia="Times New Roman" w:hAnsi="Arial" w:cs="Arial"/>
          <w:sz w:val="20"/>
          <w:szCs w:val="20"/>
          <w:lang w:val="en-US" w:eastAsia="ru-RU"/>
        </w:rPr>
        <w:t>0.1-1.0)</w:t>
      </w:r>
      <w:r w:rsidRPr="002B129C">
        <w:rPr>
          <w:rFonts w:ascii="Arial" w:eastAsia="Times New Roman" w:hAnsi="Arial" w:cs="Arial"/>
          <w:sz w:val="20"/>
          <w:szCs w:val="20"/>
          <w:lang w:eastAsia="ru-RU"/>
        </w:rPr>
        <w:t>were tested.</w:t>
      </w:r>
    </w:p>
    <w:p w14:paraId="2FC55E68" w14:textId="77777777" w:rsidR="002B129C" w:rsidRPr="002B129C" w:rsidRDefault="002B129C" w:rsidP="00F26D1D">
      <w:pPr>
        <w:spacing w:before="100" w:beforeAutospacing="1" w:after="100" w:afterAutospacing="1" w:line="276" w:lineRule="auto"/>
        <w:rPr>
          <w:rFonts w:ascii="Arial" w:eastAsia="Times New Roman" w:hAnsi="Arial" w:cs="Arial"/>
          <w:sz w:val="20"/>
          <w:szCs w:val="20"/>
          <w:lang w:eastAsia="ru-RU"/>
        </w:rPr>
      </w:pPr>
      <w:r w:rsidRPr="00F26D1D">
        <w:rPr>
          <w:rFonts w:ascii="Arial" w:eastAsia="Times New Roman" w:hAnsi="Arial" w:cs="Arial"/>
          <w:bCs/>
          <w:sz w:val="20"/>
          <w:szCs w:val="20"/>
          <w:lang w:eastAsia="ru-RU"/>
        </w:rPr>
        <w:t>2.3 Characterization and Testing</w:t>
      </w:r>
    </w:p>
    <w:p w14:paraId="41C397DE" w14:textId="77777777"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Nitrogen Release Rate</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Standard soil incubation method (at 25°C) over 28 days.</w:t>
      </w:r>
    </w:p>
    <w:p w14:paraId="07A6028F" w14:textId="77777777"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Granule Morphology</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Analyzed using scanning electron microscopy (SEM).</w:t>
      </w:r>
    </w:p>
    <w:p w14:paraId="06BCD270" w14:textId="77777777" w:rsidR="002B129C" w:rsidRPr="002B129C"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Mechanical Strength</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Measured using a granule crushing strength tester.</w:t>
      </w:r>
    </w:p>
    <w:p w14:paraId="14E1C5CB" w14:textId="77777777" w:rsidR="002B129C" w:rsidRPr="00BF295E" w:rsidRDefault="002B129C" w:rsidP="00F26D1D">
      <w:pPr>
        <w:numPr>
          <w:ilvl w:val="0"/>
          <w:numId w:val="2"/>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FTIR and TGA Analyses</w:t>
      </w:r>
      <w:r w:rsidRPr="00BF295E">
        <w:rPr>
          <w:rFonts w:ascii="Arial" w:eastAsia="Times New Roman" w:hAnsi="Arial" w:cs="Arial"/>
          <w:b/>
          <w:bCs/>
          <w:sz w:val="20"/>
          <w:szCs w:val="20"/>
          <w:lang w:val="en-US" w:eastAsia="ru-RU"/>
        </w:rPr>
        <w:t>:</w:t>
      </w:r>
      <w:r w:rsidRPr="002B129C">
        <w:rPr>
          <w:rFonts w:ascii="Arial" w:eastAsia="Times New Roman" w:hAnsi="Arial" w:cs="Arial"/>
          <w:sz w:val="20"/>
          <w:szCs w:val="20"/>
          <w:lang w:val="en-US" w:eastAsia="ru-RU"/>
        </w:rPr>
        <w:t xml:space="preserve"> To confirm chemical interactions and thermal stability.</w:t>
      </w:r>
    </w:p>
    <w:p w14:paraId="346DAB94" w14:textId="77777777" w:rsidR="00432CDD" w:rsidRPr="00432CDD" w:rsidRDefault="00432CDD" w:rsidP="00F26D1D">
      <w:pPr>
        <w:spacing w:before="100" w:beforeAutospacing="1" w:after="100" w:afterAutospacing="1" w:line="276" w:lineRule="auto"/>
        <w:ind w:firstLine="360"/>
        <w:rPr>
          <w:rFonts w:ascii="Arial" w:eastAsia="Times New Roman" w:hAnsi="Arial" w:cs="Arial"/>
          <w:sz w:val="20"/>
          <w:szCs w:val="20"/>
          <w:lang w:val="en-US" w:eastAsia="ru-RU"/>
        </w:rPr>
      </w:pPr>
      <w:r w:rsidRPr="00432CDD">
        <w:rPr>
          <w:rFonts w:ascii="Arial" w:eastAsia="Times New Roman" w:hAnsi="Arial" w:cs="Arial"/>
          <w:sz w:val="20"/>
          <w:szCs w:val="20"/>
          <w:lang w:val="en-US" w:eastAsia="ru-RU"/>
        </w:rPr>
        <w:t>In the initial stage of the investigation, a thorough assessment of the physical properties of the hydroquinone-modified urea fertilizer formulations was performed to evaluate their suitability for agricultural application. The parameters selected for analysis included:</w:t>
      </w:r>
    </w:p>
    <w:p w14:paraId="6E5C1465"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Moisture Content</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Determined gravimetrically by drying samples at 105°C until constant weight, in accordanc</w:t>
      </w:r>
      <w:r w:rsidR="003C4B06">
        <w:rPr>
          <w:rFonts w:ascii="Arial" w:eastAsia="Times New Roman" w:hAnsi="Arial" w:cs="Arial"/>
          <w:sz w:val="20"/>
          <w:szCs w:val="20"/>
          <w:lang w:val="en-US" w:eastAsia="ru-RU"/>
        </w:rPr>
        <w:t>e with ASTM D4944-19 standards [13]</w:t>
      </w:r>
      <w:r w:rsidRPr="00432CDD">
        <w:rPr>
          <w:rFonts w:ascii="Arial" w:eastAsia="Times New Roman" w:hAnsi="Arial" w:cs="Arial"/>
          <w:sz w:val="20"/>
          <w:szCs w:val="20"/>
          <w:lang w:val="en-US" w:eastAsia="ru-RU"/>
        </w:rPr>
        <w:t>. Moisture levels are critical as they influence storage stability and caking tendency.</w:t>
      </w:r>
    </w:p>
    <w:p w14:paraId="5D875968"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Water Solubility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Measured by dissolving a known mass of fertilizer in distilled water at 25°C with continuous stirring, followed by filtration and gravimetric determi</w:t>
      </w:r>
      <w:r w:rsidR="003C4B06">
        <w:rPr>
          <w:rFonts w:ascii="Arial" w:eastAsia="Times New Roman" w:hAnsi="Arial" w:cs="Arial"/>
          <w:sz w:val="20"/>
          <w:szCs w:val="20"/>
          <w:lang w:val="en-US" w:eastAsia="ru-RU"/>
        </w:rPr>
        <w:t>nation of undissolved residues [14]</w:t>
      </w:r>
      <w:r w:rsidRPr="00432CDD">
        <w:rPr>
          <w:rFonts w:ascii="Arial" w:eastAsia="Times New Roman" w:hAnsi="Arial" w:cs="Arial"/>
          <w:sz w:val="20"/>
          <w:szCs w:val="20"/>
          <w:lang w:val="en-US" w:eastAsia="ru-RU"/>
        </w:rPr>
        <w:t>. This parameter reflects nutrient availability upon soil application.</w:t>
      </w:r>
    </w:p>
    <w:p w14:paraId="2C7DC838"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10% Fertilizer Solution Medium</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The physicochemical characteristics (pH, electrical conductivity) of a 10% (w/v) aqueous fertilizer solution were recorded using calibra</w:t>
      </w:r>
      <w:r w:rsidR="003C4B06">
        <w:rPr>
          <w:rFonts w:ascii="Arial" w:eastAsia="Times New Roman" w:hAnsi="Arial" w:cs="Arial"/>
          <w:sz w:val="20"/>
          <w:szCs w:val="20"/>
          <w:lang w:val="en-US" w:eastAsia="ru-RU"/>
        </w:rPr>
        <w:t>ted pH and conductivity meters [15]</w:t>
      </w:r>
      <w:r w:rsidRPr="00432CDD">
        <w:rPr>
          <w:rFonts w:ascii="Arial" w:eastAsia="Times New Roman" w:hAnsi="Arial" w:cs="Arial"/>
          <w:sz w:val="20"/>
          <w:szCs w:val="20"/>
          <w:lang w:val="en-US" w:eastAsia="ru-RU"/>
        </w:rPr>
        <w:t>. These parameters indicate the solution behavior and potential phytotoxicity.</w:t>
      </w:r>
    </w:p>
    <w:p w14:paraId="7076D339"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Crystallization Temperature</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Assessed using differential scanning calorimetry (DSC), providing insight into thermal stability and phase transitions rel</w:t>
      </w:r>
      <w:r w:rsidR="003C4B06">
        <w:rPr>
          <w:rFonts w:ascii="Arial" w:eastAsia="Times New Roman" w:hAnsi="Arial" w:cs="Arial"/>
          <w:sz w:val="20"/>
          <w:szCs w:val="20"/>
          <w:lang w:val="en-US" w:eastAsia="ru-RU"/>
        </w:rPr>
        <w:t>evant for storage and handling [16]</w:t>
      </w:r>
      <w:r w:rsidRPr="00432CDD">
        <w:rPr>
          <w:rFonts w:ascii="Arial" w:eastAsia="Times New Roman" w:hAnsi="Arial" w:cs="Arial"/>
          <w:sz w:val="20"/>
          <w:szCs w:val="20"/>
          <w:lang w:val="en-US" w:eastAsia="ru-RU"/>
        </w:rPr>
        <w:t>.</w:t>
      </w:r>
    </w:p>
    <w:p w14:paraId="19922B78"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Hygroscopicity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Evaluated by exposing samples to controlled humidity environments (75% RH at 25°C) for 72 hours and measuring weight gain, as per ISO 9898:2000. This property affects fertilizer flowability and caking.</w:t>
      </w:r>
    </w:p>
    <w:p w14:paraId="179A5484"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Granule Strength</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Determined by applying compressive force to individual granules using a texture analyzer (TA.XT Plus) until fracture, following the procedure outlined by</w:t>
      </w:r>
      <w:r w:rsidR="003C4B06">
        <w:rPr>
          <w:rFonts w:ascii="Arial" w:eastAsia="Times New Roman" w:hAnsi="Arial" w:cs="Arial"/>
          <w:sz w:val="20"/>
          <w:szCs w:val="20"/>
          <w:lang w:val="en-US" w:eastAsia="ru-RU"/>
        </w:rPr>
        <w:t xml:space="preserve"> [17]</w:t>
      </w:r>
      <w:r w:rsidRPr="00432CDD">
        <w:rPr>
          <w:rFonts w:ascii="Arial" w:eastAsia="Times New Roman" w:hAnsi="Arial" w:cs="Arial"/>
          <w:sz w:val="20"/>
          <w:szCs w:val="20"/>
          <w:lang w:val="en-US" w:eastAsia="ru-RU"/>
        </w:rPr>
        <w:t>. Mechanical strength is vital for minimizing breakage during handling.</w:t>
      </w:r>
    </w:p>
    <w:p w14:paraId="16A90F17"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Density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Bulk and tapped densities were measured following ASTM D7481-09 protocols, providing data on packing behavior and flow characteristics.</w:t>
      </w:r>
    </w:p>
    <w:p w14:paraId="6EB4B59A" w14:textId="77777777" w:rsidR="00432CDD" w:rsidRPr="00432CDD" w:rsidRDefault="00432CDD" w:rsidP="00F26D1D">
      <w:pPr>
        <w:numPr>
          <w:ilvl w:val="0"/>
          <w:numId w:val="3"/>
        </w:numPr>
        <w:spacing w:before="100" w:beforeAutospacing="1" w:after="100" w:afterAutospacing="1" w:line="276" w:lineRule="auto"/>
        <w:rPr>
          <w:rFonts w:ascii="Arial" w:eastAsia="Times New Roman" w:hAnsi="Arial" w:cs="Arial"/>
          <w:sz w:val="20"/>
          <w:szCs w:val="20"/>
          <w:lang w:val="en-US" w:eastAsia="ru-RU"/>
        </w:rPr>
      </w:pPr>
      <w:r w:rsidRPr="00F26D1D">
        <w:rPr>
          <w:rFonts w:ascii="Arial" w:eastAsia="Times New Roman" w:hAnsi="Arial" w:cs="Arial"/>
          <w:bCs/>
          <w:sz w:val="20"/>
          <w:szCs w:val="20"/>
          <w:lang w:val="en-US" w:eastAsia="ru-RU"/>
        </w:rPr>
        <w:t>Viscosity</w:t>
      </w:r>
      <w:r w:rsidRPr="00BF295E">
        <w:rPr>
          <w:rFonts w:ascii="Arial" w:eastAsia="Times New Roman" w:hAnsi="Arial" w:cs="Arial"/>
          <w:b/>
          <w:bCs/>
          <w:sz w:val="20"/>
          <w:szCs w:val="20"/>
          <w:lang w:val="en-US" w:eastAsia="ru-RU"/>
        </w:rPr>
        <w:t>:</w:t>
      </w:r>
      <w:r w:rsidRPr="00432CDD">
        <w:rPr>
          <w:rFonts w:ascii="Arial" w:eastAsia="Times New Roman" w:hAnsi="Arial" w:cs="Arial"/>
          <w:sz w:val="20"/>
          <w:szCs w:val="20"/>
          <w:lang w:val="en-US" w:eastAsia="ru-RU"/>
        </w:rPr>
        <w:t xml:space="preserve"> For polymer-coated formulations, viscosity of coating solutions was measured using a rotational viscometer at controlled shear rates and temperature </w:t>
      </w:r>
      <w:r w:rsidR="003C4B06">
        <w:rPr>
          <w:rFonts w:ascii="Arial" w:eastAsia="Times New Roman" w:hAnsi="Arial" w:cs="Arial"/>
          <w:sz w:val="20"/>
          <w:szCs w:val="20"/>
          <w:lang w:val="en-US" w:eastAsia="ru-RU"/>
        </w:rPr>
        <w:t>[</w:t>
      </w:r>
      <w:proofErr w:type="gramStart"/>
      <w:r w:rsidR="003C4B06">
        <w:rPr>
          <w:rFonts w:ascii="Arial" w:eastAsia="Times New Roman" w:hAnsi="Arial" w:cs="Arial"/>
          <w:sz w:val="20"/>
          <w:szCs w:val="20"/>
          <w:lang w:val="en-US" w:eastAsia="ru-RU"/>
        </w:rPr>
        <w:t>18]</w:t>
      </w:r>
      <w:r w:rsidRPr="00432CDD">
        <w:rPr>
          <w:rFonts w:ascii="Arial" w:eastAsia="Times New Roman" w:hAnsi="Arial" w:cs="Arial"/>
          <w:sz w:val="20"/>
          <w:szCs w:val="20"/>
          <w:lang w:val="en-US" w:eastAsia="ru-RU"/>
        </w:rPr>
        <w:t>(</w:t>
      </w:r>
      <w:proofErr w:type="gramEnd"/>
      <w:r w:rsidRPr="00432CDD">
        <w:rPr>
          <w:rFonts w:ascii="Arial" w:eastAsia="Times New Roman" w:hAnsi="Arial" w:cs="Arial"/>
          <w:sz w:val="20"/>
          <w:szCs w:val="20"/>
          <w:lang w:val="en-US" w:eastAsia="ru-RU"/>
        </w:rPr>
        <w:t>25°C), as viscosity influences coating uniformity.</w:t>
      </w:r>
    </w:p>
    <w:p w14:paraId="25A7C364" w14:textId="77777777" w:rsidR="005272B5" w:rsidRDefault="005272B5" w:rsidP="00F26D1D">
      <w:pPr>
        <w:spacing w:before="100" w:beforeAutospacing="1" w:after="100" w:afterAutospacing="1" w:line="276" w:lineRule="auto"/>
        <w:ind w:left="720"/>
        <w:rPr>
          <w:rFonts w:ascii="Arial" w:eastAsia="Times New Roman" w:hAnsi="Arial" w:cs="Arial"/>
          <w:lang w:val="en-US" w:eastAsia="ru-RU"/>
        </w:rPr>
      </w:pPr>
    </w:p>
    <w:p w14:paraId="2FFFA347" w14:textId="77777777" w:rsidR="00F26D1D" w:rsidRPr="003C4B06" w:rsidRDefault="00F26D1D" w:rsidP="00F26D1D">
      <w:pPr>
        <w:spacing w:before="100" w:beforeAutospacing="1" w:after="100" w:afterAutospacing="1" w:line="276" w:lineRule="auto"/>
        <w:ind w:left="720"/>
        <w:rPr>
          <w:rFonts w:ascii="Arial" w:eastAsia="Times New Roman" w:hAnsi="Arial" w:cs="Arial"/>
          <w:lang w:val="en-US" w:eastAsia="ru-RU"/>
        </w:rPr>
      </w:pPr>
    </w:p>
    <w:p w14:paraId="7D27AD5C" w14:textId="77777777" w:rsidR="005272B5" w:rsidRPr="005E203F" w:rsidRDefault="003C4B06" w:rsidP="00F26D1D">
      <w:pPr>
        <w:spacing w:before="100" w:beforeAutospacing="1" w:after="100" w:afterAutospacing="1" w:line="276" w:lineRule="auto"/>
        <w:ind w:firstLine="360"/>
        <w:rPr>
          <w:rFonts w:ascii="Arial" w:hAnsi="Arial" w:cs="Arial"/>
          <w:b/>
          <w:lang w:val="en-US"/>
        </w:rPr>
      </w:pPr>
      <w:r w:rsidRPr="005E203F">
        <w:rPr>
          <w:rFonts w:ascii="Arial" w:hAnsi="Arial" w:cs="Arial"/>
          <w:b/>
          <w:lang w:val="en-US"/>
        </w:rPr>
        <w:lastRenderedPageBreak/>
        <w:t>3. RESULTS AND DISCUSSION</w:t>
      </w:r>
    </w:p>
    <w:p w14:paraId="7632A911" w14:textId="77777777" w:rsidR="005272B5" w:rsidRPr="00BF295E" w:rsidRDefault="005272B5"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At the initial stage of this study, hydroquinone was incorporated into urea at varying concentrations ranging from 0.1 to 1.0 norm units. Each resulting fertilizer formulation was subjected to comprehensive physicochemical characterization to evaluate its properties and performance. The analytical data obtained from these tests were systematically compiled and tabulated for comparative assessment.</w:t>
      </w:r>
    </w:p>
    <w:p w14:paraId="108CDAC1" w14:textId="77777777" w:rsidR="005272B5" w:rsidRPr="00BF295E" w:rsidRDefault="005272B5"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Based on these preliminary findings, the formulation demonstrating optimal characteristics was selected for further detailed investigation. Specifically, the encapsulated fertilizer corresponding to this optimal hydroquinone concentration underwent morphological examination using Scanning Electron Microscopy (SEM) to elucidate surface structure and coating uniformity. Additionally, Infrared (IR) spectroscopy analysis was performed to identify functional groups and confirm the chemical integration of hydroquinone within the polymer matrix.</w:t>
      </w:r>
    </w:p>
    <w:p w14:paraId="06B0CF0C" w14:textId="77777777" w:rsidR="00432CDD" w:rsidRPr="00BF295E" w:rsidRDefault="00432CDD"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At the initial phase of the study, a comprehensive evaluation of the physical properties of the synthesized fertilizer formulations was conducted. The parameters assessed included moisture content, water solubility, characteristics of a 10% fertilizer solution, crystallization temperature, hygroscopicity, granule strength, density, and viscosity, among other relevant indicators. These properties were measured using standardized analytical techniques to ensure reliability and reproducibility.</w:t>
      </w:r>
    </w:p>
    <w:p w14:paraId="4803A3ED" w14:textId="77777777" w:rsidR="00432CDD" w:rsidRPr="00BF295E" w:rsidRDefault="00432CDD" w:rsidP="00F26D1D">
      <w:pPr>
        <w:pStyle w:val="NormalWeb"/>
        <w:spacing w:line="276" w:lineRule="auto"/>
        <w:ind w:firstLine="360"/>
        <w:rPr>
          <w:rFonts w:ascii="Arial" w:hAnsi="Arial" w:cs="Arial"/>
          <w:sz w:val="20"/>
          <w:szCs w:val="20"/>
          <w:lang w:val="en-US"/>
        </w:rPr>
      </w:pPr>
      <w:r w:rsidRPr="00BF295E">
        <w:rPr>
          <w:rFonts w:ascii="Arial" w:hAnsi="Arial" w:cs="Arial"/>
          <w:sz w:val="20"/>
          <w:szCs w:val="20"/>
          <w:lang w:val="en-US"/>
        </w:rPr>
        <w:t>The obtained experimental data were systematically organized and presented in tabular form for clear comparison and analysis. Detailed results are compiled in Tables 1, 2, and 3, which illustrate the variations in physical characteristics across different hydroquinone concentrations incorporated into the urea formulations.</w:t>
      </w:r>
    </w:p>
    <w:p w14:paraId="4EB48726" w14:textId="77777777" w:rsidR="00432CDD" w:rsidRPr="00BF295E" w:rsidRDefault="00E51C7B" w:rsidP="00AC4401">
      <w:pPr>
        <w:spacing w:after="120" w:line="276" w:lineRule="auto"/>
        <w:ind w:firstLine="539"/>
        <w:jc w:val="center"/>
        <w:rPr>
          <w:rFonts w:ascii="Arial" w:hAnsi="Arial" w:cs="Arial"/>
          <w:b/>
          <w:color w:val="000000"/>
          <w:sz w:val="20"/>
          <w:szCs w:val="20"/>
          <w:lang w:val="en-US"/>
        </w:rPr>
      </w:pPr>
      <w:r w:rsidRPr="00BF295E">
        <w:rPr>
          <w:rFonts w:ascii="Arial" w:hAnsi="Arial" w:cs="Arial"/>
          <w:b/>
          <w:color w:val="000000"/>
          <w:sz w:val="20"/>
          <w:szCs w:val="20"/>
          <w:lang w:val="en-US"/>
        </w:rPr>
        <w:t>Table 1.</w:t>
      </w:r>
    </w:p>
    <w:p w14:paraId="7EB1A4A7" w14:textId="77777777" w:rsidR="00432CDD" w:rsidRPr="00BF295E" w:rsidRDefault="00432CDD" w:rsidP="00F26D1D">
      <w:pPr>
        <w:spacing w:after="120" w:line="276" w:lineRule="auto"/>
        <w:ind w:firstLine="539"/>
        <w:jc w:val="center"/>
        <w:rPr>
          <w:rFonts w:ascii="Arial" w:hAnsi="Arial" w:cs="Arial"/>
          <w:b/>
          <w:color w:val="000000"/>
          <w:sz w:val="20"/>
          <w:szCs w:val="20"/>
          <w:lang w:val="en-US"/>
        </w:rPr>
      </w:pPr>
      <w:r w:rsidRPr="00BF295E">
        <w:rPr>
          <w:rFonts w:ascii="Arial" w:hAnsi="Arial" w:cs="Arial"/>
          <w:b/>
          <w:color w:val="000000"/>
          <w:sz w:val="20"/>
          <w:szCs w:val="20"/>
          <w:lang w:val="en-US"/>
        </w:rPr>
        <w:t xml:space="preserve">Composition </w:t>
      </w:r>
      <w:r w:rsidRPr="00BF295E">
        <w:rPr>
          <w:rFonts w:ascii="Arial" w:hAnsi="Arial" w:cs="Arial"/>
          <w:b/>
          <w:color w:val="000000"/>
          <w:sz w:val="20"/>
          <w:szCs w:val="20"/>
          <w:lang w:val="uz-Cyrl-UZ"/>
        </w:rPr>
        <w:t xml:space="preserve">of granulated </w:t>
      </w:r>
      <w:r w:rsidRPr="00BF295E">
        <w:rPr>
          <w:rFonts w:ascii="Arial" w:hAnsi="Arial" w:cs="Arial"/>
          <w:b/>
          <w:color w:val="000000"/>
          <w:sz w:val="20"/>
          <w:szCs w:val="20"/>
          <w:lang w:val="en-US"/>
        </w:rPr>
        <w:t xml:space="preserve">urea </w:t>
      </w:r>
      <w:r w:rsidRPr="00BF295E">
        <w:rPr>
          <w:rFonts w:ascii="Arial" w:hAnsi="Arial" w:cs="Arial"/>
          <w:b/>
          <w:color w:val="000000"/>
          <w:sz w:val="20"/>
          <w:szCs w:val="20"/>
          <w:lang w:val="uz-Cyrl-UZ"/>
        </w:rPr>
        <w:t>with the addition of Hydroquinone</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304"/>
        <w:gridCol w:w="2159"/>
        <w:gridCol w:w="1407"/>
        <w:gridCol w:w="1629"/>
      </w:tblGrid>
      <w:tr w:rsidR="00432CDD" w:rsidRPr="00BF295E" w14:paraId="0B7F0613" w14:textId="77777777" w:rsidTr="00F44A15">
        <w:trPr>
          <w:trHeight w:val="70"/>
          <w:jc w:val="center"/>
        </w:trPr>
        <w:tc>
          <w:tcPr>
            <w:tcW w:w="2759" w:type="dxa"/>
            <w:shd w:val="clear" w:color="auto" w:fill="auto"/>
          </w:tcPr>
          <w:p w14:paraId="0006916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14:paraId="1705FF0E" w14:textId="77777777"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r w:rsidRPr="00BF295E">
              <w:rPr>
                <w:rFonts w:ascii="Arial" w:hAnsi="Arial" w:cs="Arial"/>
                <w:sz w:val="20"/>
                <w:szCs w:val="20"/>
                <w:lang w:val="en-US"/>
              </w:rPr>
              <w:t>Hydroquinone</w:t>
            </w:r>
          </w:p>
        </w:tc>
        <w:tc>
          <w:tcPr>
            <w:tcW w:w="1304" w:type="dxa"/>
            <w:shd w:val="clear" w:color="auto" w:fill="auto"/>
          </w:tcPr>
          <w:p w14:paraId="5C168A9C" w14:textId="77777777" w:rsidR="00432CDD" w:rsidRPr="00BF295E" w:rsidRDefault="00432CDD" w:rsidP="00F26D1D">
            <w:pPr>
              <w:tabs>
                <w:tab w:val="left" w:pos="180"/>
                <w:tab w:val="center" w:pos="666"/>
              </w:tabs>
              <w:spacing w:after="0" w:line="276" w:lineRule="auto"/>
              <w:jc w:val="center"/>
              <w:rPr>
                <w:rFonts w:ascii="Arial" w:hAnsi="Arial" w:cs="Arial"/>
                <w:sz w:val="20"/>
                <w:szCs w:val="20"/>
              </w:rPr>
            </w:pPr>
            <w:r w:rsidRPr="00BF295E">
              <w:rPr>
                <w:rFonts w:ascii="Arial" w:hAnsi="Arial" w:cs="Arial"/>
                <w:sz w:val="20"/>
                <w:szCs w:val="20"/>
              </w:rPr>
              <w:t>N,</w:t>
            </w:r>
          </w:p>
          <w:p w14:paraId="67D077F4" w14:textId="77777777" w:rsidR="00432CDD" w:rsidRPr="00BF295E" w:rsidRDefault="00432CDD" w:rsidP="00F26D1D">
            <w:pPr>
              <w:tabs>
                <w:tab w:val="left" w:pos="180"/>
                <w:tab w:val="center" w:pos="666"/>
              </w:tabs>
              <w:spacing w:after="0" w:line="276" w:lineRule="auto"/>
              <w:jc w:val="center"/>
              <w:rPr>
                <w:rFonts w:ascii="Arial" w:hAnsi="Arial" w:cs="Arial"/>
                <w:sz w:val="20"/>
                <w:szCs w:val="20"/>
              </w:rPr>
            </w:pPr>
            <w:r w:rsidRPr="00BF295E">
              <w:rPr>
                <w:rFonts w:ascii="Arial" w:hAnsi="Arial" w:cs="Arial"/>
                <w:sz w:val="20"/>
                <w:szCs w:val="20"/>
              </w:rPr>
              <w:t>%</w:t>
            </w:r>
          </w:p>
        </w:tc>
        <w:tc>
          <w:tcPr>
            <w:tcW w:w="2159" w:type="dxa"/>
            <w:shd w:val="clear" w:color="auto" w:fill="auto"/>
          </w:tcPr>
          <w:p w14:paraId="4396A7E1" w14:textId="77777777" w:rsidR="00432CDD" w:rsidRPr="00BF295E" w:rsidRDefault="00432CDD" w:rsidP="00F26D1D">
            <w:pPr>
              <w:spacing w:after="120" w:line="276" w:lineRule="auto"/>
              <w:ind w:firstLine="539"/>
              <w:jc w:val="center"/>
              <w:rPr>
                <w:rFonts w:ascii="Arial" w:hAnsi="Arial" w:cs="Arial"/>
                <w:color w:val="000000"/>
                <w:sz w:val="20"/>
                <w:szCs w:val="20"/>
                <w:lang w:val="en-US"/>
              </w:rPr>
            </w:pPr>
            <w:r w:rsidRPr="00BF295E">
              <w:rPr>
                <w:rFonts w:ascii="Arial" w:hAnsi="Arial" w:cs="Arial"/>
                <w:color w:val="000000"/>
                <w:sz w:val="20"/>
                <w:szCs w:val="20"/>
                <w:lang w:val="uz-Cyrl-UZ"/>
              </w:rPr>
              <w:t>Hydroquinone</w:t>
            </w:r>
          </w:p>
          <w:p w14:paraId="05B32D39" w14:textId="77777777" w:rsidR="00432CDD" w:rsidRPr="00BF295E" w:rsidRDefault="00432CDD" w:rsidP="00F26D1D">
            <w:pPr>
              <w:tabs>
                <w:tab w:val="left" w:pos="180"/>
                <w:tab w:val="center" w:pos="666"/>
              </w:tabs>
              <w:spacing w:after="0" w:line="276" w:lineRule="auto"/>
              <w:jc w:val="center"/>
              <w:rPr>
                <w:rFonts w:ascii="Arial" w:hAnsi="Arial" w:cs="Arial"/>
                <w:sz w:val="20"/>
                <w:szCs w:val="20"/>
                <w:lang w:val="en-US"/>
              </w:rPr>
            </w:pPr>
            <w:r w:rsidRPr="00BF295E">
              <w:rPr>
                <w:rFonts w:ascii="Arial" w:hAnsi="Arial" w:cs="Arial"/>
                <w:sz w:val="20"/>
                <w:szCs w:val="20"/>
              </w:rPr>
              <w:t>%</w:t>
            </w:r>
          </w:p>
        </w:tc>
        <w:tc>
          <w:tcPr>
            <w:tcW w:w="1407" w:type="dxa"/>
          </w:tcPr>
          <w:p w14:paraId="45DA85F3"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Biuret,</w:t>
            </w:r>
          </w:p>
          <w:p w14:paraId="6B51957D"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w:t>
            </w:r>
          </w:p>
        </w:tc>
        <w:tc>
          <w:tcPr>
            <w:tcW w:w="1629" w:type="dxa"/>
          </w:tcPr>
          <w:p w14:paraId="33E0D0ED"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rPr>
              <w:t xml:space="preserve">Moisture </w:t>
            </w:r>
            <w:r w:rsidRPr="00BF295E">
              <w:rPr>
                <w:rFonts w:ascii="Arial" w:hAnsi="Arial" w:cs="Arial"/>
                <w:bCs/>
                <w:sz w:val="20"/>
                <w:szCs w:val="20"/>
                <w:lang w:val="en-US"/>
              </w:rPr>
              <w:t>,</w:t>
            </w:r>
          </w:p>
          <w:p w14:paraId="52BBD8F5"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w:t>
            </w:r>
          </w:p>
        </w:tc>
      </w:tr>
      <w:tr w:rsidR="00432CDD" w:rsidRPr="00BF295E" w14:paraId="70A29FB2" w14:textId="77777777" w:rsidTr="00F44A15">
        <w:trPr>
          <w:trHeight w:val="238"/>
          <w:jc w:val="center"/>
        </w:trPr>
        <w:tc>
          <w:tcPr>
            <w:tcW w:w="2759" w:type="dxa"/>
            <w:shd w:val="clear" w:color="auto" w:fill="auto"/>
            <w:vAlign w:val="center"/>
          </w:tcPr>
          <w:p w14:paraId="2318BCEE"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100:0</w:t>
            </w:r>
          </w:p>
        </w:tc>
        <w:tc>
          <w:tcPr>
            <w:tcW w:w="1304" w:type="dxa"/>
            <w:shd w:val="clear" w:color="auto" w:fill="auto"/>
            <w:vAlign w:val="center"/>
          </w:tcPr>
          <w:p w14:paraId="0714A88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46.20</w:t>
            </w:r>
          </w:p>
        </w:tc>
        <w:tc>
          <w:tcPr>
            <w:tcW w:w="2159" w:type="dxa"/>
            <w:shd w:val="clear" w:color="auto" w:fill="auto"/>
            <w:vAlign w:val="center"/>
          </w:tcPr>
          <w:p w14:paraId="3E91905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0.00</w:t>
            </w:r>
          </w:p>
        </w:tc>
        <w:tc>
          <w:tcPr>
            <w:tcW w:w="1407" w:type="dxa"/>
            <w:tcBorders>
              <w:top w:val="nil"/>
            </w:tcBorders>
            <w:vAlign w:val="center"/>
          </w:tcPr>
          <w:p w14:paraId="715A4E6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tcBorders>
              <w:top w:val="nil"/>
            </w:tcBorders>
            <w:vAlign w:val="center"/>
          </w:tcPr>
          <w:p w14:paraId="307E197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0.23</w:t>
            </w:r>
          </w:p>
        </w:tc>
      </w:tr>
      <w:tr w:rsidR="00432CDD" w:rsidRPr="00BF295E" w14:paraId="46BDC718" w14:textId="77777777" w:rsidTr="00F44A15">
        <w:trPr>
          <w:trHeight w:val="384"/>
          <w:jc w:val="center"/>
        </w:trPr>
        <w:tc>
          <w:tcPr>
            <w:tcW w:w="2759" w:type="dxa"/>
            <w:shd w:val="clear" w:color="auto" w:fill="auto"/>
            <w:vAlign w:val="center"/>
          </w:tcPr>
          <w:p w14:paraId="29D570D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1304" w:type="dxa"/>
            <w:shd w:val="clear" w:color="auto" w:fill="auto"/>
            <w:vAlign w:val="center"/>
          </w:tcPr>
          <w:p w14:paraId="7C56C7A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46.09</w:t>
            </w:r>
          </w:p>
        </w:tc>
        <w:tc>
          <w:tcPr>
            <w:tcW w:w="2159" w:type="dxa"/>
            <w:shd w:val="clear" w:color="auto" w:fill="auto"/>
            <w:vAlign w:val="center"/>
          </w:tcPr>
          <w:p w14:paraId="2835A8C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0.09</w:t>
            </w:r>
          </w:p>
        </w:tc>
        <w:tc>
          <w:tcPr>
            <w:tcW w:w="1407" w:type="dxa"/>
            <w:vAlign w:val="center"/>
          </w:tcPr>
          <w:p w14:paraId="2D97EDB9"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vAlign w:val="center"/>
          </w:tcPr>
          <w:p w14:paraId="3887A47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0.22</w:t>
            </w:r>
          </w:p>
        </w:tc>
      </w:tr>
      <w:tr w:rsidR="00432CDD" w:rsidRPr="00BF295E" w14:paraId="3559DD6F" w14:textId="77777777" w:rsidTr="00F44A15">
        <w:trPr>
          <w:trHeight w:val="384"/>
          <w:jc w:val="center"/>
        </w:trPr>
        <w:tc>
          <w:tcPr>
            <w:tcW w:w="2759" w:type="dxa"/>
            <w:shd w:val="clear" w:color="auto" w:fill="auto"/>
            <w:vAlign w:val="center"/>
          </w:tcPr>
          <w:p w14:paraId="798BB756"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1304" w:type="dxa"/>
            <w:shd w:val="clear" w:color="auto" w:fill="auto"/>
            <w:vAlign w:val="center"/>
          </w:tcPr>
          <w:p w14:paraId="0005535C"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46.</w:t>
            </w:r>
            <w:r w:rsidRPr="00BF295E">
              <w:rPr>
                <w:rFonts w:ascii="Arial" w:hAnsi="Arial" w:cs="Arial"/>
                <w:sz w:val="20"/>
                <w:szCs w:val="20"/>
              </w:rPr>
              <w:t>06</w:t>
            </w:r>
          </w:p>
        </w:tc>
        <w:tc>
          <w:tcPr>
            <w:tcW w:w="2159" w:type="dxa"/>
            <w:shd w:val="clear" w:color="auto" w:fill="auto"/>
            <w:vAlign w:val="center"/>
          </w:tcPr>
          <w:p w14:paraId="675BA04D"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0.19</w:t>
            </w:r>
          </w:p>
        </w:tc>
        <w:tc>
          <w:tcPr>
            <w:tcW w:w="1407" w:type="dxa"/>
            <w:vAlign w:val="center"/>
          </w:tcPr>
          <w:p w14:paraId="4121867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1.33</w:t>
            </w:r>
          </w:p>
        </w:tc>
        <w:tc>
          <w:tcPr>
            <w:tcW w:w="1629" w:type="dxa"/>
            <w:vAlign w:val="center"/>
          </w:tcPr>
          <w:p w14:paraId="3E2F3D9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0.22</w:t>
            </w:r>
          </w:p>
        </w:tc>
      </w:tr>
      <w:tr w:rsidR="00432CDD" w:rsidRPr="00BF295E" w14:paraId="1E3A5FB8" w14:textId="77777777" w:rsidTr="00F44A15">
        <w:trPr>
          <w:trHeight w:val="384"/>
          <w:jc w:val="center"/>
        </w:trPr>
        <w:tc>
          <w:tcPr>
            <w:tcW w:w="2759" w:type="dxa"/>
            <w:shd w:val="clear" w:color="auto" w:fill="auto"/>
            <w:vAlign w:val="center"/>
          </w:tcPr>
          <w:p w14:paraId="5390CB88"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1304" w:type="dxa"/>
            <w:shd w:val="clear" w:color="auto" w:fill="auto"/>
            <w:vAlign w:val="center"/>
          </w:tcPr>
          <w:p w14:paraId="74DD02E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46.01</w:t>
            </w:r>
          </w:p>
        </w:tc>
        <w:tc>
          <w:tcPr>
            <w:tcW w:w="2159" w:type="dxa"/>
            <w:shd w:val="clear" w:color="auto" w:fill="auto"/>
            <w:vAlign w:val="center"/>
          </w:tcPr>
          <w:p w14:paraId="5DC6858E"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0.28</w:t>
            </w:r>
          </w:p>
        </w:tc>
        <w:tc>
          <w:tcPr>
            <w:tcW w:w="1407" w:type="dxa"/>
            <w:vAlign w:val="center"/>
          </w:tcPr>
          <w:p w14:paraId="23FE86C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1.32</w:t>
            </w:r>
          </w:p>
        </w:tc>
        <w:tc>
          <w:tcPr>
            <w:tcW w:w="1629" w:type="dxa"/>
            <w:vAlign w:val="center"/>
          </w:tcPr>
          <w:p w14:paraId="76866E1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0.21</w:t>
            </w:r>
          </w:p>
        </w:tc>
      </w:tr>
      <w:tr w:rsidR="00432CDD" w:rsidRPr="00BF295E" w14:paraId="679C1EE4" w14:textId="77777777" w:rsidTr="00F44A15">
        <w:trPr>
          <w:trHeight w:val="384"/>
          <w:jc w:val="center"/>
        </w:trPr>
        <w:tc>
          <w:tcPr>
            <w:tcW w:w="2759" w:type="dxa"/>
            <w:shd w:val="clear" w:color="auto" w:fill="auto"/>
            <w:vAlign w:val="center"/>
          </w:tcPr>
          <w:p w14:paraId="4076D6F5"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1304" w:type="dxa"/>
            <w:shd w:val="clear" w:color="auto" w:fill="auto"/>
            <w:vAlign w:val="center"/>
          </w:tcPr>
          <w:p w14:paraId="2A2148ED"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4</w:t>
            </w:r>
            <w:r w:rsidRPr="00BF295E">
              <w:rPr>
                <w:rFonts w:ascii="Arial" w:hAnsi="Arial" w:cs="Arial"/>
                <w:sz w:val="20"/>
                <w:szCs w:val="20"/>
              </w:rPr>
              <w:t>5</w:t>
            </w:r>
            <w:r w:rsidRPr="00BF295E">
              <w:rPr>
                <w:rFonts w:ascii="Arial" w:hAnsi="Arial" w:cs="Arial"/>
                <w:sz w:val="20"/>
                <w:szCs w:val="20"/>
                <w:lang w:val="en-US"/>
              </w:rPr>
              <w:t>.</w:t>
            </w:r>
            <w:r w:rsidRPr="00BF295E">
              <w:rPr>
                <w:rFonts w:ascii="Arial" w:hAnsi="Arial" w:cs="Arial"/>
                <w:sz w:val="20"/>
                <w:szCs w:val="20"/>
              </w:rPr>
              <w:t>94</w:t>
            </w:r>
          </w:p>
        </w:tc>
        <w:tc>
          <w:tcPr>
            <w:tcW w:w="2159" w:type="dxa"/>
            <w:shd w:val="clear" w:color="auto" w:fill="auto"/>
            <w:vAlign w:val="center"/>
          </w:tcPr>
          <w:p w14:paraId="59F7705B"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0.39</w:t>
            </w:r>
          </w:p>
        </w:tc>
        <w:tc>
          <w:tcPr>
            <w:tcW w:w="1407" w:type="dxa"/>
            <w:vAlign w:val="center"/>
          </w:tcPr>
          <w:p w14:paraId="049E3F1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1.32</w:t>
            </w:r>
          </w:p>
        </w:tc>
        <w:tc>
          <w:tcPr>
            <w:tcW w:w="1629" w:type="dxa"/>
            <w:vAlign w:val="center"/>
          </w:tcPr>
          <w:p w14:paraId="45E7C5C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0.21</w:t>
            </w:r>
          </w:p>
        </w:tc>
      </w:tr>
      <w:tr w:rsidR="00432CDD" w:rsidRPr="00BF295E" w14:paraId="566D1C1C" w14:textId="77777777" w:rsidTr="00F44A15">
        <w:trPr>
          <w:trHeight w:val="396"/>
          <w:jc w:val="center"/>
        </w:trPr>
        <w:tc>
          <w:tcPr>
            <w:tcW w:w="2759" w:type="dxa"/>
            <w:shd w:val="clear" w:color="auto" w:fill="auto"/>
            <w:vAlign w:val="center"/>
          </w:tcPr>
          <w:p w14:paraId="6B59ED5D"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1304" w:type="dxa"/>
            <w:shd w:val="clear" w:color="auto" w:fill="auto"/>
            <w:vAlign w:val="center"/>
          </w:tcPr>
          <w:p w14:paraId="73F3EF2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45.98</w:t>
            </w:r>
          </w:p>
        </w:tc>
        <w:tc>
          <w:tcPr>
            <w:tcW w:w="2159" w:type="dxa"/>
            <w:shd w:val="clear" w:color="auto" w:fill="auto"/>
            <w:vAlign w:val="center"/>
          </w:tcPr>
          <w:p w14:paraId="7029F059"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0.47</w:t>
            </w:r>
          </w:p>
        </w:tc>
        <w:tc>
          <w:tcPr>
            <w:tcW w:w="1407" w:type="dxa"/>
            <w:vAlign w:val="center"/>
          </w:tcPr>
          <w:p w14:paraId="13F6700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1629" w:type="dxa"/>
            <w:vAlign w:val="center"/>
          </w:tcPr>
          <w:p w14:paraId="7035AE5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0.20</w:t>
            </w:r>
          </w:p>
        </w:tc>
      </w:tr>
      <w:tr w:rsidR="00432CDD" w:rsidRPr="00BF295E" w14:paraId="2938DFF9" w14:textId="77777777" w:rsidTr="00F44A15">
        <w:trPr>
          <w:trHeight w:val="384"/>
          <w:jc w:val="center"/>
        </w:trPr>
        <w:tc>
          <w:tcPr>
            <w:tcW w:w="2759" w:type="dxa"/>
            <w:shd w:val="clear" w:color="auto" w:fill="auto"/>
            <w:vAlign w:val="center"/>
          </w:tcPr>
          <w:p w14:paraId="32DC517D"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1304" w:type="dxa"/>
            <w:shd w:val="clear" w:color="auto" w:fill="auto"/>
            <w:vAlign w:val="center"/>
          </w:tcPr>
          <w:p w14:paraId="492EF0C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45.94</w:t>
            </w:r>
          </w:p>
        </w:tc>
        <w:tc>
          <w:tcPr>
            <w:tcW w:w="2159" w:type="dxa"/>
            <w:shd w:val="clear" w:color="auto" w:fill="auto"/>
            <w:vAlign w:val="center"/>
          </w:tcPr>
          <w:p w14:paraId="28D8610E"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0.58</w:t>
            </w:r>
          </w:p>
        </w:tc>
        <w:tc>
          <w:tcPr>
            <w:tcW w:w="1407" w:type="dxa"/>
            <w:vAlign w:val="center"/>
          </w:tcPr>
          <w:p w14:paraId="1010309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1629" w:type="dxa"/>
            <w:vAlign w:val="center"/>
          </w:tcPr>
          <w:p w14:paraId="5825479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0.20</w:t>
            </w:r>
          </w:p>
        </w:tc>
      </w:tr>
      <w:tr w:rsidR="00432CDD" w:rsidRPr="00BF295E" w14:paraId="6857B478" w14:textId="77777777" w:rsidTr="00F44A15">
        <w:trPr>
          <w:trHeight w:val="384"/>
          <w:jc w:val="center"/>
        </w:trPr>
        <w:tc>
          <w:tcPr>
            <w:tcW w:w="2759" w:type="dxa"/>
            <w:shd w:val="clear" w:color="auto" w:fill="auto"/>
            <w:vAlign w:val="center"/>
          </w:tcPr>
          <w:p w14:paraId="05F5250F"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1304" w:type="dxa"/>
            <w:shd w:val="clear" w:color="auto" w:fill="auto"/>
            <w:vAlign w:val="center"/>
          </w:tcPr>
          <w:p w14:paraId="289B5C8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45.89</w:t>
            </w:r>
          </w:p>
        </w:tc>
        <w:tc>
          <w:tcPr>
            <w:tcW w:w="2159" w:type="dxa"/>
            <w:shd w:val="clear" w:color="auto" w:fill="auto"/>
            <w:vAlign w:val="center"/>
          </w:tcPr>
          <w:p w14:paraId="6B38B99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0.69</w:t>
            </w:r>
          </w:p>
        </w:tc>
        <w:tc>
          <w:tcPr>
            <w:tcW w:w="1407" w:type="dxa"/>
            <w:vAlign w:val="center"/>
          </w:tcPr>
          <w:p w14:paraId="7A3407C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1.30</w:t>
            </w:r>
          </w:p>
        </w:tc>
        <w:tc>
          <w:tcPr>
            <w:tcW w:w="1629" w:type="dxa"/>
            <w:vAlign w:val="center"/>
          </w:tcPr>
          <w:p w14:paraId="391B534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0.19</w:t>
            </w:r>
          </w:p>
        </w:tc>
      </w:tr>
      <w:tr w:rsidR="00432CDD" w:rsidRPr="00BF295E" w14:paraId="2C49EC70" w14:textId="77777777" w:rsidTr="00F44A15">
        <w:trPr>
          <w:trHeight w:val="384"/>
          <w:jc w:val="center"/>
        </w:trPr>
        <w:tc>
          <w:tcPr>
            <w:tcW w:w="2759" w:type="dxa"/>
            <w:shd w:val="clear" w:color="auto" w:fill="auto"/>
            <w:vAlign w:val="center"/>
          </w:tcPr>
          <w:p w14:paraId="07B35755"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1304" w:type="dxa"/>
            <w:shd w:val="clear" w:color="auto" w:fill="auto"/>
            <w:vAlign w:val="center"/>
          </w:tcPr>
          <w:p w14:paraId="062A156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45.83</w:t>
            </w:r>
          </w:p>
        </w:tc>
        <w:tc>
          <w:tcPr>
            <w:tcW w:w="2159" w:type="dxa"/>
            <w:shd w:val="clear" w:color="auto" w:fill="auto"/>
            <w:vAlign w:val="center"/>
          </w:tcPr>
          <w:p w14:paraId="1783A26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0.78</w:t>
            </w:r>
          </w:p>
        </w:tc>
        <w:tc>
          <w:tcPr>
            <w:tcW w:w="1407" w:type="dxa"/>
            <w:vAlign w:val="center"/>
          </w:tcPr>
          <w:p w14:paraId="2FFA13A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1.29</w:t>
            </w:r>
          </w:p>
        </w:tc>
        <w:tc>
          <w:tcPr>
            <w:tcW w:w="1629" w:type="dxa"/>
            <w:vAlign w:val="center"/>
          </w:tcPr>
          <w:p w14:paraId="27D1878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0.19</w:t>
            </w:r>
          </w:p>
        </w:tc>
      </w:tr>
      <w:tr w:rsidR="00432CDD" w:rsidRPr="00BF295E" w14:paraId="1C91EAFD" w14:textId="77777777" w:rsidTr="00F44A15">
        <w:trPr>
          <w:trHeight w:val="384"/>
          <w:jc w:val="center"/>
        </w:trPr>
        <w:tc>
          <w:tcPr>
            <w:tcW w:w="2759" w:type="dxa"/>
            <w:shd w:val="clear" w:color="auto" w:fill="auto"/>
            <w:vAlign w:val="center"/>
          </w:tcPr>
          <w:p w14:paraId="2B0051B7"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1304" w:type="dxa"/>
            <w:shd w:val="clear" w:color="auto" w:fill="auto"/>
            <w:vAlign w:val="center"/>
          </w:tcPr>
          <w:p w14:paraId="464BA8D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45.71</w:t>
            </w:r>
          </w:p>
        </w:tc>
        <w:tc>
          <w:tcPr>
            <w:tcW w:w="2159" w:type="dxa"/>
            <w:shd w:val="clear" w:color="auto" w:fill="auto"/>
            <w:vAlign w:val="center"/>
          </w:tcPr>
          <w:p w14:paraId="5F98B49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0.89</w:t>
            </w:r>
          </w:p>
        </w:tc>
        <w:tc>
          <w:tcPr>
            <w:tcW w:w="1407" w:type="dxa"/>
            <w:vAlign w:val="center"/>
          </w:tcPr>
          <w:p w14:paraId="0053F99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1.28</w:t>
            </w:r>
          </w:p>
        </w:tc>
        <w:tc>
          <w:tcPr>
            <w:tcW w:w="1629" w:type="dxa"/>
            <w:vAlign w:val="center"/>
          </w:tcPr>
          <w:p w14:paraId="3099EFD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0.18</w:t>
            </w:r>
          </w:p>
        </w:tc>
      </w:tr>
      <w:tr w:rsidR="00432CDD" w:rsidRPr="00BF295E" w14:paraId="00370E99" w14:textId="77777777" w:rsidTr="00F44A15">
        <w:trPr>
          <w:trHeight w:val="83"/>
          <w:jc w:val="center"/>
        </w:trPr>
        <w:tc>
          <w:tcPr>
            <w:tcW w:w="2759" w:type="dxa"/>
            <w:shd w:val="clear" w:color="auto" w:fill="auto"/>
          </w:tcPr>
          <w:p w14:paraId="24F0A768"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1304" w:type="dxa"/>
            <w:shd w:val="clear" w:color="auto" w:fill="auto"/>
          </w:tcPr>
          <w:p w14:paraId="3F52FCC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45.65</w:t>
            </w:r>
          </w:p>
        </w:tc>
        <w:tc>
          <w:tcPr>
            <w:tcW w:w="2159" w:type="dxa"/>
            <w:shd w:val="clear" w:color="auto" w:fill="auto"/>
          </w:tcPr>
          <w:p w14:paraId="6DB90AE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0.98</w:t>
            </w:r>
          </w:p>
        </w:tc>
        <w:tc>
          <w:tcPr>
            <w:tcW w:w="1407" w:type="dxa"/>
          </w:tcPr>
          <w:p w14:paraId="6EE4363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1.28</w:t>
            </w:r>
          </w:p>
        </w:tc>
        <w:tc>
          <w:tcPr>
            <w:tcW w:w="1629" w:type="dxa"/>
          </w:tcPr>
          <w:p w14:paraId="4401481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0.17</w:t>
            </w:r>
          </w:p>
        </w:tc>
      </w:tr>
    </w:tbl>
    <w:p w14:paraId="5B37A333" w14:textId="77777777" w:rsidR="00432CDD" w:rsidRPr="00BF295E" w:rsidRDefault="00432CDD" w:rsidP="00F26D1D">
      <w:pPr>
        <w:tabs>
          <w:tab w:val="left" w:pos="284"/>
        </w:tabs>
        <w:spacing w:after="120" w:line="276" w:lineRule="auto"/>
        <w:ind w:firstLine="539"/>
        <w:jc w:val="center"/>
        <w:rPr>
          <w:rFonts w:ascii="Arial" w:hAnsi="Arial" w:cs="Arial"/>
          <w:b/>
          <w:sz w:val="20"/>
          <w:szCs w:val="20"/>
          <w:lang w:val="en-US"/>
        </w:rPr>
      </w:pPr>
    </w:p>
    <w:p w14:paraId="007CCE66" w14:textId="77777777" w:rsidR="00F26D1D" w:rsidRDefault="00F26D1D" w:rsidP="00F26D1D">
      <w:pPr>
        <w:tabs>
          <w:tab w:val="left" w:pos="284"/>
        </w:tabs>
        <w:spacing w:after="120" w:line="276" w:lineRule="auto"/>
        <w:ind w:firstLine="539"/>
        <w:jc w:val="right"/>
        <w:rPr>
          <w:rFonts w:ascii="Arial" w:hAnsi="Arial" w:cs="Arial"/>
          <w:b/>
          <w:sz w:val="20"/>
          <w:szCs w:val="20"/>
          <w:lang w:val="en-US"/>
        </w:rPr>
      </w:pPr>
    </w:p>
    <w:p w14:paraId="4F06CC03" w14:textId="77777777" w:rsidR="00F26D1D" w:rsidRDefault="00F26D1D" w:rsidP="00F26D1D">
      <w:pPr>
        <w:tabs>
          <w:tab w:val="left" w:pos="284"/>
        </w:tabs>
        <w:spacing w:after="120" w:line="276" w:lineRule="auto"/>
        <w:ind w:firstLine="539"/>
        <w:jc w:val="right"/>
        <w:rPr>
          <w:rFonts w:ascii="Arial" w:hAnsi="Arial" w:cs="Arial"/>
          <w:b/>
          <w:sz w:val="20"/>
          <w:szCs w:val="20"/>
          <w:lang w:val="en-US"/>
        </w:rPr>
      </w:pPr>
    </w:p>
    <w:p w14:paraId="52CD6854" w14:textId="77777777" w:rsidR="00F26D1D" w:rsidRDefault="00F26D1D" w:rsidP="00F26D1D">
      <w:pPr>
        <w:tabs>
          <w:tab w:val="left" w:pos="284"/>
        </w:tabs>
        <w:spacing w:after="120" w:line="276" w:lineRule="auto"/>
        <w:ind w:firstLine="539"/>
        <w:jc w:val="right"/>
        <w:rPr>
          <w:rFonts w:ascii="Arial" w:hAnsi="Arial" w:cs="Arial"/>
          <w:b/>
          <w:sz w:val="20"/>
          <w:szCs w:val="20"/>
          <w:lang w:val="en-US"/>
        </w:rPr>
      </w:pPr>
    </w:p>
    <w:p w14:paraId="2D2850A2" w14:textId="77777777" w:rsidR="00F26D1D" w:rsidRDefault="00F26D1D" w:rsidP="00F26D1D">
      <w:pPr>
        <w:tabs>
          <w:tab w:val="left" w:pos="284"/>
        </w:tabs>
        <w:spacing w:after="120" w:line="276" w:lineRule="auto"/>
        <w:ind w:firstLine="539"/>
        <w:jc w:val="right"/>
        <w:rPr>
          <w:rFonts w:ascii="Arial" w:hAnsi="Arial" w:cs="Arial"/>
          <w:b/>
          <w:sz w:val="20"/>
          <w:szCs w:val="20"/>
          <w:lang w:val="en-US"/>
        </w:rPr>
      </w:pPr>
    </w:p>
    <w:p w14:paraId="7EAA22D3" w14:textId="77777777" w:rsidR="00F26D1D" w:rsidRDefault="00F26D1D" w:rsidP="00F26D1D">
      <w:pPr>
        <w:tabs>
          <w:tab w:val="left" w:pos="284"/>
        </w:tabs>
        <w:spacing w:after="120" w:line="276" w:lineRule="auto"/>
        <w:ind w:firstLine="539"/>
        <w:jc w:val="right"/>
        <w:rPr>
          <w:rFonts w:ascii="Arial" w:hAnsi="Arial" w:cs="Arial"/>
          <w:b/>
          <w:sz w:val="20"/>
          <w:szCs w:val="20"/>
          <w:lang w:val="en-US"/>
        </w:rPr>
      </w:pPr>
    </w:p>
    <w:p w14:paraId="6006FFE5" w14:textId="77777777" w:rsidR="00F26D1D" w:rsidRDefault="00F26D1D" w:rsidP="00F26D1D">
      <w:pPr>
        <w:tabs>
          <w:tab w:val="left" w:pos="284"/>
        </w:tabs>
        <w:spacing w:after="120" w:line="276" w:lineRule="auto"/>
        <w:ind w:firstLine="539"/>
        <w:jc w:val="right"/>
        <w:rPr>
          <w:rFonts w:ascii="Arial" w:hAnsi="Arial" w:cs="Arial"/>
          <w:b/>
          <w:sz w:val="20"/>
          <w:szCs w:val="20"/>
          <w:lang w:val="en-US"/>
        </w:rPr>
      </w:pPr>
    </w:p>
    <w:p w14:paraId="0793EF27" w14:textId="77777777" w:rsidR="00E51C7B" w:rsidRPr="00BF295E" w:rsidRDefault="00E51C7B" w:rsidP="00AC4401">
      <w:pPr>
        <w:tabs>
          <w:tab w:val="left" w:pos="284"/>
        </w:tabs>
        <w:spacing w:after="120" w:line="276" w:lineRule="auto"/>
        <w:ind w:firstLine="539"/>
        <w:jc w:val="center"/>
        <w:rPr>
          <w:rFonts w:ascii="Arial" w:hAnsi="Arial" w:cs="Arial"/>
          <w:b/>
          <w:sz w:val="20"/>
          <w:szCs w:val="20"/>
          <w:lang w:val="en-US"/>
        </w:rPr>
      </w:pPr>
      <w:r w:rsidRPr="00BF295E">
        <w:rPr>
          <w:rFonts w:ascii="Arial" w:hAnsi="Arial" w:cs="Arial"/>
          <w:b/>
          <w:sz w:val="20"/>
          <w:szCs w:val="20"/>
          <w:lang w:val="en-US"/>
        </w:rPr>
        <w:t>Table 2</w:t>
      </w:r>
    </w:p>
    <w:p w14:paraId="514A616A" w14:textId="77777777" w:rsidR="00432CDD" w:rsidRPr="00BF295E" w:rsidRDefault="00432CDD" w:rsidP="00F26D1D">
      <w:pPr>
        <w:tabs>
          <w:tab w:val="left" w:pos="284"/>
        </w:tabs>
        <w:spacing w:after="120" w:line="276" w:lineRule="auto"/>
        <w:ind w:firstLine="539"/>
        <w:jc w:val="center"/>
        <w:rPr>
          <w:rFonts w:ascii="Arial" w:hAnsi="Arial" w:cs="Arial"/>
          <w:b/>
          <w:color w:val="000000"/>
          <w:sz w:val="20"/>
          <w:szCs w:val="20"/>
          <w:lang w:val="uz-Cyrl-UZ"/>
        </w:rPr>
      </w:pPr>
      <w:r w:rsidRPr="00BF295E">
        <w:rPr>
          <w:rFonts w:ascii="Arial" w:hAnsi="Arial" w:cs="Arial"/>
          <w:b/>
          <w:sz w:val="20"/>
          <w:szCs w:val="20"/>
          <w:lang w:val="en-US"/>
        </w:rPr>
        <w:t xml:space="preserve">Properties of </w:t>
      </w:r>
      <w:r w:rsidRPr="00BF295E">
        <w:rPr>
          <w:rFonts w:ascii="Arial" w:hAnsi="Arial" w:cs="Arial"/>
          <w:b/>
          <w:sz w:val="20"/>
          <w:szCs w:val="20"/>
          <w:lang w:val="uz-Cyrl-UZ"/>
        </w:rPr>
        <w:t xml:space="preserve">granulated </w:t>
      </w:r>
      <w:r w:rsidRPr="00BF295E">
        <w:rPr>
          <w:rFonts w:ascii="Arial" w:hAnsi="Arial" w:cs="Arial"/>
          <w:b/>
          <w:sz w:val="20"/>
          <w:szCs w:val="20"/>
          <w:lang w:val="en-US"/>
        </w:rPr>
        <w:t>urea</w:t>
      </w:r>
      <w:r w:rsidRPr="00BF295E">
        <w:rPr>
          <w:rFonts w:ascii="Arial" w:hAnsi="Arial" w:cs="Arial"/>
          <w:b/>
          <w:sz w:val="20"/>
          <w:szCs w:val="20"/>
          <w:lang w:val="uz-Cyrl-UZ"/>
        </w:rPr>
        <w:t xml:space="preserve"> </w:t>
      </w:r>
      <w:r w:rsidRPr="00BF295E">
        <w:rPr>
          <w:rFonts w:ascii="Arial" w:hAnsi="Arial" w:cs="Arial"/>
          <w:b/>
          <w:color w:val="000000"/>
          <w:sz w:val="20"/>
          <w:szCs w:val="20"/>
          <w:lang w:val="uz-Cyrl-UZ"/>
        </w:rPr>
        <w:t>with added Hydroquinone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276"/>
        <w:gridCol w:w="1134"/>
        <w:gridCol w:w="1417"/>
        <w:gridCol w:w="1531"/>
        <w:gridCol w:w="1134"/>
        <w:gridCol w:w="850"/>
        <w:gridCol w:w="851"/>
      </w:tblGrid>
      <w:tr w:rsidR="00432CDD" w:rsidRPr="00BF295E" w14:paraId="7895B918" w14:textId="77777777" w:rsidTr="00F44A15">
        <w:trPr>
          <w:trHeight w:val="359"/>
        </w:trPr>
        <w:tc>
          <w:tcPr>
            <w:tcW w:w="1872" w:type="dxa"/>
            <w:vMerge w:val="restart"/>
            <w:shd w:val="clear" w:color="auto" w:fill="auto"/>
            <w:vAlign w:val="center"/>
          </w:tcPr>
          <w:p w14:paraId="2D880CD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14:paraId="5760FB61" w14:textId="77777777"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r w:rsidRPr="00BF295E">
              <w:rPr>
                <w:rFonts w:ascii="Arial" w:hAnsi="Arial" w:cs="Arial"/>
                <w:color w:val="000000"/>
                <w:sz w:val="20"/>
                <w:szCs w:val="20"/>
                <w:lang w:val="uz-Cyrl-UZ"/>
              </w:rPr>
              <w:t>Hydroquinone</w:t>
            </w:r>
          </w:p>
        </w:tc>
        <w:tc>
          <w:tcPr>
            <w:tcW w:w="1276" w:type="dxa"/>
            <w:vMerge w:val="restart"/>
            <w:vAlign w:val="center"/>
          </w:tcPr>
          <w:p w14:paraId="3E98945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Speed of dissolution</w:t>
            </w:r>
          </w:p>
          <w:p w14:paraId="7E7F170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rhenium granules</w:t>
            </w:r>
          </w:p>
          <w:p w14:paraId="6CA46B4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in water, seconds</w:t>
            </w:r>
          </w:p>
          <w:p w14:paraId="7AB51C25"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/granules</w:t>
            </w:r>
          </w:p>
        </w:tc>
        <w:tc>
          <w:tcPr>
            <w:tcW w:w="1134" w:type="dxa"/>
            <w:vMerge w:val="restart"/>
            <w:vAlign w:val="center"/>
          </w:tcPr>
          <w:p w14:paraId="1105BA0B"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en-US"/>
              </w:rPr>
              <w:t>pH</w:t>
            </w:r>
          </w:p>
          <w:p w14:paraId="23BF028D"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 solution</w:t>
            </w:r>
          </w:p>
        </w:tc>
        <w:tc>
          <w:tcPr>
            <w:tcW w:w="1417" w:type="dxa"/>
            <w:vMerge w:val="restart"/>
            <w:vAlign w:val="center"/>
          </w:tcPr>
          <w:p w14:paraId="71D1AACB"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lang w:val="uz-Cyrl-UZ"/>
              </w:rPr>
              <w:t>Crystalli</w:t>
            </w:r>
            <w:r w:rsidRPr="00BF295E">
              <w:rPr>
                <w:rFonts w:ascii="Arial" w:hAnsi="Arial" w:cs="Arial"/>
                <w:sz w:val="20"/>
                <w:szCs w:val="20"/>
                <w:lang w:val="en-US"/>
              </w:rPr>
              <w:t>-</w:t>
            </w:r>
            <w:r w:rsidRPr="00BF295E">
              <w:rPr>
                <w:rFonts w:ascii="Arial" w:hAnsi="Arial" w:cs="Arial"/>
                <w:sz w:val="20"/>
                <w:szCs w:val="20"/>
                <w:lang w:val="uz-Cyrl-UZ"/>
              </w:rPr>
              <w:t xml:space="preserve">zation temperature </w:t>
            </w:r>
            <w:r w:rsidRPr="00BF295E">
              <w:rPr>
                <w:rFonts w:ascii="Arial" w:hAnsi="Arial" w:cs="Arial"/>
                <w:sz w:val="20"/>
                <w:szCs w:val="20"/>
                <w:vertAlign w:val="superscript"/>
                <w:lang w:val="uz-Cyrl-UZ"/>
              </w:rPr>
              <w:t>o</w:t>
            </w:r>
            <w:r w:rsidRPr="00BF295E">
              <w:rPr>
                <w:rFonts w:ascii="Arial" w:hAnsi="Arial" w:cs="Arial"/>
                <w:sz w:val="20"/>
                <w:szCs w:val="20"/>
                <w:lang w:val="uz-Cyrl-UZ"/>
              </w:rPr>
              <w:t>C</w:t>
            </w:r>
          </w:p>
        </w:tc>
        <w:tc>
          <w:tcPr>
            <w:tcW w:w="1531" w:type="dxa"/>
            <w:vMerge w:val="restart"/>
            <w:vAlign w:val="center"/>
          </w:tcPr>
          <w:p w14:paraId="13922A34"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Hygroscopic</w:t>
            </w:r>
          </w:p>
          <w:p w14:paraId="6969DB7D" w14:textId="77777777" w:rsidR="00432CDD" w:rsidRPr="00BF295E" w:rsidRDefault="00432CDD" w:rsidP="00F26D1D">
            <w:pPr>
              <w:spacing w:after="0" w:line="276" w:lineRule="auto"/>
              <w:jc w:val="center"/>
              <w:rPr>
                <w:rFonts w:ascii="Arial" w:hAnsi="Arial" w:cs="Arial"/>
                <w:sz w:val="20"/>
                <w:szCs w:val="20"/>
                <w:lang w:val="uz-Cyrl-UZ"/>
              </w:rPr>
            </w:pPr>
            <w:r w:rsidRPr="00BF295E">
              <w:rPr>
                <w:rFonts w:ascii="Arial" w:hAnsi="Arial" w:cs="Arial"/>
                <w:sz w:val="20"/>
                <w:szCs w:val="20"/>
              </w:rPr>
              <w:t>dot %</w:t>
            </w:r>
          </w:p>
        </w:tc>
        <w:tc>
          <w:tcPr>
            <w:tcW w:w="2835" w:type="dxa"/>
            <w:gridSpan w:val="3"/>
            <w:vAlign w:val="center"/>
          </w:tcPr>
          <w:p w14:paraId="1D163902"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 strength</w:t>
            </w:r>
          </w:p>
        </w:tc>
      </w:tr>
      <w:tr w:rsidR="00432CDD" w:rsidRPr="00BF295E" w14:paraId="5712D914" w14:textId="77777777" w:rsidTr="00F44A15">
        <w:trPr>
          <w:trHeight w:val="1273"/>
        </w:trPr>
        <w:tc>
          <w:tcPr>
            <w:tcW w:w="1872" w:type="dxa"/>
            <w:vMerge/>
            <w:shd w:val="clear" w:color="auto" w:fill="auto"/>
            <w:vAlign w:val="center"/>
          </w:tcPr>
          <w:p w14:paraId="22EAD6D7" w14:textId="77777777" w:rsidR="00432CDD" w:rsidRPr="00BF295E" w:rsidRDefault="00432CDD" w:rsidP="00F26D1D">
            <w:pPr>
              <w:spacing w:after="0" w:line="276" w:lineRule="auto"/>
              <w:jc w:val="center"/>
              <w:rPr>
                <w:rFonts w:ascii="Arial" w:hAnsi="Arial" w:cs="Arial"/>
                <w:sz w:val="20"/>
                <w:szCs w:val="20"/>
              </w:rPr>
            </w:pPr>
          </w:p>
        </w:tc>
        <w:tc>
          <w:tcPr>
            <w:tcW w:w="1276" w:type="dxa"/>
            <w:vMerge/>
            <w:vAlign w:val="center"/>
          </w:tcPr>
          <w:p w14:paraId="2640B92B" w14:textId="77777777" w:rsidR="00432CDD" w:rsidRPr="00BF295E" w:rsidRDefault="00432CDD" w:rsidP="00F26D1D">
            <w:pPr>
              <w:spacing w:after="0" w:line="276" w:lineRule="auto"/>
              <w:jc w:val="center"/>
              <w:rPr>
                <w:rFonts w:ascii="Arial" w:hAnsi="Arial" w:cs="Arial"/>
                <w:sz w:val="20"/>
                <w:szCs w:val="20"/>
              </w:rPr>
            </w:pPr>
          </w:p>
        </w:tc>
        <w:tc>
          <w:tcPr>
            <w:tcW w:w="1134" w:type="dxa"/>
            <w:vMerge/>
            <w:vAlign w:val="center"/>
          </w:tcPr>
          <w:p w14:paraId="1C0C6FE7" w14:textId="77777777" w:rsidR="00432CDD" w:rsidRPr="00BF295E" w:rsidRDefault="00432CDD" w:rsidP="00F26D1D">
            <w:pPr>
              <w:spacing w:after="0" w:line="276" w:lineRule="auto"/>
              <w:jc w:val="center"/>
              <w:rPr>
                <w:rFonts w:ascii="Arial" w:hAnsi="Arial" w:cs="Arial"/>
                <w:sz w:val="20"/>
                <w:szCs w:val="20"/>
                <w:lang w:val="en-US"/>
              </w:rPr>
            </w:pPr>
          </w:p>
        </w:tc>
        <w:tc>
          <w:tcPr>
            <w:tcW w:w="1417" w:type="dxa"/>
            <w:vMerge/>
            <w:vAlign w:val="center"/>
          </w:tcPr>
          <w:p w14:paraId="242DBD1F" w14:textId="77777777" w:rsidR="00432CDD" w:rsidRPr="00BF295E" w:rsidRDefault="00432CDD" w:rsidP="00F26D1D">
            <w:pPr>
              <w:spacing w:after="0" w:line="276" w:lineRule="auto"/>
              <w:jc w:val="center"/>
              <w:rPr>
                <w:rFonts w:ascii="Arial" w:hAnsi="Arial" w:cs="Arial"/>
                <w:sz w:val="20"/>
                <w:szCs w:val="20"/>
                <w:lang w:val="uz-Cyrl-UZ"/>
              </w:rPr>
            </w:pPr>
          </w:p>
        </w:tc>
        <w:tc>
          <w:tcPr>
            <w:tcW w:w="1531" w:type="dxa"/>
            <w:vMerge/>
            <w:vAlign w:val="center"/>
          </w:tcPr>
          <w:p w14:paraId="09BD1DB0" w14:textId="77777777" w:rsidR="00432CDD" w:rsidRPr="00BF295E" w:rsidRDefault="00432CDD" w:rsidP="00F26D1D">
            <w:pPr>
              <w:spacing w:after="0" w:line="276" w:lineRule="auto"/>
              <w:jc w:val="center"/>
              <w:rPr>
                <w:rFonts w:ascii="Arial" w:hAnsi="Arial" w:cs="Arial"/>
                <w:sz w:val="20"/>
                <w:szCs w:val="20"/>
              </w:rPr>
            </w:pPr>
          </w:p>
        </w:tc>
        <w:tc>
          <w:tcPr>
            <w:tcW w:w="1134" w:type="dxa"/>
            <w:vAlign w:val="center"/>
          </w:tcPr>
          <w:p w14:paraId="3728B11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rPr>
              <w:t>kg/</w:t>
            </w:r>
          </w:p>
          <w:p w14:paraId="2F1EBC7D"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granule</w:t>
            </w:r>
          </w:p>
        </w:tc>
        <w:tc>
          <w:tcPr>
            <w:tcW w:w="850" w:type="dxa"/>
            <w:vAlign w:val="center"/>
          </w:tcPr>
          <w:p w14:paraId="4931C7EC"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kg/ cm</w:t>
            </w:r>
            <w:r w:rsidRPr="00BF295E">
              <w:rPr>
                <w:rFonts w:ascii="Arial" w:hAnsi="Arial" w:cs="Arial"/>
                <w:sz w:val="20"/>
                <w:szCs w:val="20"/>
                <w:vertAlign w:val="superscript"/>
              </w:rPr>
              <w:t>2</w:t>
            </w:r>
          </w:p>
        </w:tc>
        <w:tc>
          <w:tcPr>
            <w:tcW w:w="851" w:type="dxa"/>
            <w:vAlign w:val="center"/>
          </w:tcPr>
          <w:p w14:paraId="15CF91A3"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MPa</w:t>
            </w:r>
          </w:p>
        </w:tc>
      </w:tr>
      <w:tr w:rsidR="00432CDD" w:rsidRPr="00BF295E" w14:paraId="2B4A445E" w14:textId="77777777" w:rsidTr="00F44A15">
        <w:trPr>
          <w:trHeight w:val="399"/>
        </w:trPr>
        <w:tc>
          <w:tcPr>
            <w:tcW w:w="1872" w:type="dxa"/>
            <w:shd w:val="clear" w:color="auto" w:fill="auto"/>
            <w:vAlign w:val="center"/>
          </w:tcPr>
          <w:p w14:paraId="091EBD52"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 : 0</w:t>
            </w:r>
          </w:p>
        </w:tc>
        <w:tc>
          <w:tcPr>
            <w:tcW w:w="1276" w:type="dxa"/>
            <w:vAlign w:val="center"/>
          </w:tcPr>
          <w:p w14:paraId="7B519939" w14:textId="77777777"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rPr>
              <w:t>96</w:t>
            </w:r>
          </w:p>
        </w:tc>
        <w:tc>
          <w:tcPr>
            <w:tcW w:w="1134" w:type="dxa"/>
            <w:vAlign w:val="center"/>
          </w:tcPr>
          <w:p w14:paraId="047026E2"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rPr>
              <w:t>9.1</w:t>
            </w:r>
            <w:r w:rsidRPr="00BF295E">
              <w:rPr>
                <w:rFonts w:ascii="Arial" w:hAnsi="Arial" w:cs="Arial"/>
                <w:sz w:val="20"/>
                <w:szCs w:val="20"/>
                <w:lang w:val="en-US"/>
              </w:rPr>
              <w:t>7</w:t>
            </w:r>
          </w:p>
        </w:tc>
        <w:tc>
          <w:tcPr>
            <w:tcW w:w="1417" w:type="dxa"/>
            <w:vAlign w:val="center"/>
          </w:tcPr>
          <w:p w14:paraId="5D90534A"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rPr>
              <w:t>129</w:t>
            </w:r>
            <w:r w:rsidRPr="00BF295E">
              <w:rPr>
                <w:rFonts w:ascii="Arial" w:hAnsi="Arial" w:cs="Arial"/>
                <w:sz w:val="20"/>
                <w:szCs w:val="20"/>
                <w:lang w:val="en-US"/>
              </w:rPr>
              <w:t>.0</w:t>
            </w:r>
          </w:p>
        </w:tc>
        <w:tc>
          <w:tcPr>
            <w:tcW w:w="1531" w:type="dxa"/>
            <w:vAlign w:val="center"/>
          </w:tcPr>
          <w:p w14:paraId="04D817A7"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58.4</w:t>
            </w:r>
          </w:p>
        </w:tc>
        <w:tc>
          <w:tcPr>
            <w:tcW w:w="1134" w:type="dxa"/>
            <w:vAlign w:val="center"/>
          </w:tcPr>
          <w:p w14:paraId="71100601"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1.28</w:t>
            </w:r>
          </w:p>
        </w:tc>
        <w:tc>
          <w:tcPr>
            <w:tcW w:w="850" w:type="dxa"/>
            <w:vAlign w:val="center"/>
          </w:tcPr>
          <w:p w14:paraId="0EC3583E"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25.81</w:t>
            </w:r>
          </w:p>
        </w:tc>
        <w:tc>
          <w:tcPr>
            <w:tcW w:w="851" w:type="dxa"/>
            <w:vAlign w:val="center"/>
          </w:tcPr>
          <w:p w14:paraId="771CEA02"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2.52</w:t>
            </w:r>
          </w:p>
        </w:tc>
      </w:tr>
      <w:tr w:rsidR="00432CDD" w:rsidRPr="00BF295E" w14:paraId="44AF75E0" w14:textId="77777777" w:rsidTr="00F44A15">
        <w:trPr>
          <w:trHeight w:val="74"/>
        </w:trPr>
        <w:tc>
          <w:tcPr>
            <w:tcW w:w="1872" w:type="dxa"/>
            <w:shd w:val="clear" w:color="auto" w:fill="auto"/>
            <w:vAlign w:val="center"/>
          </w:tcPr>
          <w:p w14:paraId="5B2D848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1276" w:type="dxa"/>
            <w:vAlign w:val="center"/>
          </w:tcPr>
          <w:p w14:paraId="7C41A8E5"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108</w:t>
            </w:r>
          </w:p>
        </w:tc>
        <w:tc>
          <w:tcPr>
            <w:tcW w:w="1134" w:type="dxa"/>
            <w:vAlign w:val="center"/>
          </w:tcPr>
          <w:p w14:paraId="7DF95D70" w14:textId="77777777"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98</w:t>
            </w:r>
          </w:p>
        </w:tc>
        <w:tc>
          <w:tcPr>
            <w:tcW w:w="1417" w:type="dxa"/>
            <w:vAlign w:val="center"/>
          </w:tcPr>
          <w:p w14:paraId="62828274"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128.5</w:t>
            </w:r>
          </w:p>
        </w:tc>
        <w:tc>
          <w:tcPr>
            <w:tcW w:w="1531" w:type="dxa"/>
            <w:vAlign w:val="center"/>
          </w:tcPr>
          <w:p w14:paraId="43D3843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62.2</w:t>
            </w:r>
          </w:p>
        </w:tc>
        <w:tc>
          <w:tcPr>
            <w:tcW w:w="1134" w:type="dxa"/>
            <w:vAlign w:val="center"/>
          </w:tcPr>
          <w:p w14:paraId="24841749"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1.31</w:t>
            </w:r>
          </w:p>
        </w:tc>
        <w:tc>
          <w:tcPr>
            <w:tcW w:w="850" w:type="dxa"/>
            <w:vAlign w:val="center"/>
          </w:tcPr>
          <w:p w14:paraId="7A7E152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26.41</w:t>
            </w:r>
          </w:p>
        </w:tc>
        <w:tc>
          <w:tcPr>
            <w:tcW w:w="851" w:type="dxa"/>
            <w:vAlign w:val="center"/>
          </w:tcPr>
          <w:p w14:paraId="51FF280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2.58</w:t>
            </w:r>
          </w:p>
        </w:tc>
      </w:tr>
      <w:tr w:rsidR="00432CDD" w:rsidRPr="00BF295E" w14:paraId="2B2C93D5" w14:textId="77777777" w:rsidTr="00F44A15">
        <w:trPr>
          <w:trHeight w:val="399"/>
        </w:trPr>
        <w:tc>
          <w:tcPr>
            <w:tcW w:w="1872" w:type="dxa"/>
            <w:shd w:val="clear" w:color="auto" w:fill="auto"/>
            <w:vAlign w:val="center"/>
          </w:tcPr>
          <w:p w14:paraId="1A49EA58"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1276" w:type="dxa"/>
            <w:vAlign w:val="center"/>
          </w:tcPr>
          <w:p w14:paraId="20AFEEE3"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123</w:t>
            </w:r>
          </w:p>
        </w:tc>
        <w:tc>
          <w:tcPr>
            <w:tcW w:w="1134" w:type="dxa"/>
            <w:vAlign w:val="center"/>
          </w:tcPr>
          <w:p w14:paraId="186C47CB" w14:textId="77777777"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88</w:t>
            </w:r>
          </w:p>
        </w:tc>
        <w:tc>
          <w:tcPr>
            <w:tcW w:w="1417" w:type="dxa"/>
            <w:vAlign w:val="center"/>
          </w:tcPr>
          <w:p w14:paraId="0D0AFB9C"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127.9</w:t>
            </w:r>
          </w:p>
        </w:tc>
        <w:tc>
          <w:tcPr>
            <w:tcW w:w="1531" w:type="dxa"/>
            <w:vAlign w:val="center"/>
          </w:tcPr>
          <w:p w14:paraId="7963405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63.7</w:t>
            </w:r>
          </w:p>
        </w:tc>
        <w:tc>
          <w:tcPr>
            <w:tcW w:w="1134" w:type="dxa"/>
            <w:vAlign w:val="center"/>
          </w:tcPr>
          <w:p w14:paraId="6FA97F4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1.34</w:t>
            </w:r>
          </w:p>
        </w:tc>
        <w:tc>
          <w:tcPr>
            <w:tcW w:w="850" w:type="dxa"/>
            <w:vAlign w:val="center"/>
          </w:tcPr>
          <w:p w14:paraId="548405D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27.01</w:t>
            </w:r>
          </w:p>
        </w:tc>
        <w:tc>
          <w:tcPr>
            <w:tcW w:w="851" w:type="dxa"/>
            <w:vAlign w:val="center"/>
          </w:tcPr>
          <w:p w14:paraId="67E083C9"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r>
      <w:tr w:rsidR="00432CDD" w:rsidRPr="00BF295E" w14:paraId="3440884C" w14:textId="77777777" w:rsidTr="00F44A15">
        <w:trPr>
          <w:trHeight w:val="386"/>
        </w:trPr>
        <w:tc>
          <w:tcPr>
            <w:tcW w:w="1872" w:type="dxa"/>
            <w:shd w:val="clear" w:color="auto" w:fill="auto"/>
            <w:vAlign w:val="center"/>
          </w:tcPr>
          <w:p w14:paraId="683015BD"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1276" w:type="dxa"/>
            <w:vAlign w:val="center"/>
          </w:tcPr>
          <w:p w14:paraId="17BED8D1"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141</w:t>
            </w:r>
          </w:p>
        </w:tc>
        <w:tc>
          <w:tcPr>
            <w:tcW w:w="1134" w:type="dxa"/>
            <w:vAlign w:val="center"/>
          </w:tcPr>
          <w:p w14:paraId="0F9085A6" w14:textId="77777777" w:rsidR="00432CDD" w:rsidRPr="00BF295E" w:rsidRDefault="00432CDD" w:rsidP="00F26D1D">
            <w:pPr>
              <w:spacing w:before="100" w:beforeAutospacing="1" w:after="100" w:afterAutospacing="1" w:line="276" w:lineRule="auto"/>
              <w:ind w:left="-567"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81</w:t>
            </w:r>
          </w:p>
        </w:tc>
        <w:tc>
          <w:tcPr>
            <w:tcW w:w="1417" w:type="dxa"/>
            <w:vAlign w:val="center"/>
          </w:tcPr>
          <w:p w14:paraId="3663DBDD"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127.6</w:t>
            </w:r>
          </w:p>
        </w:tc>
        <w:tc>
          <w:tcPr>
            <w:tcW w:w="1531" w:type="dxa"/>
            <w:vAlign w:val="center"/>
          </w:tcPr>
          <w:p w14:paraId="2FF68DB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64.5</w:t>
            </w:r>
          </w:p>
        </w:tc>
        <w:tc>
          <w:tcPr>
            <w:tcW w:w="1134" w:type="dxa"/>
            <w:vAlign w:val="center"/>
          </w:tcPr>
          <w:p w14:paraId="20A79CE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1.35</w:t>
            </w:r>
          </w:p>
        </w:tc>
        <w:tc>
          <w:tcPr>
            <w:tcW w:w="850" w:type="dxa"/>
            <w:vAlign w:val="center"/>
          </w:tcPr>
          <w:p w14:paraId="593BAB6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27.21</w:t>
            </w:r>
          </w:p>
        </w:tc>
        <w:tc>
          <w:tcPr>
            <w:tcW w:w="851" w:type="dxa"/>
            <w:vAlign w:val="center"/>
          </w:tcPr>
          <w:p w14:paraId="612A711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2.66</w:t>
            </w:r>
          </w:p>
        </w:tc>
      </w:tr>
      <w:tr w:rsidR="00432CDD" w:rsidRPr="00BF295E" w14:paraId="55E3B4B8" w14:textId="77777777" w:rsidTr="00F44A15">
        <w:trPr>
          <w:trHeight w:val="399"/>
        </w:trPr>
        <w:tc>
          <w:tcPr>
            <w:tcW w:w="1872" w:type="dxa"/>
            <w:shd w:val="clear" w:color="auto" w:fill="auto"/>
            <w:vAlign w:val="center"/>
          </w:tcPr>
          <w:p w14:paraId="2AB98D66"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1276" w:type="dxa"/>
            <w:vAlign w:val="center"/>
          </w:tcPr>
          <w:p w14:paraId="2B7247F7"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201</w:t>
            </w:r>
          </w:p>
        </w:tc>
        <w:tc>
          <w:tcPr>
            <w:tcW w:w="1134" w:type="dxa"/>
            <w:vAlign w:val="center"/>
          </w:tcPr>
          <w:p w14:paraId="5A3F9443" w14:textId="77777777" w:rsidR="00432CDD" w:rsidRPr="00BF295E" w:rsidRDefault="00432CDD" w:rsidP="00F26D1D">
            <w:pPr>
              <w:spacing w:before="100" w:beforeAutospacing="1" w:after="100" w:afterAutospacing="1" w:line="276" w:lineRule="auto"/>
              <w:ind w:left="-567" w:right="83" w:firstLine="567"/>
              <w:jc w:val="center"/>
              <w:rPr>
                <w:rFonts w:ascii="Arial" w:hAnsi="Arial" w:cs="Arial"/>
                <w:sz w:val="20"/>
                <w:szCs w:val="20"/>
                <w:lang w:val="en-US"/>
              </w:rPr>
            </w:pPr>
            <w:r w:rsidRPr="00BF295E">
              <w:rPr>
                <w:rFonts w:ascii="Arial" w:hAnsi="Arial" w:cs="Arial"/>
                <w:sz w:val="20"/>
                <w:szCs w:val="20"/>
              </w:rPr>
              <w:t>8.</w:t>
            </w:r>
            <w:r w:rsidRPr="00BF295E">
              <w:rPr>
                <w:rFonts w:ascii="Arial" w:hAnsi="Arial" w:cs="Arial"/>
                <w:sz w:val="20"/>
                <w:szCs w:val="20"/>
                <w:lang w:val="en-US"/>
              </w:rPr>
              <w:t>75</w:t>
            </w:r>
          </w:p>
        </w:tc>
        <w:tc>
          <w:tcPr>
            <w:tcW w:w="1417" w:type="dxa"/>
            <w:vAlign w:val="center"/>
          </w:tcPr>
          <w:p w14:paraId="5427BDC2"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127.0</w:t>
            </w:r>
          </w:p>
        </w:tc>
        <w:tc>
          <w:tcPr>
            <w:tcW w:w="1531" w:type="dxa"/>
            <w:vAlign w:val="center"/>
          </w:tcPr>
          <w:p w14:paraId="13A7992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65.3</w:t>
            </w:r>
          </w:p>
        </w:tc>
        <w:tc>
          <w:tcPr>
            <w:tcW w:w="1134" w:type="dxa"/>
            <w:vAlign w:val="center"/>
          </w:tcPr>
          <w:p w14:paraId="1FAAAF8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1.37</w:t>
            </w:r>
          </w:p>
        </w:tc>
        <w:tc>
          <w:tcPr>
            <w:tcW w:w="850" w:type="dxa"/>
            <w:vAlign w:val="center"/>
          </w:tcPr>
          <w:p w14:paraId="721BAEE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27.61</w:t>
            </w:r>
          </w:p>
        </w:tc>
        <w:tc>
          <w:tcPr>
            <w:tcW w:w="851" w:type="dxa"/>
            <w:vAlign w:val="center"/>
          </w:tcPr>
          <w:p w14:paraId="2B11688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2.70</w:t>
            </w:r>
          </w:p>
        </w:tc>
      </w:tr>
      <w:tr w:rsidR="00432CDD" w:rsidRPr="00BF295E" w14:paraId="4E894035" w14:textId="77777777" w:rsidTr="00F44A15">
        <w:trPr>
          <w:trHeight w:val="386"/>
        </w:trPr>
        <w:tc>
          <w:tcPr>
            <w:tcW w:w="1872" w:type="dxa"/>
            <w:shd w:val="clear" w:color="auto" w:fill="auto"/>
            <w:vAlign w:val="center"/>
          </w:tcPr>
          <w:p w14:paraId="1B98E118"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1276" w:type="dxa"/>
            <w:vAlign w:val="center"/>
          </w:tcPr>
          <w:p w14:paraId="53001EEC"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278</w:t>
            </w:r>
          </w:p>
        </w:tc>
        <w:tc>
          <w:tcPr>
            <w:tcW w:w="1134" w:type="dxa"/>
            <w:vAlign w:val="center"/>
          </w:tcPr>
          <w:p w14:paraId="46AF2F55"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8</w:t>
            </w:r>
            <w:r w:rsidRPr="00BF295E">
              <w:rPr>
                <w:rFonts w:ascii="Arial" w:hAnsi="Arial" w:cs="Arial"/>
                <w:sz w:val="20"/>
                <w:szCs w:val="20"/>
              </w:rPr>
              <w:t>.</w:t>
            </w:r>
            <w:r w:rsidRPr="00BF295E">
              <w:rPr>
                <w:rFonts w:ascii="Arial" w:hAnsi="Arial" w:cs="Arial"/>
                <w:sz w:val="20"/>
                <w:szCs w:val="20"/>
                <w:lang w:val="en-US"/>
              </w:rPr>
              <w:t>68</w:t>
            </w:r>
          </w:p>
        </w:tc>
        <w:tc>
          <w:tcPr>
            <w:tcW w:w="1417" w:type="dxa"/>
            <w:vAlign w:val="center"/>
          </w:tcPr>
          <w:p w14:paraId="49B7A36C"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126.6</w:t>
            </w:r>
          </w:p>
        </w:tc>
        <w:tc>
          <w:tcPr>
            <w:tcW w:w="1531" w:type="dxa"/>
            <w:vAlign w:val="center"/>
          </w:tcPr>
          <w:p w14:paraId="2505546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66.2</w:t>
            </w:r>
          </w:p>
        </w:tc>
        <w:tc>
          <w:tcPr>
            <w:tcW w:w="1134" w:type="dxa"/>
            <w:vAlign w:val="center"/>
          </w:tcPr>
          <w:p w14:paraId="5882E78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1.38</w:t>
            </w:r>
          </w:p>
        </w:tc>
        <w:tc>
          <w:tcPr>
            <w:tcW w:w="850" w:type="dxa"/>
            <w:vAlign w:val="center"/>
          </w:tcPr>
          <w:p w14:paraId="30F8FB2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27.82</w:t>
            </w:r>
          </w:p>
        </w:tc>
        <w:tc>
          <w:tcPr>
            <w:tcW w:w="851" w:type="dxa"/>
            <w:vAlign w:val="center"/>
          </w:tcPr>
          <w:p w14:paraId="5AC83AE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2.72</w:t>
            </w:r>
          </w:p>
        </w:tc>
      </w:tr>
      <w:tr w:rsidR="00432CDD" w:rsidRPr="00BF295E" w14:paraId="2C27EABD" w14:textId="77777777" w:rsidTr="00F44A15">
        <w:trPr>
          <w:trHeight w:val="399"/>
        </w:trPr>
        <w:tc>
          <w:tcPr>
            <w:tcW w:w="1872" w:type="dxa"/>
            <w:shd w:val="clear" w:color="auto" w:fill="auto"/>
            <w:vAlign w:val="center"/>
          </w:tcPr>
          <w:p w14:paraId="02710E3E"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1276" w:type="dxa"/>
            <w:vAlign w:val="center"/>
          </w:tcPr>
          <w:p w14:paraId="463C23F5"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304</w:t>
            </w:r>
          </w:p>
        </w:tc>
        <w:tc>
          <w:tcPr>
            <w:tcW w:w="1134" w:type="dxa"/>
            <w:vAlign w:val="center"/>
          </w:tcPr>
          <w:p w14:paraId="0C3C5A22" w14:textId="77777777"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8</w:t>
            </w:r>
            <w:r w:rsidRPr="00BF295E">
              <w:rPr>
                <w:rFonts w:ascii="Arial" w:hAnsi="Arial" w:cs="Arial"/>
                <w:sz w:val="20"/>
                <w:szCs w:val="20"/>
              </w:rPr>
              <w:t>.52</w:t>
            </w:r>
          </w:p>
        </w:tc>
        <w:tc>
          <w:tcPr>
            <w:tcW w:w="1417" w:type="dxa"/>
            <w:vAlign w:val="center"/>
          </w:tcPr>
          <w:p w14:paraId="025A7298"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126.2</w:t>
            </w:r>
          </w:p>
        </w:tc>
        <w:tc>
          <w:tcPr>
            <w:tcW w:w="1531" w:type="dxa"/>
            <w:vAlign w:val="center"/>
          </w:tcPr>
          <w:p w14:paraId="62EAD31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66.9</w:t>
            </w:r>
          </w:p>
        </w:tc>
        <w:tc>
          <w:tcPr>
            <w:tcW w:w="1134" w:type="dxa"/>
            <w:vAlign w:val="center"/>
          </w:tcPr>
          <w:p w14:paraId="65B0D0B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1.39</w:t>
            </w:r>
          </w:p>
        </w:tc>
        <w:tc>
          <w:tcPr>
            <w:tcW w:w="850" w:type="dxa"/>
            <w:vAlign w:val="center"/>
          </w:tcPr>
          <w:p w14:paraId="4B44695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28.02</w:t>
            </w:r>
          </w:p>
        </w:tc>
        <w:tc>
          <w:tcPr>
            <w:tcW w:w="851" w:type="dxa"/>
            <w:vAlign w:val="center"/>
          </w:tcPr>
          <w:p w14:paraId="1A899BB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2.74</w:t>
            </w:r>
          </w:p>
        </w:tc>
      </w:tr>
      <w:tr w:rsidR="00432CDD" w:rsidRPr="00BF295E" w14:paraId="16EB7BB0" w14:textId="77777777" w:rsidTr="00F44A15">
        <w:trPr>
          <w:trHeight w:val="386"/>
        </w:trPr>
        <w:tc>
          <w:tcPr>
            <w:tcW w:w="1872" w:type="dxa"/>
            <w:shd w:val="clear" w:color="auto" w:fill="auto"/>
            <w:vAlign w:val="center"/>
          </w:tcPr>
          <w:p w14:paraId="12652908"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1276" w:type="dxa"/>
            <w:vAlign w:val="center"/>
          </w:tcPr>
          <w:p w14:paraId="4DE3DF9D"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358</w:t>
            </w:r>
          </w:p>
        </w:tc>
        <w:tc>
          <w:tcPr>
            <w:tcW w:w="1134" w:type="dxa"/>
            <w:vAlign w:val="center"/>
          </w:tcPr>
          <w:p w14:paraId="3A065D5B" w14:textId="77777777"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8</w:t>
            </w:r>
            <w:r w:rsidRPr="00BF295E">
              <w:rPr>
                <w:rFonts w:ascii="Arial" w:hAnsi="Arial" w:cs="Arial"/>
                <w:sz w:val="20"/>
                <w:szCs w:val="20"/>
              </w:rPr>
              <w:t>.31</w:t>
            </w:r>
          </w:p>
        </w:tc>
        <w:tc>
          <w:tcPr>
            <w:tcW w:w="1417" w:type="dxa"/>
            <w:vAlign w:val="center"/>
          </w:tcPr>
          <w:p w14:paraId="2138454D"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125.9</w:t>
            </w:r>
          </w:p>
        </w:tc>
        <w:tc>
          <w:tcPr>
            <w:tcW w:w="1531" w:type="dxa"/>
            <w:vAlign w:val="center"/>
          </w:tcPr>
          <w:p w14:paraId="06C75B4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67.5</w:t>
            </w:r>
          </w:p>
        </w:tc>
        <w:tc>
          <w:tcPr>
            <w:tcW w:w="1134" w:type="dxa"/>
            <w:vAlign w:val="center"/>
          </w:tcPr>
          <w:p w14:paraId="2904ED5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1.40</w:t>
            </w:r>
          </w:p>
        </w:tc>
        <w:tc>
          <w:tcPr>
            <w:tcW w:w="850" w:type="dxa"/>
            <w:vAlign w:val="center"/>
          </w:tcPr>
          <w:p w14:paraId="3D11C77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28.23</w:t>
            </w:r>
          </w:p>
        </w:tc>
        <w:tc>
          <w:tcPr>
            <w:tcW w:w="851" w:type="dxa"/>
            <w:vAlign w:val="center"/>
          </w:tcPr>
          <w:p w14:paraId="6E1E2E8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2.77</w:t>
            </w:r>
          </w:p>
        </w:tc>
      </w:tr>
      <w:tr w:rsidR="00432CDD" w:rsidRPr="00BF295E" w14:paraId="351F1E1D" w14:textId="77777777" w:rsidTr="00F44A15">
        <w:trPr>
          <w:trHeight w:val="386"/>
        </w:trPr>
        <w:tc>
          <w:tcPr>
            <w:tcW w:w="1872" w:type="dxa"/>
            <w:shd w:val="clear" w:color="auto" w:fill="auto"/>
            <w:vAlign w:val="center"/>
          </w:tcPr>
          <w:p w14:paraId="62F4BA9E"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1276" w:type="dxa"/>
            <w:vAlign w:val="center"/>
          </w:tcPr>
          <w:p w14:paraId="61A83BA1"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412</w:t>
            </w:r>
          </w:p>
        </w:tc>
        <w:tc>
          <w:tcPr>
            <w:tcW w:w="1134" w:type="dxa"/>
            <w:vAlign w:val="center"/>
          </w:tcPr>
          <w:p w14:paraId="0E046F7A" w14:textId="77777777" w:rsidR="00432CDD" w:rsidRPr="00BF295E" w:rsidRDefault="00432CDD" w:rsidP="00F26D1D">
            <w:pPr>
              <w:spacing w:after="0" w:line="276" w:lineRule="auto"/>
              <w:ind w:left="-567" w:firstLine="567"/>
              <w:jc w:val="center"/>
              <w:rPr>
                <w:rFonts w:ascii="Arial" w:hAnsi="Arial" w:cs="Arial"/>
                <w:sz w:val="20"/>
                <w:szCs w:val="20"/>
              </w:rPr>
            </w:pPr>
            <w:r w:rsidRPr="00BF295E">
              <w:rPr>
                <w:rFonts w:ascii="Arial" w:hAnsi="Arial" w:cs="Arial"/>
                <w:sz w:val="20"/>
                <w:szCs w:val="20"/>
                <w:lang w:val="en-US"/>
              </w:rPr>
              <w:t>7</w:t>
            </w:r>
            <w:r w:rsidRPr="00BF295E">
              <w:rPr>
                <w:rFonts w:ascii="Arial" w:hAnsi="Arial" w:cs="Arial"/>
                <w:sz w:val="20"/>
                <w:szCs w:val="20"/>
              </w:rPr>
              <w:t>.97</w:t>
            </w:r>
          </w:p>
        </w:tc>
        <w:tc>
          <w:tcPr>
            <w:tcW w:w="1417" w:type="dxa"/>
            <w:vAlign w:val="center"/>
          </w:tcPr>
          <w:p w14:paraId="5B354295"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125.5</w:t>
            </w:r>
          </w:p>
        </w:tc>
        <w:tc>
          <w:tcPr>
            <w:tcW w:w="1531" w:type="dxa"/>
            <w:vAlign w:val="center"/>
          </w:tcPr>
          <w:p w14:paraId="25482ED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68.2</w:t>
            </w:r>
          </w:p>
        </w:tc>
        <w:tc>
          <w:tcPr>
            <w:tcW w:w="1134" w:type="dxa"/>
            <w:vAlign w:val="center"/>
          </w:tcPr>
          <w:p w14:paraId="5D3A9AD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1.42</w:t>
            </w:r>
          </w:p>
        </w:tc>
        <w:tc>
          <w:tcPr>
            <w:tcW w:w="850" w:type="dxa"/>
            <w:vAlign w:val="center"/>
          </w:tcPr>
          <w:p w14:paraId="2C541489"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28.62</w:t>
            </w:r>
          </w:p>
        </w:tc>
        <w:tc>
          <w:tcPr>
            <w:tcW w:w="851" w:type="dxa"/>
            <w:vAlign w:val="center"/>
          </w:tcPr>
          <w:p w14:paraId="30A4961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2.80</w:t>
            </w:r>
          </w:p>
        </w:tc>
      </w:tr>
      <w:tr w:rsidR="00432CDD" w:rsidRPr="00BF295E" w14:paraId="4611F3F4" w14:textId="77777777" w:rsidTr="00F44A15">
        <w:trPr>
          <w:trHeight w:val="386"/>
        </w:trPr>
        <w:tc>
          <w:tcPr>
            <w:tcW w:w="1872" w:type="dxa"/>
            <w:shd w:val="clear" w:color="auto" w:fill="auto"/>
            <w:vAlign w:val="center"/>
          </w:tcPr>
          <w:p w14:paraId="05D320FF"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1276" w:type="dxa"/>
            <w:vAlign w:val="center"/>
          </w:tcPr>
          <w:p w14:paraId="0FA57DAD"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438</w:t>
            </w:r>
          </w:p>
        </w:tc>
        <w:tc>
          <w:tcPr>
            <w:tcW w:w="1134" w:type="dxa"/>
            <w:vAlign w:val="center"/>
          </w:tcPr>
          <w:p w14:paraId="5AD321AC"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7</w:t>
            </w:r>
            <w:r w:rsidRPr="00BF295E">
              <w:rPr>
                <w:rFonts w:ascii="Arial" w:hAnsi="Arial" w:cs="Arial"/>
                <w:sz w:val="20"/>
                <w:szCs w:val="20"/>
              </w:rPr>
              <w:t>.</w:t>
            </w:r>
            <w:r w:rsidRPr="00BF295E">
              <w:rPr>
                <w:rFonts w:ascii="Arial" w:hAnsi="Arial" w:cs="Arial"/>
                <w:sz w:val="20"/>
                <w:szCs w:val="20"/>
                <w:lang w:val="en-US"/>
              </w:rPr>
              <w:t>82</w:t>
            </w:r>
          </w:p>
        </w:tc>
        <w:tc>
          <w:tcPr>
            <w:tcW w:w="1417" w:type="dxa"/>
            <w:vAlign w:val="center"/>
          </w:tcPr>
          <w:p w14:paraId="70BFBCCA"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125.1</w:t>
            </w:r>
          </w:p>
        </w:tc>
        <w:tc>
          <w:tcPr>
            <w:tcW w:w="1531" w:type="dxa"/>
            <w:vAlign w:val="center"/>
          </w:tcPr>
          <w:p w14:paraId="06BA948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69.0</w:t>
            </w:r>
          </w:p>
        </w:tc>
        <w:tc>
          <w:tcPr>
            <w:tcW w:w="1134" w:type="dxa"/>
            <w:vAlign w:val="center"/>
          </w:tcPr>
          <w:p w14:paraId="3EE0144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1.44</w:t>
            </w:r>
          </w:p>
        </w:tc>
        <w:tc>
          <w:tcPr>
            <w:tcW w:w="850" w:type="dxa"/>
            <w:vAlign w:val="center"/>
          </w:tcPr>
          <w:p w14:paraId="35767B2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29.03</w:t>
            </w:r>
          </w:p>
        </w:tc>
        <w:tc>
          <w:tcPr>
            <w:tcW w:w="851" w:type="dxa"/>
            <w:vAlign w:val="center"/>
          </w:tcPr>
          <w:p w14:paraId="1D5E4F39"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2.84</w:t>
            </w:r>
          </w:p>
        </w:tc>
      </w:tr>
      <w:tr w:rsidR="00432CDD" w:rsidRPr="00BF295E" w14:paraId="721E8E36" w14:textId="77777777" w:rsidTr="00F44A15">
        <w:trPr>
          <w:trHeight w:val="386"/>
        </w:trPr>
        <w:tc>
          <w:tcPr>
            <w:tcW w:w="1872" w:type="dxa"/>
            <w:shd w:val="clear" w:color="auto" w:fill="auto"/>
          </w:tcPr>
          <w:p w14:paraId="39C8C4F6"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1276" w:type="dxa"/>
            <w:vAlign w:val="center"/>
          </w:tcPr>
          <w:p w14:paraId="6638EBBB"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414</w:t>
            </w:r>
          </w:p>
        </w:tc>
        <w:tc>
          <w:tcPr>
            <w:tcW w:w="1134" w:type="dxa"/>
            <w:vAlign w:val="center"/>
          </w:tcPr>
          <w:p w14:paraId="30B84106"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7</w:t>
            </w:r>
            <w:r w:rsidRPr="00BF295E">
              <w:rPr>
                <w:rFonts w:ascii="Arial" w:hAnsi="Arial" w:cs="Arial"/>
                <w:sz w:val="20"/>
                <w:szCs w:val="20"/>
              </w:rPr>
              <w:t>.</w:t>
            </w:r>
            <w:r w:rsidRPr="00BF295E">
              <w:rPr>
                <w:rFonts w:ascii="Arial" w:hAnsi="Arial" w:cs="Arial"/>
                <w:sz w:val="20"/>
                <w:szCs w:val="20"/>
                <w:lang w:val="en-US"/>
              </w:rPr>
              <w:t>71</w:t>
            </w:r>
          </w:p>
        </w:tc>
        <w:tc>
          <w:tcPr>
            <w:tcW w:w="1417" w:type="dxa"/>
            <w:vAlign w:val="center"/>
          </w:tcPr>
          <w:p w14:paraId="27A33FB9" w14:textId="77777777" w:rsidR="00432CDD" w:rsidRPr="00BF295E" w:rsidRDefault="00432CDD" w:rsidP="00F26D1D">
            <w:pPr>
              <w:spacing w:after="0" w:line="276" w:lineRule="auto"/>
              <w:ind w:left="-567" w:firstLine="567"/>
              <w:jc w:val="center"/>
              <w:rPr>
                <w:rFonts w:ascii="Arial" w:hAnsi="Arial" w:cs="Arial"/>
                <w:sz w:val="20"/>
                <w:szCs w:val="20"/>
                <w:lang w:val="en-US"/>
              </w:rPr>
            </w:pPr>
            <w:r w:rsidRPr="00BF295E">
              <w:rPr>
                <w:rFonts w:ascii="Arial" w:hAnsi="Arial" w:cs="Arial"/>
                <w:sz w:val="20"/>
                <w:szCs w:val="20"/>
                <w:lang w:val="en-US"/>
              </w:rPr>
              <w:t>124.8</w:t>
            </w:r>
          </w:p>
        </w:tc>
        <w:tc>
          <w:tcPr>
            <w:tcW w:w="1531" w:type="dxa"/>
            <w:vAlign w:val="center"/>
          </w:tcPr>
          <w:p w14:paraId="3CD06D0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69.6</w:t>
            </w:r>
          </w:p>
        </w:tc>
        <w:tc>
          <w:tcPr>
            <w:tcW w:w="1134" w:type="dxa"/>
            <w:vAlign w:val="center"/>
          </w:tcPr>
          <w:p w14:paraId="22F48B8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1.46</w:t>
            </w:r>
          </w:p>
        </w:tc>
        <w:tc>
          <w:tcPr>
            <w:tcW w:w="850" w:type="dxa"/>
            <w:vAlign w:val="center"/>
          </w:tcPr>
          <w:p w14:paraId="1A9A756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29.43</w:t>
            </w:r>
          </w:p>
        </w:tc>
        <w:tc>
          <w:tcPr>
            <w:tcW w:w="851" w:type="dxa"/>
            <w:vAlign w:val="center"/>
          </w:tcPr>
          <w:p w14:paraId="3297518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2.88</w:t>
            </w:r>
          </w:p>
        </w:tc>
      </w:tr>
    </w:tbl>
    <w:p w14:paraId="1942B158" w14:textId="77777777" w:rsidR="00432CDD" w:rsidRPr="00BF295E" w:rsidRDefault="00432CDD" w:rsidP="00F26D1D">
      <w:pPr>
        <w:spacing w:after="0" w:line="276" w:lineRule="auto"/>
        <w:rPr>
          <w:rFonts w:ascii="Arial" w:hAnsi="Arial" w:cs="Arial"/>
          <w:b/>
          <w:sz w:val="20"/>
          <w:szCs w:val="20"/>
          <w:lang w:val="en-US"/>
        </w:rPr>
      </w:pPr>
    </w:p>
    <w:p w14:paraId="2E9A3D09" w14:textId="77777777" w:rsidR="00432CDD" w:rsidRPr="00BF295E" w:rsidRDefault="00432CDD" w:rsidP="00F26D1D">
      <w:pPr>
        <w:spacing w:after="0" w:line="276" w:lineRule="auto"/>
        <w:ind w:firstLine="540"/>
        <w:jc w:val="center"/>
        <w:rPr>
          <w:rFonts w:ascii="Arial" w:hAnsi="Arial" w:cs="Arial"/>
          <w:b/>
          <w:sz w:val="20"/>
          <w:szCs w:val="20"/>
          <w:lang w:val="en-US"/>
        </w:rPr>
      </w:pPr>
    </w:p>
    <w:p w14:paraId="6E24415B" w14:textId="77777777" w:rsidR="00432CDD" w:rsidRPr="00BF295E" w:rsidRDefault="00E51C7B" w:rsidP="00AC4401">
      <w:pPr>
        <w:spacing w:after="0" w:line="276" w:lineRule="auto"/>
        <w:ind w:firstLine="540"/>
        <w:jc w:val="center"/>
        <w:rPr>
          <w:rFonts w:ascii="Arial" w:hAnsi="Arial" w:cs="Arial"/>
          <w:b/>
          <w:sz w:val="20"/>
          <w:szCs w:val="20"/>
          <w:lang w:val="en-US"/>
        </w:rPr>
      </w:pPr>
      <w:r w:rsidRPr="00BF295E">
        <w:rPr>
          <w:rFonts w:ascii="Arial" w:hAnsi="Arial" w:cs="Arial"/>
          <w:b/>
          <w:sz w:val="20"/>
          <w:szCs w:val="20"/>
          <w:lang w:val="en-US"/>
        </w:rPr>
        <w:t>Table 3</w:t>
      </w:r>
    </w:p>
    <w:p w14:paraId="7FEC3E02" w14:textId="77777777" w:rsidR="00432CDD" w:rsidRPr="00BF295E" w:rsidRDefault="00432CDD" w:rsidP="00F26D1D">
      <w:pPr>
        <w:spacing w:after="0" w:line="276" w:lineRule="auto"/>
        <w:ind w:firstLine="540"/>
        <w:jc w:val="center"/>
        <w:rPr>
          <w:rFonts w:ascii="Arial" w:hAnsi="Arial" w:cs="Arial"/>
          <w:b/>
          <w:sz w:val="20"/>
          <w:szCs w:val="20"/>
          <w:lang w:val="en-US"/>
        </w:rPr>
      </w:pPr>
    </w:p>
    <w:p w14:paraId="2513DFF8" w14:textId="77777777" w:rsidR="00432CDD" w:rsidRPr="00BF295E" w:rsidRDefault="00432CDD" w:rsidP="00F26D1D">
      <w:pPr>
        <w:spacing w:after="0" w:line="276" w:lineRule="auto"/>
        <w:ind w:firstLine="540"/>
        <w:jc w:val="center"/>
        <w:rPr>
          <w:rFonts w:ascii="Arial" w:hAnsi="Arial" w:cs="Arial"/>
          <w:b/>
          <w:sz w:val="20"/>
          <w:szCs w:val="20"/>
          <w:lang w:val="uz-Cyrl-UZ"/>
        </w:rPr>
      </w:pPr>
      <w:r w:rsidRPr="00BF295E">
        <w:rPr>
          <w:rFonts w:ascii="Arial" w:hAnsi="Arial" w:cs="Arial"/>
          <w:b/>
          <w:sz w:val="20"/>
          <w:szCs w:val="20"/>
          <w:lang w:val="en-US"/>
        </w:rPr>
        <w:t xml:space="preserve">Density and viscosity of the melt of fertilizers obtained by the </w:t>
      </w:r>
      <w:proofErr w:type="spellStart"/>
      <w:r w:rsidRPr="00BF295E">
        <w:rPr>
          <w:rFonts w:ascii="Arial" w:hAnsi="Arial" w:cs="Arial"/>
          <w:b/>
          <w:sz w:val="20"/>
          <w:szCs w:val="20"/>
          <w:lang w:val="en-US"/>
        </w:rPr>
        <w:t>introductionin</w:t>
      </w:r>
      <w:proofErr w:type="spellEnd"/>
      <w:r w:rsidRPr="00BF295E">
        <w:rPr>
          <w:rFonts w:ascii="Arial" w:hAnsi="Arial" w:cs="Arial"/>
          <w:b/>
          <w:sz w:val="20"/>
          <w:szCs w:val="20"/>
          <w:lang w:val="en-US"/>
        </w:rPr>
        <w:t xml:space="preserve"> the melt of urea </w:t>
      </w:r>
      <w:r w:rsidRPr="00BF295E">
        <w:rPr>
          <w:rFonts w:ascii="Arial" w:hAnsi="Arial" w:cs="Arial"/>
          <w:b/>
          <w:color w:val="000000"/>
          <w:sz w:val="20"/>
          <w:szCs w:val="20"/>
          <w:lang w:val="uz-Cyrl-UZ"/>
        </w:rPr>
        <w:t>Hydroquinone</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51"/>
        <w:gridCol w:w="781"/>
        <w:gridCol w:w="778"/>
        <w:gridCol w:w="851"/>
        <w:gridCol w:w="852"/>
        <w:gridCol w:w="850"/>
        <w:gridCol w:w="851"/>
        <w:gridCol w:w="850"/>
      </w:tblGrid>
      <w:tr w:rsidR="00432CDD" w:rsidRPr="005E203F" w14:paraId="176435B5" w14:textId="77777777" w:rsidTr="00F44A15">
        <w:trPr>
          <w:trHeight w:val="724"/>
          <w:jc w:val="center"/>
        </w:trPr>
        <w:tc>
          <w:tcPr>
            <w:tcW w:w="1984" w:type="dxa"/>
            <w:vMerge w:val="restart"/>
            <w:shd w:val="clear" w:color="auto" w:fill="auto"/>
          </w:tcPr>
          <w:p w14:paraId="0683EFB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Mass ratio</w:t>
            </w:r>
          </w:p>
          <w:p w14:paraId="0E8FB897" w14:textId="77777777" w:rsidR="00432CDD" w:rsidRPr="00BF295E" w:rsidRDefault="00432CDD" w:rsidP="00F26D1D">
            <w:pPr>
              <w:spacing w:after="0" w:line="276" w:lineRule="auto"/>
              <w:jc w:val="center"/>
              <w:rPr>
                <w:rFonts w:ascii="Arial" w:hAnsi="Arial" w:cs="Arial"/>
                <w:color w:val="000000"/>
                <w:sz w:val="20"/>
                <w:szCs w:val="20"/>
                <w:lang w:val="en-US"/>
              </w:rPr>
            </w:pPr>
            <w:r w:rsidRPr="00BF295E">
              <w:rPr>
                <w:rFonts w:ascii="Arial" w:hAnsi="Arial" w:cs="Arial"/>
                <w:color w:val="000000"/>
                <w:sz w:val="20"/>
                <w:szCs w:val="20"/>
                <w:lang w:val="en-US"/>
              </w:rPr>
              <w:t>(NH</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w:t>
            </w:r>
            <w:r w:rsidRPr="00BF295E">
              <w:rPr>
                <w:rFonts w:ascii="Arial" w:hAnsi="Arial" w:cs="Arial"/>
                <w:color w:val="000000"/>
                <w:sz w:val="20"/>
                <w:szCs w:val="20"/>
                <w:vertAlign w:val="subscript"/>
                <w:lang w:val="en-US"/>
              </w:rPr>
              <w:t>2</w:t>
            </w:r>
            <w:r w:rsidRPr="00BF295E">
              <w:rPr>
                <w:rFonts w:ascii="Arial" w:hAnsi="Arial" w:cs="Arial"/>
                <w:color w:val="000000"/>
                <w:sz w:val="20"/>
                <w:szCs w:val="20"/>
                <w:lang w:val="en-US"/>
              </w:rPr>
              <w:t xml:space="preserve">CO : </w:t>
            </w:r>
          </w:p>
          <w:p w14:paraId="3AA9376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color w:val="000000"/>
                <w:sz w:val="20"/>
                <w:szCs w:val="20"/>
                <w:lang w:val="uz-Cyrl-UZ"/>
              </w:rPr>
              <w:t>Hydroquinone</w:t>
            </w:r>
          </w:p>
        </w:tc>
        <w:tc>
          <w:tcPr>
            <w:tcW w:w="3261" w:type="dxa"/>
            <w:gridSpan w:val="4"/>
          </w:tcPr>
          <w:p w14:paraId="08BFF76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Density (g/cm</w:t>
            </w:r>
            <w:r w:rsidRPr="00BF295E">
              <w:rPr>
                <w:rFonts w:ascii="Arial" w:hAnsi="Arial" w:cs="Arial"/>
                <w:sz w:val="20"/>
                <w:szCs w:val="20"/>
                <w:vertAlign w:val="superscript"/>
                <w:lang w:val="en-US"/>
              </w:rPr>
              <w:t>3</w:t>
            </w:r>
            <w:r w:rsidRPr="00BF295E">
              <w:rPr>
                <w:rFonts w:ascii="Arial" w:hAnsi="Arial" w:cs="Arial"/>
                <w:sz w:val="20"/>
                <w:szCs w:val="20"/>
                <w:lang w:val="en-US"/>
              </w:rPr>
              <w:t xml:space="preserve">), at temperature, </w:t>
            </w:r>
            <w:r w:rsidRPr="00BF295E">
              <w:rPr>
                <w:rFonts w:ascii="Arial" w:hAnsi="Arial" w:cs="Arial"/>
                <w:sz w:val="20"/>
                <w:szCs w:val="20"/>
              </w:rPr>
              <w:sym w:font="Symbol" w:char="F0B0"/>
            </w:r>
            <w:r w:rsidRPr="00BF295E">
              <w:rPr>
                <w:rFonts w:ascii="Arial" w:hAnsi="Arial" w:cs="Arial"/>
                <w:sz w:val="20"/>
                <w:szCs w:val="20"/>
                <w:lang w:val="en-US"/>
              </w:rPr>
              <w:t>C</w:t>
            </w:r>
          </w:p>
        </w:tc>
        <w:tc>
          <w:tcPr>
            <w:tcW w:w="3403" w:type="dxa"/>
            <w:gridSpan w:val="4"/>
          </w:tcPr>
          <w:p w14:paraId="4783546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Viscosity (</w:t>
            </w:r>
            <w:proofErr w:type="spellStart"/>
            <w:r w:rsidRPr="00BF295E">
              <w:rPr>
                <w:rFonts w:ascii="Arial" w:hAnsi="Arial" w:cs="Arial"/>
                <w:sz w:val="20"/>
                <w:szCs w:val="20"/>
                <w:lang w:val="en-US"/>
              </w:rPr>
              <w:t>cPz</w:t>
            </w:r>
            <w:proofErr w:type="spellEnd"/>
            <w:r w:rsidRPr="00BF295E">
              <w:rPr>
                <w:rFonts w:ascii="Arial" w:hAnsi="Arial" w:cs="Arial"/>
                <w:sz w:val="20"/>
                <w:szCs w:val="20"/>
                <w:lang w:val="en-US"/>
              </w:rPr>
              <w:t xml:space="preserve">), at </w:t>
            </w:r>
          </w:p>
          <w:p w14:paraId="144ADF4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 xml:space="preserve">temperature, </w:t>
            </w:r>
            <w:r w:rsidRPr="00BF295E">
              <w:rPr>
                <w:rFonts w:ascii="Arial" w:hAnsi="Arial" w:cs="Arial"/>
                <w:sz w:val="20"/>
                <w:szCs w:val="20"/>
              </w:rPr>
              <w:sym w:font="Symbol" w:char="F0B0"/>
            </w:r>
            <w:r w:rsidRPr="00BF295E">
              <w:rPr>
                <w:rFonts w:ascii="Arial" w:hAnsi="Arial" w:cs="Arial"/>
                <w:sz w:val="20"/>
                <w:szCs w:val="20"/>
                <w:lang w:val="en-US"/>
              </w:rPr>
              <w:t>C</w:t>
            </w:r>
          </w:p>
        </w:tc>
      </w:tr>
      <w:tr w:rsidR="00432CDD" w:rsidRPr="00BF295E" w14:paraId="7212CE7F" w14:textId="77777777" w:rsidTr="00F44A15">
        <w:trPr>
          <w:trHeight w:val="271"/>
          <w:jc w:val="center"/>
        </w:trPr>
        <w:tc>
          <w:tcPr>
            <w:tcW w:w="1984" w:type="dxa"/>
            <w:vMerge/>
            <w:shd w:val="clear" w:color="auto" w:fill="auto"/>
          </w:tcPr>
          <w:p w14:paraId="7A6D19D9" w14:textId="77777777" w:rsidR="00432CDD" w:rsidRPr="00BF295E" w:rsidRDefault="00432CDD" w:rsidP="00F26D1D">
            <w:pPr>
              <w:spacing w:after="0" w:line="276" w:lineRule="auto"/>
              <w:jc w:val="center"/>
              <w:rPr>
                <w:rFonts w:ascii="Arial" w:hAnsi="Arial" w:cs="Arial"/>
                <w:sz w:val="20"/>
                <w:szCs w:val="20"/>
                <w:lang w:val="en-US"/>
              </w:rPr>
            </w:pPr>
          </w:p>
        </w:tc>
        <w:tc>
          <w:tcPr>
            <w:tcW w:w="851" w:type="dxa"/>
          </w:tcPr>
          <w:p w14:paraId="46858368"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130</w:t>
            </w:r>
          </w:p>
        </w:tc>
        <w:tc>
          <w:tcPr>
            <w:tcW w:w="781" w:type="dxa"/>
          </w:tcPr>
          <w:p w14:paraId="0B0F0414"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135</w:t>
            </w:r>
          </w:p>
        </w:tc>
        <w:tc>
          <w:tcPr>
            <w:tcW w:w="778" w:type="dxa"/>
          </w:tcPr>
          <w:p w14:paraId="5A1C17D4"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140</w:t>
            </w:r>
          </w:p>
        </w:tc>
        <w:tc>
          <w:tcPr>
            <w:tcW w:w="851" w:type="dxa"/>
            <w:shd w:val="clear" w:color="auto" w:fill="auto"/>
          </w:tcPr>
          <w:p w14:paraId="02CB126F"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145</w:t>
            </w:r>
          </w:p>
        </w:tc>
        <w:tc>
          <w:tcPr>
            <w:tcW w:w="852" w:type="dxa"/>
          </w:tcPr>
          <w:p w14:paraId="438EEDD0"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130</w:t>
            </w:r>
          </w:p>
        </w:tc>
        <w:tc>
          <w:tcPr>
            <w:tcW w:w="850" w:type="dxa"/>
          </w:tcPr>
          <w:p w14:paraId="5D4614F6"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135</w:t>
            </w:r>
          </w:p>
        </w:tc>
        <w:tc>
          <w:tcPr>
            <w:tcW w:w="851" w:type="dxa"/>
          </w:tcPr>
          <w:p w14:paraId="649F0E63"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140</w:t>
            </w:r>
          </w:p>
        </w:tc>
        <w:tc>
          <w:tcPr>
            <w:tcW w:w="850" w:type="dxa"/>
          </w:tcPr>
          <w:p w14:paraId="44F7D0D1" w14:textId="77777777" w:rsidR="00432CDD" w:rsidRPr="00BF295E" w:rsidRDefault="00432CDD" w:rsidP="00F26D1D">
            <w:pPr>
              <w:spacing w:after="0" w:line="276" w:lineRule="auto"/>
              <w:jc w:val="center"/>
              <w:rPr>
                <w:rFonts w:ascii="Arial" w:hAnsi="Arial" w:cs="Arial"/>
                <w:b/>
                <w:sz w:val="20"/>
                <w:szCs w:val="20"/>
              </w:rPr>
            </w:pPr>
            <w:r w:rsidRPr="00BF295E">
              <w:rPr>
                <w:rFonts w:ascii="Arial" w:hAnsi="Arial" w:cs="Arial"/>
                <w:b/>
                <w:sz w:val="20"/>
                <w:szCs w:val="20"/>
              </w:rPr>
              <w:t>145</w:t>
            </w:r>
          </w:p>
        </w:tc>
      </w:tr>
      <w:tr w:rsidR="00432CDD" w:rsidRPr="00BF295E" w14:paraId="2B9F198C" w14:textId="77777777" w:rsidTr="00F44A15">
        <w:trPr>
          <w:trHeight w:val="234"/>
          <w:jc w:val="center"/>
        </w:trPr>
        <w:tc>
          <w:tcPr>
            <w:tcW w:w="1984" w:type="dxa"/>
            <w:shd w:val="clear" w:color="auto" w:fill="auto"/>
            <w:vAlign w:val="center"/>
          </w:tcPr>
          <w:p w14:paraId="5688BF8B"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sz w:val="20"/>
                <w:szCs w:val="20"/>
              </w:rPr>
              <w:t>100:0</w:t>
            </w:r>
          </w:p>
        </w:tc>
        <w:tc>
          <w:tcPr>
            <w:tcW w:w="851" w:type="dxa"/>
            <w:vAlign w:val="center"/>
          </w:tcPr>
          <w:p w14:paraId="5729166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1.210</w:t>
            </w:r>
          </w:p>
        </w:tc>
        <w:tc>
          <w:tcPr>
            <w:tcW w:w="781" w:type="dxa"/>
          </w:tcPr>
          <w:p w14:paraId="5E4E591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w:t>
            </w:r>
          </w:p>
        </w:tc>
        <w:tc>
          <w:tcPr>
            <w:tcW w:w="778" w:type="dxa"/>
          </w:tcPr>
          <w:p w14:paraId="7EBDC7F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w:t>
            </w:r>
          </w:p>
        </w:tc>
        <w:tc>
          <w:tcPr>
            <w:tcW w:w="851" w:type="dxa"/>
            <w:shd w:val="clear" w:color="auto" w:fill="auto"/>
          </w:tcPr>
          <w:p w14:paraId="51AD101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1.170</w:t>
            </w:r>
          </w:p>
        </w:tc>
        <w:tc>
          <w:tcPr>
            <w:tcW w:w="852" w:type="dxa"/>
          </w:tcPr>
          <w:p w14:paraId="774E44F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2.69</w:t>
            </w:r>
          </w:p>
        </w:tc>
        <w:tc>
          <w:tcPr>
            <w:tcW w:w="850" w:type="dxa"/>
          </w:tcPr>
          <w:p w14:paraId="10B9EF4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2.62</w:t>
            </w:r>
          </w:p>
        </w:tc>
        <w:tc>
          <w:tcPr>
            <w:tcW w:w="851" w:type="dxa"/>
            <w:vAlign w:val="center"/>
          </w:tcPr>
          <w:p w14:paraId="481CA44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2.42</w:t>
            </w:r>
          </w:p>
        </w:tc>
        <w:tc>
          <w:tcPr>
            <w:tcW w:w="850" w:type="dxa"/>
          </w:tcPr>
          <w:p w14:paraId="0DD7D1F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2.28</w:t>
            </w:r>
          </w:p>
        </w:tc>
      </w:tr>
      <w:tr w:rsidR="00432CDD" w:rsidRPr="00BF295E" w14:paraId="05256B32" w14:textId="77777777" w:rsidTr="00F44A15">
        <w:trPr>
          <w:trHeight w:val="82"/>
          <w:jc w:val="center"/>
        </w:trPr>
        <w:tc>
          <w:tcPr>
            <w:tcW w:w="1984" w:type="dxa"/>
            <w:shd w:val="clear" w:color="auto" w:fill="auto"/>
            <w:vAlign w:val="center"/>
          </w:tcPr>
          <w:p w14:paraId="11A3CC6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0.1</w:t>
            </w:r>
          </w:p>
        </w:tc>
        <w:tc>
          <w:tcPr>
            <w:tcW w:w="851" w:type="dxa"/>
            <w:vAlign w:val="center"/>
          </w:tcPr>
          <w:p w14:paraId="53E55C4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1.215</w:t>
            </w:r>
          </w:p>
        </w:tc>
        <w:tc>
          <w:tcPr>
            <w:tcW w:w="781" w:type="dxa"/>
          </w:tcPr>
          <w:p w14:paraId="2111762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1.212</w:t>
            </w:r>
          </w:p>
        </w:tc>
        <w:tc>
          <w:tcPr>
            <w:tcW w:w="778" w:type="dxa"/>
          </w:tcPr>
          <w:p w14:paraId="35EF24D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1.206</w:t>
            </w:r>
          </w:p>
        </w:tc>
        <w:tc>
          <w:tcPr>
            <w:tcW w:w="851" w:type="dxa"/>
            <w:shd w:val="clear" w:color="auto" w:fill="auto"/>
          </w:tcPr>
          <w:p w14:paraId="32642D8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1.184</w:t>
            </w:r>
          </w:p>
        </w:tc>
        <w:tc>
          <w:tcPr>
            <w:tcW w:w="852" w:type="dxa"/>
            <w:vAlign w:val="center"/>
          </w:tcPr>
          <w:p w14:paraId="4834934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2.75</w:t>
            </w:r>
          </w:p>
        </w:tc>
        <w:tc>
          <w:tcPr>
            <w:tcW w:w="850" w:type="dxa"/>
          </w:tcPr>
          <w:p w14:paraId="2403CE5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2.59</w:t>
            </w:r>
          </w:p>
        </w:tc>
        <w:tc>
          <w:tcPr>
            <w:tcW w:w="851" w:type="dxa"/>
          </w:tcPr>
          <w:p w14:paraId="410F792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2.49</w:t>
            </w:r>
          </w:p>
        </w:tc>
        <w:tc>
          <w:tcPr>
            <w:tcW w:w="850" w:type="dxa"/>
          </w:tcPr>
          <w:p w14:paraId="09A7CB0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2.37</w:t>
            </w:r>
          </w:p>
        </w:tc>
      </w:tr>
      <w:tr w:rsidR="00432CDD" w:rsidRPr="00BF295E" w14:paraId="15B63078" w14:textId="77777777" w:rsidTr="00F44A15">
        <w:trPr>
          <w:trHeight w:val="302"/>
          <w:jc w:val="center"/>
        </w:trPr>
        <w:tc>
          <w:tcPr>
            <w:tcW w:w="1984" w:type="dxa"/>
            <w:shd w:val="clear" w:color="auto" w:fill="auto"/>
            <w:vAlign w:val="center"/>
          </w:tcPr>
          <w:p w14:paraId="078E1CDB"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0.2</w:t>
            </w:r>
          </w:p>
        </w:tc>
        <w:tc>
          <w:tcPr>
            <w:tcW w:w="851" w:type="dxa"/>
            <w:vAlign w:val="center"/>
          </w:tcPr>
          <w:p w14:paraId="71F5C02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1.221</w:t>
            </w:r>
          </w:p>
        </w:tc>
        <w:tc>
          <w:tcPr>
            <w:tcW w:w="781" w:type="dxa"/>
          </w:tcPr>
          <w:p w14:paraId="7BDA1DD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1.218</w:t>
            </w:r>
          </w:p>
        </w:tc>
        <w:tc>
          <w:tcPr>
            <w:tcW w:w="778" w:type="dxa"/>
          </w:tcPr>
          <w:p w14:paraId="79B6BFD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1.213</w:t>
            </w:r>
          </w:p>
        </w:tc>
        <w:tc>
          <w:tcPr>
            <w:tcW w:w="851" w:type="dxa"/>
            <w:shd w:val="clear" w:color="auto" w:fill="auto"/>
          </w:tcPr>
          <w:p w14:paraId="72EB01C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1.192</w:t>
            </w:r>
          </w:p>
        </w:tc>
        <w:tc>
          <w:tcPr>
            <w:tcW w:w="852" w:type="dxa"/>
          </w:tcPr>
          <w:p w14:paraId="3CB1468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2.82</w:t>
            </w:r>
          </w:p>
        </w:tc>
        <w:tc>
          <w:tcPr>
            <w:tcW w:w="850" w:type="dxa"/>
          </w:tcPr>
          <w:p w14:paraId="77EB8B4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2.71</w:t>
            </w:r>
          </w:p>
        </w:tc>
        <w:tc>
          <w:tcPr>
            <w:tcW w:w="851" w:type="dxa"/>
          </w:tcPr>
          <w:p w14:paraId="224ADB4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2.54</w:t>
            </w:r>
          </w:p>
        </w:tc>
        <w:tc>
          <w:tcPr>
            <w:tcW w:w="850" w:type="dxa"/>
          </w:tcPr>
          <w:p w14:paraId="2CCB7E3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2.42</w:t>
            </w:r>
          </w:p>
        </w:tc>
      </w:tr>
      <w:tr w:rsidR="00432CDD" w:rsidRPr="00BF295E" w14:paraId="0CFC83A3" w14:textId="77777777" w:rsidTr="00F44A15">
        <w:trPr>
          <w:trHeight w:val="189"/>
          <w:jc w:val="center"/>
        </w:trPr>
        <w:tc>
          <w:tcPr>
            <w:tcW w:w="1984" w:type="dxa"/>
            <w:shd w:val="clear" w:color="auto" w:fill="auto"/>
            <w:vAlign w:val="center"/>
          </w:tcPr>
          <w:p w14:paraId="096E2451" w14:textId="77777777" w:rsidR="00432CDD" w:rsidRPr="00BF295E" w:rsidRDefault="00432CDD" w:rsidP="00F26D1D">
            <w:pPr>
              <w:spacing w:after="0" w:line="276" w:lineRule="auto"/>
              <w:jc w:val="center"/>
              <w:rPr>
                <w:rFonts w:ascii="Arial" w:hAnsi="Arial" w:cs="Arial"/>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0.3</w:t>
            </w:r>
          </w:p>
        </w:tc>
        <w:tc>
          <w:tcPr>
            <w:tcW w:w="851" w:type="dxa"/>
            <w:vAlign w:val="center"/>
          </w:tcPr>
          <w:p w14:paraId="6173FE2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1.227</w:t>
            </w:r>
          </w:p>
        </w:tc>
        <w:tc>
          <w:tcPr>
            <w:tcW w:w="781" w:type="dxa"/>
          </w:tcPr>
          <w:p w14:paraId="39EA305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1.224</w:t>
            </w:r>
          </w:p>
        </w:tc>
        <w:tc>
          <w:tcPr>
            <w:tcW w:w="778" w:type="dxa"/>
          </w:tcPr>
          <w:p w14:paraId="684DD52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1.217</w:t>
            </w:r>
          </w:p>
        </w:tc>
        <w:tc>
          <w:tcPr>
            <w:tcW w:w="851" w:type="dxa"/>
            <w:shd w:val="clear" w:color="auto" w:fill="auto"/>
            <w:vAlign w:val="center"/>
          </w:tcPr>
          <w:p w14:paraId="0CF6CE3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1.196</w:t>
            </w:r>
          </w:p>
        </w:tc>
        <w:tc>
          <w:tcPr>
            <w:tcW w:w="852" w:type="dxa"/>
            <w:vAlign w:val="center"/>
          </w:tcPr>
          <w:p w14:paraId="73523C1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2.90</w:t>
            </w:r>
          </w:p>
        </w:tc>
        <w:tc>
          <w:tcPr>
            <w:tcW w:w="850" w:type="dxa"/>
          </w:tcPr>
          <w:p w14:paraId="34D93BD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2.79</w:t>
            </w:r>
          </w:p>
        </w:tc>
        <w:tc>
          <w:tcPr>
            <w:tcW w:w="851" w:type="dxa"/>
          </w:tcPr>
          <w:p w14:paraId="0CD8909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2.60</w:t>
            </w:r>
          </w:p>
        </w:tc>
        <w:tc>
          <w:tcPr>
            <w:tcW w:w="850" w:type="dxa"/>
            <w:vAlign w:val="center"/>
          </w:tcPr>
          <w:p w14:paraId="6B2F347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2.47</w:t>
            </w:r>
          </w:p>
        </w:tc>
      </w:tr>
      <w:tr w:rsidR="00432CDD" w:rsidRPr="00BF295E" w14:paraId="390FE06E" w14:textId="77777777" w:rsidTr="00F44A15">
        <w:trPr>
          <w:trHeight w:val="280"/>
          <w:jc w:val="center"/>
        </w:trPr>
        <w:tc>
          <w:tcPr>
            <w:tcW w:w="1984" w:type="dxa"/>
            <w:shd w:val="clear" w:color="auto" w:fill="auto"/>
            <w:vAlign w:val="center"/>
          </w:tcPr>
          <w:p w14:paraId="4E52C5ED"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0.4</w:t>
            </w:r>
          </w:p>
        </w:tc>
        <w:tc>
          <w:tcPr>
            <w:tcW w:w="851" w:type="dxa"/>
            <w:vAlign w:val="center"/>
          </w:tcPr>
          <w:p w14:paraId="587FFA6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1.233</w:t>
            </w:r>
          </w:p>
        </w:tc>
        <w:tc>
          <w:tcPr>
            <w:tcW w:w="781" w:type="dxa"/>
          </w:tcPr>
          <w:p w14:paraId="40B60B1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1.231</w:t>
            </w:r>
          </w:p>
        </w:tc>
        <w:tc>
          <w:tcPr>
            <w:tcW w:w="778" w:type="dxa"/>
          </w:tcPr>
          <w:p w14:paraId="22D3A09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1.222</w:t>
            </w:r>
          </w:p>
        </w:tc>
        <w:tc>
          <w:tcPr>
            <w:tcW w:w="851" w:type="dxa"/>
            <w:shd w:val="clear" w:color="auto" w:fill="auto"/>
            <w:vAlign w:val="center"/>
          </w:tcPr>
          <w:p w14:paraId="2BC4555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1.203</w:t>
            </w:r>
          </w:p>
        </w:tc>
        <w:tc>
          <w:tcPr>
            <w:tcW w:w="852" w:type="dxa"/>
            <w:vAlign w:val="center"/>
          </w:tcPr>
          <w:p w14:paraId="2609A81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2.95</w:t>
            </w:r>
          </w:p>
        </w:tc>
        <w:tc>
          <w:tcPr>
            <w:tcW w:w="850" w:type="dxa"/>
          </w:tcPr>
          <w:p w14:paraId="5B8265E0"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2.87</w:t>
            </w:r>
          </w:p>
        </w:tc>
        <w:tc>
          <w:tcPr>
            <w:tcW w:w="851" w:type="dxa"/>
          </w:tcPr>
          <w:p w14:paraId="348B355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c>
          <w:tcPr>
            <w:tcW w:w="850" w:type="dxa"/>
            <w:vAlign w:val="center"/>
          </w:tcPr>
          <w:p w14:paraId="5B89305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2.51</w:t>
            </w:r>
          </w:p>
        </w:tc>
      </w:tr>
      <w:tr w:rsidR="00432CDD" w:rsidRPr="00BF295E" w14:paraId="3B6FAA31" w14:textId="77777777" w:rsidTr="00F44A15">
        <w:trPr>
          <w:trHeight w:val="294"/>
          <w:jc w:val="center"/>
        </w:trPr>
        <w:tc>
          <w:tcPr>
            <w:tcW w:w="1984" w:type="dxa"/>
            <w:shd w:val="clear" w:color="auto" w:fill="auto"/>
            <w:vAlign w:val="center"/>
          </w:tcPr>
          <w:p w14:paraId="3121B49A"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0.5</w:t>
            </w:r>
          </w:p>
        </w:tc>
        <w:tc>
          <w:tcPr>
            <w:tcW w:w="851" w:type="dxa"/>
            <w:vAlign w:val="center"/>
          </w:tcPr>
          <w:p w14:paraId="751A4D3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1.242</w:t>
            </w:r>
          </w:p>
        </w:tc>
        <w:tc>
          <w:tcPr>
            <w:tcW w:w="781" w:type="dxa"/>
          </w:tcPr>
          <w:p w14:paraId="0D11059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1.238</w:t>
            </w:r>
          </w:p>
        </w:tc>
        <w:tc>
          <w:tcPr>
            <w:tcW w:w="778" w:type="dxa"/>
          </w:tcPr>
          <w:p w14:paraId="610FED6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1.228</w:t>
            </w:r>
          </w:p>
        </w:tc>
        <w:tc>
          <w:tcPr>
            <w:tcW w:w="851" w:type="dxa"/>
            <w:shd w:val="clear" w:color="auto" w:fill="auto"/>
            <w:vAlign w:val="center"/>
          </w:tcPr>
          <w:p w14:paraId="3B14A00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1.207</w:t>
            </w:r>
          </w:p>
        </w:tc>
        <w:tc>
          <w:tcPr>
            <w:tcW w:w="852" w:type="dxa"/>
            <w:vAlign w:val="center"/>
          </w:tcPr>
          <w:p w14:paraId="214C0B2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2.98</w:t>
            </w:r>
          </w:p>
        </w:tc>
        <w:tc>
          <w:tcPr>
            <w:tcW w:w="850" w:type="dxa"/>
          </w:tcPr>
          <w:p w14:paraId="7D55A6F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2.92</w:t>
            </w:r>
          </w:p>
        </w:tc>
        <w:tc>
          <w:tcPr>
            <w:tcW w:w="851" w:type="dxa"/>
          </w:tcPr>
          <w:p w14:paraId="59F462D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2.67</w:t>
            </w:r>
          </w:p>
        </w:tc>
        <w:tc>
          <w:tcPr>
            <w:tcW w:w="850" w:type="dxa"/>
            <w:vAlign w:val="center"/>
          </w:tcPr>
          <w:p w14:paraId="0F7FF89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2.57</w:t>
            </w:r>
          </w:p>
        </w:tc>
      </w:tr>
      <w:tr w:rsidR="00432CDD" w:rsidRPr="00BF295E" w14:paraId="4FFE491A" w14:textId="77777777" w:rsidTr="00F44A15">
        <w:trPr>
          <w:trHeight w:val="260"/>
          <w:jc w:val="center"/>
        </w:trPr>
        <w:tc>
          <w:tcPr>
            <w:tcW w:w="1984" w:type="dxa"/>
            <w:shd w:val="clear" w:color="auto" w:fill="auto"/>
            <w:vAlign w:val="center"/>
          </w:tcPr>
          <w:p w14:paraId="45E0F9A2"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0.6</w:t>
            </w:r>
          </w:p>
        </w:tc>
        <w:tc>
          <w:tcPr>
            <w:tcW w:w="851" w:type="dxa"/>
            <w:vAlign w:val="center"/>
          </w:tcPr>
          <w:p w14:paraId="62D5A1E7"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1.247</w:t>
            </w:r>
          </w:p>
        </w:tc>
        <w:tc>
          <w:tcPr>
            <w:tcW w:w="781" w:type="dxa"/>
          </w:tcPr>
          <w:p w14:paraId="38B103E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1.241</w:t>
            </w:r>
          </w:p>
        </w:tc>
        <w:tc>
          <w:tcPr>
            <w:tcW w:w="778" w:type="dxa"/>
          </w:tcPr>
          <w:p w14:paraId="79EF2E0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1.235</w:t>
            </w:r>
          </w:p>
        </w:tc>
        <w:tc>
          <w:tcPr>
            <w:tcW w:w="851" w:type="dxa"/>
            <w:shd w:val="clear" w:color="auto" w:fill="auto"/>
          </w:tcPr>
          <w:p w14:paraId="67C5811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1.211</w:t>
            </w:r>
          </w:p>
        </w:tc>
        <w:tc>
          <w:tcPr>
            <w:tcW w:w="852" w:type="dxa"/>
            <w:vAlign w:val="center"/>
          </w:tcPr>
          <w:p w14:paraId="1EF6DC6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3.19</w:t>
            </w:r>
          </w:p>
        </w:tc>
        <w:tc>
          <w:tcPr>
            <w:tcW w:w="850" w:type="dxa"/>
          </w:tcPr>
          <w:p w14:paraId="7F72FF7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2.99</w:t>
            </w:r>
          </w:p>
        </w:tc>
        <w:tc>
          <w:tcPr>
            <w:tcW w:w="851" w:type="dxa"/>
          </w:tcPr>
          <w:p w14:paraId="79C0399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2.75</w:t>
            </w:r>
          </w:p>
        </w:tc>
        <w:tc>
          <w:tcPr>
            <w:tcW w:w="850" w:type="dxa"/>
          </w:tcPr>
          <w:p w14:paraId="5E6E7EA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2.64</w:t>
            </w:r>
          </w:p>
        </w:tc>
      </w:tr>
      <w:tr w:rsidR="00432CDD" w:rsidRPr="00BF295E" w14:paraId="0895A289" w14:textId="77777777" w:rsidTr="00F44A15">
        <w:trPr>
          <w:trHeight w:val="249"/>
          <w:jc w:val="center"/>
        </w:trPr>
        <w:tc>
          <w:tcPr>
            <w:tcW w:w="1984" w:type="dxa"/>
            <w:shd w:val="clear" w:color="auto" w:fill="auto"/>
            <w:vAlign w:val="center"/>
          </w:tcPr>
          <w:p w14:paraId="69474242" w14:textId="77777777" w:rsidR="00432CDD" w:rsidRPr="00BF295E" w:rsidRDefault="00432CDD" w:rsidP="00F26D1D">
            <w:pPr>
              <w:spacing w:after="0" w:line="276" w:lineRule="auto"/>
              <w:jc w:val="center"/>
              <w:rPr>
                <w:rFonts w:ascii="Arial" w:hAnsi="Arial" w:cs="Arial"/>
                <w:bCs/>
                <w:sz w:val="20"/>
                <w:szCs w:val="20"/>
              </w:rPr>
            </w:pPr>
            <w:r w:rsidRPr="00BF295E">
              <w:rPr>
                <w:rFonts w:ascii="Arial" w:hAnsi="Arial" w:cs="Arial"/>
                <w:bCs/>
                <w:sz w:val="20"/>
                <w:szCs w:val="20"/>
              </w:rPr>
              <w:t>100</w:t>
            </w:r>
            <w:r w:rsidRPr="00BF295E">
              <w:rPr>
                <w:rFonts w:ascii="Arial" w:hAnsi="Arial" w:cs="Arial"/>
                <w:bCs/>
                <w:sz w:val="20"/>
                <w:szCs w:val="20"/>
                <w:lang w:val="en-US"/>
              </w:rPr>
              <w:t xml:space="preserve"> </w:t>
            </w:r>
            <w:r w:rsidRPr="00BF295E">
              <w:rPr>
                <w:rFonts w:ascii="Arial" w:hAnsi="Arial" w:cs="Arial"/>
                <w:bCs/>
                <w:sz w:val="20"/>
                <w:szCs w:val="20"/>
              </w:rPr>
              <w:t xml:space="preserve">: </w:t>
            </w:r>
            <w:r w:rsidRPr="00BF295E">
              <w:rPr>
                <w:rFonts w:ascii="Arial" w:hAnsi="Arial" w:cs="Arial"/>
                <w:bCs/>
                <w:sz w:val="20"/>
                <w:szCs w:val="20"/>
                <w:lang w:val="en-US"/>
              </w:rPr>
              <w:t>0.7</w:t>
            </w:r>
          </w:p>
        </w:tc>
        <w:tc>
          <w:tcPr>
            <w:tcW w:w="851" w:type="dxa"/>
            <w:vAlign w:val="center"/>
          </w:tcPr>
          <w:p w14:paraId="6DC5D9A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1.252</w:t>
            </w:r>
          </w:p>
        </w:tc>
        <w:tc>
          <w:tcPr>
            <w:tcW w:w="781" w:type="dxa"/>
          </w:tcPr>
          <w:p w14:paraId="5A3CE42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1.245</w:t>
            </w:r>
          </w:p>
        </w:tc>
        <w:tc>
          <w:tcPr>
            <w:tcW w:w="778" w:type="dxa"/>
          </w:tcPr>
          <w:p w14:paraId="6D0923B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1.243</w:t>
            </w:r>
          </w:p>
        </w:tc>
        <w:tc>
          <w:tcPr>
            <w:tcW w:w="851" w:type="dxa"/>
            <w:shd w:val="clear" w:color="auto" w:fill="auto"/>
          </w:tcPr>
          <w:p w14:paraId="12AB761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1.218</w:t>
            </w:r>
          </w:p>
        </w:tc>
        <w:tc>
          <w:tcPr>
            <w:tcW w:w="852" w:type="dxa"/>
            <w:vAlign w:val="center"/>
          </w:tcPr>
          <w:p w14:paraId="56DD8E0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3.39</w:t>
            </w:r>
          </w:p>
        </w:tc>
        <w:tc>
          <w:tcPr>
            <w:tcW w:w="850" w:type="dxa"/>
          </w:tcPr>
          <w:p w14:paraId="0C9F1F5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3.08</w:t>
            </w:r>
          </w:p>
        </w:tc>
        <w:tc>
          <w:tcPr>
            <w:tcW w:w="851" w:type="dxa"/>
          </w:tcPr>
          <w:p w14:paraId="4F8293F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2.84</w:t>
            </w:r>
          </w:p>
        </w:tc>
        <w:tc>
          <w:tcPr>
            <w:tcW w:w="850" w:type="dxa"/>
          </w:tcPr>
          <w:p w14:paraId="5F74380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2.71</w:t>
            </w:r>
          </w:p>
        </w:tc>
      </w:tr>
      <w:tr w:rsidR="00432CDD" w:rsidRPr="00BF295E" w14:paraId="392ADAFD" w14:textId="77777777" w:rsidTr="00F44A15">
        <w:trPr>
          <w:trHeight w:val="154"/>
          <w:jc w:val="center"/>
        </w:trPr>
        <w:tc>
          <w:tcPr>
            <w:tcW w:w="1984" w:type="dxa"/>
            <w:shd w:val="clear" w:color="auto" w:fill="auto"/>
            <w:vAlign w:val="center"/>
          </w:tcPr>
          <w:p w14:paraId="6F891445"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0.8</w:t>
            </w:r>
          </w:p>
        </w:tc>
        <w:tc>
          <w:tcPr>
            <w:tcW w:w="851" w:type="dxa"/>
            <w:vAlign w:val="center"/>
          </w:tcPr>
          <w:p w14:paraId="78DB853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1.258</w:t>
            </w:r>
          </w:p>
        </w:tc>
        <w:tc>
          <w:tcPr>
            <w:tcW w:w="781" w:type="dxa"/>
          </w:tcPr>
          <w:p w14:paraId="18935DD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1.251</w:t>
            </w:r>
          </w:p>
        </w:tc>
        <w:tc>
          <w:tcPr>
            <w:tcW w:w="778" w:type="dxa"/>
          </w:tcPr>
          <w:p w14:paraId="6883AB2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1.250</w:t>
            </w:r>
          </w:p>
        </w:tc>
        <w:tc>
          <w:tcPr>
            <w:tcW w:w="851" w:type="dxa"/>
            <w:shd w:val="clear" w:color="auto" w:fill="auto"/>
          </w:tcPr>
          <w:p w14:paraId="1E495A19"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1.229</w:t>
            </w:r>
          </w:p>
        </w:tc>
        <w:tc>
          <w:tcPr>
            <w:tcW w:w="852" w:type="dxa"/>
            <w:vAlign w:val="center"/>
          </w:tcPr>
          <w:p w14:paraId="7F1238A3"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3.61</w:t>
            </w:r>
          </w:p>
        </w:tc>
        <w:tc>
          <w:tcPr>
            <w:tcW w:w="850" w:type="dxa"/>
          </w:tcPr>
          <w:p w14:paraId="7913B0F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3.17</w:t>
            </w:r>
          </w:p>
        </w:tc>
        <w:tc>
          <w:tcPr>
            <w:tcW w:w="851" w:type="dxa"/>
          </w:tcPr>
          <w:p w14:paraId="0378AF01"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2.91</w:t>
            </w:r>
          </w:p>
        </w:tc>
        <w:tc>
          <w:tcPr>
            <w:tcW w:w="850" w:type="dxa"/>
          </w:tcPr>
          <w:p w14:paraId="47DE608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2.79</w:t>
            </w:r>
          </w:p>
        </w:tc>
      </w:tr>
      <w:tr w:rsidR="00432CDD" w:rsidRPr="00BF295E" w14:paraId="6161230A" w14:textId="77777777" w:rsidTr="00F44A15">
        <w:trPr>
          <w:trHeight w:val="299"/>
          <w:jc w:val="center"/>
        </w:trPr>
        <w:tc>
          <w:tcPr>
            <w:tcW w:w="1984" w:type="dxa"/>
            <w:shd w:val="clear" w:color="auto" w:fill="auto"/>
            <w:vAlign w:val="center"/>
          </w:tcPr>
          <w:p w14:paraId="3C1FE69D"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0.9</w:t>
            </w:r>
          </w:p>
        </w:tc>
        <w:tc>
          <w:tcPr>
            <w:tcW w:w="851" w:type="dxa"/>
            <w:vAlign w:val="center"/>
          </w:tcPr>
          <w:p w14:paraId="2EDEF28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1.264</w:t>
            </w:r>
          </w:p>
        </w:tc>
        <w:tc>
          <w:tcPr>
            <w:tcW w:w="781" w:type="dxa"/>
          </w:tcPr>
          <w:p w14:paraId="3A0BB2B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1.259</w:t>
            </w:r>
          </w:p>
        </w:tc>
        <w:tc>
          <w:tcPr>
            <w:tcW w:w="778" w:type="dxa"/>
          </w:tcPr>
          <w:p w14:paraId="6DD3BF64"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1.255</w:t>
            </w:r>
          </w:p>
        </w:tc>
        <w:tc>
          <w:tcPr>
            <w:tcW w:w="851" w:type="dxa"/>
            <w:shd w:val="clear" w:color="auto" w:fill="auto"/>
          </w:tcPr>
          <w:p w14:paraId="6F623FE8"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1.237</w:t>
            </w:r>
          </w:p>
        </w:tc>
        <w:tc>
          <w:tcPr>
            <w:tcW w:w="852" w:type="dxa"/>
            <w:vAlign w:val="center"/>
          </w:tcPr>
          <w:p w14:paraId="273AACBB"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3.74</w:t>
            </w:r>
          </w:p>
        </w:tc>
        <w:tc>
          <w:tcPr>
            <w:tcW w:w="850" w:type="dxa"/>
          </w:tcPr>
          <w:p w14:paraId="110148BE"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3.28</w:t>
            </w:r>
          </w:p>
        </w:tc>
        <w:tc>
          <w:tcPr>
            <w:tcW w:w="851" w:type="dxa"/>
          </w:tcPr>
          <w:p w14:paraId="79506D7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2.98</w:t>
            </w:r>
          </w:p>
        </w:tc>
        <w:tc>
          <w:tcPr>
            <w:tcW w:w="850" w:type="dxa"/>
          </w:tcPr>
          <w:p w14:paraId="1D83B91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2.86</w:t>
            </w:r>
          </w:p>
        </w:tc>
      </w:tr>
      <w:tr w:rsidR="00432CDD" w:rsidRPr="00BF295E" w14:paraId="1CC9BB9D" w14:textId="77777777" w:rsidTr="00F44A15">
        <w:trPr>
          <w:trHeight w:val="276"/>
          <w:jc w:val="center"/>
        </w:trPr>
        <w:tc>
          <w:tcPr>
            <w:tcW w:w="1984" w:type="dxa"/>
            <w:shd w:val="clear" w:color="auto" w:fill="auto"/>
          </w:tcPr>
          <w:p w14:paraId="668A157D" w14:textId="77777777" w:rsidR="00432CDD" w:rsidRPr="00BF295E" w:rsidRDefault="00432CDD" w:rsidP="00F26D1D">
            <w:pPr>
              <w:spacing w:after="0" w:line="276" w:lineRule="auto"/>
              <w:jc w:val="center"/>
              <w:rPr>
                <w:rFonts w:ascii="Arial" w:hAnsi="Arial" w:cs="Arial"/>
                <w:bCs/>
                <w:sz w:val="20"/>
                <w:szCs w:val="20"/>
                <w:lang w:val="en-US"/>
              </w:rPr>
            </w:pPr>
            <w:r w:rsidRPr="00BF295E">
              <w:rPr>
                <w:rFonts w:ascii="Arial" w:hAnsi="Arial" w:cs="Arial"/>
                <w:bCs/>
                <w:sz w:val="20"/>
                <w:szCs w:val="20"/>
                <w:lang w:val="en-US"/>
              </w:rPr>
              <w:t>100</w:t>
            </w:r>
            <w:r w:rsidRPr="00BF295E">
              <w:rPr>
                <w:rFonts w:ascii="Arial" w:hAnsi="Arial" w:cs="Arial"/>
                <w:bCs/>
                <w:sz w:val="20"/>
                <w:szCs w:val="20"/>
              </w:rPr>
              <w:t xml:space="preserve"> </w:t>
            </w:r>
            <w:r w:rsidRPr="00BF295E">
              <w:rPr>
                <w:rFonts w:ascii="Arial" w:hAnsi="Arial" w:cs="Arial"/>
                <w:bCs/>
                <w:sz w:val="20"/>
                <w:szCs w:val="20"/>
                <w:lang w:val="en-US"/>
              </w:rPr>
              <w:t>:</w:t>
            </w:r>
            <w:r w:rsidRPr="00BF295E">
              <w:rPr>
                <w:rFonts w:ascii="Arial" w:hAnsi="Arial" w:cs="Arial"/>
                <w:bCs/>
                <w:sz w:val="20"/>
                <w:szCs w:val="20"/>
              </w:rPr>
              <w:t xml:space="preserve"> </w:t>
            </w:r>
            <w:r w:rsidRPr="00BF295E">
              <w:rPr>
                <w:rFonts w:ascii="Arial" w:hAnsi="Arial" w:cs="Arial"/>
                <w:bCs/>
                <w:sz w:val="20"/>
                <w:szCs w:val="20"/>
                <w:lang w:val="en-US"/>
              </w:rPr>
              <w:t>1.0</w:t>
            </w:r>
          </w:p>
        </w:tc>
        <w:tc>
          <w:tcPr>
            <w:tcW w:w="851" w:type="dxa"/>
            <w:vAlign w:val="center"/>
          </w:tcPr>
          <w:p w14:paraId="5A675AF6"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1.272</w:t>
            </w:r>
          </w:p>
        </w:tc>
        <w:tc>
          <w:tcPr>
            <w:tcW w:w="781" w:type="dxa"/>
          </w:tcPr>
          <w:p w14:paraId="4A19878D"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1.264</w:t>
            </w:r>
          </w:p>
        </w:tc>
        <w:tc>
          <w:tcPr>
            <w:tcW w:w="778" w:type="dxa"/>
          </w:tcPr>
          <w:p w14:paraId="5072138C"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1.259</w:t>
            </w:r>
          </w:p>
        </w:tc>
        <w:tc>
          <w:tcPr>
            <w:tcW w:w="851" w:type="dxa"/>
            <w:shd w:val="clear" w:color="auto" w:fill="auto"/>
          </w:tcPr>
          <w:p w14:paraId="4364CE35"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1.248</w:t>
            </w:r>
          </w:p>
        </w:tc>
        <w:tc>
          <w:tcPr>
            <w:tcW w:w="852" w:type="dxa"/>
            <w:vAlign w:val="center"/>
          </w:tcPr>
          <w:p w14:paraId="0D4793C2"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3.83</w:t>
            </w:r>
          </w:p>
        </w:tc>
        <w:tc>
          <w:tcPr>
            <w:tcW w:w="850" w:type="dxa"/>
          </w:tcPr>
          <w:p w14:paraId="0DFC3E6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3.34</w:t>
            </w:r>
          </w:p>
        </w:tc>
        <w:tc>
          <w:tcPr>
            <w:tcW w:w="851" w:type="dxa"/>
          </w:tcPr>
          <w:p w14:paraId="20F3202F"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3.07</w:t>
            </w:r>
          </w:p>
        </w:tc>
        <w:tc>
          <w:tcPr>
            <w:tcW w:w="850" w:type="dxa"/>
          </w:tcPr>
          <w:p w14:paraId="2A265CFA" w14:textId="77777777" w:rsidR="00432CDD" w:rsidRPr="00BF295E" w:rsidRDefault="00432CDD" w:rsidP="00F26D1D">
            <w:pPr>
              <w:spacing w:after="0" w:line="276" w:lineRule="auto"/>
              <w:jc w:val="center"/>
              <w:rPr>
                <w:rFonts w:ascii="Arial" w:hAnsi="Arial" w:cs="Arial"/>
                <w:sz w:val="20"/>
                <w:szCs w:val="20"/>
                <w:lang w:val="en-US"/>
              </w:rPr>
            </w:pPr>
            <w:r w:rsidRPr="00BF295E">
              <w:rPr>
                <w:rFonts w:ascii="Arial" w:hAnsi="Arial" w:cs="Arial"/>
                <w:sz w:val="20"/>
                <w:szCs w:val="20"/>
                <w:lang w:val="en-US"/>
              </w:rPr>
              <w:t>2.94</w:t>
            </w:r>
          </w:p>
        </w:tc>
      </w:tr>
    </w:tbl>
    <w:p w14:paraId="022F32E2" w14:textId="77777777" w:rsidR="00432CDD" w:rsidRPr="00BF295E" w:rsidRDefault="00432CDD" w:rsidP="00F26D1D">
      <w:pPr>
        <w:spacing w:line="276" w:lineRule="auto"/>
        <w:rPr>
          <w:rFonts w:ascii="Arial" w:hAnsi="Arial" w:cs="Arial"/>
          <w:sz w:val="20"/>
          <w:szCs w:val="20"/>
          <w:lang w:val="en-US"/>
        </w:rPr>
      </w:pPr>
    </w:p>
    <w:p w14:paraId="67BFA818" w14:textId="77777777"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 xml:space="preserve">The experimental data obtained from the physicochemical assessments were thoroughly analyzed to identify the optimal hydroquinone-to-urea ratio. Among the tested formulations, the ratio of </w:t>
      </w:r>
      <w:r w:rsidRPr="00BF295E">
        <w:rPr>
          <w:rFonts w:ascii="Arial" w:hAnsi="Arial" w:cs="Arial"/>
          <w:sz w:val="20"/>
          <w:szCs w:val="20"/>
          <w:lang w:val="en-US"/>
        </w:rPr>
        <w:lastRenderedPageBreak/>
        <w:t>100:0.5 (urea to hydroquinone) was determined to provide the most favorable balance of physical properties and controlled-release characteristics.</w:t>
      </w:r>
    </w:p>
    <w:p w14:paraId="3EA09011" w14:textId="77777777"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Subsequently, the encapsulated fertilizer synthesized at this optimal ratio underwent detailed characterization through Infrared (IR) spectroscopy and Scanning Electron Microscopy (SEM) analyses. The IR spectra confirmed the successful incorporation of hydroquinone within the polymer matrix, as evidenced by characteristic absorption bands corresponding to functional groups related to both urea and hydroquinone moieties.</w:t>
      </w:r>
    </w:p>
    <w:p w14:paraId="30C3A382" w14:textId="77777777"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SEM imaging revealed a uniform and continuous coating layer enveloping the fertilizer granules, with minimal surface defects or cracks, indicating high coating integrity. This morphological evidence supports the formulation’s potential for enhanced mechanical stability and controlled nutrient release.</w:t>
      </w:r>
    </w:p>
    <w:p w14:paraId="5C648911" w14:textId="77777777" w:rsidR="00E51C7B" w:rsidRPr="00BF295E" w:rsidRDefault="00E51C7B" w:rsidP="00F26D1D">
      <w:pPr>
        <w:pStyle w:val="NormalWeb"/>
        <w:spacing w:line="276" w:lineRule="auto"/>
        <w:ind w:firstLine="708"/>
        <w:rPr>
          <w:rFonts w:ascii="Arial" w:hAnsi="Arial" w:cs="Arial"/>
          <w:sz w:val="20"/>
          <w:szCs w:val="20"/>
          <w:lang w:val="en-US"/>
        </w:rPr>
      </w:pPr>
      <w:r w:rsidRPr="00BF295E">
        <w:rPr>
          <w:rFonts w:ascii="Arial" w:hAnsi="Arial" w:cs="Arial"/>
          <w:sz w:val="20"/>
          <w:szCs w:val="20"/>
          <w:lang w:val="en-US"/>
        </w:rPr>
        <w:t>Overall, these results provide positive confirmation of the effectiveness of the selected formulation and validate its suitability for further development as a slow-release fertilizer product.</w:t>
      </w:r>
    </w:p>
    <w:p w14:paraId="17EB3F06" w14:textId="77777777" w:rsidR="00432CDD" w:rsidRDefault="00E51C7B" w:rsidP="00F26D1D">
      <w:pPr>
        <w:pStyle w:val="NormalWeb"/>
        <w:spacing w:line="276" w:lineRule="auto"/>
        <w:rPr>
          <w:rFonts w:ascii="Arial" w:hAnsi="Arial" w:cs="Arial"/>
          <w:sz w:val="20"/>
          <w:szCs w:val="20"/>
          <w:lang w:val="en-US"/>
        </w:rPr>
      </w:pPr>
      <w:r w:rsidRPr="00BF295E">
        <w:rPr>
          <w:rFonts w:ascii="Arial" w:hAnsi="Arial" w:cs="Arial"/>
          <w:noProof/>
          <w:sz w:val="20"/>
          <w:szCs w:val="20"/>
        </w:rPr>
        <w:drawing>
          <wp:inline distT="0" distB="0" distL="0" distR="0" wp14:anchorId="2BBF9B62" wp14:editId="17AA7C25">
            <wp:extent cx="5695950" cy="2172335"/>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srcRect/>
                    <a:stretch>
                      <a:fillRect/>
                    </a:stretch>
                  </pic:blipFill>
                  <pic:spPr bwMode="auto">
                    <a:xfrm>
                      <a:off x="0" y="0"/>
                      <a:ext cx="5695950" cy="2172335"/>
                    </a:xfrm>
                    <a:prstGeom prst="rect">
                      <a:avLst/>
                    </a:prstGeom>
                    <a:noFill/>
                    <a:ln w="9525">
                      <a:noFill/>
                      <a:miter lim="800000"/>
                      <a:headEnd/>
                      <a:tailEnd/>
                    </a:ln>
                  </pic:spPr>
                </pic:pic>
              </a:graphicData>
            </a:graphic>
          </wp:inline>
        </w:drawing>
      </w:r>
    </w:p>
    <w:p w14:paraId="1CB3C7D0" w14:textId="210EE538" w:rsidR="00AC4401" w:rsidRPr="00336103" w:rsidRDefault="00AC4401" w:rsidP="00F26D1D">
      <w:pPr>
        <w:pStyle w:val="NormalWeb"/>
        <w:spacing w:line="276" w:lineRule="auto"/>
        <w:rPr>
          <w:rFonts w:ascii="Arial" w:hAnsi="Arial" w:cs="Arial"/>
          <w:b/>
          <w:bCs/>
          <w:sz w:val="20"/>
          <w:szCs w:val="20"/>
          <w:lang w:val="en-US"/>
        </w:rPr>
      </w:pPr>
      <w:r w:rsidRPr="00336103">
        <w:rPr>
          <w:rFonts w:ascii="Arial" w:hAnsi="Arial" w:cs="Arial"/>
          <w:b/>
          <w:bCs/>
          <w:sz w:val="20"/>
          <w:szCs w:val="20"/>
          <w:lang w:val="en-US"/>
        </w:rPr>
        <w:t xml:space="preserve">Graph 1: </w:t>
      </w:r>
      <w:r w:rsidR="00330B07" w:rsidRPr="00336103">
        <w:rPr>
          <w:rFonts w:ascii="Arial" w:hAnsi="Arial" w:cs="Arial"/>
          <w:b/>
          <w:bCs/>
          <w:sz w:val="20"/>
          <w:szCs w:val="20"/>
          <w:lang w:val="en-US"/>
        </w:rPr>
        <w:t>IR spectroscopic image of urea and hydroquinone in a 100:0.5 ratio</w:t>
      </w:r>
    </w:p>
    <w:p w14:paraId="36DD8799" w14:textId="77777777" w:rsidR="005272B5" w:rsidRPr="00BF295E" w:rsidRDefault="00E51C7B" w:rsidP="00F26D1D">
      <w:pPr>
        <w:spacing w:before="100" w:beforeAutospacing="1" w:after="100" w:afterAutospacing="1" w:line="276" w:lineRule="auto"/>
        <w:ind w:firstLine="708"/>
        <w:rPr>
          <w:rFonts w:ascii="Arial" w:eastAsia="Times New Roman" w:hAnsi="Arial" w:cs="Arial"/>
          <w:sz w:val="20"/>
          <w:szCs w:val="20"/>
          <w:lang w:val="en-US" w:eastAsia="ru-RU"/>
        </w:rPr>
      </w:pPr>
      <w:r w:rsidRPr="00BF295E">
        <w:rPr>
          <w:rFonts w:ascii="Arial" w:eastAsia="Times New Roman" w:hAnsi="Arial" w:cs="Arial"/>
          <w:sz w:val="20"/>
          <w:szCs w:val="20"/>
          <w:lang w:val="en-US" w:eastAsia="ru-RU"/>
        </w:rPr>
        <w:t>The IR spectroscopic image above is the IR spectroscopic image of urea and hydroquinone in a 100:0.5 ratio. Between the IR spectroscopic images of urea and urea-hydroquinone, it was observed that a new band was formed at 598.81 cm-1 between the frequencies of 716.66 cm-1 and 571.00 cm-1 and that the band gap changed from 3330.11 cm-1 to 3329.07 cm-1, from 1676.18 to 1674.55 cm-1, from 1589.39 cm-1 to 1588.88 cm-1, and from 1051.68 cm-1 to 1058.62 cm-1.</w:t>
      </w:r>
    </w:p>
    <w:p w14:paraId="6BA7B7D2" w14:textId="77777777" w:rsidR="00E51C7B" w:rsidRPr="00BF295E" w:rsidRDefault="00E51C7B" w:rsidP="00F26D1D">
      <w:pPr>
        <w:spacing w:before="100" w:beforeAutospacing="1" w:after="100" w:afterAutospacing="1" w:line="276" w:lineRule="auto"/>
        <w:rPr>
          <w:rFonts w:ascii="Arial" w:eastAsia="Times New Roman" w:hAnsi="Arial" w:cs="Arial"/>
          <w:sz w:val="20"/>
          <w:szCs w:val="20"/>
          <w:lang w:val="en-US" w:eastAsia="ru-RU"/>
        </w:rPr>
      </w:pPr>
    </w:p>
    <w:p w14:paraId="1C43D8D2" w14:textId="77777777" w:rsidR="00E51C7B" w:rsidRDefault="00E51C7B"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lastRenderedPageBreak/>
        <w:drawing>
          <wp:inline distT="0" distB="0" distL="0" distR="0" wp14:anchorId="7CE44946" wp14:editId="5CDBF8BD">
            <wp:extent cx="5743575" cy="2724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22" t="12542" r="2191" b="5930"/>
                    <a:stretch/>
                  </pic:blipFill>
                  <pic:spPr bwMode="auto">
                    <a:xfrm>
                      <a:off x="0" y="0"/>
                      <a:ext cx="5743575" cy="2724150"/>
                    </a:xfrm>
                    <a:prstGeom prst="rect">
                      <a:avLst/>
                    </a:prstGeom>
                    <a:ln>
                      <a:noFill/>
                    </a:ln>
                    <a:extLst>
                      <a:ext uri="{53640926-AAD7-44D8-BBD7-CCE9431645EC}">
                        <a14:shadowObscured xmlns:a14="http://schemas.microsoft.com/office/drawing/2010/main"/>
                      </a:ext>
                    </a:extLst>
                  </pic:spPr>
                </pic:pic>
              </a:graphicData>
            </a:graphic>
          </wp:inline>
        </w:drawing>
      </w:r>
    </w:p>
    <w:p w14:paraId="6DD74B72" w14:textId="675FEC3F" w:rsidR="00AC4401" w:rsidRPr="00B70458" w:rsidRDefault="00AC4401" w:rsidP="00F26D1D">
      <w:pPr>
        <w:spacing w:before="100" w:beforeAutospacing="1" w:after="100" w:afterAutospacing="1" w:line="276" w:lineRule="auto"/>
        <w:rPr>
          <w:rFonts w:ascii="Arial" w:eastAsia="Times New Roman" w:hAnsi="Arial" w:cs="Arial"/>
          <w:b/>
          <w:bCs/>
          <w:sz w:val="20"/>
          <w:szCs w:val="20"/>
          <w:lang w:val="en-US" w:eastAsia="ru-RU"/>
        </w:rPr>
      </w:pPr>
      <w:r w:rsidRPr="00B70458">
        <w:rPr>
          <w:rFonts w:ascii="Arial" w:eastAsia="Times New Roman" w:hAnsi="Arial" w:cs="Arial"/>
          <w:b/>
          <w:bCs/>
          <w:sz w:val="20"/>
          <w:szCs w:val="20"/>
          <w:lang w:val="en-US" w:eastAsia="ru-RU"/>
        </w:rPr>
        <w:t xml:space="preserve">Graph 2: </w:t>
      </w:r>
      <w:r w:rsidR="00EB2F55" w:rsidRPr="00B70458">
        <w:rPr>
          <w:rFonts w:ascii="Arial" w:eastAsia="Times New Roman" w:hAnsi="Arial" w:cs="Arial"/>
          <w:b/>
          <w:bCs/>
          <w:sz w:val="20"/>
          <w:szCs w:val="20"/>
          <w:lang w:val="en-US" w:eastAsia="ru-RU"/>
        </w:rPr>
        <w:t xml:space="preserve">SEM Analysis </w:t>
      </w:r>
    </w:p>
    <w:p w14:paraId="41D2824A" w14:textId="77777777" w:rsidR="00AC4401" w:rsidRPr="00BF295E" w:rsidRDefault="00AC4401" w:rsidP="00F26D1D">
      <w:pPr>
        <w:spacing w:before="100" w:beforeAutospacing="1" w:after="100" w:afterAutospacing="1" w:line="276" w:lineRule="auto"/>
        <w:rPr>
          <w:rFonts w:ascii="Arial" w:eastAsia="Times New Roman" w:hAnsi="Arial" w:cs="Arial"/>
          <w:sz w:val="20"/>
          <w:szCs w:val="20"/>
          <w:lang w:val="en-US" w:eastAsia="ru-RU"/>
        </w:rPr>
      </w:pPr>
    </w:p>
    <w:p w14:paraId="71E1A88F" w14:textId="569C7E96" w:rsidR="001D7FE4" w:rsidRPr="00F26D1D" w:rsidRDefault="00F26D1D" w:rsidP="00F26D1D">
      <w:pPr>
        <w:spacing w:line="276" w:lineRule="auto"/>
        <w:jc w:val="center"/>
        <w:rPr>
          <w:rFonts w:ascii="Arial" w:hAnsi="Arial" w:cs="Arial"/>
          <w:b/>
          <w:sz w:val="20"/>
          <w:szCs w:val="20"/>
          <w:lang w:val="en-US"/>
        </w:rPr>
      </w:pPr>
      <w:r w:rsidRPr="00D95F14">
        <w:rPr>
          <w:rFonts w:ascii="Arial" w:hAnsi="Arial" w:cs="Arial"/>
          <w:b/>
          <w:sz w:val="20"/>
          <w:szCs w:val="20"/>
          <w:lang w:val="en-US"/>
        </w:rPr>
        <w:t xml:space="preserve">Figure 1. Scanning Electron Microscopy (SEM) of </w:t>
      </w:r>
      <w:proofErr w:type="gramStart"/>
      <w:r>
        <w:rPr>
          <w:rFonts w:ascii="Arial" w:hAnsi="Arial" w:cs="Arial"/>
          <w:b/>
          <w:sz w:val="20"/>
          <w:szCs w:val="20"/>
          <w:lang w:val="en-US"/>
        </w:rPr>
        <w:t>ure</w:t>
      </w:r>
      <w:r w:rsidR="00AC4401">
        <w:rPr>
          <w:rFonts w:ascii="Arial" w:hAnsi="Arial" w:cs="Arial"/>
          <w:b/>
          <w:sz w:val="20"/>
          <w:szCs w:val="20"/>
          <w:lang w:val="en-US"/>
        </w:rPr>
        <w:t xml:space="preserve">a </w:t>
      </w:r>
      <w:r w:rsidR="00AC4401" w:rsidRPr="00AC4401">
        <w:rPr>
          <w:rFonts w:ascii="Arial" w:hAnsi="Arial" w:cs="Arial"/>
          <w:b/>
          <w:sz w:val="20"/>
          <w:szCs w:val="20"/>
          <w:lang w:val="en-US"/>
        </w:rPr>
        <w:t xml:space="preserve"> (</w:t>
      </w:r>
      <w:proofErr w:type="spellStart"/>
      <w:proofErr w:type="gramEnd"/>
      <w:r w:rsidR="00AC4401" w:rsidRPr="00AC4401">
        <w:rPr>
          <w:rFonts w:ascii="Arial" w:hAnsi="Arial" w:cs="Arial"/>
          <w:b/>
          <w:sz w:val="20"/>
          <w:szCs w:val="20"/>
          <w:lang w:val="en-US"/>
        </w:rPr>
        <w:t>a,b,c,d</w:t>
      </w:r>
      <w:proofErr w:type="spellEnd"/>
      <w:r w:rsidR="00AC4401" w:rsidRPr="00AC4401">
        <w:rPr>
          <w:rFonts w:ascii="Arial" w:hAnsi="Arial" w:cs="Arial"/>
          <w:b/>
          <w:sz w:val="20"/>
          <w:szCs w:val="20"/>
          <w:lang w:val="en-US"/>
        </w:rPr>
        <w:t>)</w:t>
      </w:r>
    </w:p>
    <w:p w14:paraId="790C5F98" w14:textId="77777777" w:rsidR="005272B5" w:rsidRPr="00BF295E" w:rsidRDefault="00BF295E"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drawing>
          <wp:anchor distT="0" distB="0" distL="114300" distR="114300" simplePos="0" relativeHeight="251661312" behindDoc="0" locked="0" layoutInCell="1" allowOverlap="1" wp14:anchorId="7DE263AA" wp14:editId="49ED8606">
            <wp:simplePos x="0" y="0"/>
            <wp:positionH relativeFrom="margin">
              <wp:align>right</wp:align>
            </wp:positionH>
            <wp:positionV relativeFrom="paragraph">
              <wp:posOffset>13335</wp:posOffset>
            </wp:positionV>
            <wp:extent cx="2762250" cy="2266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456" t="13968" r="26403" b="18187"/>
                    <a:stretch/>
                  </pic:blipFill>
                  <pic:spPr bwMode="auto">
                    <a:xfrm>
                      <a:off x="0" y="0"/>
                      <a:ext cx="2762250" cy="2266950"/>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hAnsi="Arial" w:cs="Arial"/>
          <w:noProof/>
          <w:sz w:val="20"/>
          <w:szCs w:val="20"/>
          <w:lang w:eastAsia="ru-RU"/>
        </w:rPr>
        <w:drawing>
          <wp:anchor distT="0" distB="0" distL="114300" distR="114300" simplePos="0" relativeHeight="251660288" behindDoc="0" locked="0" layoutInCell="1" allowOverlap="1" wp14:anchorId="06FAE80B" wp14:editId="7E5CD1E7">
            <wp:simplePos x="1076325" y="723900"/>
            <wp:positionH relativeFrom="column">
              <wp:align>left</wp:align>
            </wp:positionH>
            <wp:positionV relativeFrom="paragraph">
              <wp:align>top</wp:align>
            </wp:positionV>
            <wp:extent cx="2800350" cy="2247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96" t="14539" r="26563" b="18186"/>
                    <a:stretch/>
                  </pic:blipFill>
                  <pic:spPr bwMode="auto">
                    <a:xfrm>
                      <a:off x="0" y="0"/>
                      <a:ext cx="2800350" cy="2247900"/>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eastAsia="Times New Roman" w:hAnsi="Arial" w:cs="Arial"/>
          <w:sz w:val="20"/>
          <w:szCs w:val="20"/>
          <w:lang w:val="en-US" w:eastAsia="ru-RU"/>
        </w:rPr>
        <w:br w:type="textWrapping" w:clear="all"/>
        <w:t xml:space="preserve">(a)                                                                                            </w:t>
      </w:r>
      <w:proofErr w:type="gramStart"/>
      <w:r w:rsidRPr="00BF295E">
        <w:rPr>
          <w:rFonts w:ascii="Arial" w:eastAsia="Times New Roman" w:hAnsi="Arial" w:cs="Arial"/>
          <w:sz w:val="20"/>
          <w:szCs w:val="20"/>
          <w:lang w:val="en-US" w:eastAsia="ru-RU"/>
        </w:rPr>
        <w:t xml:space="preserve">   (</w:t>
      </w:r>
      <w:proofErr w:type="gramEnd"/>
      <w:r w:rsidRPr="00BF295E">
        <w:rPr>
          <w:rFonts w:ascii="Arial" w:eastAsia="Times New Roman" w:hAnsi="Arial" w:cs="Arial"/>
          <w:sz w:val="20"/>
          <w:szCs w:val="20"/>
          <w:lang w:val="en-US" w:eastAsia="ru-RU"/>
        </w:rPr>
        <w:t>b)</w:t>
      </w:r>
    </w:p>
    <w:p w14:paraId="6ABC4EEA" w14:textId="77777777" w:rsidR="00BF295E" w:rsidRPr="00BF295E" w:rsidRDefault="00BF295E" w:rsidP="00F26D1D">
      <w:pPr>
        <w:spacing w:before="100" w:beforeAutospacing="1" w:after="100" w:afterAutospacing="1" w:line="276" w:lineRule="auto"/>
        <w:rPr>
          <w:rFonts w:ascii="Arial" w:eastAsia="Times New Roman" w:hAnsi="Arial" w:cs="Arial"/>
          <w:sz w:val="20"/>
          <w:szCs w:val="20"/>
          <w:lang w:val="en-US" w:eastAsia="ru-RU"/>
        </w:rPr>
      </w:pPr>
    </w:p>
    <w:p w14:paraId="552C5B38" w14:textId="77777777" w:rsidR="00E51C7B" w:rsidRPr="00BF295E" w:rsidRDefault="00E51C7B" w:rsidP="00F26D1D">
      <w:pPr>
        <w:spacing w:before="100" w:beforeAutospacing="1" w:after="100" w:afterAutospacing="1" w:line="276" w:lineRule="auto"/>
        <w:rPr>
          <w:rFonts w:ascii="Arial" w:eastAsia="Times New Roman" w:hAnsi="Arial" w:cs="Arial"/>
          <w:sz w:val="20"/>
          <w:szCs w:val="20"/>
          <w:lang w:val="en-US" w:eastAsia="ru-RU"/>
        </w:rPr>
      </w:pPr>
      <w:r w:rsidRPr="00BF295E">
        <w:rPr>
          <w:rFonts w:ascii="Arial" w:hAnsi="Arial" w:cs="Arial"/>
          <w:noProof/>
          <w:sz w:val="20"/>
          <w:szCs w:val="20"/>
          <w:lang w:eastAsia="ru-RU"/>
        </w:rPr>
        <w:drawing>
          <wp:anchor distT="0" distB="0" distL="114300" distR="114300" simplePos="0" relativeHeight="251659264" behindDoc="0" locked="0" layoutInCell="1" allowOverlap="1" wp14:anchorId="618B685A" wp14:editId="4057AB8B">
            <wp:simplePos x="0" y="0"/>
            <wp:positionH relativeFrom="margin">
              <wp:align>right</wp:align>
            </wp:positionH>
            <wp:positionV relativeFrom="paragraph">
              <wp:posOffset>13335</wp:posOffset>
            </wp:positionV>
            <wp:extent cx="2800350" cy="22574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296" t="13397" r="26564" b="19043"/>
                    <a:stretch/>
                  </pic:blipFill>
                  <pic:spPr bwMode="auto">
                    <a:xfrm>
                      <a:off x="0" y="0"/>
                      <a:ext cx="2800350" cy="2257425"/>
                    </a:xfrm>
                    <a:prstGeom prst="rect">
                      <a:avLst/>
                    </a:prstGeom>
                    <a:ln>
                      <a:noFill/>
                    </a:ln>
                    <a:extLst>
                      <a:ext uri="{53640926-AAD7-44D8-BBD7-CCE9431645EC}">
                        <a14:shadowObscured xmlns:a14="http://schemas.microsoft.com/office/drawing/2010/main"/>
                      </a:ext>
                    </a:extLst>
                  </pic:spPr>
                </pic:pic>
              </a:graphicData>
            </a:graphic>
          </wp:anchor>
        </w:drawing>
      </w:r>
      <w:r w:rsidRPr="00BF295E">
        <w:rPr>
          <w:rFonts w:ascii="Arial" w:hAnsi="Arial" w:cs="Arial"/>
          <w:noProof/>
          <w:sz w:val="20"/>
          <w:szCs w:val="20"/>
          <w:lang w:eastAsia="ru-RU"/>
        </w:rPr>
        <w:drawing>
          <wp:anchor distT="0" distB="0" distL="114300" distR="114300" simplePos="0" relativeHeight="251658240" behindDoc="0" locked="0" layoutInCell="1" allowOverlap="1" wp14:anchorId="7759F7F0" wp14:editId="4CB113F6">
            <wp:simplePos x="1076325" y="723900"/>
            <wp:positionH relativeFrom="column">
              <wp:align>left</wp:align>
            </wp:positionH>
            <wp:positionV relativeFrom="paragraph">
              <wp:align>top</wp:align>
            </wp:positionV>
            <wp:extent cx="2819400" cy="22383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5975" t="14253" r="26563" b="18757"/>
                    <a:stretch/>
                  </pic:blipFill>
                  <pic:spPr bwMode="auto">
                    <a:xfrm>
                      <a:off x="0" y="0"/>
                      <a:ext cx="2819400" cy="2238375"/>
                    </a:xfrm>
                    <a:prstGeom prst="rect">
                      <a:avLst/>
                    </a:prstGeom>
                    <a:ln>
                      <a:noFill/>
                    </a:ln>
                    <a:extLst>
                      <a:ext uri="{53640926-AAD7-44D8-BBD7-CCE9431645EC}">
                        <a14:shadowObscured xmlns:a14="http://schemas.microsoft.com/office/drawing/2010/main"/>
                      </a:ext>
                    </a:extLst>
                  </pic:spPr>
                </pic:pic>
              </a:graphicData>
            </a:graphic>
          </wp:anchor>
        </w:drawing>
      </w:r>
    </w:p>
    <w:p w14:paraId="21B468FC" w14:textId="77777777" w:rsidR="005272B5" w:rsidRPr="00BF295E" w:rsidRDefault="00E51C7B" w:rsidP="00F26D1D">
      <w:pPr>
        <w:spacing w:before="100" w:beforeAutospacing="1" w:after="100" w:afterAutospacing="1" w:line="276" w:lineRule="auto"/>
        <w:ind w:firstLine="708"/>
        <w:rPr>
          <w:rFonts w:ascii="Arial" w:eastAsia="Times New Roman" w:hAnsi="Arial" w:cs="Arial"/>
          <w:sz w:val="20"/>
          <w:szCs w:val="20"/>
          <w:lang w:val="en-US" w:eastAsia="ru-RU"/>
        </w:rPr>
      </w:pPr>
      <w:r w:rsidRPr="00BF295E">
        <w:rPr>
          <w:rFonts w:ascii="Arial" w:eastAsia="Times New Roman" w:hAnsi="Arial" w:cs="Arial"/>
          <w:sz w:val="20"/>
          <w:szCs w:val="20"/>
          <w:lang w:val="en-US" w:eastAsia="ru-RU"/>
        </w:rPr>
        <w:br w:type="textWrapping" w:clear="all"/>
      </w:r>
      <w:r w:rsidR="00BF295E" w:rsidRPr="00BF295E">
        <w:rPr>
          <w:rFonts w:ascii="Arial" w:eastAsia="Times New Roman" w:hAnsi="Arial" w:cs="Arial"/>
          <w:sz w:val="20"/>
          <w:szCs w:val="20"/>
          <w:lang w:val="en-US" w:eastAsia="ru-RU"/>
        </w:rPr>
        <w:t xml:space="preserve">(c)                                                                                             </w:t>
      </w:r>
      <w:proofErr w:type="gramStart"/>
      <w:r w:rsidR="00BF295E" w:rsidRPr="00BF295E">
        <w:rPr>
          <w:rFonts w:ascii="Arial" w:eastAsia="Times New Roman" w:hAnsi="Arial" w:cs="Arial"/>
          <w:sz w:val="20"/>
          <w:szCs w:val="20"/>
          <w:lang w:val="en-US" w:eastAsia="ru-RU"/>
        </w:rPr>
        <w:t xml:space="preserve">   (</w:t>
      </w:r>
      <w:proofErr w:type="gramEnd"/>
      <w:r w:rsidR="00BF295E" w:rsidRPr="00BF295E">
        <w:rPr>
          <w:rFonts w:ascii="Arial" w:eastAsia="Times New Roman" w:hAnsi="Arial" w:cs="Arial"/>
          <w:sz w:val="20"/>
          <w:szCs w:val="20"/>
          <w:lang w:val="en-US" w:eastAsia="ru-RU"/>
        </w:rPr>
        <w:t>d)</w:t>
      </w:r>
    </w:p>
    <w:p w14:paraId="3A7D4F36" w14:textId="77777777" w:rsidR="005272B5" w:rsidRPr="00BF295E" w:rsidRDefault="005272B5" w:rsidP="00F26D1D">
      <w:pPr>
        <w:spacing w:before="100" w:beforeAutospacing="1" w:after="100" w:afterAutospacing="1" w:line="276" w:lineRule="auto"/>
        <w:rPr>
          <w:rFonts w:ascii="Arial" w:eastAsia="Times New Roman" w:hAnsi="Arial" w:cs="Arial"/>
          <w:sz w:val="20"/>
          <w:szCs w:val="20"/>
          <w:lang w:val="en-US" w:eastAsia="ru-RU"/>
        </w:rPr>
      </w:pPr>
    </w:p>
    <w:p w14:paraId="7454B0BE" w14:textId="77777777" w:rsidR="00E51C7B" w:rsidRPr="00BF295E" w:rsidRDefault="00E51C7B" w:rsidP="00F26D1D">
      <w:pPr>
        <w:spacing w:before="100" w:beforeAutospacing="1" w:after="100" w:afterAutospacing="1" w:line="276" w:lineRule="auto"/>
        <w:jc w:val="both"/>
        <w:rPr>
          <w:rFonts w:ascii="Arial" w:eastAsia="Times New Roman" w:hAnsi="Arial" w:cs="Arial"/>
          <w:sz w:val="20"/>
          <w:szCs w:val="20"/>
          <w:lang w:val="en-US" w:eastAsia="ru-RU"/>
        </w:rPr>
      </w:pPr>
    </w:p>
    <w:p w14:paraId="700D58F7" w14:textId="77777777" w:rsidR="005272B5" w:rsidRPr="002B129C" w:rsidRDefault="005272B5" w:rsidP="00F26D1D">
      <w:pPr>
        <w:spacing w:before="100" w:beforeAutospacing="1" w:after="100" w:afterAutospacing="1" w:line="276" w:lineRule="auto"/>
        <w:ind w:left="142"/>
        <w:jc w:val="both"/>
        <w:rPr>
          <w:rFonts w:ascii="Arial" w:eastAsia="Times New Roman" w:hAnsi="Arial" w:cs="Arial"/>
          <w:b/>
          <w:lang w:val="en-US" w:eastAsia="ru-RU"/>
        </w:rPr>
      </w:pPr>
      <w:r w:rsidRPr="00F26D1D">
        <w:rPr>
          <w:rFonts w:ascii="Arial" w:eastAsia="Times New Roman" w:hAnsi="Arial" w:cs="Arial"/>
          <w:b/>
          <w:bCs/>
          <w:lang w:val="en-US" w:eastAsia="ru-RU"/>
        </w:rPr>
        <w:t>CONCLUSION</w:t>
      </w:r>
    </w:p>
    <w:p w14:paraId="4B1AE3F5" w14:textId="77777777" w:rsidR="005272B5" w:rsidRDefault="005272B5" w:rsidP="00F26D1D">
      <w:pPr>
        <w:pStyle w:val="NormalWeb"/>
        <w:spacing w:line="276" w:lineRule="auto"/>
        <w:ind w:left="142" w:firstLine="566"/>
        <w:jc w:val="both"/>
        <w:rPr>
          <w:rFonts w:ascii="Arial" w:hAnsi="Arial" w:cs="Arial"/>
          <w:sz w:val="20"/>
          <w:szCs w:val="20"/>
          <w:lang w:val="en-US"/>
        </w:rPr>
      </w:pPr>
      <w:r w:rsidRPr="00BF295E">
        <w:rPr>
          <w:rFonts w:ascii="Arial" w:hAnsi="Arial" w:cs="Arial"/>
          <w:sz w:val="20"/>
          <w:szCs w:val="20"/>
          <w:lang w:val="en-US"/>
        </w:rPr>
        <w:t xml:space="preserve">The incorporation of hydroquinone into a biodegradable polymer matrix for the encapsulation of urea has demonstrated considerable potential in enhancing the agronomic efficiency of nitrogen fertilizers. Experimental findings confirmed that the resulting formulation effectively reduced nitrogen losses through volatilization and leaching while significantly prolonging the availability of nitrogen in the soil. These improvements are primarily attributed to the dual functionality of the system: the physical barrier provided by the polymer coating and the inhibitory action of hydroquinone on microbial nitrification </w:t>
      </w:r>
      <w:proofErr w:type="spellStart"/>
      <w:r w:rsidRPr="00BF295E">
        <w:rPr>
          <w:rFonts w:ascii="Arial" w:hAnsi="Arial" w:cs="Arial"/>
          <w:sz w:val="20"/>
          <w:szCs w:val="20"/>
          <w:lang w:val="en-US"/>
        </w:rPr>
        <w:t>processes.Moreover</w:t>
      </w:r>
      <w:proofErr w:type="spellEnd"/>
      <w:r w:rsidRPr="00BF295E">
        <w:rPr>
          <w:rFonts w:ascii="Arial" w:hAnsi="Arial" w:cs="Arial"/>
          <w:sz w:val="20"/>
          <w:szCs w:val="20"/>
          <w:lang w:val="en-US"/>
        </w:rPr>
        <w:t xml:space="preserve">, the coated granules exhibited superior structural integrity and mechanical strength, indicating enhanced handling, transport, and storage performance—key attributes for practical agricultural deployment. The controlled-release behavior of the formulation ensures a gradual and sustained supply of nitrogen, aligning nutrient availability with crop demand and minimizing environmental </w:t>
      </w:r>
      <w:proofErr w:type="spellStart"/>
      <w:r w:rsidRPr="00BF295E">
        <w:rPr>
          <w:rFonts w:ascii="Arial" w:hAnsi="Arial" w:cs="Arial"/>
          <w:sz w:val="20"/>
          <w:szCs w:val="20"/>
          <w:lang w:val="en-US"/>
        </w:rPr>
        <w:t>impact.Given</w:t>
      </w:r>
      <w:proofErr w:type="spellEnd"/>
      <w:r w:rsidRPr="00BF295E">
        <w:rPr>
          <w:rFonts w:ascii="Arial" w:hAnsi="Arial" w:cs="Arial"/>
          <w:sz w:val="20"/>
          <w:szCs w:val="20"/>
          <w:lang w:val="en-US"/>
        </w:rPr>
        <w:t xml:space="preserve"> these promising results, the proposed technology represents a viable candidate for large-scale agricultural implementation, particularly in intensive farming systems where nitrogen efficiency and environmental stewardship are of paramount importance. Future research should be directed toward comprehensive </w:t>
      </w:r>
      <w:r w:rsidRPr="00F26D1D">
        <w:rPr>
          <w:rStyle w:val="Strong"/>
          <w:rFonts w:ascii="Arial" w:hAnsi="Arial" w:cs="Arial"/>
          <w:b w:val="0"/>
          <w:sz w:val="20"/>
          <w:szCs w:val="20"/>
          <w:lang w:val="en-US"/>
        </w:rPr>
        <w:t>field evaluations</w:t>
      </w:r>
      <w:r w:rsidRPr="00BF295E">
        <w:rPr>
          <w:rFonts w:ascii="Arial" w:hAnsi="Arial" w:cs="Arial"/>
          <w:sz w:val="20"/>
          <w:szCs w:val="20"/>
          <w:lang w:val="en-US"/>
        </w:rPr>
        <w:t xml:space="preserve"> under varying agro-climatic conditions, as well as </w:t>
      </w:r>
      <w:r w:rsidRPr="00F26D1D">
        <w:rPr>
          <w:rStyle w:val="Strong"/>
          <w:rFonts w:ascii="Arial" w:hAnsi="Arial" w:cs="Arial"/>
          <w:b w:val="0"/>
          <w:sz w:val="20"/>
          <w:szCs w:val="20"/>
          <w:lang w:val="en-US"/>
        </w:rPr>
        <w:t>techno-economic</w:t>
      </w:r>
      <w:r w:rsidRPr="00BF295E">
        <w:rPr>
          <w:rStyle w:val="Strong"/>
          <w:rFonts w:ascii="Arial" w:hAnsi="Arial" w:cs="Arial"/>
          <w:sz w:val="20"/>
          <w:szCs w:val="20"/>
          <w:lang w:val="en-US"/>
        </w:rPr>
        <w:t xml:space="preserve"> </w:t>
      </w:r>
      <w:r w:rsidRPr="00F26D1D">
        <w:rPr>
          <w:rStyle w:val="Strong"/>
          <w:rFonts w:ascii="Arial" w:hAnsi="Arial" w:cs="Arial"/>
          <w:b w:val="0"/>
          <w:sz w:val="20"/>
          <w:szCs w:val="20"/>
          <w:lang w:val="en-US"/>
        </w:rPr>
        <w:t>analysis</w:t>
      </w:r>
      <w:r w:rsidRPr="00BF295E">
        <w:rPr>
          <w:rFonts w:ascii="Arial" w:hAnsi="Arial" w:cs="Arial"/>
          <w:sz w:val="20"/>
          <w:szCs w:val="20"/>
          <w:lang w:val="en-US"/>
        </w:rPr>
        <w:t xml:space="preserve"> and </w:t>
      </w:r>
      <w:r w:rsidRPr="00BF295E">
        <w:rPr>
          <w:rStyle w:val="Strong"/>
          <w:rFonts w:ascii="Arial" w:hAnsi="Arial" w:cs="Arial"/>
          <w:sz w:val="20"/>
          <w:szCs w:val="20"/>
          <w:lang w:val="en-US"/>
        </w:rPr>
        <w:t>o</w:t>
      </w:r>
      <w:r w:rsidRPr="00F26D1D">
        <w:rPr>
          <w:rStyle w:val="Strong"/>
          <w:rFonts w:ascii="Arial" w:hAnsi="Arial" w:cs="Arial"/>
          <w:b w:val="0"/>
          <w:sz w:val="20"/>
          <w:szCs w:val="20"/>
          <w:lang w:val="en-US"/>
        </w:rPr>
        <w:t>ptimization of the polymer matrix</w:t>
      </w:r>
      <w:r w:rsidRPr="00BF295E">
        <w:rPr>
          <w:rFonts w:ascii="Arial" w:hAnsi="Arial" w:cs="Arial"/>
          <w:sz w:val="20"/>
          <w:szCs w:val="20"/>
          <w:lang w:val="en-US"/>
        </w:rPr>
        <w:t>, with particular emphasis on biodegradability, production scalability, and cost-effectiveness. Such efforts will be essential for facilitating the transition from laboratory innovation to real-world agricultural application.</w:t>
      </w:r>
    </w:p>
    <w:p w14:paraId="61A7FAF4" w14:textId="77777777"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Disclaimer (Artificial intelligence)</w:t>
      </w:r>
    </w:p>
    <w:p w14:paraId="04535163" w14:textId="77777777"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Option 1: </w:t>
      </w:r>
    </w:p>
    <w:p w14:paraId="0B660847" w14:textId="77777777"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p w14:paraId="64583FF1" w14:textId="77777777"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 xml:space="preserve">Option 2: </w:t>
      </w:r>
    </w:p>
    <w:p w14:paraId="2899EA93" w14:textId="77777777"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C8E411" w14:textId="77777777" w:rsidR="00F26D1D" w:rsidRPr="00241243" w:rsidRDefault="00F26D1D" w:rsidP="00F26D1D">
      <w:pPr>
        <w:spacing w:line="276" w:lineRule="auto"/>
        <w:rPr>
          <w:rFonts w:ascii="Arial" w:eastAsia="Calibri" w:hAnsi="Arial" w:cs="Arial"/>
          <w:kern w:val="2"/>
          <w:sz w:val="20"/>
          <w:szCs w:val="20"/>
          <w:lang w:val="en-US"/>
        </w:rPr>
      </w:pPr>
      <w:r w:rsidRPr="00241243">
        <w:rPr>
          <w:rFonts w:ascii="Arial" w:eastAsia="Calibri" w:hAnsi="Arial" w:cs="Arial"/>
          <w:kern w:val="2"/>
          <w:sz w:val="20"/>
          <w:szCs w:val="20"/>
          <w:lang w:val="en-US"/>
        </w:rPr>
        <w:t>Details of the AI usage are given below:</w:t>
      </w:r>
    </w:p>
    <w:p w14:paraId="342DDB00" w14:textId="319FA863" w:rsidR="002B129C" w:rsidRPr="00CE36D5" w:rsidRDefault="00F26D1D" w:rsidP="00CE36D5">
      <w:pPr>
        <w:pStyle w:val="NormalWeb"/>
        <w:spacing w:line="276" w:lineRule="auto"/>
        <w:ind w:left="142" w:firstLine="566"/>
        <w:jc w:val="both"/>
        <w:rPr>
          <w:rFonts w:ascii="Arial" w:eastAsia="Calibri" w:hAnsi="Arial" w:cs="Arial"/>
          <w:sz w:val="20"/>
          <w:szCs w:val="20"/>
          <w:lang w:val="en-US"/>
        </w:rPr>
      </w:pPr>
      <w:r w:rsidRPr="00241243">
        <w:rPr>
          <w:rFonts w:ascii="Arial" w:eastAsia="Calibri" w:hAnsi="Arial" w:cs="Arial"/>
          <w:sz w:val="20"/>
          <w:szCs w:val="20"/>
          <w:lang w:val="en-US"/>
        </w:rPr>
        <w:t>ChatGPT Plus for paraphrase and in order to be academic and clear.</w:t>
      </w:r>
    </w:p>
    <w:p w14:paraId="5E3761A5" w14:textId="77777777" w:rsidR="00BF295E" w:rsidRPr="00BF295E" w:rsidRDefault="00BF295E" w:rsidP="00F26D1D">
      <w:pPr>
        <w:spacing w:line="276" w:lineRule="auto"/>
        <w:rPr>
          <w:rFonts w:ascii="Arial" w:hAnsi="Arial" w:cs="Arial"/>
          <w:b/>
          <w:sz w:val="20"/>
          <w:szCs w:val="20"/>
          <w:lang w:val="en-US"/>
        </w:rPr>
      </w:pPr>
    </w:p>
    <w:p w14:paraId="0DA9DE32" w14:textId="77777777" w:rsidR="00BF295E" w:rsidRPr="00F26D1D" w:rsidRDefault="00F26D1D" w:rsidP="00F26D1D">
      <w:pPr>
        <w:spacing w:line="276" w:lineRule="auto"/>
        <w:ind w:firstLine="142"/>
        <w:rPr>
          <w:rFonts w:ascii="Arial" w:hAnsi="Arial" w:cs="Arial"/>
          <w:b/>
          <w:lang w:val="en-US"/>
        </w:rPr>
      </w:pPr>
      <w:r w:rsidRPr="00F26D1D">
        <w:rPr>
          <w:rFonts w:ascii="Arial" w:hAnsi="Arial" w:cs="Arial"/>
          <w:b/>
          <w:lang w:val="en-US"/>
        </w:rPr>
        <w:t>REFERENCES</w:t>
      </w:r>
    </w:p>
    <w:p w14:paraId="48BDE32E"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Azeem, B., </w:t>
      </w:r>
      <w:proofErr w:type="spellStart"/>
      <w:r w:rsidRPr="00BF295E">
        <w:rPr>
          <w:rFonts w:ascii="Arial" w:hAnsi="Arial" w:cs="Arial"/>
          <w:sz w:val="20"/>
          <w:szCs w:val="20"/>
          <w:lang w:val="en-US"/>
        </w:rPr>
        <w:t>KuShaari</w:t>
      </w:r>
      <w:proofErr w:type="spellEnd"/>
      <w:r w:rsidRPr="00BF295E">
        <w:rPr>
          <w:rFonts w:ascii="Arial" w:hAnsi="Arial" w:cs="Arial"/>
          <w:sz w:val="20"/>
          <w:szCs w:val="20"/>
          <w:lang w:val="en-US"/>
        </w:rPr>
        <w:t xml:space="preserve">, K., Man, Z. B., Basit, A., &amp; Thanh, T. H. (2014). Review on materials &amp; methods to produce controlled release coated urea fertilizer. </w:t>
      </w:r>
      <w:r w:rsidRPr="00BF295E">
        <w:rPr>
          <w:rStyle w:val="Emphasis"/>
          <w:rFonts w:ascii="Arial" w:hAnsi="Arial" w:cs="Arial"/>
          <w:sz w:val="20"/>
          <w:szCs w:val="20"/>
          <w:lang w:val="en-US"/>
        </w:rPr>
        <w:t>Journal of Controlled Release</w:t>
      </w:r>
      <w:r w:rsidRPr="00BF295E">
        <w:rPr>
          <w:rFonts w:ascii="Arial" w:hAnsi="Arial" w:cs="Arial"/>
          <w:sz w:val="20"/>
          <w:szCs w:val="20"/>
          <w:lang w:val="en-US"/>
        </w:rPr>
        <w:t>, 181, 11–21. https://doi.org/10.1016/j.jconrel.2014.02.020</w:t>
      </w:r>
    </w:p>
    <w:p w14:paraId="37C12C56"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330B07">
        <w:rPr>
          <w:rFonts w:ascii="Arial" w:hAnsi="Arial" w:cs="Arial"/>
          <w:sz w:val="20"/>
          <w:szCs w:val="20"/>
          <w:lang w:val="es-US"/>
        </w:rPr>
        <w:t xml:space="preserve">Cameron, K. C., Di, H. J., &amp; </w:t>
      </w:r>
      <w:proofErr w:type="spellStart"/>
      <w:r w:rsidRPr="00330B07">
        <w:rPr>
          <w:rFonts w:ascii="Arial" w:hAnsi="Arial" w:cs="Arial"/>
          <w:sz w:val="20"/>
          <w:szCs w:val="20"/>
          <w:lang w:val="es-US"/>
        </w:rPr>
        <w:t>Moir</w:t>
      </w:r>
      <w:proofErr w:type="spellEnd"/>
      <w:r w:rsidRPr="00330B07">
        <w:rPr>
          <w:rFonts w:ascii="Arial" w:hAnsi="Arial" w:cs="Arial"/>
          <w:sz w:val="20"/>
          <w:szCs w:val="20"/>
          <w:lang w:val="es-US"/>
        </w:rPr>
        <w:t xml:space="preserve">, J. L. (2013). </w:t>
      </w:r>
      <w:r w:rsidRPr="00BF295E">
        <w:rPr>
          <w:rFonts w:ascii="Arial" w:hAnsi="Arial" w:cs="Arial"/>
          <w:sz w:val="20"/>
          <w:szCs w:val="20"/>
          <w:lang w:val="en-US"/>
        </w:rPr>
        <w:t xml:space="preserve">Nitrogen losses from the soil/plant system: a review. </w:t>
      </w:r>
      <w:r w:rsidRPr="00BF295E">
        <w:rPr>
          <w:rStyle w:val="Emphasis"/>
          <w:rFonts w:ascii="Arial" w:hAnsi="Arial" w:cs="Arial"/>
          <w:sz w:val="20"/>
          <w:szCs w:val="20"/>
          <w:lang w:val="en-US"/>
        </w:rPr>
        <w:t>Annals of Applied Biology</w:t>
      </w:r>
      <w:r w:rsidRPr="00BF295E">
        <w:rPr>
          <w:rFonts w:ascii="Arial" w:hAnsi="Arial" w:cs="Arial"/>
          <w:sz w:val="20"/>
          <w:szCs w:val="20"/>
          <w:lang w:val="en-US"/>
        </w:rPr>
        <w:t>, 162(2), 145–173. https://doi.org/10.1111/aab.12014</w:t>
      </w:r>
    </w:p>
    <w:p w14:paraId="08CEA3CE"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FAO. (2021). </w:t>
      </w:r>
      <w:r w:rsidRPr="00BF295E">
        <w:rPr>
          <w:rStyle w:val="Emphasis"/>
          <w:rFonts w:ascii="Arial" w:hAnsi="Arial" w:cs="Arial"/>
          <w:sz w:val="20"/>
          <w:szCs w:val="20"/>
          <w:lang w:val="en-US"/>
        </w:rPr>
        <w:t>World fertilizer trends and outlook to 2024</w:t>
      </w:r>
      <w:r w:rsidRPr="00BF295E">
        <w:rPr>
          <w:rFonts w:ascii="Arial" w:hAnsi="Arial" w:cs="Arial"/>
          <w:sz w:val="20"/>
          <w:szCs w:val="20"/>
          <w:lang w:val="en-US"/>
        </w:rPr>
        <w:t>. Food and Agriculture Organization of the United Nations.</w:t>
      </w:r>
    </w:p>
    <w:p w14:paraId="7A6ED107"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Goulding, K. W. T. (2016). Nitrogen losses from agriculture and the environmental consequences. </w:t>
      </w:r>
      <w:r w:rsidRPr="00BF295E">
        <w:rPr>
          <w:rStyle w:val="Emphasis"/>
          <w:rFonts w:ascii="Arial" w:hAnsi="Arial" w:cs="Arial"/>
          <w:sz w:val="20"/>
          <w:szCs w:val="20"/>
          <w:lang w:val="en-US"/>
        </w:rPr>
        <w:t>Soil Use and Management</w:t>
      </w:r>
      <w:r w:rsidRPr="00BF295E">
        <w:rPr>
          <w:rFonts w:ascii="Arial" w:hAnsi="Arial" w:cs="Arial"/>
          <w:sz w:val="20"/>
          <w:szCs w:val="20"/>
          <w:lang w:val="en-US"/>
        </w:rPr>
        <w:t>, 32(S1), 1–3. https://doi.org/10.1111/sum.12225</w:t>
      </w:r>
    </w:p>
    <w:p w14:paraId="0855E66B"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lastRenderedPageBreak/>
        <w:t xml:space="preserve">IPCC. (2019). </w:t>
      </w:r>
      <w:r w:rsidRPr="00BF295E">
        <w:rPr>
          <w:rStyle w:val="Emphasis"/>
          <w:rFonts w:ascii="Arial" w:hAnsi="Arial" w:cs="Arial"/>
          <w:sz w:val="20"/>
          <w:szCs w:val="20"/>
          <w:lang w:val="en-US"/>
        </w:rPr>
        <w:t>Climate Change and Land: Special Report</w:t>
      </w:r>
      <w:r w:rsidRPr="00BF295E">
        <w:rPr>
          <w:rFonts w:ascii="Arial" w:hAnsi="Arial" w:cs="Arial"/>
          <w:sz w:val="20"/>
          <w:szCs w:val="20"/>
          <w:lang w:val="en-US"/>
        </w:rPr>
        <w:t>. Intergovernmental Panel on Climate Change.</w:t>
      </w:r>
    </w:p>
    <w:p w14:paraId="6275477F" w14:textId="77777777" w:rsidR="00BF295E" w:rsidRPr="00BF295E" w:rsidRDefault="00BF295E" w:rsidP="00F26D1D">
      <w:pPr>
        <w:pStyle w:val="NormalWeb"/>
        <w:numPr>
          <w:ilvl w:val="0"/>
          <w:numId w:val="4"/>
        </w:numPr>
        <w:spacing w:line="276" w:lineRule="auto"/>
        <w:rPr>
          <w:rFonts w:ascii="Arial" w:hAnsi="Arial" w:cs="Arial"/>
          <w:sz w:val="20"/>
          <w:szCs w:val="20"/>
        </w:rPr>
      </w:pPr>
      <w:proofErr w:type="spellStart"/>
      <w:r w:rsidRPr="00BF295E">
        <w:rPr>
          <w:rFonts w:ascii="Arial" w:hAnsi="Arial" w:cs="Arial"/>
          <w:sz w:val="20"/>
          <w:szCs w:val="20"/>
          <w:lang w:val="en-US"/>
        </w:rPr>
        <w:t>Lassaletta</w:t>
      </w:r>
      <w:proofErr w:type="spellEnd"/>
      <w:r w:rsidRPr="00BF295E">
        <w:rPr>
          <w:rFonts w:ascii="Arial" w:hAnsi="Arial" w:cs="Arial"/>
          <w:sz w:val="20"/>
          <w:szCs w:val="20"/>
          <w:lang w:val="en-US"/>
        </w:rPr>
        <w:t xml:space="preserve">, L., Billen, G., Garnier, J., Bouwman, L., &amp; Velazquez, E. (2014). Food and feed trade as a driver in the global nitrogen cycle: 50-year trends. </w:t>
      </w:r>
      <w:r w:rsidRPr="00BF295E">
        <w:rPr>
          <w:rStyle w:val="Emphasis"/>
          <w:rFonts w:ascii="Arial" w:hAnsi="Arial" w:cs="Arial"/>
          <w:sz w:val="20"/>
          <w:szCs w:val="20"/>
        </w:rPr>
        <w:t>Biogeochemistry</w:t>
      </w:r>
      <w:r w:rsidRPr="00BF295E">
        <w:rPr>
          <w:rFonts w:ascii="Arial" w:hAnsi="Arial" w:cs="Arial"/>
          <w:sz w:val="20"/>
          <w:szCs w:val="20"/>
        </w:rPr>
        <w:t>, 118, 225–241. https://doi.org/10.1007/s10533-013-9923-4</w:t>
      </w:r>
    </w:p>
    <w:p w14:paraId="4844CEEB"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Naz, M. Y., &amp; Sulaiman, S. A. (2016). Slow release coating remedy for nitrogen loss from conventional urea: a review. </w:t>
      </w:r>
      <w:r w:rsidRPr="00BF295E">
        <w:rPr>
          <w:rStyle w:val="Emphasis"/>
          <w:rFonts w:ascii="Arial" w:hAnsi="Arial" w:cs="Arial"/>
          <w:sz w:val="20"/>
          <w:szCs w:val="20"/>
          <w:lang w:val="en-US"/>
        </w:rPr>
        <w:t>Journal of Controlled Release</w:t>
      </w:r>
      <w:r w:rsidRPr="00BF295E">
        <w:rPr>
          <w:rFonts w:ascii="Arial" w:hAnsi="Arial" w:cs="Arial"/>
          <w:sz w:val="20"/>
          <w:szCs w:val="20"/>
          <w:lang w:val="en-US"/>
        </w:rPr>
        <w:t>, 225, 109–120. https://doi.org/10.1016/j.jconrel.2016.01.037</w:t>
      </w:r>
    </w:p>
    <w:p w14:paraId="12C2E9E9"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Prasad, R., &amp; Power, J. F. (1995). Nitrification inhibitors for agriculture, health, and the environment. </w:t>
      </w:r>
      <w:r w:rsidRPr="00BF295E">
        <w:rPr>
          <w:rStyle w:val="Emphasis"/>
          <w:rFonts w:ascii="Arial" w:hAnsi="Arial" w:cs="Arial"/>
          <w:sz w:val="20"/>
          <w:szCs w:val="20"/>
          <w:lang w:val="en-US"/>
        </w:rPr>
        <w:t>Advances in Agronomy</w:t>
      </w:r>
      <w:r w:rsidRPr="00BF295E">
        <w:rPr>
          <w:rFonts w:ascii="Arial" w:hAnsi="Arial" w:cs="Arial"/>
          <w:sz w:val="20"/>
          <w:szCs w:val="20"/>
          <w:lang w:val="en-US"/>
        </w:rPr>
        <w:t>, 54, 233–281. https://doi.org/10.1016/S0065-2113(08)60918-9</w:t>
      </w:r>
    </w:p>
    <w:p w14:paraId="5A944FA2"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proofErr w:type="spellStart"/>
      <w:r w:rsidRPr="00BF295E">
        <w:rPr>
          <w:rFonts w:ascii="Arial" w:hAnsi="Arial" w:cs="Arial"/>
          <w:sz w:val="20"/>
          <w:szCs w:val="20"/>
          <w:lang w:val="en-US"/>
        </w:rPr>
        <w:t>Shaviv</w:t>
      </w:r>
      <w:proofErr w:type="spellEnd"/>
      <w:r w:rsidRPr="00BF295E">
        <w:rPr>
          <w:rFonts w:ascii="Arial" w:hAnsi="Arial" w:cs="Arial"/>
          <w:sz w:val="20"/>
          <w:szCs w:val="20"/>
          <w:lang w:val="en-US"/>
        </w:rPr>
        <w:t>, A. (2005). Controlled release fertilizers. In IFA International Workshop on Enhanced-Efficiency Fertilizers, Frankfurt.</w:t>
      </w:r>
    </w:p>
    <w:p w14:paraId="06BFD857"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proofErr w:type="spellStart"/>
      <w:r w:rsidRPr="00330B07">
        <w:rPr>
          <w:rFonts w:ascii="Arial" w:hAnsi="Arial" w:cs="Arial"/>
          <w:sz w:val="20"/>
          <w:szCs w:val="20"/>
          <w:lang w:val="es-US"/>
        </w:rPr>
        <w:t>Shoji</w:t>
      </w:r>
      <w:proofErr w:type="spellEnd"/>
      <w:r w:rsidRPr="00330B07">
        <w:rPr>
          <w:rFonts w:ascii="Arial" w:hAnsi="Arial" w:cs="Arial"/>
          <w:sz w:val="20"/>
          <w:szCs w:val="20"/>
          <w:lang w:val="es-US"/>
        </w:rPr>
        <w:t xml:space="preserve">, S., &amp; </w:t>
      </w:r>
      <w:proofErr w:type="spellStart"/>
      <w:r w:rsidRPr="00330B07">
        <w:rPr>
          <w:rFonts w:ascii="Arial" w:hAnsi="Arial" w:cs="Arial"/>
          <w:sz w:val="20"/>
          <w:szCs w:val="20"/>
          <w:lang w:val="es-US"/>
        </w:rPr>
        <w:t>Gandeza</w:t>
      </w:r>
      <w:proofErr w:type="spellEnd"/>
      <w:r w:rsidRPr="00330B07">
        <w:rPr>
          <w:rFonts w:ascii="Arial" w:hAnsi="Arial" w:cs="Arial"/>
          <w:sz w:val="20"/>
          <w:szCs w:val="20"/>
          <w:lang w:val="es-US"/>
        </w:rPr>
        <w:t xml:space="preserve">, A. T. (1992). </w:t>
      </w:r>
      <w:r w:rsidRPr="00BF295E">
        <w:rPr>
          <w:rStyle w:val="Emphasis"/>
          <w:rFonts w:ascii="Arial" w:hAnsi="Arial" w:cs="Arial"/>
          <w:sz w:val="20"/>
          <w:szCs w:val="20"/>
          <w:lang w:val="en-US"/>
        </w:rPr>
        <w:t>Controlled release fertilizers with polyolefin resin coating</w:t>
      </w:r>
      <w:r w:rsidRPr="00BF295E">
        <w:rPr>
          <w:rFonts w:ascii="Arial" w:hAnsi="Arial" w:cs="Arial"/>
          <w:sz w:val="20"/>
          <w:szCs w:val="20"/>
          <w:lang w:val="en-US"/>
        </w:rPr>
        <w:t>. Tokyo: Konno Printing.</w:t>
      </w:r>
    </w:p>
    <w:p w14:paraId="08DB36F5"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proofErr w:type="spellStart"/>
      <w:r w:rsidRPr="00330B07">
        <w:rPr>
          <w:rFonts w:ascii="Arial" w:hAnsi="Arial" w:cs="Arial"/>
          <w:sz w:val="20"/>
          <w:szCs w:val="20"/>
          <w:lang w:val="es-US"/>
        </w:rPr>
        <w:t>Subbarao</w:t>
      </w:r>
      <w:proofErr w:type="spellEnd"/>
      <w:r w:rsidRPr="00330B07">
        <w:rPr>
          <w:rFonts w:ascii="Arial" w:hAnsi="Arial" w:cs="Arial"/>
          <w:sz w:val="20"/>
          <w:szCs w:val="20"/>
          <w:lang w:val="es-US"/>
        </w:rPr>
        <w:t xml:space="preserve">, G. V., et al. </w:t>
      </w:r>
      <w:r w:rsidRPr="00BF295E">
        <w:rPr>
          <w:rFonts w:ascii="Arial" w:hAnsi="Arial" w:cs="Arial"/>
          <w:sz w:val="20"/>
          <w:szCs w:val="20"/>
          <w:lang w:val="en-US"/>
        </w:rPr>
        <w:t xml:space="preserve">(2006). Scope and strategies for regulation of nitrification in agricultural systems–challenges and opportunities. </w:t>
      </w:r>
      <w:r w:rsidRPr="00BF295E">
        <w:rPr>
          <w:rStyle w:val="Emphasis"/>
          <w:rFonts w:ascii="Arial" w:hAnsi="Arial" w:cs="Arial"/>
          <w:sz w:val="20"/>
          <w:szCs w:val="20"/>
          <w:lang w:val="en-US"/>
        </w:rPr>
        <w:t>Critical Reviews in Plant Sciences</w:t>
      </w:r>
      <w:r w:rsidRPr="00BF295E">
        <w:rPr>
          <w:rFonts w:ascii="Arial" w:hAnsi="Arial" w:cs="Arial"/>
          <w:sz w:val="20"/>
          <w:szCs w:val="20"/>
          <w:lang w:val="en-US"/>
        </w:rPr>
        <w:t>, 25(4), 303–335.</w:t>
      </w:r>
    </w:p>
    <w:p w14:paraId="5CD81511"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proofErr w:type="spellStart"/>
      <w:r w:rsidRPr="00BF295E">
        <w:rPr>
          <w:rFonts w:ascii="Arial" w:hAnsi="Arial" w:cs="Arial"/>
          <w:sz w:val="20"/>
          <w:szCs w:val="20"/>
          <w:lang w:val="en-US"/>
        </w:rPr>
        <w:t>Trenkel</w:t>
      </w:r>
      <w:proofErr w:type="spellEnd"/>
      <w:r w:rsidRPr="00BF295E">
        <w:rPr>
          <w:rFonts w:ascii="Arial" w:hAnsi="Arial" w:cs="Arial"/>
          <w:sz w:val="20"/>
          <w:szCs w:val="20"/>
          <w:lang w:val="en-US"/>
        </w:rPr>
        <w:t xml:space="preserve">, M. E. (2010). </w:t>
      </w:r>
      <w:r w:rsidRPr="00BF295E">
        <w:rPr>
          <w:rStyle w:val="Emphasis"/>
          <w:rFonts w:ascii="Arial" w:hAnsi="Arial" w:cs="Arial"/>
          <w:sz w:val="20"/>
          <w:szCs w:val="20"/>
          <w:lang w:val="en-US"/>
        </w:rPr>
        <w:t>Slow- and Controlled-Release and Stabilized Fertilizers: An Option for Enhancing Nutrient Use Efficiency in Agriculture</w:t>
      </w:r>
      <w:r w:rsidRPr="00BF295E">
        <w:rPr>
          <w:rFonts w:ascii="Arial" w:hAnsi="Arial" w:cs="Arial"/>
          <w:sz w:val="20"/>
          <w:szCs w:val="20"/>
          <w:lang w:val="en-US"/>
        </w:rPr>
        <w:t>. International Fertilizer Industry Association (IFA).</w:t>
      </w:r>
    </w:p>
    <w:p w14:paraId="68AD12A0"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Zhang, X., Davidson, E. A., </w:t>
      </w:r>
      <w:proofErr w:type="spellStart"/>
      <w:r w:rsidRPr="00BF295E">
        <w:rPr>
          <w:rFonts w:ascii="Arial" w:hAnsi="Arial" w:cs="Arial"/>
          <w:sz w:val="20"/>
          <w:szCs w:val="20"/>
          <w:lang w:val="en-US"/>
        </w:rPr>
        <w:t>Mauzerall</w:t>
      </w:r>
      <w:proofErr w:type="spellEnd"/>
      <w:r w:rsidRPr="00BF295E">
        <w:rPr>
          <w:rFonts w:ascii="Arial" w:hAnsi="Arial" w:cs="Arial"/>
          <w:sz w:val="20"/>
          <w:szCs w:val="20"/>
          <w:lang w:val="en-US"/>
        </w:rPr>
        <w:t xml:space="preserve">, D. L., </w:t>
      </w:r>
      <w:proofErr w:type="spellStart"/>
      <w:r w:rsidRPr="00BF295E">
        <w:rPr>
          <w:rFonts w:ascii="Arial" w:hAnsi="Arial" w:cs="Arial"/>
          <w:sz w:val="20"/>
          <w:szCs w:val="20"/>
          <w:lang w:val="en-US"/>
        </w:rPr>
        <w:t>Searchinger</w:t>
      </w:r>
      <w:proofErr w:type="spellEnd"/>
      <w:r w:rsidRPr="00BF295E">
        <w:rPr>
          <w:rFonts w:ascii="Arial" w:hAnsi="Arial" w:cs="Arial"/>
          <w:sz w:val="20"/>
          <w:szCs w:val="20"/>
          <w:lang w:val="en-US"/>
        </w:rPr>
        <w:t xml:space="preserve">, T. D., Dumas, P., &amp; Shen, Y. (2015). Managing nitrogen for sustainable development. </w:t>
      </w:r>
      <w:r w:rsidRPr="00BF295E">
        <w:rPr>
          <w:rStyle w:val="Emphasis"/>
          <w:rFonts w:ascii="Arial" w:hAnsi="Arial" w:cs="Arial"/>
          <w:sz w:val="20"/>
          <w:szCs w:val="20"/>
          <w:lang w:val="en-US"/>
        </w:rPr>
        <w:t>Nature</w:t>
      </w:r>
      <w:r w:rsidRPr="00BF295E">
        <w:rPr>
          <w:rFonts w:ascii="Arial" w:hAnsi="Arial" w:cs="Arial"/>
          <w:sz w:val="20"/>
          <w:szCs w:val="20"/>
          <w:lang w:val="en-US"/>
        </w:rPr>
        <w:t>, 528(7580), 51–59. https://doi.org/10.1038/nature15743</w:t>
      </w:r>
    </w:p>
    <w:p w14:paraId="52B08214"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ASTM International. (2019). </w:t>
      </w:r>
      <w:r w:rsidRPr="00BF295E">
        <w:rPr>
          <w:rStyle w:val="Emphasis"/>
          <w:rFonts w:ascii="Arial" w:hAnsi="Arial" w:cs="Arial"/>
          <w:sz w:val="20"/>
          <w:szCs w:val="20"/>
          <w:lang w:val="en-US"/>
        </w:rPr>
        <w:t>Standard Test Method for Moisture in Fertilizers</w:t>
      </w:r>
      <w:r w:rsidRPr="00BF295E">
        <w:rPr>
          <w:rFonts w:ascii="Arial" w:hAnsi="Arial" w:cs="Arial"/>
          <w:sz w:val="20"/>
          <w:szCs w:val="20"/>
          <w:lang w:val="en-US"/>
        </w:rPr>
        <w:t xml:space="preserve"> (ASTM D4944-19).</w:t>
      </w:r>
    </w:p>
    <w:p w14:paraId="587B2011"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AOAC International. (2016). </w:t>
      </w:r>
      <w:r w:rsidRPr="00BF295E">
        <w:rPr>
          <w:rStyle w:val="Emphasis"/>
          <w:rFonts w:ascii="Arial" w:hAnsi="Arial" w:cs="Arial"/>
          <w:sz w:val="20"/>
          <w:szCs w:val="20"/>
          <w:lang w:val="en-US"/>
        </w:rPr>
        <w:t>Official Methods of Analysis</w:t>
      </w:r>
      <w:r w:rsidRPr="00BF295E">
        <w:rPr>
          <w:rFonts w:ascii="Arial" w:hAnsi="Arial" w:cs="Arial"/>
          <w:sz w:val="20"/>
          <w:szCs w:val="20"/>
          <w:lang w:val="en-US"/>
        </w:rPr>
        <w:t xml:space="preserve"> (20th ed.).</w:t>
      </w:r>
    </w:p>
    <w:p w14:paraId="068A0E1C"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ISO. (1999). </w:t>
      </w:r>
      <w:r w:rsidRPr="00BF295E">
        <w:rPr>
          <w:rStyle w:val="Emphasis"/>
          <w:rFonts w:ascii="Arial" w:hAnsi="Arial" w:cs="Arial"/>
          <w:sz w:val="20"/>
          <w:szCs w:val="20"/>
          <w:lang w:val="en-US"/>
        </w:rPr>
        <w:t>Fertilizers — Determination of Water-Soluble Matter</w:t>
      </w:r>
      <w:r w:rsidRPr="00BF295E">
        <w:rPr>
          <w:rFonts w:ascii="Arial" w:hAnsi="Arial" w:cs="Arial"/>
          <w:sz w:val="20"/>
          <w:szCs w:val="20"/>
          <w:lang w:val="en-US"/>
        </w:rPr>
        <w:t xml:space="preserve"> (ISO 9897:1999).</w:t>
      </w:r>
    </w:p>
    <w:p w14:paraId="794C0B28"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ISO. (2000). </w:t>
      </w:r>
      <w:r w:rsidRPr="00BF295E">
        <w:rPr>
          <w:rStyle w:val="Emphasis"/>
          <w:rFonts w:ascii="Arial" w:hAnsi="Arial" w:cs="Arial"/>
          <w:sz w:val="20"/>
          <w:szCs w:val="20"/>
          <w:lang w:val="en-US"/>
        </w:rPr>
        <w:t>Fertilizers — Determination of Hygroscopicity</w:t>
      </w:r>
      <w:r w:rsidRPr="00BF295E">
        <w:rPr>
          <w:rFonts w:ascii="Arial" w:hAnsi="Arial" w:cs="Arial"/>
          <w:sz w:val="20"/>
          <w:szCs w:val="20"/>
          <w:lang w:val="en-US"/>
        </w:rPr>
        <w:t xml:space="preserve"> (ISO 9898:2000).</w:t>
      </w:r>
    </w:p>
    <w:p w14:paraId="7554E634" w14:textId="77777777" w:rsidR="00BF295E" w:rsidRPr="00BF295E" w:rsidRDefault="00BF295E" w:rsidP="00F26D1D">
      <w:pPr>
        <w:pStyle w:val="NormalWeb"/>
        <w:numPr>
          <w:ilvl w:val="0"/>
          <w:numId w:val="4"/>
        </w:numPr>
        <w:spacing w:line="276" w:lineRule="auto"/>
        <w:rPr>
          <w:rFonts w:ascii="Arial" w:hAnsi="Arial" w:cs="Arial"/>
          <w:sz w:val="20"/>
          <w:szCs w:val="20"/>
          <w:lang w:val="en-US"/>
        </w:rPr>
      </w:pPr>
      <w:r w:rsidRPr="00BF295E">
        <w:rPr>
          <w:rFonts w:ascii="Arial" w:hAnsi="Arial" w:cs="Arial"/>
          <w:sz w:val="20"/>
          <w:szCs w:val="20"/>
          <w:lang w:val="en-US"/>
        </w:rPr>
        <w:t xml:space="preserve">Li, X., et al. (2017). Evaluation of mechanical strength of fertilizer granules using texture analyzer. </w:t>
      </w:r>
      <w:r w:rsidRPr="00BF295E">
        <w:rPr>
          <w:rStyle w:val="Emphasis"/>
          <w:rFonts w:ascii="Arial" w:hAnsi="Arial" w:cs="Arial"/>
          <w:sz w:val="20"/>
          <w:szCs w:val="20"/>
          <w:lang w:val="en-US"/>
        </w:rPr>
        <w:t>Journal of Agricultural Engineering</w:t>
      </w:r>
      <w:r w:rsidRPr="00BF295E">
        <w:rPr>
          <w:rFonts w:ascii="Arial" w:hAnsi="Arial" w:cs="Arial"/>
          <w:sz w:val="20"/>
          <w:szCs w:val="20"/>
          <w:lang w:val="en-US"/>
        </w:rPr>
        <w:t>, 53(3), 112-120.</w:t>
      </w:r>
    </w:p>
    <w:p w14:paraId="55104FA7" w14:textId="77777777" w:rsidR="00BF295E" w:rsidRPr="00BF295E" w:rsidRDefault="00BF295E" w:rsidP="00F26D1D">
      <w:pPr>
        <w:pStyle w:val="NormalWeb"/>
        <w:numPr>
          <w:ilvl w:val="0"/>
          <w:numId w:val="4"/>
        </w:numPr>
        <w:spacing w:line="276" w:lineRule="auto"/>
        <w:rPr>
          <w:rFonts w:ascii="Arial" w:hAnsi="Arial" w:cs="Arial"/>
          <w:sz w:val="20"/>
          <w:szCs w:val="20"/>
        </w:rPr>
      </w:pPr>
      <w:r w:rsidRPr="00BF295E">
        <w:rPr>
          <w:rFonts w:ascii="Arial" w:hAnsi="Arial" w:cs="Arial"/>
          <w:sz w:val="20"/>
          <w:szCs w:val="20"/>
          <w:lang w:val="en-US"/>
        </w:rPr>
        <w:t xml:space="preserve">Zhao, Y., et al. (2018). Thermal characterization of controlled-release fertilizers by DSC. </w:t>
      </w:r>
      <w:r w:rsidRPr="00BF295E">
        <w:rPr>
          <w:rStyle w:val="Emphasis"/>
          <w:rFonts w:ascii="Arial" w:hAnsi="Arial" w:cs="Arial"/>
          <w:sz w:val="20"/>
          <w:szCs w:val="20"/>
        </w:rPr>
        <w:t>Thermochimica Acta</w:t>
      </w:r>
      <w:r w:rsidRPr="00BF295E">
        <w:rPr>
          <w:rFonts w:ascii="Arial" w:hAnsi="Arial" w:cs="Arial"/>
          <w:sz w:val="20"/>
          <w:szCs w:val="20"/>
        </w:rPr>
        <w:t>, 666, 14-21.</w:t>
      </w:r>
    </w:p>
    <w:p w14:paraId="6DCC8FC2" w14:textId="77777777" w:rsidR="00BF295E" w:rsidRDefault="00BF295E" w:rsidP="00F26D1D">
      <w:pPr>
        <w:spacing w:line="276" w:lineRule="auto"/>
        <w:rPr>
          <w:rFonts w:ascii="Arial" w:hAnsi="Arial" w:cs="Arial"/>
          <w:b/>
          <w:sz w:val="20"/>
          <w:szCs w:val="20"/>
          <w:lang w:val="en-US"/>
        </w:rPr>
      </w:pPr>
    </w:p>
    <w:p w14:paraId="5BB3FA5D" w14:textId="77777777" w:rsidR="00F26D1D" w:rsidRDefault="00F26D1D" w:rsidP="00F26D1D">
      <w:pPr>
        <w:spacing w:line="276" w:lineRule="auto"/>
        <w:rPr>
          <w:rFonts w:ascii="Arial" w:hAnsi="Arial" w:cs="Arial"/>
          <w:b/>
          <w:sz w:val="20"/>
          <w:szCs w:val="20"/>
          <w:lang w:val="en-US"/>
        </w:rPr>
      </w:pPr>
    </w:p>
    <w:p w14:paraId="2298A96A" w14:textId="77777777" w:rsidR="00F26D1D" w:rsidRDefault="00F26D1D" w:rsidP="00F26D1D">
      <w:pPr>
        <w:spacing w:line="276" w:lineRule="auto"/>
        <w:rPr>
          <w:rFonts w:ascii="Arial" w:hAnsi="Arial" w:cs="Arial"/>
          <w:b/>
          <w:sz w:val="20"/>
          <w:szCs w:val="20"/>
          <w:lang w:val="en-US"/>
        </w:rPr>
      </w:pPr>
    </w:p>
    <w:p w14:paraId="55A80300" w14:textId="77777777" w:rsidR="00F26D1D" w:rsidRDefault="00F26D1D" w:rsidP="00F26D1D">
      <w:pPr>
        <w:spacing w:line="276" w:lineRule="auto"/>
        <w:rPr>
          <w:rFonts w:ascii="Arial" w:hAnsi="Arial" w:cs="Arial"/>
          <w:b/>
          <w:sz w:val="20"/>
          <w:szCs w:val="20"/>
          <w:lang w:val="en-US"/>
        </w:rPr>
      </w:pPr>
    </w:p>
    <w:p w14:paraId="2987F962" w14:textId="77777777" w:rsidR="00F26D1D" w:rsidRDefault="00F26D1D" w:rsidP="00F26D1D">
      <w:pPr>
        <w:spacing w:line="276" w:lineRule="auto"/>
        <w:rPr>
          <w:rFonts w:ascii="Arial" w:hAnsi="Arial" w:cs="Arial"/>
          <w:b/>
          <w:sz w:val="20"/>
          <w:szCs w:val="20"/>
          <w:lang w:val="en-US"/>
        </w:rPr>
      </w:pPr>
    </w:p>
    <w:p w14:paraId="6076EB08" w14:textId="77777777" w:rsidR="00F26D1D" w:rsidRDefault="00F26D1D" w:rsidP="00F26D1D">
      <w:pPr>
        <w:spacing w:line="276" w:lineRule="auto"/>
        <w:rPr>
          <w:rFonts w:ascii="Arial" w:hAnsi="Arial" w:cs="Arial"/>
          <w:b/>
          <w:sz w:val="20"/>
          <w:szCs w:val="20"/>
          <w:lang w:val="en-US"/>
        </w:rPr>
      </w:pPr>
    </w:p>
    <w:sectPr w:rsidR="00F26D1D" w:rsidSect="00D5583C">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6D9CD" w14:textId="77777777" w:rsidR="003204BE" w:rsidRDefault="003204BE" w:rsidP="00AB1FE0">
      <w:pPr>
        <w:spacing w:after="0" w:line="240" w:lineRule="auto"/>
      </w:pPr>
      <w:r>
        <w:separator/>
      </w:r>
    </w:p>
  </w:endnote>
  <w:endnote w:type="continuationSeparator" w:id="0">
    <w:p w14:paraId="6540D94A" w14:textId="77777777" w:rsidR="003204BE" w:rsidRDefault="003204BE" w:rsidP="00AB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DC736" w14:textId="77777777" w:rsidR="00AB1FE0" w:rsidRDefault="00AB1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E7B03" w14:textId="77777777" w:rsidR="00AB1FE0" w:rsidRDefault="00AB1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66B2" w14:textId="77777777" w:rsidR="00AB1FE0" w:rsidRDefault="00AB1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FF81F" w14:textId="77777777" w:rsidR="003204BE" w:rsidRDefault="003204BE" w:rsidP="00AB1FE0">
      <w:pPr>
        <w:spacing w:after="0" w:line="240" w:lineRule="auto"/>
      </w:pPr>
      <w:r>
        <w:separator/>
      </w:r>
    </w:p>
  </w:footnote>
  <w:footnote w:type="continuationSeparator" w:id="0">
    <w:p w14:paraId="63F6A9E9" w14:textId="77777777" w:rsidR="003204BE" w:rsidRDefault="003204BE" w:rsidP="00AB1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A8761" w14:textId="412CB642" w:rsidR="00AB1FE0" w:rsidRDefault="00AB1FE0">
    <w:pPr>
      <w:pStyle w:val="Header"/>
    </w:pPr>
    <w:r>
      <w:rPr>
        <w:noProof/>
      </w:rPr>
      <w:pict w14:anchorId="4C9D1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8"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013AB" w14:textId="64B7B90B" w:rsidR="00AB1FE0" w:rsidRDefault="00AB1FE0">
    <w:pPr>
      <w:pStyle w:val="Header"/>
    </w:pPr>
    <w:r>
      <w:rPr>
        <w:noProof/>
      </w:rPr>
      <w:pict w14:anchorId="56506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9"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4CE0" w14:textId="1113E239" w:rsidR="00AB1FE0" w:rsidRDefault="00AB1FE0">
    <w:pPr>
      <w:pStyle w:val="Header"/>
    </w:pPr>
    <w:r>
      <w:rPr>
        <w:noProof/>
      </w:rPr>
      <w:pict w14:anchorId="1353C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452437"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41C73"/>
    <w:multiLevelType w:val="multilevel"/>
    <w:tmpl w:val="4CEE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81F27"/>
    <w:multiLevelType w:val="multilevel"/>
    <w:tmpl w:val="9398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12852"/>
    <w:multiLevelType w:val="multilevel"/>
    <w:tmpl w:val="0C5A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4544C"/>
    <w:multiLevelType w:val="hybridMultilevel"/>
    <w:tmpl w:val="83946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E3tDQ3MjM0NTUzNTBT0lEKTi0uzszPAykwrAUAuxXDVSwAAAA="/>
  </w:docVars>
  <w:rsids>
    <w:rsidRoot w:val="002B129C"/>
    <w:rsid w:val="001A48C2"/>
    <w:rsid w:val="001D7FE4"/>
    <w:rsid w:val="001F526A"/>
    <w:rsid w:val="00241243"/>
    <w:rsid w:val="00264D73"/>
    <w:rsid w:val="002B129C"/>
    <w:rsid w:val="003204BE"/>
    <w:rsid w:val="00330B07"/>
    <w:rsid w:val="00336103"/>
    <w:rsid w:val="003C4B06"/>
    <w:rsid w:val="00432CDD"/>
    <w:rsid w:val="005272B5"/>
    <w:rsid w:val="00561F8C"/>
    <w:rsid w:val="005E1895"/>
    <w:rsid w:val="005E203F"/>
    <w:rsid w:val="005E7D09"/>
    <w:rsid w:val="006C3B37"/>
    <w:rsid w:val="00742888"/>
    <w:rsid w:val="00975B7B"/>
    <w:rsid w:val="009E7B15"/>
    <w:rsid w:val="00AB1FE0"/>
    <w:rsid w:val="00AC4401"/>
    <w:rsid w:val="00AD3648"/>
    <w:rsid w:val="00B70458"/>
    <w:rsid w:val="00B74FB6"/>
    <w:rsid w:val="00BF295E"/>
    <w:rsid w:val="00CE36D5"/>
    <w:rsid w:val="00D5583C"/>
    <w:rsid w:val="00E51C7B"/>
    <w:rsid w:val="00E81F0B"/>
    <w:rsid w:val="00EB2F55"/>
    <w:rsid w:val="00ED7126"/>
    <w:rsid w:val="00F26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F7684E"/>
  <w15:docId w15:val="{6962C9B3-9B75-445B-8064-A282333D9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83C"/>
  </w:style>
  <w:style w:type="paragraph" w:styleId="Heading3">
    <w:name w:val="heading 3"/>
    <w:basedOn w:val="Normal"/>
    <w:link w:val="Heading3Char"/>
    <w:uiPriority w:val="9"/>
    <w:qFormat/>
    <w:rsid w:val="002B12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1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2B129C"/>
    <w:rPr>
      <w:b/>
      <w:bCs/>
    </w:rPr>
  </w:style>
  <w:style w:type="character" w:customStyle="1" w:styleId="Heading3Char">
    <w:name w:val="Heading 3 Char"/>
    <w:basedOn w:val="DefaultParagraphFont"/>
    <w:link w:val="Heading3"/>
    <w:uiPriority w:val="9"/>
    <w:rsid w:val="002B129C"/>
    <w:rPr>
      <w:rFonts w:ascii="Times New Roman" w:eastAsia="Times New Roman" w:hAnsi="Times New Roman" w:cs="Times New Roman"/>
      <w:b/>
      <w:bCs/>
      <w:sz w:val="27"/>
      <w:szCs w:val="27"/>
      <w:lang w:eastAsia="ru-RU"/>
    </w:rPr>
  </w:style>
  <w:style w:type="character" w:styleId="Emphasis">
    <w:name w:val="Emphasis"/>
    <w:basedOn w:val="DefaultParagraphFont"/>
    <w:uiPriority w:val="20"/>
    <w:qFormat/>
    <w:rsid w:val="00BF295E"/>
    <w:rPr>
      <w:i/>
      <w:iCs/>
    </w:rPr>
  </w:style>
  <w:style w:type="paragraph" w:customStyle="1" w:styleId="ReferHead">
    <w:name w:val="Refer Head"/>
    <w:basedOn w:val="Normal"/>
    <w:rsid w:val="00F26D1D"/>
    <w:pPr>
      <w:keepNext/>
      <w:spacing w:after="240" w:line="240" w:lineRule="auto"/>
    </w:pPr>
    <w:rPr>
      <w:rFonts w:ascii="Helvetica" w:eastAsia="Times New Roman" w:hAnsi="Helvetica" w:cs="Times New Roman"/>
      <w:b/>
      <w:caps/>
      <w:szCs w:val="20"/>
      <w:lang w:val="en-US"/>
    </w:rPr>
  </w:style>
  <w:style w:type="paragraph" w:customStyle="1" w:styleId="Default">
    <w:name w:val="Default"/>
    <w:rsid w:val="00F26D1D"/>
    <w:pPr>
      <w:autoSpaceDE w:val="0"/>
      <w:autoSpaceDN w:val="0"/>
      <w:adjustRightInd w:val="0"/>
      <w:spacing w:after="0" w:line="240" w:lineRule="auto"/>
    </w:pPr>
    <w:rPr>
      <w:rFonts w:ascii="Arial" w:eastAsia="Calibri" w:hAnsi="Arial" w:cs="Arial"/>
      <w:color w:val="000000"/>
      <w:sz w:val="24"/>
      <w:szCs w:val="24"/>
      <w:lang w:eastAsia="ru-RU"/>
    </w:rPr>
  </w:style>
  <w:style w:type="character" w:styleId="Hyperlink">
    <w:name w:val="Hyperlink"/>
    <w:basedOn w:val="DefaultParagraphFont"/>
    <w:uiPriority w:val="99"/>
    <w:rsid w:val="00F26D1D"/>
    <w:rPr>
      <w:color w:val="0563C1"/>
      <w:u w:val="single"/>
    </w:rPr>
  </w:style>
  <w:style w:type="character" w:customStyle="1" w:styleId="fontstyle21">
    <w:name w:val="fontstyle21"/>
    <w:rsid w:val="00F26D1D"/>
    <w:rPr>
      <w:rFonts w:ascii="Times New Roman" w:hAnsi="Times New Roman" w:cs="Times New Roman" w:hint="default"/>
      <w:b w:val="0"/>
      <w:bCs w:val="0"/>
      <w:i/>
      <w:iCs/>
      <w:color w:val="000000"/>
      <w:sz w:val="22"/>
      <w:szCs w:val="22"/>
    </w:rPr>
  </w:style>
  <w:style w:type="character" w:customStyle="1" w:styleId="fontstyle01">
    <w:name w:val="fontstyle01"/>
    <w:rsid w:val="00F26D1D"/>
    <w:rPr>
      <w:rFonts w:ascii="Times New Roman" w:hAnsi="Times New Roman" w:cs="Times New Roman" w:hint="default"/>
      <w:b w:val="0"/>
      <w:bCs w:val="0"/>
      <w:i w:val="0"/>
      <w:iCs w:val="0"/>
      <w:color w:val="000000"/>
      <w:sz w:val="22"/>
      <w:szCs w:val="22"/>
    </w:rPr>
  </w:style>
  <w:style w:type="paragraph" w:styleId="BalloonText">
    <w:name w:val="Balloon Text"/>
    <w:basedOn w:val="Normal"/>
    <w:link w:val="BalloonTextChar"/>
    <w:uiPriority w:val="99"/>
    <w:semiHidden/>
    <w:unhideWhenUsed/>
    <w:rsid w:val="00975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B7B"/>
    <w:rPr>
      <w:rFonts w:ascii="Tahoma" w:hAnsi="Tahoma" w:cs="Tahoma"/>
      <w:sz w:val="16"/>
      <w:szCs w:val="16"/>
    </w:rPr>
  </w:style>
  <w:style w:type="character" w:styleId="UnresolvedMention">
    <w:name w:val="Unresolved Mention"/>
    <w:basedOn w:val="DefaultParagraphFont"/>
    <w:uiPriority w:val="99"/>
    <w:semiHidden/>
    <w:unhideWhenUsed/>
    <w:rsid w:val="00AC4401"/>
    <w:rPr>
      <w:color w:val="605E5C"/>
      <w:shd w:val="clear" w:color="auto" w:fill="E1DFDD"/>
    </w:rPr>
  </w:style>
  <w:style w:type="paragraph" w:styleId="Header">
    <w:name w:val="header"/>
    <w:basedOn w:val="Normal"/>
    <w:link w:val="HeaderChar"/>
    <w:uiPriority w:val="99"/>
    <w:unhideWhenUsed/>
    <w:rsid w:val="00AB1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FE0"/>
  </w:style>
  <w:style w:type="paragraph" w:styleId="Footer">
    <w:name w:val="footer"/>
    <w:basedOn w:val="Normal"/>
    <w:link w:val="FooterChar"/>
    <w:uiPriority w:val="99"/>
    <w:unhideWhenUsed/>
    <w:rsid w:val="00AB1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7604">
      <w:bodyDiv w:val="1"/>
      <w:marLeft w:val="0"/>
      <w:marRight w:val="0"/>
      <w:marTop w:val="0"/>
      <w:marBottom w:val="0"/>
      <w:divBdr>
        <w:top w:val="none" w:sz="0" w:space="0" w:color="auto"/>
        <w:left w:val="none" w:sz="0" w:space="0" w:color="auto"/>
        <w:bottom w:val="none" w:sz="0" w:space="0" w:color="auto"/>
        <w:right w:val="none" w:sz="0" w:space="0" w:color="auto"/>
      </w:divBdr>
    </w:div>
    <w:div w:id="207954680">
      <w:bodyDiv w:val="1"/>
      <w:marLeft w:val="0"/>
      <w:marRight w:val="0"/>
      <w:marTop w:val="0"/>
      <w:marBottom w:val="0"/>
      <w:divBdr>
        <w:top w:val="none" w:sz="0" w:space="0" w:color="auto"/>
        <w:left w:val="none" w:sz="0" w:space="0" w:color="auto"/>
        <w:bottom w:val="none" w:sz="0" w:space="0" w:color="auto"/>
        <w:right w:val="none" w:sz="0" w:space="0" w:color="auto"/>
      </w:divBdr>
    </w:div>
    <w:div w:id="406534015">
      <w:bodyDiv w:val="1"/>
      <w:marLeft w:val="0"/>
      <w:marRight w:val="0"/>
      <w:marTop w:val="0"/>
      <w:marBottom w:val="0"/>
      <w:divBdr>
        <w:top w:val="none" w:sz="0" w:space="0" w:color="auto"/>
        <w:left w:val="none" w:sz="0" w:space="0" w:color="auto"/>
        <w:bottom w:val="none" w:sz="0" w:space="0" w:color="auto"/>
        <w:right w:val="none" w:sz="0" w:space="0" w:color="auto"/>
      </w:divBdr>
    </w:div>
    <w:div w:id="668482804">
      <w:bodyDiv w:val="1"/>
      <w:marLeft w:val="0"/>
      <w:marRight w:val="0"/>
      <w:marTop w:val="0"/>
      <w:marBottom w:val="0"/>
      <w:divBdr>
        <w:top w:val="none" w:sz="0" w:space="0" w:color="auto"/>
        <w:left w:val="none" w:sz="0" w:space="0" w:color="auto"/>
        <w:bottom w:val="none" w:sz="0" w:space="0" w:color="auto"/>
        <w:right w:val="none" w:sz="0" w:space="0" w:color="auto"/>
      </w:divBdr>
    </w:div>
    <w:div w:id="812406045">
      <w:bodyDiv w:val="1"/>
      <w:marLeft w:val="0"/>
      <w:marRight w:val="0"/>
      <w:marTop w:val="0"/>
      <w:marBottom w:val="0"/>
      <w:divBdr>
        <w:top w:val="none" w:sz="0" w:space="0" w:color="auto"/>
        <w:left w:val="none" w:sz="0" w:space="0" w:color="auto"/>
        <w:bottom w:val="none" w:sz="0" w:space="0" w:color="auto"/>
        <w:right w:val="none" w:sz="0" w:space="0" w:color="auto"/>
      </w:divBdr>
    </w:div>
    <w:div w:id="894699270">
      <w:bodyDiv w:val="1"/>
      <w:marLeft w:val="0"/>
      <w:marRight w:val="0"/>
      <w:marTop w:val="0"/>
      <w:marBottom w:val="0"/>
      <w:divBdr>
        <w:top w:val="none" w:sz="0" w:space="0" w:color="auto"/>
        <w:left w:val="none" w:sz="0" w:space="0" w:color="auto"/>
        <w:bottom w:val="none" w:sz="0" w:space="0" w:color="auto"/>
        <w:right w:val="none" w:sz="0" w:space="0" w:color="auto"/>
      </w:divBdr>
    </w:div>
    <w:div w:id="1245728158">
      <w:bodyDiv w:val="1"/>
      <w:marLeft w:val="0"/>
      <w:marRight w:val="0"/>
      <w:marTop w:val="0"/>
      <w:marBottom w:val="0"/>
      <w:divBdr>
        <w:top w:val="none" w:sz="0" w:space="0" w:color="auto"/>
        <w:left w:val="none" w:sz="0" w:space="0" w:color="auto"/>
        <w:bottom w:val="none" w:sz="0" w:space="0" w:color="auto"/>
        <w:right w:val="none" w:sz="0" w:space="0" w:color="auto"/>
      </w:divBdr>
    </w:div>
    <w:div w:id="1281959772">
      <w:bodyDiv w:val="1"/>
      <w:marLeft w:val="0"/>
      <w:marRight w:val="0"/>
      <w:marTop w:val="0"/>
      <w:marBottom w:val="0"/>
      <w:divBdr>
        <w:top w:val="none" w:sz="0" w:space="0" w:color="auto"/>
        <w:left w:val="none" w:sz="0" w:space="0" w:color="auto"/>
        <w:bottom w:val="none" w:sz="0" w:space="0" w:color="auto"/>
        <w:right w:val="none" w:sz="0" w:space="0" w:color="auto"/>
      </w:divBdr>
    </w:div>
    <w:div w:id="1468401863">
      <w:bodyDiv w:val="1"/>
      <w:marLeft w:val="0"/>
      <w:marRight w:val="0"/>
      <w:marTop w:val="0"/>
      <w:marBottom w:val="0"/>
      <w:divBdr>
        <w:top w:val="none" w:sz="0" w:space="0" w:color="auto"/>
        <w:left w:val="none" w:sz="0" w:space="0" w:color="auto"/>
        <w:bottom w:val="none" w:sz="0" w:space="0" w:color="auto"/>
        <w:right w:val="none" w:sz="0" w:space="0" w:color="auto"/>
      </w:divBdr>
    </w:div>
    <w:div w:id="1556349461">
      <w:bodyDiv w:val="1"/>
      <w:marLeft w:val="0"/>
      <w:marRight w:val="0"/>
      <w:marTop w:val="0"/>
      <w:marBottom w:val="0"/>
      <w:divBdr>
        <w:top w:val="none" w:sz="0" w:space="0" w:color="auto"/>
        <w:left w:val="none" w:sz="0" w:space="0" w:color="auto"/>
        <w:bottom w:val="none" w:sz="0" w:space="0" w:color="auto"/>
        <w:right w:val="none" w:sz="0" w:space="0" w:color="auto"/>
      </w:divBdr>
    </w:div>
    <w:div w:id="179551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0BAA2-534C-478E-9378-AF8B3C67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2758</Words>
  <Characters>15724</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Темурбек</dc:creator>
  <cp:keywords/>
  <dc:description/>
  <cp:lastModifiedBy>SDI 1084</cp:lastModifiedBy>
  <cp:revision>25</cp:revision>
  <dcterms:created xsi:type="dcterms:W3CDTF">2025-06-17T12:09:00Z</dcterms:created>
  <dcterms:modified xsi:type="dcterms:W3CDTF">2025-06-19T09:38:00Z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94762002-d0a0-475d-8651-1430f1e70e74</vt:lpwstr>
  </property>
</Properties>
</file>