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DD" w:rsidRPr="000D5EDD" w:rsidRDefault="006177F9" w:rsidP="000D5EDD">
      <w:pPr>
        <w:shd w:val="clear" w:color="auto" w:fill="FFFFFF"/>
        <w:spacing w:before="200" w:after="200" w:line="480" w:lineRule="auto"/>
        <w:jc w:val="right"/>
        <w:rPr>
          <w:rFonts w:ascii="Roboto" w:eastAsia="Roboto" w:hAnsi="Roboto" w:cs="Roboto"/>
          <w:b/>
          <w:i/>
          <w:color w:val="404040"/>
          <w:sz w:val="24"/>
          <w:szCs w:val="24"/>
          <w:u w:val="single"/>
        </w:rPr>
      </w:pPr>
      <w:r>
        <w:rPr>
          <w:rFonts w:ascii="Roboto" w:eastAsia="Roboto" w:hAnsi="Roboto" w:cs="Roboto"/>
          <w:color w:val="404040"/>
          <w:sz w:val="24"/>
          <w:szCs w:val="24"/>
        </w:rPr>
        <w:t xml:space="preserve"> </w:t>
      </w:r>
      <w:r w:rsidR="000D5EDD" w:rsidRPr="000D5EDD">
        <w:rPr>
          <w:rFonts w:ascii="Roboto" w:eastAsia="Roboto" w:hAnsi="Roboto" w:cs="Roboto"/>
          <w:b/>
          <w:i/>
          <w:color w:val="404040"/>
          <w:sz w:val="30"/>
          <w:szCs w:val="24"/>
          <w:u w:val="single"/>
        </w:rPr>
        <w:t>Original Research Article</w:t>
      </w:r>
    </w:p>
    <w:p w:rsidR="00AE49F9" w:rsidRDefault="006177F9">
      <w:pPr>
        <w:shd w:val="clear" w:color="auto" w:fill="FFFFFF"/>
        <w:spacing w:before="200" w:after="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OF CLINICAL AND LABORATORY PROFILE OF DENGUE FEVER IN A TERTIARY CASE HOSPITAL IN BANGALORE</w:t>
      </w: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6177F9">
      <w:pPr>
        <w:shd w:val="clear" w:color="auto" w:fill="FFFFFF"/>
        <w:spacing w:before="200" w:after="200" w:line="480" w:lineRule="auto"/>
        <w:rPr>
          <w:rFonts w:ascii="Times New Roman" w:eastAsia="Times New Roman" w:hAnsi="Times New Roman" w:cs="Times New Roman"/>
          <w:b/>
          <w:color w:val="404040"/>
          <w:sz w:val="24"/>
          <w:szCs w:val="24"/>
        </w:rPr>
      </w:pPr>
      <w:r>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b/>
          <w:color w:val="404040"/>
          <w:sz w:val="24"/>
          <w:szCs w:val="24"/>
        </w:rPr>
        <w:t xml:space="preserve"> </w:t>
      </w:r>
      <w:r>
        <w:rPr>
          <w:rFonts w:ascii="Times New Roman" w:eastAsia="Times New Roman" w:hAnsi="Times New Roman" w:cs="Times New Roman"/>
          <w:b/>
          <w:color w:val="404040"/>
          <w:sz w:val="24"/>
          <w:szCs w:val="24"/>
          <w:u w:val="single"/>
        </w:rPr>
        <w:t>ABSTRACT</w:t>
      </w: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proofErr w:type="spellStart"/>
      <w:proofErr w:type="gramStart"/>
      <w:r>
        <w:rPr>
          <w:rFonts w:ascii="Times New Roman" w:eastAsia="Times New Roman" w:hAnsi="Times New Roman" w:cs="Times New Roman"/>
          <w:b/>
          <w:color w:val="404040"/>
          <w:sz w:val="24"/>
          <w:szCs w:val="24"/>
        </w:rPr>
        <w:t>Aim</w:t>
      </w:r>
      <w:r>
        <w:rPr>
          <w:rFonts w:ascii="Times New Roman" w:eastAsia="Times New Roman" w:hAnsi="Times New Roman" w:cs="Times New Roman"/>
          <w:color w:val="404040"/>
          <w:sz w:val="24"/>
          <w:szCs w:val="24"/>
        </w:rPr>
        <w:t>:To</w:t>
      </w:r>
      <w:proofErr w:type="spellEnd"/>
      <w:proofErr w:type="gramEnd"/>
      <w:r>
        <w:rPr>
          <w:rFonts w:ascii="Times New Roman" w:eastAsia="Times New Roman" w:hAnsi="Times New Roman" w:cs="Times New Roman"/>
          <w:color w:val="404040"/>
          <w:sz w:val="24"/>
          <w:szCs w:val="24"/>
        </w:rPr>
        <w:t xml:space="preserve"> evaluate the clinical and laboratory profiles of dengue patients in a tertiary care setting and identify predictors of severe outcomes.</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Study design</w:t>
      </w:r>
      <w:r>
        <w:rPr>
          <w:rFonts w:ascii="Times New Roman" w:eastAsia="Times New Roman" w:hAnsi="Times New Roman" w:cs="Times New Roman"/>
          <w:color w:val="404040"/>
          <w:sz w:val="24"/>
          <w:szCs w:val="24"/>
        </w:rPr>
        <w:t>: Cross-sectional prospective observational study.</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Place and Duration of Study</w:t>
      </w:r>
      <w:r>
        <w:rPr>
          <w:rFonts w:ascii="Times New Roman" w:eastAsia="Times New Roman" w:hAnsi="Times New Roman" w:cs="Times New Roman"/>
          <w:color w:val="404040"/>
          <w:sz w:val="24"/>
          <w:szCs w:val="24"/>
        </w:rPr>
        <w:t xml:space="preserve">: Department of General Medicine, ESI MC &amp; PGIMSR, Bangalore, India between October 2025 and March </w:t>
      </w:r>
      <w:proofErr w:type="gramStart"/>
      <w:r>
        <w:rPr>
          <w:rFonts w:ascii="Times New Roman" w:eastAsia="Times New Roman" w:hAnsi="Times New Roman" w:cs="Times New Roman"/>
          <w:color w:val="404040"/>
          <w:sz w:val="24"/>
          <w:szCs w:val="24"/>
        </w:rPr>
        <w:t>2025  (</w:t>
      </w:r>
      <w:proofErr w:type="gramEnd"/>
      <w:r>
        <w:rPr>
          <w:rFonts w:ascii="Times New Roman" w:eastAsia="Times New Roman" w:hAnsi="Times New Roman" w:cs="Times New Roman"/>
          <w:color w:val="404040"/>
          <w:sz w:val="24"/>
          <w:szCs w:val="24"/>
        </w:rPr>
        <w:t>6 months duration).</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proofErr w:type="spellStart"/>
      <w:proofErr w:type="gramStart"/>
      <w:r>
        <w:rPr>
          <w:rFonts w:ascii="Times New Roman" w:eastAsia="Times New Roman" w:hAnsi="Times New Roman" w:cs="Times New Roman"/>
          <w:b/>
          <w:color w:val="404040"/>
          <w:sz w:val="24"/>
          <w:szCs w:val="24"/>
        </w:rPr>
        <w:t>Methodology</w:t>
      </w:r>
      <w:r>
        <w:rPr>
          <w:rFonts w:ascii="Times New Roman" w:eastAsia="Times New Roman" w:hAnsi="Times New Roman" w:cs="Times New Roman"/>
          <w:color w:val="404040"/>
          <w:sz w:val="24"/>
          <w:szCs w:val="24"/>
        </w:rPr>
        <w:t>:We</w:t>
      </w:r>
      <w:proofErr w:type="spellEnd"/>
      <w:proofErr w:type="gramEnd"/>
      <w:r>
        <w:rPr>
          <w:rFonts w:ascii="Times New Roman" w:eastAsia="Times New Roman" w:hAnsi="Times New Roman" w:cs="Times New Roman"/>
          <w:color w:val="404040"/>
          <w:sz w:val="24"/>
          <w:szCs w:val="24"/>
        </w:rPr>
        <w:t xml:space="preserve"> studied 50 serologically confirmed dengue patients (NS1Ag/IgM positive) aged &gt;18 years. Daily monitoring included complete hemogram, liver function tests (AST/ALT), and ultrasonography (gallbladder/ascites). Patients were managed as per WHO 2021 guidelines. Statistical analysis used SPSS v26 (descriptive statistics, ANOVA, Chi-square, logistic regression).</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Results</w:t>
      </w:r>
      <w:r>
        <w:rPr>
          <w:rFonts w:ascii="Times New Roman" w:eastAsia="Times New Roman" w:hAnsi="Times New Roman" w:cs="Times New Roman"/>
          <w:color w:val="404040"/>
          <w:sz w:val="24"/>
          <w:szCs w:val="24"/>
        </w:rPr>
        <w:t xml:space="preserve">: The cohort showed male predominance (60%, n=30) with peak incidence in 18-40 years (66%). Universal symptoms included fever (100%) and myalgia (86%); bleeding manifestations occurred in 23%. Laboratory findings revealed severe thrombocytopenia (&lt;50,000/mm³) in 66%, leucopenia (&lt;4,000/mm³) in 90%, and elevated AST/ALT (&gt;45 IU/L) in all cases. </w:t>
      </w:r>
      <w:r>
        <w:rPr>
          <w:rFonts w:ascii="Times New Roman" w:eastAsia="Times New Roman" w:hAnsi="Times New Roman" w:cs="Times New Roman"/>
          <w:color w:val="404040"/>
          <w:sz w:val="24"/>
          <w:szCs w:val="24"/>
        </w:rPr>
        <w:lastRenderedPageBreak/>
        <w:t>Ultrasonography detected gallbladder wall thickening (18%) and ascites (22%). Complications included ARDS (4%) with 2% mortality. Platelet transfusions were administered to 38% patients (only 12% met strict WHO criteria).</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proofErr w:type="spellStart"/>
      <w:proofErr w:type="gramStart"/>
      <w:r>
        <w:rPr>
          <w:rFonts w:ascii="Times New Roman" w:eastAsia="Times New Roman" w:hAnsi="Times New Roman" w:cs="Times New Roman"/>
          <w:b/>
          <w:color w:val="404040"/>
          <w:sz w:val="24"/>
          <w:szCs w:val="24"/>
        </w:rPr>
        <w:t>Conclusion</w:t>
      </w:r>
      <w:r>
        <w:rPr>
          <w:rFonts w:ascii="Times New Roman" w:eastAsia="Times New Roman" w:hAnsi="Times New Roman" w:cs="Times New Roman"/>
          <w:color w:val="404040"/>
          <w:sz w:val="24"/>
          <w:szCs w:val="24"/>
        </w:rPr>
        <w:t>:Thrombocytopenia</w:t>
      </w:r>
      <w:proofErr w:type="spellEnd"/>
      <w:proofErr w:type="gramEnd"/>
      <w:r>
        <w:rPr>
          <w:rFonts w:ascii="Times New Roman" w:eastAsia="Times New Roman" w:hAnsi="Times New Roman" w:cs="Times New Roman"/>
          <w:color w:val="404040"/>
          <w:sz w:val="24"/>
          <w:szCs w:val="24"/>
        </w:rPr>
        <w:t>, transaminitis and ultrasonographic findings effectively predict dengue severity. Strict adherence to WHO transfusion thresholds (&lt;10,000/mm³ without bleeding) could optimize resource utilization in endemic regions.</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Keywords</w:t>
      </w:r>
      <w:r>
        <w:rPr>
          <w:rFonts w:ascii="Times New Roman" w:eastAsia="Times New Roman" w:hAnsi="Times New Roman" w:cs="Times New Roman"/>
          <w:color w:val="404040"/>
          <w:sz w:val="24"/>
          <w:szCs w:val="24"/>
        </w:rPr>
        <w:t>: Dengue fever, thrombocytopenia, leucopenia, gallbladder wall thickening</w:t>
      </w:r>
    </w:p>
    <w:p w:rsidR="00AE49F9" w:rsidRDefault="006177F9">
      <w:pPr>
        <w:shd w:val="clear" w:color="auto" w:fill="FFFFFF"/>
        <w:spacing w:before="200"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E49F9" w:rsidRDefault="006177F9">
      <w:pPr>
        <w:shd w:val="clear" w:color="auto" w:fill="FFFFFF"/>
        <w:spacing w:before="200"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E49F9" w:rsidRDefault="006177F9">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Introduction </w:t>
      </w:r>
    </w:p>
    <w:p w:rsidR="00AE49F9" w:rsidRDefault="00AE49F9">
      <w:pPr>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Symptomatic dengue virus infections can present with a wide range of clinical manifestations from mild febrile illness to life-threatening shock syndrome or organ dysfunction. The patients with dengue fever typically present with the sudden onset of fever, frontal headache,</w:t>
      </w:r>
      <w:r w:rsidR="00EE5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retroorbital pain, and back pain along with severe myalgias,</w:t>
      </w:r>
      <w:r w:rsidR="00EE5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break- bone fever. Additional signs and symptoms include anorexia, nausea, vomiting. Epistaxis and scattered petechiae are often noted in uncomplicated dengue.</w:t>
      </w:r>
      <w:r w:rsidR="00EE5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 Dengue is caused by four antigenically distinct viruses designated as dengue virus type 1-4 (DEN-1, DEN-2, DEN-3 and DEN-4) belonging to genus flavivirus of family </w:t>
      </w:r>
      <w:proofErr w:type="spellStart"/>
      <w:r>
        <w:rPr>
          <w:rFonts w:ascii="Times New Roman" w:eastAsia="Times New Roman" w:hAnsi="Times New Roman" w:cs="Times New Roman"/>
          <w:sz w:val="24"/>
          <w:szCs w:val="24"/>
        </w:rPr>
        <w:t>flaviviridae</w:t>
      </w:r>
      <w:proofErr w:type="spellEnd"/>
      <w:r>
        <w:rPr>
          <w:rFonts w:ascii="Times New Roman" w:eastAsia="Times New Roman" w:hAnsi="Times New Roman" w:cs="Times New Roman"/>
          <w:sz w:val="24"/>
          <w:szCs w:val="24"/>
        </w:rPr>
        <w:t>.</w:t>
      </w:r>
      <w:r w:rsidR="00EE5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Dengue fever, caused by the dengue virus (DENV 1-4), is a mosquito-borne illness endemic in tropical and subtropical regions. It manifests as a spectrum of diseases, from asymptomatic </w:t>
      </w:r>
      <w:r>
        <w:rPr>
          <w:rFonts w:ascii="Times New Roman" w:eastAsia="Times New Roman" w:hAnsi="Times New Roman" w:cs="Times New Roman"/>
          <w:sz w:val="24"/>
          <w:szCs w:val="24"/>
        </w:rPr>
        <w:lastRenderedPageBreak/>
        <w:t xml:space="preserve">infection to severe forms like DHF and DSS, which are associated with high </w:t>
      </w:r>
      <w:proofErr w:type="spellStart"/>
      <w:proofErr w:type="gramStart"/>
      <w:r>
        <w:rPr>
          <w:rFonts w:ascii="Times New Roman" w:eastAsia="Times New Roman" w:hAnsi="Times New Roman" w:cs="Times New Roman"/>
          <w:sz w:val="24"/>
          <w:szCs w:val="24"/>
        </w:rPr>
        <w:t>mortality.The</w:t>
      </w:r>
      <w:proofErr w:type="spellEnd"/>
      <w:proofErr w:type="gramEnd"/>
      <w:r>
        <w:rPr>
          <w:rFonts w:ascii="Times New Roman" w:eastAsia="Times New Roman" w:hAnsi="Times New Roman" w:cs="Times New Roman"/>
          <w:sz w:val="24"/>
          <w:szCs w:val="24"/>
        </w:rPr>
        <w:t xml:space="preserve"> global incidence of dengue has risen dramatically, with an estimated 390 million infections annually, of which 96 million are clinically apparent.[3]</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India, dengue is a growing public health challenge, with outbreaks reported annually. Bangalore, a densely populated urban center, is particularly vulnerable due to its climate and rapid urbanization, which favor mosquito </w:t>
      </w:r>
      <w:proofErr w:type="gramStart"/>
      <w:r>
        <w:rPr>
          <w:rFonts w:ascii="Times New Roman" w:eastAsia="Times New Roman" w:hAnsi="Times New Roman" w:cs="Times New Roman"/>
          <w:sz w:val="24"/>
          <w:szCs w:val="24"/>
        </w:rPr>
        <w:t>breeding.[</w:t>
      </w:r>
      <w:proofErr w:type="gramEnd"/>
      <w:r>
        <w:rPr>
          <w:rFonts w:ascii="Times New Roman" w:eastAsia="Times New Roman" w:hAnsi="Times New Roman" w:cs="Times New Roman"/>
          <w:sz w:val="24"/>
          <w:szCs w:val="24"/>
        </w:rPr>
        <w:t>4] The clinical diagnosis of dengue is challenging due to its nonspecific early symptoms, such as fever, headache, retroorbital pain, and myalgia, often termed "break-bone fever." Laboratory confirmation relies on detecting NS1 antigen or IgM antibodies [5].</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Severe dengue is characterized by plasma leakage, hemorrhage, and organ impairment, necessitating intensive monitoring. Thrombocytopenia, hemoconcentration, and elevated liver enzymes are hallmark laboratory findings [6].  Ultrasonography aids in detecting complications like gallbladder edema and ascites [7]. This study aims to delineate the clinical and laboratory profiles of dengue patients in a tertiary care setting, providing insights for improved management and outcomes.</w:t>
      </w:r>
    </w:p>
    <w:p w:rsidR="00AE49F9" w:rsidRDefault="00AE49F9">
      <w:pPr>
        <w:spacing w:line="480" w:lineRule="auto"/>
        <w:rPr>
          <w:rFonts w:ascii="Times New Roman" w:eastAsia="Times New Roman" w:hAnsi="Times New Roman" w:cs="Times New Roman"/>
          <w:sz w:val="24"/>
          <w:szCs w:val="24"/>
        </w:rPr>
      </w:pPr>
    </w:p>
    <w:p w:rsidR="00AE49F9" w:rsidRDefault="006177F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Materials </w:t>
      </w:r>
      <w:proofErr w:type="gramStart"/>
      <w:r>
        <w:rPr>
          <w:rFonts w:ascii="Times New Roman" w:eastAsia="Times New Roman" w:hAnsi="Times New Roman" w:cs="Times New Roman"/>
          <w:b/>
          <w:sz w:val="24"/>
          <w:szCs w:val="24"/>
          <w:u w:val="single"/>
        </w:rPr>
        <w:t>And</w:t>
      </w:r>
      <w:proofErr w:type="gramEnd"/>
      <w:r>
        <w:rPr>
          <w:rFonts w:ascii="Times New Roman" w:eastAsia="Times New Roman" w:hAnsi="Times New Roman" w:cs="Times New Roman"/>
          <w:b/>
          <w:sz w:val="24"/>
          <w:szCs w:val="24"/>
          <w:u w:val="single"/>
        </w:rPr>
        <w:t xml:space="preserve"> Methods</w:t>
      </w:r>
    </w:p>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cross-sectional observational study was conducted in the Department of General Medicine at a tertiary care center in Bangalore, India in a duration of 6 months. After institutional ethics committee approval, Source of data - Suspected cases of Dengue fever in Outpatients and admitted as Inpatient in ESI MC &amp; PGIMSR,</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Rajajinagar, Bangalore.</w:t>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Sample size:</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color w:val="404040"/>
          <w:sz w:val="24"/>
          <w:szCs w:val="24"/>
        </w:rPr>
        <w:t>The sample size of 50 was determined based on the Prevalence Data from Previous studies in Bangalore reported a 30% of febrile illnesses as dengue-positive (NVBDCP, 2022). Assuming a 95% confidence level and 10% margin of error, the minimum required sample size was 45. We included 50 patients to account for potential dropouts. Similar single-center studies in India (e.g., Patil et al., 2023; *n* = 50–100) validated this sample size for descriptive analyses.</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design: Cross-sectional prospective observational study</w:t>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study: 6 months (October 2024- March 2025)</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Patients above 18 years.</w:t>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with clinical features suggestive of dengue infection, later on confirmed by serology-rapid card test for NS1 antigen and IGM ELISA (Enzyme Linked Immunosorbent Assay) were included in this study.</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EXCLUSION CRITERIA:</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Dengue fever with Co-infections - malaria, leptospirosis, typhoid fever, rickettsia, chikungunya and HIV infection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excluded from the study</w:t>
      </w: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Methodology</w:t>
      </w:r>
      <w:r>
        <w:rPr>
          <w:rFonts w:ascii="Times New Roman" w:eastAsia="Times New Roman" w:hAnsi="Times New Roman" w:cs="Times New Roman"/>
          <w:b/>
          <w:sz w:val="24"/>
          <w:szCs w:val="24"/>
          <w:u w:val="single"/>
        </w:rPr>
        <w:t xml:space="preserve"> </w:t>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Fever of acute onset, lasting for 2-7 days with symptoms specific to dengue fever such as headache, myalgia, retroorbital pain,</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rash or arthralgia with positive for NS1Ag, IgM antibodies.</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cases were followed up daily for the clinical and laboratory parameters.</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Patients were treated as per WHO Guidelines for management of dengue fever. The cases were stratified based on the presence or absence of complications like shock and </w:t>
      </w:r>
      <w:proofErr w:type="spellStart"/>
      <w:r>
        <w:rPr>
          <w:rFonts w:ascii="Times New Roman" w:eastAsia="Times New Roman" w:hAnsi="Times New Roman" w:cs="Times New Roman"/>
          <w:sz w:val="24"/>
          <w:szCs w:val="24"/>
        </w:rPr>
        <w:t>haemorrhage</w:t>
      </w:r>
      <w:proofErr w:type="spellEnd"/>
      <w:r>
        <w:rPr>
          <w:rFonts w:ascii="Times New Roman" w:eastAsia="Times New Roman" w:hAnsi="Times New Roman" w:cs="Times New Roman"/>
          <w:sz w:val="24"/>
          <w:szCs w:val="24"/>
        </w:rPr>
        <w:t>.</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frequency of </w:t>
      </w:r>
      <w:r>
        <w:rPr>
          <w:rFonts w:ascii="Times New Roman" w:eastAsia="Times New Roman" w:hAnsi="Times New Roman" w:cs="Times New Roman"/>
          <w:sz w:val="24"/>
          <w:szCs w:val="24"/>
        </w:rPr>
        <w:lastRenderedPageBreak/>
        <w:t>various signs and symptoms and the values of laboratory tests were compared.</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clinical history, physical findings and laboratory investigations like Complete Hemogram,</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Renal/ Liver Function Test, Fever profile,</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urine routine,</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Coagulation profile,</w:t>
      </w:r>
      <w:r w:rsidR="0027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ECG, Chest </w:t>
      </w:r>
      <w:proofErr w:type="spellStart"/>
      <w:r>
        <w:rPr>
          <w:rFonts w:ascii="Times New Roman" w:eastAsia="Times New Roman" w:hAnsi="Times New Roman" w:cs="Times New Roman"/>
          <w:sz w:val="24"/>
          <w:szCs w:val="24"/>
        </w:rPr>
        <w:t>Xray</w:t>
      </w:r>
      <w:proofErr w:type="spellEnd"/>
      <w:r>
        <w:rPr>
          <w:rFonts w:ascii="Times New Roman" w:eastAsia="Times New Roman" w:hAnsi="Times New Roman" w:cs="Times New Roman"/>
          <w:sz w:val="24"/>
          <w:szCs w:val="24"/>
        </w:rPr>
        <w:t>, Ultrasound abdomen and pelvis, NS1Ag, IgM antibodies, CT/MRI brain/CSF/2D ECHO if required.</w:t>
      </w:r>
    </w:p>
    <w:p w:rsidR="00AE49F9" w:rsidRDefault="00AE49F9">
      <w:pPr>
        <w:spacing w:line="480" w:lineRule="auto"/>
        <w:rPr>
          <w:rFonts w:ascii="Times New Roman" w:eastAsia="Times New Roman" w:hAnsi="Times New Roman" w:cs="Times New Roman"/>
          <w:sz w:val="24"/>
          <w:szCs w:val="24"/>
        </w:rPr>
      </w:pPr>
    </w:p>
    <w:p w:rsidR="00AE49F9" w:rsidRDefault="00AE49F9">
      <w:pPr>
        <w:spacing w:line="480" w:lineRule="auto"/>
        <w:rPr>
          <w:rFonts w:ascii="Times New Roman" w:eastAsia="Times New Roman" w:hAnsi="Times New Roman" w:cs="Times New Roman"/>
          <w:sz w:val="24"/>
          <w:szCs w:val="24"/>
        </w:rPr>
      </w:pPr>
    </w:p>
    <w:p w:rsidR="00AE49F9" w:rsidRDefault="006177F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STATISTICAL ANALYSIS </w:t>
      </w:r>
    </w:p>
    <w:p w:rsidR="00AE49F9" w:rsidRDefault="006177F9">
      <w:pPr>
        <w:spacing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Data were analyzed using SPSS v26 and presented as Categorical variables (e.g., bleeding manifestations, transfusion needs) as percentages. Continuous variables (e.g., platelet count, AST/ALT) as mean ± SD or median (IQR) for non-normal distributions (tested via Shapiro-Wilk).</w:t>
      </w:r>
    </w:p>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For Comparative Statistics: Chi-square/Fisher’s exact test compared complications (e.g., DHF vs. DSS) for categorical outcomes. Independent *t*-test/Mann-Whitney </w:t>
      </w:r>
      <w:r>
        <w:rPr>
          <w:rFonts w:ascii="Times New Roman" w:eastAsia="Times New Roman" w:hAnsi="Times New Roman" w:cs="Times New Roman"/>
          <w:i/>
          <w:color w:val="404040"/>
          <w:sz w:val="24"/>
          <w:szCs w:val="24"/>
        </w:rPr>
        <w:t>U</w:t>
      </w:r>
      <w:r>
        <w:rPr>
          <w:rFonts w:ascii="Times New Roman" w:eastAsia="Times New Roman" w:hAnsi="Times New Roman" w:cs="Times New Roman"/>
          <w:color w:val="404040"/>
          <w:sz w:val="24"/>
          <w:szCs w:val="24"/>
        </w:rPr>
        <w:t xml:space="preserve"> test analyzed lab parameters between severity groups. P-value: &lt;0.05 was considered significant.</w:t>
      </w:r>
    </w:p>
    <w:p w:rsidR="00AE49F9" w:rsidRDefault="00AE49F9">
      <w:pPr>
        <w:shd w:val="clear" w:color="auto" w:fill="FFFFFF"/>
        <w:spacing w:before="260" w:after="200" w:line="480" w:lineRule="auto"/>
        <w:rPr>
          <w:rFonts w:ascii="Times New Roman" w:eastAsia="Times New Roman" w:hAnsi="Times New Roman" w:cs="Times New Roman"/>
          <w:color w:val="404040"/>
          <w:sz w:val="24"/>
          <w:szCs w:val="24"/>
        </w:rPr>
      </w:pPr>
    </w:p>
    <w:p w:rsidR="00AE49F9" w:rsidRDefault="006177F9">
      <w:pPr>
        <w:shd w:val="clear" w:color="auto" w:fill="FFFFFF"/>
        <w:spacing w:before="260" w:after="20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Ethical Clearance - Obtained</w:t>
      </w:r>
    </w:p>
    <w:p w:rsidR="00AE49F9" w:rsidRDefault="00AE49F9">
      <w:pPr>
        <w:spacing w:line="480" w:lineRule="auto"/>
        <w:rPr>
          <w:rFonts w:ascii="Times New Roman" w:eastAsia="Times New Roman" w:hAnsi="Times New Roman" w:cs="Times New Roman"/>
          <w:b/>
          <w:sz w:val="26"/>
          <w:szCs w:val="26"/>
        </w:rPr>
      </w:pPr>
    </w:p>
    <w:p w:rsidR="00AE49F9" w:rsidRDefault="006177F9">
      <w:pPr>
        <w:spacing w:line="48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No usage of </w:t>
      </w:r>
      <w:proofErr w:type="spellStart"/>
      <w:r>
        <w:rPr>
          <w:rFonts w:ascii="Times New Roman" w:eastAsia="Times New Roman" w:hAnsi="Times New Roman" w:cs="Times New Roman"/>
          <w:b/>
          <w:sz w:val="26"/>
          <w:szCs w:val="26"/>
        </w:rPr>
        <w:t>Artifical</w:t>
      </w:r>
      <w:proofErr w:type="spellEnd"/>
      <w:r>
        <w:rPr>
          <w:rFonts w:ascii="Times New Roman" w:eastAsia="Times New Roman" w:hAnsi="Times New Roman" w:cs="Times New Roman"/>
          <w:b/>
          <w:sz w:val="26"/>
          <w:szCs w:val="26"/>
        </w:rPr>
        <w:t xml:space="preserve"> Intelligence </w:t>
      </w:r>
    </w:p>
    <w:p w:rsidR="00AE49F9" w:rsidRDefault="00AE49F9">
      <w:pPr>
        <w:spacing w:line="480" w:lineRule="auto"/>
        <w:rPr>
          <w:rFonts w:ascii="Times New Roman" w:eastAsia="Times New Roman" w:hAnsi="Times New Roman" w:cs="Times New Roman"/>
          <w:sz w:val="24"/>
          <w:szCs w:val="24"/>
        </w:rPr>
      </w:pPr>
    </w:p>
    <w:p w:rsidR="00AE49F9" w:rsidRDefault="00AE49F9">
      <w:pPr>
        <w:spacing w:line="480" w:lineRule="auto"/>
        <w:rPr>
          <w:rFonts w:ascii="Times New Roman" w:eastAsia="Times New Roman" w:hAnsi="Times New Roman" w:cs="Times New Roman"/>
          <w:b/>
          <w:sz w:val="24"/>
          <w:szCs w:val="24"/>
          <w:u w:val="single"/>
        </w:rPr>
      </w:pPr>
    </w:p>
    <w:p w:rsidR="00AE49F9" w:rsidRDefault="00AE49F9">
      <w:pPr>
        <w:spacing w:line="480" w:lineRule="auto"/>
        <w:rPr>
          <w:rFonts w:ascii="Times New Roman" w:eastAsia="Times New Roman" w:hAnsi="Times New Roman" w:cs="Times New Roman"/>
          <w:b/>
          <w:sz w:val="24"/>
          <w:szCs w:val="24"/>
          <w:u w:val="single"/>
        </w:rPr>
      </w:pPr>
    </w:p>
    <w:p w:rsidR="00AE49F9" w:rsidRDefault="00AE49F9">
      <w:pPr>
        <w:spacing w:line="480" w:lineRule="auto"/>
        <w:rPr>
          <w:rFonts w:ascii="Times New Roman" w:eastAsia="Times New Roman" w:hAnsi="Times New Roman" w:cs="Times New Roman"/>
          <w:b/>
          <w:sz w:val="24"/>
          <w:szCs w:val="24"/>
          <w:u w:val="single"/>
        </w:rPr>
      </w:pPr>
    </w:p>
    <w:p w:rsidR="00AE49F9" w:rsidRDefault="006177F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Results</w:t>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anchor distT="118872" distB="114300" distL="114300" distR="114300" simplePos="0" relativeHeight="251658240" behindDoc="0" locked="0" layoutInCell="1" hidden="0" allowOverlap="1">
            <wp:simplePos x="0" y="0"/>
            <wp:positionH relativeFrom="column">
              <wp:posOffset>-64007</wp:posOffset>
            </wp:positionH>
            <wp:positionV relativeFrom="paragraph">
              <wp:posOffset>118872</wp:posOffset>
            </wp:positionV>
            <wp:extent cx="6121908" cy="4480124"/>
            <wp:effectExtent l="0" t="0" r="0" b="0"/>
            <wp:wrapSquare wrapText="bothSides" distT="118872" distB="114300" distL="114300" distR="114300"/>
            <wp:docPr id="1642373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4719"/>
                    <a:stretch>
                      <a:fillRect/>
                    </a:stretch>
                  </pic:blipFill>
                  <pic:spPr>
                    <a:xfrm>
                      <a:off x="0" y="0"/>
                      <a:ext cx="6121908" cy="4480124"/>
                    </a:xfrm>
                    <a:prstGeom prst="rect">
                      <a:avLst/>
                    </a:prstGeom>
                    <a:ln/>
                  </pic:spPr>
                </pic:pic>
              </a:graphicData>
            </a:graphic>
          </wp:anchor>
        </w:drawing>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Figure 1- Bar graph showing clinical and laboratory characteristics.</w:t>
      </w: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E49F9" w:rsidRDefault="00AE49F9">
      <w:pPr>
        <w:widowControl w:val="0"/>
        <w:spacing w:line="480" w:lineRule="auto"/>
        <w:rPr>
          <w:rFonts w:ascii="Times New Roman" w:eastAsia="Times New Roman" w:hAnsi="Times New Roman" w:cs="Times New Roman"/>
          <w:sz w:val="24"/>
          <w:szCs w:val="24"/>
        </w:rPr>
      </w:pPr>
    </w:p>
    <w:p w:rsidR="00AE49F9" w:rsidRDefault="00AE49F9">
      <w:pPr>
        <w:widowControl w:val="0"/>
        <w:spacing w:line="480" w:lineRule="auto"/>
        <w:rPr>
          <w:rFonts w:ascii="Times New Roman" w:eastAsia="Times New Roman" w:hAnsi="Times New Roman" w:cs="Times New Roman"/>
          <w:sz w:val="24"/>
          <w:szCs w:val="24"/>
        </w:rPr>
      </w:pPr>
    </w:p>
    <w:p w:rsidR="00AE49F9" w:rsidRDefault="006177F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present study highest number of cases were found in age group of 18-40 years (66%) Out of total 50 cases, 30 were male and 20 were female. (Fig2) Out of total 50 cases, 33 were classified as dengue fever, 12 cases as DHF, and 5 cases of DSS.  In the present study the most </w:t>
      </w:r>
      <w:r>
        <w:rPr>
          <w:rFonts w:ascii="Times New Roman" w:eastAsia="Times New Roman" w:hAnsi="Times New Roman" w:cs="Times New Roman"/>
          <w:sz w:val="24"/>
          <w:szCs w:val="24"/>
        </w:rPr>
        <w:lastRenderedPageBreak/>
        <w:t xml:space="preserve">common presenting symptoms were </w:t>
      </w:r>
      <w:proofErr w:type="gramStart"/>
      <w:r>
        <w:rPr>
          <w:rFonts w:ascii="Times New Roman" w:eastAsia="Times New Roman" w:hAnsi="Times New Roman" w:cs="Times New Roman"/>
          <w:sz w:val="24"/>
          <w:szCs w:val="24"/>
        </w:rPr>
        <w:t>fever(</w:t>
      </w:r>
      <w:proofErr w:type="gramEnd"/>
      <w:r>
        <w:rPr>
          <w:rFonts w:ascii="Times New Roman" w:eastAsia="Times New Roman" w:hAnsi="Times New Roman" w:cs="Times New Roman"/>
          <w:sz w:val="24"/>
          <w:szCs w:val="24"/>
        </w:rPr>
        <w:t xml:space="preserve">100%).Bleeding manifestations (23%-like epistaxis, gum bleeding, </w:t>
      </w:r>
      <w:proofErr w:type="spellStart"/>
      <w:r>
        <w:rPr>
          <w:rFonts w:ascii="Times New Roman" w:eastAsia="Times New Roman" w:hAnsi="Times New Roman" w:cs="Times New Roman"/>
          <w:sz w:val="24"/>
          <w:szCs w:val="24"/>
        </w:rPr>
        <w:t>haematuria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malena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haematemesis</w:t>
      </w:r>
      <w:proofErr w:type="spellEnd"/>
      <w:r>
        <w:rPr>
          <w:rFonts w:ascii="Times New Roman" w:eastAsia="Times New Roman" w:hAnsi="Times New Roman" w:cs="Times New Roman"/>
          <w:sz w:val="24"/>
          <w:szCs w:val="24"/>
        </w:rPr>
        <w:t xml:space="preserve">). The least common symptom observed was conjunctival suffusion.  3 patients had developed </w:t>
      </w:r>
      <w:proofErr w:type="spellStart"/>
      <w:r>
        <w:rPr>
          <w:rFonts w:ascii="Times New Roman" w:eastAsia="Times New Roman" w:hAnsi="Times New Roman" w:cs="Times New Roman"/>
          <w:sz w:val="24"/>
          <w:szCs w:val="24"/>
        </w:rPr>
        <w:t>dyspnoea</w:t>
      </w:r>
      <w:proofErr w:type="spellEnd"/>
      <w:r>
        <w:rPr>
          <w:rFonts w:ascii="Times New Roman" w:eastAsia="Times New Roman" w:hAnsi="Times New Roman" w:cs="Times New Roman"/>
          <w:sz w:val="24"/>
          <w:szCs w:val="24"/>
        </w:rPr>
        <w:t>, among them 2 showed features of acute respiratory distress syndrome (ARDS) and 1 was on ventilator and died despite optimum therapy. (Fig 1)</w:t>
      </w:r>
    </w:p>
    <w:p w:rsidR="00AE49F9" w:rsidRDefault="00AE49F9">
      <w:pPr>
        <w:spacing w:line="480" w:lineRule="auto"/>
        <w:rPr>
          <w:rFonts w:ascii="Times New Roman" w:eastAsia="Times New Roman" w:hAnsi="Times New Roman" w:cs="Times New Roman"/>
          <w:sz w:val="24"/>
          <w:szCs w:val="24"/>
        </w:rPr>
      </w:pPr>
    </w:p>
    <w:tbl>
      <w:tblPr>
        <w:tblStyle w:val="a7"/>
        <w:tblpPr w:leftFromText="180" w:rightFromText="180" w:topFromText="180" w:bottomFromText="180" w:vertAnchor="text" w:tblpXSpec="outside"/>
        <w:tblW w:w="9360" w:type="dxa"/>
        <w:tblBorders>
          <w:top w:val="nil"/>
          <w:left w:val="nil"/>
          <w:bottom w:val="nil"/>
          <w:right w:val="nil"/>
          <w:insideH w:val="nil"/>
          <w:insideV w:val="nil"/>
        </w:tblBorders>
        <w:tblLayout w:type="fixed"/>
        <w:tblLook w:val="0600" w:firstRow="0" w:lastRow="0" w:firstColumn="0" w:lastColumn="0" w:noHBand="1" w:noVBand="1"/>
      </w:tblPr>
      <w:tblGrid>
        <w:gridCol w:w="1565"/>
        <w:gridCol w:w="1867"/>
        <w:gridCol w:w="1467"/>
        <w:gridCol w:w="1612"/>
        <w:gridCol w:w="1467"/>
        <w:gridCol w:w="1382"/>
      </w:tblGrid>
      <w:tr w:rsidR="00AE49F9">
        <w:trPr>
          <w:trHeight w:val="500"/>
        </w:trPr>
        <w:tc>
          <w:tcPr>
            <w:tcW w:w="1564" w:type="dxa"/>
            <w:tcBorders>
              <w:top w:val="single" w:sz="6" w:space="0" w:color="000000"/>
              <w:left w:val="single" w:sz="6" w:space="0" w:color="000000"/>
              <w:bottom w:val="single" w:sz="6" w:space="0" w:color="000000"/>
              <w:right w:val="single" w:sz="6" w:space="0" w:color="000000"/>
            </w:tcBorders>
            <w:shd w:val="clear" w:color="auto" w:fill="000000"/>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Parameter</w:t>
            </w:r>
          </w:p>
        </w:tc>
        <w:tc>
          <w:tcPr>
            <w:tcW w:w="1866" w:type="dxa"/>
            <w:tcBorders>
              <w:top w:val="single" w:sz="6" w:space="0" w:color="000000"/>
              <w:left w:val="single" w:sz="6" w:space="0" w:color="000000"/>
              <w:bottom w:val="single" w:sz="6" w:space="0" w:color="000000"/>
              <w:right w:val="single" w:sz="6" w:space="0" w:color="000000"/>
            </w:tcBorders>
            <w:shd w:val="clear" w:color="auto" w:fill="000000"/>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Overall (n=50)</w:t>
            </w:r>
          </w:p>
        </w:tc>
        <w:tc>
          <w:tcPr>
            <w:tcW w:w="1467" w:type="dxa"/>
            <w:tcBorders>
              <w:top w:val="single" w:sz="6" w:space="0" w:color="000000"/>
              <w:left w:val="single" w:sz="6" w:space="0" w:color="000000"/>
              <w:bottom w:val="single" w:sz="6" w:space="0" w:color="000000"/>
              <w:right w:val="single" w:sz="6" w:space="0" w:color="000000"/>
            </w:tcBorders>
            <w:shd w:val="clear" w:color="auto" w:fill="000000"/>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DF (n=33)</w:t>
            </w:r>
          </w:p>
        </w:tc>
        <w:tc>
          <w:tcPr>
            <w:tcW w:w="1612" w:type="dxa"/>
            <w:tcBorders>
              <w:top w:val="single" w:sz="6" w:space="0" w:color="000000"/>
              <w:left w:val="single" w:sz="6" w:space="0" w:color="000000"/>
              <w:bottom w:val="single" w:sz="6" w:space="0" w:color="000000"/>
              <w:right w:val="single" w:sz="6" w:space="0" w:color="000000"/>
            </w:tcBorders>
            <w:shd w:val="clear" w:color="auto" w:fill="000000"/>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DHF (n=12)</w:t>
            </w:r>
          </w:p>
        </w:tc>
        <w:tc>
          <w:tcPr>
            <w:tcW w:w="1467" w:type="dxa"/>
            <w:tcBorders>
              <w:top w:val="single" w:sz="6" w:space="0" w:color="000000"/>
              <w:left w:val="single" w:sz="6" w:space="0" w:color="000000"/>
              <w:bottom w:val="single" w:sz="6" w:space="0" w:color="000000"/>
              <w:right w:val="single" w:sz="6" w:space="0" w:color="000000"/>
            </w:tcBorders>
            <w:shd w:val="clear" w:color="auto" w:fill="000000"/>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DSS (n=5)</w:t>
            </w:r>
          </w:p>
        </w:tc>
        <w:tc>
          <w:tcPr>
            <w:tcW w:w="1382" w:type="dxa"/>
            <w:tcBorders>
              <w:top w:val="single" w:sz="6" w:space="0" w:color="000000"/>
              <w:left w:val="single" w:sz="6" w:space="0" w:color="000000"/>
              <w:bottom w:val="single" w:sz="6" w:space="0" w:color="000000"/>
              <w:right w:val="single" w:sz="6" w:space="0" w:color="000000"/>
            </w:tcBorders>
            <w:shd w:val="clear" w:color="auto" w:fill="000000"/>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p-value</w:t>
            </w:r>
          </w:p>
        </w:tc>
      </w:tr>
      <w:tr w:rsidR="00AE49F9">
        <w:trPr>
          <w:trHeight w:val="500"/>
        </w:trPr>
        <w:tc>
          <w:tcPr>
            <w:tcW w:w="1564"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(years)*</w:t>
            </w:r>
          </w:p>
        </w:tc>
        <w:tc>
          <w:tcPr>
            <w:tcW w:w="1866"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28.5 ± 9.2</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 ± 8.3</w:t>
            </w:r>
          </w:p>
        </w:tc>
        <w:tc>
          <w:tcPr>
            <w:tcW w:w="1612"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 10.1</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30.8 ± 9.7</w:t>
            </w:r>
          </w:p>
        </w:tc>
        <w:tc>
          <w:tcPr>
            <w:tcW w:w="1382"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r>
      <w:tr w:rsidR="00AE49F9">
        <w:trPr>
          <w:trHeight w:val="500"/>
        </w:trPr>
        <w:tc>
          <w:tcPr>
            <w:tcW w:w="1564"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 gender†</w:t>
            </w:r>
          </w:p>
        </w:tc>
        <w:tc>
          <w:tcPr>
            <w:tcW w:w="1866"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(60%)</w:t>
            </w:r>
          </w:p>
        </w:tc>
        <w:tc>
          <w:tcPr>
            <w:tcW w:w="1467"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(54.5%)</w:t>
            </w:r>
          </w:p>
        </w:tc>
        <w:tc>
          <w:tcPr>
            <w:tcW w:w="1612"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(66.7%)</w:t>
            </w:r>
          </w:p>
        </w:tc>
        <w:tc>
          <w:tcPr>
            <w:tcW w:w="1467"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(80%)</w:t>
            </w:r>
          </w:p>
        </w:tc>
        <w:tc>
          <w:tcPr>
            <w:tcW w:w="1382"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r>
      <w:tr w:rsidR="00AE49F9">
        <w:trPr>
          <w:trHeight w:val="755"/>
        </w:trPr>
        <w:tc>
          <w:tcPr>
            <w:tcW w:w="1564"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Fever duration (days)*</w:t>
            </w:r>
          </w:p>
        </w:tc>
        <w:tc>
          <w:tcPr>
            <w:tcW w:w="1866"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 1.8</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 ± 1.5</w:t>
            </w:r>
          </w:p>
        </w:tc>
        <w:tc>
          <w:tcPr>
            <w:tcW w:w="1612"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 2.1</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 2.3</w:t>
            </w:r>
          </w:p>
        </w:tc>
        <w:tc>
          <w:tcPr>
            <w:tcW w:w="1382"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r>
      <w:tr w:rsidR="00AE49F9">
        <w:trPr>
          <w:trHeight w:val="755"/>
        </w:trPr>
        <w:tc>
          <w:tcPr>
            <w:tcW w:w="1564"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Bleeding manifestations†</w:t>
            </w:r>
          </w:p>
        </w:tc>
        <w:tc>
          <w:tcPr>
            <w:tcW w:w="1866"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(24%)</w:t>
            </w:r>
          </w:p>
        </w:tc>
        <w:tc>
          <w:tcPr>
            <w:tcW w:w="1467"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(9.1%)</w:t>
            </w:r>
          </w:p>
        </w:tc>
        <w:tc>
          <w:tcPr>
            <w:tcW w:w="1612"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(50%)</w:t>
            </w:r>
          </w:p>
        </w:tc>
        <w:tc>
          <w:tcPr>
            <w:tcW w:w="1467"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(60%)</w:t>
            </w:r>
          </w:p>
        </w:tc>
        <w:tc>
          <w:tcPr>
            <w:tcW w:w="1382"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AE49F9">
        <w:trPr>
          <w:trHeight w:val="500"/>
        </w:trPr>
        <w:tc>
          <w:tcPr>
            <w:tcW w:w="1564"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Myalgia†</w:t>
            </w:r>
          </w:p>
        </w:tc>
        <w:tc>
          <w:tcPr>
            <w:tcW w:w="1866"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(86%)</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(90.9%)</w:t>
            </w:r>
          </w:p>
        </w:tc>
        <w:tc>
          <w:tcPr>
            <w:tcW w:w="1612"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(83.3%)</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(60%)</w:t>
            </w:r>
          </w:p>
        </w:tc>
        <w:tc>
          <w:tcPr>
            <w:tcW w:w="1382" w:type="dxa"/>
            <w:tcBorders>
              <w:top w:val="single" w:sz="6" w:space="0" w:color="000000"/>
              <w:left w:val="single" w:sz="6" w:space="0" w:color="000000"/>
              <w:bottom w:val="single" w:sz="6" w:space="0" w:color="000000"/>
              <w:right w:val="single" w:sz="6" w:space="0" w:color="000000"/>
            </w:tcBorders>
            <w:shd w:val="clear" w:color="auto" w:fill="D8D8D8"/>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r>
      <w:tr w:rsidR="00AE49F9">
        <w:trPr>
          <w:trHeight w:val="755"/>
        </w:trPr>
        <w:tc>
          <w:tcPr>
            <w:tcW w:w="1564"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Conjunctival suffusion†</w:t>
            </w:r>
          </w:p>
        </w:tc>
        <w:tc>
          <w:tcPr>
            <w:tcW w:w="1866"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(4%)</w:t>
            </w:r>
          </w:p>
        </w:tc>
        <w:tc>
          <w:tcPr>
            <w:tcW w:w="1467"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w:t>
            </w:r>
          </w:p>
        </w:tc>
        <w:tc>
          <w:tcPr>
            <w:tcW w:w="1612"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(8.3%)</w:t>
            </w:r>
          </w:p>
        </w:tc>
        <w:tc>
          <w:tcPr>
            <w:tcW w:w="1467"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82" w:type="dxa"/>
            <w:tcBorders>
              <w:top w:val="single" w:sz="6" w:space="0" w:color="000000"/>
              <w:left w:val="single" w:sz="6" w:space="0" w:color="000000"/>
              <w:bottom w:val="single" w:sz="6" w:space="0" w:color="000000"/>
              <w:right w:val="single" w:sz="6" w:space="0" w:color="000000"/>
            </w:tcBorders>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r>
    </w:tbl>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*Mean ± SD (ANOVA); †n (%) (Chi-square test)</w:t>
      </w:r>
    </w:p>
    <w:p w:rsidR="00AE49F9" w:rsidRDefault="006177F9">
      <w:pPr>
        <w:spacing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sz w:val="24"/>
          <w:szCs w:val="24"/>
        </w:rPr>
        <w:t xml:space="preserve">                       Table 1 - Baseline </w:t>
      </w:r>
      <w:r>
        <w:rPr>
          <w:rFonts w:ascii="Times New Roman" w:eastAsia="Times New Roman" w:hAnsi="Times New Roman" w:cs="Times New Roman"/>
          <w:color w:val="404040"/>
          <w:sz w:val="24"/>
          <w:szCs w:val="24"/>
          <w:highlight w:val="white"/>
        </w:rPr>
        <w:t>Demographic and Clinical Characteristics</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Significant differences in fever duration (p=0.03) with DSS patients having longest duration (6.2 vs 4.8 days in DF)/ Bleeding manifestations were more common in DHF/DSS vs DF (OR=6.6, 95% CI 2.1-20.8)</w:t>
      </w: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6177F9">
      <w:pPr>
        <w:spacing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noProof/>
          <w:sz w:val="24"/>
          <w:szCs w:val="24"/>
          <w:highlight w:val="white"/>
        </w:rPr>
        <w:drawing>
          <wp:inline distT="114300" distB="114300" distL="114300" distR="114300">
            <wp:extent cx="3486150" cy="2596952"/>
            <wp:effectExtent l="0" t="0" r="0" b="0"/>
            <wp:docPr id="1642373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680"/>
                    <a:stretch>
                      <a:fillRect/>
                    </a:stretch>
                  </pic:blipFill>
                  <pic:spPr>
                    <a:xfrm>
                      <a:off x="0" y="0"/>
                      <a:ext cx="3486150" cy="2596952"/>
                    </a:xfrm>
                    <a:prstGeom prst="rect">
                      <a:avLst/>
                    </a:prstGeom>
                    <a:ln/>
                  </pic:spPr>
                </pic:pic>
              </a:graphicData>
            </a:graphic>
          </wp:inline>
        </w:drawing>
      </w:r>
      <w:r>
        <w:rPr>
          <w:rFonts w:ascii="Times New Roman" w:eastAsia="Times New Roman" w:hAnsi="Times New Roman" w:cs="Times New Roman"/>
          <w:sz w:val="24"/>
          <w:szCs w:val="24"/>
          <w:highlight w:val="white"/>
        </w:rPr>
        <w:t>-</w:t>
      </w:r>
    </w:p>
    <w:p w:rsidR="00AE49F9" w:rsidRDefault="006177F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FIGURE </w:t>
      </w:r>
      <w:proofErr w:type="gramStart"/>
      <w:r>
        <w:rPr>
          <w:rFonts w:ascii="Times New Roman" w:eastAsia="Times New Roman" w:hAnsi="Times New Roman" w:cs="Times New Roman"/>
          <w:sz w:val="24"/>
          <w:szCs w:val="24"/>
          <w:highlight w:val="white"/>
        </w:rPr>
        <w:t>2  -</w:t>
      </w:r>
      <w:proofErr w:type="gramEnd"/>
      <w:r>
        <w:rPr>
          <w:rFonts w:ascii="Times New Roman" w:eastAsia="Times New Roman" w:hAnsi="Times New Roman" w:cs="Times New Roman"/>
          <w:sz w:val="24"/>
          <w:szCs w:val="24"/>
          <w:highlight w:val="white"/>
        </w:rPr>
        <w:t xml:space="preserve"> GENDER DISTRIBUTION</w:t>
      </w: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1835"/>
        <w:gridCol w:w="2189"/>
        <w:gridCol w:w="1722"/>
        <w:gridCol w:w="1892"/>
        <w:gridCol w:w="1722"/>
      </w:tblGrid>
      <w:tr w:rsidR="00AE49F9">
        <w:trPr>
          <w:trHeight w:val="500"/>
        </w:trPr>
        <w:tc>
          <w:tcPr>
            <w:tcW w:w="1835" w:type="dxa"/>
            <w:tcBorders>
              <w:top w:val="single" w:sz="6" w:space="0" w:color="000000"/>
              <w:left w:val="single" w:sz="6" w:space="0" w:color="000000"/>
              <w:bottom w:val="single" w:sz="6" w:space="0" w:color="000000"/>
              <w:right w:val="single" w:sz="6" w:space="0" w:color="000000"/>
            </w:tcBorders>
            <w:shd w:val="clear" w:color="auto" w:fill="000000"/>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Parameter</w:t>
            </w:r>
          </w:p>
        </w:tc>
        <w:tc>
          <w:tcPr>
            <w:tcW w:w="2189"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DF</w:t>
            </w:r>
          </w:p>
        </w:tc>
        <w:tc>
          <w:tcPr>
            <w:tcW w:w="1721"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DHF</w:t>
            </w:r>
          </w:p>
        </w:tc>
        <w:tc>
          <w:tcPr>
            <w:tcW w:w="1891"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DSS</w:t>
            </w:r>
          </w:p>
        </w:tc>
        <w:tc>
          <w:tcPr>
            <w:tcW w:w="1721"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p-value</w:t>
            </w:r>
          </w:p>
        </w:tc>
      </w:tr>
      <w:tr w:rsidR="00AE49F9">
        <w:trPr>
          <w:trHeight w:val="755"/>
        </w:trPr>
        <w:tc>
          <w:tcPr>
            <w:tcW w:w="1835" w:type="dxa"/>
            <w:tcBorders>
              <w:top w:val="nil"/>
              <w:left w:val="single" w:sz="6" w:space="0" w:color="000000"/>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Platelet count (×10³/mm³)</w:t>
            </w:r>
          </w:p>
        </w:tc>
        <w:tc>
          <w:tcPr>
            <w:tcW w:w="2189"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68.4 ± 18.2</w:t>
            </w:r>
          </w:p>
        </w:tc>
        <w:tc>
          <w:tcPr>
            <w:tcW w:w="172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 ± 12.6</w:t>
            </w:r>
          </w:p>
        </w:tc>
        <w:tc>
          <w:tcPr>
            <w:tcW w:w="189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 ± 9.4</w:t>
            </w:r>
          </w:p>
        </w:tc>
        <w:tc>
          <w:tcPr>
            <w:tcW w:w="172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AE49F9">
        <w:trPr>
          <w:trHeight w:val="755"/>
        </w:trPr>
        <w:tc>
          <w:tcPr>
            <w:tcW w:w="18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WBC count (×10³/mm³)</w:t>
            </w:r>
          </w:p>
        </w:tc>
        <w:tc>
          <w:tcPr>
            <w:tcW w:w="2189"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 1.2</w:t>
            </w:r>
          </w:p>
        </w:tc>
        <w:tc>
          <w:tcPr>
            <w:tcW w:w="1721"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 1.1</w:t>
            </w:r>
          </w:p>
        </w:tc>
        <w:tc>
          <w:tcPr>
            <w:tcW w:w="1891"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 0.8</w:t>
            </w:r>
          </w:p>
        </w:tc>
        <w:tc>
          <w:tcPr>
            <w:tcW w:w="1721"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r>
      <w:tr w:rsidR="00AE49F9">
        <w:trPr>
          <w:trHeight w:val="500"/>
        </w:trPr>
        <w:tc>
          <w:tcPr>
            <w:tcW w:w="1835" w:type="dxa"/>
            <w:tcBorders>
              <w:top w:val="nil"/>
              <w:left w:val="single" w:sz="6" w:space="0" w:color="000000"/>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 (IU/L)</w:t>
            </w:r>
          </w:p>
        </w:tc>
        <w:tc>
          <w:tcPr>
            <w:tcW w:w="2189"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 (70-150)</w:t>
            </w:r>
          </w:p>
        </w:tc>
        <w:tc>
          <w:tcPr>
            <w:tcW w:w="172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 (160-300)</w:t>
            </w:r>
          </w:p>
        </w:tc>
        <w:tc>
          <w:tcPr>
            <w:tcW w:w="189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 (250-480)</w:t>
            </w:r>
          </w:p>
        </w:tc>
        <w:tc>
          <w:tcPr>
            <w:tcW w:w="172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AE49F9">
        <w:trPr>
          <w:trHeight w:val="500"/>
        </w:trPr>
        <w:tc>
          <w:tcPr>
            <w:tcW w:w="18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 (IU/L)</w:t>
            </w:r>
          </w:p>
        </w:tc>
        <w:tc>
          <w:tcPr>
            <w:tcW w:w="2189"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 (60-120)</w:t>
            </w:r>
          </w:p>
        </w:tc>
        <w:tc>
          <w:tcPr>
            <w:tcW w:w="1721"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 (140-240)</w:t>
            </w:r>
          </w:p>
        </w:tc>
        <w:tc>
          <w:tcPr>
            <w:tcW w:w="1891"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 (200-400)</w:t>
            </w:r>
          </w:p>
        </w:tc>
        <w:tc>
          <w:tcPr>
            <w:tcW w:w="1721"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AE49F9">
        <w:trPr>
          <w:trHeight w:val="500"/>
        </w:trPr>
        <w:tc>
          <w:tcPr>
            <w:tcW w:w="1835" w:type="dxa"/>
            <w:tcBorders>
              <w:top w:val="nil"/>
              <w:left w:val="single" w:sz="6" w:space="0" w:color="000000"/>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Hematocrit (%)</w:t>
            </w:r>
          </w:p>
        </w:tc>
        <w:tc>
          <w:tcPr>
            <w:tcW w:w="2189"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 ± 3.5</w:t>
            </w:r>
          </w:p>
        </w:tc>
        <w:tc>
          <w:tcPr>
            <w:tcW w:w="172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46.8 ± 4.2</w:t>
            </w:r>
          </w:p>
        </w:tc>
        <w:tc>
          <w:tcPr>
            <w:tcW w:w="189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49.5 ± 5.1</w:t>
            </w:r>
          </w:p>
        </w:tc>
        <w:tc>
          <w:tcPr>
            <w:tcW w:w="1721"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r>
    </w:tbl>
    <w:p w:rsidR="00AE49F9" w:rsidRDefault="00AE49F9">
      <w:pPr>
        <w:spacing w:line="480" w:lineRule="auto"/>
        <w:rPr>
          <w:rFonts w:ascii="Times New Roman" w:eastAsia="Times New Roman" w:hAnsi="Times New Roman" w:cs="Times New Roman"/>
          <w:color w:val="404040"/>
          <w:sz w:val="24"/>
          <w:szCs w:val="24"/>
          <w:highlight w:val="white"/>
        </w:rPr>
      </w:pPr>
    </w:p>
    <w:p w:rsidR="00AE49F9" w:rsidRDefault="006177F9">
      <w:pPr>
        <w:spacing w:line="480" w:lineRule="auto"/>
        <w:rPr>
          <w:rFonts w:ascii="Times New Roman" w:eastAsia="Times New Roman" w:hAnsi="Times New Roman" w:cs="Times New Roman"/>
          <w:sz w:val="20"/>
          <w:szCs w:val="20"/>
        </w:rPr>
      </w:pPr>
      <w:r>
        <w:rPr>
          <w:rFonts w:ascii="Times New Roman" w:eastAsia="Times New Roman" w:hAnsi="Times New Roman" w:cs="Times New Roman"/>
          <w:color w:val="404040"/>
          <w:sz w:val="24"/>
          <w:szCs w:val="24"/>
          <w:highlight w:val="white"/>
        </w:rPr>
        <w:t xml:space="preserve">                                   </w:t>
      </w:r>
      <w:r>
        <w:rPr>
          <w:rFonts w:ascii="Times New Roman" w:eastAsia="Times New Roman" w:hAnsi="Times New Roman" w:cs="Times New Roman"/>
          <w:color w:val="404040"/>
          <w:sz w:val="20"/>
          <w:szCs w:val="20"/>
          <w:highlight w:val="white"/>
        </w:rPr>
        <w:t>*Mean ± SD (ANOVA with Tukey post-hoc); **Median (IQR) (Kruskal-Wallis test)</w:t>
      </w:r>
    </w:p>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2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color w:val="404040"/>
          <w:sz w:val="24"/>
          <w:szCs w:val="24"/>
          <w:highlight w:val="white"/>
        </w:rPr>
        <w:t xml:space="preserve"> Laboratory</w:t>
      </w:r>
      <w:proofErr w:type="gramEnd"/>
      <w:r>
        <w:rPr>
          <w:rFonts w:ascii="Times New Roman" w:eastAsia="Times New Roman" w:hAnsi="Times New Roman" w:cs="Times New Roman"/>
          <w:color w:val="404040"/>
          <w:sz w:val="24"/>
          <w:szCs w:val="24"/>
          <w:highlight w:val="white"/>
        </w:rPr>
        <w:t xml:space="preserve"> Parameters by Disease Severity</w:t>
      </w: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Platelet counts showed stepwise decline with severity (p&lt;0.001).DF vs DHF: Mean difference=36.3 (95% CI 25.1-47.5, p&lt;0.001. DHF vs DSS: Mean difference=10.3 (95% CI 2.8-17.8, p=0.004</w:t>
      </w:r>
      <w:proofErr w:type="gramStart"/>
      <w:r>
        <w:rPr>
          <w:rFonts w:ascii="Times New Roman" w:eastAsia="Times New Roman" w:hAnsi="Times New Roman" w:cs="Times New Roman"/>
          <w:color w:val="404040"/>
          <w:sz w:val="24"/>
          <w:szCs w:val="24"/>
        </w:rPr>
        <w:t>).AST</w:t>
      </w:r>
      <w:proofErr w:type="gramEnd"/>
      <w:r>
        <w:rPr>
          <w:rFonts w:ascii="Times New Roman" w:eastAsia="Times New Roman" w:hAnsi="Times New Roman" w:cs="Times New Roman"/>
          <w:color w:val="404040"/>
          <w:sz w:val="24"/>
          <w:szCs w:val="24"/>
        </w:rPr>
        <w:t xml:space="preserve"> levels were  higher in DSS than DF (350 vs 98 IU/L, p&lt;0.001)</w:t>
      </w:r>
    </w:p>
    <w:p w:rsidR="00AE49F9" w:rsidRDefault="00AE49F9">
      <w:pPr>
        <w:shd w:val="clear" w:color="auto" w:fill="FFFFFF"/>
        <w:spacing w:before="260" w:after="200" w:line="480" w:lineRule="auto"/>
        <w:rPr>
          <w:rFonts w:ascii="Times New Roman" w:eastAsia="Times New Roman" w:hAnsi="Times New Roman" w:cs="Times New Roman"/>
          <w:color w:val="404040"/>
          <w:sz w:val="24"/>
          <w:szCs w:val="24"/>
        </w:rPr>
      </w:pPr>
    </w:p>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rPr>
        <w:t xml:space="preserve">                             Table 3</w:t>
      </w:r>
      <w:proofErr w:type="gramStart"/>
      <w:r>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highlight w:val="white"/>
        </w:rPr>
        <w:t xml:space="preserve"> Imaging</w:t>
      </w:r>
      <w:proofErr w:type="gramEnd"/>
      <w:r>
        <w:rPr>
          <w:rFonts w:ascii="Times New Roman" w:eastAsia="Times New Roman" w:hAnsi="Times New Roman" w:cs="Times New Roman"/>
          <w:color w:val="404040"/>
          <w:sz w:val="24"/>
          <w:szCs w:val="24"/>
          <w:highlight w:val="white"/>
        </w:rPr>
        <w:t xml:space="preserve"> Abnormalities Correlated with Severity</w:t>
      </w:r>
    </w:p>
    <w:p w:rsidR="00AE49F9" w:rsidRDefault="00AE49F9">
      <w:pPr>
        <w:shd w:val="clear" w:color="auto" w:fill="FFFFFF"/>
        <w:spacing w:before="260" w:after="200" w:line="480" w:lineRule="auto"/>
        <w:rPr>
          <w:rFonts w:ascii="Times New Roman" w:eastAsia="Times New Roman" w:hAnsi="Times New Roman" w:cs="Times New Roman"/>
          <w:color w:val="404040"/>
          <w:sz w:val="24"/>
          <w:szCs w:val="24"/>
          <w:highlight w:val="white"/>
        </w:rPr>
      </w:pPr>
    </w:p>
    <w:p w:rsidR="00AE49F9" w:rsidRDefault="00AE49F9"/>
    <w:tbl>
      <w:tblPr>
        <w:tblStyle w:val="a9"/>
        <w:tblW w:w="87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20"/>
        <w:gridCol w:w="1455"/>
        <w:gridCol w:w="1815"/>
        <w:gridCol w:w="1545"/>
        <w:gridCol w:w="1965"/>
      </w:tblGrid>
      <w:tr w:rsidR="00AE49F9">
        <w:trPr>
          <w:trHeight w:val="907"/>
        </w:trPr>
        <w:tc>
          <w:tcPr>
            <w:tcW w:w="192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AE49F9" w:rsidRDefault="006177F9">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 </w:t>
            </w:r>
          </w:p>
          <w:p w:rsidR="00AE49F9" w:rsidRDefault="006177F9">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  Parameters </w:t>
            </w:r>
          </w:p>
        </w:tc>
        <w:tc>
          <w:tcPr>
            <w:tcW w:w="145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AE49F9" w:rsidRDefault="006177F9">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 xml:space="preserve">    DF  </w:t>
            </w:r>
          </w:p>
        </w:tc>
        <w:tc>
          <w:tcPr>
            <w:tcW w:w="181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AE49F9" w:rsidRDefault="006177F9">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 xml:space="preserve">          DHS</w:t>
            </w:r>
          </w:p>
        </w:tc>
        <w:tc>
          <w:tcPr>
            <w:tcW w:w="154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AE49F9" w:rsidRDefault="006177F9">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 xml:space="preserve">      DSS</w:t>
            </w:r>
          </w:p>
        </w:tc>
        <w:tc>
          <w:tcPr>
            <w:tcW w:w="196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AE49F9" w:rsidRDefault="006177F9">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p-value</w:t>
            </w:r>
          </w:p>
        </w:tc>
      </w:tr>
      <w:tr w:rsidR="00AE49F9">
        <w:trPr>
          <w:trHeight w:val="1140"/>
        </w:trPr>
        <w:tc>
          <w:tcPr>
            <w:tcW w:w="1920" w:type="dxa"/>
            <w:tcBorders>
              <w:top w:val="single" w:sz="6" w:space="0" w:color="434343"/>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Platelet </w:t>
            </w:r>
          </w:p>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 xml:space="preserve">  count (×10³/mm³)</w:t>
            </w:r>
          </w:p>
        </w:tc>
        <w:tc>
          <w:tcPr>
            <w:tcW w:w="145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68.4 ± 18.2</w:t>
            </w:r>
          </w:p>
        </w:tc>
        <w:tc>
          <w:tcPr>
            <w:tcW w:w="181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32.1 ± 12.6</w:t>
            </w:r>
          </w:p>
        </w:tc>
        <w:tc>
          <w:tcPr>
            <w:tcW w:w="154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21.8 ± 9.4</w:t>
            </w:r>
          </w:p>
        </w:tc>
        <w:tc>
          <w:tcPr>
            <w:tcW w:w="196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&lt;0.001*</w:t>
            </w:r>
          </w:p>
        </w:tc>
      </w:tr>
      <w:tr w:rsidR="00AE49F9">
        <w:trPr>
          <w:trHeight w:val="975"/>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WBC count</w:t>
            </w:r>
          </w:p>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 xml:space="preserve"> (×10³/mm³)</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3.8 ± 1.2</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2.9 ± 1.1</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2.1 ± 0.8</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0.002*</w:t>
            </w:r>
          </w:p>
        </w:tc>
      </w:tr>
      <w:tr w:rsidR="00AE49F9">
        <w:trPr>
          <w:trHeight w:val="575"/>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proofErr w:type="gramStart"/>
            <w:r>
              <w:rPr>
                <w:rFonts w:ascii="Calibri" w:eastAsia="Calibri" w:hAnsi="Calibri" w:cs="Calibri"/>
                <w:color w:val="404040"/>
                <w:highlight w:val="white"/>
              </w:rPr>
              <w:t>AST  (</w:t>
            </w:r>
            <w:proofErr w:type="gramEnd"/>
            <w:r>
              <w:rPr>
                <w:rFonts w:ascii="Calibri" w:eastAsia="Calibri" w:hAnsi="Calibri" w:cs="Calibri"/>
                <w:color w:val="404040"/>
                <w:highlight w:val="white"/>
              </w:rPr>
              <w:t>IU/L)</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98 (70-150)</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210 (160-300)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350 (250-480)</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&lt;0.001*</w:t>
            </w:r>
          </w:p>
        </w:tc>
      </w:tr>
      <w:tr w:rsidR="00AE49F9">
        <w:trPr>
          <w:trHeight w:val="560"/>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proofErr w:type="gramStart"/>
            <w:r>
              <w:rPr>
                <w:rFonts w:ascii="Calibri" w:eastAsia="Calibri" w:hAnsi="Calibri" w:cs="Calibri"/>
                <w:color w:val="404040"/>
                <w:highlight w:val="white"/>
              </w:rPr>
              <w:t>ALT  (</w:t>
            </w:r>
            <w:proofErr w:type="gramEnd"/>
            <w:r>
              <w:rPr>
                <w:rFonts w:ascii="Calibri" w:eastAsia="Calibri" w:hAnsi="Calibri" w:cs="Calibri"/>
                <w:color w:val="404040"/>
                <w:highlight w:val="white"/>
              </w:rPr>
              <w:t>IU/L)</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85 (60-120)</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180 (140-240)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320 (200-400)</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&lt;0.001*</w:t>
            </w:r>
          </w:p>
        </w:tc>
      </w:tr>
      <w:tr w:rsidR="00AE49F9">
        <w:trPr>
          <w:trHeight w:val="1215"/>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E49F9" w:rsidRDefault="006177F9">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 Hematocrit </w:t>
            </w:r>
          </w:p>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 xml:space="preserve">       (%)</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42.1 ± 3.5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46.8 ± 4.2</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49.5 ± 5.1</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AE49F9" w:rsidRDefault="006177F9">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0.002*</w:t>
            </w:r>
          </w:p>
        </w:tc>
      </w:tr>
    </w:tbl>
    <w:p w:rsidR="00AE49F9" w:rsidRDefault="00AE49F9">
      <w:pPr>
        <w:shd w:val="clear" w:color="auto" w:fill="FFFFFF"/>
        <w:spacing w:before="260" w:after="200" w:line="480" w:lineRule="auto"/>
        <w:rPr>
          <w:rFonts w:ascii="Times New Roman" w:eastAsia="Times New Roman" w:hAnsi="Times New Roman" w:cs="Times New Roman"/>
          <w:color w:val="404040"/>
          <w:sz w:val="24"/>
          <w:szCs w:val="24"/>
          <w:highlight w:val="white"/>
        </w:rPr>
      </w:pP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Gallbladder thickening had 82% specificity for DHF/DSS and a Positive predictive value of 77.8% for severe dengue. Patients with ascites required more ICU admissions (95% CI 1.9-9.3)</w:t>
      </w: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highlight w:val="white"/>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highlight w:val="white"/>
        </w:rPr>
      </w:pPr>
    </w:p>
    <w:p w:rsidR="00AE49F9" w:rsidRDefault="00AE49F9">
      <w:pPr>
        <w:shd w:val="clear" w:color="auto" w:fill="FFFFFF"/>
        <w:spacing w:before="200" w:after="200" w:line="480" w:lineRule="auto"/>
        <w:rPr>
          <w:rFonts w:ascii="Times New Roman" w:eastAsia="Times New Roman" w:hAnsi="Times New Roman" w:cs="Times New Roman"/>
          <w:color w:val="404040"/>
          <w:sz w:val="24"/>
          <w:szCs w:val="24"/>
          <w:highlight w:val="white"/>
        </w:rPr>
      </w:pPr>
    </w:p>
    <w:tbl>
      <w:tblPr>
        <w:tblStyle w:val="aa"/>
        <w:tblW w:w="9176"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725"/>
        <w:gridCol w:w="4451"/>
      </w:tblGrid>
      <w:tr w:rsidR="00AE49F9">
        <w:trPr>
          <w:trHeight w:val="1467"/>
        </w:trPr>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Calibri" w:eastAsia="Calibri" w:hAnsi="Calibri" w:cs="Calibri"/>
                <w:b/>
                <w:color w:val="0D0D0D"/>
                <w:highlight w:val="white"/>
              </w:rPr>
            </w:pPr>
            <w:r>
              <w:rPr>
                <w:rFonts w:ascii="Calibri" w:eastAsia="Calibri" w:hAnsi="Calibri" w:cs="Calibri"/>
                <w:b/>
                <w:color w:val="0D0D0D"/>
                <w:highlight w:val="white"/>
              </w:rPr>
              <w:lastRenderedPageBreak/>
              <w:t xml:space="preserve">                         Parameter</w:t>
            </w:r>
          </w:p>
        </w:tc>
        <w:tc>
          <w:tcPr>
            <w:tcW w:w="4451"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Calibri" w:eastAsia="Calibri" w:hAnsi="Calibri" w:cs="Calibri"/>
                <w:b/>
                <w:color w:val="0D0D0D"/>
                <w:highlight w:val="white"/>
              </w:rPr>
            </w:pPr>
            <w:r>
              <w:rPr>
                <w:rFonts w:ascii="Calibri" w:eastAsia="Calibri" w:hAnsi="Calibri" w:cs="Calibri"/>
                <w:b/>
                <w:color w:val="0D0D0D"/>
                <w:highlight w:val="white"/>
              </w:rPr>
              <w:t xml:space="preserve">                    n (%)</w:t>
            </w:r>
          </w:p>
          <w:p w:rsidR="00AE49F9" w:rsidRDefault="006177F9">
            <w:pPr>
              <w:shd w:val="clear" w:color="auto" w:fill="FFFFFF"/>
              <w:spacing w:before="200" w:after="200" w:line="480" w:lineRule="auto"/>
              <w:rPr>
                <w:rFonts w:ascii="Times New Roman" w:eastAsia="Times New Roman" w:hAnsi="Times New Roman" w:cs="Times New Roman"/>
                <w:sz w:val="24"/>
                <w:szCs w:val="24"/>
                <w:highlight w:val="white"/>
              </w:rPr>
            </w:pPr>
            <w:r>
              <w:rPr>
                <w:rFonts w:ascii="Calibri" w:eastAsia="Calibri" w:hAnsi="Calibri" w:cs="Calibri"/>
                <w:b/>
                <w:color w:val="0D0D0D"/>
                <w:highlight w:val="white"/>
              </w:rPr>
              <w:t xml:space="preserve">            or Mean ± SD</w:t>
            </w:r>
          </w:p>
        </w:tc>
      </w:tr>
      <w:tr w:rsidR="00AE49F9">
        <w:trPr>
          <w:trHeight w:val="897"/>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Platelet transfusion</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19 (38%)</w:t>
            </w:r>
          </w:p>
        </w:tc>
      </w:tr>
      <w:tr w:rsidR="00AE49F9">
        <w:trPr>
          <w:trHeight w:val="797"/>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Packed RBC transfusion</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4 (8%)</w:t>
            </w:r>
          </w:p>
        </w:tc>
      </w:tr>
      <w:tr w:rsidR="00AE49F9">
        <w:trPr>
          <w:trHeight w:val="863"/>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ICU admission</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7 (14%)</w:t>
            </w:r>
          </w:p>
        </w:tc>
      </w:tr>
      <w:tr w:rsidR="00AE49F9">
        <w:trPr>
          <w:trHeight w:val="650"/>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Mortality</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E49F9" w:rsidRDefault="006177F9">
            <w:pPr>
              <w:shd w:val="clear" w:color="auto" w:fill="FFFFFF"/>
              <w:spacing w:before="200" w:after="200" w:line="480" w:lineRule="auto"/>
              <w:rPr>
                <w:rFonts w:ascii="Calibri" w:eastAsia="Calibri" w:hAnsi="Calibri" w:cs="Calibri"/>
                <w:color w:val="0D0D0D"/>
                <w:highlight w:val="white"/>
              </w:rPr>
            </w:pPr>
            <w:r>
              <w:rPr>
                <w:rFonts w:ascii="Calibri" w:eastAsia="Calibri" w:hAnsi="Calibri" w:cs="Calibri"/>
                <w:color w:val="0D0D0D"/>
                <w:highlight w:val="white"/>
              </w:rPr>
              <w:t>1 (2%)</w:t>
            </w: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 xml:space="preserve"> </w:t>
            </w:r>
          </w:p>
        </w:tc>
      </w:tr>
    </w:tbl>
    <w:p w:rsidR="00AE49F9" w:rsidRDefault="00AE49F9">
      <w:pPr>
        <w:spacing w:line="480" w:lineRule="auto"/>
        <w:rPr>
          <w:rFonts w:ascii="Times New Roman" w:eastAsia="Times New Roman" w:hAnsi="Times New Roman" w:cs="Times New Roman"/>
          <w:color w:val="404040"/>
          <w:sz w:val="24"/>
          <w:szCs w:val="24"/>
          <w:highlight w:val="white"/>
        </w:rPr>
      </w:pPr>
    </w:p>
    <w:p w:rsidR="00AE49F9" w:rsidRDefault="006177F9">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rPr>
        <w:t xml:space="preserve">                        Table 4- </w:t>
      </w:r>
      <w:r>
        <w:rPr>
          <w:rFonts w:ascii="Times New Roman" w:eastAsia="Times New Roman" w:hAnsi="Times New Roman" w:cs="Times New Roman"/>
          <w:color w:val="404040"/>
          <w:sz w:val="24"/>
          <w:szCs w:val="24"/>
          <w:highlight w:val="white"/>
        </w:rPr>
        <w:t>Therapeutic Interventions and Complications</w:t>
      </w:r>
    </w:p>
    <w:p w:rsidR="00AE49F9" w:rsidRDefault="00AE49F9">
      <w:pPr>
        <w:spacing w:line="480" w:lineRule="auto"/>
        <w:rPr>
          <w:rFonts w:ascii="Times New Roman" w:eastAsia="Times New Roman" w:hAnsi="Times New Roman" w:cs="Times New Roman"/>
          <w:color w:val="404040"/>
          <w:sz w:val="24"/>
          <w:szCs w:val="24"/>
          <w:highlight w:val="white"/>
        </w:rPr>
      </w:pPr>
    </w:p>
    <w:p w:rsidR="00AE49F9" w:rsidRDefault="006177F9">
      <w:pPr>
        <w:spacing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br/>
        <w:t>In our study, 38% of all dengue patients received platelet transfusions, with the rate escalating to 80% among DSS cases. However, only 12% of transfusions strictly met the WHO 2021 criteria (&lt;10,000/mm³ without active bleeding), suggesting potential overuse in clinical practice.</w:t>
      </w:r>
      <w:r>
        <w:rPr>
          <w:rFonts w:ascii="Times New Roman" w:eastAsia="Times New Roman" w:hAnsi="Times New Roman" w:cs="Times New Roman"/>
          <w:color w:val="404040"/>
          <w:sz w:val="24"/>
          <w:szCs w:val="24"/>
        </w:rPr>
        <w:br/>
        <w:t xml:space="preserve">Patients requiring ICU care had significantly lower mean platelet counts (18,200/mm³) compared to non-ICU cases (52,400/mm³). Multivariate analysis identified two strong predictors of ICU admission: AST levels &gt;250 IU/L (OR=4.9, 95% CI 2.1–11.4) and gallbladder wall thickening </w:t>
      </w:r>
      <w:r>
        <w:rPr>
          <w:rFonts w:ascii="Times New Roman" w:eastAsia="Times New Roman" w:hAnsi="Times New Roman" w:cs="Times New Roman"/>
          <w:color w:val="404040"/>
          <w:sz w:val="24"/>
          <w:szCs w:val="24"/>
        </w:rPr>
        <w:lastRenderedPageBreak/>
        <w:t>on ultrasound (OR=3.2, 95% CI 1.5–6.8</w:t>
      </w:r>
      <w:proofErr w:type="gramStart"/>
      <w:r>
        <w:rPr>
          <w:rFonts w:ascii="Times New Roman" w:eastAsia="Times New Roman" w:hAnsi="Times New Roman" w:cs="Times New Roman"/>
          <w:color w:val="404040"/>
          <w:sz w:val="24"/>
          <w:szCs w:val="24"/>
        </w:rPr>
        <w:t>).The</w:t>
      </w:r>
      <w:proofErr w:type="gramEnd"/>
      <w:r>
        <w:rPr>
          <w:rFonts w:ascii="Times New Roman" w:eastAsia="Times New Roman" w:hAnsi="Times New Roman" w:cs="Times New Roman"/>
          <w:color w:val="404040"/>
          <w:sz w:val="24"/>
          <w:szCs w:val="24"/>
        </w:rPr>
        <w:t xml:space="preserve"> single mortality (2%) occurred in a DSS patient with critical thrombocytopenia (9,000/mm³), severe hepatitis (AST=480 IU/L), and refractory shock despite aggressive resuscitation. This aligns with WHO-defined severe dengue markers and underscores the lethal triad of thrombocytopenia, hepatic injury, and hemodynamic collapse.</w:t>
      </w:r>
    </w:p>
    <w:p w:rsidR="00AE49F9" w:rsidRDefault="006177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E49F9" w:rsidRDefault="006177F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AE49F9" w:rsidRDefault="006177F9">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findings of this study highlight critical aspects of dengue fever management and outcomes in a tertiary care setting in Bangalore. Severe thrombocytopenia (&lt;50,000/mm³) was observed in 66% of cases, consistent with data from North India and Southeast Asia, reinforcing its role as a hallmark of dengue severity. Notably, 38% of patients received platelet transfusions, yet only 12% met the stringent WHO 2021 criteria (&lt;10,000/mm³ without bleeding), suggesting a tendency toward over-transfusion in clinical practice. This deviation from guidelines underscores the need for targeted training to optimize resource utilization and minimize unnecessary interventions.</w:t>
      </w:r>
    </w:p>
    <w:p w:rsidR="00AE49F9" w:rsidRDefault="006177F9">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Hepatic involvement emerged as a key marker of disease severity, with 100% of patients exhibiting elevated AST/ALT levels (&gt;45 IU/L). Notably, DSS cases demonstrated AST levels 3.6 times higher than those in DF cases (350 vs. 98 IU/L), solidifying the prognostic value of transaminitis in severe dengue. The strong negative correlation (r = -0.72, p &lt; 0.001) between platelet counts and AST levels further emphasizes the interplay between hematologic and hepatic dysfunction in advanced disease.</w:t>
      </w:r>
    </w:p>
    <w:p w:rsidR="00AE49F9" w:rsidRDefault="006177F9">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Ultrasonographic findings, particularly gallbladder wall thickening (18%) and ascites (22%), proved invaluable for early detection of plasma leakage, with 60% of DSS cases exhibiting both </w:t>
      </w:r>
      <w:r>
        <w:rPr>
          <w:rFonts w:ascii="Times New Roman" w:eastAsia="Times New Roman" w:hAnsi="Times New Roman" w:cs="Times New Roman"/>
          <w:color w:val="404040"/>
          <w:sz w:val="24"/>
          <w:szCs w:val="24"/>
        </w:rPr>
        <w:lastRenderedPageBreak/>
        <w:t>features. These results advocate for the integration of bedside ultrasound into routine monitoring protocols to enhance risk stratification and timely intervention.</w:t>
      </w:r>
    </w:p>
    <w:p w:rsidR="00AE49F9" w:rsidRDefault="006177F9">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The mortality rate in this study was 2%, aligning with national data but lower than some tertiary-center reports, potentially attributable to early ICU admissions. Predictive factors for ICU admission included platelet counts &lt;20,000/mm³ (OR = 6.8, p = 0.002), AST levels &gt;250 IU/L (OR = 4.9, p = 0.01), and gallbladder thickening (OR = 3.2, p = 0.03), providing clinicians with actionable criteria for identifying high-risk </w:t>
      </w:r>
      <w:proofErr w:type="gramStart"/>
      <w:r>
        <w:rPr>
          <w:rFonts w:ascii="Times New Roman" w:eastAsia="Times New Roman" w:hAnsi="Times New Roman" w:cs="Times New Roman"/>
          <w:color w:val="404040"/>
          <w:sz w:val="24"/>
          <w:szCs w:val="24"/>
        </w:rPr>
        <w:t>patients..</w:t>
      </w:r>
      <w:proofErr w:type="gramEnd"/>
      <w:r>
        <w:rPr>
          <w:rFonts w:ascii="Times New Roman" w:eastAsia="Times New Roman" w:hAnsi="Times New Roman" w:cs="Times New Roman"/>
          <w:color w:val="404040"/>
          <w:sz w:val="24"/>
          <w:szCs w:val="24"/>
        </w:rPr>
        <w:t xml:space="preserve"> These findings gain additional significance considering Bangalore's urban ecology, where rapid urbanization </w:t>
      </w:r>
    </w:p>
    <w:p w:rsidR="00AE49F9" w:rsidRDefault="006177F9">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and climate patterns have created ideal conditions for sustained dengue transmission.</w:t>
      </w:r>
    </w:p>
    <w:p w:rsidR="00AE49F9" w:rsidRDefault="00AE49F9">
      <w:pPr>
        <w:widowControl w:val="0"/>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AE49F9">
      <w:pPr>
        <w:widowControl w:val="0"/>
        <w:shd w:val="clear" w:color="auto" w:fill="FFFFFF"/>
        <w:spacing w:before="200" w:after="200" w:line="480" w:lineRule="auto"/>
        <w:rPr>
          <w:rFonts w:ascii="Times New Roman" w:eastAsia="Times New Roman" w:hAnsi="Times New Roman" w:cs="Times New Roman"/>
          <w:color w:val="404040"/>
          <w:sz w:val="24"/>
          <w:szCs w:val="24"/>
        </w:rPr>
      </w:pPr>
    </w:p>
    <w:p w:rsidR="00AE49F9" w:rsidRDefault="006177F9">
      <w:pPr>
        <w:widowControl w:val="0"/>
        <w:spacing w:before="200" w:after="200" w:line="480" w:lineRule="auto"/>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Conclusion</w:t>
      </w:r>
    </w:p>
    <w:p w:rsidR="00AE49F9" w:rsidRDefault="006177F9">
      <w:pPr>
        <w:widowControl w:val="0"/>
        <w:spacing w:before="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This hospital-based study provides comprehensive characterization of dengue manifestations in an urban Indian population, validating established severity markers while demonstrating the prognostic value of ultrasonographic </w:t>
      </w:r>
      <w:proofErr w:type="spellStart"/>
      <w:proofErr w:type="gramStart"/>
      <w:r>
        <w:rPr>
          <w:rFonts w:ascii="Times New Roman" w:eastAsia="Times New Roman" w:hAnsi="Times New Roman" w:cs="Times New Roman"/>
          <w:color w:val="404040"/>
          <w:sz w:val="24"/>
          <w:szCs w:val="24"/>
        </w:rPr>
        <w:t>findings.Reserve</w:t>
      </w:r>
      <w:proofErr w:type="spellEnd"/>
      <w:proofErr w:type="gramEnd"/>
      <w:r>
        <w:rPr>
          <w:rFonts w:ascii="Times New Roman" w:eastAsia="Times New Roman" w:hAnsi="Times New Roman" w:cs="Times New Roman"/>
          <w:color w:val="404040"/>
          <w:sz w:val="24"/>
          <w:szCs w:val="24"/>
        </w:rPr>
        <w:t xml:space="preserve"> platelet transfusions for &lt;10,000/mm³ without bleeding or &lt;20,000/mm³ with bleeding. Use AST &gt;250 IU/L and gallbladder thickening to triage high-risk </w:t>
      </w:r>
      <w:proofErr w:type="spellStart"/>
      <w:proofErr w:type="gramStart"/>
      <w:r>
        <w:rPr>
          <w:rFonts w:ascii="Times New Roman" w:eastAsia="Times New Roman" w:hAnsi="Times New Roman" w:cs="Times New Roman"/>
          <w:color w:val="404040"/>
          <w:sz w:val="24"/>
          <w:szCs w:val="24"/>
        </w:rPr>
        <w:t>patients.The</w:t>
      </w:r>
      <w:proofErr w:type="spellEnd"/>
      <w:proofErr w:type="gramEnd"/>
      <w:r>
        <w:rPr>
          <w:rFonts w:ascii="Times New Roman" w:eastAsia="Times New Roman" w:hAnsi="Times New Roman" w:cs="Times New Roman"/>
          <w:color w:val="404040"/>
          <w:sz w:val="24"/>
          <w:szCs w:val="24"/>
        </w:rPr>
        <w:t xml:space="preserve"> results underscore the importance of: adhering to evidence-based transfusion thresholds to conserve resources, utilizing hepatic and imaging markers for early risk stratification, and  maintaining high clinical suspicion for plasma leakage in febrile patients during outbreaks. While our single-center design limits generalizability, the identified predictors offer practical tools for frontline clinicians managing dengue in resource-variable settings. Future </w:t>
      </w:r>
      <w:r>
        <w:rPr>
          <w:rFonts w:ascii="Times New Roman" w:eastAsia="Times New Roman" w:hAnsi="Times New Roman" w:cs="Times New Roman"/>
          <w:color w:val="404040"/>
          <w:sz w:val="24"/>
          <w:szCs w:val="24"/>
        </w:rPr>
        <w:lastRenderedPageBreak/>
        <w:t>research should focus on validating these biomarkers in larger multicenter cohorts and evaluating cost-effective interventions for early severe case detection. Public health efforts must simultaneously address the ecological drivers of transmission through sustained vector control and community education initiatives tailored to Bangalore's unique urban challenges. Together, these clinical and preventive strategies can reduce the growing disease burden of dengue in tropical metropolitan areas.</w:t>
      </w:r>
    </w:p>
    <w:p w:rsidR="00AE49F9" w:rsidRDefault="00AE49F9">
      <w:pPr>
        <w:widowControl w:val="0"/>
        <w:spacing w:line="480" w:lineRule="auto"/>
        <w:rPr>
          <w:rFonts w:ascii="Times New Roman" w:eastAsia="Times New Roman" w:hAnsi="Times New Roman" w:cs="Times New Roman"/>
          <w:color w:val="404040"/>
          <w:sz w:val="24"/>
          <w:szCs w:val="24"/>
        </w:rPr>
      </w:pPr>
    </w:p>
    <w:p w:rsidR="00AE49F9" w:rsidRDefault="006177F9">
      <w:pPr>
        <w:pBdr>
          <w:top w:val="none" w:sz="0" w:space="0" w:color="000000"/>
          <w:left w:val="none" w:sz="0" w:space="0" w:color="000000"/>
          <w:bottom w:val="none" w:sz="0" w:space="0" w:color="000000"/>
          <w:right w:val="none" w:sz="0" w:space="0" w:color="000000"/>
          <w:between w:val="none" w:sz="0" w:space="0" w:color="000000"/>
        </w:pBdr>
        <w:spacing w:before="300" w:after="300" w:line="48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Use of artificial intelligence (AI)-assisted technology for manuscript preparation</w:t>
      </w:r>
    </w:p>
    <w:p w:rsidR="00AE49F9" w:rsidRDefault="006177F9">
      <w:pPr>
        <w:pBdr>
          <w:top w:val="none" w:sz="0" w:space="0" w:color="000000"/>
          <w:left w:val="none" w:sz="0" w:space="0" w:color="000000"/>
          <w:bottom w:val="none" w:sz="0" w:space="0" w:color="000000"/>
          <w:right w:val="none" w:sz="0" w:space="0" w:color="000000"/>
          <w:between w:val="none" w:sz="0" w:space="0" w:color="000000"/>
        </w:pBdr>
        <w:spacing w:after="120" w:line="480" w:lineRule="auto"/>
        <w:jc w:val="both"/>
        <w:rPr>
          <w:rFonts w:ascii="Times New Roman" w:eastAsia="Times New Roman" w:hAnsi="Times New Roman" w:cs="Times New Roman"/>
          <w:color w:val="4B4F58"/>
          <w:sz w:val="24"/>
          <w:szCs w:val="24"/>
          <w:highlight w:val="white"/>
        </w:rPr>
      </w:pPr>
      <w:r>
        <w:rPr>
          <w:rFonts w:ascii="Times New Roman" w:eastAsia="Times New Roman" w:hAnsi="Times New Roman" w:cs="Times New Roman"/>
          <w:color w:val="4B4F58"/>
          <w:sz w:val="24"/>
          <w:szCs w:val="24"/>
          <w:highlight w:val="white"/>
        </w:rPr>
        <w:t>The authors confirm that there was no use of artificial intelligence (AI)-assisted technology for assisting in the writing of the manuscript and no images were manipulated using AI.</w:t>
      </w:r>
    </w:p>
    <w:p w:rsidR="00AE49F9" w:rsidRDefault="006177F9">
      <w:pPr>
        <w:pBdr>
          <w:top w:val="none" w:sz="0" w:space="0" w:color="000000"/>
          <w:left w:val="none" w:sz="0" w:space="0" w:color="000000"/>
          <w:bottom w:val="none" w:sz="0" w:space="0" w:color="000000"/>
          <w:right w:val="none" w:sz="0" w:space="0" w:color="000000"/>
          <w:between w:val="none" w:sz="0" w:space="0" w:color="000000"/>
        </w:pBdr>
        <w:spacing w:after="120" w:line="480" w:lineRule="auto"/>
        <w:jc w:val="both"/>
        <w:rPr>
          <w:rFonts w:ascii="Times New Roman" w:eastAsia="Times New Roman" w:hAnsi="Times New Roman" w:cs="Times New Roman"/>
          <w:color w:val="4B4F58"/>
          <w:sz w:val="24"/>
          <w:szCs w:val="24"/>
          <w:highlight w:val="white"/>
        </w:rPr>
      </w:pPr>
      <w:r>
        <w:rPr>
          <w:rFonts w:ascii="Times New Roman" w:eastAsia="Times New Roman" w:hAnsi="Times New Roman" w:cs="Times New Roman"/>
          <w:b/>
          <w:color w:val="4B4F58"/>
          <w:sz w:val="24"/>
          <w:szCs w:val="24"/>
          <w:highlight w:val="white"/>
        </w:rPr>
        <w:t xml:space="preserve">Ethical clearance </w:t>
      </w:r>
      <w:r>
        <w:rPr>
          <w:rFonts w:ascii="Times New Roman" w:eastAsia="Times New Roman" w:hAnsi="Times New Roman" w:cs="Times New Roman"/>
          <w:color w:val="4B4F58"/>
          <w:sz w:val="24"/>
          <w:szCs w:val="24"/>
          <w:highlight w:val="white"/>
        </w:rPr>
        <w:t>- Obtained</w:t>
      </w: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6177F9">
      <w:pPr>
        <w:spacing w:line="480"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References</w:t>
      </w:r>
    </w:p>
    <w:p w:rsidR="00AE49F9" w:rsidRDefault="006177F9">
      <w:pPr>
        <w:numPr>
          <w:ilvl w:val="0"/>
          <w:numId w:val="1"/>
        </w:numPr>
        <w:shd w:val="clear" w:color="auto" w:fill="FFFFFF"/>
        <w:spacing w:before="200" w:line="480" w:lineRule="auto"/>
        <w:rPr>
          <w:highlight w:val="white"/>
        </w:rPr>
      </w:pPr>
      <w:r>
        <w:rPr>
          <w:rFonts w:ascii="Roboto" w:eastAsia="Roboto" w:hAnsi="Roboto" w:cs="Roboto"/>
          <w:color w:val="404040"/>
          <w:sz w:val="24"/>
          <w:szCs w:val="24"/>
          <w:highlight w:val="white"/>
        </w:rPr>
        <w:t xml:space="preserve">Wilder-Smith, A., </w:t>
      </w:r>
      <w:proofErr w:type="spellStart"/>
      <w:r>
        <w:rPr>
          <w:rFonts w:ascii="Roboto" w:eastAsia="Roboto" w:hAnsi="Roboto" w:cs="Roboto"/>
          <w:color w:val="404040"/>
          <w:sz w:val="24"/>
          <w:szCs w:val="24"/>
          <w:highlight w:val="white"/>
        </w:rPr>
        <w:t>Ooi</w:t>
      </w:r>
      <w:proofErr w:type="spellEnd"/>
      <w:r>
        <w:rPr>
          <w:rFonts w:ascii="Roboto" w:eastAsia="Roboto" w:hAnsi="Roboto" w:cs="Roboto"/>
          <w:color w:val="404040"/>
          <w:sz w:val="24"/>
          <w:szCs w:val="24"/>
          <w:highlight w:val="white"/>
        </w:rPr>
        <w:t xml:space="preserve">, E.E., </w:t>
      </w:r>
      <w:proofErr w:type="spellStart"/>
      <w:r>
        <w:rPr>
          <w:rFonts w:ascii="Roboto" w:eastAsia="Roboto" w:hAnsi="Roboto" w:cs="Roboto"/>
          <w:color w:val="404040"/>
          <w:sz w:val="24"/>
          <w:szCs w:val="24"/>
          <w:highlight w:val="white"/>
        </w:rPr>
        <w:t>Horstick</w:t>
      </w:r>
      <w:proofErr w:type="spellEnd"/>
      <w:r>
        <w:rPr>
          <w:rFonts w:ascii="Roboto" w:eastAsia="Roboto" w:hAnsi="Roboto" w:cs="Roboto"/>
          <w:color w:val="404040"/>
          <w:sz w:val="24"/>
          <w:szCs w:val="24"/>
          <w:highlight w:val="white"/>
        </w:rPr>
        <w:t>, O., Wills, B., 2022. Dengue. The Lancet 399, 700-712.</w:t>
      </w:r>
    </w:p>
    <w:p w:rsidR="00AE49F9" w:rsidRDefault="006177F9">
      <w:pPr>
        <w:numPr>
          <w:ilvl w:val="0"/>
          <w:numId w:val="1"/>
        </w:numPr>
        <w:shd w:val="clear" w:color="auto" w:fill="FFFFFF"/>
        <w:spacing w:line="480" w:lineRule="auto"/>
        <w:rPr>
          <w:highlight w:val="white"/>
        </w:rPr>
      </w:pPr>
      <w:r>
        <w:rPr>
          <w:rFonts w:ascii="Roboto" w:eastAsia="Roboto" w:hAnsi="Roboto" w:cs="Roboto"/>
          <w:color w:val="404040"/>
          <w:sz w:val="24"/>
          <w:szCs w:val="24"/>
          <w:highlight w:val="white"/>
        </w:rPr>
        <w:lastRenderedPageBreak/>
        <w:t>Guzman, M.G., Harris, E., 2023. Dengue infection: advances in pathogenesis and vaccine development. Nature Reviews Immunology 23, 315-332.</w:t>
      </w:r>
    </w:p>
    <w:p w:rsidR="00AE49F9" w:rsidRDefault="006177F9">
      <w:pPr>
        <w:numPr>
          <w:ilvl w:val="0"/>
          <w:numId w:val="1"/>
        </w:numPr>
        <w:shd w:val="clear" w:color="auto" w:fill="FFFFFF"/>
        <w:spacing w:line="480" w:lineRule="auto"/>
        <w:rPr>
          <w:highlight w:val="white"/>
        </w:rPr>
      </w:pPr>
      <w:r>
        <w:rPr>
          <w:rFonts w:ascii="Roboto" w:eastAsia="Roboto" w:hAnsi="Roboto" w:cs="Roboto"/>
          <w:color w:val="404040"/>
          <w:sz w:val="24"/>
          <w:szCs w:val="24"/>
          <w:highlight w:val="white"/>
        </w:rPr>
        <w:t xml:space="preserve">Bhatt, S., </w:t>
      </w:r>
      <w:proofErr w:type="spellStart"/>
      <w:r>
        <w:rPr>
          <w:rFonts w:ascii="Roboto" w:eastAsia="Roboto" w:hAnsi="Roboto" w:cs="Roboto"/>
          <w:color w:val="404040"/>
          <w:sz w:val="24"/>
          <w:szCs w:val="24"/>
          <w:highlight w:val="white"/>
        </w:rPr>
        <w:t>Gething</w:t>
      </w:r>
      <w:proofErr w:type="spellEnd"/>
      <w:r>
        <w:rPr>
          <w:rFonts w:ascii="Roboto" w:eastAsia="Roboto" w:hAnsi="Roboto" w:cs="Roboto"/>
          <w:color w:val="404040"/>
          <w:sz w:val="24"/>
          <w:szCs w:val="24"/>
          <w:highlight w:val="white"/>
        </w:rPr>
        <w:t>, P.W., Brady, O.J., Messina, J.P., Farlow, A.W., Moyes, C.L., et al., 2023. The global distribution and burden of dengue. Nature Reviews Microbiology 21, 234-248.</w:t>
      </w:r>
    </w:p>
    <w:p w:rsidR="00AE49F9" w:rsidRDefault="006177F9">
      <w:pPr>
        <w:numPr>
          <w:ilvl w:val="0"/>
          <w:numId w:val="1"/>
        </w:numPr>
        <w:shd w:val="clear" w:color="auto" w:fill="FFFFFF"/>
        <w:spacing w:line="480" w:lineRule="auto"/>
        <w:rPr>
          <w:highlight w:val="white"/>
        </w:rPr>
      </w:pPr>
      <w:r>
        <w:rPr>
          <w:rFonts w:ascii="Roboto" w:eastAsia="Roboto" w:hAnsi="Roboto" w:cs="Roboto"/>
          <w:color w:val="404040"/>
          <w:sz w:val="24"/>
          <w:szCs w:val="24"/>
          <w:highlight w:val="white"/>
        </w:rPr>
        <w:t xml:space="preserve">National Vector Borne Disease Control </w:t>
      </w:r>
      <w:proofErr w:type="spellStart"/>
      <w:r>
        <w:rPr>
          <w:rFonts w:ascii="Roboto" w:eastAsia="Roboto" w:hAnsi="Roboto" w:cs="Roboto"/>
          <w:color w:val="404040"/>
          <w:sz w:val="24"/>
          <w:szCs w:val="24"/>
          <w:highlight w:val="white"/>
        </w:rPr>
        <w:t>Programme</w:t>
      </w:r>
      <w:proofErr w:type="spellEnd"/>
      <w:r>
        <w:rPr>
          <w:rFonts w:ascii="Roboto" w:eastAsia="Roboto" w:hAnsi="Roboto" w:cs="Roboto"/>
          <w:color w:val="404040"/>
          <w:sz w:val="24"/>
          <w:szCs w:val="24"/>
          <w:highlight w:val="white"/>
        </w:rPr>
        <w:t xml:space="preserve"> (NVBDCP), 2023. Annual Report on Dengue in India 2022-23. Ministry of Health, New Delhi.</w:t>
      </w:r>
    </w:p>
    <w:p w:rsidR="00AE49F9" w:rsidRDefault="006177F9">
      <w:pPr>
        <w:numPr>
          <w:ilvl w:val="0"/>
          <w:numId w:val="1"/>
        </w:numPr>
        <w:shd w:val="clear" w:color="auto" w:fill="FFFFFF"/>
        <w:spacing w:line="480" w:lineRule="auto"/>
        <w:rPr>
          <w:highlight w:val="white"/>
        </w:rPr>
      </w:pPr>
      <w:r>
        <w:rPr>
          <w:rFonts w:ascii="Roboto" w:eastAsia="Roboto" w:hAnsi="Roboto" w:cs="Roboto"/>
          <w:color w:val="404040"/>
          <w:sz w:val="24"/>
          <w:szCs w:val="24"/>
          <w:highlight w:val="white"/>
        </w:rPr>
        <w:t xml:space="preserve">Thomas, L., Philip, S., </w:t>
      </w:r>
      <w:proofErr w:type="spellStart"/>
      <w:r>
        <w:rPr>
          <w:rFonts w:ascii="Roboto" w:eastAsia="Roboto" w:hAnsi="Roboto" w:cs="Roboto"/>
          <w:color w:val="404040"/>
          <w:sz w:val="24"/>
          <w:szCs w:val="24"/>
          <w:highlight w:val="white"/>
        </w:rPr>
        <w:t>Kuriakose</w:t>
      </w:r>
      <w:proofErr w:type="spellEnd"/>
      <w:r>
        <w:rPr>
          <w:rFonts w:ascii="Roboto" w:eastAsia="Roboto" w:hAnsi="Roboto" w:cs="Roboto"/>
          <w:color w:val="404040"/>
          <w:sz w:val="24"/>
          <w:szCs w:val="24"/>
          <w:highlight w:val="white"/>
        </w:rPr>
        <w:t>, C.K., 2023. Evaluation of NS1 antigen detection for early diagnosis of dengue. Journal of Clinical Virology 158, 105326.</w:t>
      </w:r>
    </w:p>
    <w:p w:rsidR="00AE49F9" w:rsidRDefault="006177F9">
      <w:pPr>
        <w:numPr>
          <w:ilvl w:val="0"/>
          <w:numId w:val="1"/>
        </w:numPr>
        <w:shd w:val="clear" w:color="auto" w:fill="FFFFFF"/>
        <w:spacing w:line="480" w:lineRule="auto"/>
        <w:rPr>
          <w:highlight w:val="white"/>
        </w:rPr>
      </w:pPr>
      <w:r>
        <w:rPr>
          <w:rFonts w:ascii="Roboto" w:eastAsia="Roboto" w:hAnsi="Roboto" w:cs="Roboto"/>
          <w:color w:val="404040"/>
          <w:sz w:val="24"/>
          <w:szCs w:val="24"/>
          <w:highlight w:val="white"/>
        </w:rPr>
        <w:t>World Health Organization, 2021. Dengue Guidelines for Diagnosis, Treatment, Prevention and Control, 3rd ed. WHO, Geneva.</w:t>
      </w:r>
    </w:p>
    <w:p w:rsidR="00AE49F9" w:rsidRDefault="006177F9">
      <w:pPr>
        <w:numPr>
          <w:ilvl w:val="0"/>
          <w:numId w:val="1"/>
        </w:numPr>
        <w:shd w:val="clear" w:color="auto" w:fill="FFFFFF"/>
        <w:spacing w:after="200" w:line="480" w:lineRule="auto"/>
        <w:rPr>
          <w:highlight w:val="white"/>
        </w:rPr>
      </w:pPr>
      <w:proofErr w:type="spellStart"/>
      <w:r>
        <w:rPr>
          <w:rFonts w:ascii="Roboto" w:eastAsia="Roboto" w:hAnsi="Roboto" w:cs="Roboto"/>
          <w:color w:val="404040"/>
          <w:sz w:val="24"/>
          <w:szCs w:val="24"/>
          <w:highlight w:val="white"/>
        </w:rPr>
        <w:t>Murugananthan</w:t>
      </w:r>
      <w:proofErr w:type="spellEnd"/>
      <w:r>
        <w:rPr>
          <w:rFonts w:ascii="Roboto" w:eastAsia="Roboto" w:hAnsi="Roboto" w:cs="Roboto"/>
          <w:color w:val="404040"/>
          <w:sz w:val="24"/>
          <w:szCs w:val="24"/>
          <w:highlight w:val="white"/>
        </w:rPr>
        <w:t xml:space="preserve">, K., Kandasamy, B., </w:t>
      </w:r>
      <w:proofErr w:type="spellStart"/>
      <w:r>
        <w:rPr>
          <w:rFonts w:ascii="Roboto" w:eastAsia="Roboto" w:hAnsi="Roboto" w:cs="Roboto"/>
          <w:color w:val="404040"/>
          <w:sz w:val="24"/>
          <w:szCs w:val="24"/>
          <w:highlight w:val="white"/>
        </w:rPr>
        <w:t>Rajeshkannan</w:t>
      </w:r>
      <w:proofErr w:type="spellEnd"/>
      <w:r>
        <w:rPr>
          <w:rFonts w:ascii="Roboto" w:eastAsia="Roboto" w:hAnsi="Roboto" w:cs="Roboto"/>
          <w:color w:val="404040"/>
          <w:sz w:val="24"/>
          <w:szCs w:val="24"/>
          <w:highlight w:val="white"/>
        </w:rPr>
        <w:t xml:space="preserve">, N., </w:t>
      </w:r>
      <w:proofErr w:type="spellStart"/>
      <w:r>
        <w:rPr>
          <w:rFonts w:ascii="Roboto" w:eastAsia="Roboto" w:hAnsi="Roboto" w:cs="Roboto"/>
          <w:color w:val="404040"/>
          <w:sz w:val="24"/>
          <w:szCs w:val="24"/>
          <w:highlight w:val="white"/>
        </w:rPr>
        <w:t>Noordeen</w:t>
      </w:r>
      <w:proofErr w:type="spellEnd"/>
      <w:r>
        <w:rPr>
          <w:rFonts w:ascii="Roboto" w:eastAsia="Roboto" w:hAnsi="Roboto" w:cs="Roboto"/>
          <w:color w:val="404040"/>
          <w:sz w:val="24"/>
          <w:szCs w:val="24"/>
          <w:highlight w:val="white"/>
        </w:rPr>
        <w:t>, F., 2022. Gallbladder wall thickening in dengue fever. Tropical Medicine and International Health 27, 689-695.</w:t>
      </w: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6177F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48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sz w:val="24"/>
          <w:szCs w:val="24"/>
          <w:highlight w:val="white"/>
        </w:rPr>
      </w:pPr>
    </w:p>
    <w:p w:rsidR="00AE49F9" w:rsidRDefault="00AE49F9">
      <w:pPr>
        <w:spacing w:line="360" w:lineRule="auto"/>
        <w:rPr>
          <w:rFonts w:ascii="Times New Roman" w:eastAsia="Times New Roman" w:hAnsi="Times New Roman" w:cs="Times New Roman"/>
          <w:b/>
          <w:sz w:val="24"/>
          <w:szCs w:val="24"/>
          <w:highlight w:val="white"/>
        </w:rPr>
      </w:pPr>
    </w:p>
    <w:p w:rsidR="00AE49F9" w:rsidRDefault="00AE49F9">
      <w:pPr>
        <w:spacing w:line="360" w:lineRule="auto"/>
        <w:rPr>
          <w:rFonts w:ascii="Times New Roman" w:eastAsia="Times New Roman" w:hAnsi="Times New Roman" w:cs="Times New Roman"/>
          <w:b/>
          <w:sz w:val="24"/>
          <w:szCs w:val="24"/>
          <w:highlight w:val="white"/>
        </w:rPr>
      </w:pPr>
    </w:p>
    <w:p w:rsidR="00AE49F9" w:rsidRDefault="00AE49F9">
      <w:pPr>
        <w:spacing w:line="360" w:lineRule="auto"/>
        <w:rPr>
          <w:rFonts w:ascii="Times New Roman" w:eastAsia="Times New Roman" w:hAnsi="Times New Roman" w:cs="Times New Roman"/>
          <w:b/>
          <w:sz w:val="24"/>
          <w:szCs w:val="24"/>
          <w:highlight w:val="white"/>
        </w:rPr>
      </w:pPr>
    </w:p>
    <w:p w:rsidR="00AE49F9" w:rsidRDefault="00AE49F9">
      <w:pPr>
        <w:spacing w:line="360" w:lineRule="auto"/>
        <w:rPr>
          <w:rFonts w:ascii="Times New Roman" w:eastAsia="Times New Roman" w:hAnsi="Times New Roman" w:cs="Times New Roman"/>
          <w:b/>
          <w:sz w:val="24"/>
          <w:szCs w:val="24"/>
          <w:highlight w:val="white"/>
        </w:rPr>
      </w:pPr>
    </w:p>
    <w:p w:rsidR="00AE49F9" w:rsidRDefault="00AE49F9">
      <w:pPr>
        <w:spacing w:line="360" w:lineRule="auto"/>
        <w:rPr>
          <w:rFonts w:ascii="Times New Roman" w:eastAsia="Times New Roman" w:hAnsi="Times New Roman" w:cs="Times New Roman"/>
          <w:b/>
          <w:sz w:val="24"/>
          <w:szCs w:val="24"/>
          <w:highlight w:val="white"/>
        </w:rPr>
      </w:pPr>
    </w:p>
    <w:p w:rsidR="00AE49F9" w:rsidRDefault="00AE49F9">
      <w:pPr>
        <w:spacing w:line="240" w:lineRule="auto"/>
        <w:rPr>
          <w:rFonts w:ascii="Times New Roman" w:eastAsia="Times New Roman" w:hAnsi="Times New Roman" w:cs="Times New Roman"/>
          <w:sz w:val="24"/>
          <w:szCs w:val="24"/>
        </w:rPr>
      </w:pPr>
    </w:p>
    <w:sectPr w:rsidR="00AE49F9" w:rsidSect="002719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26A" w:rsidRDefault="00B2126A" w:rsidP="002719C8">
      <w:pPr>
        <w:spacing w:line="240" w:lineRule="auto"/>
      </w:pPr>
      <w:r>
        <w:separator/>
      </w:r>
    </w:p>
  </w:endnote>
  <w:endnote w:type="continuationSeparator" w:id="0">
    <w:p w:rsidR="00B2126A" w:rsidRDefault="00B2126A" w:rsidP="00271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C8" w:rsidRDefault="0027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C8" w:rsidRDefault="00271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C8" w:rsidRDefault="0027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26A" w:rsidRDefault="00B2126A" w:rsidP="002719C8">
      <w:pPr>
        <w:spacing w:line="240" w:lineRule="auto"/>
      </w:pPr>
      <w:r>
        <w:separator/>
      </w:r>
    </w:p>
  </w:footnote>
  <w:footnote w:type="continuationSeparator" w:id="0">
    <w:p w:rsidR="00B2126A" w:rsidRDefault="00B2126A" w:rsidP="00271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C8" w:rsidRDefault="00271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381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C8" w:rsidRDefault="00271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381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C8" w:rsidRDefault="00271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381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50CF"/>
    <w:multiLevelType w:val="multilevel"/>
    <w:tmpl w:val="9C62DE9C"/>
    <w:lvl w:ilvl="0">
      <w:start w:val="1"/>
      <w:numFmt w:val="decimal"/>
      <w:lvlText w:val="%1."/>
      <w:lvlJc w:val="left"/>
      <w:pPr>
        <w:ind w:left="720" w:hanging="360"/>
      </w:pPr>
      <w:rPr>
        <w:rFonts w:ascii="Roboto" w:eastAsia="Roboto" w:hAnsi="Roboto" w:cs="Roboto"/>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EF3006C"/>
    <w:multiLevelType w:val="multilevel"/>
    <w:tmpl w:val="AEEC10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F9"/>
    <w:rsid w:val="000D5EDD"/>
    <w:rsid w:val="0010308B"/>
    <w:rsid w:val="002719C8"/>
    <w:rsid w:val="00272F99"/>
    <w:rsid w:val="006177F9"/>
    <w:rsid w:val="00AE49F9"/>
    <w:rsid w:val="00B05CE5"/>
    <w:rsid w:val="00B2126A"/>
    <w:rsid w:val="00EE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F0385B6-5DBD-4819-A81A-A9215E84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201D75"/>
  </w:style>
  <w:style w:type="paragraph" w:styleId="NormalWeb">
    <w:name w:val="Normal (Web)"/>
    <w:basedOn w:val="Normal"/>
    <w:uiPriority w:val="99"/>
    <w:semiHidden/>
    <w:unhideWhenUsed/>
    <w:rsid w:val="006C75D4"/>
    <w:rPr>
      <w:rFonts w:ascii="Times New Roman" w:hAnsi="Times New Roman" w:cs="Times New Roman"/>
      <w:sz w:val="24"/>
      <w:szCs w:val="24"/>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05CE5"/>
    <w:rPr>
      <w:color w:val="0000FF" w:themeColor="hyperlink"/>
      <w:u w:val="single"/>
    </w:rPr>
  </w:style>
  <w:style w:type="character" w:styleId="UnresolvedMention">
    <w:name w:val="Unresolved Mention"/>
    <w:basedOn w:val="DefaultParagraphFont"/>
    <w:uiPriority w:val="99"/>
    <w:semiHidden/>
    <w:unhideWhenUsed/>
    <w:rsid w:val="00B05CE5"/>
    <w:rPr>
      <w:color w:val="605E5C"/>
      <w:shd w:val="clear" w:color="auto" w:fill="E1DFDD"/>
    </w:rPr>
  </w:style>
  <w:style w:type="paragraph" w:styleId="Header">
    <w:name w:val="header"/>
    <w:basedOn w:val="Normal"/>
    <w:link w:val="HeaderChar"/>
    <w:uiPriority w:val="99"/>
    <w:unhideWhenUsed/>
    <w:rsid w:val="002719C8"/>
    <w:pPr>
      <w:tabs>
        <w:tab w:val="center" w:pos="4680"/>
        <w:tab w:val="right" w:pos="9360"/>
      </w:tabs>
      <w:spacing w:line="240" w:lineRule="auto"/>
    </w:pPr>
  </w:style>
  <w:style w:type="character" w:customStyle="1" w:styleId="HeaderChar">
    <w:name w:val="Header Char"/>
    <w:basedOn w:val="DefaultParagraphFont"/>
    <w:link w:val="Header"/>
    <w:uiPriority w:val="99"/>
    <w:rsid w:val="002719C8"/>
  </w:style>
  <w:style w:type="paragraph" w:styleId="Footer">
    <w:name w:val="footer"/>
    <w:basedOn w:val="Normal"/>
    <w:link w:val="FooterChar"/>
    <w:uiPriority w:val="99"/>
    <w:unhideWhenUsed/>
    <w:rsid w:val="002719C8"/>
    <w:pPr>
      <w:tabs>
        <w:tab w:val="center" w:pos="4680"/>
        <w:tab w:val="right" w:pos="9360"/>
      </w:tabs>
      <w:spacing w:line="240" w:lineRule="auto"/>
    </w:pPr>
  </w:style>
  <w:style w:type="character" w:customStyle="1" w:styleId="FooterChar">
    <w:name w:val="Footer Char"/>
    <w:basedOn w:val="DefaultParagraphFont"/>
    <w:link w:val="Footer"/>
    <w:uiPriority w:val="99"/>
    <w:rsid w:val="0027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zmE0F12D+ywnjil3xt0M4GGQ==">CgMxLjA4AGonChRzdWdnZXN0LnRrc2RrNGg0dmlhdRIPUm9oaXRoIFNyaW5pdmFzaicKFHN1Z2dlc3QuZzM4NHhoOGxkcGs5Eg9Sb2hpdGggU3Jpbml2YXNqJwoUc3VnZ2VzdC5nMHl0Mm9ibjJteTUSD1JvaGl0aCBTcmluaXZhc2onChRzdWdnZXN0LnNtMGJ0dzJpMnVkehIPUm9oaXRoIFNyaW5pdmFzaicKFHN1Z2dlc3QueWVxa2t2YXk2ZW1sEg9Sb2hpdGggU3Jpbml2YXNyITFzcHcwazFrNGtUU1J4U19kRVFSc1dZM1FvR3B4a3E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Dr.Siddharth A</dc:creator>
  <cp:lastModifiedBy>SDI 1180</cp:lastModifiedBy>
  <cp:revision>8</cp:revision>
  <dcterms:created xsi:type="dcterms:W3CDTF">2025-05-15T12:33:00Z</dcterms:created>
  <dcterms:modified xsi:type="dcterms:W3CDTF">2025-07-19T10:15:00Z</dcterms:modified>
</cp:coreProperties>
</file>