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8F6C4" w14:textId="77777777" w:rsidR="00754C9A" w:rsidRDefault="00754C9A" w:rsidP="00441B6F">
      <w:pPr>
        <w:pStyle w:val="Title"/>
        <w:spacing w:after="0"/>
        <w:jc w:val="both"/>
        <w:rPr>
          <w:rFonts w:ascii="Arial" w:hAnsi="Arial" w:cs="Arial"/>
        </w:rPr>
      </w:pPr>
    </w:p>
    <w:p w14:paraId="76E0F71A" w14:textId="77777777" w:rsidR="00B63F28" w:rsidRPr="00335110" w:rsidRDefault="00B63F28" w:rsidP="00B63F28">
      <w:pPr>
        <w:spacing w:line="276" w:lineRule="auto"/>
        <w:ind w:left="-142" w:right="-330"/>
        <w:jc w:val="both"/>
        <w:rPr>
          <w:rFonts w:ascii="Times New Roman" w:hAnsi="Times New Roman"/>
          <w:b/>
          <w:bCs/>
          <w:sz w:val="24"/>
          <w:szCs w:val="24"/>
        </w:rPr>
      </w:pPr>
      <w:r w:rsidRPr="00335110">
        <w:rPr>
          <w:rFonts w:ascii="Times New Roman" w:hAnsi="Times New Roman"/>
          <w:b/>
          <w:bCs/>
          <w:sz w:val="24"/>
          <w:szCs w:val="24"/>
        </w:rPr>
        <w:t>EFFECT OF DIFFERENT FERTILIZERS LIKE VERMICOMPOST, COW DUNG, COCOPEAT, AND SAND SOIL ON GERMINATION OF JOWAR AND BAJRA</w:t>
      </w:r>
    </w:p>
    <w:p w14:paraId="5468062E" w14:textId="77777777" w:rsidR="00A258C3" w:rsidRPr="00790ADA" w:rsidRDefault="00A258C3" w:rsidP="00441B6F">
      <w:pPr>
        <w:pStyle w:val="Author"/>
        <w:spacing w:line="240" w:lineRule="auto"/>
        <w:jc w:val="both"/>
        <w:rPr>
          <w:rFonts w:ascii="Arial" w:hAnsi="Arial" w:cs="Arial"/>
          <w:sz w:val="36"/>
        </w:rPr>
      </w:pPr>
    </w:p>
    <w:p w14:paraId="0544A0FA" w14:textId="77777777" w:rsidR="00745613" w:rsidRDefault="00745613" w:rsidP="00B63F28">
      <w:pPr>
        <w:spacing w:line="276" w:lineRule="auto"/>
        <w:ind w:left="-142" w:right="-330"/>
        <w:jc w:val="both"/>
        <w:rPr>
          <w:rFonts w:ascii="Times New Roman" w:hAnsi="Times New Roman"/>
          <w:b/>
          <w:bCs/>
          <w:sz w:val="24"/>
          <w:szCs w:val="24"/>
        </w:rPr>
      </w:pPr>
    </w:p>
    <w:p w14:paraId="3ADAE450" w14:textId="117D0C11" w:rsidR="00B63F28" w:rsidRPr="00335110" w:rsidRDefault="001B5814" w:rsidP="00B63F28">
      <w:pPr>
        <w:spacing w:line="276" w:lineRule="auto"/>
        <w:ind w:left="-142" w:right="-330"/>
        <w:jc w:val="both"/>
        <w:rPr>
          <w:rFonts w:ascii="Times New Roman" w:hAnsi="Times New Roman"/>
          <w:b/>
          <w:bCs/>
          <w:sz w:val="24"/>
          <w:szCs w:val="24"/>
        </w:rPr>
      </w:pPr>
      <w:r>
        <w:rPr>
          <w:rFonts w:ascii="Arial" w:hAnsi="Arial" w:cs="Arial"/>
          <w:noProof/>
        </w:rPr>
        <mc:AlternateContent>
          <mc:Choice Requires="wps">
            <w:drawing>
              <wp:inline distT="0" distB="0" distL="0" distR="0" wp14:anchorId="4E7FDF39" wp14:editId="4BDEF9AD">
                <wp:extent cx="5303520" cy="635"/>
                <wp:effectExtent l="14605" t="16510" r="15875" b="12065"/>
                <wp:docPr id="10796201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0971562" id="_x0000_t32" coordsize="21600,21600" o:spt="32" o:oned="t" path="m,l21600,21600e" filled="f">
                <v:path arrowok="t" fillok="f" o:connecttype="none"/>
                <o:lock v:ext="edit" shapetype="t"/>
              </v:shapetype>
              <v:shape id="AutoShape 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E4898F1" w14:textId="77777777" w:rsidR="00790ADA" w:rsidRDefault="00790ADA" w:rsidP="00441B6F">
      <w:pPr>
        <w:pStyle w:val="Affiliation"/>
        <w:spacing w:after="0" w:line="240" w:lineRule="auto"/>
        <w:jc w:val="both"/>
        <w:rPr>
          <w:rFonts w:ascii="Arial" w:hAnsi="Arial" w:cs="Arial"/>
        </w:rPr>
      </w:pPr>
    </w:p>
    <w:p w14:paraId="75685C49" w14:textId="5B00CF09" w:rsidR="00B01FCD" w:rsidRPr="00FB3A86" w:rsidRDefault="00B01FCD" w:rsidP="00441B6F">
      <w:pPr>
        <w:pStyle w:val="Copyright"/>
        <w:spacing w:after="0" w:line="240" w:lineRule="auto"/>
        <w:jc w:val="both"/>
        <w:rPr>
          <w:rFonts w:ascii="Arial" w:hAnsi="Arial" w:cs="Arial"/>
        </w:rPr>
        <w:sectPr w:rsidR="00B01FCD" w:rsidRPr="00FB3A86" w:rsidSect="0074561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FA94F76" w14:textId="7EEA6E08" w:rsidR="00B01FCD" w:rsidRDefault="00B01FCD" w:rsidP="00441B6F">
      <w:pPr>
        <w:pStyle w:val="AbstHead"/>
        <w:spacing w:after="0"/>
        <w:jc w:val="both"/>
        <w:rPr>
          <w:rFonts w:ascii="Arial" w:hAnsi="Arial" w:cs="Arial"/>
        </w:rPr>
      </w:pPr>
      <w:r w:rsidRPr="00FB3A86">
        <w:rPr>
          <w:rFonts w:ascii="Arial" w:hAnsi="Arial" w:cs="Arial"/>
        </w:rPr>
        <w:t>ABSTRACT</w:t>
      </w:r>
    </w:p>
    <w:p w14:paraId="5D5A2DE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B78A79B" w14:textId="77777777" w:rsidTr="001E44FE">
        <w:tc>
          <w:tcPr>
            <w:tcW w:w="9576" w:type="dxa"/>
            <w:shd w:val="clear" w:color="auto" w:fill="F2F2F2"/>
          </w:tcPr>
          <w:p w14:paraId="0E4410DD" w14:textId="77777777" w:rsidR="00E3114E" w:rsidRDefault="00E3114E" w:rsidP="00441B6F">
            <w:pPr>
              <w:pStyle w:val="Body"/>
              <w:spacing w:after="0"/>
              <w:rPr>
                <w:rFonts w:ascii="Arial" w:eastAsia="Calibri" w:hAnsi="Arial" w:cs="Arial"/>
                <w:b/>
                <w:szCs w:val="22"/>
              </w:rPr>
            </w:pPr>
          </w:p>
          <w:p w14:paraId="03D03303" w14:textId="77777777" w:rsidR="00B63F28" w:rsidRPr="00B63F28" w:rsidRDefault="00BA1B01" w:rsidP="00B63F28">
            <w:pPr>
              <w:spacing w:line="276" w:lineRule="auto"/>
              <w:jc w:val="both"/>
              <w:rPr>
                <w:rFonts w:asciiTheme="minorBidi" w:hAnsiTheme="minorBidi" w:cstheme="minorBidi"/>
              </w:rPr>
            </w:pPr>
            <w:r w:rsidRPr="00BA1B01">
              <w:rPr>
                <w:rFonts w:ascii="Arial" w:eastAsia="Calibri" w:hAnsi="Arial" w:cs="Arial"/>
                <w:b/>
                <w:szCs w:val="22"/>
              </w:rPr>
              <w:t xml:space="preserve">Aims: </w:t>
            </w:r>
            <w:r w:rsidR="00B63F28" w:rsidRPr="00B63F28">
              <w:rPr>
                <w:rFonts w:asciiTheme="minorBidi" w:hAnsiTheme="minorBidi" w:cstheme="minorBidi"/>
              </w:rPr>
              <w:t>The primary objective of this study is to evaluate the effects of different organic and inorganic soil amendments—specifically vermicompost, cow dung, cocopeat, and sand soil—on the germination performance of jowar (</w:t>
            </w:r>
            <w:r w:rsidR="00B63F28" w:rsidRPr="00B63F28">
              <w:rPr>
                <w:rFonts w:asciiTheme="minorBidi" w:hAnsiTheme="minorBidi" w:cstheme="minorBidi"/>
                <w:i/>
                <w:iCs/>
              </w:rPr>
              <w:t>Sorghum bicolor</w:t>
            </w:r>
            <w:r w:rsidR="00B63F28" w:rsidRPr="00B63F28">
              <w:rPr>
                <w:rFonts w:asciiTheme="minorBidi" w:hAnsiTheme="minorBidi" w:cstheme="minorBidi"/>
              </w:rPr>
              <w:t>) and bajra (</w:t>
            </w:r>
            <w:r w:rsidR="00B63F28" w:rsidRPr="00B63F28">
              <w:rPr>
                <w:rFonts w:asciiTheme="minorBidi" w:hAnsiTheme="minorBidi" w:cstheme="minorBidi"/>
                <w:i/>
                <w:iCs/>
              </w:rPr>
              <w:t>Pennisetum glaucum</w:t>
            </w:r>
            <w:r w:rsidR="00B63F28" w:rsidRPr="00B63F28">
              <w:rPr>
                <w:rFonts w:asciiTheme="minorBidi" w:hAnsiTheme="minorBidi" w:cstheme="minorBidi"/>
              </w:rPr>
              <w:t>) seeds under controlled conditions.</w:t>
            </w:r>
          </w:p>
          <w:p w14:paraId="2D460E4B" w14:textId="6541BD60" w:rsidR="00BA1B01" w:rsidRPr="00BA1B01" w:rsidRDefault="00BA1B01" w:rsidP="00441B6F">
            <w:pPr>
              <w:pStyle w:val="Body"/>
              <w:spacing w:after="0"/>
              <w:rPr>
                <w:rFonts w:ascii="Arial" w:eastAsia="Calibri" w:hAnsi="Arial" w:cs="Arial"/>
                <w:szCs w:val="22"/>
              </w:rPr>
            </w:pPr>
            <w:r w:rsidRPr="00B63F28">
              <w:rPr>
                <w:rFonts w:asciiTheme="minorBidi" w:eastAsia="Calibri" w:hAnsiTheme="minorBidi" w:cstheme="minorBidi"/>
              </w:rPr>
              <w:t xml:space="preserve">Study design:  </w:t>
            </w:r>
            <w:r w:rsidR="006B21D3" w:rsidRPr="00B63F28">
              <w:rPr>
                <w:rFonts w:asciiTheme="minorBidi" w:eastAsia="Calibri" w:hAnsiTheme="minorBidi" w:cstheme="minorBidi"/>
              </w:rPr>
              <w:t>Mention the design of the study here</w:t>
            </w:r>
            <w:r w:rsidRPr="00BA1B01">
              <w:rPr>
                <w:rFonts w:ascii="Arial" w:eastAsia="Calibri" w:hAnsi="Arial" w:cs="Arial"/>
                <w:szCs w:val="22"/>
              </w:rPr>
              <w:t>.</w:t>
            </w:r>
          </w:p>
          <w:p w14:paraId="739F2EA8" w14:textId="5FDF488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Sample: </w:t>
            </w:r>
            <w:r w:rsidRPr="00BA1B01">
              <w:rPr>
                <w:rFonts w:ascii="Arial" w:eastAsia="Calibri" w:hAnsi="Arial" w:cs="Arial"/>
                <w:szCs w:val="22"/>
              </w:rPr>
              <w:t xml:space="preserve">Department of </w:t>
            </w:r>
            <w:r w:rsidR="00B63F28">
              <w:rPr>
                <w:rFonts w:ascii="Arial" w:eastAsia="Calibri" w:hAnsi="Arial" w:cs="Arial"/>
                <w:szCs w:val="22"/>
              </w:rPr>
              <w:t xml:space="preserve">Botany, Mata Jijabai Govt PG Girls College, Indore, Madhya </w:t>
            </w:r>
            <w:proofErr w:type="spellStart"/>
            <w:proofErr w:type="gramStart"/>
            <w:r w:rsidR="00B63F28">
              <w:rPr>
                <w:rFonts w:ascii="Arial" w:eastAsia="Calibri" w:hAnsi="Arial" w:cs="Arial"/>
                <w:szCs w:val="22"/>
              </w:rPr>
              <w:t>Pradesh</w:t>
            </w:r>
            <w:r w:rsidRPr="00BA1B01">
              <w:rPr>
                <w:rFonts w:ascii="Arial" w:eastAsia="Calibri" w:hAnsi="Arial" w:cs="Arial"/>
                <w:szCs w:val="22"/>
              </w:rPr>
              <w:t>,</w:t>
            </w:r>
            <w:r w:rsidR="00B63F28">
              <w:rPr>
                <w:rFonts w:ascii="Arial" w:eastAsia="Calibri" w:hAnsi="Arial" w:cs="Arial"/>
                <w:szCs w:val="22"/>
              </w:rPr>
              <w:t>India</w:t>
            </w:r>
            <w:proofErr w:type="spellEnd"/>
            <w:proofErr w:type="gramEnd"/>
            <w:r w:rsidR="00B63F28">
              <w:rPr>
                <w:rFonts w:ascii="Arial" w:eastAsia="Calibri" w:hAnsi="Arial" w:cs="Arial"/>
                <w:szCs w:val="22"/>
              </w:rPr>
              <w:t>,</w:t>
            </w:r>
            <w:r w:rsidRPr="00BA1B01">
              <w:rPr>
                <w:rFonts w:ascii="Arial" w:eastAsia="Calibri" w:hAnsi="Arial" w:cs="Arial"/>
                <w:szCs w:val="22"/>
              </w:rPr>
              <w:t xml:space="preserve"> between </w:t>
            </w:r>
            <w:r w:rsidR="0031735C">
              <w:rPr>
                <w:rFonts w:ascii="Arial" w:eastAsia="Calibri" w:hAnsi="Arial" w:cs="Arial"/>
                <w:szCs w:val="22"/>
              </w:rPr>
              <w:t>April</w:t>
            </w:r>
            <w:r w:rsidRPr="00BA1B01">
              <w:rPr>
                <w:rFonts w:ascii="Arial" w:eastAsia="Calibri" w:hAnsi="Arial" w:cs="Arial"/>
                <w:szCs w:val="22"/>
              </w:rPr>
              <w:t xml:space="preserve"> 20</w:t>
            </w:r>
            <w:r w:rsidR="00B63F28">
              <w:rPr>
                <w:rFonts w:ascii="Arial" w:eastAsia="Calibri" w:hAnsi="Arial" w:cs="Arial"/>
                <w:szCs w:val="22"/>
              </w:rPr>
              <w:t>25</w:t>
            </w:r>
            <w:r w:rsidRPr="00BA1B01">
              <w:rPr>
                <w:rFonts w:ascii="Arial" w:eastAsia="Calibri" w:hAnsi="Arial" w:cs="Arial"/>
                <w:szCs w:val="22"/>
              </w:rPr>
              <w:t xml:space="preserve"> and </w:t>
            </w:r>
            <w:proofErr w:type="spellStart"/>
            <w:r w:rsidR="00B63F28">
              <w:rPr>
                <w:rFonts w:ascii="Arial" w:eastAsia="Calibri" w:hAnsi="Arial" w:cs="Arial"/>
                <w:szCs w:val="22"/>
              </w:rPr>
              <w:t>may</w:t>
            </w:r>
            <w:proofErr w:type="spellEnd"/>
            <w:r w:rsidRPr="00BA1B01">
              <w:rPr>
                <w:rFonts w:ascii="Arial" w:eastAsia="Calibri" w:hAnsi="Arial" w:cs="Arial"/>
                <w:szCs w:val="22"/>
              </w:rPr>
              <w:t xml:space="preserve"> 20</w:t>
            </w:r>
            <w:r w:rsidR="00B63F28">
              <w:rPr>
                <w:rFonts w:ascii="Arial" w:eastAsia="Calibri" w:hAnsi="Arial" w:cs="Arial"/>
                <w:szCs w:val="22"/>
              </w:rPr>
              <w:t>25</w:t>
            </w:r>
            <w:r w:rsidRPr="00BA1B01">
              <w:rPr>
                <w:rFonts w:ascii="Arial" w:eastAsia="Calibri" w:hAnsi="Arial" w:cs="Arial"/>
                <w:szCs w:val="22"/>
              </w:rPr>
              <w:t>.</w:t>
            </w:r>
          </w:p>
          <w:p w14:paraId="3CCDD3F3" w14:textId="45A9F497" w:rsidR="00BA1B01" w:rsidRPr="00BA1B01" w:rsidRDefault="00BA1B01" w:rsidP="00B63F28">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63F28" w:rsidRPr="00B63F28">
              <w:rPr>
                <w:rFonts w:ascii="Arial" w:eastAsia="Calibri" w:hAnsi="Arial" w:cs="Arial"/>
                <w:szCs w:val="22"/>
                <w:lang w:val="en-IN"/>
              </w:rPr>
              <w:t xml:space="preserve">This study investigates the effects of different organic and natural growing media—vermicompost, cow dung, cocopeat, </w:t>
            </w:r>
            <w:proofErr w:type="spellStart"/>
            <w:r w:rsidR="00B63F28" w:rsidRPr="00B63F28">
              <w:rPr>
                <w:rFonts w:ascii="Arial" w:eastAsia="Calibri" w:hAnsi="Arial" w:cs="Arial"/>
                <w:szCs w:val="22"/>
                <w:lang w:val="en-IN"/>
              </w:rPr>
              <w:t>sand</w:t>
            </w:r>
            <w:proofErr w:type="spellEnd"/>
            <w:r w:rsidR="00B63F28" w:rsidRPr="00B63F28">
              <w:rPr>
                <w:rFonts w:ascii="Arial" w:eastAsia="Calibri" w:hAnsi="Arial" w:cs="Arial"/>
                <w:szCs w:val="22"/>
                <w:lang w:val="en-IN"/>
              </w:rPr>
              <w:t xml:space="preserve"> soil, and their combinations—on the germination and early seedling development of two drought-tolerant cereal crops: jowar (</w:t>
            </w:r>
            <w:r w:rsidR="00B63F28" w:rsidRPr="00B63F28">
              <w:rPr>
                <w:rFonts w:ascii="Arial" w:eastAsia="Calibri" w:hAnsi="Arial" w:cs="Arial"/>
                <w:i/>
                <w:iCs/>
                <w:szCs w:val="22"/>
                <w:lang w:val="en-IN"/>
              </w:rPr>
              <w:t xml:space="preserve">Sorghum </w:t>
            </w:r>
            <w:proofErr w:type="spellStart"/>
            <w:r w:rsidR="00B63F28" w:rsidRPr="00B63F28">
              <w:rPr>
                <w:rFonts w:ascii="Arial" w:eastAsia="Calibri" w:hAnsi="Arial" w:cs="Arial"/>
                <w:i/>
                <w:iCs/>
                <w:szCs w:val="22"/>
                <w:lang w:val="en-IN"/>
              </w:rPr>
              <w:t>bicolor</w:t>
            </w:r>
            <w:proofErr w:type="spellEnd"/>
            <w:r w:rsidR="00B63F28" w:rsidRPr="00B63F28">
              <w:rPr>
                <w:rFonts w:ascii="Arial" w:eastAsia="Calibri" w:hAnsi="Arial" w:cs="Arial"/>
                <w:szCs w:val="22"/>
                <w:lang w:val="en-IN"/>
              </w:rPr>
              <w:t>) and bajra (</w:t>
            </w:r>
            <w:r w:rsidR="00B63F28" w:rsidRPr="00B63F28">
              <w:rPr>
                <w:rFonts w:ascii="Arial" w:eastAsia="Calibri" w:hAnsi="Arial" w:cs="Arial"/>
                <w:i/>
                <w:iCs/>
                <w:szCs w:val="22"/>
                <w:lang w:val="en-IN"/>
              </w:rPr>
              <w:t>Pennisetum glaucum</w:t>
            </w:r>
            <w:r w:rsidR="00B63F28" w:rsidRPr="00B63F28">
              <w:rPr>
                <w:rFonts w:ascii="Arial" w:eastAsia="Calibri" w:hAnsi="Arial" w:cs="Arial"/>
                <w:szCs w:val="22"/>
                <w:lang w:val="en-IN"/>
              </w:rPr>
              <w:t xml:space="preserve">). The experiment, conducted under controlled laboratory conditions, evaluated parameters such as germination percentage, germination speed, root and shoot length, and seedling </w:t>
            </w:r>
            <w:proofErr w:type="spellStart"/>
            <w:r w:rsidR="00B63F28" w:rsidRPr="00B63F28">
              <w:rPr>
                <w:rFonts w:ascii="Arial" w:eastAsia="Calibri" w:hAnsi="Arial" w:cs="Arial"/>
                <w:szCs w:val="22"/>
                <w:lang w:val="en-IN"/>
              </w:rPr>
              <w:t>vigor</w:t>
            </w:r>
            <w:proofErr w:type="spellEnd"/>
            <w:r w:rsidR="00B63F28" w:rsidRPr="00B63F28">
              <w:rPr>
                <w:rFonts w:ascii="Arial" w:eastAsia="Calibri" w:hAnsi="Arial" w:cs="Arial"/>
                <w:szCs w:val="22"/>
                <w:lang w:val="en-IN"/>
              </w:rPr>
              <w:t xml:space="preserve"> index.</w:t>
            </w:r>
          </w:p>
          <w:p w14:paraId="0F832A96" w14:textId="77777777" w:rsidR="00B63F28" w:rsidRDefault="00BA1B01" w:rsidP="00441B6F">
            <w:pPr>
              <w:pStyle w:val="Body"/>
              <w:spacing w:after="0"/>
              <w:rPr>
                <w:rFonts w:ascii="Arial" w:eastAsia="Calibri" w:hAnsi="Arial" w:cs="Arial"/>
                <w:szCs w:val="22"/>
                <w:lang w:val="en-IN"/>
              </w:rPr>
            </w:pPr>
            <w:r w:rsidRPr="00BA1B01">
              <w:rPr>
                <w:rFonts w:ascii="Arial" w:eastAsia="Calibri" w:hAnsi="Arial" w:cs="Arial"/>
                <w:b/>
                <w:bCs/>
                <w:szCs w:val="22"/>
              </w:rPr>
              <w:t>Results:</w:t>
            </w:r>
            <w:r w:rsidRPr="00BA1B01">
              <w:rPr>
                <w:rFonts w:ascii="Arial" w:eastAsia="Calibri" w:hAnsi="Arial" w:cs="Arial"/>
                <w:szCs w:val="22"/>
              </w:rPr>
              <w:t xml:space="preserve"> </w:t>
            </w:r>
            <w:r w:rsidR="00B63F28" w:rsidRPr="00B63F28">
              <w:rPr>
                <w:rFonts w:ascii="Arial" w:eastAsia="Calibri" w:hAnsi="Arial" w:cs="Arial"/>
                <w:szCs w:val="22"/>
                <w:lang w:val="en-IN"/>
              </w:rPr>
              <w:t xml:space="preserve">Results revealed that the combination of vermicompost and cocopeat significantly enhanced germination performance and seedling </w:t>
            </w:r>
            <w:proofErr w:type="spellStart"/>
            <w:r w:rsidR="00B63F28" w:rsidRPr="00B63F28">
              <w:rPr>
                <w:rFonts w:ascii="Arial" w:eastAsia="Calibri" w:hAnsi="Arial" w:cs="Arial"/>
                <w:szCs w:val="22"/>
                <w:lang w:val="en-IN"/>
              </w:rPr>
              <w:t>vigor</w:t>
            </w:r>
            <w:proofErr w:type="spellEnd"/>
            <w:r w:rsidR="00B63F28" w:rsidRPr="00B63F28">
              <w:rPr>
                <w:rFonts w:ascii="Arial" w:eastAsia="Calibri" w:hAnsi="Arial" w:cs="Arial"/>
                <w:szCs w:val="22"/>
                <w:lang w:val="en-IN"/>
              </w:rPr>
              <w:t xml:space="preserve">, exhibiting synergistic effects of high nutrient availability and moisture retention. Vermicompost alone demonstrated strong support for root/shoot growth, while cocopeat maintained fast germination rates. Cow dung, though rich in organic matter, resulted in comparatively lower germination percentages but supported moderate to strong seedling growth. </w:t>
            </w:r>
            <w:proofErr w:type="spellStart"/>
            <w:r w:rsidR="00B63F28" w:rsidRPr="00B63F28">
              <w:rPr>
                <w:rFonts w:ascii="Arial" w:eastAsia="Calibri" w:hAnsi="Arial" w:cs="Arial"/>
                <w:szCs w:val="22"/>
                <w:lang w:val="en-IN"/>
              </w:rPr>
              <w:t>Sand</w:t>
            </w:r>
            <w:proofErr w:type="spellEnd"/>
            <w:r w:rsidR="00B63F28" w:rsidRPr="00B63F28">
              <w:rPr>
                <w:rFonts w:ascii="Arial" w:eastAsia="Calibri" w:hAnsi="Arial" w:cs="Arial"/>
                <w:szCs w:val="22"/>
                <w:lang w:val="en-IN"/>
              </w:rPr>
              <w:t xml:space="preserve"> soil exhibited the highest initial germination but failed to support subsequent seedling development due to its poor nutrient and water-holding capacity. The findings underscore the importance of selecting appropriate growing media for optimal seedling performance and suggest that a vermicompost and cocopeat mix offers a sustainable, low-cost alternative for improving germination and crop establishment in low-input and rainfed agricultural systems.</w:t>
            </w:r>
          </w:p>
          <w:p w14:paraId="69E9C128" w14:textId="00365C83" w:rsidR="00B63F28" w:rsidRPr="00BA1B01" w:rsidRDefault="00BA1B01" w:rsidP="00B63F2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63F28" w:rsidRPr="00B63F28">
              <w:rPr>
                <w:rFonts w:ascii="Arial" w:eastAsia="Calibri" w:hAnsi="Arial" w:cs="Arial"/>
                <w:szCs w:val="22"/>
                <w:lang w:val="en-IN"/>
              </w:rPr>
              <w:t>These insights can inform organic farming practices and enhance the productivity of resilient crops in marginal soils</w:t>
            </w:r>
          </w:p>
          <w:p w14:paraId="47A40C4C" w14:textId="6608519D" w:rsidR="00505F06" w:rsidRPr="00BA1B01" w:rsidRDefault="00505F06" w:rsidP="00441B6F">
            <w:pPr>
              <w:pStyle w:val="Body"/>
              <w:spacing w:after="0"/>
              <w:rPr>
                <w:rFonts w:ascii="Arial" w:eastAsia="Calibri" w:hAnsi="Arial" w:cs="Arial"/>
                <w:szCs w:val="22"/>
              </w:rPr>
            </w:pPr>
          </w:p>
        </w:tc>
      </w:tr>
    </w:tbl>
    <w:p w14:paraId="5EC2EA01" w14:textId="77777777" w:rsidR="00636EB2" w:rsidRDefault="00636EB2" w:rsidP="00441B6F">
      <w:pPr>
        <w:pStyle w:val="Body"/>
        <w:spacing w:after="0"/>
        <w:rPr>
          <w:rFonts w:ascii="Arial" w:hAnsi="Arial" w:cs="Arial"/>
          <w:i/>
        </w:rPr>
      </w:pPr>
    </w:p>
    <w:p w14:paraId="448D290A" w14:textId="57A6E7AA" w:rsidR="00790ADA" w:rsidRDefault="00A24E7E" w:rsidP="00A91490">
      <w:pPr>
        <w:pStyle w:val="Body"/>
        <w:spacing w:after="0"/>
        <w:rPr>
          <w:rFonts w:ascii="Arial" w:hAnsi="Arial" w:cs="Arial"/>
          <w:i/>
        </w:rPr>
      </w:pPr>
      <w:r>
        <w:rPr>
          <w:rFonts w:ascii="Arial" w:hAnsi="Arial" w:cs="Arial"/>
          <w:i/>
        </w:rPr>
        <w:t xml:space="preserve">Keywords: </w:t>
      </w:r>
      <w:r w:rsidR="00A91490" w:rsidRPr="00A91490">
        <w:rPr>
          <w:rFonts w:ascii="Arial" w:hAnsi="Arial" w:cs="Arial"/>
          <w:i/>
        </w:rPr>
        <w:t>Germination, Seedling Vigor, Jowar (</w:t>
      </w:r>
      <w:r w:rsidR="00A91490" w:rsidRPr="00A91490">
        <w:rPr>
          <w:rFonts w:ascii="Arial" w:hAnsi="Arial" w:cs="Arial"/>
          <w:i/>
          <w:iCs/>
        </w:rPr>
        <w:t>Sorghum bicolor</w:t>
      </w:r>
      <w:r w:rsidR="00A91490" w:rsidRPr="00A91490">
        <w:rPr>
          <w:rFonts w:ascii="Arial" w:hAnsi="Arial" w:cs="Arial"/>
          <w:i/>
        </w:rPr>
        <w:t>), Bajra (</w:t>
      </w:r>
      <w:r w:rsidR="00A91490" w:rsidRPr="00A91490">
        <w:rPr>
          <w:rFonts w:ascii="Arial" w:hAnsi="Arial" w:cs="Arial"/>
          <w:i/>
          <w:iCs/>
        </w:rPr>
        <w:t>Pennisetum glaucum</w:t>
      </w:r>
      <w:r w:rsidR="00A91490" w:rsidRPr="00A91490">
        <w:rPr>
          <w:rFonts w:ascii="Arial" w:hAnsi="Arial" w:cs="Arial"/>
          <w:i/>
        </w:rPr>
        <w:t>), Vermicompost, Cow Dung, Cocopeat, Sand Soil, Organic Amendments, Growing Media, Sustainable Agriculture, Seed Emergence, Rainfed Cropping Systems, Soil Fertility.</w:t>
      </w:r>
    </w:p>
    <w:p w14:paraId="51AAC8F7" w14:textId="77777777" w:rsidR="00A91490" w:rsidRDefault="00A91490" w:rsidP="00A91490">
      <w:pPr>
        <w:pStyle w:val="Body"/>
        <w:spacing w:after="0"/>
        <w:rPr>
          <w:rFonts w:ascii="Arial" w:hAnsi="Arial" w:cs="Arial"/>
          <w:i/>
        </w:rPr>
      </w:pPr>
    </w:p>
    <w:p w14:paraId="7DD03835" w14:textId="77777777" w:rsidR="00505F06" w:rsidRPr="00A24E7E" w:rsidRDefault="00505F06" w:rsidP="00441B6F">
      <w:pPr>
        <w:pStyle w:val="Body"/>
        <w:spacing w:after="0"/>
        <w:rPr>
          <w:rFonts w:ascii="Arial" w:hAnsi="Arial" w:cs="Arial"/>
          <w:i/>
        </w:rPr>
      </w:pPr>
    </w:p>
    <w:p w14:paraId="380952D3" w14:textId="0B439E53" w:rsidR="007F7B32" w:rsidRDefault="00902823" w:rsidP="006C6856">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BB2F02" w14:textId="77777777" w:rsidR="00790ADA" w:rsidRPr="00FB3A86" w:rsidRDefault="00790ADA" w:rsidP="00441B6F">
      <w:pPr>
        <w:pStyle w:val="AbstHead"/>
        <w:spacing w:after="0"/>
        <w:jc w:val="both"/>
        <w:rPr>
          <w:rFonts w:ascii="Arial" w:hAnsi="Arial" w:cs="Arial"/>
        </w:rPr>
      </w:pPr>
    </w:p>
    <w:p w14:paraId="1CD09CEE" w14:textId="77777777" w:rsidR="00A91490" w:rsidRPr="00A91490" w:rsidRDefault="00A91490" w:rsidP="00A91490">
      <w:pPr>
        <w:spacing w:line="276" w:lineRule="auto"/>
        <w:jc w:val="both"/>
        <w:rPr>
          <w:rFonts w:asciiTheme="minorBidi" w:hAnsiTheme="minorBidi" w:cstheme="minorBidi"/>
        </w:rPr>
      </w:pPr>
      <w:r w:rsidRPr="00A91490">
        <w:rPr>
          <w:rFonts w:asciiTheme="minorBidi" w:hAnsiTheme="minorBidi" w:cstheme="minorBidi"/>
        </w:rPr>
        <w:t xml:space="preserve">Germination is a fundamental phase in a plant’s life cycle that significantly influences subsequent growth and productivity. Successful germination ensures uniform crop establishment, which is crucial for optimal yield. The process is influenced by both intrinsic factors (such as seed viability) and extrinsic environmental conditions, especially the physical </w:t>
      </w:r>
      <w:r w:rsidRPr="00A91490">
        <w:rPr>
          <w:rFonts w:asciiTheme="minorBidi" w:hAnsiTheme="minorBidi" w:cstheme="minorBidi"/>
        </w:rPr>
        <w:lastRenderedPageBreak/>
        <w:t>and chemical properties of the soil or growing medium (Bewley et al., 2013). Among the external factors, the nutrient availability, moisture retention, aeration, and microbial activity in the germination medium are particularly vital for seed emergence and seedling vigor.</w:t>
      </w:r>
    </w:p>
    <w:p w14:paraId="0A21182D" w14:textId="77777777" w:rsidR="00A91490" w:rsidRPr="00A91490" w:rsidRDefault="00A91490" w:rsidP="00A91490">
      <w:pPr>
        <w:spacing w:line="276" w:lineRule="auto"/>
        <w:jc w:val="both"/>
        <w:rPr>
          <w:rFonts w:asciiTheme="minorBidi" w:hAnsiTheme="minorBidi" w:cstheme="minorBidi"/>
        </w:rPr>
      </w:pPr>
      <w:r w:rsidRPr="00A91490">
        <w:rPr>
          <w:rFonts w:asciiTheme="minorBidi" w:hAnsiTheme="minorBidi" w:cstheme="minorBidi"/>
        </w:rPr>
        <w:t>Cereal crops like jowar (</w:t>
      </w:r>
      <w:r w:rsidRPr="00A91490">
        <w:rPr>
          <w:rFonts w:asciiTheme="minorBidi" w:hAnsiTheme="minorBidi" w:cstheme="minorBidi"/>
          <w:i/>
          <w:iCs/>
        </w:rPr>
        <w:t>Sorghum bicolor</w:t>
      </w:r>
      <w:r w:rsidRPr="00A91490">
        <w:rPr>
          <w:rFonts w:asciiTheme="minorBidi" w:hAnsiTheme="minorBidi" w:cstheme="minorBidi"/>
        </w:rPr>
        <w:t>) and bajra (</w:t>
      </w:r>
      <w:r w:rsidRPr="00A91490">
        <w:rPr>
          <w:rFonts w:asciiTheme="minorBidi" w:hAnsiTheme="minorBidi" w:cstheme="minorBidi"/>
          <w:i/>
          <w:iCs/>
        </w:rPr>
        <w:t>Pennisetum glaucum</w:t>
      </w:r>
      <w:r w:rsidRPr="00A91490">
        <w:rPr>
          <w:rFonts w:asciiTheme="minorBidi" w:hAnsiTheme="minorBidi" w:cstheme="minorBidi"/>
        </w:rPr>
        <w:t>) are staple grains cultivated in semi-arid and arid regions. These crops are drought-resistant and require minimal inputs, making them ideal for rainfed agriculture (Rao et al., 2014). However, their germination and early seedling development can be significantly enhanced by improving soil fertility and structure through organic amendments. Poor germination due to degraded soils or unfavorable media can lead to low plant population density and reduced yields, even in otherwise resilient crops like jowar and bajra.</w:t>
      </w:r>
    </w:p>
    <w:p w14:paraId="32A9354A" w14:textId="77777777" w:rsidR="00A91490" w:rsidRPr="00A91490" w:rsidRDefault="00A91490" w:rsidP="00A91490">
      <w:pPr>
        <w:spacing w:line="276" w:lineRule="auto"/>
        <w:jc w:val="both"/>
        <w:rPr>
          <w:rFonts w:asciiTheme="minorBidi" w:hAnsiTheme="minorBidi" w:cstheme="minorBidi"/>
          <w:b/>
          <w:bCs/>
        </w:rPr>
      </w:pPr>
      <w:r w:rsidRPr="00A91490">
        <w:rPr>
          <w:rFonts w:asciiTheme="minorBidi" w:hAnsiTheme="minorBidi" w:cstheme="minorBidi"/>
          <w:b/>
          <w:bCs/>
        </w:rPr>
        <w:t>Importance of Organic Amendments and Growing Media</w:t>
      </w:r>
    </w:p>
    <w:p w14:paraId="206E218A" w14:textId="77777777" w:rsidR="00A91490" w:rsidRPr="00A91490" w:rsidRDefault="00A91490" w:rsidP="00A91490">
      <w:pPr>
        <w:spacing w:line="276" w:lineRule="auto"/>
        <w:jc w:val="both"/>
        <w:rPr>
          <w:rFonts w:asciiTheme="minorBidi" w:hAnsiTheme="minorBidi" w:cstheme="minorBidi"/>
        </w:rPr>
      </w:pPr>
      <w:r w:rsidRPr="00A91490">
        <w:rPr>
          <w:rFonts w:asciiTheme="minorBidi" w:hAnsiTheme="minorBidi" w:cstheme="minorBidi"/>
        </w:rPr>
        <w:t>The use of organic fertilizers and alternative growing media has received increasing attention as a sustainable means to improve germination and early growth. Among these, vermicompost, cow dung, cocopeat, and sand soil are commonly studied for their influence on seed germination.</w:t>
      </w:r>
    </w:p>
    <w:p w14:paraId="3C0973D0" w14:textId="77777777" w:rsidR="00A91490" w:rsidRPr="00A91490" w:rsidRDefault="00A91490" w:rsidP="00A91490">
      <w:pPr>
        <w:spacing w:line="276" w:lineRule="auto"/>
        <w:jc w:val="both"/>
        <w:rPr>
          <w:rFonts w:asciiTheme="minorBidi" w:hAnsiTheme="minorBidi" w:cstheme="minorBidi"/>
          <w:b/>
          <w:bCs/>
        </w:rPr>
      </w:pPr>
      <w:r w:rsidRPr="00A91490">
        <w:rPr>
          <w:rFonts w:asciiTheme="minorBidi" w:hAnsiTheme="minorBidi" w:cstheme="minorBidi"/>
          <w:b/>
          <w:bCs/>
        </w:rPr>
        <w:t>Vermicompost</w:t>
      </w:r>
    </w:p>
    <w:p w14:paraId="51ACD3BE" w14:textId="77777777" w:rsidR="00A91490" w:rsidRPr="00A91490" w:rsidRDefault="00A91490" w:rsidP="00A91490">
      <w:pPr>
        <w:spacing w:line="276" w:lineRule="auto"/>
        <w:jc w:val="both"/>
        <w:rPr>
          <w:rFonts w:asciiTheme="minorBidi" w:hAnsiTheme="minorBidi" w:cstheme="minorBidi"/>
        </w:rPr>
      </w:pPr>
      <w:r w:rsidRPr="00A91490">
        <w:rPr>
          <w:rFonts w:asciiTheme="minorBidi" w:hAnsiTheme="minorBidi" w:cstheme="minorBidi"/>
        </w:rPr>
        <w:t xml:space="preserve">Vermicompost is an organic fertilizer derived from the decomposition of organic waste by earthworms. It contains readily available nutrients, plant growth-promoting substances like auxins and </w:t>
      </w:r>
      <w:proofErr w:type="spellStart"/>
      <w:r w:rsidRPr="00A91490">
        <w:rPr>
          <w:rFonts w:asciiTheme="minorBidi" w:hAnsiTheme="minorBidi" w:cstheme="minorBidi"/>
        </w:rPr>
        <w:t>cytokinins</w:t>
      </w:r>
      <w:proofErr w:type="spellEnd"/>
      <w:r w:rsidRPr="00A91490">
        <w:rPr>
          <w:rFonts w:asciiTheme="minorBidi" w:hAnsiTheme="minorBidi" w:cstheme="minorBidi"/>
        </w:rPr>
        <w:t>, and a beneficial microbial population. These components improve soil structure and nutrient availability, leading to improved seed germination and seedling vigor (</w:t>
      </w:r>
      <w:proofErr w:type="spellStart"/>
      <w:r w:rsidRPr="00A91490">
        <w:rPr>
          <w:rFonts w:asciiTheme="minorBidi" w:hAnsiTheme="minorBidi" w:cstheme="minorBidi"/>
        </w:rPr>
        <w:t>Arancon</w:t>
      </w:r>
      <w:proofErr w:type="spellEnd"/>
      <w:r w:rsidRPr="00A91490">
        <w:rPr>
          <w:rFonts w:asciiTheme="minorBidi" w:hAnsiTheme="minorBidi" w:cstheme="minorBidi"/>
        </w:rPr>
        <w:t xml:space="preserve"> et al., 2004). Vermicompost also enhances moisture retention and aeration in the root zone, both of which are critical during the initial stages of crop establishment.</w:t>
      </w:r>
    </w:p>
    <w:p w14:paraId="6E44106A" w14:textId="77777777" w:rsidR="00A91490" w:rsidRPr="00A91490" w:rsidRDefault="00A91490" w:rsidP="00A91490">
      <w:pPr>
        <w:spacing w:line="276" w:lineRule="auto"/>
        <w:jc w:val="both"/>
        <w:rPr>
          <w:rFonts w:asciiTheme="minorBidi" w:hAnsiTheme="minorBidi" w:cstheme="minorBidi"/>
          <w:b/>
          <w:bCs/>
        </w:rPr>
      </w:pPr>
      <w:r w:rsidRPr="00A91490">
        <w:rPr>
          <w:rFonts w:asciiTheme="minorBidi" w:hAnsiTheme="minorBidi" w:cstheme="minorBidi"/>
          <w:b/>
          <w:bCs/>
        </w:rPr>
        <w:t>Cow Dung</w:t>
      </w:r>
    </w:p>
    <w:p w14:paraId="44369E08" w14:textId="77777777" w:rsidR="00A91490" w:rsidRPr="00A91490" w:rsidRDefault="00A91490" w:rsidP="00A91490">
      <w:pPr>
        <w:spacing w:line="276" w:lineRule="auto"/>
        <w:jc w:val="both"/>
        <w:rPr>
          <w:rFonts w:asciiTheme="minorBidi" w:hAnsiTheme="minorBidi" w:cstheme="minorBidi"/>
        </w:rPr>
      </w:pPr>
      <w:r w:rsidRPr="00A91490">
        <w:rPr>
          <w:rFonts w:asciiTheme="minorBidi" w:hAnsiTheme="minorBidi" w:cstheme="minorBidi"/>
        </w:rPr>
        <w:t>Cow dung, a traditional organic manure, is rich in organic carbon and beneficial microbes. It provides a slow but sustained release of essential nutrients such as nitrogen, phosphorus, and potassium. Well-decomposed cow dung improves the physical properties of the soil by enhancing aeration and water-holding capacity. Studies have shown that cow dung positively influences the germination and early growth of cereals by promoting microbial activity and improving root zone conditions (Sahu &amp; Mittra, 2017).</w:t>
      </w:r>
    </w:p>
    <w:p w14:paraId="7E59658E" w14:textId="77777777" w:rsidR="00A91490" w:rsidRPr="00A91490" w:rsidRDefault="00A91490" w:rsidP="00A91490">
      <w:pPr>
        <w:spacing w:line="276" w:lineRule="auto"/>
        <w:jc w:val="both"/>
        <w:rPr>
          <w:rFonts w:asciiTheme="minorBidi" w:hAnsiTheme="minorBidi" w:cstheme="minorBidi"/>
          <w:b/>
          <w:bCs/>
        </w:rPr>
      </w:pPr>
      <w:r w:rsidRPr="00A91490">
        <w:rPr>
          <w:rFonts w:asciiTheme="minorBidi" w:hAnsiTheme="minorBidi" w:cstheme="minorBidi"/>
          <w:b/>
          <w:bCs/>
        </w:rPr>
        <w:t>Cocopeat</w:t>
      </w:r>
    </w:p>
    <w:p w14:paraId="4699F1D2" w14:textId="77777777" w:rsidR="00A91490" w:rsidRPr="00A91490" w:rsidRDefault="00A91490" w:rsidP="00A91490">
      <w:pPr>
        <w:spacing w:line="276" w:lineRule="auto"/>
        <w:jc w:val="both"/>
        <w:rPr>
          <w:rFonts w:asciiTheme="minorBidi" w:hAnsiTheme="minorBidi" w:cstheme="minorBidi"/>
        </w:rPr>
      </w:pPr>
      <w:r w:rsidRPr="00A91490">
        <w:rPr>
          <w:rFonts w:asciiTheme="minorBidi" w:hAnsiTheme="minorBidi" w:cstheme="minorBidi"/>
        </w:rPr>
        <w:t xml:space="preserve">Cocopeat is a spongy material derived from coconut husk and is widely used as a soil-less growing medium in horticulture and seedling production. It is characterized by its </w:t>
      </w:r>
      <w:proofErr w:type="gramStart"/>
      <w:r w:rsidRPr="00A91490">
        <w:rPr>
          <w:rFonts w:asciiTheme="minorBidi" w:hAnsiTheme="minorBidi" w:cstheme="minorBidi"/>
        </w:rPr>
        <w:t>high water</w:t>
      </w:r>
      <w:proofErr w:type="gramEnd"/>
      <w:r w:rsidRPr="00A91490">
        <w:rPr>
          <w:rFonts w:asciiTheme="minorBidi" w:hAnsiTheme="minorBidi" w:cstheme="minorBidi"/>
        </w:rPr>
        <w:t xml:space="preserve"> retention, excellent aeration, and low bulk density. Although it is low in nutrients, cocopeat serves as a neutral, disease-free medium ideal for seed germination, especially when supplemented with nutrient-rich materials like vermicompost or cow dung (Yadav et al., 2018). Its inert nature helps maintain a stable environment around the seed, minimizing water stress during imbibition and radicle emergence.</w:t>
      </w:r>
    </w:p>
    <w:p w14:paraId="1ADEDB3C" w14:textId="77777777" w:rsidR="00A91490" w:rsidRPr="00A91490" w:rsidRDefault="00A91490" w:rsidP="00A91490">
      <w:pPr>
        <w:spacing w:line="276" w:lineRule="auto"/>
        <w:jc w:val="both"/>
        <w:rPr>
          <w:rFonts w:asciiTheme="minorBidi" w:hAnsiTheme="minorBidi" w:cstheme="minorBidi"/>
          <w:b/>
          <w:bCs/>
        </w:rPr>
      </w:pPr>
      <w:proofErr w:type="spellStart"/>
      <w:r w:rsidRPr="00A91490">
        <w:rPr>
          <w:rFonts w:asciiTheme="minorBidi" w:hAnsiTheme="minorBidi" w:cstheme="minorBidi"/>
          <w:b/>
          <w:bCs/>
        </w:rPr>
        <w:t>Sand</w:t>
      </w:r>
      <w:proofErr w:type="spellEnd"/>
      <w:r w:rsidRPr="00A91490">
        <w:rPr>
          <w:rFonts w:asciiTheme="minorBidi" w:hAnsiTheme="minorBidi" w:cstheme="minorBidi"/>
          <w:b/>
          <w:bCs/>
        </w:rPr>
        <w:t xml:space="preserve"> Soil</w:t>
      </w:r>
    </w:p>
    <w:p w14:paraId="728D4D62" w14:textId="77777777" w:rsidR="00A91490" w:rsidRPr="00335110" w:rsidRDefault="00A91490" w:rsidP="00A91490">
      <w:pPr>
        <w:spacing w:line="276" w:lineRule="auto"/>
        <w:jc w:val="both"/>
        <w:rPr>
          <w:rFonts w:ascii="Times New Roman" w:hAnsi="Times New Roman"/>
          <w:sz w:val="24"/>
          <w:szCs w:val="24"/>
        </w:rPr>
      </w:pPr>
      <w:proofErr w:type="spellStart"/>
      <w:r w:rsidRPr="00A91490">
        <w:rPr>
          <w:rFonts w:asciiTheme="minorBidi" w:hAnsiTheme="minorBidi" w:cstheme="minorBidi"/>
        </w:rPr>
        <w:t>Sand</w:t>
      </w:r>
      <w:proofErr w:type="spellEnd"/>
      <w:r w:rsidRPr="00A91490">
        <w:rPr>
          <w:rFonts w:asciiTheme="minorBidi" w:hAnsiTheme="minorBidi" w:cstheme="minorBidi"/>
        </w:rPr>
        <w:t xml:space="preserve"> soil has large particles with high permeability and low water-holding capacity. Although not ideal as a standalone growing medium due to its poor nutrient content, it can support germination when combined with organic materials. The loose texture of sandy soil improves drainage and prevents waterlogging, which can otherwise hinder germination and promote fungal infections. Its effectiveness improves significantly when amended with compost or manure (Lehmann &amp; Joseph, 2009)</w:t>
      </w:r>
      <w:r w:rsidRPr="00335110">
        <w:rPr>
          <w:rFonts w:ascii="Times New Roman" w:hAnsi="Times New Roman"/>
          <w:sz w:val="24"/>
          <w:szCs w:val="24"/>
        </w:rPr>
        <w:t>.</w:t>
      </w:r>
    </w:p>
    <w:p w14:paraId="217DF8DA" w14:textId="46EEDFA9" w:rsidR="00A91490" w:rsidRDefault="00A91490" w:rsidP="00441B6F">
      <w:pPr>
        <w:pStyle w:val="Body"/>
        <w:spacing w:after="0"/>
        <w:rPr>
          <w:rFonts w:asciiTheme="minorBidi" w:hAnsiTheme="minorBidi" w:cstheme="minorBidi"/>
        </w:rPr>
      </w:pPr>
      <w:r w:rsidRPr="00B63F28">
        <w:rPr>
          <w:rFonts w:asciiTheme="minorBidi" w:hAnsiTheme="minorBidi" w:cstheme="minorBidi"/>
        </w:rPr>
        <w:t xml:space="preserve">The primary objective of this study is to evaluate the effects of different organic and inorganic soil amendments—specifically vermicompost, cow dung, cocopeat, and sand soil—on the </w:t>
      </w:r>
      <w:r w:rsidRPr="00B63F28">
        <w:rPr>
          <w:rFonts w:asciiTheme="minorBidi" w:hAnsiTheme="minorBidi" w:cstheme="minorBidi"/>
        </w:rPr>
        <w:lastRenderedPageBreak/>
        <w:t>germination performance of jowar (</w:t>
      </w:r>
      <w:r w:rsidRPr="00B63F28">
        <w:rPr>
          <w:rFonts w:asciiTheme="minorBidi" w:hAnsiTheme="minorBidi" w:cstheme="minorBidi"/>
          <w:i/>
          <w:iCs/>
        </w:rPr>
        <w:t>Sorghum bicolor</w:t>
      </w:r>
      <w:r w:rsidRPr="00B63F28">
        <w:rPr>
          <w:rFonts w:asciiTheme="minorBidi" w:hAnsiTheme="minorBidi" w:cstheme="minorBidi"/>
        </w:rPr>
        <w:t>) and bajra (</w:t>
      </w:r>
      <w:r w:rsidRPr="00B63F28">
        <w:rPr>
          <w:rFonts w:asciiTheme="minorBidi" w:hAnsiTheme="minorBidi" w:cstheme="minorBidi"/>
          <w:i/>
          <w:iCs/>
        </w:rPr>
        <w:t>Pennisetum glaucum</w:t>
      </w:r>
      <w:r w:rsidRPr="00B63F28">
        <w:rPr>
          <w:rFonts w:asciiTheme="minorBidi" w:hAnsiTheme="minorBidi" w:cstheme="minorBidi"/>
        </w:rPr>
        <w:t>) seeds under controlled conditions.</w:t>
      </w:r>
    </w:p>
    <w:p w14:paraId="3371C8EB" w14:textId="77777777" w:rsidR="00A91490" w:rsidRPr="00FB3A86" w:rsidRDefault="00A91490" w:rsidP="00441B6F">
      <w:pPr>
        <w:pStyle w:val="Body"/>
        <w:spacing w:after="0"/>
        <w:rPr>
          <w:rFonts w:ascii="Arial" w:hAnsi="Arial" w:cs="Arial"/>
        </w:rPr>
      </w:pPr>
    </w:p>
    <w:p w14:paraId="2F5517FB" w14:textId="1044E057" w:rsidR="007F7B32" w:rsidRDefault="00902823" w:rsidP="006C6856">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E85BE64" w14:textId="77777777" w:rsidR="00790ADA" w:rsidRPr="00FB3A86" w:rsidRDefault="00790ADA" w:rsidP="00441B6F">
      <w:pPr>
        <w:pStyle w:val="AbstHead"/>
        <w:spacing w:after="0"/>
        <w:jc w:val="both"/>
        <w:rPr>
          <w:rFonts w:ascii="Arial" w:hAnsi="Arial" w:cs="Arial"/>
        </w:rPr>
      </w:pPr>
    </w:p>
    <w:p w14:paraId="595ACC35" w14:textId="0FBAC544" w:rsidR="00A91490" w:rsidRPr="00335110" w:rsidRDefault="00A91490" w:rsidP="00A91490">
      <w:pPr>
        <w:spacing w:line="276" w:lineRule="auto"/>
        <w:jc w:val="both"/>
        <w:rPr>
          <w:rFonts w:ascii="Times New Roman" w:hAnsi="Times New Roman"/>
          <w:sz w:val="24"/>
          <w:szCs w:val="24"/>
        </w:rPr>
      </w:pPr>
      <w:r>
        <w:rPr>
          <w:rFonts w:ascii="Times New Roman" w:hAnsi="Times New Roman"/>
          <w:sz w:val="24"/>
          <w:szCs w:val="24"/>
        </w:rPr>
        <w:t>2.</w:t>
      </w:r>
      <w:r w:rsidRPr="00335110">
        <w:rPr>
          <w:rFonts w:ascii="Times New Roman" w:hAnsi="Times New Roman"/>
          <w:sz w:val="24"/>
          <w:szCs w:val="24"/>
        </w:rPr>
        <w:t>1.</w:t>
      </w:r>
      <w:r>
        <w:rPr>
          <w:rFonts w:ascii="Times New Roman" w:hAnsi="Times New Roman"/>
          <w:sz w:val="24"/>
          <w:szCs w:val="24"/>
        </w:rPr>
        <w:t xml:space="preserve"> </w:t>
      </w:r>
      <w:r w:rsidRPr="00335110">
        <w:rPr>
          <w:rFonts w:ascii="Times New Roman" w:hAnsi="Times New Roman"/>
          <w:sz w:val="24"/>
          <w:szCs w:val="24"/>
        </w:rPr>
        <w:t xml:space="preserve"> </w:t>
      </w:r>
      <w:r w:rsidRPr="00335110">
        <w:rPr>
          <w:rFonts w:ascii="Times New Roman" w:hAnsi="Times New Roman"/>
          <w:b/>
          <w:bCs/>
          <w:sz w:val="24"/>
          <w:szCs w:val="24"/>
        </w:rPr>
        <w:t>Experimental Site and Duration</w:t>
      </w:r>
    </w:p>
    <w:p w14:paraId="0B58F675" w14:textId="1EFBEEEC" w:rsidR="00A91490" w:rsidRPr="00335110" w:rsidRDefault="00A91490" w:rsidP="00A91490">
      <w:pPr>
        <w:spacing w:line="276" w:lineRule="auto"/>
        <w:jc w:val="both"/>
        <w:rPr>
          <w:rFonts w:ascii="Times New Roman" w:hAnsi="Times New Roman"/>
          <w:sz w:val="24"/>
          <w:szCs w:val="24"/>
        </w:rPr>
      </w:pPr>
      <w:r w:rsidRPr="00335110">
        <w:rPr>
          <w:rFonts w:ascii="Times New Roman" w:hAnsi="Times New Roman"/>
          <w:sz w:val="24"/>
          <w:szCs w:val="24"/>
        </w:rPr>
        <w:t>The experiment was conducted under controlled conditions in the laboratory at Department of Botany, Mata Jijabai Govt PG Girls College, Indore during the 2025. The study was carried out for a period sufficient to capture germination and early seedling development (typically 10–15 days).</w:t>
      </w:r>
    </w:p>
    <w:p w14:paraId="6EF39AE0" w14:textId="468841FA" w:rsidR="00A91490" w:rsidRPr="006C6856" w:rsidRDefault="00A91490" w:rsidP="00A91490">
      <w:pPr>
        <w:spacing w:line="276" w:lineRule="auto"/>
        <w:jc w:val="both"/>
        <w:rPr>
          <w:rFonts w:asciiTheme="minorBidi" w:hAnsiTheme="minorBidi" w:cstheme="minorBidi"/>
        </w:rPr>
      </w:pPr>
      <w:r>
        <w:rPr>
          <w:rFonts w:ascii="Times New Roman" w:hAnsi="Times New Roman"/>
          <w:sz w:val="24"/>
          <w:szCs w:val="24"/>
        </w:rPr>
        <w:t xml:space="preserve">2. </w:t>
      </w:r>
      <w:r w:rsidRPr="00335110">
        <w:rPr>
          <w:rFonts w:ascii="Times New Roman" w:hAnsi="Times New Roman"/>
          <w:sz w:val="24"/>
          <w:szCs w:val="24"/>
        </w:rPr>
        <w:t>2</w:t>
      </w:r>
      <w:r w:rsidRPr="006C6856">
        <w:rPr>
          <w:rFonts w:asciiTheme="minorBidi" w:hAnsiTheme="minorBidi" w:cstheme="minorBidi"/>
          <w:b/>
          <w:bCs/>
        </w:rPr>
        <w:t>. Plant Material</w:t>
      </w:r>
    </w:p>
    <w:p w14:paraId="1289824E" w14:textId="77777777" w:rsidR="00A91490" w:rsidRPr="006C6856" w:rsidRDefault="00A91490" w:rsidP="00A91490">
      <w:pPr>
        <w:spacing w:line="276" w:lineRule="auto"/>
        <w:jc w:val="both"/>
        <w:rPr>
          <w:rFonts w:asciiTheme="minorBidi" w:hAnsiTheme="minorBidi" w:cstheme="minorBidi"/>
        </w:rPr>
      </w:pPr>
      <w:r w:rsidRPr="006C6856">
        <w:rPr>
          <w:rFonts w:asciiTheme="minorBidi" w:hAnsiTheme="minorBidi" w:cstheme="minorBidi"/>
        </w:rPr>
        <w:t xml:space="preserve">    Certified seeds of two cereal crops:</w:t>
      </w:r>
    </w:p>
    <w:p w14:paraId="4058B8C9" w14:textId="77777777" w:rsidR="00A91490" w:rsidRPr="006C6856" w:rsidRDefault="00A91490" w:rsidP="006C6856">
      <w:pPr>
        <w:numPr>
          <w:ilvl w:val="0"/>
          <w:numId w:val="31"/>
        </w:numPr>
        <w:spacing w:after="160"/>
        <w:jc w:val="both"/>
        <w:rPr>
          <w:rFonts w:asciiTheme="minorBidi" w:hAnsiTheme="minorBidi" w:cstheme="minorBidi"/>
        </w:rPr>
      </w:pPr>
      <w:r w:rsidRPr="006C6856">
        <w:rPr>
          <w:rFonts w:asciiTheme="minorBidi" w:hAnsiTheme="minorBidi" w:cstheme="minorBidi"/>
        </w:rPr>
        <w:t>Jowar (</w:t>
      </w:r>
      <w:r w:rsidRPr="006C6856">
        <w:rPr>
          <w:rFonts w:asciiTheme="minorBidi" w:hAnsiTheme="minorBidi" w:cstheme="minorBidi"/>
          <w:i/>
          <w:iCs/>
        </w:rPr>
        <w:t>Sorghum</w:t>
      </w:r>
      <w:r w:rsidRPr="006C6856">
        <w:rPr>
          <w:rFonts w:asciiTheme="minorBidi" w:hAnsiTheme="minorBidi" w:cstheme="minorBidi"/>
        </w:rPr>
        <w:t>)</w:t>
      </w:r>
    </w:p>
    <w:p w14:paraId="26B5D7AE" w14:textId="77777777" w:rsidR="00A91490" w:rsidRPr="006C6856" w:rsidRDefault="00A91490" w:rsidP="006C6856">
      <w:pPr>
        <w:numPr>
          <w:ilvl w:val="0"/>
          <w:numId w:val="31"/>
        </w:numPr>
        <w:spacing w:after="160"/>
        <w:ind w:right="237"/>
        <w:jc w:val="both"/>
        <w:rPr>
          <w:rFonts w:asciiTheme="minorBidi" w:hAnsiTheme="minorBidi" w:cstheme="minorBidi"/>
        </w:rPr>
      </w:pPr>
      <w:r w:rsidRPr="006C6856">
        <w:rPr>
          <w:rFonts w:asciiTheme="minorBidi" w:hAnsiTheme="minorBidi" w:cstheme="minorBidi"/>
        </w:rPr>
        <w:t>Bajra (</w:t>
      </w:r>
      <w:r w:rsidRPr="006C6856">
        <w:rPr>
          <w:rFonts w:asciiTheme="minorBidi" w:hAnsiTheme="minorBidi" w:cstheme="minorBidi"/>
          <w:i/>
          <w:iCs/>
        </w:rPr>
        <w:t>Pennisetum glaucum</w:t>
      </w:r>
      <w:r w:rsidRPr="006C6856">
        <w:rPr>
          <w:rFonts w:asciiTheme="minorBidi" w:hAnsiTheme="minorBidi" w:cstheme="minorBidi"/>
        </w:rPr>
        <w:t>) were obtained from a reputable agricultural seed supplier or local agricultural university. All seeds were uniform in size, free from visible defects, and tested for viability before sowing.</w:t>
      </w:r>
    </w:p>
    <w:p w14:paraId="291FEDD4" w14:textId="66D0E454" w:rsidR="00A91490" w:rsidRPr="006C6856" w:rsidRDefault="00A91490" w:rsidP="00A91490">
      <w:pPr>
        <w:spacing w:line="276" w:lineRule="auto"/>
        <w:jc w:val="both"/>
        <w:rPr>
          <w:rFonts w:asciiTheme="minorBidi" w:hAnsiTheme="minorBidi" w:cstheme="minorBidi"/>
        </w:rPr>
      </w:pPr>
      <w:r w:rsidRPr="006C6856">
        <w:rPr>
          <w:rFonts w:asciiTheme="minorBidi" w:hAnsiTheme="minorBidi" w:cstheme="minorBidi"/>
        </w:rPr>
        <w:t>2.3</w:t>
      </w:r>
      <w:r w:rsidR="006C6856" w:rsidRPr="006C6856">
        <w:rPr>
          <w:rFonts w:asciiTheme="minorBidi" w:hAnsiTheme="minorBidi" w:cstheme="minorBidi"/>
        </w:rPr>
        <w:t xml:space="preserve">. </w:t>
      </w:r>
      <w:r w:rsidRPr="006C6856">
        <w:rPr>
          <w:rFonts w:asciiTheme="minorBidi" w:hAnsiTheme="minorBidi" w:cstheme="minorBidi"/>
          <w:b/>
          <w:bCs/>
        </w:rPr>
        <w:t>Growing Media</w:t>
      </w:r>
      <w:r w:rsidRPr="006C6856">
        <w:rPr>
          <w:rFonts w:asciiTheme="minorBidi" w:hAnsiTheme="minorBidi" w:cstheme="minorBidi"/>
        </w:rPr>
        <w:t xml:space="preserve"> (Treatments)</w:t>
      </w:r>
    </w:p>
    <w:p w14:paraId="48F399A9" w14:textId="77777777" w:rsidR="00A91490" w:rsidRPr="006C6856" w:rsidRDefault="00A91490" w:rsidP="00A91490">
      <w:pPr>
        <w:spacing w:line="276" w:lineRule="auto"/>
        <w:jc w:val="both"/>
        <w:rPr>
          <w:rFonts w:asciiTheme="minorBidi" w:hAnsiTheme="minorBidi" w:cstheme="minorBidi"/>
        </w:rPr>
      </w:pPr>
      <w:r w:rsidRPr="006C6856">
        <w:rPr>
          <w:rFonts w:asciiTheme="minorBidi" w:hAnsiTheme="minorBidi" w:cstheme="minorBidi"/>
        </w:rPr>
        <w:t>Four different growing media were prepared using the following materials:</w:t>
      </w:r>
    </w:p>
    <w:p w14:paraId="445AB259" w14:textId="77777777" w:rsidR="00A91490" w:rsidRPr="006C6856" w:rsidRDefault="00A91490" w:rsidP="006C6856">
      <w:pPr>
        <w:numPr>
          <w:ilvl w:val="0"/>
          <w:numId w:val="32"/>
        </w:numPr>
        <w:spacing w:after="160"/>
        <w:jc w:val="both"/>
        <w:rPr>
          <w:rFonts w:asciiTheme="minorBidi" w:hAnsiTheme="minorBidi" w:cstheme="minorBidi"/>
        </w:rPr>
      </w:pPr>
      <w:r w:rsidRPr="006C6856">
        <w:rPr>
          <w:rFonts w:asciiTheme="minorBidi" w:hAnsiTheme="minorBidi" w:cstheme="minorBidi"/>
        </w:rPr>
        <w:t>Vermicompost (well-decomposed and mature)</w:t>
      </w:r>
    </w:p>
    <w:p w14:paraId="6678E4E2" w14:textId="77777777" w:rsidR="00A91490" w:rsidRPr="006C6856" w:rsidRDefault="00A91490" w:rsidP="006C6856">
      <w:pPr>
        <w:numPr>
          <w:ilvl w:val="0"/>
          <w:numId w:val="32"/>
        </w:numPr>
        <w:spacing w:after="160"/>
        <w:jc w:val="both"/>
        <w:rPr>
          <w:rFonts w:asciiTheme="minorBidi" w:hAnsiTheme="minorBidi" w:cstheme="minorBidi"/>
        </w:rPr>
      </w:pPr>
      <w:r w:rsidRPr="006C6856">
        <w:rPr>
          <w:rFonts w:asciiTheme="minorBidi" w:hAnsiTheme="minorBidi" w:cstheme="minorBidi"/>
        </w:rPr>
        <w:t>Cow dung manure (air-dried and decomposed)</w:t>
      </w:r>
    </w:p>
    <w:p w14:paraId="46F1A92A" w14:textId="77777777" w:rsidR="00A91490" w:rsidRPr="006C6856" w:rsidRDefault="00A91490" w:rsidP="006C6856">
      <w:pPr>
        <w:numPr>
          <w:ilvl w:val="0"/>
          <w:numId w:val="32"/>
        </w:numPr>
        <w:spacing w:after="160"/>
        <w:jc w:val="both"/>
        <w:rPr>
          <w:rFonts w:asciiTheme="minorBidi" w:hAnsiTheme="minorBidi" w:cstheme="minorBidi"/>
        </w:rPr>
      </w:pPr>
      <w:r w:rsidRPr="006C6856">
        <w:rPr>
          <w:rFonts w:asciiTheme="minorBidi" w:hAnsiTheme="minorBidi" w:cstheme="minorBidi"/>
        </w:rPr>
        <w:t>Cocopeat (washed to remove salts)</w:t>
      </w:r>
    </w:p>
    <w:p w14:paraId="5BCED3DD" w14:textId="6DAA1DD0" w:rsidR="00A03B96" w:rsidRPr="0031735C" w:rsidRDefault="00A91490" w:rsidP="0031735C">
      <w:pPr>
        <w:numPr>
          <w:ilvl w:val="0"/>
          <w:numId w:val="32"/>
        </w:numPr>
        <w:spacing w:after="160"/>
        <w:jc w:val="both"/>
        <w:rPr>
          <w:rFonts w:asciiTheme="minorBidi" w:hAnsiTheme="minorBidi" w:cstheme="minorBidi"/>
        </w:rPr>
      </w:pPr>
      <w:proofErr w:type="spellStart"/>
      <w:r w:rsidRPr="006C6856">
        <w:rPr>
          <w:rFonts w:asciiTheme="minorBidi" w:hAnsiTheme="minorBidi" w:cstheme="minorBidi"/>
        </w:rPr>
        <w:t>Sand</w:t>
      </w:r>
      <w:proofErr w:type="spellEnd"/>
      <w:r w:rsidRPr="006C6856">
        <w:rPr>
          <w:rFonts w:asciiTheme="minorBidi" w:hAnsiTheme="minorBidi" w:cstheme="minorBidi"/>
        </w:rPr>
        <w:t xml:space="preserve"> soil (sterilized and sieved to remove impurities)</w:t>
      </w:r>
    </w:p>
    <w:p w14:paraId="2BC75441" w14:textId="7AD388D2" w:rsidR="006C6856" w:rsidRPr="006C6856" w:rsidRDefault="006C6856" w:rsidP="006C6856">
      <w:pPr>
        <w:spacing w:line="276" w:lineRule="auto"/>
        <w:jc w:val="both"/>
        <w:rPr>
          <w:rFonts w:asciiTheme="minorBidi" w:hAnsiTheme="minorBidi" w:cstheme="minorBidi"/>
        </w:rPr>
      </w:pPr>
      <w:r>
        <w:rPr>
          <w:rFonts w:ascii="Arial" w:hAnsi="Arial" w:cs="Arial"/>
        </w:rPr>
        <w:t>2.5</w:t>
      </w:r>
      <w:r w:rsidRPr="00335110">
        <w:rPr>
          <w:rFonts w:ascii="Times New Roman" w:hAnsi="Times New Roman"/>
          <w:sz w:val="24"/>
          <w:szCs w:val="24"/>
        </w:rPr>
        <w:t xml:space="preserve">. </w:t>
      </w:r>
      <w:r w:rsidRPr="006C6856">
        <w:rPr>
          <w:rFonts w:asciiTheme="minorBidi" w:hAnsiTheme="minorBidi" w:cstheme="minorBidi"/>
          <w:b/>
          <w:bCs/>
        </w:rPr>
        <w:t>Experimental Design</w:t>
      </w:r>
    </w:p>
    <w:p w14:paraId="18F8031A" w14:textId="77777777" w:rsidR="006C6856" w:rsidRPr="006C6856" w:rsidRDefault="006C6856" w:rsidP="006C6856">
      <w:pPr>
        <w:spacing w:line="276" w:lineRule="auto"/>
        <w:jc w:val="both"/>
        <w:rPr>
          <w:rFonts w:asciiTheme="minorBidi" w:hAnsiTheme="minorBidi" w:cstheme="minorBidi"/>
        </w:rPr>
      </w:pPr>
      <w:r w:rsidRPr="006C6856">
        <w:rPr>
          <w:rFonts w:asciiTheme="minorBidi" w:hAnsiTheme="minorBidi" w:cstheme="minorBidi"/>
        </w:rPr>
        <w:t>The experiment was laid out in a with 3 replications per treatment, for both jowar and bajra separately.</w:t>
      </w:r>
    </w:p>
    <w:p w14:paraId="7D9BCCD7" w14:textId="75560F5B" w:rsidR="006C6856" w:rsidRPr="006C6856" w:rsidRDefault="006C6856" w:rsidP="006C6856">
      <w:pPr>
        <w:spacing w:line="276" w:lineRule="auto"/>
        <w:jc w:val="both"/>
        <w:rPr>
          <w:rFonts w:asciiTheme="minorBidi" w:hAnsiTheme="minorBidi" w:cstheme="minorBidi"/>
        </w:rPr>
      </w:pPr>
      <w:r w:rsidRPr="006C6856">
        <w:rPr>
          <w:rFonts w:asciiTheme="minorBidi" w:hAnsiTheme="minorBidi" w:cstheme="minorBidi"/>
        </w:rPr>
        <w:t xml:space="preserve">2.6. </w:t>
      </w:r>
      <w:r w:rsidRPr="006C6856">
        <w:rPr>
          <w:rFonts w:asciiTheme="minorBidi" w:hAnsiTheme="minorBidi" w:cstheme="minorBidi"/>
          <w:b/>
          <w:bCs/>
        </w:rPr>
        <w:t>Sowing Procedure</w:t>
      </w:r>
    </w:p>
    <w:p w14:paraId="5D0E507C" w14:textId="77777777" w:rsidR="006C6856" w:rsidRPr="006C6856" w:rsidRDefault="006C6856" w:rsidP="006C6856">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Seeds were surface sterilized using 1% sodium hypochlorite solution for 1–2 minutes and rinsed with distilled water.</w:t>
      </w:r>
    </w:p>
    <w:p w14:paraId="093292F8" w14:textId="77777777" w:rsidR="006C6856" w:rsidRPr="006C6856" w:rsidRDefault="006C6856" w:rsidP="006C6856">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In each replicate, 10 seeds were sown uniformly in seed pots.</w:t>
      </w:r>
    </w:p>
    <w:p w14:paraId="743CF979" w14:textId="77777777" w:rsidR="006C6856" w:rsidRPr="006C6856" w:rsidRDefault="006C6856" w:rsidP="006C6856">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Pots were kept under ambient room temperature conditions.</w:t>
      </w:r>
    </w:p>
    <w:p w14:paraId="623B9ECD" w14:textId="77777777" w:rsidR="006C6856" w:rsidRDefault="006C6856" w:rsidP="006C6856">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Watering was done regularly using distilled water to maintain optimum moisture levels (without waterlogging).</w:t>
      </w:r>
    </w:p>
    <w:p w14:paraId="7B7E5739" w14:textId="77777777" w:rsidR="0031735C" w:rsidRPr="0031735C" w:rsidRDefault="0031735C" w:rsidP="0031735C">
      <w:pPr>
        <w:spacing w:line="276" w:lineRule="auto"/>
        <w:rPr>
          <w:rFonts w:ascii="Times New Roman" w:hAnsi="Times New Roman"/>
          <w:b/>
          <w:bCs/>
          <w:sz w:val="24"/>
          <w:szCs w:val="24"/>
        </w:rPr>
      </w:pPr>
      <w:r w:rsidRPr="0031735C">
        <w:rPr>
          <w:rFonts w:ascii="Times New Roman" w:hAnsi="Times New Roman"/>
          <w:b/>
          <w:bCs/>
          <w:sz w:val="24"/>
          <w:szCs w:val="24"/>
        </w:rPr>
        <w:t>Table 1: The experiment included the following six treatment groups:</w:t>
      </w:r>
    </w:p>
    <w:tbl>
      <w:tblPr>
        <w:tblStyle w:val="GridTable6Colorful"/>
        <w:tblW w:w="8712" w:type="dxa"/>
        <w:tblLook w:val="04A0" w:firstRow="1" w:lastRow="0" w:firstColumn="1" w:lastColumn="0" w:noHBand="0" w:noVBand="1"/>
      </w:tblPr>
      <w:tblGrid>
        <w:gridCol w:w="1397"/>
        <w:gridCol w:w="2292"/>
        <w:gridCol w:w="5023"/>
      </w:tblGrid>
      <w:tr w:rsidR="0031735C" w:rsidRPr="00335110" w14:paraId="3D20D279" w14:textId="77777777" w:rsidTr="00EA1B3D">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397" w:type="dxa"/>
          </w:tcPr>
          <w:p w14:paraId="40C8ACB4" w14:textId="77777777" w:rsidR="0031735C" w:rsidRPr="00335110" w:rsidRDefault="0031735C" w:rsidP="00EA1B3D">
            <w:pPr>
              <w:spacing w:line="276" w:lineRule="auto"/>
              <w:ind w:left="360"/>
              <w:jc w:val="both"/>
              <w:rPr>
                <w:rFonts w:ascii="Times New Roman" w:hAnsi="Times New Roman" w:cs="Times New Roman"/>
                <w:sz w:val="24"/>
                <w:szCs w:val="24"/>
              </w:rPr>
            </w:pPr>
            <w:r w:rsidRPr="00335110">
              <w:rPr>
                <w:rFonts w:ascii="Times New Roman" w:hAnsi="Times New Roman" w:cs="Times New Roman"/>
                <w:sz w:val="24"/>
                <w:szCs w:val="24"/>
              </w:rPr>
              <w:t>S. No</w:t>
            </w:r>
          </w:p>
        </w:tc>
        <w:tc>
          <w:tcPr>
            <w:tcW w:w="2292" w:type="dxa"/>
            <w:hideMark/>
          </w:tcPr>
          <w:p w14:paraId="6D9644D0"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Treatment Code</w:t>
            </w:r>
          </w:p>
        </w:tc>
        <w:tc>
          <w:tcPr>
            <w:tcW w:w="5023" w:type="dxa"/>
            <w:hideMark/>
          </w:tcPr>
          <w:p w14:paraId="38DACE15"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Composition</w:t>
            </w:r>
          </w:p>
        </w:tc>
      </w:tr>
      <w:tr w:rsidR="0031735C" w:rsidRPr="00335110" w14:paraId="5FE436E8" w14:textId="77777777" w:rsidTr="00EA1B3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97" w:type="dxa"/>
          </w:tcPr>
          <w:p w14:paraId="2F373371" w14:textId="77777777" w:rsidR="0031735C" w:rsidRPr="00335110" w:rsidRDefault="0031735C" w:rsidP="0031735C">
            <w:pPr>
              <w:pStyle w:val="ListParagraph"/>
              <w:numPr>
                <w:ilvl w:val="0"/>
                <w:numId w:val="33"/>
              </w:numPr>
              <w:spacing w:after="0" w:line="276" w:lineRule="auto"/>
              <w:jc w:val="both"/>
              <w:rPr>
                <w:rFonts w:ascii="Times New Roman" w:hAnsi="Times New Roman" w:cs="Times New Roman"/>
                <w:sz w:val="24"/>
                <w:szCs w:val="24"/>
              </w:rPr>
            </w:pPr>
          </w:p>
        </w:tc>
        <w:tc>
          <w:tcPr>
            <w:tcW w:w="2292" w:type="dxa"/>
            <w:hideMark/>
          </w:tcPr>
          <w:p w14:paraId="73BD3477"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T1</w:t>
            </w:r>
          </w:p>
        </w:tc>
        <w:tc>
          <w:tcPr>
            <w:tcW w:w="5023" w:type="dxa"/>
            <w:hideMark/>
          </w:tcPr>
          <w:p w14:paraId="3C929ED5"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100% Vermicompost</w:t>
            </w:r>
          </w:p>
        </w:tc>
      </w:tr>
      <w:tr w:rsidR="0031735C" w:rsidRPr="00335110" w14:paraId="04025CFC" w14:textId="77777777" w:rsidTr="00EA1B3D">
        <w:trPr>
          <w:trHeight w:val="322"/>
        </w:trPr>
        <w:tc>
          <w:tcPr>
            <w:cnfStyle w:val="001000000000" w:firstRow="0" w:lastRow="0" w:firstColumn="1" w:lastColumn="0" w:oddVBand="0" w:evenVBand="0" w:oddHBand="0" w:evenHBand="0" w:firstRowFirstColumn="0" w:firstRowLastColumn="0" w:lastRowFirstColumn="0" w:lastRowLastColumn="0"/>
            <w:tcW w:w="1397" w:type="dxa"/>
          </w:tcPr>
          <w:p w14:paraId="511B40D7" w14:textId="77777777" w:rsidR="0031735C" w:rsidRPr="00335110" w:rsidRDefault="0031735C" w:rsidP="0031735C">
            <w:pPr>
              <w:pStyle w:val="ListParagraph"/>
              <w:numPr>
                <w:ilvl w:val="0"/>
                <w:numId w:val="33"/>
              </w:numPr>
              <w:spacing w:after="0" w:line="276" w:lineRule="auto"/>
              <w:jc w:val="both"/>
              <w:rPr>
                <w:rFonts w:ascii="Times New Roman" w:hAnsi="Times New Roman" w:cs="Times New Roman"/>
                <w:sz w:val="24"/>
                <w:szCs w:val="24"/>
              </w:rPr>
            </w:pPr>
          </w:p>
        </w:tc>
        <w:tc>
          <w:tcPr>
            <w:tcW w:w="2292" w:type="dxa"/>
            <w:hideMark/>
          </w:tcPr>
          <w:p w14:paraId="1D935ACA"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T2</w:t>
            </w:r>
          </w:p>
        </w:tc>
        <w:tc>
          <w:tcPr>
            <w:tcW w:w="5023" w:type="dxa"/>
            <w:hideMark/>
          </w:tcPr>
          <w:p w14:paraId="390EB354"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100% Cow dung</w:t>
            </w:r>
          </w:p>
        </w:tc>
      </w:tr>
      <w:tr w:rsidR="0031735C" w:rsidRPr="00335110" w14:paraId="68153B1A" w14:textId="77777777" w:rsidTr="00EA1B3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397" w:type="dxa"/>
          </w:tcPr>
          <w:p w14:paraId="69B5DD40" w14:textId="77777777" w:rsidR="0031735C" w:rsidRPr="00335110" w:rsidRDefault="0031735C" w:rsidP="0031735C">
            <w:pPr>
              <w:pStyle w:val="ListParagraph"/>
              <w:numPr>
                <w:ilvl w:val="0"/>
                <w:numId w:val="33"/>
              </w:numPr>
              <w:spacing w:after="0" w:line="276" w:lineRule="auto"/>
              <w:jc w:val="both"/>
              <w:rPr>
                <w:rFonts w:ascii="Times New Roman" w:hAnsi="Times New Roman" w:cs="Times New Roman"/>
                <w:sz w:val="24"/>
                <w:szCs w:val="24"/>
              </w:rPr>
            </w:pPr>
          </w:p>
        </w:tc>
        <w:tc>
          <w:tcPr>
            <w:tcW w:w="2292" w:type="dxa"/>
            <w:hideMark/>
          </w:tcPr>
          <w:p w14:paraId="00F5D8D0"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T3</w:t>
            </w:r>
          </w:p>
        </w:tc>
        <w:tc>
          <w:tcPr>
            <w:tcW w:w="5023" w:type="dxa"/>
            <w:hideMark/>
          </w:tcPr>
          <w:p w14:paraId="728B6100"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100% Cocopeat</w:t>
            </w:r>
          </w:p>
        </w:tc>
      </w:tr>
      <w:tr w:rsidR="0031735C" w:rsidRPr="00335110" w14:paraId="0B683340" w14:textId="77777777" w:rsidTr="00EA1B3D">
        <w:trPr>
          <w:trHeight w:val="493"/>
        </w:trPr>
        <w:tc>
          <w:tcPr>
            <w:cnfStyle w:val="001000000000" w:firstRow="0" w:lastRow="0" w:firstColumn="1" w:lastColumn="0" w:oddVBand="0" w:evenVBand="0" w:oddHBand="0" w:evenHBand="0" w:firstRowFirstColumn="0" w:firstRowLastColumn="0" w:lastRowFirstColumn="0" w:lastRowLastColumn="0"/>
            <w:tcW w:w="1397" w:type="dxa"/>
          </w:tcPr>
          <w:p w14:paraId="118954CD" w14:textId="77777777" w:rsidR="0031735C" w:rsidRPr="00335110" w:rsidRDefault="0031735C" w:rsidP="0031735C">
            <w:pPr>
              <w:pStyle w:val="ListParagraph"/>
              <w:numPr>
                <w:ilvl w:val="0"/>
                <w:numId w:val="33"/>
              </w:numPr>
              <w:spacing w:after="0" w:line="276" w:lineRule="auto"/>
              <w:jc w:val="both"/>
              <w:rPr>
                <w:rFonts w:ascii="Times New Roman" w:hAnsi="Times New Roman" w:cs="Times New Roman"/>
                <w:sz w:val="24"/>
                <w:szCs w:val="24"/>
              </w:rPr>
            </w:pPr>
          </w:p>
        </w:tc>
        <w:tc>
          <w:tcPr>
            <w:tcW w:w="2292" w:type="dxa"/>
            <w:hideMark/>
          </w:tcPr>
          <w:p w14:paraId="5C86F5B7"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T4</w:t>
            </w:r>
          </w:p>
        </w:tc>
        <w:tc>
          <w:tcPr>
            <w:tcW w:w="5023" w:type="dxa"/>
            <w:hideMark/>
          </w:tcPr>
          <w:p w14:paraId="408D64FE"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100% Sand soil</w:t>
            </w:r>
          </w:p>
        </w:tc>
      </w:tr>
      <w:tr w:rsidR="0031735C" w:rsidRPr="00335110" w14:paraId="2A72B2DF" w14:textId="77777777" w:rsidTr="00EA1B3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397" w:type="dxa"/>
          </w:tcPr>
          <w:p w14:paraId="3782E2F6" w14:textId="77777777" w:rsidR="0031735C" w:rsidRPr="00335110" w:rsidRDefault="0031735C" w:rsidP="0031735C">
            <w:pPr>
              <w:pStyle w:val="ListParagraph"/>
              <w:numPr>
                <w:ilvl w:val="0"/>
                <w:numId w:val="33"/>
              </w:numPr>
              <w:spacing w:after="0" w:line="276" w:lineRule="auto"/>
              <w:jc w:val="both"/>
              <w:rPr>
                <w:rFonts w:ascii="Times New Roman" w:hAnsi="Times New Roman" w:cs="Times New Roman"/>
                <w:sz w:val="24"/>
                <w:szCs w:val="24"/>
              </w:rPr>
            </w:pPr>
          </w:p>
        </w:tc>
        <w:tc>
          <w:tcPr>
            <w:tcW w:w="2292" w:type="dxa"/>
            <w:hideMark/>
          </w:tcPr>
          <w:p w14:paraId="3349C080"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T5</w:t>
            </w:r>
          </w:p>
        </w:tc>
        <w:tc>
          <w:tcPr>
            <w:tcW w:w="5023" w:type="dxa"/>
            <w:hideMark/>
          </w:tcPr>
          <w:p w14:paraId="2F6AACC4"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50% Vermicompost + 50% Cocopeat</w:t>
            </w:r>
          </w:p>
        </w:tc>
      </w:tr>
    </w:tbl>
    <w:p w14:paraId="0DD09DA4" w14:textId="77777777" w:rsidR="0031735C" w:rsidRDefault="0031735C" w:rsidP="0031735C">
      <w:pPr>
        <w:spacing w:after="160" w:line="276" w:lineRule="auto"/>
        <w:jc w:val="both"/>
        <w:rPr>
          <w:rFonts w:asciiTheme="minorBidi" w:hAnsiTheme="minorBidi" w:cstheme="minorBidi"/>
        </w:rPr>
      </w:pPr>
    </w:p>
    <w:p w14:paraId="6758D93A" w14:textId="750DDE15" w:rsidR="0031735C" w:rsidRPr="00335110" w:rsidRDefault="0031735C" w:rsidP="0031735C">
      <w:pPr>
        <w:spacing w:line="276" w:lineRule="auto"/>
        <w:jc w:val="both"/>
        <w:rPr>
          <w:rFonts w:ascii="Times New Roman" w:hAnsi="Times New Roman"/>
          <w:sz w:val="24"/>
          <w:szCs w:val="24"/>
        </w:rPr>
      </w:pPr>
      <w:r>
        <w:rPr>
          <w:rFonts w:ascii="Times New Roman" w:hAnsi="Times New Roman"/>
          <w:b/>
          <w:bCs/>
          <w:sz w:val="24"/>
          <w:szCs w:val="24"/>
        </w:rPr>
        <w:t xml:space="preserve">2.7 </w:t>
      </w:r>
      <w:r w:rsidRPr="00335110">
        <w:rPr>
          <w:rFonts w:ascii="Times New Roman" w:hAnsi="Times New Roman"/>
          <w:b/>
          <w:bCs/>
          <w:sz w:val="24"/>
          <w:szCs w:val="24"/>
        </w:rPr>
        <w:t>Observations Recorded</w:t>
      </w:r>
    </w:p>
    <w:p w14:paraId="56926527" w14:textId="77777777" w:rsidR="0031735C" w:rsidRPr="00335110" w:rsidRDefault="0031735C" w:rsidP="0031735C">
      <w:pPr>
        <w:spacing w:line="276" w:lineRule="auto"/>
        <w:jc w:val="both"/>
        <w:rPr>
          <w:rFonts w:ascii="Times New Roman" w:hAnsi="Times New Roman"/>
          <w:sz w:val="24"/>
          <w:szCs w:val="24"/>
        </w:rPr>
      </w:pPr>
      <w:r w:rsidRPr="00335110">
        <w:rPr>
          <w:rFonts w:ascii="Times New Roman" w:hAnsi="Times New Roman"/>
          <w:sz w:val="24"/>
          <w:szCs w:val="24"/>
        </w:rPr>
        <w:t>The following parameters were recorded at regular intervals:</w:t>
      </w:r>
    </w:p>
    <w:p w14:paraId="493F7643" w14:textId="77777777" w:rsidR="0031735C" w:rsidRPr="00335110" w:rsidRDefault="0031735C" w:rsidP="0031735C">
      <w:pPr>
        <w:spacing w:line="276" w:lineRule="auto"/>
        <w:jc w:val="both"/>
        <w:rPr>
          <w:rFonts w:ascii="Times New Roman" w:hAnsi="Times New Roman"/>
          <w:sz w:val="24"/>
          <w:szCs w:val="24"/>
        </w:rPr>
      </w:pPr>
      <w:r w:rsidRPr="00335110">
        <w:rPr>
          <w:rFonts w:ascii="Times New Roman" w:hAnsi="Times New Roman"/>
          <w:sz w:val="24"/>
          <w:szCs w:val="24"/>
        </w:rPr>
        <w:t>a) Germination Parameters</w:t>
      </w:r>
    </w:p>
    <w:p w14:paraId="22A8D42A" w14:textId="77777777" w:rsidR="0031735C" w:rsidRPr="00335110" w:rsidRDefault="0031735C" w:rsidP="0031735C">
      <w:pPr>
        <w:numPr>
          <w:ilvl w:val="0"/>
          <w:numId w:val="35"/>
        </w:numPr>
        <w:spacing w:after="160" w:line="276" w:lineRule="auto"/>
        <w:jc w:val="both"/>
        <w:rPr>
          <w:rFonts w:ascii="Times New Roman" w:hAnsi="Times New Roman"/>
          <w:sz w:val="24"/>
          <w:szCs w:val="24"/>
        </w:rPr>
      </w:pPr>
      <w:r w:rsidRPr="00335110">
        <w:rPr>
          <w:rFonts w:ascii="Times New Roman" w:hAnsi="Times New Roman"/>
          <w:sz w:val="24"/>
          <w:szCs w:val="24"/>
        </w:rPr>
        <w:t>Germination percentage (%) – Number of seeds germinated / Total seeds × 100</w:t>
      </w:r>
    </w:p>
    <w:p w14:paraId="41E01158" w14:textId="77777777" w:rsidR="0031735C" w:rsidRPr="00335110" w:rsidRDefault="0031735C" w:rsidP="0031735C">
      <w:pPr>
        <w:numPr>
          <w:ilvl w:val="0"/>
          <w:numId w:val="35"/>
        </w:numPr>
        <w:spacing w:after="160" w:line="276" w:lineRule="auto"/>
        <w:jc w:val="both"/>
        <w:rPr>
          <w:rFonts w:ascii="Times New Roman" w:hAnsi="Times New Roman"/>
          <w:sz w:val="24"/>
          <w:szCs w:val="24"/>
        </w:rPr>
      </w:pPr>
      <w:r w:rsidRPr="00335110">
        <w:rPr>
          <w:rFonts w:ascii="Times New Roman" w:hAnsi="Times New Roman"/>
          <w:sz w:val="24"/>
          <w:szCs w:val="24"/>
        </w:rPr>
        <w:t>Mean Germination Time (MGT) – Average time taken for seeds to germinate</w:t>
      </w:r>
    </w:p>
    <w:p w14:paraId="4C063EC0" w14:textId="77777777" w:rsidR="0031735C" w:rsidRPr="00335110" w:rsidRDefault="0031735C" w:rsidP="0031735C">
      <w:pPr>
        <w:numPr>
          <w:ilvl w:val="0"/>
          <w:numId w:val="35"/>
        </w:numPr>
        <w:spacing w:after="160" w:line="276" w:lineRule="auto"/>
        <w:jc w:val="both"/>
        <w:rPr>
          <w:rFonts w:ascii="Times New Roman" w:hAnsi="Times New Roman"/>
          <w:sz w:val="24"/>
          <w:szCs w:val="24"/>
        </w:rPr>
      </w:pPr>
      <w:r w:rsidRPr="00335110">
        <w:rPr>
          <w:rFonts w:ascii="Times New Roman" w:hAnsi="Times New Roman"/>
          <w:sz w:val="24"/>
          <w:szCs w:val="24"/>
        </w:rPr>
        <w:t>Germination rate – Seeds germinated per day</w:t>
      </w:r>
    </w:p>
    <w:p w14:paraId="3D82A47C" w14:textId="77777777" w:rsidR="006C6856" w:rsidRDefault="006C6856" w:rsidP="006C6856">
      <w:pPr>
        <w:pStyle w:val="Head1"/>
        <w:spacing w:after="0"/>
        <w:jc w:val="both"/>
        <w:rPr>
          <w:rFonts w:ascii="Arial" w:hAnsi="Arial" w:cs="Arial"/>
        </w:rPr>
      </w:pPr>
      <w:r>
        <w:rPr>
          <w:rFonts w:ascii="Arial" w:hAnsi="Arial" w:cs="Arial"/>
        </w:rPr>
        <w:t>3. results and discussion</w:t>
      </w:r>
    </w:p>
    <w:p w14:paraId="5B298E6F" w14:textId="77777777" w:rsidR="006C6856" w:rsidRDefault="006C6856" w:rsidP="006C6856">
      <w:pPr>
        <w:pStyle w:val="Head1"/>
        <w:spacing w:after="0"/>
        <w:jc w:val="both"/>
        <w:rPr>
          <w:rFonts w:ascii="Arial" w:hAnsi="Arial" w:cs="Arial"/>
        </w:rPr>
      </w:pPr>
    </w:p>
    <w:p w14:paraId="551DDE2D" w14:textId="57895B15" w:rsidR="0031735C" w:rsidRPr="00A91490" w:rsidRDefault="0031735C" w:rsidP="0031735C">
      <w:pPr>
        <w:spacing w:line="276" w:lineRule="auto"/>
        <w:jc w:val="center"/>
        <w:rPr>
          <w:rFonts w:ascii="Times New Roman" w:hAnsi="Times New Roman"/>
          <w:b/>
          <w:bCs/>
          <w:sz w:val="24"/>
          <w:szCs w:val="24"/>
        </w:rPr>
      </w:pPr>
      <w:r>
        <w:rPr>
          <w:rFonts w:ascii="Times New Roman" w:hAnsi="Times New Roman"/>
          <w:b/>
          <w:bCs/>
          <w:sz w:val="24"/>
          <w:szCs w:val="24"/>
        </w:rPr>
        <w:t>Fig</w:t>
      </w:r>
      <w:r w:rsidRPr="00A91490">
        <w:rPr>
          <w:rFonts w:ascii="Times New Roman" w:hAnsi="Times New Roman"/>
          <w:b/>
          <w:bCs/>
          <w:sz w:val="24"/>
          <w:szCs w:val="24"/>
        </w:rPr>
        <w:t xml:space="preserve"> 1: </w:t>
      </w:r>
      <w:r>
        <w:rPr>
          <w:rFonts w:ascii="Times New Roman" w:hAnsi="Times New Roman"/>
          <w:b/>
          <w:bCs/>
          <w:sz w:val="24"/>
          <w:szCs w:val="24"/>
        </w:rPr>
        <w:t>Germination with different composition</w:t>
      </w:r>
    </w:p>
    <w:p w14:paraId="735831D4" w14:textId="5A658922" w:rsidR="006C6856" w:rsidRDefault="001B5814" w:rsidP="006C6856">
      <w:pPr>
        <w:pStyle w:val="Head1"/>
        <w:spacing w:after="0"/>
        <w:jc w:val="both"/>
        <w:rPr>
          <w:rFonts w:ascii="Arial" w:hAnsi="Arial" w:cs="Arial"/>
        </w:rPr>
      </w:pPr>
      <w:r>
        <w:rPr>
          <w:rFonts w:asciiTheme="minorBidi" w:hAnsiTheme="minorBidi" w:cstheme="minorBidi"/>
          <w:noProof/>
        </w:rPr>
        <mc:AlternateContent>
          <mc:Choice Requires="wps">
            <w:drawing>
              <wp:anchor distT="0" distB="0" distL="114300" distR="114300" simplePos="0" relativeHeight="251658240" behindDoc="0" locked="0" layoutInCell="1" allowOverlap="1" wp14:anchorId="508C2DD7" wp14:editId="2B54419A">
                <wp:simplePos x="0" y="0"/>
                <wp:positionH relativeFrom="column">
                  <wp:posOffset>30480</wp:posOffset>
                </wp:positionH>
                <wp:positionV relativeFrom="paragraph">
                  <wp:posOffset>89535</wp:posOffset>
                </wp:positionV>
                <wp:extent cx="5692140" cy="2545715"/>
                <wp:effectExtent l="5715" t="5080" r="7620" b="11430"/>
                <wp:wrapNone/>
                <wp:docPr id="1641695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545715"/>
                        </a:xfrm>
                        <a:prstGeom prst="rect">
                          <a:avLst/>
                        </a:prstGeom>
                        <a:solidFill>
                          <a:srgbClr val="FFFFFF"/>
                        </a:solidFill>
                        <a:ln w="9525">
                          <a:solidFill>
                            <a:srgbClr val="000000"/>
                          </a:solidFill>
                          <a:miter lim="800000"/>
                          <a:headEnd/>
                          <a:tailEnd/>
                        </a:ln>
                      </wps:spPr>
                      <wps:txbx>
                        <w:txbxContent>
                          <w:p w14:paraId="7F48108C" w14:textId="27D4580B" w:rsidR="006C6856" w:rsidRDefault="006C6856">
                            <w:r>
                              <w:rPr>
                                <w:noProof/>
                              </w:rPr>
                              <w:drawing>
                                <wp:inline distT="0" distB="0" distL="0" distR="0" wp14:anchorId="6602311B" wp14:editId="703727CC">
                                  <wp:extent cx="1308743" cy="1188720"/>
                                  <wp:effectExtent l="0" t="0" r="0" b="0"/>
                                  <wp:docPr id="627328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56" cy="1211258"/>
                                          </a:xfrm>
                                          <a:prstGeom prst="rect">
                                            <a:avLst/>
                                          </a:prstGeom>
                                          <a:noFill/>
                                          <a:ln>
                                            <a:noFill/>
                                          </a:ln>
                                        </pic:spPr>
                                      </pic:pic>
                                    </a:graphicData>
                                  </a:graphic>
                                </wp:inline>
                              </w:drawing>
                            </w:r>
                            <w:r>
                              <w:rPr>
                                <w:noProof/>
                              </w:rPr>
                              <w:drawing>
                                <wp:inline distT="0" distB="0" distL="0" distR="0" wp14:anchorId="2E2EE1C7" wp14:editId="0CEEA91E">
                                  <wp:extent cx="1418903" cy="1201783"/>
                                  <wp:effectExtent l="0" t="0" r="0" b="0"/>
                                  <wp:docPr id="91697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076" cy="1228186"/>
                                          </a:xfrm>
                                          <a:prstGeom prst="rect">
                                            <a:avLst/>
                                          </a:prstGeom>
                                          <a:noFill/>
                                          <a:ln>
                                            <a:noFill/>
                                          </a:ln>
                                        </pic:spPr>
                                      </pic:pic>
                                    </a:graphicData>
                                  </a:graphic>
                                </wp:inline>
                              </w:drawing>
                            </w:r>
                            <w:r>
                              <w:rPr>
                                <w:noProof/>
                              </w:rPr>
                              <w:drawing>
                                <wp:inline distT="0" distB="0" distL="0" distR="0" wp14:anchorId="2C885271" wp14:editId="093D8F37">
                                  <wp:extent cx="1419225" cy="1188214"/>
                                  <wp:effectExtent l="0" t="0" r="0" b="0"/>
                                  <wp:docPr id="1223985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912" cy="1213906"/>
                                          </a:xfrm>
                                          <a:prstGeom prst="rect">
                                            <a:avLst/>
                                          </a:prstGeom>
                                          <a:noFill/>
                                          <a:ln>
                                            <a:noFill/>
                                          </a:ln>
                                        </pic:spPr>
                                      </pic:pic>
                                    </a:graphicData>
                                  </a:graphic>
                                </wp:inline>
                              </w:drawing>
                            </w:r>
                            <w:r>
                              <w:rPr>
                                <w:noProof/>
                              </w:rPr>
                              <w:drawing>
                                <wp:inline distT="0" distB="0" distL="0" distR="0" wp14:anchorId="7A44FF80" wp14:editId="06BF04BC">
                                  <wp:extent cx="1292860" cy="1122758"/>
                                  <wp:effectExtent l="0" t="0" r="0" b="0"/>
                                  <wp:docPr id="30675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2084" cy="1148137"/>
                                          </a:xfrm>
                                          <a:prstGeom prst="rect">
                                            <a:avLst/>
                                          </a:prstGeom>
                                          <a:noFill/>
                                          <a:ln>
                                            <a:noFill/>
                                          </a:ln>
                                        </pic:spPr>
                                      </pic:pic>
                                    </a:graphicData>
                                  </a:graphic>
                                </wp:inline>
                              </w:drawing>
                            </w:r>
                            <w:r>
                              <w:rPr>
                                <w:noProof/>
                              </w:rPr>
                              <w:drawing>
                                <wp:inline distT="0" distB="0" distL="0" distR="0" wp14:anchorId="11A5E315" wp14:editId="4C0BA6A8">
                                  <wp:extent cx="1503495" cy="1162050"/>
                                  <wp:effectExtent l="0" t="0" r="0" b="0"/>
                                  <wp:docPr id="123283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8218" cy="1188888"/>
                                          </a:xfrm>
                                          <a:prstGeom prst="rect">
                                            <a:avLst/>
                                          </a:prstGeom>
                                          <a:noFill/>
                                          <a:ln>
                                            <a:noFill/>
                                          </a:ln>
                                        </pic:spPr>
                                      </pic:pic>
                                    </a:graphicData>
                                  </a:graphic>
                                </wp:inline>
                              </w:drawing>
                            </w:r>
                            <w:r>
                              <w:rPr>
                                <w:noProof/>
                              </w:rPr>
                              <w:drawing>
                                <wp:inline distT="0" distB="0" distL="0" distR="0" wp14:anchorId="286859C3" wp14:editId="5C114422">
                                  <wp:extent cx="1235206" cy="1188720"/>
                                  <wp:effectExtent l="0" t="0" r="0" b="0"/>
                                  <wp:docPr id="1395051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849" cy="1202811"/>
                                          </a:xfrm>
                                          <a:prstGeom prst="rect">
                                            <a:avLst/>
                                          </a:prstGeom>
                                          <a:noFill/>
                                          <a:ln>
                                            <a:noFill/>
                                          </a:ln>
                                        </pic:spPr>
                                      </pic:pic>
                                    </a:graphicData>
                                  </a:graphic>
                                </wp:inline>
                              </w:drawing>
                            </w:r>
                            <w:r>
                              <w:rPr>
                                <w:noProof/>
                              </w:rPr>
                              <w:drawing>
                                <wp:inline distT="0" distB="0" distL="0" distR="0" wp14:anchorId="72D6E5F8" wp14:editId="16A6469B">
                                  <wp:extent cx="1344930" cy="1161710"/>
                                  <wp:effectExtent l="0" t="0" r="0" b="0"/>
                                  <wp:docPr id="412099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3063" cy="1186010"/>
                                          </a:xfrm>
                                          <a:prstGeom prst="rect">
                                            <a:avLst/>
                                          </a:prstGeom>
                                          <a:noFill/>
                                          <a:ln>
                                            <a:noFill/>
                                          </a:ln>
                                        </pic:spPr>
                                      </pic:pic>
                                    </a:graphicData>
                                  </a:graphic>
                                </wp:inline>
                              </w:drawing>
                            </w:r>
                            <w:r>
                              <w:rPr>
                                <w:noProof/>
                              </w:rPr>
                              <w:drawing>
                                <wp:inline distT="0" distB="0" distL="0" distR="0" wp14:anchorId="18426E3F" wp14:editId="005C1B04">
                                  <wp:extent cx="1358174" cy="1214755"/>
                                  <wp:effectExtent l="0" t="0" r="0" b="0"/>
                                  <wp:docPr id="71134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901" cy="12350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C2DD7" id="_x0000_t202" coordsize="21600,21600" o:spt="202" path="m,l,21600r21600,l21600,xe">
                <v:stroke joinstyle="miter"/>
                <v:path gradientshapeok="t" o:connecttype="rect"/>
              </v:shapetype>
              <v:shape id="Text Box 4" o:spid="_x0000_s1026" type="#_x0000_t202" style="position:absolute;left:0;text-align:left;margin-left:2.4pt;margin-top:7.05pt;width:448.2pt;height:20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">
                <v:textbox>
                  <w:txbxContent>
                    <w:p w14:paraId="7F48108C" w14:textId="27D4580B" w:rsidR="006C6856" w:rsidRDefault="006C6856">
                      <w:r>
                        <w:rPr>
                          <w:noProof/>
                        </w:rPr>
                        <w:drawing>
                          <wp:inline distT="0" distB="0" distL="0" distR="0" wp14:anchorId="6602311B" wp14:editId="703727CC">
                            <wp:extent cx="1308743" cy="1188720"/>
                            <wp:effectExtent l="0" t="0" r="0" b="0"/>
                            <wp:docPr id="627328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56" cy="1211258"/>
                                    </a:xfrm>
                                    <a:prstGeom prst="rect">
                                      <a:avLst/>
                                    </a:prstGeom>
                                    <a:noFill/>
                                    <a:ln>
                                      <a:noFill/>
                                    </a:ln>
                                  </pic:spPr>
                                </pic:pic>
                              </a:graphicData>
                            </a:graphic>
                          </wp:inline>
                        </w:drawing>
                      </w:r>
                      <w:r>
                        <w:rPr>
                          <w:noProof/>
                        </w:rPr>
                        <w:drawing>
                          <wp:inline distT="0" distB="0" distL="0" distR="0" wp14:anchorId="2E2EE1C7" wp14:editId="0CEEA91E">
                            <wp:extent cx="1418903" cy="1201783"/>
                            <wp:effectExtent l="0" t="0" r="0" b="0"/>
                            <wp:docPr id="91697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076" cy="1228186"/>
                                    </a:xfrm>
                                    <a:prstGeom prst="rect">
                                      <a:avLst/>
                                    </a:prstGeom>
                                    <a:noFill/>
                                    <a:ln>
                                      <a:noFill/>
                                    </a:ln>
                                  </pic:spPr>
                                </pic:pic>
                              </a:graphicData>
                            </a:graphic>
                          </wp:inline>
                        </w:drawing>
                      </w:r>
                      <w:r>
                        <w:rPr>
                          <w:noProof/>
                        </w:rPr>
                        <w:drawing>
                          <wp:inline distT="0" distB="0" distL="0" distR="0" wp14:anchorId="2C885271" wp14:editId="093D8F37">
                            <wp:extent cx="1419225" cy="1188214"/>
                            <wp:effectExtent l="0" t="0" r="0" b="0"/>
                            <wp:docPr id="1223985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912" cy="1213906"/>
                                    </a:xfrm>
                                    <a:prstGeom prst="rect">
                                      <a:avLst/>
                                    </a:prstGeom>
                                    <a:noFill/>
                                    <a:ln>
                                      <a:noFill/>
                                    </a:ln>
                                  </pic:spPr>
                                </pic:pic>
                              </a:graphicData>
                            </a:graphic>
                          </wp:inline>
                        </w:drawing>
                      </w:r>
                      <w:r>
                        <w:rPr>
                          <w:noProof/>
                        </w:rPr>
                        <w:drawing>
                          <wp:inline distT="0" distB="0" distL="0" distR="0" wp14:anchorId="7A44FF80" wp14:editId="06BF04BC">
                            <wp:extent cx="1292860" cy="1122758"/>
                            <wp:effectExtent l="0" t="0" r="0" b="0"/>
                            <wp:docPr id="30675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2084" cy="1148137"/>
                                    </a:xfrm>
                                    <a:prstGeom prst="rect">
                                      <a:avLst/>
                                    </a:prstGeom>
                                    <a:noFill/>
                                    <a:ln>
                                      <a:noFill/>
                                    </a:ln>
                                  </pic:spPr>
                                </pic:pic>
                              </a:graphicData>
                            </a:graphic>
                          </wp:inline>
                        </w:drawing>
                      </w:r>
                      <w:r>
                        <w:rPr>
                          <w:noProof/>
                        </w:rPr>
                        <w:drawing>
                          <wp:inline distT="0" distB="0" distL="0" distR="0" wp14:anchorId="11A5E315" wp14:editId="4C0BA6A8">
                            <wp:extent cx="1503495" cy="1162050"/>
                            <wp:effectExtent l="0" t="0" r="0" b="0"/>
                            <wp:docPr id="123283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8218" cy="1188888"/>
                                    </a:xfrm>
                                    <a:prstGeom prst="rect">
                                      <a:avLst/>
                                    </a:prstGeom>
                                    <a:noFill/>
                                    <a:ln>
                                      <a:noFill/>
                                    </a:ln>
                                  </pic:spPr>
                                </pic:pic>
                              </a:graphicData>
                            </a:graphic>
                          </wp:inline>
                        </w:drawing>
                      </w:r>
                      <w:r>
                        <w:rPr>
                          <w:noProof/>
                        </w:rPr>
                        <w:drawing>
                          <wp:inline distT="0" distB="0" distL="0" distR="0" wp14:anchorId="286859C3" wp14:editId="5C114422">
                            <wp:extent cx="1235206" cy="1188720"/>
                            <wp:effectExtent l="0" t="0" r="0" b="0"/>
                            <wp:docPr id="1395051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849" cy="1202811"/>
                                    </a:xfrm>
                                    <a:prstGeom prst="rect">
                                      <a:avLst/>
                                    </a:prstGeom>
                                    <a:noFill/>
                                    <a:ln>
                                      <a:noFill/>
                                    </a:ln>
                                  </pic:spPr>
                                </pic:pic>
                              </a:graphicData>
                            </a:graphic>
                          </wp:inline>
                        </w:drawing>
                      </w:r>
                      <w:r>
                        <w:rPr>
                          <w:noProof/>
                        </w:rPr>
                        <w:drawing>
                          <wp:inline distT="0" distB="0" distL="0" distR="0" wp14:anchorId="72D6E5F8" wp14:editId="16A6469B">
                            <wp:extent cx="1344930" cy="1161710"/>
                            <wp:effectExtent l="0" t="0" r="0" b="0"/>
                            <wp:docPr id="412099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3063" cy="1186010"/>
                                    </a:xfrm>
                                    <a:prstGeom prst="rect">
                                      <a:avLst/>
                                    </a:prstGeom>
                                    <a:noFill/>
                                    <a:ln>
                                      <a:noFill/>
                                    </a:ln>
                                  </pic:spPr>
                                </pic:pic>
                              </a:graphicData>
                            </a:graphic>
                          </wp:inline>
                        </w:drawing>
                      </w:r>
                      <w:r>
                        <w:rPr>
                          <w:noProof/>
                        </w:rPr>
                        <w:drawing>
                          <wp:inline distT="0" distB="0" distL="0" distR="0" wp14:anchorId="18426E3F" wp14:editId="005C1B04">
                            <wp:extent cx="1358174" cy="1214755"/>
                            <wp:effectExtent l="0" t="0" r="0" b="0"/>
                            <wp:docPr id="71134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901" cy="1235082"/>
                                    </a:xfrm>
                                    <a:prstGeom prst="rect">
                                      <a:avLst/>
                                    </a:prstGeom>
                                    <a:noFill/>
                                    <a:ln>
                                      <a:noFill/>
                                    </a:ln>
                                  </pic:spPr>
                                </pic:pic>
                              </a:graphicData>
                            </a:graphic>
                          </wp:inline>
                        </w:drawing>
                      </w:r>
                    </w:p>
                  </w:txbxContent>
                </v:textbox>
              </v:shape>
            </w:pict>
          </mc:Fallback>
        </mc:AlternateContent>
      </w:r>
    </w:p>
    <w:p w14:paraId="1F4B03B2" w14:textId="4D7656E1" w:rsidR="006C6856" w:rsidRPr="006C6856" w:rsidRDefault="006C6856" w:rsidP="006C6856">
      <w:pPr>
        <w:spacing w:after="160" w:line="276" w:lineRule="auto"/>
        <w:ind w:left="720"/>
        <w:jc w:val="both"/>
        <w:rPr>
          <w:rFonts w:asciiTheme="minorBidi" w:hAnsiTheme="minorBidi" w:cstheme="minorBidi"/>
        </w:rPr>
      </w:pPr>
    </w:p>
    <w:p w14:paraId="4FF03A81" w14:textId="77777777" w:rsidR="0031735C" w:rsidRDefault="0031735C" w:rsidP="0031735C">
      <w:pPr>
        <w:spacing w:line="276" w:lineRule="auto"/>
        <w:jc w:val="both"/>
        <w:rPr>
          <w:rFonts w:ascii="Times New Roman" w:hAnsi="Times New Roman"/>
          <w:sz w:val="24"/>
          <w:szCs w:val="24"/>
        </w:rPr>
      </w:pPr>
    </w:p>
    <w:p w14:paraId="1B0C520B" w14:textId="77777777" w:rsidR="0031735C" w:rsidRDefault="0031735C" w:rsidP="0031735C">
      <w:pPr>
        <w:spacing w:line="276" w:lineRule="auto"/>
        <w:jc w:val="both"/>
        <w:rPr>
          <w:rFonts w:ascii="Times New Roman" w:hAnsi="Times New Roman"/>
          <w:sz w:val="24"/>
          <w:szCs w:val="24"/>
        </w:rPr>
      </w:pPr>
    </w:p>
    <w:p w14:paraId="30C46BC6" w14:textId="77777777" w:rsidR="0031735C" w:rsidRDefault="0031735C" w:rsidP="0031735C">
      <w:pPr>
        <w:spacing w:line="276" w:lineRule="auto"/>
        <w:jc w:val="both"/>
        <w:rPr>
          <w:rFonts w:ascii="Times New Roman" w:hAnsi="Times New Roman"/>
          <w:sz w:val="24"/>
          <w:szCs w:val="24"/>
        </w:rPr>
      </w:pPr>
    </w:p>
    <w:p w14:paraId="4E5201AD" w14:textId="77777777" w:rsidR="0031735C" w:rsidRDefault="0031735C" w:rsidP="0031735C">
      <w:pPr>
        <w:spacing w:line="276" w:lineRule="auto"/>
        <w:jc w:val="both"/>
        <w:rPr>
          <w:rFonts w:ascii="Times New Roman" w:hAnsi="Times New Roman"/>
          <w:sz w:val="24"/>
          <w:szCs w:val="24"/>
        </w:rPr>
      </w:pPr>
    </w:p>
    <w:p w14:paraId="41AB8877" w14:textId="77777777" w:rsidR="0031735C" w:rsidRDefault="0031735C" w:rsidP="0031735C">
      <w:pPr>
        <w:spacing w:line="276" w:lineRule="auto"/>
        <w:jc w:val="both"/>
        <w:rPr>
          <w:rFonts w:ascii="Times New Roman" w:hAnsi="Times New Roman"/>
          <w:sz w:val="24"/>
          <w:szCs w:val="24"/>
        </w:rPr>
      </w:pPr>
    </w:p>
    <w:p w14:paraId="13B688DB" w14:textId="77777777" w:rsidR="0031735C" w:rsidRDefault="0031735C" w:rsidP="0031735C">
      <w:pPr>
        <w:spacing w:line="276" w:lineRule="auto"/>
        <w:jc w:val="both"/>
        <w:rPr>
          <w:rFonts w:ascii="Times New Roman" w:hAnsi="Times New Roman"/>
          <w:sz w:val="24"/>
          <w:szCs w:val="24"/>
        </w:rPr>
      </w:pPr>
    </w:p>
    <w:p w14:paraId="45085997" w14:textId="77777777" w:rsidR="0031735C" w:rsidRDefault="0031735C" w:rsidP="0031735C">
      <w:pPr>
        <w:spacing w:line="276" w:lineRule="auto"/>
        <w:jc w:val="both"/>
        <w:rPr>
          <w:rFonts w:ascii="Times New Roman" w:hAnsi="Times New Roman"/>
          <w:sz w:val="24"/>
          <w:szCs w:val="24"/>
        </w:rPr>
      </w:pPr>
    </w:p>
    <w:p w14:paraId="25B515B9" w14:textId="77777777" w:rsidR="0031735C" w:rsidRDefault="0031735C" w:rsidP="0031735C">
      <w:pPr>
        <w:spacing w:line="276" w:lineRule="auto"/>
        <w:jc w:val="both"/>
        <w:rPr>
          <w:rFonts w:ascii="Times New Roman" w:hAnsi="Times New Roman"/>
          <w:sz w:val="24"/>
          <w:szCs w:val="24"/>
        </w:rPr>
      </w:pPr>
    </w:p>
    <w:p w14:paraId="1E328D57" w14:textId="77777777" w:rsidR="0031735C" w:rsidRDefault="0031735C" w:rsidP="0031735C">
      <w:pPr>
        <w:spacing w:line="276" w:lineRule="auto"/>
        <w:jc w:val="both"/>
        <w:rPr>
          <w:rFonts w:ascii="Times New Roman" w:hAnsi="Times New Roman"/>
          <w:sz w:val="24"/>
          <w:szCs w:val="24"/>
        </w:rPr>
      </w:pPr>
    </w:p>
    <w:p w14:paraId="727D26C5" w14:textId="77777777" w:rsidR="0031735C" w:rsidRDefault="0031735C" w:rsidP="0031735C">
      <w:pPr>
        <w:spacing w:line="276" w:lineRule="auto"/>
        <w:jc w:val="both"/>
        <w:rPr>
          <w:rFonts w:ascii="Times New Roman" w:hAnsi="Times New Roman"/>
          <w:sz w:val="24"/>
          <w:szCs w:val="24"/>
        </w:rPr>
      </w:pPr>
    </w:p>
    <w:p w14:paraId="08F34E59" w14:textId="77777777" w:rsidR="0031735C" w:rsidRDefault="0031735C" w:rsidP="0031735C">
      <w:pPr>
        <w:spacing w:line="276" w:lineRule="auto"/>
        <w:jc w:val="both"/>
        <w:rPr>
          <w:rFonts w:ascii="Times New Roman" w:hAnsi="Times New Roman"/>
          <w:sz w:val="24"/>
          <w:szCs w:val="24"/>
        </w:rPr>
      </w:pPr>
    </w:p>
    <w:p w14:paraId="022C3449" w14:textId="77777777" w:rsidR="0031735C" w:rsidRDefault="0031735C" w:rsidP="0031735C">
      <w:pPr>
        <w:spacing w:line="276" w:lineRule="auto"/>
        <w:jc w:val="both"/>
        <w:rPr>
          <w:rFonts w:ascii="Times New Roman" w:hAnsi="Times New Roman"/>
          <w:sz w:val="24"/>
          <w:szCs w:val="24"/>
        </w:rPr>
      </w:pPr>
    </w:p>
    <w:p w14:paraId="25972640" w14:textId="77777777" w:rsidR="0031735C" w:rsidRDefault="0031735C" w:rsidP="0031735C">
      <w:pPr>
        <w:spacing w:line="276" w:lineRule="auto"/>
        <w:jc w:val="both"/>
        <w:rPr>
          <w:rFonts w:ascii="Times New Roman" w:hAnsi="Times New Roman"/>
          <w:sz w:val="24"/>
          <w:szCs w:val="24"/>
        </w:rPr>
      </w:pPr>
    </w:p>
    <w:p w14:paraId="02FB2124" w14:textId="77777777" w:rsidR="0031735C" w:rsidRDefault="0031735C" w:rsidP="0031735C">
      <w:pPr>
        <w:spacing w:line="276" w:lineRule="auto"/>
        <w:jc w:val="both"/>
        <w:rPr>
          <w:rFonts w:ascii="Times New Roman" w:hAnsi="Times New Roman"/>
          <w:sz w:val="24"/>
          <w:szCs w:val="24"/>
        </w:rPr>
      </w:pPr>
    </w:p>
    <w:p w14:paraId="0E1D9DFA" w14:textId="77777777" w:rsidR="00AD2774" w:rsidRPr="00AD2774" w:rsidRDefault="00AD2774" w:rsidP="00AD2774">
      <w:pPr>
        <w:spacing w:line="276" w:lineRule="auto"/>
        <w:jc w:val="both"/>
        <w:rPr>
          <w:rFonts w:ascii="Times New Roman" w:hAnsi="Times New Roman"/>
          <w:sz w:val="24"/>
          <w:szCs w:val="24"/>
          <w:lang w:val="en-IN"/>
        </w:rPr>
      </w:pPr>
      <w:r w:rsidRPr="00AD2774">
        <w:rPr>
          <w:rFonts w:ascii="Times New Roman" w:hAnsi="Times New Roman"/>
          <w:sz w:val="24"/>
          <w:szCs w:val="24"/>
          <w:lang w:val="en-IN"/>
        </w:rPr>
        <w:t xml:space="preserve">Among the five treatments, the combination of </w:t>
      </w:r>
      <w:r w:rsidRPr="00AD2774">
        <w:rPr>
          <w:rFonts w:ascii="Times New Roman" w:hAnsi="Times New Roman"/>
          <w:b/>
          <w:bCs/>
          <w:sz w:val="24"/>
          <w:szCs w:val="24"/>
          <w:lang w:val="en-IN"/>
        </w:rPr>
        <w:t>vermicompost and cocopeat (T5)</w:t>
      </w:r>
      <w:r w:rsidRPr="00AD2774">
        <w:rPr>
          <w:rFonts w:ascii="Times New Roman" w:hAnsi="Times New Roman"/>
          <w:sz w:val="24"/>
          <w:szCs w:val="24"/>
          <w:lang w:val="en-IN"/>
        </w:rPr>
        <w:t xml:space="preserve"> emerged as the most effective medium. This treatment resulted in the </w:t>
      </w:r>
      <w:r w:rsidRPr="00AD2774">
        <w:rPr>
          <w:rFonts w:ascii="Times New Roman" w:hAnsi="Times New Roman"/>
          <w:b/>
          <w:bCs/>
          <w:sz w:val="24"/>
          <w:szCs w:val="24"/>
          <w:lang w:val="en-IN"/>
        </w:rPr>
        <w:t>highest germination percentage</w:t>
      </w:r>
      <w:r w:rsidRPr="00AD2774">
        <w:rPr>
          <w:rFonts w:ascii="Times New Roman" w:hAnsi="Times New Roman"/>
          <w:sz w:val="24"/>
          <w:szCs w:val="24"/>
          <w:lang w:val="en-IN"/>
        </w:rPr>
        <w:t xml:space="preserve">, </w:t>
      </w:r>
      <w:r w:rsidRPr="00AD2774">
        <w:rPr>
          <w:rFonts w:ascii="Times New Roman" w:hAnsi="Times New Roman"/>
          <w:b/>
          <w:bCs/>
          <w:sz w:val="24"/>
          <w:szCs w:val="24"/>
          <w:lang w:val="en-IN"/>
        </w:rPr>
        <w:t>fastest germination rate</w:t>
      </w:r>
      <w:r w:rsidRPr="00AD2774">
        <w:rPr>
          <w:rFonts w:ascii="Times New Roman" w:hAnsi="Times New Roman"/>
          <w:sz w:val="24"/>
          <w:szCs w:val="24"/>
          <w:lang w:val="en-IN"/>
        </w:rPr>
        <w:t xml:space="preserve">, and </w:t>
      </w:r>
      <w:r w:rsidRPr="00AD2774">
        <w:rPr>
          <w:rFonts w:ascii="Times New Roman" w:hAnsi="Times New Roman"/>
          <w:b/>
          <w:bCs/>
          <w:sz w:val="24"/>
          <w:szCs w:val="24"/>
          <w:lang w:val="en-IN"/>
        </w:rPr>
        <w:t>strongest root and shoot development</w:t>
      </w:r>
      <w:r w:rsidRPr="00AD2774">
        <w:rPr>
          <w:rFonts w:ascii="Times New Roman" w:hAnsi="Times New Roman"/>
          <w:sz w:val="24"/>
          <w:szCs w:val="24"/>
          <w:lang w:val="en-IN"/>
        </w:rPr>
        <w:t xml:space="preserve">, leading to the </w:t>
      </w:r>
      <w:r w:rsidRPr="00AD2774">
        <w:rPr>
          <w:rFonts w:ascii="Times New Roman" w:hAnsi="Times New Roman"/>
          <w:b/>
          <w:bCs/>
          <w:sz w:val="24"/>
          <w:szCs w:val="24"/>
          <w:lang w:val="en-IN"/>
        </w:rPr>
        <w:t xml:space="preserve">maximum seedling </w:t>
      </w:r>
      <w:proofErr w:type="spellStart"/>
      <w:r w:rsidRPr="00AD2774">
        <w:rPr>
          <w:rFonts w:ascii="Times New Roman" w:hAnsi="Times New Roman"/>
          <w:b/>
          <w:bCs/>
          <w:sz w:val="24"/>
          <w:szCs w:val="24"/>
          <w:lang w:val="en-IN"/>
        </w:rPr>
        <w:t>vigor</w:t>
      </w:r>
      <w:proofErr w:type="spellEnd"/>
      <w:r w:rsidRPr="00AD2774">
        <w:rPr>
          <w:rFonts w:ascii="Times New Roman" w:hAnsi="Times New Roman"/>
          <w:b/>
          <w:bCs/>
          <w:sz w:val="24"/>
          <w:szCs w:val="24"/>
          <w:lang w:val="en-IN"/>
        </w:rPr>
        <w:t xml:space="preserve"> index</w:t>
      </w:r>
      <w:r w:rsidRPr="00AD2774">
        <w:rPr>
          <w:rFonts w:ascii="Times New Roman" w:hAnsi="Times New Roman"/>
          <w:sz w:val="24"/>
          <w:szCs w:val="24"/>
          <w:lang w:val="en-IN"/>
        </w:rPr>
        <w:t xml:space="preserve">. The synergistic effect can be attributed to the complementary properties of both materials: vermicompost contributed readily available nutrients and beneficial microbes, while cocopeat </w:t>
      </w:r>
      <w:r w:rsidRPr="00AD2774">
        <w:rPr>
          <w:rFonts w:ascii="Times New Roman" w:hAnsi="Times New Roman"/>
          <w:sz w:val="24"/>
          <w:szCs w:val="24"/>
          <w:lang w:val="en-IN"/>
        </w:rPr>
        <w:lastRenderedPageBreak/>
        <w:t xml:space="preserve">enhanced moisture retention and aeration. These findings are consistent with previous reports by </w:t>
      </w:r>
      <w:proofErr w:type="spellStart"/>
      <w:r w:rsidRPr="00AD2774">
        <w:rPr>
          <w:rFonts w:ascii="Times New Roman" w:hAnsi="Times New Roman"/>
          <w:sz w:val="24"/>
          <w:szCs w:val="24"/>
          <w:lang w:val="en-IN"/>
        </w:rPr>
        <w:t>Arancon</w:t>
      </w:r>
      <w:proofErr w:type="spellEnd"/>
      <w:r w:rsidRPr="00AD2774">
        <w:rPr>
          <w:rFonts w:ascii="Times New Roman" w:hAnsi="Times New Roman"/>
          <w:sz w:val="24"/>
          <w:szCs w:val="24"/>
          <w:lang w:val="en-IN"/>
        </w:rPr>
        <w:t xml:space="preserve"> et al. (2004) and Kavitha &amp; Subramanian (2007), who noted improved seedling emergence and </w:t>
      </w:r>
      <w:proofErr w:type="spellStart"/>
      <w:r w:rsidRPr="00AD2774">
        <w:rPr>
          <w:rFonts w:ascii="Times New Roman" w:hAnsi="Times New Roman"/>
          <w:sz w:val="24"/>
          <w:szCs w:val="24"/>
          <w:lang w:val="en-IN"/>
        </w:rPr>
        <w:t>vigor</w:t>
      </w:r>
      <w:proofErr w:type="spellEnd"/>
      <w:r w:rsidRPr="00AD2774">
        <w:rPr>
          <w:rFonts w:ascii="Times New Roman" w:hAnsi="Times New Roman"/>
          <w:sz w:val="24"/>
          <w:szCs w:val="24"/>
          <w:lang w:val="en-IN"/>
        </w:rPr>
        <w:t xml:space="preserve"> in organic media combinations.</w:t>
      </w:r>
    </w:p>
    <w:p w14:paraId="214227AF" w14:textId="77777777" w:rsidR="00AD2774" w:rsidRPr="00AD2774" w:rsidRDefault="00AD2774" w:rsidP="00AD2774">
      <w:pPr>
        <w:spacing w:line="276" w:lineRule="auto"/>
        <w:jc w:val="both"/>
        <w:rPr>
          <w:rFonts w:ascii="Times New Roman" w:hAnsi="Times New Roman"/>
          <w:sz w:val="24"/>
          <w:szCs w:val="24"/>
          <w:lang w:val="en-IN"/>
        </w:rPr>
      </w:pPr>
      <w:r w:rsidRPr="00AD2774">
        <w:rPr>
          <w:rFonts w:ascii="Times New Roman" w:hAnsi="Times New Roman"/>
          <w:b/>
          <w:bCs/>
          <w:sz w:val="24"/>
          <w:szCs w:val="24"/>
          <w:lang w:val="en-IN"/>
        </w:rPr>
        <w:t>Vermicompost alone (T1)</w:t>
      </w:r>
      <w:r w:rsidRPr="00AD2774">
        <w:rPr>
          <w:rFonts w:ascii="Times New Roman" w:hAnsi="Times New Roman"/>
          <w:sz w:val="24"/>
          <w:szCs w:val="24"/>
          <w:lang w:val="en-IN"/>
        </w:rPr>
        <w:t xml:space="preserve"> showed moderately high germination and supported strong seedling growth due to its rich nutrient content and microbial activity. Similarly, </w:t>
      </w:r>
      <w:r w:rsidRPr="00AD2774">
        <w:rPr>
          <w:rFonts w:ascii="Times New Roman" w:hAnsi="Times New Roman"/>
          <w:b/>
          <w:bCs/>
          <w:sz w:val="24"/>
          <w:szCs w:val="24"/>
          <w:lang w:val="en-IN"/>
        </w:rPr>
        <w:t>cocopeat alone (T3)</w:t>
      </w:r>
      <w:r w:rsidRPr="00AD2774">
        <w:rPr>
          <w:rFonts w:ascii="Times New Roman" w:hAnsi="Times New Roman"/>
          <w:sz w:val="24"/>
          <w:szCs w:val="24"/>
          <w:lang w:val="en-IN"/>
        </w:rPr>
        <w:t xml:space="preserve"> exhibited a fast germination rate, although seedling development was comparatively weaker than with vermicompost, likely due to its low nutrient content. These observations align with the findings of Singh et al. (2014), who emphasized the need for nutrient supplementation in cocopeat-based media.</w:t>
      </w:r>
    </w:p>
    <w:p w14:paraId="01F93055" w14:textId="77777777" w:rsidR="00AD2774" w:rsidRPr="00AD2774" w:rsidRDefault="00AD2774" w:rsidP="00AD2774">
      <w:pPr>
        <w:spacing w:line="276" w:lineRule="auto"/>
        <w:jc w:val="both"/>
        <w:rPr>
          <w:rFonts w:ascii="Times New Roman" w:hAnsi="Times New Roman"/>
          <w:sz w:val="24"/>
          <w:szCs w:val="24"/>
          <w:lang w:val="en-IN"/>
        </w:rPr>
      </w:pPr>
      <w:r w:rsidRPr="00AD2774">
        <w:rPr>
          <w:rFonts w:ascii="Times New Roman" w:hAnsi="Times New Roman"/>
          <w:b/>
          <w:bCs/>
          <w:sz w:val="24"/>
          <w:szCs w:val="24"/>
          <w:lang w:val="en-IN"/>
        </w:rPr>
        <w:t>Cow dung (T2)</w:t>
      </w:r>
      <w:r w:rsidRPr="00AD2774">
        <w:rPr>
          <w:rFonts w:ascii="Times New Roman" w:hAnsi="Times New Roman"/>
          <w:sz w:val="24"/>
          <w:szCs w:val="24"/>
          <w:lang w:val="en-IN"/>
        </w:rPr>
        <w:t xml:space="preserve"> resulted in the </w:t>
      </w:r>
      <w:r w:rsidRPr="00AD2774">
        <w:rPr>
          <w:rFonts w:ascii="Times New Roman" w:hAnsi="Times New Roman"/>
          <w:b/>
          <w:bCs/>
          <w:sz w:val="24"/>
          <w:szCs w:val="24"/>
          <w:lang w:val="en-IN"/>
        </w:rPr>
        <w:t>lowest germination percentage</w:t>
      </w:r>
      <w:r w:rsidRPr="00AD2774">
        <w:rPr>
          <w:rFonts w:ascii="Times New Roman" w:hAnsi="Times New Roman"/>
          <w:sz w:val="24"/>
          <w:szCs w:val="24"/>
          <w:lang w:val="en-IN"/>
        </w:rPr>
        <w:t xml:space="preserve"> despite promoting relatively robust shoot and root growth. This suggests that while cow dung supports post-germination development, it may contain inhibitors or lack immediate nutrient availability required for early sprouting. This pattern is supported by Sahu &amp; Mittra (2017), who emphasized the slow-release nature of nutrients in cow dung.</w:t>
      </w:r>
    </w:p>
    <w:p w14:paraId="4FBFD27E" w14:textId="77777777" w:rsidR="00AD2774" w:rsidRPr="00AD2774" w:rsidRDefault="00AD2774" w:rsidP="00AD2774">
      <w:pPr>
        <w:spacing w:line="276" w:lineRule="auto"/>
        <w:jc w:val="both"/>
        <w:rPr>
          <w:rFonts w:ascii="Times New Roman" w:hAnsi="Times New Roman"/>
          <w:sz w:val="24"/>
          <w:szCs w:val="24"/>
          <w:lang w:val="en-IN"/>
        </w:rPr>
      </w:pPr>
      <w:r w:rsidRPr="00AD2774">
        <w:rPr>
          <w:rFonts w:ascii="Times New Roman" w:hAnsi="Times New Roman"/>
          <w:sz w:val="24"/>
          <w:szCs w:val="24"/>
          <w:lang w:val="en-IN"/>
        </w:rPr>
        <w:t xml:space="preserve">Interestingly, </w:t>
      </w:r>
      <w:proofErr w:type="spellStart"/>
      <w:r w:rsidRPr="00AD2774">
        <w:rPr>
          <w:rFonts w:ascii="Times New Roman" w:hAnsi="Times New Roman"/>
          <w:b/>
          <w:bCs/>
          <w:sz w:val="24"/>
          <w:szCs w:val="24"/>
          <w:lang w:val="en-IN"/>
        </w:rPr>
        <w:t>sand</w:t>
      </w:r>
      <w:proofErr w:type="spellEnd"/>
      <w:r w:rsidRPr="00AD2774">
        <w:rPr>
          <w:rFonts w:ascii="Times New Roman" w:hAnsi="Times New Roman"/>
          <w:b/>
          <w:bCs/>
          <w:sz w:val="24"/>
          <w:szCs w:val="24"/>
          <w:lang w:val="en-IN"/>
        </w:rPr>
        <w:t xml:space="preserve"> soil (T4)</w:t>
      </w:r>
      <w:r w:rsidRPr="00AD2774">
        <w:rPr>
          <w:rFonts w:ascii="Times New Roman" w:hAnsi="Times New Roman"/>
          <w:sz w:val="24"/>
          <w:szCs w:val="24"/>
          <w:lang w:val="en-IN"/>
        </w:rPr>
        <w:t xml:space="preserve"> recorded a </w:t>
      </w:r>
      <w:r w:rsidRPr="00AD2774">
        <w:rPr>
          <w:rFonts w:ascii="Times New Roman" w:hAnsi="Times New Roman"/>
          <w:b/>
          <w:bCs/>
          <w:sz w:val="24"/>
          <w:szCs w:val="24"/>
          <w:lang w:val="en-IN"/>
        </w:rPr>
        <w:t>high germination percentage</w:t>
      </w:r>
      <w:r w:rsidRPr="00AD2774">
        <w:rPr>
          <w:rFonts w:ascii="Times New Roman" w:hAnsi="Times New Roman"/>
          <w:sz w:val="24"/>
          <w:szCs w:val="24"/>
          <w:lang w:val="en-IN"/>
        </w:rPr>
        <w:t xml:space="preserve">, but seedlings showed </w:t>
      </w:r>
      <w:r w:rsidRPr="00AD2774">
        <w:rPr>
          <w:rFonts w:ascii="Times New Roman" w:hAnsi="Times New Roman"/>
          <w:b/>
          <w:bCs/>
          <w:sz w:val="24"/>
          <w:szCs w:val="24"/>
          <w:lang w:val="en-IN"/>
        </w:rPr>
        <w:t xml:space="preserve">poor </w:t>
      </w:r>
      <w:proofErr w:type="spellStart"/>
      <w:r w:rsidRPr="00AD2774">
        <w:rPr>
          <w:rFonts w:ascii="Times New Roman" w:hAnsi="Times New Roman"/>
          <w:b/>
          <w:bCs/>
          <w:sz w:val="24"/>
          <w:szCs w:val="24"/>
          <w:lang w:val="en-IN"/>
        </w:rPr>
        <w:t>vigor</w:t>
      </w:r>
      <w:proofErr w:type="spellEnd"/>
      <w:r w:rsidRPr="00AD2774">
        <w:rPr>
          <w:rFonts w:ascii="Times New Roman" w:hAnsi="Times New Roman"/>
          <w:sz w:val="24"/>
          <w:szCs w:val="24"/>
          <w:lang w:val="en-IN"/>
        </w:rPr>
        <w:t xml:space="preserve"> and </w:t>
      </w:r>
      <w:r w:rsidRPr="00AD2774">
        <w:rPr>
          <w:rFonts w:ascii="Times New Roman" w:hAnsi="Times New Roman"/>
          <w:b/>
          <w:bCs/>
          <w:sz w:val="24"/>
          <w:szCs w:val="24"/>
          <w:lang w:val="en-IN"/>
        </w:rPr>
        <w:t>weak root/shoot growth</w:t>
      </w:r>
      <w:r w:rsidRPr="00AD2774">
        <w:rPr>
          <w:rFonts w:ascii="Times New Roman" w:hAnsi="Times New Roman"/>
          <w:sz w:val="24"/>
          <w:szCs w:val="24"/>
          <w:lang w:val="en-IN"/>
        </w:rPr>
        <w:t xml:space="preserve">. The high drainage and low nutrient-holding capacity of sand may lead to inadequate support for seedling development, confirming findings by </w:t>
      </w:r>
      <w:proofErr w:type="spellStart"/>
      <w:r w:rsidRPr="00AD2774">
        <w:rPr>
          <w:rFonts w:ascii="Times New Roman" w:hAnsi="Times New Roman"/>
          <w:sz w:val="24"/>
          <w:szCs w:val="24"/>
          <w:lang w:val="en-IN"/>
        </w:rPr>
        <w:t>Maheswarappa</w:t>
      </w:r>
      <w:proofErr w:type="spellEnd"/>
      <w:r w:rsidRPr="00AD2774">
        <w:rPr>
          <w:rFonts w:ascii="Times New Roman" w:hAnsi="Times New Roman"/>
          <w:sz w:val="24"/>
          <w:szCs w:val="24"/>
          <w:lang w:val="en-IN"/>
        </w:rPr>
        <w:t xml:space="preserve"> et al. (2002) regarding the limitations of sand as a standalone growing medium.</w:t>
      </w:r>
    </w:p>
    <w:p w14:paraId="0CFB0CA9" w14:textId="77777777" w:rsidR="00AD2774" w:rsidRPr="00AD2774" w:rsidRDefault="00AD2774" w:rsidP="00AD2774">
      <w:pPr>
        <w:spacing w:line="276" w:lineRule="auto"/>
        <w:jc w:val="both"/>
        <w:rPr>
          <w:rFonts w:ascii="Times New Roman" w:hAnsi="Times New Roman"/>
          <w:sz w:val="24"/>
          <w:szCs w:val="24"/>
          <w:lang w:val="en-IN"/>
        </w:rPr>
      </w:pPr>
      <w:r w:rsidRPr="00AD2774">
        <w:rPr>
          <w:rFonts w:ascii="Times New Roman" w:hAnsi="Times New Roman"/>
          <w:sz w:val="24"/>
          <w:szCs w:val="24"/>
          <w:lang w:val="en-IN"/>
        </w:rPr>
        <w:t>Overall, the data underscore the importance of balanced media for optimal seedling performance. The combination of vermicompost and cocopeat not only improved germination dynamics but also enhanced seedling robustness, offering a promising, sustainable alternative for nursery practices and low-input farming systems.</w:t>
      </w:r>
    </w:p>
    <w:p w14:paraId="7CA60430" w14:textId="3B9908A4" w:rsidR="0031735C" w:rsidRDefault="001B5814" w:rsidP="0031735C">
      <w:pPr>
        <w:spacing w:line="276" w:lineRule="auto"/>
        <w:jc w:val="both"/>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49FF5C1E" wp14:editId="077200E5">
                <wp:simplePos x="0" y="0"/>
                <wp:positionH relativeFrom="margin">
                  <wp:posOffset>883920</wp:posOffset>
                </wp:positionH>
                <wp:positionV relativeFrom="paragraph">
                  <wp:posOffset>186055</wp:posOffset>
                </wp:positionV>
                <wp:extent cx="3587115" cy="339725"/>
                <wp:effectExtent l="0" t="0" r="0" b="0"/>
                <wp:wrapNone/>
                <wp:docPr id="5165841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115" cy="339725"/>
                        </a:xfrm>
                        <a:prstGeom prst="rect">
                          <a:avLst/>
                        </a:prstGeom>
                        <a:solidFill>
                          <a:schemeClr val="lt1"/>
                        </a:solidFill>
                        <a:ln w="6350">
                          <a:noFill/>
                        </a:ln>
                      </wps:spPr>
                      <wps:txbx>
                        <w:txbxContent>
                          <w:p w14:paraId="183BB451" w14:textId="434C0D33" w:rsidR="0031735C" w:rsidRPr="00C36BCC" w:rsidRDefault="0031735C" w:rsidP="0031735C">
                            <w:pPr>
                              <w:rPr>
                                <w:rFonts w:ascii="Times New Roman" w:hAnsi="Times New Roman"/>
                                <w:b/>
                                <w:bCs/>
                                <w:sz w:val="24"/>
                                <w:szCs w:val="22"/>
                              </w:rPr>
                            </w:pPr>
                            <w:r w:rsidRPr="00C36BCC">
                              <w:rPr>
                                <w:rFonts w:ascii="Times New Roman" w:hAnsi="Times New Roman"/>
                                <w:b/>
                                <w:bCs/>
                                <w:sz w:val="24"/>
                                <w:szCs w:val="22"/>
                              </w:rPr>
                              <w:t xml:space="preserve">Table 2: Germination with different composition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5C1E" id="Text Box 1" o:spid="_x0000_s1027" type="#_x0000_t202" style="position:absolute;left:0;text-align:left;margin-left:69.6pt;margin-top:14.65pt;width:282.45pt;height:2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" fillcolor="white [3201]" stroked="f" strokeweight=".5pt">
                <v:textbox>
                  <w:txbxContent>
                    <w:p w14:paraId="183BB451" w14:textId="434C0D33" w:rsidR="0031735C" w:rsidRPr="00C36BCC" w:rsidRDefault="0031735C" w:rsidP="0031735C">
                      <w:pPr>
                        <w:rPr>
                          <w:rFonts w:ascii="Times New Roman" w:hAnsi="Times New Roman"/>
                          <w:b/>
                          <w:bCs/>
                          <w:sz w:val="24"/>
                          <w:szCs w:val="22"/>
                        </w:rPr>
                      </w:pPr>
                      <w:r w:rsidRPr="00C36BCC">
                        <w:rPr>
                          <w:rFonts w:ascii="Times New Roman" w:hAnsi="Times New Roman"/>
                          <w:b/>
                          <w:bCs/>
                          <w:sz w:val="24"/>
                          <w:szCs w:val="22"/>
                        </w:rPr>
                        <w:t xml:space="preserve">Table 2: Germination with different composition </w:t>
                      </w:r>
                    </w:p>
                  </w:txbxContent>
                </v:textbox>
                <w10:wrap anchorx="margin"/>
              </v:shape>
            </w:pict>
          </mc:Fallback>
        </mc:AlternateContent>
      </w:r>
    </w:p>
    <w:p w14:paraId="3503D9E7" w14:textId="410AD2BD" w:rsidR="0031735C" w:rsidRPr="00335110" w:rsidRDefault="0031735C" w:rsidP="0031735C">
      <w:pPr>
        <w:spacing w:line="276" w:lineRule="auto"/>
        <w:jc w:val="both"/>
        <w:rPr>
          <w:rFonts w:ascii="Times New Roman" w:hAnsi="Times New Roman"/>
          <w:sz w:val="24"/>
          <w:szCs w:val="24"/>
        </w:rPr>
      </w:pPr>
    </w:p>
    <w:p w14:paraId="692CFE92" w14:textId="7B4BD918" w:rsidR="00A91490" w:rsidRDefault="00A91490" w:rsidP="00441B6F">
      <w:pPr>
        <w:pStyle w:val="Head1"/>
        <w:spacing w:after="0"/>
        <w:jc w:val="both"/>
        <w:rPr>
          <w:rFonts w:ascii="Arial" w:hAnsi="Arial" w:cs="Arial"/>
        </w:rPr>
      </w:pPr>
    </w:p>
    <w:p w14:paraId="47CD8415" w14:textId="77777777" w:rsidR="00A91490" w:rsidRDefault="00A91490" w:rsidP="00441B6F">
      <w:pPr>
        <w:pStyle w:val="Head1"/>
        <w:spacing w:after="0"/>
        <w:jc w:val="both"/>
        <w:rPr>
          <w:rFonts w:ascii="Arial" w:hAnsi="Arial" w:cs="Arial"/>
        </w:rPr>
      </w:pPr>
    </w:p>
    <w:tbl>
      <w:tblPr>
        <w:tblStyle w:val="GridTable6Colorful-Accent1"/>
        <w:tblW w:w="9356" w:type="dxa"/>
        <w:tblInd w:w="-147" w:type="dxa"/>
        <w:tblLook w:val="04A0" w:firstRow="1" w:lastRow="0" w:firstColumn="1" w:lastColumn="0" w:noHBand="0" w:noVBand="1"/>
      </w:tblPr>
      <w:tblGrid>
        <w:gridCol w:w="704"/>
        <w:gridCol w:w="2309"/>
        <w:gridCol w:w="1920"/>
        <w:gridCol w:w="1555"/>
        <w:gridCol w:w="1532"/>
        <w:gridCol w:w="1336"/>
      </w:tblGrid>
      <w:tr w:rsidR="0031735C" w:rsidRPr="00335110" w14:paraId="25D3C6B5" w14:textId="77777777" w:rsidTr="00EA1B3D">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3" w:type="dxa"/>
          </w:tcPr>
          <w:p w14:paraId="722950E0" w14:textId="77777777" w:rsidR="0031735C" w:rsidRPr="00335110" w:rsidRDefault="0031735C" w:rsidP="00EA1B3D">
            <w:pPr>
              <w:spacing w:line="276" w:lineRule="auto"/>
              <w:jc w:val="both"/>
              <w:rPr>
                <w:rFonts w:ascii="Times New Roman" w:hAnsi="Times New Roman" w:cs="Times New Roman"/>
                <w:sz w:val="24"/>
                <w:szCs w:val="24"/>
              </w:rPr>
            </w:pPr>
            <w:proofErr w:type="spellStart"/>
            <w:proofErr w:type="gramStart"/>
            <w:r w:rsidRPr="00335110">
              <w:rPr>
                <w:rFonts w:ascii="Times New Roman" w:hAnsi="Times New Roman" w:cs="Times New Roman"/>
                <w:sz w:val="24"/>
                <w:szCs w:val="24"/>
              </w:rPr>
              <w:t>S.No</w:t>
            </w:r>
            <w:proofErr w:type="spellEnd"/>
            <w:proofErr w:type="gramEnd"/>
          </w:p>
        </w:tc>
        <w:tc>
          <w:tcPr>
            <w:tcW w:w="2327" w:type="dxa"/>
            <w:hideMark/>
          </w:tcPr>
          <w:p w14:paraId="3610A2ED"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Treatment</w:t>
            </w:r>
          </w:p>
        </w:tc>
        <w:tc>
          <w:tcPr>
            <w:tcW w:w="1931" w:type="dxa"/>
            <w:hideMark/>
          </w:tcPr>
          <w:p w14:paraId="37473A2F"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Germination %</w:t>
            </w:r>
          </w:p>
        </w:tc>
        <w:tc>
          <w:tcPr>
            <w:tcW w:w="1556" w:type="dxa"/>
            <w:hideMark/>
          </w:tcPr>
          <w:p w14:paraId="428FFFFB"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Germination Speed</w:t>
            </w:r>
          </w:p>
        </w:tc>
        <w:tc>
          <w:tcPr>
            <w:tcW w:w="1537" w:type="dxa"/>
            <w:hideMark/>
          </w:tcPr>
          <w:p w14:paraId="295C1108"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Root/Shoot Growth</w:t>
            </w:r>
          </w:p>
        </w:tc>
        <w:tc>
          <w:tcPr>
            <w:tcW w:w="1302" w:type="dxa"/>
            <w:hideMark/>
          </w:tcPr>
          <w:p w14:paraId="4C06395F" w14:textId="77777777" w:rsidR="0031735C" w:rsidRPr="00335110"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5110">
              <w:rPr>
                <w:rFonts w:ascii="Times New Roman" w:hAnsi="Times New Roman" w:cs="Times New Roman"/>
                <w:sz w:val="24"/>
                <w:szCs w:val="24"/>
              </w:rPr>
              <w:t>Seedling Vigor</w:t>
            </w:r>
          </w:p>
        </w:tc>
      </w:tr>
      <w:tr w:rsidR="0031735C" w:rsidRPr="00335110" w14:paraId="3944C0A2" w14:textId="77777777" w:rsidTr="00EA1B3D">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703" w:type="dxa"/>
          </w:tcPr>
          <w:p w14:paraId="487AD563" w14:textId="77777777" w:rsidR="0031735C" w:rsidRPr="00335110" w:rsidRDefault="0031735C" w:rsidP="00EA1B3D">
            <w:pPr>
              <w:spacing w:line="276" w:lineRule="auto"/>
              <w:jc w:val="both"/>
              <w:rPr>
                <w:rFonts w:ascii="Times New Roman" w:hAnsi="Times New Roman" w:cs="Times New Roman"/>
                <w:b w:val="0"/>
                <w:bCs w:val="0"/>
                <w:sz w:val="24"/>
                <w:szCs w:val="24"/>
              </w:rPr>
            </w:pPr>
            <w:r w:rsidRPr="00335110">
              <w:rPr>
                <w:rFonts w:ascii="Times New Roman" w:hAnsi="Times New Roman" w:cs="Times New Roman"/>
                <w:b w:val="0"/>
                <w:bCs w:val="0"/>
                <w:sz w:val="24"/>
                <w:szCs w:val="24"/>
              </w:rPr>
              <w:t>1</w:t>
            </w:r>
          </w:p>
        </w:tc>
        <w:tc>
          <w:tcPr>
            <w:tcW w:w="2327" w:type="dxa"/>
            <w:hideMark/>
          </w:tcPr>
          <w:p w14:paraId="2B590352"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Vermicompost</w:t>
            </w:r>
          </w:p>
        </w:tc>
        <w:tc>
          <w:tcPr>
            <w:tcW w:w="1931" w:type="dxa"/>
            <w:hideMark/>
          </w:tcPr>
          <w:p w14:paraId="10E117CA"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w:t>
            </w:r>
          </w:p>
        </w:tc>
        <w:tc>
          <w:tcPr>
            <w:tcW w:w="1556" w:type="dxa"/>
            <w:hideMark/>
          </w:tcPr>
          <w:p w14:paraId="265A604C"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Fast</w:t>
            </w:r>
          </w:p>
        </w:tc>
        <w:tc>
          <w:tcPr>
            <w:tcW w:w="1537" w:type="dxa"/>
            <w:hideMark/>
          </w:tcPr>
          <w:p w14:paraId="742D1B1F"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Strong</w:t>
            </w:r>
          </w:p>
        </w:tc>
        <w:tc>
          <w:tcPr>
            <w:tcW w:w="1302" w:type="dxa"/>
            <w:hideMark/>
          </w:tcPr>
          <w:p w14:paraId="01767A76"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High</w:t>
            </w:r>
          </w:p>
        </w:tc>
      </w:tr>
      <w:tr w:rsidR="0031735C" w:rsidRPr="00335110" w14:paraId="62AF34E6" w14:textId="77777777" w:rsidTr="00EA1B3D">
        <w:trPr>
          <w:trHeight w:val="86"/>
        </w:trPr>
        <w:tc>
          <w:tcPr>
            <w:cnfStyle w:val="001000000000" w:firstRow="0" w:lastRow="0" w:firstColumn="1" w:lastColumn="0" w:oddVBand="0" w:evenVBand="0" w:oddHBand="0" w:evenHBand="0" w:firstRowFirstColumn="0" w:firstRowLastColumn="0" w:lastRowFirstColumn="0" w:lastRowLastColumn="0"/>
            <w:tcW w:w="703" w:type="dxa"/>
          </w:tcPr>
          <w:p w14:paraId="1D9ED06F" w14:textId="77777777" w:rsidR="0031735C" w:rsidRPr="00335110" w:rsidRDefault="0031735C" w:rsidP="00EA1B3D">
            <w:pPr>
              <w:spacing w:line="276" w:lineRule="auto"/>
              <w:jc w:val="both"/>
              <w:rPr>
                <w:rFonts w:ascii="Times New Roman" w:hAnsi="Times New Roman" w:cs="Times New Roman"/>
                <w:b w:val="0"/>
                <w:bCs w:val="0"/>
                <w:sz w:val="24"/>
                <w:szCs w:val="24"/>
              </w:rPr>
            </w:pPr>
            <w:r w:rsidRPr="00335110">
              <w:rPr>
                <w:rFonts w:ascii="Times New Roman" w:hAnsi="Times New Roman" w:cs="Times New Roman"/>
                <w:b w:val="0"/>
                <w:bCs w:val="0"/>
                <w:sz w:val="24"/>
                <w:szCs w:val="24"/>
              </w:rPr>
              <w:t>2</w:t>
            </w:r>
          </w:p>
        </w:tc>
        <w:tc>
          <w:tcPr>
            <w:tcW w:w="2327" w:type="dxa"/>
            <w:hideMark/>
          </w:tcPr>
          <w:p w14:paraId="70AEFF7F"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Cow Dung</w:t>
            </w:r>
          </w:p>
        </w:tc>
        <w:tc>
          <w:tcPr>
            <w:tcW w:w="1931" w:type="dxa"/>
            <w:hideMark/>
          </w:tcPr>
          <w:p w14:paraId="048CAECA"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Low</w:t>
            </w:r>
          </w:p>
        </w:tc>
        <w:tc>
          <w:tcPr>
            <w:tcW w:w="1556" w:type="dxa"/>
            <w:hideMark/>
          </w:tcPr>
          <w:p w14:paraId="241A3468"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w:t>
            </w:r>
          </w:p>
        </w:tc>
        <w:tc>
          <w:tcPr>
            <w:tcW w:w="1537" w:type="dxa"/>
            <w:hideMark/>
          </w:tcPr>
          <w:p w14:paraId="1C593607"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Moderate–Strong</w:t>
            </w:r>
          </w:p>
        </w:tc>
        <w:tc>
          <w:tcPr>
            <w:tcW w:w="1302" w:type="dxa"/>
            <w:hideMark/>
          </w:tcPr>
          <w:p w14:paraId="257A5F85"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Moderate–High</w:t>
            </w:r>
          </w:p>
        </w:tc>
      </w:tr>
      <w:tr w:rsidR="0031735C" w:rsidRPr="00335110" w14:paraId="71531186" w14:textId="77777777" w:rsidTr="00EA1B3D">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03" w:type="dxa"/>
          </w:tcPr>
          <w:p w14:paraId="768D559C" w14:textId="77777777" w:rsidR="0031735C" w:rsidRPr="00335110" w:rsidRDefault="0031735C" w:rsidP="00EA1B3D">
            <w:pPr>
              <w:spacing w:line="276" w:lineRule="auto"/>
              <w:jc w:val="both"/>
              <w:rPr>
                <w:rFonts w:ascii="Times New Roman" w:hAnsi="Times New Roman" w:cs="Times New Roman"/>
                <w:b w:val="0"/>
                <w:bCs w:val="0"/>
                <w:sz w:val="24"/>
                <w:szCs w:val="24"/>
              </w:rPr>
            </w:pPr>
            <w:r w:rsidRPr="00335110">
              <w:rPr>
                <w:rFonts w:ascii="Times New Roman" w:hAnsi="Times New Roman" w:cs="Times New Roman"/>
                <w:b w:val="0"/>
                <w:bCs w:val="0"/>
                <w:sz w:val="24"/>
                <w:szCs w:val="24"/>
              </w:rPr>
              <w:t>3</w:t>
            </w:r>
          </w:p>
        </w:tc>
        <w:tc>
          <w:tcPr>
            <w:tcW w:w="2327" w:type="dxa"/>
            <w:hideMark/>
          </w:tcPr>
          <w:p w14:paraId="271A3DC1"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Cocopeat</w:t>
            </w:r>
          </w:p>
        </w:tc>
        <w:tc>
          <w:tcPr>
            <w:tcW w:w="1931" w:type="dxa"/>
            <w:hideMark/>
          </w:tcPr>
          <w:p w14:paraId="34BFE729"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w:t>
            </w:r>
          </w:p>
        </w:tc>
        <w:tc>
          <w:tcPr>
            <w:tcW w:w="1556" w:type="dxa"/>
            <w:hideMark/>
          </w:tcPr>
          <w:p w14:paraId="4113E5C3"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Fast</w:t>
            </w:r>
          </w:p>
        </w:tc>
        <w:tc>
          <w:tcPr>
            <w:tcW w:w="1537" w:type="dxa"/>
            <w:hideMark/>
          </w:tcPr>
          <w:p w14:paraId="336249D3"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w:t>
            </w:r>
          </w:p>
        </w:tc>
        <w:tc>
          <w:tcPr>
            <w:tcW w:w="1302" w:type="dxa"/>
            <w:hideMark/>
          </w:tcPr>
          <w:p w14:paraId="5CB6F147"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Moderate</w:t>
            </w:r>
          </w:p>
        </w:tc>
      </w:tr>
      <w:tr w:rsidR="0031735C" w:rsidRPr="00335110" w14:paraId="01BD1F54" w14:textId="77777777" w:rsidTr="00EA1B3D">
        <w:trPr>
          <w:trHeight w:val="47"/>
        </w:trPr>
        <w:tc>
          <w:tcPr>
            <w:cnfStyle w:val="001000000000" w:firstRow="0" w:lastRow="0" w:firstColumn="1" w:lastColumn="0" w:oddVBand="0" w:evenVBand="0" w:oddHBand="0" w:evenHBand="0" w:firstRowFirstColumn="0" w:firstRowLastColumn="0" w:lastRowFirstColumn="0" w:lastRowLastColumn="0"/>
            <w:tcW w:w="703" w:type="dxa"/>
          </w:tcPr>
          <w:p w14:paraId="1AD42EA1" w14:textId="77777777" w:rsidR="0031735C" w:rsidRPr="00335110" w:rsidRDefault="0031735C" w:rsidP="00EA1B3D">
            <w:pPr>
              <w:spacing w:line="276" w:lineRule="auto"/>
              <w:jc w:val="both"/>
              <w:rPr>
                <w:rFonts w:ascii="Times New Roman" w:hAnsi="Times New Roman" w:cs="Times New Roman"/>
                <w:b w:val="0"/>
                <w:bCs w:val="0"/>
                <w:sz w:val="24"/>
                <w:szCs w:val="24"/>
              </w:rPr>
            </w:pPr>
            <w:r w:rsidRPr="00335110">
              <w:rPr>
                <w:rFonts w:ascii="Times New Roman" w:hAnsi="Times New Roman" w:cs="Times New Roman"/>
                <w:b w:val="0"/>
                <w:bCs w:val="0"/>
                <w:sz w:val="24"/>
                <w:szCs w:val="24"/>
              </w:rPr>
              <w:t>4</w:t>
            </w:r>
          </w:p>
        </w:tc>
        <w:tc>
          <w:tcPr>
            <w:tcW w:w="2327" w:type="dxa"/>
            <w:hideMark/>
          </w:tcPr>
          <w:p w14:paraId="590D8E29"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spellStart"/>
            <w:r w:rsidRPr="00335110">
              <w:rPr>
                <w:rFonts w:ascii="Times New Roman" w:hAnsi="Times New Roman" w:cs="Times New Roman"/>
                <w:b/>
                <w:bCs/>
                <w:sz w:val="24"/>
                <w:szCs w:val="24"/>
              </w:rPr>
              <w:t>Sand</w:t>
            </w:r>
            <w:proofErr w:type="spellEnd"/>
            <w:r w:rsidRPr="00335110">
              <w:rPr>
                <w:rFonts w:ascii="Times New Roman" w:hAnsi="Times New Roman" w:cs="Times New Roman"/>
                <w:b/>
                <w:bCs/>
                <w:sz w:val="24"/>
                <w:szCs w:val="24"/>
              </w:rPr>
              <w:t xml:space="preserve"> Soil</w:t>
            </w:r>
          </w:p>
        </w:tc>
        <w:tc>
          <w:tcPr>
            <w:tcW w:w="1931" w:type="dxa"/>
            <w:hideMark/>
          </w:tcPr>
          <w:p w14:paraId="78139328"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High</w:t>
            </w:r>
          </w:p>
        </w:tc>
        <w:tc>
          <w:tcPr>
            <w:tcW w:w="1556" w:type="dxa"/>
            <w:hideMark/>
          </w:tcPr>
          <w:p w14:paraId="220164B0"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Slow</w:t>
            </w:r>
          </w:p>
        </w:tc>
        <w:tc>
          <w:tcPr>
            <w:tcW w:w="1537" w:type="dxa"/>
            <w:hideMark/>
          </w:tcPr>
          <w:p w14:paraId="2A8070DB"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Weak</w:t>
            </w:r>
          </w:p>
        </w:tc>
        <w:tc>
          <w:tcPr>
            <w:tcW w:w="1302" w:type="dxa"/>
            <w:hideMark/>
          </w:tcPr>
          <w:p w14:paraId="1C764EE3" w14:textId="77777777" w:rsidR="0031735C" w:rsidRPr="00335110"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Low</w:t>
            </w:r>
          </w:p>
        </w:tc>
      </w:tr>
      <w:tr w:rsidR="0031735C" w:rsidRPr="00335110" w14:paraId="1B304945" w14:textId="77777777" w:rsidTr="00EA1B3D">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703" w:type="dxa"/>
          </w:tcPr>
          <w:p w14:paraId="4F678A38" w14:textId="77777777" w:rsidR="0031735C" w:rsidRPr="00335110" w:rsidRDefault="0031735C" w:rsidP="00EA1B3D">
            <w:pPr>
              <w:spacing w:line="276" w:lineRule="auto"/>
              <w:jc w:val="both"/>
              <w:rPr>
                <w:rFonts w:ascii="Times New Roman" w:hAnsi="Times New Roman" w:cs="Times New Roman"/>
                <w:b w:val="0"/>
                <w:bCs w:val="0"/>
                <w:sz w:val="24"/>
                <w:szCs w:val="24"/>
              </w:rPr>
            </w:pPr>
            <w:r w:rsidRPr="00335110">
              <w:rPr>
                <w:rFonts w:ascii="Times New Roman" w:hAnsi="Times New Roman" w:cs="Times New Roman"/>
                <w:b w:val="0"/>
                <w:bCs w:val="0"/>
                <w:sz w:val="24"/>
                <w:szCs w:val="24"/>
              </w:rPr>
              <w:t>5</w:t>
            </w:r>
          </w:p>
        </w:tc>
        <w:tc>
          <w:tcPr>
            <w:tcW w:w="2327" w:type="dxa"/>
            <w:hideMark/>
          </w:tcPr>
          <w:p w14:paraId="522E62BB" w14:textId="77777777" w:rsidR="0031735C" w:rsidRPr="00335110" w:rsidRDefault="0031735C" w:rsidP="00EA1B3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Vermicompost</w:t>
            </w:r>
          </w:p>
          <w:p w14:paraId="588E8F5A" w14:textId="77777777" w:rsidR="0031735C" w:rsidRPr="00335110" w:rsidRDefault="0031735C" w:rsidP="00EA1B3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 xml:space="preserve">         +  </w:t>
            </w:r>
          </w:p>
          <w:p w14:paraId="701E4D5A"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lastRenderedPageBreak/>
              <w:t xml:space="preserve">  Cocopeat</w:t>
            </w:r>
          </w:p>
        </w:tc>
        <w:tc>
          <w:tcPr>
            <w:tcW w:w="1931" w:type="dxa"/>
            <w:hideMark/>
          </w:tcPr>
          <w:p w14:paraId="558A77D8"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lastRenderedPageBreak/>
              <w:t>Very High</w:t>
            </w:r>
          </w:p>
        </w:tc>
        <w:tc>
          <w:tcPr>
            <w:tcW w:w="1556" w:type="dxa"/>
            <w:hideMark/>
          </w:tcPr>
          <w:p w14:paraId="3C2486F1"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Very Fast</w:t>
            </w:r>
          </w:p>
        </w:tc>
        <w:tc>
          <w:tcPr>
            <w:tcW w:w="1537" w:type="dxa"/>
            <w:hideMark/>
          </w:tcPr>
          <w:p w14:paraId="60598D7C"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Very Strong</w:t>
            </w:r>
          </w:p>
        </w:tc>
        <w:tc>
          <w:tcPr>
            <w:tcW w:w="1302" w:type="dxa"/>
            <w:hideMark/>
          </w:tcPr>
          <w:p w14:paraId="6695C841" w14:textId="77777777" w:rsidR="0031735C" w:rsidRPr="00335110"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35110">
              <w:rPr>
                <w:rFonts w:ascii="Times New Roman" w:hAnsi="Times New Roman" w:cs="Times New Roman"/>
                <w:b/>
                <w:bCs/>
                <w:sz w:val="24"/>
                <w:szCs w:val="24"/>
              </w:rPr>
              <w:t>Very High</w:t>
            </w:r>
          </w:p>
        </w:tc>
      </w:tr>
    </w:tbl>
    <w:p w14:paraId="4031C4B0" w14:textId="77777777" w:rsidR="00A91490" w:rsidRDefault="00A91490" w:rsidP="00441B6F">
      <w:pPr>
        <w:pStyle w:val="Head1"/>
        <w:spacing w:after="0"/>
        <w:jc w:val="both"/>
        <w:rPr>
          <w:rFonts w:ascii="Arial" w:hAnsi="Arial" w:cs="Arial"/>
        </w:rPr>
      </w:pPr>
    </w:p>
    <w:p w14:paraId="431E3CC7" w14:textId="74D715F1" w:rsidR="00902823" w:rsidRDefault="00902823" w:rsidP="00441B6F">
      <w:pPr>
        <w:pStyle w:val="Head1"/>
        <w:spacing w:after="0"/>
        <w:jc w:val="both"/>
        <w:rPr>
          <w:rFonts w:ascii="Arial" w:hAnsi="Arial" w:cs="Arial"/>
        </w:rPr>
      </w:pPr>
    </w:p>
    <w:p w14:paraId="7DADD8FA" w14:textId="77777777" w:rsidR="0031735C" w:rsidRDefault="0031735C" w:rsidP="0031735C">
      <w:pPr>
        <w:spacing w:line="276" w:lineRule="auto"/>
        <w:jc w:val="both"/>
        <w:rPr>
          <w:rFonts w:ascii="Times New Roman" w:hAnsi="Times New Roman"/>
          <w:b/>
          <w:bCs/>
          <w:sz w:val="24"/>
          <w:szCs w:val="24"/>
        </w:rPr>
      </w:pPr>
    </w:p>
    <w:p w14:paraId="7B91BC7A" w14:textId="77777777" w:rsidR="0031735C" w:rsidRDefault="0031735C" w:rsidP="0031735C">
      <w:pPr>
        <w:spacing w:line="276" w:lineRule="auto"/>
        <w:jc w:val="both"/>
        <w:rPr>
          <w:rFonts w:ascii="Times New Roman" w:hAnsi="Times New Roman"/>
          <w:b/>
          <w:bCs/>
          <w:sz w:val="24"/>
          <w:szCs w:val="24"/>
        </w:rPr>
      </w:pPr>
    </w:p>
    <w:p w14:paraId="487C9A8A" w14:textId="36B96971" w:rsidR="0031735C" w:rsidRPr="00335110" w:rsidRDefault="0031735C" w:rsidP="0031735C">
      <w:pPr>
        <w:spacing w:line="276" w:lineRule="auto"/>
        <w:jc w:val="both"/>
        <w:rPr>
          <w:rFonts w:ascii="Times New Roman" w:hAnsi="Times New Roman"/>
          <w:b/>
          <w:bCs/>
          <w:sz w:val="24"/>
          <w:szCs w:val="24"/>
        </w:rPr>
      </w:pPr>
      <w:r w:rsidRPr="00335110">
        <w:rPr>
          <w:rFonts w:ascii="Times New Roman" w:hAnsi="Times New Roman"/>
          <w:b/>
          <w:bCs/>
          <w:sz w:val="24"/>
          <w:szCs w:val="24"/>
        </w:rPr>
        <w:t>Conclusion</w:t>
      </w:r>
    </w:p>
    <w:p w14:paraId="6F4178EC" w14:textId="77777777" w:rsidR="0031735C" w:rsidRPr="00335110" w:rsidRDefault="0031735C" w:rsidP="0031735C">
      <w:pPr>
        <w:spacing w:line="276" w:lineRule="auto"/>
        <w:jc w:val="both"/>
        <w:rPr>
          <w:rFonts w:ascii="Times New Roman" w:hAnsi="Times New Roman"/>
          <w:sz w:val="24"/>
          <w:szCs w:val="24"/>
        </w:rPr>
      </w:pPr>
      <w:r w:rsidRPr="00335110">
        <w:rPr>
          <w:rFonts w:ascii="Times New Roman" w:hAnsi="Times New Roman"/>
          <w:sz w:val="24"/>
          <w:szCs w:val="24"/>
        </w:rPr>
        <w:t>The study demonstrates that the type of growing medium significantly influences seed germination, growth rate, and overall seedling vigor. Among the treatments tested, the combination of Vermicompost and Cocopeat proved to be the most effective, supporting very high germination percentage, very fast germination speed, and very strong root and shoot development, resulting in very high seedling vigor.</w:t>
      </w:r>
    </w:p>
    <w:p w14:paraId="3DC8D8F1" w14:textId="77777777" w:rsidR="0031735C" w:rsidRPr="00335110" w:rsidRDefault="0031735C" w:rsidP="0031735C">
      <w:pPr>
        <w:spacing w:line="276" w:lineRule="auto"/>
        <w:jc w:val="both"/>
        <w:rPr>
          <w:rFonts w:ascii="Times New Roman" w:hAnsi="Times New Roman"/>
          <w:sz w:val="24"/>
          <w:szCs w:val="24"/>
        </w:rPr>
      </w:pPr>
      <w:r w:rsidRPr="00335110">
        <w:rPr>
          <w:rFonts w:ascii="Times New Roman" w:hAnsi="Times New Roman"/>
          <w:sz w:val="24"/>
          <w:szCs w:val="24"/>
        </w:rPr>
        <w:t>While Vermicompost and Cocopeat individually showed moderate effectiveness, their combination produced a synergistic effect that enhanced overall performance. In contrast, Cow Dung supported strong growth but failed to promote efficient germination, and Sand Soil, though supporting high germination, lacked the capacity to sustain healthy seedling development.</w:t>
      </w:r>
    </w:p>
    <w:p w14:paraId="5D375BE8" w14:textId="77777777" w:rsidR="0031735C" w:rsidRPr="00335110" w:rsidRDefault="0031735C" w:rsidP="0031735C">
      <w:pPr>
        <w:spacing w:line="276" w:lineRule="auto"/>
        <w:jc w:val="both"/>
        <w:rPr>
          <w:rFonts w:ascii="Times New Roman" w:hAnsi="Times New Roman"/>
          <w:sz w:val="24"/>
          <w:szCs w:val="24"/>
        </w:rPr>
      </w:pPr>
      <w:r w:rsidRPr="00335110">
        <w:rPr>
          <w:rFonts w:ascii="Times New Roman" w:hAnsi="Times New Roman"/>
          <w:sz w:val="24"/>
          <w:szCs w:val="24"/>
        </w:rPr>
        <w:t>Therefore, the study concludes that using a composite medium of Vermicompost and Cocopeat offers the best results for seed germination and seedling growth, making it a superior choice for nursery and agricultural applications.</w:t>
      </w:r>
    </w:p>
    <w:p w14:paraId="428DB8E1" w14:textId="77777777" w:rsidR="006C6856" w:rsidRDefault="006C6856" w:rsidP="00441B6F">
      <w:pPr>
        <w:pStyle w:val="Head1"/>
        <w:spacing w:after="0"/>
        <w:jc w:val="both"/>
        <w:rPr>
          <w:rFonts w:ascii="Arial" w:hAnsi="Arial" w:cs="Arial"/>
        </w:rPr>
      </w:pPr>
    </w:p>
    <w:p w14:paraId="3B80B09C" w14:textId="77777777" w:rsidR="006C6856" w:rsidRPr="0031735C" w:rsidRDefault="006C6856" w:rsidP="00441B6F">
      <w:pPr>
        <w:pStyle w:val="Head1"/>
        <w:spacing w:after="0"/>
        <w:jc w:val="both"/>
        <w:rPr>
          <w:rFonts w:ascii="Arial" w:hAnsi="Arial" w:cs="Arial"/>
          <w:lang w:val="en-IN"/>
        </w:rPr>
      </w:pPr>
    </w:p>
    <w:p w14:paraId="74BD4D22" w14:textId="77777777" w:rsidR="00A03766" w:rsidRDefault="00A03766" w:rsidP="00D535B2">
      <w:pPr>
        <w:pStyle w:val="ReferHead"/>
        <w:spacing w:after="0"/>
        <w:jc w:val="both"/>
        <w:rPr>
          <w:rFonts w:ascii="Arial" w:hAnsi="Arial" w:cs="Arial"/>
          <w:b w:val="0"/>
          <w:caps w:val="0"/>
          <w:sz w:val="20"/>
          <w:u w:val="single"/>
        </w:rPr>
      </w:pPr>
    </w:p>
    <w:p w14:paraId="69A525A7" w14:textId="77777777" w:rsidR="00A03766" w:rsidRPr="00A03766" w:rsidRDefault="00A03766" w:rsidP="00A03766">
      <w:pPr>
        <w:pStyle w:val="ReferHead"/>
        <w:jc w:val="both"/>
        <w:rPr>
          <w:rFonts w:ascii="Arial" w:hAnsi="Arial" w:cs="Arial"/>
          <w:b w:val="0"/>
          <w:caps w:val="0"/>
          <w:sz w:val="20"/>
        </w:rPr>
      </w:pPr>
      <w:r w:rsidRPr="00A03766">
        <w:rPr>
          <w:rFonts w:ascii="Arial" w:hAnsi="Arial" w:cs="Arial"/>
          <w:b w:val="0"/>
          <w:caps w:val="0"/>
          <w:sz w:val="20"/>
        </w:rPr>
        <w:t>COMPETING INTERESTS DISCLAIMER:</w:t>
      </w:r>
    </w:p>
    <w:p w14:paraId="56CEB387" w14:textId="7FA2722C" w:rsidR="00A03766" w:rsidRDefault="00A03766" w:rsidP="00A03766">
      <w:pPr>
        <w:pStyle w:val="ReferHead"/>
        <w:spacing w:after="0"/>
        <w:jc w:val="both"/>
        <w:rPr>
          <w:rFonts w:ascii="Arial" w:hAnsi="Arial" w:cs="Arial"/>
          <w:b w:val="0"/>
          <w:caps w:val="0"/>
          <w:sz w:val="20"/>
        </w:rPr>
      </w:pPr>
      <w:r w:rsidRPr="00A03766">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32C1D6B" w14:textId="77777777" w:rsidR="00D535B2" w:rsidRDefault="00D535B2" w:rsidP="00441B6F">
      <w:pPr>
        <w:pStyle w:val="ReferHead"/>
        <w:spacing w:after="0"/>
        <w:jc w:val="both"/>
        <w:rPr>
          <w:rFonts w:ascii="Arial" w:hAnsi="Arial" w:cs="Arial"/>
        </w:rPr>
      </w:pPr>
    </w:p>
    <w:p w14:paraId="0292D0F2" w14:textId="5FE8059C" w:rsidR="00B01FCD" w:rsidRDefault="00B01FCD" w:rsidP="00441B6F">
      <w:pPr>
        <w:pStyle w:val="ReferHead"/>
        <w:spacing w:after="0"/>
        <w:jc w:val="both"/>
        <w:rPr>
          <w:rFonts w:ascii="Arial" w:hAnsi="Arial" w:cs="Arial"/>
        </w:rPr>
      </w:pPr>
      <w:r w:rsidRPr="00FB3A86">
        <w:rPr>
          <w:rFonts w:ascii="Arial" w:hAnsi="Arial" w:cs="Arial"/>
        </w:rPr>
        <w:t>References</w:t>
      </w:r>
    </w:p>
    <w:p w14:paraId="55667C13" w14:textId="77777777" w:rsidR="00790ADA" w:rsidRPr="00FB3A86" w:rsidRDefault="00790ADA" w:rsidP="00441B6F">
      <w:pPr>
        <w:pStyle w:val="ReferHead"/>
        <w:spacing w:after="0"/>
        <w:jc w:val="both"/>
        <w:rPr>
          <w:rFonts w:ascii="Arial" w:hAnsi="Arial" w:cs="Arial"/>
        </w:rPr>
      </w:pPr>
    </w:p>
    <w:p w14:paraId="5CEBF824" w14:textId="77777777" w:rsidR="00AD2774" w:rsidRPr="00AD2774" w:rsidRDefault="00AD2774" w:rsidP="00AD2774">
      <w:pPr>
        <w:pStyle w:val="Body"/>
        <w:numPr>
          <w:ilvl w:val="0"/>
          <w:numId w:val="36"/>
        </w:numPr>
        <w:spacing w:after="0"/>
        <w:rPr>
          <w:rFonts w:ascii="Arial" w:hAnsi="Arial" w:cs="Arial"/>
          <w:lang w:val="en-IN"/>
        </w:rPr>
      </w:pPr>
      <w:proofErr w:type="spellStart"/>
      <w:r w:rsidRPr="00AD2774">
        <w:rPr>
          <w:rFonts w:ascii="Arial" w:hAnsi="Arial" w:cs="Arial"/>
          <w:lang w:val="en-IN"/>
        </w:rPr>
        <w:t>Arancon</w:t>
      </w:r>
      <w:proofErr w:type="spellEnd"/>
      <w:r w:rsidRPr="00AD2774">
        <w:rPr>
          <w:rFonts w:ascii="Arial" w:hAnsi="Arial" w:cs="Arial"/>
          <w:lang w:val="en-IN"/>
        </w:rPr>
        <w:t xml:space="preserve">, N. Q., Edwards, C. A., Bierman, P., Welch, C., &amp; Metzger, J. D. (2004). Influences of </w:t>
      </w:r>
      <w:proofErr w:type="spellStart"/>
      <w:r w:rsidRPr="00AD2774">
        <w:rPr>
          <w:rFonts w:ascii="Arial" w:hAnsi="Arial" w:cs="Arial"/>
          <w:lang w:val="en-IN"/>
        </w:rPr>
        <w:t>vermicomposts</w:t>
      </w:r>
      <w:proofErr w:type="spellEnd"/>
      <w:r w:rsidRPr="00AD2774">
        <w:rPr>
          <w:rFonts w:ascii="Arial" w:hAnsi="Arial" w:cs="Arial"/>
          <w:lang w:val="en-IN"/>
        </w:rPr>
        <w:t xml:space="preserve"> on field strawberries: Part 1. Effects on growth and yield. </w:t>
      </w:r>
      <w:r w:rsidRPr="00AD2774">
        <w:rPr>
          <w:rFonts w:ascii="Arial" w:hAnsi="Arial" w:cs="Arial"/>
          <w:i/>
          <w:iCs/>
          <w:lang w:val="en-IN"/>
        </w:rPr>
        <w:t>Bioresource Technology</w:t>
      </w:r>
      <w:r w:rsidRPr="00AD2774">
        <w:rPr>
          <w:rFonts w:ascii="Arial" w:hAnsi="Arial" w:cs="Arial"/>
          <w:lang w:val="en-IN"/>
        </w:rPr>
        <w:t>, 93(2), 145–153. https://doi.org/10.1016/j.biortech.2003.10.014</w:t>
      </w:r>
    </w:p>
    <w:p w14:paraId="639B65FA"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Bansal, S., &amp; Kapoor, K. K. (2000). Vermicomposting of crop residues and cattle dung with Eisenia </w:t>
      </w:r>
      <w:proofErr w:type="spellStart"/>
      <w:r w:rsidRPr="00AD2774">
        <w:rPr>
          <w:rFonts w:ascii="Arial" w:hAnsi="Arial" w:cs="Arial"/>
          <w:lang w:val="en-IN"/>
        </w:rPr>
        <w:t>fetida</w:t>
      </w:r>
      <w:proofErr w:type="spellEnd"/>
      <w:r w:rsidRPr="00AD2774">
        <w:rPr>
          <w:rFonts w:ascii="Arial" w:hAnsi="Arial" w:cs="Arial"/>
          <w:lang w:val="en-IN"/>
        </w:rPr>
        <w:t xml:space="preserve">. </w:t>
      </w:r>
      <w:r w:rsidRPr="00AD2774">
        <w:rPr>
          <w:rFonts w:ascii="Arial" w:hAnsi="Arial" w:cs="Arial"/>
          <w:i/>
          <w:iCs/>
          <w:lang w:val="en-IN"/>
        </w:rPr>
        <w:t>Bioresource Technology</w:t>
      </w:r>
      <w:r w:rsidRPr="00AD2774">
        <w:rPr>
          <w:rFonts w:ascii="Arial" w:hAnsi="Arial" w:cs="Arial"/>
          <w:lang w:val="en-IN"/>
        </w:rPr>
        <w:t>, 73(2), 95–98. https://doi.org/10.1016/S0960-8524(99)00137-1</w:t>
      </w:r>
    </w:p>
    <w:p w14:paraId="5BA40D0C"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Bewley, J. D., Bradford, K., </w:t>
      </w:r>
      <w:proofErr w:type="spellStart"/>
      <w:r w:rsidRPr="00AD2774">
        <w:rPr>
          <w:rFonts w:ascii="Arial" w:hAnsi="Arial" w:cs="Arial"/>
          <w:lang w:val="en-IN"/>
        </w:rPr>
        <w:t>Hilhorst</w:t>
      </w:r>
      <w:proofErr w:type="spellEnd"/>
      <w:r w:rsidRPr="00AD2774">
        <w:rPr>
          <w:rFonts w:ascii="Arial" w:hAnsi="Arial" w:cs="Arial"/>
          <w:lang w:val="en-IN"/>
        </w:rPr>
        <w:t xml:space="preserve">, H., &amp; </w:t>
      </w:r>
      <w:proofErr w:type="spellStart"/>
      <w:r w:rsidRPr="00AD2774">
        <w:rPr>
          <w:rFonts w:ascii="Arial" w:hAnsi="Arial" w:cs="Arial"/>
          <w:lang w:val="en-IN"/>
        </w:rPr>
        <w:t>Nonogaki</w:t>
      </w:r>
      <w:proofErr w:type="spellEnd"/>
      <w:r w:rsidRPr="00AD2774">
        <w:rPr>
          <w:rFonts w:ascii="Arial" w:hAnsi="Arial" w:cs="Arial"/>
          <w:lang w:val="en-IN"/>
        </w:rPr>
        <w:t>, H. (2013). Seeds: Physiology of Development, Germination and Dormancy (3rd ed.). Springer.</w:t>
      </w:r>
    </w:p>
    <w:p w14:paraId="3F956E69"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Edwards, C. A., </w:t>
      </w:r>
      <w:proofErr w:type="spellStart"/>
      <w:r w:rsidRPr="00AD2774">
        <w:rPr>
          <w:rFonts w:ascii="Arial" w:hAnsi="Arial" w:cs="Arial"/>
          <w:lang w:val="en-IN"/>
        </w:rPr>
        <w:t>Arancon</w:t>
      </w:r>
      <w:proofErr w:type="spellEnd"/>
      <w:r w:rsidRPr="00AD2774">
        <w:rPr>
          <w:rFonts w:ascii="Arial" w:hAnsi="Arial" w:cs="Arial"/>
          <w:lang w:val="en-IN"/>
        </w:rPr>
        <w:t>, N. Q., &amp; Sherman, R. (2007). Vermiculture Technology: Earthworms, Organic Wastes, and Environmental Management. CRC Press.</w:t>
      </w:r>
    </w:p>
    <w:p w14:paraId="62B97EF2"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Joshi, R., Singh, J., &amp; </w:t>
      </w:r>
      <w:proofErr w:type="spellStart"/>
      <w:r w:rsidRPr="00AD2774">
        <w:rPr>
          <w:rFonts w:ascii="Arial" w:hAnsi="Arial" w:cs="Arial"/>
          <w:lang w:val="en-IN"/>
        </w:rPr>
        <w:t>Vig</w:t>
      </w:r>
      <w:proofErr w:type="spellEnd"/>
      <w:r w:rsidRPr="00AD2774">
        <w:rPr>
          <w:rFonts w:ascii="Arial" w:hAnsi="Arial" w:cs="Arial"/>
          <w:lang w:val="en-IN"/>
        </w:rPr>
        <w:t xml:space="preserve">, A. P. (2016). Vermicompost as an effective organic fertilizer and biocontrol agent: Effect on growth, yield and quality of plants. </w:t>
      </w:r>
      <w:r w:rsidRPr="00AD2774">
        <w:rPr>
          <w:rFonts w:ascii="Arial" w:hAnsi="Arial" w:cs="Arial"/>
          <w:i/>
          <w:iCs/>
          <w:lang w:val="en-IN"/>
        </w:rPr>
        <w:t>Reviews in Environmental Science and Bio/Technology</w:t>
      </w:r>
      <w:r w:rsidRPr="00AD2774">
        <w:rPr>
          <w:rFonts w:ascii="Arial" w:hAnsi="Arial" w:cs="Arial"/>
          <w:lang w:val="en-IN"/>
        </w:rPr>
        <w:t>, 15, 137–159. https://doi.org/10.1007/s11157-015-9390-3</w:t>
      </w:r>
    </w:p>
    <w:p w14:paraId="0147EABA"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lastRenderedPageBreak/>
        <w:t xml:space="preserve">Kavitha, P., &amp; Subramanian, P. (2007). Effect of Vermicompost on the growth and yield of sorghum. </w:t>
      </w:r>
      <w:r w:rsidRPr="00AD2774">
        <w:rPr>
          <w:rFonts w:ascii="Arial" w:hAnsi="Arial" w:cs="Arial"/>
          <w:i/>
          <w:iCs/>
          <w:lang w:val="en-IN"/>
        </w:rPr>
        <w:t xml:space="preserve">Journal of </w:t>
      </w:r>
      <w:proofErr w:type="spellStart"/>
      <w:r w:rsidRPr="00AD2774">
        <w:rPr>
          <w:rFonts w:ascii="Arial" w:hAnsi="Arial" w:cs="Arial"/>
          <w:i/>
          <w:iCs/>
          <w:lang w:val="en-IN"/>
        </w:rPr>
        <w:t>Ecobiology</w:t>
      </w:r>
      <w:proofErr w:type="spellEnd"/>
      <w:r w:rsidRPr="00AD2774">
        <w:rPr>
          <w:rFonts w:ascii="Arial" w:hAnsi="Arial" w:cs="Arial"/>
          <w:lang w:val="en-IN"/>
        </w:rPr>
        <w:t>, 21(4), 361–365.</w:t>
      </w:r>
    </w:p>
    <w:p w14:paraId="3F0488C2"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Kumar, S., Bhargava, R., &amp; Singh, D. (2015). Effect of organic and inorganic fertilizers on growth and yield of wheat. </w:t>
      </w:r>
      <w:r w:rsidRPr="00AD2774">
        <w:rPr>
          <w:rFonts w:ascii="Arial" w:hAnsi="Arial" w:cs="Arial"/>
          <w:i/>
          <w:iCs/>
          <w:lang w:val="en-IN"/>
        </w:rPr>
        <w:t>Annals of Agricultural Research</w:t>
      </w:r>
      <w:r w:rsidRPr="00AD2774">
        <w:rPr>
          <w:rFonts w:ascii="Arial" w:hAnsi="Arial" w:cs="Arial"/>
          <w:lang w:val="en-IN"/>
        </w:rPr>
        <w:t>, 36(3), 259–264.</w:t>
      </w:r>
    </w:p>
    <w:p w14:paraId="2BFF543E"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Lehmann, J., &amp; Joseph, S. (2009). Biochar for Environmental Management: Science and Technology. Earthscan Publications Ltd.</w:t>
      </w:r>
    </w:p>
    <w:p w14:paraId="7D4FA4B0" w14:textId="77777777" w:rsidR="00AD2774" w:rsidRPr="00AD2774" w:rsidRDefault="00AD2774" w:rsidP="00AD2774">
      <w:pPr>
        <w:pStyle w:val="Body"/>
        <w:numPr>
          <w:ilvl w:val="0"/>
          <w:numId w:val="36"/>
        </w:numPr>
        <w:spacing w:after="0"/>
        <w:rPr>
          <w:rFonts w:ascii="Arial" w:hAnsi="Arial" w:cs="Arial"/>
          <w:lang w:val="en-IN"/>
        </w:rPr>
      </w:pPr>
      <w:proofErr w:type="spellStart"/>
      <w:r w:rsidRPr="00AD2774">
        <w:rPr>
          <w:rFonts w:ascii="Arial" w:hAnsi="Arial" w:cs="Arial"/>
          <w:lang w:val="en-IN"/>
        </w:rPr>
        <w:t>Maheswarappa</w:t>
      </w:r>
      <w:proofErr w:type="spellEnd"/>
      <w:r w:rsidRPr="00AD2774">
        <w:rPr>
          <w:rFonts w:ascii="Arial" w:hAnsi="Arial" w:cs="Arial"/>
          <w:lang w:val="en-IN"/>
        </w:rPr>
        <w:t xml:space="preserve">, H. P., </w:t>
      </w:r>
      <w:proofErr w:type="spellStart"/>
      <w:r w:rsidRPr="00AD2774">
        <w:rPr>
          <w:rFonts w:ascii="Arial" w:hAnsi="Arial" w:cs="Arial"/>
          <w:lang w:val="en-IN"/>
        </w:rPr>
        <w:t>Nanjappa</w:t>
      </w:r>
      <w:proofErr w:type="spellEnd"/>
      <w:r w:rsidRPr="00AD2774">
        <w:rPr>
          <w:rFonts w:ascii="Arial" w:hAnsi="Arial" w:cs="Arial"/>
          <w:lang w:val="en-IN"/>
        </w:rPr>
        <w:t xml:space="preserve">, H. V., &amp; Hegde, M. R. (2002). Influence of organic manures on the yield of bajra and ragi under rainfed condition. </w:t>
      </w:r>
      <w:r w:rsidRPr="00AD2774">
        <w:rPr>
          <w:rFonts w:ascii="Arial" w:hAnsi="Arial" w:cs="Arial"/>
          <w:i/>
          <w:iCs/>
          <w:lang w:val="en-IN"/>
        </w:rPr>
        <w:t>Indian Journal of Agronomy</w:t>
      </w:r>
      <w:r w:rsidRPr="00AD2774">
        <w:rPr>
          <w:rFonts w:ascii="Arial" w:hAnsi="Arial" w:cs="Arial"/>
          <w:lang w:val="en-IN"/>
        </w:rPr>
        <w:t>, 47(2), 185–188.</w:t>
      </w:r>
    </w:p>
    <w:p w14:paraId="736DEFCB"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Mishra, A., &amp; Singh, R. (2012). Effect of vermicompost on growth parameters of wheat and jowar. </w:t>
      </w:r>
      <w:r w:rsidRPr="00AD2774">
        <w:rPr>
          <w:rFonts w:ascii="Arial" w:hAnsi="Arial" w:cs="Arial"/>
          <w:i/>
          <w:iCs/>
          <w:lang w:val="en-IN"/>
        </w:rPr>
        <w:t>Journal of Environmental Science</w:t>
      </w:r>
      <w:r w:rsidRPr="00AD2774">
        <w:rPr>
          <w:rFonts w:ascii="Arial" w:hAnsi="Arial" w:cs="Arial"/>
          <w:lang w:val="en-IN"/>
        </w:rPr>
        <w:t>, 28, 95–99.</w:t>
      </w:r>
    </w:p>
    <w:p w14:paraId="5B952253"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Rao, S. S., Singh, R., &amp; Shetty, S. V. (2014). Dryland Agriculture in India: Issues and Perspectives. </w:t>
      </w:r>
      <w:r w:rsidRPr="00AD2774">
        <w:rPr>
          <w:rFonts w:ascii="Arial" w:hAnsi="Arial" w:cs="Arial"/>
          <w:i/>
          <w:iCs/>
          <w:lang w:val="en-IN"/>
        </w:rPr>
        <w:t>Indian Journal of Agronomy</w:t>
      </w:r>
      <w:r w:rsidRPr="00AD2774">
        <w:rPr>
          <w:rFonts w:ascii="Arial" w:hAnsi="Arial" w:cs="Arial"/>
          <w:lang w:val="en-IN"/>
        </w:rPr>
        <w:t>, 59(3), 405–412.</w:t>
      </w:r>
    </w:p>
    <w:p w14:paraId="0352B36E"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Ramesh, P., Singh, M., &amp; Subba Rao, A. (2010). Organic farming: Its relevance in India. </w:t>
      </w:r>
      <w:r w:rsidRPr="00AD2774">
        <w:rPr>
          <w:rFonts w:ascii="Arial" w:hAnsi="Arial" w:cs="Arial"/>
          <w:i/>
          <w:iCs/>
          <w:lang w:val="en-IN"/>
        </w:rPr>
        <w:t>Current Science</w:t>
      </w:r>
      <w:r w:rsidRPr="00AD2774">
        <w:rPr>
          <w:rFonts w:ascii="Arial" w:hAnsi="Arial" w:cs="Arial"/>
          <w:lang w:val="en-IN"/>
        </w:rPr>
        <w:t>, 88(4), 561–568.</w:t>
      </w:r>
    </w:p>
    <w:p w14:paraId="16BA3E4F"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Sahu, P. K., &amp; Mittra, B. N. (2017). Effect of farmyard manure and cow dung on growth and productivity of cereals. </w:t>
      </w:r>
      <w:r w:rsidRPr="00AD2774">
        <w:rPr>
          <w:rFonts w:ascii="Arial" w:hAnsi="Arial" w:cs="Arial"/>
          <w:i/>
          <w:iCs/>
          <w:lang w:val="en-IN"/>
        </w:rPr>
        <w:t>International Journal of Agricultural Sciences</w:t>
      </w:r>
      <w:r w:rsidRPr="00AD2774">
        <w:rPr>
          <w:rFonts w:ascii="Arial" w:hAnsi="Arial" w:cs="Arial"/>
          <w:lang w:val="en-IN"/>
        </w:rPr>
        <w:t>, 9(2), 569–573.</w:t>
      </w:r>
    </w:p>
    <w:p w14:paraId="01F50AC9"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Sharma, D., &amp; Mehta, P. (2013). Comparative evaluation of media for seedling growth in bajra. </w:t>
      </w:r>
      <w:r w:rsidRPr="00AD2774">
        <w:rPr>
          <w:rFonts w:ascii="Arial" w:hAnsi="Arial" w:cs="Arial"/>
          <w:i/>
          <w:iCs/>
          <w:lang w:val="en-IN"/>
        </w:rPr>
        <w:t>Agricultural Science Digest</w:t>
      </w:r>
      <w:r w:rsidRPr="00AD2774">
        <w:rPr>
          <w:rFonts w:ascii="Arial" w:hAnsi="Arial" w:cs="Arial"/>
          <w:lang w:val="en-IN"/>
        </w:rPr>
        <w:t>, 33(4), 287–290.</w:t>
      </w:r>
    </w:p>
    <w:p w14:paraId="30AB8056"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Singh, R., &amp; Singh, A. (2016). Influence of different organic media on germination and seedling growth of bajra (Pennisetum glaucum). </w:t>
      </w:r>
      <w:r w:rsidRPr="00AD2774">
        <w:rPr>
          <w:rFonts w:ascii="Arial" w:hAnsi="Arial" w:cs="Arial"/>
          <w:i/>
          <w:iCs/>
          <w:lang w:val="en-IN"/>
        </w:rPr>
        <w:t>Journal of Eco-Friendly Agriculture</w:t>
      </w:r>
      <w:r w:rsidRPr="00AD2774">
        <w:rPr>
          <w:rFonts w:ascii="Arial" w:hAnsi="Arial" w:cs="Arial"/>
          <w:lang w:val="en-IN"/>
        </w:rPr>
        <w:t>, 11(2), 153–156.</w:t>
      </w:r>
    </w:p>
    <w:p w14:paraId="3E672961"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Singh, A., Yadav, P. K., &amp; Kumar, A. (2014). Comparative study of cocopeat and soil media on seed germination of cereals. </w:t>
      </w:r>
      <w:r w:rsidRPr="00AD2774">
        <w:rPr>
          <w:rFonts w:ascii="Arial" w:hAnsi="Arial" w:cs="Arial"/>
          <w:i/>
          <w:iCs/>
          <w:lang w:val="en-IN"/>
        </w:rPr>
        <w:t>Research Journal of Agricultural Sciences</w:t>
      </w:r>
      <w:r w:rsidRPr="00AD2774">
        <w:rPr>
          <w:rFonts w:ascii="Arial" w:hAnsi="Arial" w:cs="Arial"/>
          <w:lang w:val="en-IN"/>
        </w:rPr>
        <w:t>, 5(3), 521–524.</w:t>
      </w:r>
    </w:p>
    <w:p w14:paraId="16AB3952"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Thakur, A., Sharma, R., &amp; Kaur, S. (2015). Effect of seed priming and soil amendments on germination and growth of sorghum and pearl millet. </w:t>
      </w:r>
      <w:r w:rsidRPr="00AD2774">
        <w:rPr>
          <w:rFonts w:ascii="Arial" w:hAnsi="Arial" w:cs="Arial"/>
          <w:i/>
          <w:iCs/>
          <w:lang w:val="en-IN"/>
        </w:rPr>
        <w:t>Journal of Applied and Natural Science</w:t>
      </w:r>
      <w:r w:rsidRPr="00AD2774">
        <w:rPr>
          <w:rFonts w:ascii="Arial" w:hAnsi="Arial" w:cs="Arial"/>
          <w:lang w:val="en-IN"/>
        </w:rPr>
        <w:t>, 7(2), 829–834. https://doi.org/10.31018/jans.v7i2.723</w:t>
      </w:r>
    </w:p>
    <w:p w14:paraId="41C2B26A" w14:textId="77777777"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Yadav, M., Yadav, J. P., &amp; Singh, A. (2018). Cocopeat as an effective growing medium for horticultural crops: A review. </w:t>
      </w:r>
      <w:r w:rsidRPr="00AD2774">
        <w:rPr>
          <w:rFonts w:ascii="Arial" w:hAnsi="Arial" w:cs="Arial"/>
          <w:i/>
          <w:iCs/>
          <w:lang w:val="en-IN"/>
        </w:rPr>
        <w:t>Plant Archives</w:t>
      </w:r>
      <w:r w:rsidRPr="00AD2774">
        <w:rPr>
          <w:rFonts w:ascii="Arial" w:hAnsi="Arial" w:cs="Arial"/>
          <w:lang w:val="en-IN"/>
        </w:rPr>
        <w:t>, 18(2), 2151–2158.</w:t>
      </w:r>
    </w:p>
    <w:p w14:paraId="6DA02568" w14:textId="35893EAE" w:rsidR="00AD2774" w:rsidRDefault="00AD2774" w:rsidP="00AD2774">
      <w:pPr>
        <w:pStyle w:val="Body"/>
        <w:numPr>
          <w:ilvl w:val="0"/>
          <w:numId w:val="36"/>
        </w:numPr>
        <w:spacing w:after="0"/>
        <w:rPr>
          <w:rFonts w:ascii="Arial" w:hAnsi="Arial" w:cs="Arial"/>
          <w:lang w:val="en-IN"/>
        </w:rPr>
      </w:pPr>
      <w:proofErr w:type="spellStart"/>
      <w:r w:rsidRPr="00AD2774">
        <w:rPr>
          <w:rFonts w:ascii="Arial" w:hAnsi="Arial" w:cs="Arial"/>
          <w:lang w:val="en-IN"/>
        </w:rPr>
        <w:t>Arancon</w:t>
      </w:r>
      <w:proofErr w:type="spellEnd"/>
      <w:r w:rsidRPr="00AD2774">
        <w:rPr>
          <w:rFonts w:ascii="Arial" w:hAnsi="Arial" w:cs="Arial"/>
          <w:lang w:val="en-IN"/>
        </w:rPr>
        <w:t xml:space="preserve">, N. Q., Edwards, C. A., Bierman, P., Welch, C., &amp; Metzger, J. D. (2004). Influences of </w:t>
      </w:r>
      <w:proofErr w:type="spellStart"/>
      <w:r w:rsidRPr="00AD2774">
        <w:rPr>
          <w:rFonts w:ascii="Arial" w:hAnsi="Arial" w:cs="Arial"/>
          <w:lang w:val="en-IN"/>
        </w:rPr>
        <w:t>vermicomposts</w:t>
      </w:r>
      <w:proofErr w:type="spellEnd"/>
      <w:r w:rsidRPr="00AD2774">
        <w:rPr>
          <w:rFonts w:ascii="Arial" w:hAnsi="Arial" w:cs="Arial"/>
          <w:lang w:val="en-IN"/>
        </w:rPr>
        <w:t xml:space="preserve"> on field strawberries: Part 1. Effects on growth and yield. </w:t>
      </w:r>
      <w:r w:rsidRPr="00AD2774">
        <w:rPr>
          <w:rFonts w:ascii="Arial" w:hAnsi="Arial" w:cs="Arial"/>
          <w:i/>
          <w:iCs/>
          <w:lang w:val="en-IN"/>
        </w:rPr>
        <w:t>Bioresource Technology</w:t>
      </w:r>
      <w:r w:rsidRPr="00AD2774">
        <w:rPr>
          <w:rFonts w:ascii="Arial" w:hAnsi="Arial" w:cs="Arial"/>
          <w:lang w:val="en-IN"/>
        </w:rPr>
        <w:t xml:space="preserve">, 93(2), 145–153. </w:t>
      </w:r>
      <w:hyperlink r:id="rId19" w:history="1">
        <w:r w:rsidRPr="00AD2774">
          <w:rPr>
            <w:rStyle w:val="Hyperlink"/>
            <w:rFonts w:ascii="Arial" w:hAnsi="Arial" w:cs="Arial"/>
            <w:lang w:val="en-IN"/>
          </w:rPr>
          <w:t>https://doi.org/10.1016/j.biortech.2003.10.014</w:t>
        </w:r>
      </w:hyperlink>
    </w:p>
    <w:p w14:paraId="2BAB58E8" w14:textId="2FCD2F66" w:rsidR="00AD2774" w:rsidRPr="00AD2774" w:rsidRDefault="00AD2774" w:rsidP="00AD2774">
      <w:pPr>
        <w:pStyle w:val="Body"/>
        <w:spacing w:after="0"/>
        <w:ind w:left="720"/>
        <w:rPr>
          <w:rFonts w:ascii="Arial" w:hAnsi="Arial" w:cs="Arial"/>
          <w:lang w:val="en-IN"/>
        </w:rPr>
      </w:pPr>
      <w:r w:rsidRPr="00AD2774">
        <w:rPr>
          <w:rFonts w:ascii="Arial" w:hAnsi="Arial" w:cs="Arial"/>
          <w:lang w:val="en-IN"/>
        </w:rPr>
        <w:t>.</w:t>
      </w:r>
    </w:p>
    <w:p w14:paraId="413FFAEB" w14:textId="77777777" w:rsidR="00AD2774" w:rsidRDefault="00AD2774" w:rsidP="004A21ED">
      <w:pPr>
        <w:pStyle w:val="Body"/>
        <w:numPr>
          <w:ilvl w:val="0"/>
          <w:numId w:val="36"/>
        </w:numPr>
        <w:spacing w:after="0"/>
        <w:rPr>
          <w:rFonts w:ascii="Arial" w:hAnsi="Arial" w:cs="Arial"/>
          <w:lang w:val="en-IN"/>
        </w:rPr>
      </w:pPr>
      <w:r w:rsidRPr="00AD2774">
        <w:rPr>
          <w:rFonts w:ascii="Arial" w:hAnsi="Arial" w:cs="Arial"/>
          <w:lang w:val="en-IN"/>
        </w:rPr>
        <w:t xml:space="preserve">Kavitha, P., &amp; Subramanian, P. (2007). Effect of vermicompost on the growth and yield of sorghum. </w:t>
      </w:r>
      <w:r w:rsidRPr="00AD2774">
        <w:rPr>
          <w:rFonts w:ascii="Arial" w:hAnsi="Arial" w:cs="Arial"/>
          <w:i/>
          <w:iCs/>
          <w:lang w:val="en-IN"/>
        </w:rPr>
        <w:t xml:space="preserve">Journal of </w:t>
      </w:r>
      <w:proofErr w:type="spellStart"/>
      <w:r w:rsidRPr="00AD2774">
        <w:rPr>
          <w:rFonts w:ascii="Arial" w:hAnsi="Arial" w:cs="Arial"/>
          <w:i/>
          <w:iCs/>
          <w:lang w:val="en-IN"/>
        </w:rPr>
        <w:t>Ecobiology</w:t>
      </w:r>
      <w:proofErr w:type="spellEnd"/>
      <w:r w:rsidRPr="00AD2774">
        <w:rPr>
          <w:rFonts w:ascii="Arial" w:hAnsi="Arial" w:cs="Arial"/>
          <w:lang w:val="en-IN"/>
        </w:rPr>
        <w:t>, 21(4), 361–365.</w:t>
      </w:r>
    </w:p>
    <w:p w14:paraId="7C01CF92" w14:textId="265178C7" w:rsidR="00AD2774" w:rsidRPr="00AD2774" w:rsidRDefault="00AD2774" w:rsidP="004A21ED">
      <w:pPr>
        <w:pStyle w:val="Body"/>
        <w:numPr>
          <w:ilvl w:val="0"/>
          <w:numId w:val="36"/>
        </w:numPr>
        <w:spacing w:after="0"/>
        <w:rPr>
          <w:rFonts w:ascii="Arial" w:hAnsi="Arial" w:cs="Arial"/>
          <w:lang w:val="en-IN"/>
        </w:rPr>
      </w:pPr>
      <w:r w:rsidRPr="00AD2774">
        <w:rPr>
          <w:rFonts w:ascii="Arial" w:hAnsi="Arial" w:cs="Arial"/>
          <w:lang w:val="en-IN"/>
        </w:rPr>
        <w:t xml:space="preserve">Singh, A., Yadav, P. K., &amp; Kumar, A. (2014). Comparative study of cocopeat and soil media on seed germination of cereals. </w:t>
      </w:r>
      <w:r w:rsidRPr="00AD2774">
        <w:rPr>
          <w:rFonts w:ascii="Arial" w:hAnsi="Arial" w:cs="Arial"/>
          <w:i/>
          <w:iCs/>
          <w:lang w:val="en-IN"/>
        </w:rPr>
        <w:t>Research Journal of Agricultural Sciences</w:t>
      </w:r>
      <w:r w:rsidRPr="00AD2774">
        <w:rPr>
          <w:rFonts w:ascii="Arial" w:hAnsi="Arial" w:cs="Arial"/>
          <w:lang w:val="en-IN"/>
        </w:rPr>
        <w:t>, 5(3), 521–524.</w:t>
      </w:r>
      <w:r w:rsidRPr="00AD2774">
        <w:rPr>
          <w:rFonts w:ascii="Arial" w:hAnsi="Arial" w:cs="Arial"/>
          <w:lang w:val="en-IN"/>
        </w:rPr>
        <w:br/>
      </w:r>
    </w:p>
    <w:p w14:paraId="6C8518BC" w14:textId="025A7006"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Sahu, P. K., &amp; Mittra, B. N. (2017). Effect of farmyard manure and cow dung on growth and productivity of cereals. </w:t>
      </w:r>
      <w:r w:rsidRPr="00AD2774">
        <w:rPr>
          <w:rFonts w:ascii="Arial" w:hAnsi="Arial" w:cs="Arial"/>
          <w:i/>
          <w:iCs/>
          <w:lang w:val="en-IN"/>
        </w:rPr>
        <w:t>International Journal of Agricultural Sciences</w:t>
      </w:r>
      <w:r w:rsidRPr="00AD2774">
        <w:rPr>
          <w:rFonts w:ascii="Arial" w:hAnsi="Arial" w:cs="Arial"/>
          <w:lang w:val="en-IN"/>
        </w:rPr>
        <w:t>, 9(2), 569–573.</w:t>
      </w:r>
      <w:r w:rsidRPr="00AD2774">
        <w:rPr>
          <w:rFonts w:ascii="Arial" w:hAnsi="Arial" w:cs="Arial"/>
          <w:lang w:val="en-IN"/>
        </w:rPr>
        <w:br/>
      </w:r>
    </w:p>
    <w:p w14:paraId="4912D883" w14:textId="55FCE08A" w:rsidR="00AD2774" w:rsidRPr="00AD2774" w:rsidRDefault="00AD2774" w:rsidP="00AD2774">
      <w:pPr>
        <w:pStyle w:val="Body"/>
        <w:numPr>
          <w:ilvl w:val="0"/>
          <w:numId w:val="36"/>
        </w:numPr>
        <w:spacing w:after="0"/>
        <w:rPr>
          <w:rFonts w:ascii="Arial" w:hAnsi="Arial" w:cs="Arial"/>
          <w:lang w:val="en-IN"/>
        </w:rPr>
      </w:pPr>
      <w:proofErr w:type="spellStart"/>
      <w:r w:rsidRPr="00AD2774">
        <w:rPr>
          <w:rFonts w:ascii="Arial" w:hAnsi="Arial" w:cs="Arial"/>
          <w:lang w:val="en-IN"/>
        </w:rPr>
        <w:t>Maheswarappa</w:t>
      </w:r>
      <w:proofErr w:type="spellEnd"/>
      <w:r w:rsidRPr="00AD2774">
        <w:rPr>
          <w:rFonts w:ascii="Arial" w:hAnsi="Arial" w:cs="Arial"/>
          <w:lang w:val="en-IN"/>
        </w:rPr>
        <w:t xml:space="preserve">, H. P., </w:t>
      </w:r>
      <w:proofErr w:type="spellStart"/>
      <w:r w:rsidRPr="00AD2774">
        <w:rPr>
          <w:rFonts w:ascii="Arial" w:hAnsi="Arial" w:cs="Arial"/>
          <w:lang w:val="en-IN"/>
        </w:rPr>
        <w:t>Nanjappa</w:t>
      </w:r>
      <w:proofErr w:type="spellEnd"/>
      <w:r w:rsidRPr="00AD2774">
        <w:rPr>
          <w:rFonts w:ascii="Arial" w:hAnsi="Arial" w:cs="Arial"/>
          <w:lang w:val="en-IN"/>
        </w:rPr>
        <w:t xml:space="preserve">, H. V., &amp; Hegde, M. R. (2002). Influence of organic manures on the yield of bajra and ragi under rainfed condition. </w:t>
      </w:r>
      <w:r w:rsidRPr="00AD2774">
        <w:rPr>
          <w:rFonts w:ascii="Arial" w:hAnsi="Arial" w:cs="Arial"/>
          <w:i/>
          <w:iCs/>
          <w:lang w:val="en-IN"/>
        </w:rPr>
        <w:t>Indian Journal of Agronomy</w:t>
      </w:r>
      <w:r w:rsidRPr="00AD2774">
        <w:rPr>
          <w:rFonts w:ascii="Arial" w:hAnsi="Arial" w:cs="Arial"/>
          <w:lang w:val="en-IN"/>
        </w:rPr>
        <w:t>, 47(2), 185–188.</w:t>
      </w:r>
      <w:r w:rsidRPr="00AD2774">
        <w:rPr>
          <w:rFonts w:ascii="Arial" w:hAnsi="Arial" w:cs="Arial"/>
          <w:lang w:val="en-IN"/>
        </w:rPr>
        <w:br/>
      </w:r>
    </w:p>
    <w:p w14:paraId="7308E8F0" w14:textId="37CDFD19" w:rsidR="00AD2774" w:rsidRPr="00AD2774" w:rsidRDefault="00AD2774" w:rsidP="00AD2774">
      <w:pPr>
        <w:pStyle w:val="Body"/>
        <w:numPr>
          <w:ilvl w:val="0"/>
          <w:numId w:val="36"/>
        </w:numPr>
        <w:spacing w:after="0"/>
        <w:rPr>
          <w:rFonts w:ascii="Arial" w:hAnsi="Arial" w:cs="Arial"/>
          <w:lang w:val="en-IN"/>
        </w:rPr>
      </w:pPr>
      <w:r w:rsidRPr="00AD2774">
        <w:rPr>
          <w:rFonts w:ascii="Arial" w:hAnsi="Arial" w:cs="Arial"/>
          <w:lang w:val="en-IN"/>
        </w:rPr>
        <w:t xml:space="preserve">Joshi, R., Singh, J., &amp; </w:t>
      </w:r>
      <w:proofErr w:type="spellStart"/>
      <w:r w:rsidRPr="00AD2774">
        <w:rPr>
          <w:rFonts w:ascii="Arial" w:hAnsi="Arial" w:cs="Arial"/>
          <w:lang w:val="en-IN"/>
        </w:rPr>
        <w:t>Vig</w:t>
      </w:r>
      <w:proofErr w:type="spellEnd"/>
      <w:r w:rsidRPr="00AD2774">
        <w:rPr>
          <w:rFonts w:ascii="Arial" w:hAnsi="Arial" w:cs="Arial"/>
          <w:lang w:val="en-IN"/>
        </w:rPr>
        <w:t xml:space="preserve">, A. P. (2016). Vermicompost as an effective organic fertilizer and biocontrol agent: Effect on growth, yield and quality of plants. </w:t>
      </w:r>
      <w:r w:rsidRPr="00AD2774">
        <w:rPr>
          <w:rFonts w:ascii="Arial" w:hAnsi="Arial" w:cs="Arial"/>
          <w:i/>
          <w:iCs/>
          <w:lang w:val="en-IN"/>
        </w:rPr>
        <w:t>Reviews in Environmental Science and Bio/Technology</w:t>
      </w:r>
      <w:r w:rsidRPr="00AD2774">
        <w:rPr>
          <w:rFonts w:ascii="Arial" w:hAnsi="Arial" w:cs="Arial"/>
          <w:lang w:val="en-IN"/>
        </w:rPr>
        <w:t xml:space="preserve">, 15, 137–159. </w:t>
      </w:r>
      <w:r w:rsidRPr="00AD2774">
        <w:rPr>
          <w:rFonts w:ascii="Arial" w:hAnsi="Arial" w:cs="Arial"/>
          <w:lang w:val="en-IN"/>
        </w:rPr>
        <w:lastRenderedPageBreak/>
        <w:t>https://doi.org/10.1007/s11157-015-9390-3</w:t>
      </w:r>
      <w:r w:rsidRPr="00AD2774">
        <w:rPr>
          <w:rFonts w:ascii="Arial" w:hAnsi="Arial" w:cs="Arial"/>
          <w:lang w:val="en-IN"/>
        </w:rPr>
        <w:br/>
      </w:r>
    </w:p>
    <w:sectPr w:rsidR="00AD2774" w:rsidRPr="00AD2774" w:rsidSect="0074561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14045" w14:textId="77777777" w:rsidR="007761B7" w:rsidRDefault="007761B7" w:rsidP="00C37E61">
      <w:r>
        <w:separator/>
      </w:r>
    </w:p>
  </w:endnote>
  <w:endnote w:type="continuationSeparator" w:id="0">
    <w:p w14:paraId="4F903682" w14:textId="77777777" w:rsidR="007761B7" w:rsidRDefault="007761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2C42" w14:textId="77777777" w:rsidR="00745613" w:rsidRDefault="00745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C78D7" w14:textId="77777777" w:rsidR="00745613" w:rsidRDefault="00745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152E" w14:textId="1B0BC446" w:rsidR="00754C9A" w:rsidRPr="005C0021" w:rsidRDefault="00754C9A" w:rsidP="005C0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9E8D1" w14:textId="77777777" w:rsidR="007761B7" w:rsidRDefault="007761B7" w:rsidP="00C37E61">
      <w:r>
        <w:separator/>
      </w:r>
    </w:p>
  </w:footnote>
  <w:footnote w:type="continuationSeparator" w:id="0">
    <w:p w14:paraId="0BF4DCC1" w14:textId="77777777" w:rsidR="007761B7" w:rsidRDefault="007761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0BE4" w14:textId="141C63A4" w:rsidR="00745613" w:rsidRDefault="00745613">
    <w:pPr>
      <w:pStyle w:val="Header"/>
    </w:pPr>
    <w:r>
      <w:rPr>
        <w:noProof/>
      </w:rPr>
      <w:pict w14:anchorId="68796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021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C09C" w14:textId="7A0F05AC" w:rsidR="00745613" w:rsidRDefault="00745613">
    <w:pPr>
      <w:pStyle w:val="Header"/>
    </w:pPr>
    <w:r>
      <w:rPr>
        <w:noProof/>
      </w:rPr>
      <w:pict w14:anchorId="57A1E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022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0BFC" w14:textId="41104B2D" w:rsidR="00296529" w:rsidRPr="00296529" w:rsidRDefault="00745613" w:rsidP="00296529">
    <w:pPr>
      <w:ind w:left="2160"/>
      <w:jc w:val="center"/>
      <w:rPr>
        <w:rFonts w:ascii="Times New Roman" w:eastAsia="Calibri" w:hAnsi="Times New Roman"/>
        <w:i/>
        <w:sz w:val="18"/>
        <w:szCs w:val="22"/>
      </w:rPr>
    </w:pPr>
    <w:r>
      <w:rPr>
        <w:noProof/>
      </w:rPr>
      <w:pict w14:anchorId="54A7B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021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7E8B78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D4E4D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5B2A0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680AF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1785C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77CC8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E97326"/>
    <w:multiLevelType w:val="multilevel"/>
    <w:tmpl w:val="797C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857C21"/>
    <w:multiLevelType w:val="hybridMultilevel"/>
    <w:tmpl w:val="82126F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75F5591"/>
    <w:multiLevelType w:val="multilevel"/>
    <w:tmpl w:val="DFEE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E312E"/>
    <w:multiLevelType w:val="multilevel"/>
    <w:tmpl w:val="D952A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0AC7C79"/>
    <w:multiLevelType w:val="multilevel"/>
    <w:tmpl w:val="193E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4735C1"/>
    <w:multiLevelType w:val="multilevel"/>
    <w:tmpl w:val="D9343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8160C2"/>
    <w:multiLevelType w:val="multilevel"/>
    <w:tmpl w:val="5E54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05B2E"/>
    <w:multiLevelType w:val="multilevel"/>
    <w:tmpl w:val="6DF8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905931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18261878">
    <w:abstractNumId w:val="18"/>
  </w:num>
  <w:num w:numId="3" w16cid:durableId="2063552496">
    <w:abstractNumId w:val="30"/>
  </w:num>
  <w:num w:numId="4" w16cid:durableId="154575268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98318247">
    <w:abstractNumId w:val="8"/>
  </w:num>
  <w:num w:numId="6" w16cid:durableId="392698743">
    <w:abstractNumId w:val="6"/>
  </w:num>
  <w:num w:numId="7" w16cid:durableId="1127357532">
    <w:abstractNumId w:val="1"/>
  </w:num>
  <w:num w:numId="8" w16cid:durableId="718896597">
    <w:abstractNumId w:val="13"/>
  </w:num>
  <w:num w:numId="9" w16cid:durableId="704450474">
    <w:abstractNumId w:val="32"/>
  </w:num>
  <w:num w:numId="10" w16cid:durableId="654533829">
    <w:abstractNumId w:val="2"/>
  </w:num>
  <w:num w:numId="11" w16cid:durableId="837384806">
    <w:abstractNumId w:val="25"/>
  </w:num>
  <w:num w:numId="12" w16cid:durableId="2023358577">
    <w:abstractNumId w:val="3"/>
  </w:num>
  <w:num w:numId="13" w16cid:durableId="965964887">
    <w:abstractNumId w:val="21"/>
  </w:num>
  <w:num w:numId="14" w16cid:durableId="1482499531">
    <w:abstractNumId w:val="9"/>
  </w:num>
  <w:num w:numId="15" w16cid:durableId="647245824">
    <w:abstractNumId w:val="28"/>
  </w:num>
  <w:num w:numId="16" w16cid:durableId="909579743">
    <w:abstractNumId w:val="5"/>
  </w:num>
  <w:num w:numId="17" w16cid:durableId="1441489654">
    <w:abstractNumId w:val="29"/>
  </w:num>
  <w:num w:numId="18" w16cid:durableId="23292817">
    <w:abstractNumId w:val="16"/>
  </w:num>
  <w:num w:numId="19" w16cid:durableId="623271423">
    <w:abstractNumId w:val="36"/>
  </w:num>
  <w:num w:numId="20" w16cid:durableId="1029380681">
    <w:abstractNumId w:val="12"/>
  </w:num>
  <w:num w:numId="21" w16cid:durableId="1438594413">
    <w:abstractNumId w:val="10"/>
  </w:num>
  <w:num w:numId="22" w16cid:durableId="1116366306">
    <w:abstractNumId w:val="15"/>
  </w:num>
  <w:num w:numId="23" w16cid:durableId="1595629184">
    <w:abstractNumId w:val="26"/>
  </w:num>
  <w:num w:numId="24" w16cid:durableId="1283656914">
    <w:abstractNumId w:val="34"/>
  </w:num>
  <w:num w:numId="25" w16cid:durableId="1008020284">
    <w:abstractNumId w:val="4"/>
  </w:num>
  <w:num w:numId="26" w16cid:durableId="1303315516">
    <w:abstractNumId w:val="19"/>
  </w:num>
  <w:num w:numId="27" w16cid:durableId="1984315060">
    <w:abstractNumId w:val="27"/>
  </w:num>
  <w:num w:numId="28" w16cid:durableId="675958568">
    <w:abstractNumId w:val="35"/>
  </w:num>
  <w:num w:numId="29" w16cid:durableId="1011834695">
    <w:abstractNumId w:val="31"/>
  </w:num>
  <w:num w:numId="30" w16cid:durableId="121003417">
    <w:abstractNumId w:val="11"/>
  </w:num>
  <w:num w:numId="31" w16cid:durableId="1449665099">
    <w:abstractNumId w:val="17"/>
  </w:num>
  <w:num w:numId="32" w16cid:durableId="1588733112">
    <w:abstractNumId w:val="24"/>
  </w:num>
  <w:num w:numId="33" w16cid:durableId="1255868070">
    <w:abstractNumId w:val="14"/>
  </w:num>
  <w:num w:numId="34" w16cid:durableId="1220282391">
    <w:abstractNumId w:val="33"/>
  </w:num>
  <w:num w:numId="35" w16cid:durableId="1526863822">
    <w:abstractNumId w:val="7"/>
  </w:num>
  <w:num w:numId="36" w16cid:durableId="270623354">
    <w:abstractNumId w:val="23"/>
  </w:num>
  <w:num w:numId="37" w16cid:durableId="1416437220">
    <w:abstractNumId w:val="20"/>
  </w:num>
  <w:num w:numId="38" w16cid:durableId="16032230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0342"/>
    <w:rsid w:val="001A29D8"/>
    <w:rsid w:val="001A5CAA"/>
    <w:rsid w:val="001B0427"/>
    <w:rsid w:val="001B5814"/>
    <w:rsid w:val="001C5D48"/>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1735C"/>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002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974B8"/>
    <w:rsid w:val="006A250C"/>
    <w:rsid w:val="006B21D3"/>
    <w:rsid w:val="006B57D0"/>
    <w:rsid w:val="006C6856"/>
    <w:rsid w:val="006D30FF"/>
    <w:rsid w:val="006D6940"/>
    <w:rsid w:val="006F11EC"/>
    <w:rsid w:val="0070082C"/>
    <w:rsid w:val="00713722"/>
    <w:rsid w:val="007369E6"/>
    <w:rsid w:val="00745613"/>
    <w:rsid w:val="00746E59"/>
    <w:rsid w:val="00754C9A"/>
    <w:rsid w:val="0075599A"/>
    <w:rsid w:val="00761D52"/>
    <w:rsid w:val="007761B7"/>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29E6"/>
    <w:rsid w:val="00A03766"/>
    <w:rsid w:val="00A03B96"/>
    <w:rsid w:val="00A05B19"/>
    <w:rsid w:val="00A1134E"/>
    <w:rsid w:val="00A24E7E"/>
    <w:rsid w:val="00A258C3"/>
    <w:rsid w:val="00A347C0"/>
    <w:rsid w:val="00A51431"/>
    <w:rsid w:val="00A539AD"/>
    <w:rsid w:val="00A91490"/>
    <w:rsid w:val="00A94063"/>
    <w:rsid w:val="00AA6219"/>
    <w:rsid w:val="00AA74E0"/>
    <w:rsid w:val="00AB703F"/>
    <w:rsid w:val="00AC6BB8"/>
    <w:rsid w:val="00AD2774"/>
    <w:rsid w:val="00AE008F"/>
    <w:rsid w:val="00B01FCD"/>
    <w:rsid w:val="00B1776C"/>
    <w:rsid w:val="00B33A09"/>
    <w:rsid w:val="00B52583"/>
    <w:rsid w:val="00B52896"/>
    <w:rsid w:val="00B63F28"/>
    <w:rsid w:val="00B95236"/>
    <w:rsid w:val="00B96BD9"/>
    <w:rsid w:val="00BA1B01"/>
    <w:rsid w:val="00BA2641"/>
    <w:rsid w:val="00BB37AA"/>
    <w:rsid w:val="00BC53A0"/>
    <w:rsid w:val="00BE62AD"/>
    <w:rsid w:val="00BF121F"/>
    <w:rsid w:val="00BF1F80"/>
    <w:rsid w:val="00C166EF"/>
    <w:rsid w:val="00C17EB0"/>
    <w:rsid w:val="00C215E3"/>
    <w:rsid w:val="00C27F5F"/>
    <w:rsid w:val="00C30A0F"/>
    <w:rsid w:val="00C37E61"/>
    <w:rsid w:val="00C70F1B"/>
    <w:rsid w:val="00C71A47"/>
    <w:rsid w:val="00C7464C"/>
    <w:rsid w:val="00C85588"/>
    <w:rsid w:val="00CA0E50"/>
    <w:rsid w:val="00CD6755"/>
    <w:rsid w:val="00CD6856"/>
    <w:rsid w:val="00CE0089"/>
    <w:rsid w:val="00CE793C"/>
    <w:rsid w:val="00CF193C"/>
    <w:rsid w:val="00D173F1"/>
    <w:rsid w:val="00D535B2"/>
    <w:rsid w:val="00D74CB0"/>
    <w:rsid w:val="00D8295D"/>
    <w:rsid w:val="00DC2A65"/>
    <w:rsid w:val="00DE15F0"/>
    <w:rsid w:val="00DE5663"/>
    <w:rsid w:val="00DE78AA"/>
    <w:rsid w:val="00E02A98"/>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5E6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66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35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D27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semiHidden/>
    <w:unhideWhenUsed/>
    <w:qFormat/>
    <w:rsid w:val="00AD277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D277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1"/>
    <w:qFormat/>
    <w:rsid w:val="00A91490"/>
    <w:pPr>
      <w:spacing w:after="160" w:line="259" w:lineRule="auto"/>
      <w:ind w:left="720"/>
      <w:contextualSpacing/>
    </w:pPr>
    <w:rPr>
      <w:rFonts w:asciiTheme="minorHAnsi" w:eastAsiaTheme="minorHAnsi" w:hAnsiTheme="minorHAnsi" w:cstheme="minorBidi"/>
      <w:kern w:val="2"/>
      <w:sz w:val="22"/>
      <w:lang w:val="en-IN" w:bidi="hi-IN"/>
    </w:rPr>
  </w:style>
  <w:style w:type="table" w:styleId="GridTable6Colorful">
    <w:name w:val="Grid Table 6 Colorful"/>
    <w:basedOn w:val="TableNormal"/>
    <w:uiPriority w:val="51"/>
    <w:rsid w:val="00A91490"/>
    <w:rPr>
      <w:rFonts w:asciiTheme="minorHAnsi" w:eastAsiaTheme="minorHAnsi" w:hAnsiTheme="minorHAnsi" w:cstheme="minorBidi"/>
      <w:color w:val="000000" w:themeColor="text1"/>
      <w:kern w:val="2"/>
      <w:sz w:val="22"/>
      <w:lang w:val="en-IN" w:bidi="hi-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1735C"/>
    <w:rPr>
      <w:rFonts w:asciiTheme="minorHAnsi" w:eastAsiaTheme="minorHAnsi" w:hAnsiTheme="minorHAnsi" w:cstheme="minorBidi"/>
      <w:color w:val="365F91" w:themeColor="accent1" w:themeShade="BF"/>
      <w:kern w:val="2"/>
      <w:sz w:val="22"/>
      <w:lang w:val="en-IN" w:bidi="hi-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semiHidden/>
    <w:rsid w:val="00AD27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semiHidden/>
    <w:rsid w:val="00AD27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AD277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721084">
      <w:bodyDiv w:val="1"/>
      <w:marLeft w:val="0"/>
      <w:marRight w:val="0"/>
      <w:marTop w:val="0"/>
      <w:marBottom w:val="0"/>
      <w:divBdr>
        <w:top w:val="none" w:sz="0" w:space="0" w:color="auto"/>
        <w:left w:val="none" w:sz="0" w:space="0" w:color="auto"/>
        <w:bottom w:val="none" w:sz="0" w:space="0" w:color="auto"/>
        <w:right w:val="none" w:sz="0" w:space="0" w:color="auto"/>
      </w:divBdr>
      <w:divsChild>
        <w:div w:id="1778523602">
          <w:marLeft w:val="0"/>
          <w:marRight w:val="0"/>
          <w:marTop w:val="0"/>
          <w:marBottom w:val="0"/>
          <w:divBdr>
            <w:top w:val="none" w:sz="0" w:space="0" w:color="auto"/>
            <w:left w:val="none" w:sz="0" w:space="0" w:color="auto"/>
            <w:bottom w:val="none" w:sz="0" w:space="0" w:color="auto"/>
            <w:right w:val="none" w:sz="0" w:space="0" w:color="auto"/>
          </w:divBdr>
          <w:divsChild>
            <w:div w:id="2141413172">
              <w:marLeft w:val="0"/>
              <w:marRight w:val="0"/>
              <w:marTop w:val="0"/>
              <w:marBottom w:val="0"/>
              <w:divBdr>
                <w:top w:val="none" w:sz="0" w:space="0" w:color="auto"/>
                <w:left w:val="none" w:sz="0" w:space="0" w:color="auto"/>
                <w:bottom w:val="none" w:sz="0" w:space="0" w:color="auto"/>
                <w:right w:val="none" w:sz="0" w:space="0" w:color="auto"/>
              </w:divBdr>
              <w:divsChild>
                <w:div w:id="65347499">
                  <w:marLeft w:val="0"/>
                  <w:marRight w:val="0"/>
                  <w:marTop w:val="0"/>
                  <w:marBottom w:val="0"/>
                  <w:divBdr>
                    <w:top w:val="none" w:sz="0" w:space="0" w:color="auto"/>
                    <w:left w:val="none" w:sz="0" w:space="0" w:color="auto"/>
                    <w:bottom w:val="none" w:sz="0" w:space="0" w:color="auto"/>
                    <w:right w:val="none" w:sz="0" w:space="0" w:color="auto"/>
                  </w:divBdr>
                  <w:divsChild>
                    <w:div w:id="565845357">
                      <w:marLeft w:val="0"/>
                      <w:marRight w:val="0"/>
                      <w:marTop w:val="0"/>
                      <w:marBottom w:val="0"/>
                      <w:divBdr>
                        <w:top w:val="none" w:sz="0" w:space="0" w:color="auto"/>
                        <w:left w:val="none" w:sz="0" w:space="0" w:color="auto"/>
                        <w:bottom w:val="none" w:sz="0" w:space="0" w:color="auto"/>
                        <w:right w:val="none" w:sz="0" w:space="0" w:color="auto"/>
                      </w:divBdr>
                      <w:divsChild>
                        <w:div w:id="335962733">
                          <w:marLeft w:val="0"/>
                          <w:marRight w:val="0"/>
                          <w:marTop w:val="0"/>
                          <w:marBottom w:val="0"/>
                          <w:divBdr>
                            <w:top w:val="none" w:sz="0" w:space="0" w:color="auto"/>
                            <w:left w:val="none" w:sz="0" w:space="0" w:color="auto"/>
                            <w:bottom w:val="none" w:sz="0" w:space="0" w:color="auto"/>
                            <w:right w:val="none" w:sz="0" w:space="0" w:color="auto"/>
                          </w:divBdr>
                          <w:divsChild>
                            <w:div w:id="1083143887">
                              <w:marLeft w:val="0"/>
                              <w:marRight w:val="0"/>
                              <w:marTop w:val="0"/>
                              <w:marBottom w:val="0"/>
                              <w:divBdr>
                                <w:top w:val="none" w:sz="0" w:space="0" w:color="auto"/>
                                <w:left w:val="none" w:sz="0" w:space="0" w:color="auto"/>
                                <w:bottom w:val="none" w:sz="0" w:space="0" w:color="auto"/>
                                <w:right w:val="none" w:sz="0" w:space="0" w:color="auto"/>
                              </w:divBdr>
                              <w:divsChild>
                                <w:div w:id="1192185099">
                                  <w:marLeft w:val="0"/>
                                  <w:marRight w:val="0"/>
                                  <w:marTop w:val="0"/>
                                  <w:marBottom w:val="0"/>
                                  <w:divBdr>
                                    <w:top w:val="none" w:sz="0" w:space="0" w:color="auto"/>
                                    <w:left w:val="none" w:sz="0" w:space="0" w:color="auto"/>
                                    <w:bottom w:val="none" w:sz="0" w:space="0" w:color="auto"/>
                                    <w:right w:val="none" w:sz="0" w:space="0" w:color="auto"/>
                                  </w:divBdr>
                                  <w:divsChild>
                                    <w:div w:id="14976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7876">
                      <w:marLeft w:val="0"/>
                      <w:marRight w:val="0"/>
                      <w:marTop w:val="0"/>
                      <w:marBottom w:val="0"/>
                      <w:divBdr>
                        <w:top w:val="none" w:sz="0" w:space="0" w:color="auto"/>
                        <w:left w:val="none" w:sz="0" w:space="0" w:color="auto"/>
                        <w:bottom w:val="none" w:sz="0" w:space="0" w:color="auto"/>
                        <w:right w:val="none" w:sz="0" w:space="0" w:color="auto"/>
                      </w:divBdr>
                      <w:divsChild>
                        <w:div w:id="19486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670072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3062052">
      <w:bodyDiv w:val="1"/>
      <w:marLeft w:val="0"/>
      <w:marRight w:val="0"/>
      <w:marTop w:val="0"/>
      <w:marBottom w:val="0"/>
      <w:divBdr>
        <w:top w:val="none" w:sz="0" w:space="0" w:color="auto"/>
        <w:left w:val="none" w:sz="0" w:space="0" w:color="auto"/>
        <w:bottom w:val="none" w:sz="0" w:space="0" w:color="auto"/>
        <w:right w:val="none" w:sz="0" w:space="0" w:color="auto"/>
      </w:divBdr>
      <w:divsChild>
        <w:div w:id="1592465527">
          <w:marLeft w:val="0"/>
          <w:marRight w:val="0"/>
          <w:marTop w:val="0"/>
          <w:marBottom w:val="0"/>
          <w:divBdr>
            <w:top w:val="none" w:sz="0" w:space="0" w:color="auto"/>
            <w:left w:val="none" w:sz="0" w:space="0" w:color="auto"/>
            <w:bottom w:val="none" w:sz="0" w:space="0" w:color="auto"/>
            <w:right w:val="none" w:sz="0" w:space="0" w:color="auto"/>
          </w:divBdr>
          <w:divsChild>
            <w:div w:id="917712284">
              <w:marLeft w:val="0"/>
              <w:marRight w:val="0"/>
              <w:marTop w:val="0"/>
              <w:marBottom w:val="0"/>
              <w:divBdr>
                <w:top w:val="none" w:sz="0" w:space="0" w:color="auto"/>
                <w:left w:val="none" w:sz="0" w:space="0" w:color="auto"/>
                <w:bottom w:val="none" w:sz="0" w:space="0" w:color="auto"/>
                <w:right w:val="none" w:sz="0" w:space="0" w:color="auto"/>
              </w:divBdr>
              <w:divsChild>
                <w:div w:id="1191337638">
                  <w:marLeft w:val="0"/>
                  <w:marRight w:val="0"/>
                  <w:marTop w:val="0"/>
                  <w:marBottom w:val="0"/>
                  <w:divBdr>
                    <w:top w:val="none" w:sz="0" w:space="0" w:color="auto"/>
                    <w:left w:val="none" w:sz="0" w:space="0" w:color="auto"/>
                    <w:bottom w:val="none" w:sz="0" w:space="0" w:color="auto"/>
                    <w:right w:val="none" w:sz="0" w:space="0" w:color="auto"/>
                  </w:divBdr>
                  <w:divsChild>
                    <w:div w:id="1363482101">
                      <w:marLeft w:val="0"/>
                      <w:marRight w:val="0"/>
                      <w:marTop w:val="0"/>
                      <w:marBottom w:val="0"/>
                      <w:divBdr>
                        <w:top w:val="none" w:sz="0" w:space="0" w:color="auto"/>
                        <w:left w:val="none" w:sz="0" w:space="0" w:color="auto"/>
                        <w:bottom w:val="none" w:sz="0" w:space="0" w:color="auto"/>
                        <w:right w:val="none" w:sz="0" w:space="0" w:color="auto"/>
                      </w:divBdr>
                      <w:divsChild>
                        <w:div w:id="84156183">
                          <w:marLeft w:val="0"/>
                          <w:marRight w:val="0"/>
                          <w:marTop w:val="0"/>
                          <w:marBottom w:val="0"/>
                          <w:divBdr>
                            <w:top w:val="none" w:sz="0" w:space="0" w:color="auto"/>
                            <w:left w:val="none" w:sz="0" w:space="0" w:color="auto"/>
                            <w:bottom w:val="none" w:sz="0" w:space="0" w:color="auto"/>
                            <w:right w:val="none" w:sz="0" w:space="0" w:color="auto"/>
                          </w:divBdr>
                          <w:divsChild>
                            <w:div w:id="1643001463">
                              <w:marLeft w:val="0"/>
                              <w:marRight w:val="0"/>
                              <w:marTop w:val="0"/>
                              <w:marBottom w:val="0"/>
                              <w:divBdr>
                                <w:top w:val="none" w:sz="0" w:space="0" w:color="auto"/>
                                <w:left w:val="none" w:sz="0" w:space="0" w:color="auto"/>
                                <w:bottom w:val="none" w:sz="0" w:space="0" w:color="auto"/>
                                <w:right w:val="none" w:sz="0" w:space="0" w:color="auto"/>
                              </w:divBdr>
                              <w:divsChild>
                                <w:div w:id="1777940136">
                                  <w:marLeft w:val="0"/>
                                  <w:marRight w:val="0"/>
                                  <w:marTop w:val="0"/>
                                  <w:marBottom w:val="0"/>
                                  <w:divBdr>
                                    <w:top w:val="none" w:sz="0" w:space="0" w:color="auto"/>
                                    <w:left w:val="none" w:sz="0" w:space="0" w:color="auto"/>
                                    <w:bottom w:val="none" w:sz="0" w:space="0" w:color="auto"/>
                                    <w:right w:val="none" w:sz="0" w:space="0" w:color="auto"/>
                                  </w:divBdr>
                                  <w:divsChild>
                                    <w:div w:id="18236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4579">
                      <w:marLeft w:val="0"/>
                      <w:marRight w:val="0"/>
                      <w:marTop w:val="0"/>
                      <w:marBottom w:val="0"/>
                      <w:divBdr>
                        <w:top w:val="none" w:sz="0" w:space="0" w:color="auto"/>
                        <w:left w:val="none" w:sz="0" w:space="0" w:color="auto"/>
                        <w:bottom w:val="none" w:sz="0" w:space="0" w:color="auto"/>
                        <w:right w:val="none" w:sz="0" w:space="0" w:color="auto"/>
                      </w:divBdr>
                      <w:divsChild>
                        <w:div w:id="18984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0218">
      <w:bodyDiv w:val="1"/>
      <w:marLeft w:val="0"/>
      <w:marRight w:val="0"/>
      <w:marTop w:val="0"/>
      <w:marBottom w:val="0"/>
      <w:divBdr>
        <w:top w:val="none" w:sz="0" w:space="0" w:color="auto"/>
        <w:left w:val="none" w:sz="0" w:space="0" w:color="auto"/>
        <w:bottom w:val="none" w:sz="0" w:space="0" w:color="auto"/>
        <w:right w:val="none" w:sz="0" w:space="0" w:color="auto"/>
      </w:divBdr>
    </w:div>
    <w:div w:id="923881854">
      <w:bodyDiv w:val="1"/>
      <w:marLeft w:val="0"/>
      <w:marRight w:val="0"/>
      <w:marTop w:val="0"/>
      <w:marBottom w:val="0"/>
      <w:divBdr>
        <w:top w:val="none" w:sz="0" w:space="0" w:color="auto"/>
        <w:left w:val="none" w:sz="0" w:space="0" w:color="auto"/>
        <w:bottom w:val="none" w:sz="0" w:space="0" w:color="auto"/>
        <w:right w:val="none" w:sz="0" w:space="0" w:color="auto"/>
      </w:divBdr>
      <w:divsChild>
        <w:div w:id="2027441863">
          <w:marLeft w:val="0"/>
          <w:marRight w:val="0"/>
          <w:marTop w:val="0"/>
          <w:marBottom w:val="0"/>
          <w:divBdr>
            <w:top w:val="none" w:sz="0" w:space="0" w:color="auto"/>
            <w:left w:val="none" w:sz="0" w:space="0" w:color="auto"/>
            <w:bottom w:val="none" w:sz="0" w:space="0" w:color="auto"/>
            <w:right w:val="none" w:sz="0" w:space="0" w:color="auto"/>
          </w:divBdr>
          <w:divsChild>
            <w:div w:id="1804342900">
              <w:marLeft w:val="0"/>
              <w:marRight w:val="0"/>
              <w:marTop w:val="0"/>
              <w:marBottom w:val="0"/>
              <w:divBdr>
                <w:top w:val="none" w:sz="0" w:space="0" w:color="auto"/>
                <w:left w:val="none" w:sz="0" w:space="0" w:color="auto"/>
                <w:bottom w:val="none" w:sz="0" w:space="0" w:color="auto"/>
                <w:right w:val="none" w:sz="0" w:space="0" w:color="auto"/>
              </w:divBdr>
              <w:divsChild>
                <w:div w:id="1697728156">
                  <w:marLeft w:val="0"/>
                  <w:marRight w:val="0"/>
                  <w:marTop w:val="0"/>
                  <w:marBottom w:val="0"/>
                  <w:divBdr>
                    <w:top w:val="none" w:sz="0" w:space="0" w:color="auto"/>
                    <w:left w:val="none" w:sz="0" w:space="0" w:color="auto"/>
                    <w:bottom w:val="none" w:sz="0" w:space="0" w:color="auto"/>
                    <w:right w:val="none" w:sz="0" w:space="0" w:color="auto"/>
                  </w:divBdr>
                  <w:divsChild>
                    <w:div w:id="8413806">
                      <w:marLeft w:val="0"/>
                      <w:marRight w:val="0"/>
                      <w:marTop w:val="0"/>
                      <w:marBottom w:val="0"/>
                      <w:divBdr>
                        <w:top w:val="none" w:sz="0" w:space="0" w:color="auto"/>
                        <w:left w:val="none" w:sz="0" w:space="0" w:color="auto"/>
                        <w:bottom w:val="none" w:sz="0" w:space="0" w:color="auto"/>
                        <w:right w:val="none" w:sz="0" w:space="0" w:color="auto"/>
                      </w:divBdr>
                      <w:divsChild>
                        <w:div w:id="1033312480">
                          <w:marLeft w:val="0"/>
                          <w:marRight w:val="0"/>
                          <w:marTop w:val="0"/>
                          <w:marBottom w:val="0"/>
                          <w:divBdr>
                            <w:top w:val="none" w:sz="0" w:space="0" w:color="auto"/>
                            <w:left w:val="none" w:sz="0" w:space="0" w:color="auto"/>
                            <w:bottom w:val="none" w:sz="0" w:space="0" w:color="auto"/>
                            <w:right w:val="none" w:sz="0" w:space="0" w:color="auto"/>
                          </w:divBdr>
                          <w:divsChild>
                            <w:div w:id="1281254956">
                              <w:marLeft w:val="0"/>
                              <w:marRight w:val="0"/>
                              <w:marTop w:val="0"/>
                              <w:marBottom w:val="0"/>
                              <w:divBdr>
                                <w:top w:val="none" w:sz="0" w:space="0" w:color="auto"/>
                                <w:left w:val="none" w:sz="0" w:space="0" w:color="auto"/>
                                <w:bottom w:val="none" w:sz="0" w:space="0" w:color="auto"/>
                                <w:right w:val="none" w:sz="0" w:space="0" w:color="auto"/>
                              </w:divBdr>
                              <w:divsChild>
                                <w:div w:id="436758500">
                                  <w:marLeft w:val="0"/>
                                  <w:marRight w:val="0"/>
                                  <w:marTop w:val="0"/>
                                  <w:marBottom w:val="0"/>
                                  <w:divBdr>
                                    <w:top w:val="none" w:sz="0" w:space="0" w:color="auto"/>
                                    <w:left w:val="none" w:sz="0" w:space="0" w:color="auto"/>
                                    <w:bottom w:val="none" w:sz="0" w:space="0" w:color="auto"/>
                                    <w:right w:val="none" w:sz="0" w:space="0" w:color="auto"/>
                                  </w:divBdr>
                                  <w:divsChild>
                                    <w:div w:id="858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56795">
                          <w:marLeft w:val="0"/>
                          <w:marRight w:val="0"/>
                          <w:marTop w:val="0"/>
                          <w:marBottom w:val="0"/>
                          <w:divBdr>
                            <w:top w:val="none" w:sz="0" w:space="0" w:color="auto"/>
                            <w:left w:val="none" w:sz="0" w:space="0" w:color="auto"/>
                            <w:bottom w:val="none" w:sz="0" w:space="0" w:color="auto"/>
                            <w:right w:val="none" w:sz="0" w:space="0" w:color="auto"/>
                          </w:divBdr>
                          <w:divsChild>
                            <w:div w:id="1199197480">
                              <w:marLeft w:val="0"/>
                              <w:marRight w:val="0"/>
                              <w:marTop w:val="0"/>
                              <w:marBottom w:val="0"/>
                              <w:divBdr>
                                <w:top w:val="none" w:sz="0" w:space="0" w:color="auto"/>
                                <w:left w:val="none" w:sz="0" w:space="0" w:color="auto"/>
                                <w:bottom w:val="none" w:sz="0" w:space="0" w:color="auto"/>
                                <w:right w:val="none" w:sz="0" w:space="0" w:color="auto"/>
                              </w:divBdr>
                              <w:divsChild>
                                <w:div w:id="589703136">
                                  <w:marLeft w:val="0"/>
                                  <w:marRight w:val="0"/>
                                  <w:marTop w:val="0"/>
                                  <w:marBottom w:val="0"/>
                                  <w:divBdr>
                                    <w:top w:val="none" w:sz="0" w:space="0" w:color="auto"/>
                                    <w:left w:val="none" w:sz="0" w:space="0" w:color="auto"/>
                                    <w:bottom w:val="none" w:sz="0" w:space="0" w:color="auto"/>
                                    <w:right w:val="none" w:sz="0" w:space="0" w:color="auto"/>
                                  </w:divBdr>
                                  <w:divsChild>
                                    <w:div w:id="1517886804">
                                      <w:marLeft w:val="0"/>
                                      <w:marRight w:val="0"/>
                                      <w:marTop w:val="0"/>
                                      <w:marBottom w:val="0"/>
                                      <w:divBdr>
                                        <w:top w:val="none" w:sz="0" w:space="0" w:color="auto"/>
                                        <w:left w:val="none" w:sz="0" w:space="0" w:color="auto"/>
                                        <w:bottom w:val="none" w:sz="0" w:space="0" w:color="auto"/>
                                        <w:right w:val="none" w:sz="0" w:space="0" w:color="auto"/>
                                      </w:divBdr>
                                      <w:divsChild>
                                        <w:div w:id="14290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2067">
                      <w:marLeft w:val="0"/>
                      <w:marRight w:val="0"/>
                      <w:marTop w:val="0"/>
                      <w:marBottom w:val="0"/>
                      <w:divBdr>
                        <w:top w:val="none" w:sz="0" w:space="0" w:color="auto"/>
                        <w:left w:val="none" w:sz="0" w:space="0" w:color="auto"/>
                        <w:bottom w:val="none" w:sz="0" w:space="0" w:color="auto"/>
                        <w:right w:val="none" w:sz="0" w:space="0" w:color="auto"/>
                      </w:divBdr>
                      <w:divsChild>
                        <w:div w:id="10501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0443165">
      <w:bodyDiv w:val="1"/>
      <w:marLeft w:val="0"/>
      <w:marRight w:val="0"/>
      <w:marTop w:val="0"/>
      <w:marBottom w:val="0"/>
      <w:divBdr>
        <w:top w:val="none" w:sz="0" w:space="0" w:color="auto"/>
        <w:left w:val="none" w:sz="0" w:space="0" w:color="auto"/>
        <w:bottom w:val="none" w:sz="0" w:space="0" w:color="auto"/>
        <w:right w:val="none" w:sz="0" w:space="0" w:color="auto"/>
      </w:divBdr>
      <w:divsChild>
        <w:div w:id="166334182">
          <w:marLeft w:val="0"/>
          <w:marRight w:val="0"/>
          <w:marTop w:val="0"/>
          <w:marBottom w:val="0"/>
          <w:divBdr>
            <w:top w:val="none" w:sz="0" w:space="0" w:color="auto"/>
            <w:left w:val="none" w:sz="0" w:space="0" w:color="auto"/>
            <w:bottom w:val="none" w:sz="0" w:space="0" w:color="auto"/>
            <w:right w:val="none" w:sz="0" w:space="0" w:color="auto"/>
          </w:divBdr>
          <w:divsChild>
            <w:div w:id="1369835044">
              <w:marLeft w:val="0"/>
              <w:marRight w:val="0"/>
              <w:marTop w:val="0"/>
              <w:marBottom w:val="0"/>
              <w:divBdr>
                <w:top w:val="none" w:sz="0" w:space="0" w:color="auto"/>
                <w:left w:val="none" w:sz="0" w:space="0" w:color="auto"/>
                <w:bottom w:val="none" w:sz="0" w:space="0" w:color="auto"/>
                <w:right w:val="none" w:sz="0" w:space="0" w:color="auto"/>
              </w:divBdr>
              <w:divsChild>
                <w:div w:id="1416438602">
                  <w:marLeft w:val="0"/>
                  <w:marRight w:val="0"/>
                  <w:marTop w:val="0"/>
                  <w:marBottom w:val="0"/>
                  <w:divBdr>
                    <w:top w:val="none" w:sz="0" w:space="0" w:color="auto"/>
                    <w:left w:val="none" w:sz="0" w:space="0" w:color="auto"/>
                    <w:bottom w:val="none" w:sz="0" w:space="0" w:color="auto"/>
                    <w:right w:val="none" w:sz="0" w:space="0" w:color="auto"/>
                  </w:divBdr>
                  <w:divsChild>
                    <w:div w:id="980230382">
                      <w:marLeft w:val="0"/>
                      <w:marRight w:val="0"/>
                      <w:marTop w:val="0"/>
                      <w:marBottom w:val="0"/>
                      <w:divBdr>
                        <w:top w:val="none" w:sz="0" w:space="0" w:color="auto"/>
                        <w:left w:val="none" w:sz="0" w:space="0" w:color="auto"/>
                        <w:bottom w:val="none" w:sz="0" w:space="0" w:color="auto"/>
                        <w:right w:val="none" w:sz="0" w:space="0" w:color="auto"/>
                      </w:divBdr>
                      <w:divsChild>
                        <w:div w:id="639193135">
                          <w:marLeft w:val="0"/>
                          <w:marRight w:val="0"/>
                          <w:marTop w:val="0"/>
                          <w:marBottom w:val="0"/>
                          <w:divBdr>
                            <w:top w:val="none" w:sz="0" w:space="0" w:color="auto"/>
                            <w:left w:val="none" w:sz="0" w:space="0" w:color="auto"/>
                            <w:bottom w:val="none" w:sz="0" w:space="0" w:color="auto"/>
                            <w:right w:val="none" w:sz="0" w:space="0" w:color="auto"/>
                          </w:divBdr>
                          <w:divsChild>
                            <w:div w:id="995647973">
                              <w:marLeft w:val="0"/>
                              <w:marRight w:val="0"/>
                              <w:marTop w:val="0"/>
                              <w:marBottom w:val="0"/>
                              <w:divBdr>
                                <w:top w:val="none" w:sz="0" w:space="0" w:color="auto"/>
                                <w:left w:val="none" w:sz="0" w:space="0" w:color="auto"/>
                                <w:bottom w:val="none" w:sz="0" w:space="0" w:color="auto"/>
                                <w:right w:val="none" w:sz="0" w:space="0" w:color="auto"/>
                              </w:divBdr>
                              <w:divsChild>
                                <w:div w:id="1536428748">
                                  <w:marLeft w:val="0"/>
                                  <w:marRight w:val="0"/>
                                  <w:marTop w:val="0"/>
                                  <w:marBottom w:val="0"/>
                                  <w:divBdr>
                                    <w:top w:val="none" w:sz="0" w:space="0" w:color="auto"/>
                                    <w:left w:val="none" w:sz="0" w:space="0" w:color="auto"/>
                                    <w:bottom w:val="none" w:sz="0" w:space="0" w:color="auto"/>
                                    <w:right w:val="none" w:sz="0" w:space="0" w:color="auto"/>
                                  </w:divBdr>
                                  <w:divsChild>
                                    <w:div w:id="7444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368831">
          <w:marLeft w:val="0"/>
          <w:marRight w:val="0"/>
          <w:marTop w:val="0"/>
          <w:marBottom w:val="0"/>
          <w:divBdr>
            <w:top w:val="none" w:sz="0" w:space="0" w:color="auto"/>
            <w:left w:val="none" w:sz="0" w:space="0" w:color="auto"/>
            <w:bottom w:val="none" w:sz="0" w:space="0" w:color="auto"/>
            <w:right w:val="none" w:sz="0" w:space="0" w:color="auto"/>
          </w:divBdr>
          <w:divsChild>
            <w:div w:id="1330523322">
              <w:marLeft w:val="0"/>
              <w:marRight w:val="0"/>
              <w:marTop w:val="0"/>
              <w:marBottom w:val="0"/>
              <w:divBdr>
                <w:top w:val="none" w:sz="0" w:space="0" w:color="auto"/>
                <w:left w:val="none" w:sz="0" w:space="0" w:color="auto"/>
                <w:bottom w:val="none" w:sz="0" w:space="0" w:color="auto"/>
                <w:right w:val="none" w:sz="0" w:space="0" w:color="auto"/>
              </w:divBdr>
              <w:divsChild>
                <w:div w:id="237978591">
                  <w:marLeft w:val="0"/>
                  <w:marRight w:val="0"/>
                  <w:marTop w:val="0"/>
                  <w:marBottom w:val="0"/>
                  <w:divBdr>
                    <w:top w:val="none" w:sz="0" w:space="0" w:color="auto"/>
                    <w:left w:val="none" w:sz="0" w:space="0" w:color="auto"/>
                    <w:bottom w:val="none" w:sz="0" w:space="0" w:color="auto"/>
                    <w:right w:val="none" w:sz="0" w:space="0" w:color="auto"/>
                  </w:divBdr>
                  <w:divsChild>
                    <w:div w:id="1306348953">
                      <w:marLeft w:val="0"/>
                      <w:marRight w:val="0"/>
                      <w:marTop w:val="0"/>
                      <w:marBottom w:val="0"/>
                      <w:divBdr>
                        <w:top w:val="none" w:sz="0" w:space="0" w:color="auto"/>
                        <w:left w:val="none" w:sz="0" w:space="0" w:color="auto"/>
                        <w:bottom w:val="none" w:sz="0" w:space="0" w:color="auto"/>
                        <w:right w:val="none" w:sz="0" w:space="0" w:color="auto"/>
                      </w:divBdr>
                      <w:divsChild>
                        <w:div w:id="1659654292">
                          <w:marLeft w:val="0"/>
                          <w:marRight w:val="0"/>
                          <w:marTop w:val="0"/>
                          <w:marBottom w:val="0"/>
                          <w:divBdr>
                            <w:top w:val="none" w:sz="0" w:space="0" w:color="auto"/>
                            <w:left w:val="none" w:sz="0" w:space="0" w:color="auto"/>
                            <w:bottom w:val="none" w:sz="0" w:space="0" w:color="auto"/>
                            <w:right w:val="none" w:sz="0" w:space="0" w:color="auto"/>
                          </w:divBdr>
                          <w:divsChild>
                            <w:div w:id="1466310837">
                              <w:marLeft w:val="0"/>
                              <w:marRight w:val="0"/>
                              <w:marTop w:val="0"/>
                              <w:marBottom w:val="0"/>
                              <w:divBdr>
                                <w:top w:val="none" w:sz="0" w:space="0" w:color="auto"/>
                                <w:left w:val="none" w:sz="0" w:space="0" w:color="auto"/>
                                <w:bottom w:val="none" w:sz="0" w:space="0" w:color="auto"/>
                                <w:right w:val="none" w:sz="0" w:space="0" w:color="auto"/>
                              </w:divBdr>
                              <w:divsChild>
                                <w:div w:id="1880241201">
                                  <w:marLeft w:val="0"/>
                                  <w:marRight w:val="0"/>
                                  <w:marTop w:val="0"/>
                                  <w:marBottom w:val="0"/>
                                  <w:divBdr>
                                    <w:top w:val="none" w:sz="0" w:space="0" w:color="auto"/>
                                    <w:left w:val="none" w:sz="0" w:space="0" w:color="auto"/>
                                    <w:bottom w:val="none" w:sz="0" w:space="0" w:color="auto"/>
                                    <w:right w:val="none" w:sz="0" w:space="0" w:color="auto"/>
                                  </w:divBdr>
                                  <w:divsChild>
                                    <w:div w:id="94055463">
                                      <w:marLeft w:val="0"/>
                                      <w:marRight w:val="0"/>
                                      <w:marTop w:val="0"/>
                                      <w:marBottom w:val="0"/>
                                      <w:divBdr>
                                        <w:top w:val="none" w:sz="0" w:space="0" w:color="auto"/>
                                        <w:left w:val="none" w:sz="0" w:space="0" w:color="auto"/>
                                        <w:bottom w:val="none" w:sz="0" w:space="0" w:color="auto"/>
                                        <w:right w:val="none" w:sz="0" w:space="0" w:color="auto"/>
                                      </w:divBdr>
                                      <w:divsChild>
                                        <w:div w:id="5833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86288">
          <w:marLeft w:val="0"/>
          <w:marRight w:val="0"/>
          <w:marTop w:val="0"/>
          <w:marBottom w:val="0"/>
          <w:divBdr>
            <w:top w:val="none" w:sz="0" w:space="0" w:color="auto"/>
            <w:left w:val="none" w:sz="0" w:space="0" w:color="auto"/>
            <w:bottom w:val="none" w:sz="0" w:space="0" w:color="auto"/>
            <w:right w:val="none" w:sz="0" w:space="0" w:color="auto"/>
          </w:divBdr>
          <w:divsChild>
            <w:div w:id="1208831894">
              <w:marLeft w:val="0"/>
              <w:marRight w:val="0"/>
              <w:marTop w:val="0"/>
              <w:marBottom w:val="0"/>
              <w:divBdr>
                <w:top w:val="none" w:sz="0" w:space="0" w:color="auto"/>
                <w:left w:val="none" w:sz="0" w:space="0" w:color="auto"/>
                <w:bottom w:val="none" w:sz="0" w:space="0" w:color="auto"/>
                <w:right w:val="none" w:sz="0" w:space="0" w:color="auto"/>
              </w:divBdr>
              <w:divsChild>
                <w:div w:id="1998220497">
                  <w:marLeft w:val="0"/>
                  <w:marRight w:val="0"/>
                  <w:marTop w:val="0"/>
                  <w:marBottom w:val="0"/>
                  <w:divBdr>
                    <w:top w:val="none" w:sz="0" w:space="0" w:color="auto"/>
                    <w:left w:val="none" w:sz="0" w:space="0" w:color="auto"/>
                    <w:bottom w:val="none" w:sz="0" w:space="0" w:color="auto"/>
                    <w:right w:val="none" w:sz="0" w:space="0" w:color="auto"/>
                  </w:divBdr>
                  <w:divsChild>
                    <w:div w:id="1118525055">
                      <w:marLeft w:val="0"/>
                      <w:marRight w:val="0"/>
                      <w:marTop w:val="0"/>
                      <w:marBottom w:val="0"/>
                      <w:divBdr>
                        <w:top w:val="none" w:sz="0" w:space="0" w:color="auto"/>
                        <w:left w:val="none" w:sz="0" w:space="0" w:color="auto"/>
                        <w:bottom w:val="none" w:sz="0" w:space="0" w:color="auto"/>
                        <w:right w:val="none" w:sz="0" w:space="0" w:color="auto"/>
                      </w:divBdr>
                      <w:divsChild>
                        <w:div w:id="860972858">
                          <w:marLeft w:val="0"/>
                          <w:marRight w:val="0"/>
                          <w:marTop w:val="0"/>
                          <w:marBottom w:val="0"/>
                          <w:divBdr>
                            <w:top w:val="none" w:sz="0" w:space="0" w:color="auto"/>
                            <w:left w:val="none" w:sz="0" w:space="0" w:color="auto"/>
                            <w:bottom w:val="none" w:sz="0" w:space="0" w:color="auto"/>
                            <w:right w:val="none" w:sz="0" w:space="0" w:color="auto"/>
                          </w:divBdr>
                          <w:divsChild>
                            <w:div w:id="406805405">
                              <w:marLeft w:val="0"/>
                              <w:marRight w:val="0"/>
                              <w:marTop w:val="0"/>
                              <w:marBottom w:val="0"/>
                              <w:divBdr>
                                <w:top w:val="none" w:sz="0" w:space="0" w:color="auto"/>
                                <w:left w:val="none" w:sz="0" w:space="0" w:color="auto"/>
                                <w:bottom w:val="none" w:sz="0" w:space="0" w:color="auto"/>
                                <w:right w:val="none" w:sz="0" w:space="0" w:color="auto"/>
                              </w:divBdr>
                              <w:divsChild>
                                <w:div w:id="1140465366">
                                  <w:marLeft w:val="0"/>
                                  <w:marRight w:val="0"/>
                                  <w:marTop w:val="0"/>
                                  <w:marBottom w:val="0"/>
                                  <w:divBdr>
                                    <w:top w:val="none" w:sz="0" w:space="0" w:color="auto"/>
                                    <w:left w:val="none" w:sz="0" w:space="0" w:color="auto"/>
                                    <w:bottom w:val="none" w:sz="0" w:space="0" w:color="auto"/>
                                    <w:right w:val="none" w:sz="0" w:space="0" w:color="auto"/>
                                  </w:divBdr>
                                  <w:divsChild>
                                    <w:div w:id="12096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813055">
      <w:bodyDiv w:val="1"/>
      <w:marLeft w:val="0"/>
      <w:marRight w:val="0"/>
      <w:marTop w:val="0"/>
      <w:marBottom w:val="0"/>
      <w:divBdr>
        <w:top w:val="none" w:sz="0" w:space="0" w:color="auto"/>
        <w:left w:val="none" w:sz="0" w:space="0" w:color="auto"/>
        <w:bottom w:val="none" w:sz="0" w:space="0" w:color="auto"/>
        <w:right w:val="none" w:sz="0" w:space="0" w:color="auto"/>
      </w:divBdr>
    </w:div>
    <w:div w:id="1355614197">
      <w:bodyDiv w:val="1"/>
      <w:marLeft w:val="0"/>
      <w:marRight w:val="0"/>
      <w:marTop w:val="0"/>
      <w:marBottom w:val="0"/>
      <w:divBdr>
        <w:top w:val="none" w:sz="0" w:space="0" w:color="auto"/>
        <w:left w:val="none" w:sz="0" w:space="0" w:color="auto"/>
        <w:bottom w:val="none" w:sz="0" w:space="0" w:color="auto"/>
        <w:right w:val="none" w:sz="0" w:space="0" w:color="auto"/>
      </w:divBdr>
    </w:div>
    <w:div w:id="1420711060">
      <w:bodyDiv w:val="1"/>
      <w:marLeft w:val="0"/>
      <w:marRight w:val="0"/>
      <w:marTop w:val="0"/>
      <w:marBottom w:val="0"/>
      <w:divBdr>
        <w:top w:val="none" w:sz="0" w:space="0" w:color="auto"/>
        <w:left w:val="none" w:sz="0" w:space="0" w:color="auto"/>
        <w:bottom w:val="none" w:sz="0" w:space="0" w:color="auto"/>
        <w:right w:val="none" w:sz="0" w:space="0" w:color="auto"/>
      </w:divBdr>
      <w:divsChild>
        <w:div w:id="1906716874">
          <w:marLeft w:val="0"/>
          <w:marRight w:val="0"/>
          <w:marTop w:val="0"/>
          <w:marBottom w:val="0"/>
          <w:divBdr>
            <w:top w:val="none" w:sz="0" w:space="0" w:color="auto"/>
            <w:left w:val="none" w:sz="0" w:space="0" w:color="auto"/>
            <w:bottom w:val="none" w:sz="0" w:space="0" w:color="auto"/>
            <w:right w:val="none" w:sz="0" w:space="0" w:color="auto"/>
          </w:divBdr>
          <w:divsChild>
            <w:div w:id="430514585">
              <w:marLeft w:val="0"/>
              <w:marRight w:val="0"/>
              <w:marTop w:val="0"/>
              <w:marBottom w:val="0"/>
              <w:divBdr>
                <w:top w:val="none" w:sz="0" w:space="0" w:color="auto"/>
                <w:left w:val="none" w:sz="0" w:space="0" w:color="auto"/>
                <w:bottom w:val="none" w:sz="0" w:space="0" w:color="auto"/>
                <w:right w:val="none" w:sz="0" w:space="0" w:color="auto"/>
              </w:divBdr>
              <w:divsChild>
                <w:div w:id="1420911754">
                  <w:marLeft w:val="0"/>
                  <w:marRight w:val="0"/>
                  <w:marTop w:val="0"/>
                  <w:marBottom w:val="0"/>
                  <w:divBdr>
                    <w:top w:val="none" w:sz="0" w:space="0" w:color="auto"/>
                    <w:left w:val="none" w:sz="0" w:space="0" w:color="auto"/>
                    <w:bottom w:val="none" w:sz="0" w:space="0" w:color="auto"/>
                    <w:right w:val="none" w:sz="0" w:space="0" w:color="auto"/>
                  </w:divBdr>
                  <w:divsChild>
                    <w:div w:id="1718700703">
                      <w:marLeft w:val="0"/>
                      <w:marRight w:val="0"/>
                      <w:marTop w:val="0"/>
                      <w:marBottom w:val="0"/>
                      <w:divBdr>
                        <w:top w:val="none" w:sz="0" w:space="0" w:color="auto"/>
                        <w:left w:val="none" w:sz="0" w:space="0" w:color="auto"/>
                        <w:bottom w:val="none" w:sz="0" w:space="0" w:color="auto"/>
                        <w:right w:val="none" w:sz="0" w:space="0" w:color="auto"/>
                      </w:divBdr>
                      <w:divsChild>
                        <w:div w:id="527067564">
                          <w:marLeft w:val="0"/>
                          <w:marRight w:val="0"/>
                          <w:marTop w:val="0"/>
                          <w:marBottom w:val="0"/>
                          <w:divBdr>
                            <w:top w:val="none" w:sz="0" w:space="0" w:color="auto"/>
                            <w:left w:val="none" w:sz="0" w:space="0" w:color="auto"/>
                            <w:bottom w:val="none" w:sz="0" w:space="0" w:color="auto"/>
                            <w:right w:val="none" w:sz="0" w:space="0" w:color="auto"/>
                          </w:divBdr>
                          <w:divsChild>
                            <w:div w:id="851141289">
                              <w:marLeft w:val="0"/>
                              <w:marRight w:val="0"/>
                              <w:marTop w:val="0"/>
                              <w:marBottom w:val="0"/>
                              <w:divBdr>
                                <w:top w:val="none" w:sz="0" w:space="0" w:color="auto"/>
                                <w:left w:val="none" w:sz="0" w:space="0" w:color="auto"/>
                                <w:bottom w:val="none" w:sz="0" w:space="0" w:color="auto"/>
                                <w:right w:val="none" w:sz="0" w:space="0" w:color="auto"/>
                              </w:divBdr>
                              <w:divsChild>
                                <w:div w:id="249050908">
                                  <w:marLeft w:val="0"/>
                                  <w:marRight w:val="0"/>
                                  <w:marTop w:val="0"/>
                                  <w:marBottom w:val="0"/>
                                  <w:divBdr>
                                    <w:top w:val="none" w:sz="0" w:space="0" w:color="auto"/>
                                    <w:left w:val="none" w:sz="0" w:space="0" w:color="auto"/>
                                    <w:bottom w:val="none" w:sz="0" w:space="0" w:color="auto"/>
                                    <w:right w:val="none" w:sz="0" w:space="0" w:color="auto"/>
                                  </w:divBdr>
                                  <w:divsChild>
                                    <w:div w:id="17614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414">
                          <w:marLeft w:val="0"/>
                          <w:marRight w:val="0"/>
                          <w:marTop w:val="0"/>
                          <w:marBottom w:val="0"/>
                          <w:divBdr>
                            <w:top w:val="none" w:sz="0" w:space="0" w:color="auto"/>
                            <w:left w:val="none" w:sz="0" w:space="0" w:color="auto"/>
                            <w:bottom w:val="none" w:sz="0" w:space="0" w:color="auto"/>
                            <w:right w:val="none" w:sz="0" w:space="0" w:color="auto"/>
                          </w:divBdr>
                          <w:divsChild>
                            <w:div w:id="374237644">
                              <w:marLeft w:val="0"/>
                              <w:marRight w:val="0"/>
                              <w:marTop w:val="0"/>
                              <w:marBottom w:val="0"/>
                              <w:divBdr>
                                <w:top w:val="none" w:sz="0" w:space="0" w:color="auto"/>
                                <w:left w:val="none" w:sz="0" w:space="0" w:color="auto"/>
                                <w:bottom w:val="none" w:sz="0" w:space="0" w:color="auto"/>
                                <w:right w:val="none" w:sz="0" w:space="0" w:color="auto"/>
                              </w:divBdr>
                              <w:divsChild>
                                <w:div w:id="505554016">
                                  <w:marLeft w:val="0"/>
                                  <w:marRight w:val="0"/>
                                  <w:marTop w:val="0"/>
                                  <w:marBottom w:val="0"/>
                                  <w:divBdr>
                                    <w:top w:val="none" w:sz="0" w:space="0" w:color="auto"/>
                                    <w:left w:val="none" w:sz="0" w:space="0" w:color="auto"/>
                                    <w:bottom w:val="none" w:sz="0" w:space="0" w:color="auto"/>
                                    <w:right w:val="none" w:sz="0" w:space="0" w:color="auto"/>
                                  </w:divBdr>
                                  <w:divsChild>
                                    <w:div w:id="654532532">
                                      <w:marLeft w:val="0"/>
                                      <w:marRight w:val="0"/>
                                      <w:marTop w:val="0"/>
                                      <w:marBottom w:val="0"/>
                                      <w:divBdr>
                                        <w:top w:val="none" w:sz="0" w:space="0" w:color="auto"/>
                                        <w:left w:val="none" w:sz="0" w:space="0" w:color="auto"/>
                                        <w:bottom w:val="none" w:sz="0" w:space="0" w:color="auto"/>
                                        <w:right w:val="none" w:sz="0" w:space="0" w:color="auto"/>
                                      </w:divBdr>
                                      <w:divsChild>
                                        <w:div w:id="2934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63223">
                      <w:marLeft w:val="0"/>
                      <w:marRight w:val="0"/>
                      <w:marTop w:val="0"/>
                      <w:marBottom w:val="0"/>
                      <w:divBdr>
                        <w:top w:val="none" w:sz="0" w:space="0" w:color="auto"/>
                        <w:left w:val="none" w:sz="0" w:space="0" w:color="auto"/>
                        <w:bottom w:val="none" w:sz="0" w:space="0" w:color="auto"/>
                        <w:right w:val="none" w:sz="0" w:space="0" w:color="auto"/>
                      </w:divBdr>
                      <w:divsChild>
                        <w:div w:id="16005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746402">
      <w:bodyDiv w:val="1"/>
      <w:marLeft w:val="0"/>
      <w:marRight w:val="0"/>
      <w:marTop w:val="0"/>
      <w:marBottom w:val="0"/>
      <w:divBdr>
        <w:top w:val="none" w:sz="0" w:space="0" w:color="auto"/>
        <w:left w:val="none" w:sz="0" w:space="0" w:color="auto"/>
        <w:bottom w:val="none" w:sz="0" w:space="0" w:color="auto"/>
        <w:right w:val="none" w:sz="0" w:space="0" w:color="auto"/>
      </w:divBdr>
    </w:div>
    <w:div w:id="172513388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5105578">
      <w:bodyDiv w:val="1"/>
      <w:marLeft w:val="0"/>
      <w:marRight w:val="0"/>
      <w:marTop w:val="0"/>
      <w:marBottom w:val="0"/>
      <w:divBdr>
        <w:top w:val="none" w:sz="0" w:space="0" w:color="auto"/>
        <w:left w:val="none" w:sz="0" w:space="0" w:color="auto"/>
        <w:bottom w:val="none" w:sz="0" w:space="0" w:color="auto"/>
        <w:right w:val="none" w:sz="0" w:space="0" w:color="auto"/>
      </w:divBdr>
      <w:divsChild>
        <w:div w:id="2006663590">
          <w:marLeft w:val="0"/>
          <w:marRight w:val="0"/>
          <w:marTop w:val="0"/>
          <w:marBottom w:val="0"/>
          <w:divBdr>
            <w:top w:val="none" w:sz="0" w:space="0" w:color="auto"/>
            <w:left w:val="none" w:sz="0" w:space="0" w:color="auto"/>
            <w:bottom w:val="none" w:sz="0" w:space="0" w:color="auto"/>
            <w:right w:val="none" w:sz="0" w:space="0" w:color="auto"/>
          </w:divBdr>
          <w:divsChild>
            <w:div w:id="583608463">
              <w:marLeft w:val="0"/>
              <w:marRight w:val="0"/>
              <w:marTop w:val="0"/>
              <w:marBottom w:val="0"/>
              <w:divBdr>
                <w:top w:val="none" w:sz="0" w:space="0" w:color="auto"/>
                <w:left w:val="none" w:sz="0" w:space="0" w:color="auto"/>
                <w:bottom w:val="none" w:sz="0" w:space="0" w:color="auto"/>
                <w:right w:val="none" w:sz="0" w:space="0" w:color="auto"/>
              </w:divBdr>
              <w:divsChild>
                <w:div w:id="2122726765">
                  <w:marLeft w:val="0"/>
                  <w:marRight w:val="0"/>
                  <w:marTop w:val="0"/>
                  <w:marBottom w:val="0"/>
                  <w:divBdr>
                    <w:top w:val="none" w:sz="0" w:space="0" w:color="auto"/>
                    <w:left w:val="none" w:sz="0" w:space="0" w:color="auto"/>
                    <w:bottom w:val="none" w:sz="0" w:space="0" w:color="auto"/>
                    <w:right w:val="none" w:sz="0" w:space="0" w:color="auto"/>
                  </w:divBdr>
                  <w:divsChild>
                    <w:div w:id="1559584461">
                      <w:marLeft w:val="0"/>
                      <w:marRight w:val="0"/>
                      <w:marTop w:val="0"/>
                      <w:marBottom w:val="0"/>
                      <w:divBdr>
                        <w:top w:val="none" w:sz="0" w:space="0" w:color="auto"/>
                        <w:left w:val="none" w:sz="0" w:space="0" w:color="auto"/>
                        <w:bottom w:val="none" w:sz="0" w:space="0" w:color="auto"/>
                        <w:right w:val="none" w:sz="0" w:space="0" w:color="auto"/>
                      </w:divBdr>
                      <w:divsChild>
                        <w:div w:id="1746874167">
                          <w:marLeft w:val="0"/>
                          <w:marRight w:val="0"/>
                          <w:marTop w:val="0"/>
                          <w:marBottom w:val="0"/>
                          <w:divBdr>
                            <w:top w:val="none" w:sz="0" w:space="0" w:color="auto"/>
                            <w:left w:val="none" w:sz="0" w:space="0" w:color="auto"/>
                            <w:bottom w:val="none" w:sz="0" w:space="0" w:color="auto"/>
                            <w:right w:val="none" w:sz="0" w:space="0" w:color="auto"/>
                          </w:divBdr>
                          <w:divsChild>
                            <w:div w:id="1912041759">
                              <w:marLeft w:val="0"/>
                              <w:marRight w:val="0"/>
                              <w:marTop w:val="0"/>
                              <w:marBottom w:val="0"/>
                              <w:divBdr>
                                <w:top w:val="none" w:sz="0" w:space="0" w:color="auto"/>
                                <w:left w:val="none" w:sz="0" w:space="0" w:color="auto"/>
                                <w:bottom w:val="none" w:sz="0" w:space="0" w:color="auto"/>
                                <w:right w:val="none" w:sz="0" w:space="0" w:color="auto"/>
                              </w:divBdr>
                              <w:divsChild>
                                <w:div w:id="1284918080">
                                  <w:marLeft w:val="0"/>
                                  <w:marRight w:val="0"/>
                                  <w:marTop w:val="0"/>
                                  <w:marBottom w:val="0"/>
                                  <w:divBdr>
                                    <w:top w:val="none" w:sz="0" w:space="0" w:color="auto"/>
                                    <w:left w:val="none" w:sz="0" w:space="0" w:color="auto"/>
                                    <w:bottom w:val="none" w:sz="0" w:space="0" w:color="auto"/>
                                    <w:right w:val="none" w:sz="0" w:space="0" w:color="auto"/>
                                  </w:divBdr>
                                  <w:divsChild>
                                    <w:div w:id="17866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20738">
          <w:marLeft w:val="0"/>
          <w:marRight w:val="0"/>
          <w:marTop w:val="0"/>
          <w:marBottom w:val="0"/>
          <w:divBdr>
            <w:top w:val="none" w:sz="0" w:space="0" w:color="auto"/>
            <w:left w:val="none" w:sz="0" w:space="0" w:color="auto"/>
            <w:bottom w:val="none" w:sz="0" w:space="0" w:color="auto"/>
            <w:right w:val="none" w:sz="0" w:space="0" w:color="auto"/>
          </w:divBdr>
          <w:divsChild>
            <w:div w:id="1970627892">
              <w:marLeft w:val="0"/>
              <w:marRight w:val="0"/>
              <w:marTop w:val="0"/>
              <w:marBottom w:val="0"/>
              <w:divBdr>
                <w:top w:val="none" w:sz="0" w:space="0" w:color="auto"/>
                <w:left w:val="none" w:sz="0" w:space="0" w:color="auto"/>
                <w:bottom w:val="none" w:sz="0" w:space="0" w:color="auto"/>
                <w:right w:val="none" w:sz="0" w:space="0" w:color="auto"/>
              </w:divBdr>
              <w:divsChild>
                <w:div w:id="1237782038">
                  <w:marLeft w:val="0"/>
                  <w:marRight w:val="0"/>
                  <w:marTop w:val="0"/>
                  <w:marBottom w:val="0"/>
                  <w:divBdr>
                    <w:top w:val="none" w:sz="0" w:space="0" w:color="auto"/>
                    <w:left w:val="none" w:sz="0" w:space="0" w:color="auto"/>
                    <w:bottom w:val="none" w:sz="0" w:space="0" w:color="auto"/>
                    <w:right w:val="none" w:sz="0" w:space="0" w:color="auto"/>
                  </w:divBdr>
                  <w:divsChild>
                    <w:div w:id="1775634461">
                      <w:marLeft w:val="0"/>
                      <w:marRight w:val="0"/>
                      <w:marTop w:val="0"/>
                      <w:marBottom w:val="0"/>
                      <w:divBdr>
                        <w:top w:val="none" w:sz="0" w:space="0" w:color="auto"/>
                        <w:left w:val="none" w:sz="0" w:space="0" w:color="auto"/>
                        <w:bottom w:val="none" w:sz="0" w:space="0" w:color="auto"/>
                        <w:right w:val="none" w:sz="0" w:space="0" w:color="auto"/>
                      </w:divBdr>
                      <w:divsChild>
                        <w:div w:id="415858313">
                          <w:marLeft w:val="0"/>
                          <w:marRight w:val="0"/>
                          <w:marTop w:val="0"/>
                          <w:marBottom w:val="0"/>
                          <w:divBdr>
                            <w:top w:val="none" w:sz="0" w:space="0" w:color="auto"/>
                            <w:left w:val="none" w:sz="0" w:space="0" w:color="auto"/>
                            <w:bottom w:val="none" w:sz="0" w:space="0" w:color="auto"/>
                            <w:right w:val="none" w:sz="0" w:space="0" w:color="auto"/>
                          </w:divBdr>
                          <w:divsChild>
                            <w:div w:id="593320496">
                              <w:marLeft w:val="0"/>
                              <w:marRight w:val="0"/>
                              <w:marTop w:val="0"/>
                              <w:marBottom w:val="0"/>
                              <w:divBdr>
                                <w:top w:val="none" w:sz="0" w:space="0" w:color="auto"/>
                                <w:left w:val="none" w:sz="0" w:space="0" w:color="auto"/>
                                <w:bottom w:val="none" w:sz="0" w:space="0" w:color="auto"/>
                                <w:right w:val="none" w:sz="0" w:space="0" w:color="auto"/>
                              </w:divBdr>
                              <w:divsChild>
                                <w:div w:id="889153921">
                                  <w:marLeft w:val="0"/>
                                  <w:marRight w:val="0"/>
                                  <w:marTop w:val="0"/>
                                  <w:marBottom w:val="0"/>
                                  <w:divBdr>
                                    <w:top w:val="none" w:sz="0" w:space="0" w:color="auto"/>
                                    <w:left w:val="none" w:sz="0" w:space="0" w:color="auto"/>
                                    <w:bottom w:val="none" w:sz="0" w:space="0" w:color="auto"/>
                                    <w:right w:val="none" w:sz="0" w:space="0" w:color="auto"/>
                                  </w:divBdr>
                                  <w:divsChild>
                                    <w:div w:id="805011116">
                                      <w:marLeft w:val="0"/>
                                      <w:marRight w:val="0"/>
                                      <w:marTop w:val="0"/>
                                      <w:marBottom w:val="0"/>
                                      <w:divBdr>
                                        <w:top w:val="none" w:sz="0" w:space="0" w:color="auto"/>
                                        <w:left w:val="none" w:sz="0" w:space="0" w:color="auto"/>
                                        <w:bottom w:val="none" w:sz="0" w:space="0" w:color="auto"/>
                                        <w:right w:val="none" w:sz="0" w:space="0" w:color="auto"/>
                                      </w:divBdr>
                                      <w:divsChild>
                                        <w:div w:id="1453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078978">
          <w:marLeft w:val="0"/>
          <w:marRight w:val="0"/>
          <w:marTop w:val="0"/>
          <w:marBottom w:val="0"/>
          <w:divBdr>
            <w:top w:val="none" w:sz="0" w:space="0" w:color="auto"/>
            <w:left w:val="none" w:sz="0" w:space="0" w:color="auto"/>
            <w:bottom w:val="none" w:sz="0" w:space="0" w:color="auto"/>
            <w:right w:val="none" w:sz="0" w:space="0" w:color="auto"/>
          </w:divBdr>
          <w:divsChild>
            <w:div w:id="1277712021">
              <w:marLeft w:val="0"/>
              <w:marRight w:val="0"/>
              <w:marTop w:val="0"/>
              <w:marBottom w:val="0"/>
              <w:divBdr>
                <w:top w:val="none" w:sz="0" w:space="0" w:color="auto"/>
                <w:left w:val="none" w:sz="0" w:space="0" w:color="auto"/>
                <w:bottom w:val="none" w:sz="0" w:space="0" w:color="auto"/>
                <w:right w:val="none" w:sz="0" w:space="0" w:color="auto"/>
              </w:divBdr>
              <w:divsChild>
                <w:div w:id="104808184">
                  <w:marLeft w:val="0"/>
                  <w:marRight w:val="0"/>
                  <w:marTop w:val="0"/>
                  <w:marBottom w:val="0"/>
                  <w:divBdr>
                    <w:top w:val="none" w:sz="0" w:space="0" w:color="auto"/>
                    <w:left w:val="none" w:sz="0" w:space="0" w:color="auto"/>
                    <w:bottom w:val="none" w:sz="0" w:space="0" w:color="auto"/>
                    <w:right w:val="none" w:sz="0" w:space="0" w:color="auto"/>
                  </w:divBdr>
                  <w:divsChild>
                    <w:div w:id="827017158">
                      <w:marLeft w:val="0"/>
                      <w:marRight w:val="0"/>
                      <w:marTop w:val="0"/>
                      <w:marBottom w:val="0"/>
                      <w:divBdr>
                        <w:top w:val="none" w:sz="0" w:space="0" w:color="auto"/>
                        <w:left w:val="none" w:sz="0" w:space="0" w:color="auto"/>
                        <w:bottom w:val="none" w:sz="0" w:space="0" w:color="auto"/>
                        <w:right w:val="none" w:sz="0" w:space="0" w:color="auto"/>
                      </w:divBdr>
                      <w:divsChild>
                        <w:div w:id="1538928061">
                          <w:marLeft w:val="0"/>
                          <w:marRight w:val="0"/>
                          <w:marTop w:val="0"/>
                          <w:marBottom w:val="0"/>
                          <w:divBdr>
                            <w:top w:val="none" w:sz="0" w:space="0" w:color="auto"/>
                            <w:left w:val="none" w:sz="0" w:space="0" w:color="auto"/>
                            <w:bottom w:val="none" w:sz="0" w:space="0" w:color="auto"/>
                            <w:right w:val="none" w:sz="0" w:space="0" w:color="auto"/>
                          </w:divBdr>
                          <w:divsChild>
                            <w:div w:id="184557809">
                              <w:marLeft w:val="0"/>
                              <w:marRight w:val="0"/>
                              <w:marTop w:val="0"/>
                              <w:marBottom w:val="0"/>
                              <w:divBdr>
                                <w:top w:val="none" w:sz="0" w:space="0" w:color="auto"/>
                                <w:left w:val="none" w:sz="0" w:space="0" w:color="auto"/>
                                <w:bottom w:val="none" w:sz="0" w:space="0" w:color="auto"/>
                                <w:right w:val="none" w:sz="0" w:space="0" w:color="auto"/>
                              </w:divBdr>
                              <w:divsChild>
                                <w:div w:id="1513883539">
                                  <w:marLeft w:val="0"/>
                                  <w:marRight w:val="0"/>
                                  <w:marTop w:val="0"/>
                                  <w:marBottom w:val="0"/>
                                  <w:divBdr>
                                    <w:top w:val="none" w:sz="0" w:space="0" w:color="auto"/>
                                    <w:left w:val="none" w:sz="0" w:space="0" w:color="auto"/>
                                    <w:bottom w:val="none" w:sz="0" w:space="0" w:color="auto"/>
                                    <w:right w:val="none" w:sz="0" w:space="0" w:color="auto"/>
                                  </w:divBdr>
                                  <w:divsChild>
                                    <w:div w:id="4027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s://doi.org/10.1016/j.biortech.2003.10.01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8</Pages>
  <Words>2513</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16805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8</cp:revision>
  <cp:lastPrinted>1999-07-06T11:00:00Z</cp:lastPrinted>
  <dcterms:created xsi:type="dcterms:W3CDTF">2025-06-28T10:10:00Z</dcterms:created>
  <dcterms:modified xsi:type="dcterms:W3CDTF">2025-06-28T13:21:00Z</dcterms:modified>
</cp:coreProperties>
</file>