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013AF" w14:textId="77777777" w:rsidR="00753E06" w:rsidRPr="00753E06" w:rsidRDefault="00753E06" w:rsidP="00753E06">
      <w:pPr>
        <w:pStyle w:val="Title"/>
        <w:jc w:val="both"/>
        <w:rPr>
          <w:rFonts w:ascii="Arial" w:hAnsi="Arial" w:cs="Arial"/>
          <w:bCs/>
          <w:i/>
          <w:iCs/>
          <w:u w:val="single"/>
        </w:rPr>
      </w:pPr>
      <w:r w:rsidRPr="00753E06">
        <w:rPr>
          <w:rFonts w:ascii="Arial" w:hAnsi="Arial" w:cs="Arial"/>
          <w:bCs/>
          <w:i/>
          <w:iCs/>
          <w:u w:val="single"/>
        </w:rPr>
        <w:t xml:space="preserve">Case report </w:t>
      </w:r>
    </w:p>
    <w:p w14:paraId="3BC6ED16" w14:textId="77777777" w:rsidR="00754C9A" w:rsidRPr="00156515" w:rsidRDefault="00754C9A" w:rsidP="00441B6F">
      <w:pPr>
        <w:pStyle w:val="Title"/>
        <w:spacing w:after="0"/>
        <w:jc w:val="both"/>
        <w:rPr>
          <w:rFonts w:ascii="Arial" w:hAnsi="Arial" w:cs="Arial"/>
        </w:rPr>
      </w:pPr>
    </w:p>
    <w:p w14:paraId="59823384" w14:textId="5882E33F" w:rsidR="00163BC4" w:rsidRPr="00156515" w:rsidRDefault="00156515" w:rsidP="00156515">
      <w:pPr>
        <w:jc w:val="right"/>
        <w:rPr>
          <w:rFonts w:ascii="Arial" w:hAnsi="Arial" w:cs="Arial"/>
          <w:b/>
          <w:bCs/>
          <w:sz w:val="32"/>
          <w:szCs w:val="32"/>
          <w:lang w:val="en-ID"/>
        </w:rPr>
      </w:pPr>
      <w:r w:rsidRPr="00156515">
        <w:rPr>
          <w:rFonts w:ascii="Arial" w:hAnsi="Arial" w:cs="Arial"/>
          <w:b/>
          <w:bCs/>
          <w:sz w:val="32"/>
          <w:szCs w:val="32"/>
        </w:rPr>
        <w:t>Challenging the Guidelines: Successful Percutaneous Mitral Valvuloplasty in a Case of Left Atrial Thrombus</w:t>
      </w:r>
    </w:p>
    <w:p w14:paraId="72FF3693" w14:textId="77777777" w:rsidR="00A258C3" w:rsidRPr="00156515" w:rsidRDefault="00A258C3" w:rsidP="00441B6F">
      <w:pPr>
        <w:pStyle w:val="Author"/>
        <w:spacing w:line="240" w:lineRule="auto"/>
        <w:jc w:val="both"/>
        <w:rPr>
          <w:rFonts w:ascii="Arial" w:hAnsi="Arial" w:cs="Arial"/>
          <w:sz w:val="36"/>
        </w:rPr>
      </w:pPr>
    </w:p>
    <w:p w14:paraId="31889F1A" w14:textId="77777777" w:rsidR="00790ADA" w:rsidRPr="00156515" w:rsidRDefault="00790ADA" w:rsidP="00441B6F">
      <w:pPr>
        <w:pStyle w:val="Affiliation"/>
        <w:spacing w:after="0" w:line="240" w:lineRule="auto"/>
        <w:jc w:val="both"/>
        <w:rPr>
          <w:rFonts w:ascii="Arial" w:hAnsi="Arial" w:cs="Arial"/>
        </w:rPr>
      </w:pPr>
    </w:p>
    <w:p w14:paraId="614C649C" w14:textId="77777777" w:rsidR="002C57D2" w:rsidRPr="00156515" w:rsidRDefault="002C57D2" w:rsidP="00441B6F">
      <w:pPr>
        <w:pStyle w:val="Affiliation"/>
        <w:spacing w:after="0" w:line="240" w:lineRule="auto"/>
        <w:jc w:val="both"/>
        <w:rPr>
          <w:rFonts w:ascii="Arial" w:hAnsi="Arial" w:cs="Arial"/>
        </w:rPr>
      </w:pPr>
    </w:p>
    <w:p w14:paraId="4ABCAF67" w14:textId="3DBA63F9" w:rsidR="00B01FCD" w:rsidRPr="00156515" w:rsidRDefault="004417EE" w:rsidP="00441B6F">
      <w:pPr>
        <w:pStyle w:val="Copyright"/>
        <w:spacing w:after="0" w:line="240" w:lineRule="auto"/>
        <w:jc w:val="both"/>
        <w:rPr>
          <w:rFonts w:ascii="Arial" w:hAnsi="Arial" w:cs="Arial"/>
        </w:rPr>
        <w:sectPr w:rsidR="00B01FCD" w:rsidRPr="00156515" w:rsidSect="004A06A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56515">
        <w:rPr>
          <w:rFonts w:ascii="Arial" w:hAnsi="Arial" w:cs="Arial"/>
          <w:noProof/>
        </w:rPr>
        <mc:AlternateContent>
          <mc:Choice Requires="wps">
            <w:drawing>
              <wp:inline distT="0" distB="0" distL="0" distR="0" wp14:anchorId="4B1E87D3" wp14:editId="6712224A">
                <wp:extent cx="5303520" cy="635"/>
                <wp:effectExtent l="15240" t="17145" r="15240" b="11430"/>
                <wp:docPr id="8270221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FCF551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156515">
        <w:rPr>
          <w:rFonts w:ascii="Arial" w:hAnsi="Arial" w:cs="Arial"/>
        </w:rPr>
        <w:t>.</w:t>
      </w:r>
    </w:p>
    <w:p w14:paraId="3693BEBB" w14:textId="0ABFCE38" w:rsidR="00790ADA" w:rsidRPr="00156515" w:rsidRDefault="00753E06" w:rsidP="00441B6F">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56515" w14:paraId="0179364E" w14:textId="77777777" w:rsidTr="001E44FE">
        <w:tc>
          <w:tcPr>
            <w:tcW w:w="9576" w:type="dxa"/>
            <w:shd w:val="clear" w:color="auto" w:fill="F2F2F2"/>
          </w:tcPr>
          <w:p w14:paraId="446D089E" w14:textId="77777777" w:rsidR="00156515" w:rsidRPr="00156515" w:rsidRDefault="00156515" w:rsidP="00156515">
            <w:pPr>
              <w:jc w:val="both"/>
              <w:rPr>
                <w:rFonts w:ascii="Arial" w:hAnsi="Arial" w:cs="Arial"/>
                <w:b/>
                <w:bCs/>
              </w:rPr>
            </w:pPr>
            <w:r w:rsidRPr="00156515">
              <w:rPr>
                <w:rFonts w:ascii="Arial" w:eastAsia="Calibri" w:hAnsi="Arial" w:cs="Arial"/>
                <w:b/>
                <w:szCs w:val="22"/>
                <w:lang w:val="en-GB"/>
              </w:rPr>
              <w:t xml:space="preserve">Aims: </w:t>
            </w:r>
            <w:r w:rsidRPr="00156515">
              <w:rPr>
                <w:rFonts w:ascii="Arial" w:hAnsi="Arial" w:cs="Arial"/>
              </w:rPr>
              <w:t>Mitral stenosis is strongly associated with atrial fibrillation and consequent thrombus formation in the left atrial appendage (LAA), posing a significant risk for cardioembolic stroke. Oral anticoagulation remains the standard of care; however, challenges such as persistent thrombus, bleeding risks, and patient non-compliance have prompted investigation into alternative strategies, including percutaneous LAA closure. Traditionally considered a contraindication, the presence of LAA thrombus is now being reevaluated in light of emerging techniques and procedural safeguards</w:t>
            </w:r>
            <w:r w:rsidRPr="00156515">
              <w:rPr>
                <w:rFonts w:ascii="Arial" w:eastAsia="Calibri" w:hAnsi="Arial" w:cs="Arial"/>
                <w:szCs w:val="22"/>
                <w:lang w:val="en-GB"/>
              </w:rPr>
              <w:t>.</w:t>
            </w:r>
          </w:p>
          <w:p w14:paraId="25F06EA4" w14:textId="77777777" w:rsidR="00156515" w:rsidRPr="00156515" w:rsidRDefault="00156515" w:rsidP="00156515">
            <w:pPr>
              <w:pStyle w:val="Body"/>
              <w:spacing w:after="0"/>
              <w:rPr>
                <w:rFonts w:ascii="Arial" w:eastAsia="Calibri" w:hAnsi="Arial" w:cs="Arial"/>
                <w:szCs w:val="22"/>
              </w:rPr>
            </w:pPr>
            <w:r w:rsidRPr="00156515">
              <w:rPr>
                <w:rFonts w:ascii="Arial" w:eastAsia="Calibri" w:hAnsi="Arial" w:cs="Arial"/>
                <w:b/>
                <w:szCs w:val="22"/>
                <w:lang w:val="en-GB"/>
              </w:rPr>
              <w:t>Presentation of Case:</w:t>
            </w:r>
            <w:r w:rsidRPr="00156515">
              <w:rPr>
                <w:rFonts w:ascii="Arial" w:eastAsia="Calibri" w:hAnsi="Arial" w:cs="Arial"/>
                <w:szCs w:val="22"/>
                <w:lang w:val="en-GB"/>
              </w:rPr>
              <w:t xml:space="preserve">  </w:t>
            </w:r>
            <w:r w:rsidRPr="00156515">
              <w:rPr>
                <w:rFonts w:ascii="Arial" w:eastAsia="Calibri" w:hAnsi="Arial" w:cs="Arial"/>
                <w:szCs w:val="22"/>
              </w:rPr>
              <w:t>A 57-year-old woman with rheumatic mitral stenosis presented with progressive exertional dyspnea and orthopnea. Examination revealed signs consistent with severe mitral stenosis, and TTE confirmed a valve area of 0.7 cm² without thrombus. She was scheduled for PBMV, but pre-procedural TEE revealed a small left atrial thrombus (1.2 × 1.1 cm), leading to temporary postponement. After three days of intravenous heparin, follow-up TEE showed thrombus reduction, and PBMV was successfully performed using a 25-mm Inoue balloon. Post-procedure, the mitral valve area improved to 1.5 cm² with no complications. The patient was discharged on warfarin and remained symptom-free on follow-up.</w:t>
            </w:r>
          </w:p>
          <w:p w14:paraId="13D149DF" w14:textId="77777777" w:rsidR="00156515" w:rsidRPr="00156515" w:rsidRDefault="00156515" w:rsidP="00156515">
            <w:pPr>
              <w:pStyle w:val="Body"/>
              <w:spacing w:after="0"/>
              <w:rPr>
                <w:rFonts w:ascii="Arial" w:eastAsia="Calibri" w:hAnsi="Arial" w:cs="Arial"/>
                <w:szCs w:val="22"/>
                <w:lang w:val="en-GB"/>
              </w:rPr>
            </w:pPr>
            <w:r w:rsidRPr="00156515">
              <w:rPr>
                <w:rFonts w:ascii="Arial" w:eastAsia="Calibri" w:hAnsi="Arial" w:cs="Arial"/>
                <w:b/>
                <w:szCs w:val="22"/>
                <w:lang w:val="en-GB"/>
              </w:rPr>
              <w:t>Discussion and Conclusion:</w:t>
            </w:r>
            <w:r w:rsidRPr="00156515">
              <w:rPr>
                <w:rFonts w:ascii="Arial" w:eastAsia="Calibri" w:hAnsi="Arial" w:cs="Arial"/>
                <w:szCs w:val="22"/>
                <w:lang w:val="en-GB"/>
              </w:rPr>
              <w:t xml:space="preserve"> </w:t>
            </w:r>
            <w:r w:rsidRPr="00156515">
              <w:rPr>
                <w:rFonts w:ascii="Arial" w:eastAsia="Calibri" w:hAnsi="Arial" w:cs="Arial"/>
                <w:szCs w:val="22"/>
              </w:rPr>
              <w:t>Left atrial (LA) thrombus occurs in 10–25% of patients with rheumatic mitral stenosis and is often associated with atrial fibrillation and left atrial enlargement.</w:t>
            </w:r>
            <w:r w:rsidRPr="00156515">
              <w:rPr>
                <w:rFonts w:ascii="Arial" w:hAnsi="Arial" w:cs="Arial"/>
              </w:rPr>
              <w:t xml:space="preserve"> </w:t>
            </w:r>
            <w:r w:rsidRPr="00156515">
              <w:rPr>
                <w:rFonts w:ascii="Arial" w:eastAsia="Calibri" w:hAnsi="Arial" w:cs="Arial"/>
                <w:szCs w:val="22"/>
              </w:rPr>
              <w:t>In this case, type of LA thrombus responsive to iv anticoagulant, allowing safe PBMV using a modified over-the-wire technique that minimized thrombus disturbance. This suggests that, with careful assessment and technique, LA thrombus may not be an absolute contraindication to PBMV</w:t>
            </w:r>
            <w:r w:rsidRPr="00156515">
              <w:rPr>
                <w:rFonts w:ascii="Arial" w:eastAsia="Calibri" w:hAnsi="Arial" w:cs="Arial"/>
                <w:szCs w:val="22"/>
                <w:lang w:val="en-GB"/>
              </w:rPr>
              <w:t>.</w:t>
            </w:r>
          </w:p>
          <w:p w14:paraId="3B7B3A52" w14:textId="22E19DBC" w:rsidR="00505F06" w:rsidRPr="00156515" w:rsidRDefault="00505F06" w:rsidP="00441B6F">
            <w:pPr>
              <w:pStyle w:val="Body"/>
              <w:spacing w:after="0"/>
              <w:rPr>
                <w:rFonts w:ascii="Arial" w:eastAsia="Calibri" w:hAnsi="Arial" w:cs="Arial"/>
                <w:szCs w:val="22"/>
              </w:rPr>
            </w:pPr>
          </w:p>
        </w:tc>
      </w:tr>
    </w:tbl>
    <w:p w14:paraId="22251200" w14:textId="77777777" w:rsidR="00636EB2" w:rsidRPr="00156515" w:rsidRDefault="00636EB2" w:rsidP="00441B6F">
      <w:pPr>
        <w:pStyle w:val="Body"/>
        <w:spacing w:after="0"/>
        <w:rPr>
          <w:rFonts w:ascii="Arial" w:hAnsi="Arial" w:cs="Arial"/>
          <w:i/>
        </w:rPr>
      </w:pPr>
    </w:p>
    <w:p w14:paraId="0654B5AA" w14:textId="57B427CD" w:rsidR="00B52896" w:rsidRPr="00156515" w:rsidRDefault="00A24E7E" w:rsidP="00156515">
      <w:pPr>
        <w:pStyle w:val="Body"/>
        <w:spacing w:after="0"/>
        <w:rPr>
          <w:rFonts w:ascii="Arial" w:hAnsi="Arial" w:cs="Arial"/>
          <w:i/>
        </w:rPr>
      </w:pPr>
      <w:r w:rsidRPr="00156515">
        <w:rPr>
          <w:rFonts w:ascii="Arial" w:hAnsi="Arial" w:cs="Arial"/>
          <w:i/>
        </w:rPr>
        <w:t xml:space="preserve">Keywords: </w:t>
      </w:r>
      <w:r w:rsidR="00156515" w:rsidRPr="00156515">
        <w:rPr>
          <w:rFonts w:ascii="Arial" w:hAnsi="Arial" w:cs="Arial"/>
          <w:i/>
          <w:iCs/>
        </w:rPr>
        <w:t xml:space="preserve">Left atrial appendage, thrombus, mitral stenosis, percutaneous balloon mitral </w:t>
      </w:r>
      <w:proofErr w:type="spellStart"/>
      <w:r w:rsidR="00156515" w:rsidRPr="00156515">
        <w:rPr>
          <w:rFonts w:ascii="Arial" w:hAnsi="Arial" w:cs="Arial"/>
          <w:i/>
          <w:iCs/>
        </w:rPr>
        <w:t>valvulopasty</w:t>
      </w:r>
      <w:proofErr w:type="spellEnd"/>
    </w:p>
    <w:p w14:paraId="7AC9F533" w14:textId="77777777" w:rsidR="0024282C" w:rsidRPr="00156515" w:rsidRDefault="0024282C" w:rsidP="00441B6F">
      <w:pPr>
        <w:pStyle w:val="Body"/>
        <w:spacing w:after="0"/>
        <w:rPr>
          <w:rFonts w:ascii="Arial" w:hAnsi="Arial" w:cs="Arial"/>
          <w:i/>
          <w:sz w:val="18"/>
        </w:rPr>
      </w:pPr>
    </w:p>
    <w:p w14:paraId="30D09971" w14:textId="77777777" w:rsidR="00505F06" w:rsidRPr="00156515" w:rsidRDefault="00505F06" w:rsidP="00441B6F">
      <w:pPr>
        <w:pStyle w:val="Body"/>
        <w:spacing w:after="0"/>
        <w:rPr>
          <w:rFonts w:ascii="Arial" w:hAnsi="Arial" w:cs="Arial"/>
          <w:i/>
        </w:rPr>
      </w:pPr>
    </w:p>
    <w:p w14:paraId="4D9B5DE4" w14:textId="10E0EF0B" w:rsidR="007F7B32" w:rsidRPr="00156515" w:rsidRDefault="00902823" w:rsidP="00441B6F">
      <w:pPr>
        <w:pStyle w:val="AbstHead"/>
        <w:spacing w:after="0"/>
        <w:jc w:val="both"/>
        <w:rPr>
          <w:rFonts w:ascii="Arial" w:hAnsi="Arial" w:cs="Arial"/>
        </w:rPr>
      </w:pPr>
      <w:r w:rsidRPr="00156515">
        <w:rPr>
          <w:rFonts w:ascii="Arial" w:hAnsi="Arial" w:cs="Arial"/>
        </w:rPr>
        <w:t xml:space="preserve">1. </w:t>
      </w:r>
      <w:r w:rsidR="00B01FCD" w:rsidRPr="00156515">
        <w:rPr>
          <w:rFonts w:ascii="Arial" w:hAnsi="Arial" w:cs="Arial"/>
        </w:rPr>
        <w:t>INTRODUCTION</w:t>
      </w:r>
    </w:p>
    <w:p w14:paraId="5C6DC580" w14:textId="77777777" w:rsidR="00790ADA" w:rsidRPr="00156515" w:rsidRDefault="00790ADA" w:rsidP="00441B6F">
      <w:pPr>
        <w:pStyle w:val="AbstHead"/>
        <w:spacing w:after="0"/>
        <w:jc w:val="both"/>
        <w:rPr>
          <w:rFonts w:ascii="Arial" w:hAnsi="Arial" w:cs="Arial"/>
        </w:rPr>
      </w:pPr>
    </w:p>
    <w:p w14:paraId="1D53A6C9" w14:textId="495A0111" w:rsidR="00156515" w:rsidRPr="008E738C" w:rsidRDefault="00156515" w:rsidP="008E738C">
      <w:pPr>
        <w:ind w:firstLine="720"/>
        <w:jc w:val="both"/>
        <w:rPr>
          <w:rFonts w:ascii="Arial" w:hAnsi="Arial" w:cs="Arial"/>
        </w:rPr>
      </w:pPr>
      <w:r w:rsidRPr="00156515">
        <w:rPr>
          <w:rFonts w:ascii="Arial" w:hAnsi="Arial" w:cs="Arial"/>
        </w:rPr>
        <w:t>Percutaneous balloon mitral valvuloplasty (PBMV) is a safe approved procedure in patients with severe mitral stenosis</w:t>
      </w:r>
      <w:r w:rsidR="008E738C">
        <w:rPr>
          <w:rFonts w:ascii="Arial" w:hAnsi="Arial" w:cs="Arial"/>
        </w:rPr>
        <w:t xml:space="preserve"> (</w:t>
      </w:r>
      <w:proofErr w:type="spellStart"/>
      <w:r w:rsidR="008E738C" w:rsidRPr="00CD4929">
        <w:rPr>
          <w:rFonts w:ascii="Arial" w:hAnsi="Arial" w:cs="Arial"/>
        </w:rPr>
        <w:t>Coisne</w:t>
      </w:r>
      <w:proofErr w:type="spellEnd"/>
      <w:r w:rsidR="008E738C" w:rsidRPr="00CD4929">
        <w:rPr>
          <w:rFonts w:ascii="Arial" w:hAnsi="Arial" w:cs="Arial"/>
        </w:rPr>
        <w:t xml:space="preserve">, Augustin, et al. </w:t>
      </w:r>
      <w:r w:rsidR="008E738C">
        <w:rPr>
          <w:rFonts w:ascii="Arial" w:hAnsi="Arial" w:cs="Arial"/>
        </w:rPr>
        <w:t xml:space="preserve">2023). </w:t>
      </w:r>
      <w:r w:rsidRPr="00156515">
        <w:rPr>
          <w:rFonts w:ascii="Arial" w:hAnsi="Arial" w:cs="Arial"/>
        </w:rPr>
        <w:t>One of the contraindications of the procedure is presence of a left atrial thrombus</w:t>
      </w:r>
      <w:r w:rsidR="008E738C">
        <w:rPr>
          <w:rFonts w:ascii="Arial" w:hAnsi="Arial" w:cs="Arial"/>
        </w:rPr>
        <w:t xml:space="preserve">, </w:t>
      </w:r>
      <w:r w:rsidRPr="00156515">
        <w:rPr>
          <w:rFonts w:ascii="Arial" w:hAnsi="Arial" w:cs="Arial"/>
        </w:rPr>
        <w:t>seen on transesophageal echocardiogram (TEE)</w:t>
      </w:r>
      <w:r w:rsidR="007001E7">
        <w:rPr>
          <w:rFonts w:ascii="Arial" w:hAnsi="Arial" w:cs="Arial"/>
        </w:rPr>
        <w:t xml:space="preserve"> (</w:t>
      </w:r>
      <w:r w:rsidR="007001E7" w:rsidRPr="008E738C">
        <w:rPr>
          <w:rFonts w:ascii="Arial" w:hAnsi="Arial" w:cs="Arial"/>
        </w:rPr>
        <w:t xml:space="preserve">Sharma S, Kolekar SS. 2015). </w:t>
      </w:r>
      <w:r w:rsidRPr="00156515">
        <w:rPr>
          <w:rFonts w:ascii="Arial" w:hAnsi="Arial" w:cs="Arial"/>
        </w:rPr>
        <w:t xml:space="preserve">However, there have been report that PBMV, using can be performed safely in patients with left atrial appendage thrombus who are on anticoagulation therapy. It has also been reported that intense warfarin therapy may lead to dissolution of left atrial thrombus, following which successful PBMV can </w:t>
      </w:r>
      <w:r w:rsidRPr="00156515">
        <w:rPr>
          <w:rFonts w:ascii="Arial" w:hAnsi="Arial" w:cs="Arial"/>
        </w:rPr>
        <w:lastRenderedPageBreak/>
        <w:t>be performed.</w:t>
      </w:r>
      <w:r w:rsidR="008E738C">
        <w:rPr>
          <w:rFonts w:ascii="Arial" w:hAnsi="Arial" w:cs="Arial"/>
        </w:rPr>
        <w:t xml:space="preserve"> </w:t>
      </w:r>
      <w:r w:rsidR="008E738C" w:rsidRPr="00156515">
        <w:rPr>
          <w:rFonts w:ascii="Arial" w:hAnsi="Arial" w:cs="Arial"/>
        </w:rPr>
        <w:t>The authors report a patient who was referred for PBMV and was found to have a left atrial thrombus. After intense warfarin therapy, successful PBMV was undertaken without complications</w:t>
      </w:r>
    </w:p>
    <w:p w14:paraId="2D322D3C" w14:textId="77777777" w:rsidR="00156515" w:rsidRPr="00156515" w:rsidRDefault="00156515" w:rsidP="00156515">
      <w:pPr>
        <w:pStyle w:val="Body"/>
        <w:spacing w:after="0"/>
        <w:rPr>
          <w:rFonts w:ascii="Arial" w:hAnsi="Arial" w:cs="Arial"/>
          <w:lang w:val="en-GB"/>
        </w:rPr>
      </w:pPr>
    </w:p>
    <w:p w14:paraId="78FE23D2" w14:textId="77777777" w:rsidR="00156515" w:rsidRPr="00156515" w:rsidRDefault="00156515" w:rsidP="00156515">
      <w:pPr>
        <w:pStyle w:val="AbstHead"/>
        <w:spacing w:after="0"/>
        <w:jc w:val="both"/>
        <w:rPr>
          <w:rFonts w:ascii="Arial" w:hAnsi="Arial" w:cs="Arial"/>
          <w:lang w:val="en-GB"/>
        </w:rPr>
      </w:pPr>
      <w:r w:rsidRPr="00156515">
        <w:rPr>
          <w:rFonts w:ascii="Arial" w:hAnsi="Arial" w:cs="Arial"/>
          <w:lang w:val="en-GB"/>
        </w:rPr>
        <w:t xml:space="preserve">2. PRESENTATION OF CASE </w:t>
      </w:r>
    </w:p>
    <w:p w14:paraId="48B12500" w14:textId="77777777" w:rsidR="00156515" w:rsidRPr="00156515" w:rsidRDefault="00156515" w:rsidP="00156515">
      <w:pPr>
        <w:pStyle w:val="AbstHead"/>
        <w:spacing w:after="0"/>
        <w:jc w:val="both"/>
        <w:rPr>
          <w:rFonts w:ascii="Arial" w:hAnsi="Arial" w:cs="Arial"/>
          <w:lang w:val="en-GB"/>
        </w:rPr>
      </w:pPr>
    </w:p>
    <w:p w14:paraId="4EE558A0" w14:textId="77777777" w:rsidR="00156515" w:rsidRPr="00156515" w:rsidRDefault="00156515" w:rsidP="00156515">
      <w:pPr>
        <w:ind w:firstLine="720"/>
        <w:jc w:val="both"/>
        <w:rPr>
          <w:rFonts w:ascii="Arial" w:hAnsi="Arial" w:cs="Arial"/>
        </w:rPr>
      </w:pPr>
      <w:r w:rsidRPr="00156515">
        <w:rPr>
          <w:rFonts w:ascii="Arial" w:hAnsi="Arial" w:cs="Arial"/>
        </w:rPr>
        <w:t>A 57-year-old woman with a history of rheumatic mitral stenosis was referred to our facility for percutaneous balloon mitral valvuloplasty (PBMV) due to worsening exertional dyspnea and orthopnea that had developed over the past six months. Her physical examination showed no signs of jugular venous distention; lung auscultation revealed mild pulmonary rales at the lung bases, while cardiac auscultation indicated an increased intensity of the first heart sound, an opening snap, and a mid-diastolic rumble. There was no pedal edema noted. The electrocardiogram demonstrated atrial fibrillation at a rate of 70 beats per minute, along with nonspecific ST and T wave changes.</w:t>
      </w:r>
    </w:p>
    <w:p w14:paraId="4F85D3FB" w14:textId="77777777" w:rsidR="00156515" w:rsidRPr="00156515" w:rsidRDefault="00156515" w:rsidP="00156515">
      <w:pPr>
        <w:ind w:firstLine="720"/>
        <w:jc w:val="both"/>
        <w:rPr>
          <w:rFonts w:ascii="Arial" w:hAnsi="Arial" w:cs="Arial"/>
        </w:rPr>
      </w:pPr>
      <w:r w:rsidRPr="00156515">
        <w:rPr>
          <w:rFonts w:ascii="Arial" w:hAnsi="Arial" w:cs="Arial"/>
        </w:rPr>
        <w:t xml:space="preserve">At the initial evaluation, her medication regimen included 5 mg of warfarin daily, with an average INR of approximately 2.0. A transthoracic echocardiogram (TTE) was performed, revealing severe mitral stenosis, with a calculated mitral valve area of 0.7 cm². The mitral leaflets were slightly thickened yet highly mobile with minimal restriction, and there was a trivial degree of mitral regurgitation. No calcification was observed in the leaflets or </w:t>
      </w:r>
      <w:proofErr w:type="spellStart"/>
      <w:r w:rsidRPr="00156515">
        <w:rPr>
          <w:rFonts w:ascii="Arial" w:hAnsi="Arial" w:cs="Arial"/>
        </w:rPr>
        <w:t>subvalvular</w:t>
      </w:r>
      <w:proofErr w:type="spellEnd"/>
      <w:r w:rsidRPr="00156515">
        <w:rPr>
          <w:rFonts w:ascii="Arial" w:hAnsi="Arial" w:cs="Arial"/>
        </w:rPr>
        <w:t xml:space="preserve"> structures, and no thrombus was present in the left atrial appendage at that time (</w:t>
      </w:r>
      <w:r w:rsidRPr="00156515">
        <w:rPr>
          <w:rFonts w:ascii="Arial" w:hAnsi="Arial" w:cs="Arial"/>
          <w:b/>
          <w:bCs/>
        </w:rPr>
        <w:t>Figure 1</w:t>
      </w:r>
      <w:r w:rsidRPr="00156515">
        <w:rPr>
          <w:rFonts w:ascii="Arial" w:hAnsi="Arial" w:cs="Arial"/>
        </w:rPr>
        <w:t>).</w:t>
      </w:r>
    </w:p>
    <w:p w14:paraId="5C222690" w14:textId="77777777" w:rsidR="00156515" w:rsidRPr="00156515" w:rsidRDefault="00156515" w:rsidP="00156515">
      <w:pPr>
        <w:ind w:firstLine="720"/>
        <w:jc w:val="both"/>
        <w:rPr>
          <w:rFonts w:ascii="Arial" w:hAnsi="Arial" w:cs="Arial"/>
        </w:rPr>
      </w:pPr>
      <w:r w:rsidRPr="00156515">
        <w:rPr>
          <w:rFonts w:ascii="Arial" w:hAnsi="Arial" w:cs="Arial"/>
        </w:rPr>
        <w:t>The patient was scheduled for PBMV. Before the procedure, she was admitted to the hospital for a transesophageal echocardiogram (TEE), which detected a small mass consistent with thrombus in the left atrial cavity of size 1.2 cm x 1.1 cm (</w:t>
      </w:r>
      <w:r w:rsidRPr="00156515">
        <w:rPr>
          <w:rFonts w:ascii="Arial" w:hAnsi="Arial" w:cs="Arial"/>
          <w:b/>
          <w:bCs/>
        </w:rPr>
        <w:t>Figure 2</w:t>
      </w:r>
      <w:r w:rsidRPr="00156515">
        <w:rPr>
          <w:rFonts w:ascii="Arial" w:hAnsi="Arial" w:cs="Arial"/>
        </w:rPr>
        <w:t>). Consequently, the procedure was postponed, and anticoagulation therapy was transitioned from warfarin to intravenous heparin for three days. A follow-up TEE showed that the thrombus had decreased in size compared to the initial observation, allowing PBMV to proceed. Undergoing PBMV with a 25-mm Inoue balloon, the procedure had no complications. (</w:t>
      </w:r>
      <w:r w:rsidRPr="00156515">
        <w:rPr>
          <w:rFonts w:ascii="Arial" w:hAnsi="Arial" w:cs="Arial"/>
          <w:b/>
          <w:bCs/>
        </w:rPr>
        <w:t>figure 3</w:t>
      </w:r>
      <w:r w:rsidRPr="00156515">
        <w:rPr>
          <w:rFonts w:ascii="Arial" w:hAnsi="Arial" w:cs="Arial"/>
        </w:rPr>
        <w:t>). The mitral valve area improved from 0.7 cm² to 1.5 cm², and the left atrial to left ventricular gradient decreased from 7 mmHg to 2 mmHg. She remained hospitalized for an additional 48 hours, during which period her warfarin therapy was restarted. During subsequent follow-up, the patient reported being symptom-free with no signs of embolic events</w:t>
      </w:r>
    </w:p>
    <w:p w14:paraId="252E4F1C" w14:textId="77777777" w:rsidR="00156515" w:rsidRPr="00156515" w:rsidRDefault="00156515" w:rsidP="00156515">
      <w:pPr>
        <w:pStyle w:val="Body"/>
        <w:spacing w:after="0"/>
        <w:rPr>
          <w:rFonts w:ascii="Arial" w:hAnsi="Arial" w:cs="Arial"/>
          <w:bCs/>
          <w:lang w:val="en-GB"/>
        </w:rPr>
      </w:pPr>
    </w:p>
    <w:p w14:paraId="7C9DB51E" w14:textId="77777777" w:rsidR="00156515" w:rsidRPr="00156515" w:rsidRDefault="00156515" w:rsidP="00156515">
      <w:pPr>
        <w:pStyle w:val="Body"/>
        <w:spacing w:after="0"/>
        <w:rPr>
          <w:rFonts w:ascii="Arial" w:hAnsi="Arial" w:cs="Arial"/>
          <w:lang w:val="en-GB"/>
        </w:rPr>
      </w:pPr>
    </w:p>
    <w:p w14:paraId="493A38D5" w14:textId="77777777" w:rsidR="00156515" w:rsidRPr="00156515" w:rsidRDefault="00156515" w:rsidP="00156515">
      <w:pPr>
        <w:pStyle w:val="Head1"/>
        <w:spacing w:after="0"/>
        <w:jc w:val="both"/>
        <w:rPr>
          <w:rFonts w:ascii="Arial" w:hAnsi="Arial" w:cs="Arial"/>
          <w:lang w:val="en-GB"/>
        </w:rPr>
      </w:pPr>
      <w:r w:rsidRPr="00156515">
        <w:rPr>
          <w:rFonts w:ascii="Arial" w:hAnsi="Arial" w:cs="Arial"/>
          <w:lang w:val="en-GB"/>
        </w:rPr>
        <w:t>3. discussion</w:t>
      </w:r>
    </w:p>
    <w:p w14:paraId="59A323CF" w14:textId="77777777" w:rsidR="00156515" w:rsidRPr="00156515" w:rsidRDefault="00156515" w:rsidP="00156515">
      <w:pPr>
        <w:pStyle w:val="Head1"/>
        <w:spacing w:after="0"/>
        <w:jc w:val="both"/>
        <w:rPr>
          <w:rFonts w:ascii="Arial" w:hAnsi="Arial" w:cs="Arial"/>
          <w:lang w:val="en-GB"/>
        </w:rPr>
      </w:pPr>
    </w:p>
    <w:p w14:paraId="62A1B3A2" w14:textId="6C0B24B0" w:rsidR="00156515" w:rsidRPr="00156515" w:rsidRDefault="00156515" w:rsidP="00156515">
      <w:pPr>
        <w:ind w:firstLine="720"/>
        <w:jc w:val="both"/>
        <w:rPr>
          <w:rFonts w:ascii="Arial" w:hAnsi="Arial" w:cs="Arial"/>
        </w:rPr>
      </w:pPr>
      <w:r w:rsidRPr="00156515">
        <w:rPr>
          <w:rFonts w:ascii="Arial" w:hAnsi="Arial" w:cs="Arial"/>
        </w:rPr>
        <w:t>The occurrence of left atrial thrombi in patients with rheumatic mitral stenosis varies from 10% to 25% in pathological and surgical series.</w:t>
      </w:r>
      <w:r w:rsidR="00B02CDD" w:rsidRPr="00B02CDD">
        <w:rPr>
          <w:rFonts w:ascii="Arial" w:hAnsi="Arial" w:cs="Arial"/>
        </w:rPr>
        <w:t xml:space="preserve"> </w:t>
      </w:r>
      <w:r w:rsidR="00B02CDD">
        <w:rPr>
          <w:rFonts w:ascii="Arial" w:hAnsi="Arial" w:cs="Arial"/>
        </w:rPr>
        <w:t>(</w:t>
      </w:r>
      <w:r w:rsidR="00B02CDD" w:rsidRPr="00CD4929">
        <w:rPr>
          <w:rFonts w:ascii="Arial" w:hAnsi="Arial" w:cs="Arial"/>
        </w:rPr>
        <w:t xml:space="preserve">Hasan, 2021). </w:t>
      </w:r>
      <w:r w:rsidRPr="00156515">
        <w:rPr>
          <w:rFonts w:ascii="Arial" w:hAnsi="Arial" w:cs="Arial"/>
        </w:rPr>
        <w:t xml:space="preserve"> The transthoracic echocardiogram has a sensitivity of 59% and a specificity of 99% for detecting left atrial thrombi. False-negative results are often due to thrombi that are situated in the left atrial appendage or laminated, organized thrombus that is adhered to the atrial wall. TEE is highly accurate for diagnosing left atrial thrombi and is currently the preferred method. Such thrombus formation can occur in patients with atrial fibrillation, mitral stenosis, enlarged left atrial cavities, and low cardiac indices, all of which promote blood stasis.</w:t>
      </w:r>
      <w:r w:rsidR="00B02CDD" w:rsidRPr="00B02CDD">
        <w:rPr>
          <w:rFonts w:ascii="Arial" w:hAnsi="Arial" w:cs="Arial"/>
        </w:rPr>
        <w:t xml:space="preserve"> </w:t>
      </w:r>
      <w:r w:rsidR="00B02CDD">
        <w:rPr>
          <w:rFonts w:ascii="Arial" w:hAnsi="Arial" w:cs="Arial"/>
        </w:rPr>
        <w:t>(A</w:t>
      </w:r>
      <w:r w:rsidR="00B02CDD" w:rsidRPr="008E738C">
        <w:rPr>
          <w:rFonts w:ascii="Arial" w:hAnsi="Arial" w:cs="Arial"/>
        </w:rPr>
        <w:t>shraf, T.et al. 2024)</w:t>
      </w:r>
      <w:r w:rsidR="00B02CDD">
        <w:rPr>
          <w:rFonts w:ascii="Arial" w:hAnsi="Arial" w:cs="Arial"/>
        </w:rPr>
        <w:t>.</w:t>
      </w:r>
      <w:r w:rsidRPr="00156515">
        <w:rPr>
          <w:rFonts w:ascii="Arial" w:hAnsi="Arial" w:cs="Arial"/>
        </w:rPr>
        <w:t xml:space="preserve"> Additional risk factors for thromboembolic events, aside from the presence of left atrial thrombus, include advanced age, atrial fibrillation, previous valve surgery, and a history of thromboembolic incidents. The natural course and mechanisms underlying left atrial thrombus formation remain uncertain. Experimental studies have indicated that echogenic contrasts are linked to red blood cell aggregation and require fibrinogen's presence.</w:t>
      </w:r>
      <w:r w:rsidR="00B02CDD" w:rsidRPr="00B02CDD">
        <w:rPr>
          <w:rFonts w:ascii="Arial" w:hAnsi="Arial" w:cs="Arial"/>
        </w:rPr>
        <w:t xml:space="preserve"> </w:t>
      </w:r>
      <w:r w:rsidR="00B02CDD">
        <w:rPr>
          <w:rFonts w:ascii="Arial" w:hAnsi="Arial" w:cs="Arial"/>
        </w:rPr>
        <w:t>(</w:t>
      </w:r>
      <w:r w:rsidR="00B02CDD" w:rsidRPr="008E738C">
        <w:rPr>
          <w:rFonts w:ascii="Arial" w:hAnsi="Arial" w:cs="Arial"/>
        </w:rPr>
        <w:t>Branco, Luísa Moura. 2024).</w:t>
      </w:r>
    </w:p>
    <w:p w14:paraId="70753C38" w14:textId="6BE5CB32" w:rsidR="00156515" w:rsidRPr="00156515" w:rsidRDefault="00156515" w:rsidP="00156515">
      <w:pPr>
        <w:ind w:firstLine="720"/>
        <w:jc w:val="both"/>
        <w:rPr>
          <w:rFonts w:ascii="Arial" w:hAnsi="Arial" w:cs="Arial"/>
        </w:rPr>
      </w:pPr>
      <w:r w:rsidRPr="00156515">
        <w:rPr>
          <w:rFonts w:ascii="Arial" w:hAnsi="Arial" w:cs="Arial"/>
        </w:rPr>
        <w:t xml:space="preserve">The hemostatic conditions within the right and left atria in patients with mitral stenosis noted that fibrinopeptide A and thrombin-antithrombin III complex levels in the left atrium were significantly elevated compared to those in the right atrium or peripheral circulation, concluding that the coagulation system is activated in the left atrium of mitral stenosis patients, even while </w:t>
      </w:r>
      <w:r w:rsidRPr="00156515">
        <w:rPr>
          <w:rFonts w:ascii="Arial" w:hAnsi="Arial" w:cs="Arial"/>
        </w:rPr>
        <w:lastRenderedPageBreak/>
        <w:t xml:space="preserve">on anticoagulation. In another study, showed that anticoagulation with warfarin in mitral stenosis not only reduces systemic coagulation activity but is associated with greater reduction in the left atrial coagulation activity. </w:t>
      </w:r>
      <w:r w:rsidR="00B02CDD">
        <w:rPr>
          <w:rFonts w:ascii="Arial" w:hAnsi="Arial" w:cs="Arial"/>
        </w:rPr>
        <w:t>(</w:t>
      </w:r>
      <w:r w:rsidR="00B02CDD" w:rsidRPr="008E738C">
        <w:rPr>
          <w:rFonts w:ascii="Arial" w:hAnsi="Arial" w:cs="Arial"/>
        </w:rPr>
        <w:t>Gupta, A. V.2019).</w:t>
      </w:r>
    </w:p>
    <w:p w14:paraId="5C941F89" w14:textId="68AD22A2" w:rsidR="00156515" w:rsidRPr="00156515" w:rsidRDefault="00156515" w:rsidP="00156515">
      <w:pPr>
        <w:ind w:firstLine="720"/>
        <w:jc w:val="both"/>
        <w:rPr>
          <w:rFonts w:ascii="Arial" w:hAnsi="Arial" w:cs="Arial"/>
        </w:rPr>
      </w:pPr>
      <w:r w:rsidRPr="00156515">
        <w:rPr>
          <w:rFonts w:ascii="Arial" w:hAnsi="Arial" w:cs="Arial"/>
        </w:rPr>
        <w:t xml:space="preserve">It is known that, in mitral stenosis, atrial thrombi may be in multiple locations in the left atrium (LA), and may even be loose and mobile in the atrial cavity, but in around half of cases are located in the LAA. </w:t>
      </w:r>
      <w:r w:rsidR="00B02CDD">
        <w:rPr>
          <w:rFonts w:ascii="Arial" w:hAnsi="Arial" w:cs="Arial"/>
        </w:rPr>
        <w:t>(</w:t>
      </w:r>
      <w:r w:rsidR="00B02CDD" w:rsidRPr="008E738C">
        <w:rPr>
          <w:rFonts w:ascii="Arial" w:hAnsi="Arial" w:cs="Arial"/>
        </w:rPr>
        <w:t>Miika, K</w:t>
      </w:r>
      <w:r w:rsidR="00B02CDD">
        <w:rPr>
          <w:rFonts w:ascii="Arial" w:hAnsi="Arial" w:cs="Arial"/>
        </w:rPr>
        <w:t>. 2017).</w:t>
      </w:r>
      <w:r w:rsidR="00B02CDD" w:rsidRPr="00156515">
        <w:rPr>
          <w:rFonts w:ascii="Arial" w:hAnsi="Arial" w:cs="Arial"/>
        </w:rPr>
        <w:t xml:space="preserve"> </w:t>
      </w:r>
      <w:r w:rsidRPr="00156515">
        <w:rPr>
          <w:rFonts w:ascii="Arial" w:hAnsi="Arial" w:cs="Arial"/>
        </w:rPr>
        <w:t xml:space="preserve">Their presence is considered a contraindication for percutaneous mitral valvotomy, as they carry the risk of causing periprocedural thromboembolism, with its associated morbidity and mortality. Atrial thrombi are considered an indication for surgery in mitral stenosis. However, a period of anticoagulation can be tried, which may last up to six months. There </w:t>
      </w:r>
      <w:proofErr w:type="gramStart"/>
      <w:r w:rsidRPr="00156515">
        <w:rPr>
          <w:rFonts w:ascii="Arial" w:hAnsi="Arial" w:cs="Arial"/>
        </w:rPr>
        <w:t>was</w:t>
      </w:r>
      <w:proofErr w:type="gramEnd"/>
      <w:r w:rsidRPr="00156515">
        <w:rPr>
          <w:rFonts w:ascii="Arial" w:hAnsi="Arial" w:cs="Arial"/>
        </w:rPr>
        <w:t xml:space="preserve"> some clinicians studied the clinical features of intracardiac thrombi based on echocardiography and the effect of anticoagulant therapy. They found that thrombi were reduced in 29% cases and concluded the effect of anticoagulant therapy on the regression of thrombi depends on its age. </w:t>
      </w:r>
      <w:r w:rsidR="00B02CDD">
        <w:rPr>
          <w:rFonts w:ascii="Arial" w:hAnsi="Arial" w:cs="Arial"/>
        </w:rPr>
        <w:t>(A</w:t>
      </w:r>
      <w:r w:rsidR="00B02CDD" w:rsidRPr="008E738C">
        <w:rPr>
          <w:rFonts w:ascii="Arial" w:hAnsi="Arial" w:cs="Arial"/>
        </w:rPr>
        <w:t>shraf, T.et al. 2024)</w:t>
      </w:r>
    </w:p>
    <w:p w14:paraId="398AB9E4" w14:textId="5284BA6E" w:rsidR="00156515" w:rsidRPr="00156515" w:rsidRDefault="00156515" w:rsidP="00156515">
      <w:pPr>
        <w:ind w:firstLine="720"/>
        <w:jc w:val="both"/>
        <w:rPr>
          <w:rFonts w:ascii="Arial" w:hAnsi="Arial" w:cs="Arial"/>
        </w:rPr>
      </w:pPr>
      <w:r w:rsidRPr="00156515">
        <w:rPr>
          <w:rFonts w:ascii="Arial" w:hAnsi="Arial" w:cs="Arial"/>
        </w:rPr>
        <w:t xml:space="preserve">In this report, we found thrombus at left atrial cavity </w:t>
      </w:r>
      <w:proofErr w:type="gramStart"/>
      <w:r w:rsidRPr="00156515">
        <w:rPr>
          <w:rFonts w:ascii="Arial" w:hAnsi="Arial" w:cs="Arial"/>
        </w:rPr>
        <w:t>and  given</w:t>
      </w:r>
      <w:proofErr w:type="gramEnd"/>
      <w:r w:rsidRPr="00156515">
        <w:rPr>
          <w:rFonts w:ascii="Arial" w:hAnsi="Arial" w:cs="Arial"/>
        </w:rPr>
        <w:t xml:space="preserve"> intravenous heparin for three days with result a little bit decrease of thrombus size. Though from guideline, left atrial thrombus is one of contraindication, in selected patients of mitral stenosis with LA thrombus (type </w:t>
      </w:r>
      <w:proofErr w:type="spellStart"/>
      <w:r w:rsidRPr="00156515">
        <w:rPr>
          <w:rFonts w:ascii="Arial" w:hAnsi="Arial" w:cs="Arial"/>
        </w:rPr>
        <w:t>Ia</w:t>
      </w:r>
      <w:proofErr w:type="spellEnd"/>
      <w:r w:rsidRPr="00156515">
        <w:rPr>
          <w:rFonts w:ascii="Arial" w:hAnsi="Arial" w:cs="Arial"/>
        </w:rPr>
        <w:t xml:space="preserve">, </w:t>
      </w:r>
      <w:proofErr w:type="spellStart"/>
      <w:r w:rsidRPr="00156515">
        <w:rPr>
          <w:rFonts w:ascii="Arial" w:hAnsi="Arial" w:cs="Arial"/>
        </w:rPr>
        <w:t>Ib</w:t>
      </w:r>
      <w:proofErr w:type="spellEnd"/>
      <w:r w:rsidRPr="00156515">
        <w:rPr>
          <w:rFonts w:ascii="Arial" w:hAnsi="Arial" w:cs="Arial"/>
        </w:rPr>
        <w:t xml:space="preserve">, and </w:t>
      </w:r>
      <w:proofErr w:type="spellStart"/>
      <w:r w:rsidRPr="00156515">
        <w:rPr>
          <w:rFonts w:ascii="Arial" w:hAnsi="Arial" w:cs="Arial"/>
        </w:rPr>
        <w:t>IIa</w:t>
      </w:r>
      <w:proofErr w:type="spellEnd"/>
      <w:r w:rsidRPr="00156515">
        <w:rPr>
          <w:rFonts w:ascii="Arial" w:hAnsi="Arial" w:cs="Arial"/>
        </w:rPr>
        <w:t xml:space="preserve">), BMV can be performed safely with the modified over the wire technique. Our patient is LA thrombus type </w:t>
      </w:r>
      <w:proofErr w:type="spellStart"/>
      <w:r w:rsidRPr="00156515">
        <w:rPr>
          <w:rFonts w:ascii="Arial" w:hAnsi="Arial" w:cs="Arial"/>
        </w:rPr>
        <w:t>Ia</w:t>
      </w:r>
      <w:proofErr w:type="spellEnd"/>
      <w:r w:rsidRPr="00156515">
        <w:rPr>
          <w:rFonts w:ascii="Arial" w:hAnsi="Arial" w:cs="Arial"/>
        </w:rPr>
        <w:t xml:space="preserve">, which still acceptable been performed BMV with successful rate. The BMV technique is another thing for this type of mitral stenosis could be done. The transseptal technique is the most common technique used to perform BMV, with using one large balloon (Inoue balloon) comes with less complication. We adopted a modification of the over the wire </w:t>
      </w:r>
      <w:proofErr w:type="gramStart"/>
      <w:r w:rsidRPr="00156515">
        <w:rPr>
          <w:rFonts w:ascii="Arial" w:hAnsi="Arial" w:cs="Arial"/>
        </w:rPr>
        <w:t>technique ,</w:t>
      </w:r>
      <w:proofErr w:type="gramEnd"/>
      <w:r w:rsidRPr="00156515">
        <w:rPr>
          <w:rFonts w:ascii="Arial" w:hAnsi="Arial" w:cs="Arial"/>
        </w:rPr>
        <w:t xml:space="preserve"> LA was virtually excluded from the track of septal dilator and balloon catheter exchanges and hence the possibility of disturbing the thrombus was negligible. </w:t>
      </w:r>
      <w:r w:rsidR="00B02CDD">
        <w:rPr>
          <w:rFonts w:ascii="Arial" w:hAnsi="Arial" w:cs="Arial"/>
        </w:rPr>
        <w:t>(</w:t>
      </w:r>
      <w:r w:rsidR="00B02CDD" w:rsidRPr="008E738C">
        <w:rPr>
          <w:rFonts w:ascii="Arial" w:hAnsi="Arial" w:cs="Arial"/>
        </w:rPr>
        <w:t>Manjunath, C. N</w:t>
      </w:r>
      <w:r w:rsidR="00B02CDD">
        <w:rPr>
          <w:rFonts w:ascii="Arial" w:hAnsi="Arial" w:cs="Arial"/>
        </w:rPr>
        <w:t>.2009)</w:t>
      </w:r>
    </w:p>
    <w:p w14:paraId="1A0A219E" w14:textId="15EE6DB6" w:rsidR="00156515" w:rsidRPr="00156515" w:rsidRDefault="00156515" w:rsidP="00156515">
      <w:pPr>
        <w:ind w:firstLine="720"/>
        <w:jc w:val="both"/>
        <w:rPr>
          <w:rFonts w:ascii="Arial" w:hAnsi="Arial" w:cs="Arial"/>
        </w:rPr>
      </w:pPr>
      <w:r w:rsidRPr="00156515">
        <w:rPr>
          <w:rFonts w:ascii="Arial" w:hAnsi="Arial" w:cs="Arial"/>
        </w:rPr>
        <w:t>We demonstrate that left atrial thrombus may resolve following anticoagulation with warfarin and maintenance of the INR between 3 and 4. Thus, PBMV can be safely performed without complications even in individuals with a left atrial thrombus. A left atrial thrombus should not be an absolute contraindication for PBMV.</w:t>
      </w:r>
      <w:r w:rsidR="00B02CDD">
        <w:rPr>
          <w:rFonts w:ascii="Arial" w:hAnsi="Arial" w:cs="Arial"/>
        </w:rPr>
        <w:t xml:space="preserve"> (</w:t>
      </w:r>
      <w:r w:rsidR="00B02CDD" w:rsidRPr="008E738C">
        <w:rPr>
          <w:rFonts w:ascii="Arial" w:hAnsi="Arial" w:cs="Arial"/>
        </w:rPr>
        <w:t>Marroquin, L.</w:t>
      </w:r>
      <w:r w:rsidR="00B02CDD">
        <w:rPr>
          <w:rFonts w:ascii="Arial" w:hAnsi="Arial" w:cs="Arial"/>
        </w:rPr>
        <w:t>2022)</w:t>
      </w:r>
    </w:p>
    <w:p w14:paraId="11B8704F" w14:textId="77777777" w:rsidR="00156515" w:rsidRPr="00156515" w:rsidRDefault="00156515" w:rsidP="00156515">
      <w:pPr>
        <w:pStyle w:val="Body"/>
        <w:spacing w:after="0"/>
        <w:rPr>
          <w:rFonts w:ascii="Arial" w:hAnsi="Arial" w:cs="Arial"/>
          <w:lang w:val="en-GB"/>
        </w:rPr>
      </w:pPr>
    </w:p>
    <w:p w14:paraId="6BB94C3B" w14:textId="77777777" w:rsidR="00156515" w:rsidRPr="00156515" w:rsidRDefault="00156515" w:rsidP="00156515">
      <w:pPr>
        <w:pStyle w:val="Body"/>
        <w:spacing w:after="0"/>
        <w:rPr>
          <w:rFonts w:ascii="Arial" w:hAnsi="Arial" w:cs="Arial"/>
          <w:lang w:val="en-GB"/>
        </w:rPr>
      </w:pPr>
    </w:p>
    <w:p w14:paraId="3EAE62DA" w14:textId="77777777" w:rsidR="00156515" w:rsidRPr="00156515" w:rsidRDefault="00156515" w:rsidP="00156515">
      <w:pPr>
        <w:pStyle w:val="ConcHead"/>
        <w:spacing w:after="0"/>
        <w:jc w:val="both"/>
        <w:rPr>
          <w:rFonts w:ascii="Arial" w:hAnsi="Arial" w:cs="Arial"/>
          <w:lang w:val="en-GB"/>
        </w:rPr>
      </w:pPr>
      <w:r w:rsidRPr="00156515">
        <w:rPr>
          <w:rFonts w:ascii="Arial" w:hAnsi="Arial" w:cs="Arial"/>
          <w:lang w:val="en-GB"/>
        </w:rPr>
        <w:t>4. Conclusion</w:t>
      </w:r>
    </w:p>
    <w:p w14:paraId="431322EE" w14:textId="77777777" w:rsidR="00156515" w:rsidRPr="00156515" w:rsidRDefault="00156515" w:rsidP="00156515">
      <w:pPr>
        <w:pStyle w:val="ConcHead"/>
        <w:spacing w:after="0"/>
        <w:jc w:val="both"/>
        <w:rPr>
          <w:rFonts w:ascii="Arial" w:hAnsi="Arial" w:cs="Arial"/>
          <w:lang w:val="en-GB"/>
        </w:rPr>
      </w:pPr>
    </w:p>
    <w:p w14:paraId="502FE737" w14:textId="77777777" w:rsidR="00156515" w:rsidRPr="00156515" w:rsidRDefault="00156515" w:rsidP="00156515">
      <w:pPr>
        <w:pStyle w:val="Body"/>
        <w:spacing w:after="0"/>
        <w:rPr>
          <w:rFonts w:ascii="Arial" w:hAnsi="Arial" w:cs="Arial"/>
          <w:lang w:val="en-GB"/>
        </w:rPr>
      </w:pPr>
      <w:r w:rsidRPr="00156515">
        <w:rPr>
          <w:rFonts w:ascii="Arial" w:hAnsi="Arial" w:cs="Arial"/>
          <w:bCs/>
        </w:rPr>
        <w:t>This case highlights the importance of thorough pre-procedural evaluation for left atrial thrombus in patients with mitral stenosis undergoing percutaneous balloon mitral valvotomy (PBMV). The presence of LA thrombus, although a contraindication to BMV, may be managed effectively with appropriate anticoagulation and careful patient selection. Timely diagnosis using transesophageal echocardiography and individualized treatment planning are crucial for minimizing thromboembolic risk and optimizing procedural outcomes. This case reinforces the need for vigilance and multidisciplinary collaboration in managing complex valvular heart disease with coexisting thromboembolic risk.</w:t>
      </w:r>
    </w:p>
    <w:p w14:paraId="58C61241" w14:textId="77777777" w:rsidR="00156515" w:rsidRPr="00156515" w:rsidRDefault="00156515" w:rsidP="00156515">
      <w:pPr>
        <w:pStyle w:val="Body"/>
        <w:spacing w:after="0"/>
        <w:rPr>
          <w:rFonts w:ascii="Arial" w:hAnsi="Arial" w:cs="Arial"/>
          <w:lang w:val="en-GB"/>
        </w:rPr>
      </w:pPr>
    </w:p>
    <w:p w14:paraId="41B72952" w14:textId="77777777" w:rsidR="00156515" w:rsidRPr="00156515" w:rsidRDefault="00156515" w:rsidP="00156515">
      <w:pPr>
        <w:pStyle w:val="ReferHead"/>
        <w:spacing w:after="0"/>
        <w:jc w:val="both"/>
        <w:rPr>
          <w:rFonts w:ascii="Arial" w:hAnsi="Arial" w:cs="Arial"/>
          <w:bCs/>
          <w:lang w:val="en-GB"/>
        </w:rPr>
      </w:pPr>
    </w:p>
    <w:p w14:paraId="2AB9033C" w14:textId="77777777" w:rsidR="00156515" w:rsidRPr="00156515" w:rsidRDefault="00156515" w:rsidP="00156515">
      <w:pPr>
        <w:pStyle w:val="ReferHead"/>
        <w:spacing w:after="0"/>
        <w:jc w:val="both"/>
        <w:rPr>
          <w:rFonts w:ascii="Arial" w:hAnsi="Arial" w:cs="Arial"/>
          <w:bCs/>
          <w:lang w:val="en-GB"/>
        </w:rPr>
      </w:pPr>
      <w:r w:rsidRPr="00156515">
        <w:rPr>
          <w:rFonts w:ascii="Arial" w:hAnsi="Arial" w:cs="Arial"/>
          <w:bCs/>
          <w:lang w:val="en-GB"/>
        </w:rPr>
        <w:t>Consent</w:t>
      </w:r>
    </w:p>
    <w:p w14:paraId="16BDE379" w14:textId="77777777" w:rsidR="00156515" w:rsidRPr="00156515" w:rsidRDefault="00156515" w:rsidP="00156515">
      <w:pPr>
        <w:pStyle w:val="ReferHead"/>
        <w:spacing w:after="0"/>
        <w:jc w:val="both"/>
        <w:rPr>
          <w:rFonts w:ascii="Arial" w:hAnsi="Arial" w:cs="Arial"/>
          <w:bCs/>
          <w:lang w:val="en-GB"/>
        </w:rPr>
      </w:pPr>
    </w:p>
    <w:p w14:paraId="7743428E" w14:textId="0DCC6829" w:rsidR="00790ADA" w:rsidRPr="00156515" w:rsidRDefault="00156515" w:rsidP="00156515">
      <w:pPr>
        <w:pStyle w:val="Body"/>
        <w:spacing w:after="0"/>
        <w:rPr>
          <w:rFonts w:ascii="Arial" w:hAnsi="Arial" w:cs="Arial"/>
          <w:lang w:val="en-GB"/>
        </w:rPr>
      </w:pPr>
      <w:r w:rsidRPr="00156515">
        <w:rPr>
          <w:rFonts w:ascii="Arial" w:hAnsi="Arial" w:cs="Arial"/>
          <w:lang w:val="en-GB"/>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56BB4ACF" w14:textId="77777777" w:rsidR="00156515" w:rsidRPr="00156515" w:rsidRDefault="00156515" w:rsidP="00156515">
      <w:pPr>
        <w:pStyle w:val="Body"/>
        <w:spacing w:after="0"/>
        <w:rPr>
          <w:rFonts w:ascii="Arial" w:hAnsi="Arial" w:cs="Arial"/>
        </w:rPr>
      </w:pPr>
    </w:p>
    <w:p w14:paraId="462731DC" w14:textId="77777777" w:rsidR="00156515" w:rsidRPr="00156515" w:rsidRDefault="00156515" w:rsidP="00156515">
      <w:pPr>
        <w:pStyle w:val="ReferHead"/>
        <w:spacing w:after="0"/>
        <w:jc w:val="both"/>
        <w:rPr>
          <w:rFonts w:ascii="Arial" w:hAnsi="Arial" w:cs="Arial"/>
          <w:bCs/>
          <w:lang w:val="en-GB"/>
        </w:rPr>
      </w:pPr>
      <w:r w:rsidRPr="00156515">
        <w:rPr>
          <w:rFonts w:ascii="Arial" w:hAnsi="Arial" w:cs="Arial"/>
          <w:bCs/>
          <w:lang w:val="en-GB"/>
        </w:rPr>
        <w:lastRenderedPageBreak/>
        <w:t>Ethical approval</w:t>
      </w:r>
    </w:p>
    <w:p w14:paraId="68B0A50D" w14:textId="77777777" w:rsidR="00156515" w:rsidRPr="00156515" w:rsidRDefault="00156515" w:rsidP="00156515">
      <w:pPr>
        <w:pStyle w:val="ReferHead"/>
        <w:spacing w:after="0"/>
        <w:jc w:val="both"/>
        <w:rPr>
          <w:rFonts w:ascii="Arial" w:hAnsi="Arial" w:cs="Arial"/>
          <w:bCs/>
          <w:lang w:val="en-GB"/>
        </w:rPr>
      </w:pPr>
    </w:p>
    <w:p w14:paraId="5BB8E5A6" w14:textId="77777777" w:rsidR="00156515" w:rsidRPr="00156515" w:rsidRDefault="00156515" w:rsidP="00156515">
      <w:pPr>
        <w:pStyle w:val="ReferHead"/>
        <w:spacing w:after="0"/>
        <w:jc w:val="both"/>
        <w:rPr>
          <w:rFonts w:ascii="Arial" w:hAnsi="Arial" w:cs="Arial"/>
          <w:b w:val="0"/>
          <w:caps w:val="0"/>
          <w:sz w:val="20"/>
          <w:lang w:val="en-GB"/>
        </w:rPr>
      </w:pPr>
      <w:r w:rsidRPr="00156515">
        <w:rPr>
          <w:rFonts w:ascii="Arial" w:hAnsi="Arial" w:cs="Arial"/>
          <w:b w:val="0"/>
          <w:caps w:val="0"/>
          <w:sz w:val="20"/>
          <w:lang w:val="en-GB"/>
        </w:rPr>
        <w:t>N/A</w:t>
      </w:r>
    </w:p>
    <w:p w14:paraId="5F4EE9CB" w14:textId="77777777" w:rsidR="00156515" w:rsidRPr="00156515" w:rsidRDefault="00156515" w:rsidP="00156515">
      <w:pPr>
        <w:pStyle w:val="ReferHead"/>
        <w:spacing w:after="0"/>
        <w:jc w:val="both"/>
        <w:rPr>
          <w:rFonts w:ascii="Arial" w:hAnsi="Arial" w:cs="Arial"/>
          <w:b w:val="0"/>
          <w:caps w:val="0"/>
          <w:sz w:val="20"/>
          <w:u w:val="single"/>
          <w:lang w:val="en-GB"/>
        </w:rPr>
      </w:pPr>
    </w:p>
    <w:p w14:paraId="716BFE70" w14:textId="77777777" w:rsidR="00156515" w:rsidRPr="00156515" w:rsidRDefault="00156515" w:rsidP="00156515">
      <w:pPr>
        <w:pStyle w:val="ReferHead"/>
        <w:spacing w:after="0"/>
        <w:jc w:val="both"/>
        <w:rPr>
          <w:rFonts w:ascii="Arial" w:hAnsi="Arial" w:cs="Arial"/>
          <w:b w:val="0"/>
          <w:caps w:val="0"/>
          <w:sz w:val="20"/>
          <w:u w:val="single"/>
          <w:lang w:val="en-GB"/>
        </w:rPr>
      </w:pPr>
    </w:p>
    <w:p w14:paraId="570D0BE4" w14:textId="77777777" w:rsidR="00156515" w:rsidRPr="00156515" w:rsidRDefault="00156515" w:rsidP="00156515">
      <w:pPr>
        <w:spacing w:after="200" w:line="276" w:lineRule="auto"/>
        <w:rPr>
          <w:rFonts w:ascii="Arial" w:eastAsia="Calibri" w:hAnsi="Arial" w:cs="Arial"/>
          <w:b/>
          <w:bCs/>
          <w:kern w:val="2"/>
          <w:sz w:val="22"/>
          <w:szCs w:val="22"/>
        </w:rPr>
      </w:pPr>
      <w:bookmarkStart w:id="0" w:name="_Hlk193540946"/>
      <w:bookmarkStart w:id="1" w:name="_Hlk180402183"/>
      <w:bookmarkStart w:id="2" w:name="_Hlk183680988"/>
      <w:r w:rsidRPr="00156515">
        <w:rPr>
          <w:rFonts w:ascii="Arial" w:eastAsia="Calibri" w:hAnsi="Arial" w:cs="Arial"/>
          <w:b/>
          <w:bCs/>
          <w:kern w:val="2"/>
          <w:sz w:val="22"/>
          <w:szCs w:val="22"/>
        </w:rPr>
        <w:t>DISCLAIMER (ARTIFICIAL INTELLIGENCE)</w:t>
      </w:r>
    </w:p>
    <w:p w14:paraId="2A8E17C0" w14:textId="77777777" w:rsidR="00156515" w:rsidRPr="00156515" w:rsidRDefault="00156515" w:rsidP="00156515">
      <w:pPr>
        <w:spacing w:after="200" w:line="276" w:lineRule="auto"/>
        <w:jc w:val="both"/>
        <w:rPr>
          <w:rFonts w:ascii="Arial" w:eastAsia="Calibri" w:hAnsi="Arial" w:cs="Arial"/>
          <w:kern w:val="2"/>
        </w:rPr>
      </w:pPr>
      <w:r w:rsidRPr="00156515">
        <w:rPr>
          <w:rFonts w:ascii="Arial" w:eastAsia="Calibri" w:hAnsi="Arial" w:cs="Arial"/>
          <w:kern w:val="2"/>
        </w:rPr>
        <w:t xml:space="preserve">Author(s) hereby declares that NO generative AI technologies such as Large Language Models (ChatGPT, COPILOT, etc.) and text-to-image generators have been used during the writing or editing of this manuscript. </w:t>
      </w:r>
    </w:p>
    <w:bookmarkEnd w:id="0"/>
    <w:bookmarkEnd w:id="1"/>
    <w:bookmarkEnd w:id="2"/>
    <w:p w14:paraId="02763E5D" w14:textId="77777777" w:rsidR="00860000" w:rsidRPr="00156515" w:rsidRDefault="00860000" w:rsidP="00441B6F">
      <w:pPr>
        <w:pStyle w:val="ReferHead"/>
        <w:spacing w:after="0"/>
        <w:jc w:val="both"/>
        <w:rPr>
          <w:rFonts w:ascii="Arial" w:hAnsi="Arial" w:cs="Arial"/>
        </w:rPr>
      </w:pPr>
    </w:p>
    <w:p w14:paraId="0D4320CC" w14:textId="77777777" w:rsidR="00B01FCD" w:rsidRPr="00156515" w:rsidRDefault="00B01FCD" w:rsidP="00441B6F">
      <w:pPr>
        <w:pStyle w:val="ReferHead"/>
        <w:spacing w:after="0"/>
        <w:jc w:val="both"/>
        <w:rPr>
          <w:rFonts w:ascii="Arial" w:hAnsi="Arial" w:cs="Arial"/>
        </w:rPr>
      </w:pPr>
      <w:r w:rsidRPr="00156515">
        <w:rPr>
          <w:rFonts w:ascii="Arial" w:hAnsi="Arial" w:cs="Arial"/>
        </w:rPr>
        <w:t>References</w:t>
      </w:r>
    </w:p>
    <w:p w14:paraId="634DEFA0" w14:textId="77777777" w:rsidR="00790ADA" w:rsidRPr="00156515" w:rsidRDefault="00790ADA" w:rsidP="00441B6F">
      <w:pPr>
        <w:pStyle w:val="ReferHead"/>
        <w:spacing w:after="0"/>
        <w:jc w:val="both"/>
        <w:rPr>
          <w:rFonts w:ascii="Arial" w:hAnsi="Arial" w:cs="Arial"/>
        </w:rPr>
      </w:pPr>
    </w:p>
    <w:sdt>
      <w:sdtPr>
        <w:rPr>
          <w:rFonts w:ascii="Arial" w:hAnsi="Arial" w:cs="Arial"/>
          <w:color w:val="000000"/>
          <w:lang w:val="en-GB"/>
        </w:rPr>
        <w:tag w:val="MENDELEY_BIBLIOGRAPHY"/>
        <w:id w:val="-878083408"/>
        <w:placeholder>
          <w:docPart w:val="EDDD074B5578465383CD73ED157A076A"/>
        </w:placeholder>
      </w:sdtPr>
      <w:sdtEndPr>
        <w:rPr>
          <w:color w:val="auto"/>
        </w:rPr>
      </w:sdtEndPr>
      <w:sdtContent>
        <w:p w14:paraId="162A4B5F" w14:textId="0E46C80B" w:rsidR="00156515" w:rsidRPr="00CD4929" w:rsidRDefault="00156515" w:rsidP="00156515">
          <w:pPr>
            <w:pStyle w:val="ListParagraph"/>
            <w:numPr>
              <w:ilvl w:val="0"/>
              <w:numId w:val="31"/>
            </w:numPr>
            <w:jc w:val="both"/>
            <w:rPr>
              <w:rFonts w:ascii="Arial" w:hAnsi="Arial" w:cs="Arial"/>
            </w:rPr>
          </w:pPr>
          <w:proofErr w:type="spellStart"/>
          <w:r w:rsidRPr="00CD4929">
            <w:rPr>
              <w:rFonts w:ascii="Arial" w:hAnsi="Arial" w:cs="Arial"/>
            </w:rPr>
            <w:t>Coisne</w:t>
          </w:r>
          <w:proofErr w:type="spellEnd"/>
          <w:r w:rsidRPr="00CD4929">
            <w:rPr>
              <w:rFonts w:ascii="Arial" w:hAnsi="Arial" w:cs="Arial"/>
            </w:rPr>
            <w:t xml:space="preserve">, Augustin, Patrizio Lancellotti, Gilbert Habib, Madalina Garbi, Jordi Sanchez Dahl, Marco </w:t>
          </w:r>
          <w:proofErr w:type="spellStart"/>
          <w:r w:rsidRPr="00CD4929">
            <w:rPr>
              <w:rFonts w:ascii="Arial" w:hAnsi="Arial" w:cs="Arial"/>
            </w:rPr>
            <w:t>Barbanti</w:t>
          </w:r>
          <w:proofErr w:type="spellEnd"/>
          <w:r w:rsidRPr="00CD4929">
            <w:rPr>
              <w:rFonts w:ascii="Arial" w:hAnsi="Arial" w:cs="Arial"/>
            </w:rPr>
            <w:t xml:space="preserve">, Mani A. Vannan et al. </w:t>
          </w:r>
          <w:r w:rsidR="00CD4929">
            <w:rPr>
              <w:rFonts w:ascii="Arial" w:hAnsi="Arial" w:cs="Arial"/>
            </w:rPr>
            <w:t xml:space="preserve">(2023). </w:t>
          </w:r>
          <w:r w:rsidRPr="00CD4929">
            <w:rPr>
              <w:rFonts w:ascii="Arial" w:hAnsi="Arial" w:cs="Arial"/>
            </w:rPr>
            <w:t xml:space="preserve">ACC/AHA and ESC/EACTS guidelines for the management of valvular heart diseases: JACC guideline comparison." </w:t>
          </w:r>
          <w:r w:rsidRPr="00CD4929">
            <w:rPr>
              <w:rFonts w:ascii="Arial" w:hAnsi="Arial" w:cs="Arial"/>
              <w:i/>
              <w:iCs/>
            </w:rPr>
            <w:t>Journal of the American College of Cardiology</w:t>
          </w:r>
          <w:r w:rsidRPr="00CD4929">
            <w:rPr>
              <w:rFonts w:ascii="Arial" w:hAnsi="Arial" w:cs="Arial"/>
            </w:rPr>
            <w:t xml:space="preserve"> 82</w:t>
          </w:r>
          <w:r w:rsidR="00CD4929">
            <w:rPr>
              <w:rFonts w:ascii="Arial" w:hAnsi="Arial" w:cs="Arial"/>
            </w:rPr>
            <w:t xml:space="preserve"> (8)</w:t>
          </w:r>
          <w:r w:rsidRPr="00CD4929">
            <w:rPr>
              <w:rFonts w:ascii="Arial" w:hAnsi="Arial" w:cs="Arial"/>
            </w:rPr>
            <w:t>: 721-734.</w:t>
          </w:r>
        </w:p>
        <w:p w14:paraId="3B408B3A" w14:textId="77777777" w:rsidR="007001E7" w:rsidRPr="008E738C" w:rsidRDefault="007001E7" w:rsidP="007001E7">
          <w:pPr>
            <w:numPr>
              <w:ilvl w:val="0"/>
              <w:numId w:val="31"/>
            </w:numPr>
            <w:spacing w:after="160"/>
            <w:contextualSpacing/>
            <w:jc w:val="both"/>
            <w:rPr>
              <w:rFonts w:ascii="Arial" w:hAnsi="Arial" w:cs="Arial"/>
            </w:rPr>
          </w:pPr>
          <w:r w:rsidRPr="008E738C">
            <w:rPr>
              <w:rFonts w:ascii="Arial" w:hAnsi="Arial" w:cs="Arial"/>
            </w:rPr>
            <w:t>Sharma S, Kolekar SS. (2015). Role of Echocardiographic Imaging in Percutaneous Balloon Mitral Valvotomy. Cardiovascular Journal. 7(2):128-36.</w:t>
          </w:r>
        </w:p>
        <w:p w14:paraId="6F9A3FEB" w14:textId="3C730399" w:rsidR="00156515" w:rsidRPr="008E738C" w:rsidRDefault="00156515" w:rsidP="008E738C">
          <w:pPr>
            <w:numPr>
              <w:ilvl w:val="0"/>
              <w:numId w:val="31"/>
            </w:numPr>
            <w:spacing w:after="160"/>
            <w:contextualSpacing/>
            <w:jc w:val="both"/>
            <w:rPr>
              <w:rFonts w:ascii="Arial" w:hAnsi="Arial" w:cs="Arial"/>
            </w:rPr>
          </w:pPr>
          <w:r w:rsidRPr="00CD4929">
            <w:rPr>
              <w:rFonts w:ascii="Arial" w:hAnsi="Arial" w:cs="Arial"/>
            </w:rPr>
            <w:t xml:space="preserve">Hasan, M. R. D., A. </w:t>
          </w:r>
          <w:proofErr w:type="spellStart"/>
          <w:r w:rsidRPr="00CD4929">
            <w:rPr>
              <w:rFonts w:ascii="Arial" w:hAnsi="Arial" w:cs="Arial"/>
            </w:rPr>
            <w:t>Andrianto</w:t>
          </w:r>
          <w:proofErr w:type="spellEnd"/>
          <w:r w:rsidRPr="00CD4929">
            <w:rPr>
              <w:rFonts w:ascii="Arial" w:hAnsi="Arial" w:cs="Arial"/>
            </w:rPr>
            <w:t xml:space="preserve">, and A. </w:t>
          </w:r>
          <w:proofErr w:type="spellStart"/>
          <w:r w:rsidRPr="00CD4929">
            <w:rPr>
              <w:rFonts w:ascii="Arial" w:hAnsi="Arial" w:cs="Arial"/>
            </w:rPr>
            <w:t>Subagjo</w:t>
          </w:r>
          <w:proofErr w:type="spellEnd"/>
          <w:r w:rsidRPr="00CD4929">
            <w:rPr>
              <w:rFonts w:ascii="Arial" w:hAnsi="Arial" w:cs="Arial"/>
            </w:rPr>
            <w:t>.</w:t>
          </w:r>
          <w:r w:rsidR="00CD4929" w:rsidRPr="00CD4929">
            <w:rPr>
              <w:rFonts w:ascii="Arial" w:hAnsi="Arial" w:cs="Arial"/>
            </w:rPr>
            <w:t xml:space="preserve"> (2021). </w:t>
          </w:r>
          <w:r w:rsidRPr="00CD4929">
            <w:rPr>
              <w:rFonts w:ascii="Arial" w:hAnsi="Arial" w:cs="Arial"/>
            </w:rPr>
            <w:t>Heart Failure with Reduced Eje</w:t>
          </w:r>
          <w:r w:rsidRPr="008E738C">
            <w:rPr>
              <w:rFonts w:ascii="Arial" w:hAnsi="Arial" w:cs="Arial"/>
            </w:rPr>
            <w:t xml:space="preserve">ction Fraction, Multiple-Valve Diseases, And Left Atrial Thrombus: A Case Report of Determining Whether to Do Intervention Strategies or Conservative Medical Therapies Only. </w:t>
          </w:r>
          <w:r w:rsidRPr="008E738C">
            <w:rPr>
              <w:rFonts w:ascii="Arial" w:hAnsi="Arial" w:cs="Arial"/>
              <w:i/>
              <w:iCs/>
            </w:rPr>
            <w:t>Heart Failure with Reduced Ejection Fraction, Multiple-Valve Diseases, And Left Atrial Thrombus: A Case Report of Determining Whether to Do Intervention Strategies or Conservative Medical Therapies Only</w:t>
          </w:r>
          <w:r w:rsidRPr="008E738C">
            <w:rPr>
              <w:rFonts w:ascii="Arial" w:hAnsi="Arial" w:cs="Arial"/>
            </w:rPr>
            <w:t xml:space="preserve"> 85</w:t>
          </w:r>
          <w:r w:rsidR="00CD4929" w:rsidRPr="008E738C">
            <w:rPr>
              <w:rFonts w:ascii="Arial" w:hAnsi="Arial" w:cs="Arial"/>
            </w:rPr>
            <w:t>(1)</w:t>
          </w:r>
          <w:r w:rsidRPr="008E738C">
            <w:rPr>
              <w:rFonts w:ascii="Arial" w:hAnsi="Arial" w:cs="Arial"/>
            </w:rPr>
            <w:t>: 8-8.</w:t>
          </w:r>
        </w:p>
        <w:p w14:paraId="2480B5CF" w14:textId="06A1599B" w:rsidR="00156515" w:rsidRPr="008E738C" w:rsidRDefault="00156515" w:rsidP="008E738C">
          <w:pPr>
            <w:numPr>
              <w:ilvl w:val="0"/>
              <w:numId w:val="31"/>
            </w:numPr>
            <w:spacing w:after="160"/>
            <w:contextualSpacing/>
            <w:jc w:val="both"/>
            <w:rPr>
              <w:rFonts w:ascii="Arial" w:hAnsi="Arial" w:cs="Arial"/>
            </w:rPr>
          </w:pPr>
          <w:r w:rsidRPr="008E738C">
            <w:rPr>
              <w:rFonts w:ascii="Arial" w:hAnsi="Arial" w:cs="Arial"/>
            </w:rPr>
            <w:t xml:space="preserve">Ashraf, T., Aamir, K.F., Nadeem, A., Murtaza, S., Akhtar, P., Haque, S.Y., </w:t>
          </w:r>
          <w:r w:rsidR="00CD4929" w:rsidRPr="008E738C">
            <w:rPr>
              <w:rFonts w:ascii="Arial" w:hAnsi="Arial" w:cs="Arial"/>
            </w:rPr>
            <w:t>et al. (</w:t>
          </w:r>
          <w:r w:rsidRPr="008E738C">
            <w:rPr>
              <w:rFonts w:ascii="Arial" w:hAnsi="Arial" w:cs="Arial"/>
            </w:rPr>
            <w:t>2024</w:t>
          </w:r>
          <w:r w:rsidR="00CD4929" w:rsidRPr="008E738C">
            <w:rPr>
              <w:rFonts w:ascii="Arial" w:hAnsi="Arial" w:cs="Arial"/>
            </w:rPr>
            <w:t>)</w:t>
          </w:r>
          <w:r w:rsidRPr="008E738C">
            <w:rPr>
              <w:rFonts w:ascii="Arial" w:hAnsi="Arial" w:cs="Arial"/>
            </w:rPr>
            <w:t xml:space="preserve">. Left atrial appendage thrombus with severe mitral stenosis: Responders and non-responders to anticoagulation. </w:t>
          </w:r>
          <w:proofErr w:type="spellStart"/>
          <w:r w:rsidRPr="008E738C">
            <w:rPr>
              <w:rFonts w:ascii="Arial" w:hAnsi="Arial" w:cs="Arial"/>
              <w:i/>
              <w:iCs/>
            </w:rPr>
            <w:t>Revista</w:t>
          </w:r>
          <w:proofErr w:type="spellEnd"/>
          <w:r w:rsidRPr="008E738C">
            <w:rPr>
              <w:rFonts w:ascii="Arial" w:hAnsi="Arial" w:cs="Arial"/>
              <w:i/>
              <w:iCs/>
            </w:rPr>
            <w:t xml:space="preserve"> Portuguesa de Cardiologia</w:t>
          </w:r>
          <w:r w:rsidRPr="008E738C">
            <w:rPr>
              <w:rFonts w:ascii="Arial" w:hAnsi="Arial" w:cs="Arial"/>
            </w:rPr>
            <w:t xml:space="preserve">, </w:t>
          </w:r>
          <w:r w:rsidRPr="008E738C">
            <w:rPr>
              <w:rFonts w:ascii="Arial" w:hAnsi="Arial" w:cs="Arial"/>
              <w:i/>
              <w:iCs/>
            </w:rPr>
            <w:t>43</w:t>
          </w:r>
          <w:r w:rsidRPr="008E738C">
            <w:rPr>
              <w:rFonts w:ascii="Arial" w:hAnsi="Arial" w:cs="Arial"/>
            </w:rPr>
            <w:t>(9)</w:t>
          </w:r>
          <w:r w:rsidR="00CD4929" w:rsidRPr="008E738C">
            <w:rPr>
              <w:rFonts w:ascii="Arial" w:hAnsi="Arial" w:cs="Arial"/>
            </w:rPr>
            <w:t>:</w:t>
          </w:r>
          <w:r w:rsidRPr="008E738C">
            <w:rPr>
              <w:rFonts w:ascii="Arial" w:hAnsi="Arial" w:cs="Arial"/>
            </w:rPr>
            <w:t>477-484.</w:t>
          </w:r>
        </w:p>
        <w:p w14:paraId="78CB9C5D" w14:textId="77FEC6F0" w:rsidR="00156515" w:rsidRPr="008E738C" w:rsidRDefault="00156515" w:rsidP="008E738C">
          <w:pPr>
            <w:numPr>
              <w:ilvl w:val="0"/>
              <w:numId w:val="31"/>
            </w:numPr>
            <w:spacing w:after="160"/>
            <w:contextualSpacing/>
            <w:jc w:val="both"/>
            <w:rPr>
              <w:rFonts w:ascii="Arial" w:hAnsi="Arial" w:cs="Arial"/>
            </w:rPr>
          </w:pPr>
          <w:r w:rsidRPr="008E738C">
            <w:rPr>
              <w:rFonts w:ascii="Arial" w:hAnsi="Arial" w:cs="Arial"/>
            </w:rPr>
            <w:t>Branco, Luísa Moura.</w:t>
          </w:r>
          <w:r w:rsidR="00CD4929" w:rsidRPr="008E738C">
            <w:rPr>
              <w:rFonts w:ascii="Arial" w:hAnsi="Arial" w:cs="Arial"/>
            </w:rPr>
            <w:t xml:space="preserve"> (2024).</w:t>
          </w:r>
          <w:r w:rsidRPr="008E738C">
            <w:rPr>
              <w:rFonts w:ascii="Arial" w:hAnsi="Arial" w:cs="Arial"/>
            </w:rPr>
            <w:t xml:space="preserve"> Left atrial appendage thrombus in severe mitral stenosis: Can chamber morphology and thrombus location influence therapeutic </w:t>
          </w:r>
          <w:proofErr w:type="gramStart"/>
          <w:r w:rsidRPr="008E738C">
            <w:rPr>
              <w:rFonts w:ascii="Arial" w:hAnsi="Arial" w:cs="Arial"/>
            </w:rPr>
            <w:t>choice?.</w:t>
          </w:r>
          <w:proofErr w:type="gramEnd"/>
          <w:r w:rsidRPr="008E738C">
            <w:rPr>
              <w:rFonts w:ascii="Arial" w:hAnsi="Arial" w:cs="Arial"/>
            </w:rPr>
            <w:t xml:space="preserve"> </w:t>
          </w:r>
          <w:proofErr w:type="spellStart"/>
          <w:r w:rsidRPr="008E738C">
            <w:rPr>
              <w:rFonts w:ascii="Arial" w:hAnsi="Arial" w:cs="Arial"/>
              <w:i/>
              <w:iCs/>
            </w:rPr>
            <w:t>Revista</w:t>
          </w:r>
          <w:proofErr w:type="spellEnd"/>
          <w:r w:rsidRPr="008E738C">
            <w:rPr>
              <w:rFonts w:ascii="Arial" w:hAnsi="Arial" w:cs="Arial"/>
              <w:i/>
              <w:iCs/>
            </w:rPr>
            <w:t xml:space="preserve"> Portuguesa de Cardiologia</w:t>
          </w:r>
          <w:r w:rsidRPr="008E738C">
            <w:rPr>
              <w:rFonts w:ascii="Arial" w:hAnsi="Arial" w:cs="Arial"/>
            </w:rPr>
            <w:t xml:space="preserve"> 43</w:t>
          </w:r>
          <w:r w:rsidR="00CD4929" w:rsidRPr="008E738C">
            <w:rPr>
              <w:rFonts w:ascii="Arial" w:hAnsi="Arial" w:cs="Arial"/>
            </w:rPr>
            <w:t>(</w:t>
          </w:r>
          <w:r w:rsidRPr="008E738C">
            <w:rPr>
              <w:rFonts w:ascii="Arial" w:hAnsi="Arial" w:cs="Arial"/>
            </w:rPr>
            <w:t>9</w:t>
          </w:r>
          <w:r w:rsidR="00CD4929" w:rsidRPr="008E738C">
            <w:rPr>
              <w:rFonts w:ascii="Arial" w:hAnsi="Arial" w:cs="Arial"/>
            </w:rPr>
            <w:t>)</w:t>
          </w:r>
          <w:r w:rsidRPr="008E738C">
            <w:rPr>
              <w:rFonts w:ascii="Arial" w:hAnsi="Arial" w:cs="Arial"/>
            </w:rPr>
            <w:t>: 485-486.</w:t>
          </w:r>
        </w:p>
        <w:p w14:paraId="363A97A4" w14:textId="22FAB0B6" w:rsidR="00156515" w:rsidRPr="008E738C" w:rsidRDefault="00156515" w:rsidP="008E738C">
          <w:pPr>
            <w:numPr>
              <w:ilvl w:val="0"/>
              <w:numId w:val="31"/>
            </w:numPr>
            <w:spacing w:after="160"/>
            <w:contextualSpacing/>
            <w:rPr>
              <w:rFonts w:ascii="Arial" w:hAnsi="Arial" w:cs="Arial"/>
            </w:rPr>
          </w:pPr>
          <w:r w:rsidRPr="008E738C">
            <w:rPr>
              <w:rFonts w:ascii="Arial" w:hAnsi="Arial" w:cs="Arial"/>
            </w:rPr>
            <w:t>Gupta, A. V., G. Singh, V. Patil, and N. Bansal.</w:t>
          </w:r>
          <w:r w:rsidR="00CD4929" w:rsidRPr="008E738C">
            <w:rPr>
              <w:rFonts w:ascii="Arial" w:hAnsi="Arial" w:cs="Arial"/>
            </w:rPr>
            <w:t xml:space="preserve"> (2019).</w:t>
          </w:r>
          <w:r w:rsidRPr="008E738C">
            <w:rPr>
              <w:rFonts w:ascii="Arial" w:hAnsi="Arial" w:cs="Arial"/>
            </w:rPr>
            <w:t xml:space="preserve"> "Balloon Mitral Valvotomy in Patients with Mitral Stenosis and Left Atrial Thrombus." </w:t>
          </w:r>
          <w:r w:rsidRPr="008E738C">
            <w:rPr>
              <w:rFonts w:ascii="Arial" w:hAnsi="Arial" w:cs="Arial"/>
              <w:i/>
              <w:iCs/>
            </w:rPr>
            <w:t>Abstracts/Indian Heart Journal</w:t>
          </w:r>
          <w:r w:rsidRPr="008E738C">
            <w:rPr>
              <w:rFonts w:ascii="Arial" w:hAnsi="Arial" w:cs="Arial"/>
            </w:rPr>
            <w:t xml:space="preserve"> 71, no. S30eS97: S31.</w:t>
          </w:r>
        </w:p>
        <w:p w14:paraId="408858C7" w14:textId="77777777" w:rsidR="00B02CDD" w:rsidRDefault="00B02CDD" w:rsidP="008E738C">
          <w:pPr>
            <w:pStyle w:val="ListParagraph"/>
            <w:numPr>
              <w:ilvl w:val="0"/>
              <w:numId w:val="31"/>
            </w:numPr>
            <w:rPr>
              <w:rFonts w:ascii="Arial" w:hAnsi="Arial" w:cs="Arial"/>
            </w:rPr>
          </w:pPr>
          <w:r w:rsidRPr="008E738C">
            <w:rPr>
              <w:rFonts w:ascii="Arial" w:hAnsi="Arial" w:cs="Arial"/>
            </w:rPr>
            <w:t>Miika, K., Johannes, P., Marja, H., Antti, M., Juha, O., Pirjo, M., ... &amp; Mikko, T. (2017). Morphological features of the left atrial appendage in consecutive coronary computed tomography angiography patients with and without atrial fibrillation</w:t>
          </w:r>
        </w:p>
        <w:p w14:paraId="757A31C2" w14:textId="1AE6ABEA" w:rsidR="008E738C" w:rsidRPr="00B02CDD" w:rsidRDefault="00CD4929" w:rsidP="00B02CDD">
          <w:pPr>
            <w:pStyle w:val="ListParagraph"/>
            <w:numPr>
              <w:ilvl w:val="0"/>
              <w:numId w:val="31"/>
            </w:numPr>
            <w:rPr>
              <w:rFonts w:ascii="Arial" w:hAnsi="Arial" w:cs="Arial"/>
            </w:rPr>
          </w:pPr>
          <w:r w:rsidRPr="008E738C">
            <w:rPr>
              <w:rFonts w:ascii="Arial" w:hAnsi="Arial" w:cs="Arial"/>
            </w:rPr>
            <w:t xml:space="preserve">Manjunath, C. N., Srinivasa, K. H., Ravindranath, K. S., Manohar, J. S., Prabhavathi, B., Dattatreya, P. V., ... &amp; Dhanalakshmi, C. (2009). Balloon mitral valvotomy in patients with mitral stenosis and left atrial thrombus. </w:t>
          </w:r>
          <w:r w:rsidRPr="008E738C">
            <w:rPr>
              <w:rFonts w:ascii="Arial" w:hAnsi="Arial" w:cs="Arial"/>
              <w:i/>
              <w:iCs/>
            </w:rPr>
            <w:t>Catheterization and Cardiovascular Interventions</w:t>
          </w:r>
          <w:r w:rsidRPr="008E738C">
            <w:rPr>
              <w:rFonts w:ascii="Arial" w:hAnsi="Arial" w:cs="Arial"/>
            </w:rPr>
            <w:t xml:space="preserve">, </w:t>
          </w:r>
          <w:r w:rsidRPr="008E738C">
            <w:rPr>
              <w:rFonts w:ascii="Arial" w:hAnsi="Arial" w:cs="Arial"/>
              <w:i/>
              <w:iCs/>
            </w:rPr>
            <w:t>74</w:t>
          </w:r>
          <w:r w:rsidRPr="008E738C">
            <w:rPr>
              <w:rFonts w:ascii="Arial" w:hAnsi="Arial" w:cs="Arial"/>
            </w:rPr>
            <w:t>(4), 653-661.</w:t>
          </w:r>
        </w:p>
        <w:p w14:paraId="356F2D80" w14:textId="04BA2DC3" w:rsidR="008E738C" w:rsidRPr="008E738C" w:rsidRDefault="008E738C" w:rsidP="008E738C">
          <w:pPr>
            <w:pStyle w:val="ListParagraph"/>
            <w:numPr>
              <w:ilvl w:val="0"/>
              <w:numId w:val="31"/>
            </w:numPr>
            <w:rPr>
              <w:rFonts w:ascii="Arial" w:hAnsi="Arial" w:cs="Arial"/>
            </w:rPr>
          </w:pPr>
          <w:r w:rsidRPr="008E738C">
            <w:rPr>
              <w:rFonts w:ascii="Arial" w:hAnsi="Arial" w:cs="Arial"/>
            </w:rPr>
            <w:t xml:space="preserve">Giannini, C., Mazzola, M., Pugliese, N. R., &amp; Petronio, A. S. (2022). Mitral valve stenosis in the current era: a changing landscape. </w:t>
          </w:r>
          <w:r w:rsidRPr="008E738C">
            <w:rPr>
              <w:rFonts w:ascii="Arial" w:hAnsi="Arial" w:cs="Arial"/>
              <w:i/>
              <w:iCs/>
            </w:rPr>
            <w:t>Journal of Cardiovascular Medicine</w:t>
          </w:r>
          <w:r w:rsidRPr="008E738C">
            <w:rPr>
              <w:rFonts w:ascii="Arial" w:hAnsi="Arial" w:cs="Arial"/>
            </w:rPr>
            <w:t xml:space="preserve">, </w:t>
          </w:r>
          <w:r w:rsidRPr="008E738C">
            <w:rPr>
              <w:rFonts w:ascii="Arial" w:hAnsi="Arial" w:cs="Arial"/>
              <w:i/>
              <w:iCs/>
            </w:rPr>
            <w:t>23</w:t>
          </w:r>
          <w:r w:rsidRPr="008E738C">
            <w:rPr>
              <w:rFonts w:ascii="Arial" w:hAnsi="Arial" w:cs="Arial"/>
            </w:rPr>
            <w:t>(11), 701-709.</w:t>
          </w:r>
        </w:p>
        <w:p w14:paraId="4BDC13B6" w14:textId="4FB0EAA1" w:rsidR="00CD4929" w:rsidRPr="008E738C" w:rsidRDefault="008E738C" w:rsidP="008E738C">
          <w:pPr>
            <w:pStyle w:val="ListParagraph"/>
            <w:numPr>
              <w:ilvl w:val="0"/>
              <w:numId w:val="31"/>
            </w:numPr>
            <w:rPr>
              <w:rFonts w:ascii="Arial" w:hAnsi="Arial" w:cs="Arial"/>
            </w:rPr>
          </w:pPr>
          <w:r w:rsidRPr="008E738C">
            <w:rPr>
              <w:rFonts w:ascii="Arial" w:hAnsi="Arial" w:cs="Arial"/>
            </w:rPr>
            <w:t xml:space="preserve">Marroquin, L., Tirado-Conte, G., </w:t>
          </w:r>
          <w:proofErr w:type="spellStart"/>
          <w:r w:rsidRPr="008E738C">
            <w:rPr>
              <w:rFonts w:ascii="Arial" w:hAnsi="Arial" w:cs="Arial"/>
            </w:rPr>
            <w:t>Pracoń</w:t>
          </w:r>
          <w:proofErr w:type="spellEnd"/>
          <w:r w:rsidRPr="008E738C">
            <w:rPr>
              <w:rFonts w:ascii="Arial" w:hAnsi="Arial" w:cs="Arial"/>
            </w:rPr>
            <w:t xml:space="preserve">, R., Streb, W., Gutierrez, H., Boccuzzi, G., ... &amp; Franco, L. N. (2022). Management and outcomes of patients with left atrial appendage thrombus prior to percutaneous closure. </w:t>
          </w:r>
          <w:r w:rsidRPr="008E738C">
            <w:rPr>
              <w:rFonts w:ascii="Arial" w:hAnsi="Arial" w:cs="Arial"/>
              <w:i/>
              <w:iCs/>
            </w:rPr>
            <w:t>Heart</w:t>
          </w:r>
          <w:r w:rsidRPr="008E738C">
            <w:rPr>
              <w:rFonts w:ascii="Arial" w:hAnsi="Arial" w:cs="Arial"/>
            </w:rPr>
            <w:t xml:space="preserve">, </w:t>
          </w:r>
          <w:r w:rsidRPr="008E738C">
            <w:rPr>
              <w:rFonts w:ascii="Arial" w:hAnsi="Arial" w:cs="Arial"/>
              <w:i/>
              <w:iCs/>
            </w:rPr>
            <w:t>108</w:t>
          </w:r>
          <w:r w:rsidRPr="008E738C">
            <w:rPr>
              <w:rFonts w:ascii="Arial" w:hAnsi="Arial" w:cs="Arial"/>
            </w:rPr>
            <w:t>(14), 1098-1106.</w:t>
          </w:r>
        </w:p>
        <w:p w14:paraId="6F3BDBFE" w14:textId="6CD456B0" w:rsidR="00441B6F" w:rsidRPr="008E738C" w:rsidRDefault="00000000" w:rsidP="008E738C">
          <w:pPr>
            <w:autoSpaceDE w:val="0"/>
            <w:autoSpaceDN w:val="0"/>
            <w:ind w:left="960" w:hanging="480"/>
            <w:rPr>
              <w:rFonts w:ascii="Arial" w:hAnsi="Arial" w:cs="Arial"/>
              <w:lang w:val="en-GB"/>
            </w:rPr>
          </w:pPr>
        </w:p>
      </w:sdtContent>
    </w:sdt>
    <w:p w14:paraId="66738254" w14:textId="77777777" w:rsidR="00441B6F" w:rsidRPr="00156515" w:rsidRDefault="00441B6F" w:rsidP="00441B6F">
      <w:pPr>
        <w:pStyle w:val="Body"/>
        <w:spacing w:after="0"/>
        <w:jc w:val="left"/>
        <w:rPr>
          <w:rFonts w:ascii="Arial" w:hAnsi="Arial" w:cs="Arial"/>
        </w:rPr>
      </w:pPr>
    </w:p>
    <w:p w14:paraId="785BAF72" w14:textId="77777777" w:rsidR="00B01FCD" w:rsidRPr="00156515" w:rsidRDefault="00B01FCD" w:rsidP="00441B6F">
      <w:pPr>
        <w:pStyle w:val="Reference"/>
        <w:numPr>
          <w:ilvl w:val="0"/>
          <w:numId w:val="0"/>
        </w:numPr>
        <w:spacing w:line="240" w:lineRule="auto"/>
        <w:rPr>
          <w:rFonts w:ascii="Arial" w:hAnsi="Arial" w:cs="Arial"/>
        </w:rPr>
      </w:pPr>
    </w:p>
    <w:p w14:paraId="7066ADEF" w14:textId="4566E086" w:rsidR="00B01FCD" w:rsidRPr="00156515" w:rsidRDefault="00B01FCD" w:rsidP="00441B6F">
      <w:pPr>
        <w:pStyle w:val="DefAcrHead"/>
        <w:spacing w:after="0"/>
        <w:jc w:val="both"/>
        <w:rPr>
          <w:rFonts w:ascii="Arial" w:hAnsi="Arial" w:cs="Arial"/>
        </w:rPr>
      </w:pPr>
      <w:r w:rsidRPr="00156515">
        <w:rPr>
          <w:rFonts w:ascii="Arial" w:hAnsi="Arial" w:cs="Arial"/>
        </w:rPr>
        <w:lastRenderedPageBreak/>
        <w:t>Abbreviations</w:t>
      </w:r>
    </w:p>
    <w:p w14:paraId="72E479DF"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INR</w:t>
      </w:r>
      <w:r w:rsidRPr="00156515">
        <w:rPr>
          <w:rFonts w:ascii="Arial" w:hAnsi="Arial" w:cs="Arial"/>
          <w:lang w:val="en-GB"/>
        </w:rPr>
        <w:tab/>
        <w:t xml:space="preserve">: </w:t>
      </w:r>
      <w:r w:rsidRPr="00156515">
        <w:rPr>
          <w:rFonts w:ascii="Arial" w:hAnsi="Arial" w:cs="Arial"/>
        </w:rPr>
        <w:t>International Normalized Ratio</w:t>
      </w:r>
    </w:p>
    <w:p w14:paraId="422449A9"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LAA</w:t>
      </w:r>
      <w:r w:rsidRPr="00156515">
        <w:rPr>
          <w:rFonts w:ascii="Arial" w:hAnsi="Arial" w:cs="Arial"/>
          <w:lang w:val="en-GB"/>
        </w:rPr>
        <w:tab/>
        <w:t xml:space="preserve">: </w:t>
      </w:r>
      <w:r w:rsidRPr="00156515">
        <w:rPr>
          <w:rFonts w:ascii="Arial" w:hAnsi="Arial" w:cs="Arial"/>
        </w:rPr>
        <w:t>left atrial appendage</w:t>
      </w:r>
    </w:p>
    <w:p w14:paraId="052AB6BC"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PBMV</w:t>
      </w:r>
      <w:r w:rsidRPr="00156515">
        <w:rPr>
          <w:rFonts w:ascii="Arial" w:hAnsi="Arial" w:cs="Arial"/>
          <w:lang w:val="en-GB"/>
        </w:rPr>
        <w:tab/>
        <w:t xml:space="preserve">: </w:t>
      </w:r>
      <w:r w:rsidRPr="00156515">
        <w:rPr>
          <w:rFonts w:ascii="Arial" w:hAnsi="Arial" w:cs="Arial"/>
        </w:rPr>
        <w:t>Percutaneous balloon mitral valvuloplasty</w:t>
      </w:r>
    </w:p>
    <w:p w14:paraId="52B0F1B5"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TEE</w:t>
      </w:r>
      <w:r w:rsidRPr="00156515">
        <w:rPr>
          <w:rFonts w:ascii="Arial" w:hAnsi="Arial" w:cs="Arial"/>
          <w:lang w:val="en-GB"/>
        </w:rPr>
        <w:tab/>
        <w:t xml:space="preserve">: </w:t>
      </w:r>
      <w:r w:rsidRPr="00156515">
        <w:rPr>
          <w:rFonts w:ascii="Arial" w:hAnsi="Arial" w:cs="Arial"/>
        </w:rPr>
        <w:t>transesophageal echocardiogram</w:t>
      </w:r>
    </w:p>
    <w:p w14:paraId="69359B6C" w14:textId="77777777" w:rsidR="00156515" w:rsidRPr="00156515" w:rsidRDefault="00156515" w:rsidP="00156515">
      <w:pPr>
        <w:pStyle w:val="Body"/>
        <w:tabs>
          <w:tab w:val="left" w:pos="1134"/>
        </w:tabs>
        <w:spacing w:after="0"/>
        <w:rPr>
          <w:rFonts w:ascii="Arial" w:hAnsi="Arial" w:cs="Arial"/>
          <w:lang w:val="en-GB"/>
        </w:rPr>
      </w:pPr>
      <w:r w:rsidRPr="00156515">
        <w:rPr>
          <w:rFonts w:ascii="Arial" w:hAnsi="Arial" w:cs="Arial"/>
          <w:lang w:val="en-GB"/>
        </w:rPr>
        <w:t>TTE</w:t>
      </w:r>
      <w:r w:rsidRPr="00156515">
        <w:rPr>
          <w:rFonts w:ascii="Arial" w:hAnsi="Arial" w:cs="Arial"/>
          <w:lang w:val="en-GB"/>
        </w:rPr>
        <w:tab/>
        <w:t xml:space="preserve">: </w:t>
      </w:r>
      <w:r w:rsidRPr="00156515">
        <w:rPr>
          <w:rFonts w:ascii="Arial" w:hAnsi="Arial" w:cs="Arial"/>
        </w:rPr>
        <w:t>transthoracic echocardiogram</w:t>
      </w:r>
    </w:p>
    <w:p w14:paraId="64DDE8BC" w14:textId="3C552F90" w:rsidR="00790ADA" w:rsidRDefault="00790ADA" w:rsidP="00441B6F">
      <w:pPr>
        <w:pStyle w:val="Body"/>
        <w:spacing w:after="0"/>
        <w:rPr>
          <w:rFonts w:ascii="Arial" w:hAnsi="Arial" w:cs="Arial"/>
        </w:rPr>
      </w:pPr>
    </w:p>
    <w:p w14:paraId="39607D0A" w14:textId="77777777" w:rsidR="00CD4929" w:rsidRDefault="00CD4929" w:rsidP="00441B6F">
      <w:pPr>
        <w:pStyle w:val="Body"/>
        <w:spacing w:after="0"/>
        <w:rPr>
          <w:rFonts w:ascii="Arial" w:hAnsi="Arial" w:cs="Arial"/>
        </w:rPr>
      </w:pPr>
    </w:p>
    <w:p w14:paraId="40AC63E9" w14:textId="77777777" w:rsidR="00CD4929" w:rsidRDefault="00CD4929" w:rsidP="00441B6F">
      <w:pPr>
        <w:pStyle w:val="Body"/>
        <w:spacing w:after="0"/>
        <w:rPr>
          <w:rFonts w:ascii="Arial" w:hAnsi="Arial" w:cs="Arial"/>
        </w:rPr>
      </w:pPr>
    </w:p>
    <w:p w14:paraId="24306053" w14:textId="77777777" w:rsidR="00CD4929" w:rsidRDefault="00CD4929" w:rsidP="00441B6F">
      <w:pPr>
        <w:pStyle w:val="Body"/>
        <w:spacing w:after="0"/>
        <w:rPr>
          <w:rFonts w:ascii="Arial" w:hAnsi="Arial" w:cs="Arial"/>
        </w:rPr>
      </w:pPr>
    </w:p>
    <w:p w14:paraId="04A5D08E" w14:textId="77777777" w:rsidR="00CD4929" w:rsidRDefault="00CD4929" w:rsidP="00441B6F">
      <w:pPr>
        <w:pStyle w:val="Body"/>
        <w:spacing w:after="0"/>
        <w:rPr>
          <w:rFonts w:ascii="Arial" w:hAnsi="Arial" w:cs="Arial"/>
        </w:rPr>
      </w:pPr>
    </w:p>
    <w:p w14:paraId="2B31A46E" w14:textId="77777777" w:rsidR="00CD4929" w:rsidRPr="00156515" w:rsidRDefault="00CD4929" w:rsidP="00441B6F">
      <w:pPr>
        <w:pStyle w:val="Body"/>
        <w:spacing w:after="0"/>
        <w:rPr>
          <w:rFonts w:ascii="Arial" w:hAnsi="Arial" w:cs="Arial"/>
        </w:rPr>
      </w:pPr>
    </w:p>
    <w:p w14:paraId="681E707A" w14:textId="2B0E6D86" w:rsidR="004D4277" w:rsidRPr="00156515" w:rsidRDefault="00CD4929" w:rsidP="00441B6F">
      <w:pPr>
        <w:pStyle w:val="Appendix"/>
        <w:spacing w:after="0"/>
        <w:jc w:val="both"/>
        <w:rPr>
          <w:rFonts w:ascii="Arial" w:hAnsi="Arial" w:cs="Arial"/>
        </w:rPr>
      </w:pPr>
      <w:r w:rsidRPr="00156515">
        <w:rPr>
          <w:rFonts w:ascii="Arial" w:hAnsi="Arial" w:cs="Arial"/>
          <w:noProof/>
        </w:rPr>
        <w:drawing>
          <wp:anchor distT="0" distB="0" distL="114300" distR="114300" simplePos="0" relativeHeight="251656704" behindDoc="0" locked="0" layoutInCell="1" allowOverlap="1" wp14:anchorId="5F507FA5" wp14:editId="45F6A43C">
            <wp:simplePos x="0" y="0"/>
            <wp:positionH relativeFrom="column">
              <wp:posOffset>902825</wp:posOffset>
            </wp:positionH>
            <wp:positionV relativeFrom="paragraph">
              <wp:posOffset>63661</wp:posOffset>
            </wp:positionV>
            <wp:extent cx="3405401" cy="2114550"/>
            <wp:effectExtent l="0" t="0" r="5080" b="0"/>
            <wp:wrapNone/>
            <wp:docPr id="33740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0663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5401" cy="2114550"/>
                    </a:xfrm>
                    <a:prstGeom prst="rect">
                      <a:avLst/>
                    </a:prstGeom>
                  </pic:spPr>
                </pic:pic>
              </a:graphicData>
            </a:graphic>
            <wp14:sizeRelH relativeFrom="margin">
              <wp14:pctWidth>0</wp14:pctWidth>
            </wp14:sizeRelH>
            <wp14:sizeRelV relativeFrom="margin">
              <wp14:pctHeight>0</wp14:pctHeight>
            </wp14:sizeRelV>
          </wp:anchor>
        </w:drawing>
      </w:r>
    </w:p>
    <w:p w14:paraId="49C0E197" w14:textId="77777777" w:rsidR="00156515" w:rsidRPr="00156515" w:rsidRDefault="00156515" w:rsidP="00441B6F">
      <w:pPr>
        <w:pStyle w:val="Appendix"/>
        <w:spacing w:after="0"/>
        <w:jc w:val="both"/>
        <w:rPr>
          <w:rFonts w:ascii="Arial" w:hAnsi="Arial" w:cs="Arial"/>
        </w:rPr>
      </w:pPr>
    </w:p>
    <w:p w14:paraId="064DCB28" w14:textId="77777777" w:rsidR="00156515" w:rsidRPr="00156515" w:rsidRDefault="00156515" w:rsidP="00441B6F">
      <w:pPr>
        <w:pStyle w:val="Appendix"/>
        <w:spacing w:after="0"/>
        <w:jc w:val="both"/>
        <w:rPr>
          <w:rFonts w:ascii="Arial" w:hAnsi="Arial" w:cs="Arial"/>
        </w:rPr>
      </w:pPr>
    </w:p>
    <w:p w14:paraId="551493CE" w14:textId="77777777" w:rsidR="00156515" w:rsidRPr="00156515" w:rsidRDefault="00156515" w:rsidP="00441B6F">
      <w:pPr>
        <w:pStyle w:val="Appendix"/>
        <w:spacing w:after="0"/>
        <w:jc w:val="both"/>
        <w:rPr>
          <w:rFonts w:ascii="Arial" w:hAnsi="Arial" w:cs="Arial"/>
        </w:rPr>
      </w:pPr>
    </w:p>
    <w:p w14:paraId="60645F53" w14:textId="77777777" w:rsidR="00156515" w:rsidRPr="00156515" w:rsidRDefault="00156515" w:rsidP="00441B6F">
      <w:pPr>
        <w:pStyle w:val="Appendix"/>
        <w:spacing w:after="0"/>
        <w:jc w:val="both"/>
        <w:rPr>
          <w:rFonts w:ascii="Arial" w:hAnsi="Arial" w:cs="Arial"/>
        </w:rPr>
      </w:pPr>
    </w:p>
    <w:p w14:paraId="3BF22147" w14:textId="77777777" w:rsidR="00156515" w:rsidRPr="00156515" w:rsidRDefault="00156515" w:rsidP="00441B6F">
      <w:pPr>
        <w:pStyle w:val="Appendix"/>
        <w:spacing w:after="0"/>
        <w:jc w:val="both"/>
        <w:rPr>
          <w:rFonts w:ascii="Arial" w:hAnsi="Arial" w:cs="Arial"/>
        </w:rPr>
      </w:pPr>
    </w:p>
    <w:p w14:paraId="30A59E41" w14:textId="77777777" w:rsidR="00156515" w:rsidRPr="00156515" w:rsidRDefault="00156515" w:rsidP="00441B6F">
      <w:pPr>
        <w:pStyle w:val="Appendix"/>
        <w:spacing w:after="0"/>
        <w:jc w:val="both"/>
        <w:rPr>
          <w:rFonts w:ascii="Arial" w:hAnsi="Arial" w:cs="Arial"/>
        </w:rPr>
      </w:pPr>
    </w:p>
    <w:p w14:paraId="6D748368" w14:textId="77777777" w:rsidR="00156515" w:rsidRPr="00156515" w:rsidRDefault="00156515" w:rsidP="00441B6F">
      <w:pPr>
        <w:pStyle w:val="Appendix"/>
        <w:spacing w:after="0"/>
        <w:jc w:val="both"/>
        <w:rPr>
          <w:rFonts w:ascii="Arial" w:hAnsi="Arial" w:cs="Arial"/>
        </w:rPr>
      </w:pPr>
    </w:p>
    <w:p w14:paraId="3548FCCB" w14:textId="77777777" w:rsidR="00156515" w:rsidRPr="00156515" w:rsidRDefault="00156515" w:rsidP="00441B6F">
      <w:pPr>
        <w:pStyle w:val="Appendix"/>
        <w:spacing w:after="0"/>
        <w:jc w:val="both"/>
        <w:rPr>
          <w:rFonts w:ascii="Arial" w:hAnsi="Arial" w:cs="Arial"/>
        </w:rPr>
      </w:pPr>
    </w:p>
    <w:p w14:paraId="1FBAAE78" w14:textId="77777777" w:rsidR="00156515" w:rsidRPr="00156515" w:rsidRDefault="00156515" w:rsidP="00441B6F">
      <w:pPr>
        <w:pStyle w:val="Appendix"/>
        <w:spacing w:after="0"/>
        <w:jc w:val="both"/>
        <w:rPr>
          <w:rFonts w:ascii="Arial" w:hAnsi="Arial" w:cs="Arial"/>
        </w:rPr>
      </w:pPr>
    </w:p>
    <w:p w14:paraId="22862128" w14:textId="77777777" w:rsidR="00156515" w:rsidRPr="00156515" w:rsidRDefault="00156515" w:rsidP="00441B6F">
      <w:pPr>
        <w:pStyle w:val="Appendix"/>
        <w:spacing w:after="0"/>
        <w:jc w:val="both"/>
        <w:rPr>
          <w:rFonts w:ascii="Arial" w:hAnsi="Arial" w:cs="Arial"/>
        </w:rPr>
      </w:pPr>
    </w:p>
    <w:p w14:paraId="6A663DFB" w14:textId="77777777" w:rsidR="00156515" w:rsidRPr="00156515" w:rsidRDefault="00156515" w:rsidP="00441B6F">
      <w:pPr>
        <w:pStyle w:val="Appendix"/>
        <w:spacing w:after="0"/>
        <w:jc w:val="both"/>
        <w:rPr>
          <w:rFonts w:ascii="Arial" w:hAnsi="Arial" w:cs="Arial"/>
        </w:rPr>
      </w:pPr>
    </w:p>
    <w:p w14:paraId="724448F7" w14:textId="77777777" w:rsidR="00156515" w:rsidRPr="00156515" w:rsidRDefault="00156515" w:rsidP="00441B6F">
      <w:pPr>
        <w:pStyle w:val="Appendix"/>
        <w:spacing w:after="0"/>
        <w:jc w:val="both"/>
        <w:rPr>
          <w:rFonts w:ascii="Arial" w:hAnsi="Arial" w:cs="Arial"/>
        </w:rPr>
      </w:pPr>
    </w:p>
    <w:p w14:paraId="6474AB7C" w14:textId="77777777" w:rsidR="00156515" w:rsidRPr="00156515" w:rsidRDefault="00156515" w:rsidP="00441B6F">
      <w:pPr>
        <w:pStyle w:val="Appendix"/>
        <w:spacing w:after="0"/>
        <w:jc w:val="both"/>
        <w:rPr>
          <w:rFonts w:ascii="Arial" w:hAnsi="Arial" w:cs="Arial"/>
        </w:rPr>
      </w:pPr>
    </w:p>
    <w:p w14:paraId="5CB53733" w14:textId="77777777" w:rsidR="00156515" w:rsidRPr="00156515" w:rsidRDefault="00156515" w:rsidP="00156515">
      <w:pPr>
        <w:rPr>
          <w:rFonts w:ascii="Arial" w:hAnsi="Arial" w:cs="Arial"/>
          <w:sz w:val="22"/>
          <w:szCs w:val="22"/>
        </w:rPr>
      </w:pPr>
      <w:r w:rsidRPr="00156515">
        <w:rPr>
          <w:rFonts w:ascii="Arial" w:hAnsi="Arial" w:cs="Arial"/>
          <w:b/>
          <w:lang w:val="en-GB"/>
        </w:rPr>
        <w:t>Figure 1.</w:t>
      </w:r>
      <w:r w:rsidRPr="00156515">
        <w:rPr>
          <w:rFonts w:ascii="Arial" w:hAnsi="Arial" w:cs="Arial"/>
          <w:b/>
          <w:bCs/>
          <w:lang w:val="en-GB"/>
        </w:rPr>
        <w:t xml:space="preserve"> </w:t>
      </w:r>
      <w:r w:rsidRPr="00156515">
        <w:rPr>
          <w:rFonts w:ascii="Arial" w:hAnsi="Arial" w:cs="Arial"/>
          <w:sz w:val="22"/>
          <w:szCs w:val="22"/>
        </w:rPr>
        <w:t xml:space="preserve">Transthoracic echocardiogram showed severe mitral stenosis with no calcification leaflet or </w:t>
      </w:r>
      <w:proofErr w:type="spellStart"/>
      <w:r w:rsidRPr="00156515">
        <w:rPr>
          <w:rFonts w:ascii="Arial" w:hAnsi="Arial" w:cs="Arial"/>
          <w:sz w:val="22"/>
          <w:szCs w:val="22"/>
        </w:rPr>
        <w:t>subvalvular</w:t>
      </w:r>
      <w:proofErr w:type="spellEnd"/>
      <w:r w:rsidRPr="00156515">
        <w:rPr>
          <w:rFonts w:ascii="Arial" w:hAnsi="Arial" w:cs="Arial"/>
          <w:sz w:val="22"/>
          <w:szCs w:val="22"/>
        </w:rPr>
        <w:t xml:space="preserve"> structures</w:t>
      </w:r>
    </w:p>
    <w:p w14:paraId="2544848A" w14:textId="77777777" w:rsidR="00156515" w:rsidRPr="00156515" w:rsidRDefault="00156515" w:rsidP="00156515">
      <w:pPr>
        <w:rPr>
          <w:rFonts w:ascii="Arial" w:hAnsi="Arial" w:cs="Arial"/>
          <w:sz w:val="22"/>
          <w:szCs w:val="22"/>
        </w:rPr>
      </w:pPr>
    </w:p>
    <w:p w14:paraId="746E0708" w14:textId="77777777" w:rsidR="00156515" w:rsidRPr="00156515" w:rsidRDefault="00156515" w:rsidP="00156515">
      <w:pPr>
        <w:rPr>
          <w:rFonts w:ascii="Arial" w:hAnsi="Arial" w:cs="Arial"/>
          <w:sz w:val="22"/>
          <w:szCs w:val="22"/>
        </w:rPr>
      </w:pPr>
    </w:p>
    <w:p w14:paraId="5E3150B8" w14:textId="77777777" w:rsidR="00156515" w:rsidRPr="00156515" w:rsidRDefault="00156515" w:rsidP="00156515">
      <w:pPr>
        <w:rPr>
          <w:rFonts w:ascii="Arial" w:hAnsi="Arial" w:cs="Arial"/>
          <w:sz w:val="22"/>
          <w:szCs w:val="22"/>
        </w:rPr>
      </w:pPr>
    </w:p>
    <w:p w14:paraId="136F738F" w14:textId="0B836495" w:rsidR="00156515" w:rsidRPr="00156515" w:rsidRDefault="00156515" w:rsidP="00156515">
      <w:pPr>
        <w:rPr>
          <w:rFonts w:ascii="Arial" w:hAnsi="Arial" w:cs="Arial"/>
          <w:b/>
          <w:bCs/>
          <w:lang w:val="en-GB"/>
        </w:rPr>
      </w:pPr>
      <w:r w:rsidRPr="00156515">
        <w:rPr>
          <w:rFonts w:ascii="Arial" w:hAnsi="Arial" w:cs="Arial"/>
          <w:noProof/>
        </w:rPr>
        <w:drawing>
          <wp:anchor distT="0" distB="0" distL="114300" distR="114300" simplePos="0" relativeHeight="251657728" behindDoc="0" locked="0" layoutInCell="1" allowOverlap="1" wp14:anchorId="4AB66532" wp14:editId="05CF5592">
            <wp:simplePos x="0" y="0"/>
            <wp:positionH relativeFrom="margin">
              <wp:posOffset>1186405</wp:posOffset>
            </wp:positionH>
            <wp:positionV relativeFrom="paragraph">
              <wp:posOffset>115843</wp:posOffset>
            </wp:positionV>
            <wp:extent cx="3232150" cy="2320925"/>
            <wp:effectExtent l="0" t="0" r="6350" b="3175"/>
            <wp:wrapThrough wrapText="bothSides">
              <wp:wrapPolygon edited="0">
                <wp:start x="0" y="0"/>
                <wp:lineTo x="0" y="21452"/>
                <wp:lineTo x="21515" y="21452"/>
                <wp:lineTo x="21515" y="0"/>
                <wp:lineTo x="0" y="0"/>
              </wp:wrapPolygon>
            </wp:wrapThrough>
            <wp:docPr id="119629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390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150" cy="2320925"/>
                    </a:xfrm>
                    <a:prstGeom prst="rect">
                      <a:avLst/>
                    </a:prstGeom>
                  </pic:spPr>
                </pic:pic>
              </a:graphicData>
            </a:graphic>
            <wp14:sizeRelH relativeFrom="margin">
              <wp14:pctWidth>0</wp14:pctWidth>
            </wp14:sizeRelH>
            <wp14:sizeRelV relativeFrom="margin">
              <wp14:pctHeight>0</wp14:pctHeight>
            </wp14:sizeRelV>
          </wp:anchor>
        </w:drawing>
      </w:r>
    </w:p>
    <w:p w14:paraId="45BCCA4D" w14:textId="77777777" w:rsidR="00156515" w:rsidRPr="00156515" w:rsidRDefault="00156515" w:rsidP="00441B6F">
      <w:pPr>
        <w:pStyle w:val="Appendix"/>
        <w:spacing w:after="0"/>
        <w:jc w:val="both"/>
        <w:rPr>
          <w:rFonts w:ascii="Arial" w:hAnsi="Arial" w:cs="Arial"/>
        </w:rPr>
      </w:pPr>
    </w:p>
    <w:p w14:paraId="52125138" w14:textId="77777777" w:rsidR="00156515" w:rsidRPr="00156515" w:rsidRDefault="00156515" w:rsidP="00441B6F">
      <w:pPr>
        <w:pStyle w:val="Appendix"/>
        <w:spacing w:after="0"/>
        <w:jc w:val="both"/>
        <w:rPr>
          <w:rFonts w:ascii="Arial" w:hAnsi="Arial" w:cs="Arial"/>
        </w:rPr>
      </w:pPr>
    </w:p>
    <w:p w14:paraId="7D9E9C26" w14:textId="77777777" w:rsidR="00156515" w:rsidRPr="00156515" w:rsidRDefault="00156515" w:rsidP="00441B6F">
      <w:pPr>
        <w:pStyle w:val="Appendix"/>
        <w:spacing w:after="0"/>
        <w:jc w:val="both"/>
        <w:rPr>
          <w:rFonts w:ascii="Arial" w:hAnsi="Arial" w:cs="Arial"/>
        </w:rPr>
      </w:pPr>
    </w:p>
    <w:p w14:paraId="396C33B3" w14:textId="77777777" w:rsidR="00156515" w:rsidRPr="00156515" w:rsidRDefault="00156515" w:rsidP="00441B6F">
      <w:pPr>
        <w:pStyle w:val="Appendix"/>
        <w:spacing w:after="0"/>
        <w:jc w:val="both"/>
        <w:rPr>
          <w:rFonts w:ascii="Arial" w:hAnsi="Arial" w:cs="Arial"/>
        </w:rPr>
      </w:pPr>
    </w:p>
    <w:p w14:paraId="3AAE2A12" w14:textId="77777777" w:rsidR="00156515" w:rsidRPr="00156515" w:rsidRDefault="00156515" w:rsidP="00441B6F">
      <w:pPr>
        <w:pStyle w:val="Appendix"/>
        <w:spacing w:after="0"/>
        <w:jc w:val="both"/>
        <w:rPr>
          <w:rFonts w:ascii="Arial" w:hAnsi="Arial" w:cs="Arial"/>
        </w:rPr>
      </w:pPr>
    </w:p>
    <w:p w14:paraId="3B58BBC6" w14:textId="77777777" w:rsidR="00156515" w:rsidRPr="00156515" w:rsidRDefault="00156515" w:rsidP="00441B6F">
      <w:pPr>
        <w:pStyle w:val="Appendix"/>
        <w:spacing w:after="0"/>
        <w:jc w:val="both"/>
        <w:rPr>
          <w:rFonts w:ascii="Arial" w:hAnsi="Arial" w:cs="Arial"/>
        </w:rPr>
      </w:pPr>
    </w:p>
    <w:p w14:paraId="6925BA76" w14:textId="77777777" w:rsidR="00156515" w:rsidRPr="00156515" w:rsidRDefault="00156515" w:rsidP="00441B6F">
      <w:pPr>
        <w:pStyle w:val="Appendix"/>
        <w:spacing w:after="0"/>
        <w:jc w:val="both"/>
        <w:rPr>
          <w:rFonts w:ascii="Arial" w:hAnsi="Arial" w:cs="Arial"/>
        </w:rPr>
      </w:pPr>
    </w:p>
    <w:p w14:paraId="7FDB657A" w14:textId="77777777" w:rsidR="00156515" w:rsidRPr="00156515" w:rsidRDefault="00156515" w:rsidP="00441B6F">
      <w:pPr>
        <w:pStyle w:val="Appendix"/>
        <w:spacing w:after="0"/>
        <w:jc w:val="both"/>
        <w:rPr>
          <w:rFonts w:ascii="Arial" w:hAnsi="Arial" w:cs="Arial"/>
        </w:rPr>
      </w:pPr>
    </w:p>
    <w:p w14:paraId="4DBC8107" w14:textId="77777777" w:rsidR="00156515" w:rsidRPr="00156515" w:rsidRDefault="00156515" w:rsidP="00441B6F">
      <w:pPr>
        <w:pStyle w:val="Appendix"/>
        <w:spacing w:after="0"/>
        <w:jc w:val="both"/>
        <w:rPr>
          <w:rFonts w:ascii="Arial" w:hAnsi="Arial" w:cs="Arial"/>
        </w:rPr>
      </w:pPr>
    </w:p>
    <w:p w14:paraId="4BBA0B64" w14:textId="77777777" w:rsidR="00156515" w:rsidRPr="00156515" w:rsidRDefault="00156515" w:rsidP="00441B6F">
      <w:pPr>
        <w:pStyle w:val="Appendix"/>
        <w:spacing w:after="0"/>
        <w:jc w:val="both"/>
        <w:rPr>
          <w:rFonts w:ascii="Arial" w:hAnsi="Arial" w:cs="Arial"/>
        </w:rPr>
      </w:pPr>
    </w:p>
    <w:p w14:paraId="71E0074D" w14:textId="77777777" w:rsidR="00156515" w:rsidRPr="00156515" w:rsidRDefault="00156515" w:rsidP="00441B6F">
      <w:pPr>
        <w:pStyle w:val="Appendix"/>
        <w:spacing w:after="0"/>
        <w:jc w:val="both"/>
        <w:rPr>
          <w:rFonts w:ascii="Arial" w:hAnsi="Arial" w:cs="Arial"/>
        </w:rPr>
      </w:pPr>
    </w:p>
    <w:p w14:paraId="0675D577" w14:textId="77777777" w:rsidR="00156515" w:rsidRPr="00156515" w:rsidRDefault="00156515" w:rsidP="00441B6F">
      <w:pPr>
        <w:pStyle w:val="Appendix"/>
        <w:spacing w:after="0"/>
        <w:jc w:val="both"/>
        <w:rPr>
          <w:rFonts w:ascii="Arial" w:hAnsi="Arial" w:cs="Arial"/>
        </w:rPr>
      </w:pPr>
    </w:p>
    <w:p w14:paraId="1B233100" w14:textId="77777777" w:rsidR="00156515" w:rsidRPr="00156515" w:rsidRDefault="00156515" w:rsidP="00441B6F">
      <w:pPr>
        <w:pStyle w:val="Appendix"/>
        <w:spacing w:after="0"/>
        <w:jc w:val="both"/>
        <w:rPr>
          <w:rFonts w:ascii="Arial" w:hAnsi="Arial" w:cs="Arial"/>
        </w:rPr>
      </w:pPr>
    </w:p>
    <w:p w14:paraId="2A4D3A1D" w14:textId="77777777" w:rsidR="00156515" w:rsidRPr="00156515" w:rsidRDefault="00156515" w:rsidP="00441B6F">
      <w:pPr>
        <w:pStyle w:val="Appendix"/>
        <w:spacing w:after="0"/>
        <w:jc w:val="both"/>
        <w:rPr>
          <w:rFonts w:ascii="Arial" w:hAnsi="Arial" w:cs="Arial"/>
        </w:rPr>
      </w:pPr>
    </w:p>
    <w:p w14:paraId="5EFF1DCB" w14:textId="77777777" w:rsidR="00156515" w:rsidRPr="00156515" w:rsidRDefault="00156515" w:rsidP="00441B6F">
      <w:pPr>
        <w:pStyle w:val="Appendix"/>
        <w:spacing w:after="0"/>
        <w:jc w:val="both"/>
        <w:rPr>
          <w:rFonts w:ascii="Arial" w:hAnsi="Arial" w:cs="Arial"/>
        </w:rPr>
      </w:pPr>
    </w:p>
    <w:p w14:paraId="01D64E7C" w14:textId="77777777" w:rsidR="00156515" w:rsidRPr="00156515" w:rsidRDefault="00156515" w:rsidP="00156515">
      <w:pPr>
        <w:spacing w:line="360" w:lineRule="auto"/>
        <w:jc w:val="center"/>
        <w:rPr>
          <w:rFonts w:ascii="Arial" w:hAnsi="Arial" w:cs="Arial"/>
          <w:sz w:val="22"/>
          <w:szCs w:val="22"/>
        </w:rPr>
      </w:pPr>
      <w:r w:rsidRPr="00156515">
        <w:rPr>
          <w:rFonts w:ascii="Arial" w:hAnsi="Arial" w:cs="Arial"/>
          <w:b/>
          <w:bCs/>
          <w:sz w:val="22"/>
          <w:szCs w:val="22"/>
        </w:rPr>
        <w:t>Figure 2</w:t>
      </w:r>
      <w:r w:rsidRPr="00156515">
        <w:rPr>
          <w:rFonts w:ascii="Arial" w:hAnsi="Arial" w:cs="Arial"/>
          <w:sz w:val="22"/>
          <w:szCs w:val="22"/>
        </w:rPr>
        <w:t>. Transesophageal echocardiography showed left atrial thrombus</w:t>
      </w:r>
    </w:p>
    <w:p w14:paraId="77576798" w14:textId="77777777" w:rsidR="00156515" w:rsidRPr="00156515" w:rsidRDefault="00156515" w:rsidP="00441B6F">
      <w:pPr>
        <w:pStyle w:val="Appendix"/>
        <w:spacing w:after="0"/>
        <w:jc w:val="both"/>
        <w:rPr>
          <w:rFonts w:ascii="Arial" w:hAnsi="Arial" w:cs="Arial"/>
        </w:rPr>
      </w:pPr>
    </w:p>
    <w:p w14:paraId="368CCC56" w14:textId="4D1C4474" w:rsidR="00156515" w:rsidRPr="00156515" w:rsidRDefault="00156515" w:rsidP="00441B6F">
      <w:pPr>
        <w:pStyle w:val="Appendix"/>
        <w:spacing w:after="0"/>
        <w:jc w:val="both"/>
        <w:rPr>
          <w:rFonts w:ascii="Arial" w:hAnsi="Arial" w:cs="Arial"/>
        </w:rPr>
      </w:pPr>
    </w:p>
    <w:p w14:paraId="57714C16" w14:textId="507B05B5" w:rsidR="00156515" w:rsidRPr="00156515" w:rsidRDefault="00CD4929" w:rsidP="00441B6F">
      <w:pPr>
        <w:pStyle w:val="Appendix"/>
        <w:spacing w:after="0"/>
        <w:jc w:val="both"/>
        <w:rPr>
          <w:rFonts w:ascii="Arial" w:hAnsi="Arial" w:cs="Arial"/>
        </w:rPr>
      </w:pPr>
      <w:r w:rsidRPr="00156515">
        <w:rPr>
          <w:rFonts w:ascii="Arial" w:hAnsi="Arial" w:cs="Arial"/>
          <w:noProof/>
        </w:rPr>
        <w:drawing>
          <wp:anchor distT="0" distB="0" distL="114300" distR="114300" simplePos="0" relativeHeight="251659776" behindDoc="0" locked="0" layoutInCell="1" allowOverlap="1" wp14:anchorId="10A578F3" wp14:editId="3A4B417E">
            <wp:simplePos x="0" y="0"/>
            <wp:positionH relativeFrom="margin">
              <wp:posOffset>1377388</wp:posOffset>
            </wp:positionH>
            <wp:positionV relativeFrom="paragraph">
              <wp:posOffset>7058</wp:posOffset>
            </wp:positionV>
            <wp:extent cx="2463800" cy="2503170"/>
            <wp:effectExtent l="0" t="0" r="0" b="0"/>
            <wp:wrapThrough wrapText="bothSides">
              <wp:wrapPolygon edited="0">
                <wp:start x="0" y="0"/>
                <wp:lineTo x="0" y="21370"/>
                <wp:lineTo x="21377" y="21370"/>
                <wp:lineTo x="21377" y="0"/>
                <wp:lineTo x="0" y="0"/>
              </wp:wrapPolygon>
            </wp:wrapThrough>
            <wp:docPr id="15432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9812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3800" cy="2503170"/>
                    </a:xfrm>
                    <a:prstGeom prst="rect">
                      <a:avLst/>
                    </a:prstGeom>
                  </pic:spPr>
                </pic:pic>
              </a:graphicData>
            </a:graphic>
            <wp14:sizeRelH relativeFrom="margin">
              <wp14:pctWidth>0</wp14:pctWidth>
            </wp14:sizeRelH>
            <wp14:sizeRelV relativeFrom="margin">
              <wp14:pctHeight>0</wp14:pctHeight>
            </wp14:sizeRelV>
          </wp:anchor>
        </w:drawing>
      </w:r>
    </w:p>
    <w:p w14:paraId="5A75AD90" w14:textId="77777777" w:rsidR="00156515" w:rsidRPr="00156515" w:rsidRDefault="00156515" w:rsidP="00441B6F">
      <w:pPr>
        <w:pStyle w:val="Appendix"/>
        <w:spacing w:after="0"/>
        <w:jc w:val="both"/>
        <w:rPr>
          <w:rFonts w:ascii="Arial" w:hAnsi="Arial" w:cs="Arial"/>
        </w:rPr>
      </w:pPr>
    </w:p>
    <w:p w14:paraId="0D3A3284" w14:textId="77777777" w:rsidR="00156515" w:rsidRPr="00156515" w:rsidRDefault="00156515" w:rsidP="00441B6F">
      <w:pPr>
        <w:pStyle w:val="Appendix"/>
        <w:spacing w:after="0"/>
        <w:jc w:val="both"/>
        <w:rPr>
          <w:rFonts w:ascii="Arial" w:hAnsi="Arial" w:cs="Arial"/>
        </w:rPr>
      </w:pPr>
    </w:p>
    <w:p w14:paraId="7017BB02" w14:textId="77777777" w:rsidR="00156515" w:rsidRPr="00156515" w:rsidRDefault="00156515" w:rsidP="00441B6F">
      <w:pPr>
        <w:pStyle w:val="Appendix"/>
        <w:spacing w:after="0"/>
        <w:jc w:val="both"/>
        <w:rPr>
          <w:rFonts w:ascii="Arial" w:hAnsi="Arial" w:cs="Arial"/>
        </w:rPr>
      </w:pPr>
    </w:p>
    <w:p w14:paraId="74E12C80" w14:textId="77777777" w:rsidR="00156515" w:rsidRPr="00156515" w:rsidRDefault="00156515" w:rsidP="00441B6F">
      <w:pPr>
        <w:pStyle w:val="Appendix"/>
        <w:spacing w:after="0"/>
        <w:jc w:val="both"/>
        <w:rPr>
          <w:rFonts w:ascii="Arial" w:hAnsi="Arial" w:cs="Arial"/>
        </w:rPr>
      </w:pPr>
    </w:p>
    <w:p w14:paraId="0E9B9F1D" w14:textId="77777777" w:rsidR="00156515" w:rsidRPr="00156515" w:rsidRDefault="00156515" w:rsidP="00441B6F">
      <w:pPr>
        <w:pStyle w:val="Appendix"/>
        <w:spacing w:after="0"/>
        <w:jc w:val="both"/>
        <w:rPr>
          <w:rFonts w:ascii="Arial" w:hAnsi="Arial" w:cs="Arial"/>
        </w:rPr>
      </w:pPr>
    </w:p>
    <w:p w14:paraId="78D55283" w14:textId="77777777" w:rsidR="00156515" w:rsidRPr="00156515" w:rsidRDefault="00156515" w:rsidP="00441B6F">
      <w:pPr>
        <w:pStyle w:val="Appendix"/>
        <w:spacing w:after="0"/>
        <w:jc w:val="both"/>
        <w:rPr>
          <w:rFonts w:ascii="Arial" w:hAnsi="Arial" w:cs="Arial"/>
        </w:rPr>
      </w:pPr>
    </w:p>
    <w:p w14:paraId="593DF00F" w14:textId="77777777" w:rsidR="00156515" w:rsidRPr="00156515" w:rsidRDefault="00156515" w:rsidP="00441B6F">
      <w:pPr>
        <w:pStyle w:val="Appendix"/>
        <w:spacing w:after="0"/>
        <w:jc w:val="both"/>
        <w:rPr>
          <w:rFonts w:ascii="Arial" w:hAnsi="Arial" w:cs="Arial"/>
        </w:rPr>
      </w:pPr>
    </w:p>
    <w:p w14:paraId="08DF1046" w14:textId="77777777" w:rsidR="00156515" w:rsidRPr="00156515" w:rsidRDefault="00156515" w:rsidP="00441B6F">
      <w:pPr>
        <w:pStyle w:val="Appendix"/>
        <w:spacing w:after="0"/>
        <w:jc w:val="both"/>
        <w:rPr>
          <w:rFonts w:ascii="Arial" w:hAnsi="Arial" w:cs="Arial"/>
        </w:rPr>
      </w:pPr>
    </w:p>
    <w:p w14:paraId="4F5A1A19" w14:textId="77777777" w:rsidR="00156515" w:rsidRPr="00156515" w:rsidRDefault="00156515" w:rsidP="00441B6F">
      <w:pPr>
        <w:pStyle w:val="Appendix"/>
        <w:spacing w:after="0"/>
        <w:jc w:val="both"/>
        <w:rPr>
          <w:rFonts w:ascii="Arial" w:hAnsi="Arial" w:cs="Arial"/>
        </w:rPr>
      </w:pPr>
    </w:p>
    <w:p w14:paraId="1F927317" w14:textId="77777777" w:rsidR="00156515" w:rsidRPr="00156515" w:rsidRDefault="00156515" w:rsidP="00441B6F">
      <w:pPr>
        <w:pStyle w:val="Appendix"/>
        <w:spacing w:after="0"/>
        <w:jc w:val="both"/>
        <w:rPr>
          <w:rFonts w:ascii="Arial" w:hAnsi="Arial" w:cs="Arial"/>
        </w:rPr>
      </w:pPr>
    </w:p>
    <w:p w14:paraId="0DA1BF94" w14:textId="77777777" w:rsidR="00156515" w:rsidRPr="00156515" w:rsidRDefault="00156515" w:rsidP="00441B6F">
      <w:pPr>
        <w:pStyle w:val="Appendix"/>
        <w:spacing w:after="0"/>
        <w:jc w:val="both"/>
        <w:rPr>
          <w:rFonts w:ascii="Arial" w:hAnsi="Arial" w:cs="Arial"/>
        </w:rPr>
      </w:pPr>
    </w:p>
    <w:p w14:paraId="4229FBB5" w14:textId="77777777" w:rsidR="00156515" w:rsidRPr="00156515" w:rsidRDefault="00156515" w:rsidP="00441B6F">
      <w:pPr>
        <w:pStyle w:val="Appendix"/>
        <w:spacing w:after="0"/>
        <w:jc w:val="both"/>
        <w:rPr>
          <w:rFonts w:ascii="Arial" w:hAnsi="Arial" w:cs="Arial"/>
        </w:rPr>
      </w:pPr>
    </w:p>
    <w:p w14:paraId="30364F30" w14:textId="34F2501D" w:rsidR="00156515" w:rsidRPr="00156515" w:rsidRDefault="00156515" w:rsidP="00441B6F">
      <w:pPr>
        <w:pStyle w:val="Appendix"/>
        <w:spacing w:after="0"/>
        <w:jc w:val="both"/>
        <w:rPr>
          <w:rFonts w:ascii="Arial" w:hAnsi="Arial" w:cs="Arial"/>
          <w:b w:val="0"/>
        </w:rPr>
        <w:sectPr w:rsidR="00156515" w:rsidRPr="00156515" w:rsidSect="004A06A7">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2E88A494" w14:textId="77777777" w:rsidR="00B01FCD" w:rsidRPr="00156515" w:rsidRDefault="00B01FCD" w:rsidP="00441B6F">
      <w:pPr>
        <w:pStyle w:val="Appendix"/>
        <w:spacing w:after="0"/>
        <w:jc w:val="both"/>
        <w:rPr>
          <w:rFonts w:ascii="Arial" w:hAnsi="Arial" w:cs="Arial"/>
          <w:b w:val="0"/>
        </w:rPr>
      </w:pPr>
    </w:p>
    <w:p w14:paraId="2FBDB480" w14:textId="77777777" w:rsidR="00156515" w:rsidRPr="00156515" w:rsidRDefault="00156515" w:rsidP="00441B6F">
      <w:pPr>
        <w:pStyle w:val="Appendix"/>
        <w:spacing w:after="0"/>
        <w:jc w:val="both"/>
        <w:rPr>
          <w:rFonts w:ascii="Arial" w:hAnsi="Arial" w:cs="Arial"/>
          <w:b w:val="0"/>
        </w:rPr>
      </w:pPr>
    </w:p>
    <w:p w14:paraId="3D51A5F9" w14:textId="77777777" w:rsidR="00156515" w:rsidRPr="00156515" w:rsidRDefault="00156515" w:rsidP="00441B6F">
      <w:pPr>
        <w:pStyle w:val="Appendix"/>
        <w:spacing w:after="0"/>
        <w:jc w:val="both"/>
        <w:rPr>
          <w:rFonts w:ascii="Arial" w:hAnsi="Arial" w:cs="Arial"/>
          <w:b w:val="0"/>
        </w:rPr>
      </w:pPr>
    </w:p>
    <w:p w14:paraId="6B984C06" w14:textId="77777777" w:rsidR="00156515" w:rsidRPr="00156515" w:rsidRDefault="00156515" w:rsidP="00441B6F">
      <w:pPr>
        <w:pStyle w:val="Appendix"/>
        <w:spacing w:after="0"/>
        <w:jc w:val="both"/>
        <w:rPr>
          <w:rFonts w:ascii="Arial" w:hAnsi="Arial" w:cs="Arial"/>
          <w:b w:val="0"/>
        </w:rPr>
      </w:pPr>
    </w:p>
    <w:p w14:paraId="7A7C7718" w14:textId="77777777" w:rsidR="00156515" w:rsidRPr="00156515" w:rsidRDefault="00156515" w:rsidP="00156515">
      <w:pPr>
        <w:spacing w:line="360" w:lineRule="auto"/>
        <w:jc w:val="center"/>
        <w:rPr>
          <w:rFonts w:ascii="Arial" w:hAnsi="Arial" w:cs="Arial"/>
          <w:sz w:val="22"/>
          <w:szCs w:val="22"/>
        </w:rPr>
      </w:pPr>
      <w:r w:rsidRPr="00156515">
        <w:rPr>
          <w:rFonts w:ascii="Arial" w:hAnsi="Arial" w:cs="Arial"/>
          <w:b/>
          <w:bCs/>
          <w:sz w:val="22"/>
          <w:szCs w:val="22"/>
        </w:rPr>
        <w:t>Figure 3</w:t>
      </w:r>
      <w:r w:rsidRPr="00156515">
        <w:rPr>
          <w:rFonts w:ascii="Arial" w:hAnsi="Arial" w:cs="Arial"/>
          <w:sz w:val="22"/>
          <w:szCs w:val="22"/>
        </w:rPr>
        <w:t xml:space="preserve">. PBMV was successfully inserted with 25mm Inoue Balloon </w:t>
      </w:r>
    </w:p>
    <w:p w14:paraId="19695CFD" w14:textId="77777777" w:rsidR="00156515" w:rsidRPr="00156515" w:rsidRDefault="00156515" w:rsidP="00441B6F">
      <w:pPr>
        <w:pStyle w:val="Appendix"/>
        <w:spacing w:after="0"/>
        <w:jc w:val="both"/>
        <w:rPr>
          <w:rFonts w:ascii="Arial" w:hAnsi="Arial" w:cs="Arial"/>
          <w:b w:val="0"/>
        </w:rPr>
      </w:pPr>
    </w:p>
    <w:sectPr w:rsidR="00156515" w:rsidRPr="00156515" w:rsidSect="004A06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45B07" w14:textId="77777777" w:rsidR="00ED315C" w:rsidRDefault="00ED315C" w:rsidP="00C37E61">
      <w:r>
        <w:separator/>
      </w:r>
    </w:p>
  </w:endnote>
  <w:endnote w:type="continuationSeparator" w:id="0">
    <w:p w14:paraId="761BC5A2" w14:textId="77777777" w:rsidR="00ED315C" w:rsidRDefault="00ED31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85E9" w14:textId="77777777" w:rsidR="004A06A7" w:rsidRDefault="004A0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094E" w14:textId="250D3EBD" w:rsidR="00C37E61" w:rsidRPr="00753E06" w:rsidRDefault="00C37E61" w:rsidP="00753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113D" w14:textId="60866141" w:rsidR="00754C9A" w:rsidRPr="00125C9E" w:rsidRDefault="00754C9A" w:rsidP="00125C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35B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577CA" w14:textId="77777777" w:rsidR="00ED315C" w:rsidRDefault="00ED315C" w:rsidP="00C37E61">
      <w:r>
        <w:separator/>
      </w:r>
    </w:p>
  </w:footnote>
  <w:footnote w:type="continuationSeparator" w:id="0">
    <w:p w14:paraId="4D44AD03" w14:textId="77777777" w:rsidR="00ED315C" w:rsidRDefault="00ED31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B881" w14:textId="6C9972BE" w:rsidR="004A06A7" w:rsidRDefault="004A06A7">
    <w:pPr>
      <w:pStyle w:val="Header"/>
    </w:pPr>
    <w:r>
      <w:rPr>
        <w:noProof/>
      </w:rPr>
      <w:pict w14:anchorId="485E8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DAE4" w14:textId="1C5470DB" w:rsidR="004A06A7" w:rsidRDefault="004A06A7">
    <w:pPr>
      <w:pStyle w:val="Header"/>
    </w:pPr>
    <w:r>
      <w:rPr>
        <w:noProof/>
      </w:rPr>
      <w:pict w14:anchorId="7E65A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6C0E" w14:textId="7B009E5E" w:rsidR="00296529" w:rsidRPr="00296529" w:rsidRDefault="004A06A7" w:rsidP="00296529">
    <w:pPr>
      <w:ind w:left="2160"/>
      <w:jc w:val="center"/>
      <w:rPr>
        <w:rFonts w:ascii="Times New Roman" w:eastAsia="Calibri" w:hAnsi="Times New Roman"/>
        <w:i/>
        <w:sz w:val="18"/>
        <w:szCs w:val="22"/>
      </w:rPr>
    </w:pPr>
    <w:r>
      <w:rPr>
        <w:noProof/>
      </w:rPr>
      <w:pict w14:anchorId="2AEDA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BF83BB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1895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3219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FFE0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63D54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FA3A6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04D9" w14:textId="461BA5FB" w:rsidR="004A06A7" w:rsidRDefault="004A06A7">
    <w:pPr>
      <w:pStyle w:val="Header"/>
    </w:pPr>
    <w:r>
      <w:rPr>
        <w:noProof/>
      </w:rPr>
      <w:pict w14:anchorId="43203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EB7C8" w14:textId="3BB35529" w:rsidR="004A06A7" w:rsidRDefault="004A06A7">
    <w:pPr>
      <w:pStyle w:val="Header"/>
    </w:pPr>
    <w:r>
      <w:rPr>
        <w:noProof/>
      </w:rPr>
      <w:pict w14:anchorId="314EE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B47A" w14:textId="7E35A41E" w:rsidR="004A06A7" w:rsidRDefault="004A06A7">
    <w:pPr>
      <w:pStyle w:val="Header"/>
    </w:pPr>
    <w:r>
      <w:rPr>
        <w:noProof/>
      </w:rPr>
      <w:pict w14:anchorId="7FBFD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008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203EAF"/>
    <w:multiLevelType w:val="hybridMultilevel"/>
    <w:tmpl w:val="16C8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1C97FF4"/>
    <w:multiLevelType w:val="hybridMultilevel"/>
    <w:tmpl w:val="48D2ED7E"/>
    <w:lvl w:ilvl="0" w:tplc="89C857E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77167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414852">
    <w:abstractNumId w:val="16"/>
  </w:num>
  <w:num w:numId="3" w16cid:durableId="1265311561">
    <w:abstractNumId w:val="25"/>
  </w:num>
  <w:num w:numId="4" w16cid:durableId="44920839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1976337">
    <w:abstractNumId w:val="7"/>
  </w:num>
  <w:num w:numId="6" w16cid:durableId="1472602462">
    <w:abstractNumId w:val="6"/>
  </w:num>
  <w:num w:numId="7" w16cid:durableId="1093433118">
    <w:abstractNumId w:val="1"/>
  </w:num>
  <w:num w:numId="8" w16cid:durableId="2131511620">
    <w:abstractNumId w:val="13"/>
  </w:num>
  <w:num w:numId="9" w16cid:durableId="832768193">
    <w:abstractNumId w:val="27"/>
  </w:num>
  <w:num w:numId="10" w16cid:durableId="161898095">
    <w:abstractNumId w:val="2"/>
  </w:num>
  <w:num w:numId="11" w16cid:durableId="1668710326">
    <w:abstractNumId w:val="19"/>
  </w:num>
  <w:num w:numId="12" w16cid:durableId="1453748610">
    <w:abstractNumId w:val="3"/>
  </w:num>
  <w:num w:numId="13" w16cid:durableId="67197494">
    <w:abstractNumId w:val="18"/>
  </w:num>
  <w:num w:numId="14" w16cid:durableId="1204370382">
    <w:abstractNumId w:val="8"/>
  </w:num>
  <w:num w:numId="15" w16cid:durableId="1325233720">
    <w:abstractNumId w:val="23"/>
  </w:num>
  <w:num w:numId="16" w16cid:durableId="241648697">
    <w:abstractNumId w:val="5"/>
  </w:num>
  <w:num w:numId="17" w16cid:durableId="873662660">
    <w:abstractNumId w:val="24"/>
  </w:num>
  <w:num w:numId="18" w16cid:durableId="1758479112">
    <w:abstractNumId w:val="15"/>
  </w:num>
  <w:num w:numId="19" w16cid:durableId="22487091">
    <w:abstractNumId w:val="30"/>
  </w:num>
  <w:num w:numId="20" w16cid:durableId="981040078">
    <w:abstractNumId w:val="11"/>
  </w:num>
  <w:num w:numId="21" w16cid:durableId="1347101437">
    <w:abstractNumId w:val="9"/>
  </w:num>
  <w:num w:numId="22" w16cid:durableId="1572694324">
    <w:abstractNumId w:val="14"/>
  </w:num>
  <w:num w:numId="23" w16cid:durableId="208995560">
    <w:abstractNumId w:val="20"/>
  </w:num>
  <w:num w:numId="24" w16cid:durableId="1342390472">
    <w:abstractNumId w:val="28"/>
  </w:num>
  <w:num w:numId="25" w16cid:durableId="863713737">
    <w:abstractNumId w:val="4"/>
  </w:num>
  <w:num w:numId="26" w16cid:durableId="303311715">
    <w:abstractNumId w:val="17"/>
  </w:num>
  <w:num w:numId="27" w16cid:durableId="76833609">
    <w:abstractNumId w:val="22"/>
  </w:num>
  <w:num w:numId="28" w16cid:durableId="1612664939">
    <w:abstractNumId w:val="29"/>
  </w:num>
  <w:num w:numId="29" w16cid:durableId="1854026600">
    <w:abstractNumId w:val="26"/>
  </w:num>
  <w:num w:numId="30" w16cid:durableId="1026253343">
    <w:abstractNumId w:val="10"/>
  </w:num>
  <w:num w:numId="31" w16cid:durableId="273291186">
    <w:abstractNumId w:val="21"/>
  </w:num>
  <w:num w:numId="32" w16cid:durableId="2421026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5C9E"/>
    <w:rsid w:val="00126190"/>
    <w:rsid w:val="00130F17"/>
    <w:rsid w:val="001320BF"/>
    <w:rsid w:val="00156515"/>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762A"/>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7EE"/>
    <w:rsid w:val="00441B6F"/>
    <w:rsid w:val="00446221"/>
    <w:rsid w:val="00450E62"/>
    <w:rsid w:val="004539DB"/>
    <w:rsid w:val="00471A80"/>
    <w:rsid w:val="004A06A7"/>
    <w:rsid w:val="004C1E22"/>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1E7"/>
    <w:rsid w:val="0070082C"/>
    <w:rsid w:val="007369E6"/>
    <w:rsid w:val="00746E59"/>
    <w:rsid w:val="00753E06"/>
    <w:rsid w:val="00754C9A"/>
    <w:rsid w:val="0075599A"/>
    <w:rsid w:val="00761D52"/>
    <w:rsid w:val="0077749E"/>
    <w:rsid w:val="00790ADA"/>
    <w:rsid w:val="007D2288"/>
    <w:rsid w:val="007E088F"/>
    <w:rsid w:val="007F7B32"/>
    <w:rsid w:val="007F7E36"/>
    <w:rsid w:val="00804BC2"/>
    <w:rsid w:val="0081431A"/>
    <w:rsid w:val="0083125F"/>
    <w:rsid w:val="0083216F"/>
    <w:rsid w:val="00860000"/>
    <w:rsid w:val="00863BD3"/>
    <w:rsid w:val="008641ED"/>
    <w:rsid w:val="00866D66"/>
    <w:rsid w:val="008671C6"/>
    <w:rsid w:val="00875803"/>
    <w:rsid w:val="008B459E"/>
    <w:rsid w:val="008D4191"/>
    <w:rsid w:val="008E13AE"/>
    <w:rsid w:val="008E1506"/>
    <w:rsid w:val="008E710C"/>
    <w:rsid w:val="008E738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7FCC"/>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5D10"/>
    <w:rsid w:val="00B01FCD"/>
    <w:rsid w:val="00B02CDD"/>
    <w:rsid w:val="00B1776C"/>
    <w:rsid w:val="00B52583"/>
    <w:rsid w:val="00B52896"/>
    <w:rsid w:val="00B768C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4929"/>
    <w:rsid w:val="00CD6755"/>
    <w:rsid w:val="00CD6856"/>
    <w:rsid w:val="00CE0089"/>
    <w:rsid w:val="00CE793C"/>
    <w:rsid w:val="00CF193C"/>
    <w:rsid w:val="00D173F1"/>
    <w:rsid w:val="00D209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315C"/>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C7C8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565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5901707">
      <w:bodyDiv w:val="1"/>
      <w:marLeft w:val="0"/>
      <w:marRight w:val="0"/>
      <w:marTop w:val="0"/>
      <w:marBottom w:val="0"/>
      <w:divBdr>
        <w:top w:val="none" w:sz="0" w:space="0" w:color="auto"/>
        <w:left w:val="none" w:sz="0" w:space="0" w:color="auto"/>
        <w:bottom w:val="none" w:sz="0" w:space="0" w:color="auto"/>
        <w:right w:val="none" w:sz="0" w:space="0" w:color="auto"/>
      </w:divBdr>
      <w:divsChild>
        <w:div w:id="1789466537">
          <w:marLeft w:val="0"/>
          <w:marRight w:val="0"/>
          <w:marTop w:val="0"/>
          <w:marBottom w:val="0"/>
          <w:divBdr>
            <w:top w:val="none" w:sz="0" w:space="0" w:color="auto"/>
            <w:left w:val="none" w:sz="0" w:space="0" w:color="auto"/>
            <w:bottom w:val="none" w:sz="0" w:space="0" w:color="auto"/>
            <w:right w:val="none" w:sz="0" w:space="0" w:color="auto"/>
          </w:divBdr>
        </w:div>
      </w:divsChild>
    </w:div>
    <w:div w:id="971133384">
      <w:bodyDiv w:val="1"/>
      <w:marLeft w:val="0"/>
      <w:marRight w:val="0"/>
      <w:marTop w:val="0"/>
      <w:marBottom w:val="0"/>
      <w:divBdr>
        <w:top w:val="none" w:sz="0" w:space="0" w:color="auto"/>
        <w:left w:val="none" w:sz="0" w:space="0" w:color="auto"/>
        <w:bottom w:val="none" w:sz="0" w:space="0" w:color="auto"/>
        <w:right w:val="none" w:sz="0" w:space="0" w:color="auto"/>
      </w:divBdr>
      <w:divsChild>
        <w:div w:id="1557351244">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6052187">
      <w:bodyDiv w:val="1"/>
      <w:marLeft w:val="0"/>
      <w:marRight w:val="0"/>
      <w:marTop w:val="0"/>
      <w:marBottom w:val="0"/>
      <w:divBdr>
        <w:top w:val="none" w:sz="0" w:space="0" w:color="auto"/>
        <w:left w:val="none" w:sz="0" w:space="0" w:color="auto"/>
        <w:bottom w:val="none" w:sz="0" w:space="0" w:color="auto"/>
        <w:right w:val="none" w:sz="0" w:space="0" w:color="auto"/>
      </w:divBdr>
      <w:divsChild>
        <w:div w:id="1298295461">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4468257">
      <w:bodyDiv w:val="1"/>
      <w:marLeft w:val="0"/>
      <w:marRight w:val="0"/>
      <w:marTop w:val="0"/>
      <w:marBottom w:val="0"/>
      <w:divBdr>
        <w:top w:val="none" w:sz="0" w:space="0" w:color="auto"/>
        <w:left w:val="none" w:sz="0" w:space="0" w:color="auto"/>
        <w:bottom w:val="none" w:sz="0" w:space="0" w:color="auto"/>
        <w:right w:val="none" w:sz="0" w:space="0" w:color="auto"/>
      </w:divBdr>
      <w:divsChild>
        <w:div w:id="1754083357">
          <w:marLeft w:val="0"/>
          <w:marRight w:val="0"/>
          <w:marTop w:val="0"/>
          <w:marBottom w:val="0"/>
          <w:divBdr>
            <w:top w:val="none" w:sz="0" w:space="0" w:color="auto"/>
            <w:left w:val="none" w:sz="0" w:space="0" w:color="auto"/>
            <w:bottom w:val="none" w:sz="0" w:space="0" w:color="auto"/>
            <w:right w:val="none" w:sz="0" w:space="0" w:color="auto"/>
          </w:divBdr>
        </w:div>
      </w:divsChild>
    </w:div>
    <w:div w:id="1929458951">
      <w:bodyDiv w:val="1"/>
      <w:marLeft w:val="0"/>
      <w:marRight w:val="0"/>
      <w:marTop w:val="0"/>
      <w:marBottom w:val="0"/>
      <w:divBdr>
        <w:top w:val="none" w:sz="0" w:space="0" w:color="auto"/>
        <w:left w:val="none" w:sz="0" w:space="0" w:color="auto"/>
        <w:bottom w:val="none" w:sz="0" w:space="0" w:color="auto"/>
        <w:right w:val="none" w:sz="0" w:space="0" w:color="auto"/>
      </w:divBdr>
      <w:divsChild>
        <w:div w:id="629019138">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DD074B5578465383CD73ED157A076A"/>
        <w:category>
          <w:name w:val="General"/>
          <w:gallery w:val="placeholder"/>
        </w:category>
        <w:types>
          <w:type w:val="bbPlcHdr"/>
        </w:types>
        <w:behaviors>
          <w:behavior w:val="content"/>
        </w:behaviors>
        <w:guid w:val="{155FDAC6-26D5-467D-A783-F76180E8C3B9}"/>
      </w:docPartPr>
      <w:docPartBody>
        <w:p w:rsidR="00597080" w:rsidRDefault="008B7D8E" w:rsidP="008B7D8E">
          <w:pPr>
            <w:pStyle w:val="EDDD074B5578465383CD73ED157A076A"/>
          </w:pPr>
          <w:r w:rsidRPr="005476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8E"/>
    <w:rsid w:val="002015A7"/>
    <w:rsid w:val="00597080"/>
    <w:rsid w:val="007F7E36"/>
    <w:rsid w:val="0083125F"/>
    <w:rsid w:val="008B7D8E"/>
    <w:rsid w:val="00A67544"/>
    <w:rsid w:val="00AD19C5"/>
    <w:rsid w:val="00B7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D8E"/>
    <w:rPr>
      <w:color w:val="808080"/>
    </w:rPr>
  </w:style>
  <w:style w:type="paragraph" w:customStyle="1" w:styleId="EDDD074B5578465383CD73ED157A076A">
    <w:name w:val="EDDD074B5578465383CD73ED157A076A"/>
    <w:rsid w:val="008B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6</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13470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5</cp:revision>
  <cp:lastPrinted>1999-07-06T11:00:00Z</cp:lastPrinted>
  <dcterms:created xsi:type="dcterms:W3CDTF">2025-06-18T01:32:00Z</dcterms:created>
  <dcterms:modified xsi:type="dcterms:W3CDTF">2025-06-18T11:01:00Z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a9105f67-8ce1-4223-a2de-766692919205</vt:lpwstr>
  </property>
</Properties>
</file>