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BEA" w:rsidRDefault="00BD6634">
      <w:pPr>
        <w:pStyle w:val="Heading11"/>
      </w:pPr>
      <w:bookmarkStart w:id="0" w:name="X2d65e4daab8525fbda5a81fdc214f4cc207005b"/>
      <w:r>
        <w:t xml:space="preserve">Isolation and Characterization of </w:t>
      </w:r>
      <w:proofErr w:type="spellStart"/>
      <w:r>
        <w:t>Hydrocarbonoclastic</w:t>
      </w:r>
      <w:proofErr w:type="spellEnd"/>
      <w:r>
        <w:t xml:space="preserve"> Bacteria from Diesel Contaminated Environment: A Case Study from </w:t>
      </w:r>
      <w:proofErr w:type="spellStart"/>
      <w:r>
        <w:t>Mashasha</w:t>
      </w:r>
      <w:proofErr w:type="spellEnd"/>
      <w:r>
        <w:t xml:space="preserve"> Garage, </w:t>
      </w:r>
      <w:proofErr w:type="spellStart"/>
      <w:r>
        <w:t>Katsina</w:t>
      </w:r>
      <w:proofErr w:type="spellEnd"/>
      <w:r>
        <w:t xml:space="preserve"> State, Nigeria</w:t>
      </w:r>
    </w:p>
    <w:p w:rsidR="00DD4BEA" w:rsidRDefault="00DD4BEA">
      <w:pPr>
        <w:pStyle w:val="BodyText"/>
      </w:pPr>
    </w:p>
    <w:p w:rsidR="00DD4BEA" w:rsidRDefault="00DD4BEA">
      <w:pPr>
        <w:pStyle w:val="BodyText"/>
      </w:pPr>
    </w:p>
    <w:p w:rsidR="00DD4BEA" w:rsidRDefault="00BD6634">
      <w:pPr>
        <w:pStyle w:val="Heading21"/>
      </w:pPr>
      <w:bookmarkStart w:id="1" w:name="abstract"/>
      <w:bookmarkStart w:id="2" w:name="_GoBack"/>
      <w:bookmarkEnd w:id="2"/>
      <w:r>
        <w:t>Abstract</w:t>
      </w:r>
    </w:p>
    <w:p w:rsidR="00DD4BEA" w:rsidRDefault="00BD6634">
      <w:pPr>
        <w:pStyle w:val="FirstParagraph"/>
      </w:pPr>
      <w:proofErr w:type="spellStart"/>
      <w:r>
        <w:t>Hydrocarbonoclastic</w:t>
      </w:r>
      <w:proofErr w:type="spellEnd"/>
      <w:r>
        <w:t xml:space="preserve"> bacteria play crucial roles in natural attenuation of petroleum hydrocarbon contamination in the environment. This study aimed to isolate and characterize </w:t>
      </w:r>
      <w:proofErr w:type="spellStart"/>
      <w:r>
        <w:t>hydrocarbonoclastic</w:t>
      </w:r>
      <w:proofErr w:type="spellEnd"/>
      <w:r>
        <w:t xml:space="preserve"> bacteria from diesel-contaminated soil collected from </w:t>
      </w:r>
      <w:proofErr w:type="spellStart"/>
      <w:r>
        <w:t>Mashasha</w:t>
      </w:r>
      <w:proofErr w:type="spellEnd"/>
      <w:r>
        <w:t xml:space="preserve"> Garage, </w:t>
      </w:r>
      <w:proofErr w:type="spellStart"/>
      <w:r>
        <w:t>Katsina</w:t>
      </w:r>
      <w:proofErr w:type="spellEnd"/>
      <w:r>
        <w:t xml:space="preserve"> State, Nigeria. Soil samples were collected aseptically and cultured on Bushnell-Haas agar supplemented with 2.5% diesel as the sole carbon source. Bacterial isolates were characterized morphologically and biochemically, with identification confirmed using VITEK-2 Compact system. The isolated bacterium demonstrated strong growth on hydrocarbon-supplemented media, forming large, off-white, rough colonies. Microscopic analysis revealed rod-shaped, Gram-positive, motile, endospore-forming cells characteristic of the </w:t>
      </w:r>
      <w:proofErr w:type="spellStart"/>
      <w:r>
        <w:rPr>
          <w:i/>
          <w:iCs/>
        </w:rPr>
        <w:t>Paenibacillus</w:t>
      </w:r>
      <w:proofErr w:type="spellEnd"/>
      <w:r>
        <w:t xml:space="preserve"> genus. Biochemical and molecular identification confirmed the isolate as </w:t>
      </w:r>
      <w:proofErr w:type="spellStart"/>
      <w:r>
        <w:rPr>
          <w:i/>
          <w:iCs/>
        </w:rPr>
        <w:t>Paenibacillus</w:t>
      </w:r>
      <w:proofErr w:type="spellEnd"/>
      <w:r>
        <w:rPr>
          <w:i/>
          <w:iCs/>
        </w:rPr>
        <w:t xml:space="preserve"> </w:t>
      </w:r>
      <w:proofErr w:type="spellStart"/>
      <w:r>
        <w:rPr>
          <w:i/>
          <w:iCs/>
        </w:rPr>
        <w:t>polymyxa</w:t>
      </w:r>
      <w:proofErr w:type="spellEnd"/>
      <w:r>
        <w:t xml:space="preserve">. The bacterium exhibited efficient growth in diesel-supplemented media across various concentrations (100-1000 ppm), with optimal growth observed at 500 ppm concentration. Growth kinetics analysis revealed the highest specific growth rate (0.26192 hr⁻¹) at 500 ppm diesel concentration during the exponential phase. These findings demonstrate the successful isolation of a </w:t>
      </w:r>
      <w:proofErr w:type="spellStart"/>
      <w:r>
        <w:t>hydrocarbonoclastic</w:t>
      </w:r>
      <w:proofErr w:type="spellEnd"/>
      <w:r>
        <w:t xml:space="preserve"> bacterium from diesel-contaminated environments, contributing to the understanding of indigenous microbial communities capable of hydrocarbon utilization.</w:t>
      </w:r>
    </w:p>
    <w:p w:rsidR="00DD4BEA" w:rsidRDefault="00BD6634">
      <w:pPr>
        <w:pStyle w:val="BodyText"/>
      </w:pPr>
      <w:r>
        <w:rPr>
          <w:b/>
          <w:bCs/>
        </w:rPr>
        <w:t>Keywords:</w:t>
      </w:r>
      <w:r>
        <w:t xml:space="preserve"> </w:t>
      </w:r>
      <w:proofErr w:type="spellStart"/>
      <w:r>
        <w:t>Hydrocarbonoclastic</w:t>
      </w:r>
      <w:proofErr w:type="spellEnd"/>
      <w:r>
        <w:t xml:space="preserve"> bacteria, </w:t>
      </w:r>
      <w:proofErr w:type="spellStart"/>
      <w:r>
        <w:rPr>
          <w:i/>
          <w:iCs/>
        </w:rPr>
        <w:t>Paenibacillus</w:t>
      </w:r>
      <w:proofErr w:type="spellEnd"/>
      <w:r>
        <w:rPr>
          <w:i/>
          <w:iCs/>
        </w:rPr>
        <w:t xml:space="preserve"> </w:t>
      </w:r>
      <w:proofErr w:type="spellStart"/>
      <w:r>
        <w:rPr>
          <w:i/>
          <w:iCs/>
        </w:rPr>
        <w:t>polymyxa</w:t>
      </w:r>
      <w:proofErr w:type="spellEnd"/>
      <w:r>
        <w:t>, diesel contamination, bacterial isolation, hydrocarbon degradation, soil microbiology</w:t>
      </w:r>
    </w:p>
    <w:p w:rsidR="00DD4BEA" w:rsidRDefault="00BD6634">
      <w:pPr>
        <w:pStyle w:val="Heading21"/>
      </w:pPr>
      <w:bookmarkStart w:id="3" w:name="introduction"/>
      <w:bookmarkEnd w:id="1"/>
      <w:r>
        <w:t>Introduction</w:t>
      </w:r>
    </w:p>
    <w:p w:rsidR="00DD4BEA" w:rsidRDefault="00BD6634">
      <w:pPr>
        <w:pStyle w:val="BodyText"/>
      </w:pPr>
      <w:r>
        <w:t>Environmental contamination by petroleum hydrocarbons represents one of the most significant ecological challenges globally, with diesel fuel being a major contributor due to its widespread use in transportation and industrial applications (</w:t>
      </w:r>
      <w:proofErr w:type="spellStart"/>
      <w:r>
        <w:t>Haleyur</w:t>
      </w:r>
      <w:proofErr w:type="spellEnd"/>
      <w:r>
        <w:t xml:space="preserve"> et al., 2018). Diesel contamination occurs through various pathways including accidental spills, leakage from storage tanks, and improper disposal practices, resulting in persistent environmental pollution that affects soil and groundwater quality (Bekele et al., 2022). The complex composition of diesel, containing aliphatic, aromatic, and cyclic hydrocarbons, makes it particularly recalcitrant to natural degradation processes (Hasan et al., 2019).</w:t>
      </w:r>
    </w:p>
    <w:p w:rsidR="00DD4BEA" w:rsidRDefault="00BD6634">
      <w:pPr>
        <w:pStyle w:val="BodyText"/>
      </w:pPr>
      <w:proofErr w:type="spellStart"/>
      <w:r>
        <w:lastRenderedPageBreak/>
        <w:t>Hydrocarbonoclastic</w:t>
      </w:r>
      <w:proofErr w:type="spellEnd"/>
      <w:r>
        <w:t xml:space="preserve"> bacteria, microorganisms capable of utilizing hydrocarbons as sole carbon and energy sources, represent nature’s primary mechanism for petroleum hydrocarbon attenuation in contaminated environments (</w:t>
      </w:r>
      <w:proofErr w:type="spellStart"/>
      <w:r>
        <w:t>Abatenh</w:t>
      </w:r>
      <w:proofErr w:type="spellEnd"/>
      <w:r>
        <w:t xml:space="preserve"> et al., 2017). These specialized bacteria possess unique enzymatic systems that enable them to break down complex hydrocarbon molecules through oxidative processes, making them essential components of contaminated ecosystem recovery (</w:t>
      </w:r>
      <w:proofErr w:type="spellStart"/>
      <w:r>
        <w:t>Ferradji</w:t>
      </w:r>
      <w:proofErr w:type="spellEnd"/>
      <w:r>
        <w:t xml:space="preserve"> et al., 2014). Understanding the diversity and characteristics of indigenous </w:t>
      </w:r>
      <w:proofErr w:type="spellStart"/>
      <w:r>
        <w:t>hydrocarbonoclastic</w:t>
      </w:r>
      <w:proofErr w:type="spellEnd"/>
      <w:r>
        <w:t xml:space="preserve"> bacteria is crucial for developing effective environmental management strategies and assessing natural attenuation potential of contaminated sites.</w:t>
      </w:r>
    </w:p>
    <w:p w:rsidR="00DD4BEA" w:rsidRDefault="00BD6634">
      <w:pPr>
        <w:pStyle w:val="BodyText"/>
      </w:pPr>
      <w:r>
        <w:t xml:space="preserve">The genus </w:t>
      </w:r>
      <w:proofErr w:type="spellStart"/>
      <w:r>
        <w:t>Paenibacillus</w:t>
      </w:r>
      <w:proofErr w:type="spellEnd"/>
      <w:r>
        <w:t xml:space="preserve">, originally classified within the Bacillus group, has gained significant attention in recent years due to its versatile metabolic capabilities and environmental adaptability (Grady et al., 2016). </w:t>
      </w:r>
      <w:proofErr w:type="spellStart"/>
      <w:r>
        <w:t>Paenibacillus</w:t>
      </w:r>
      <w:proofErr w:type="spellEnd"/>
      <w:r>
        <w:t xml:space="preserve"> species are characterized by their ability to form endospores, produce various enzymes, and survive in harsh environmental conditions, making them particularly suitable for hydrocarbon-contaminated environments (Chaudhary &amp; Kim, 2019). Several studies have reported the hydrocarbon-degrading capabilities of </w:t>
      </w:r>
      <w:proofErr w:type="spellStart"/>
      <w:r>
        <w:t>Paenibacillus</w:t>
      </w:r>
      <w:proofErr w:type="spellEnd"/>
      <w:r>
        <w:t xml:space="preserve"> species, highlighting their potential role in natural bioremediation processes (Wahba et al., 2022).</w:t>
      </w:r>
    </w:p>
    <w:p w:rsidR="00DD4BEA" w:rsidRDefault="00BD6634">
      <w:pPr>
        <w:pStyle w:val="BodyText"/>
      </w:pPr>
      <w:r>
        <w:t>Nigeria, being a major oil-producing nation, faces significant challenges related to petroleum hydrocarbon contamination, particularly in areas with high vehicular and industrial activities (Okafor et al., 2016). Automotive garages and fuel stations represent hotspots for diesel contamination due to regular handling, storage, and disposal of petroleum products. The characterization of indigenous microbial communities in such environments is essential for understanding local biodegradation potential and developing site-specific remediation strategies.</w:t>
      </w:r>
    </w:p>
    <w:p w:rsidR="00DD4BEA" w:rsidRDefault="00BD6634">
      <w:pPr>
        <w:pStyle w:val="BodyText"/>
      </w:pPr>
      <w:r>
        <w:t xml:space="preserve">This study focuses on the isolation and characterization of </w:t>
      </w:r>
      <w:proofErr w:type="spellStart"/>
      <w:r>
        <w:t>hydrocarbonoclastic</w:t>
      </w:r>
      <w:proofErr w:type="spellEnd"/>
      <w:r>
        <w:t xml:space="preserve"> bacteria from diesel-contaminated soil collected from </w:t>
      </w:r>
      <w:proofErr w:type="spellStart"/>
      <w:r>
        <w:t>Mashasha</w:t>
      </w:r>
      <w:proofErr w:type="spellEnd"/>
      <w:r>
        <w:t xml:space="preserve"> Garage, </w:t>
      </w:r>
      <w:proofErr w:type="spellStart"/>
      <w:r>
        <w:t>Katsina</w:t>
      </w:r>
      <w:proofErr w:type="spellEnd"/>
      <w:r>
        <w:t xml:space="preserve"> State, Nigeria. The objectives were to isolate bacteria capable of utilizing diesel as a sole carbon source, characterize their morphological and biochemical properties, identify the bacterial species using modern identification techniques, and evaluate their growth kinetics in diesel-supplemented media. The findings contribute to the understanding of indigenous </w:t>
      </w:r>
      <w:proofErr w:type="spellStart"/>
      <w:r>
        <w:t>hydrocarbonoclastic</w:t>
      </w:r>
      <w:proofErr w:type="spellEnd"/>
      <w:r>
        <w:t xml:space="preserve"> bacterial diversity in Nigerian petroleum-contaminated environments.</w:t>
      </w:r>
    </w:p>
    <w:p w:rsidR="00DD4BEA" w:rsidRDefault="00BD6634">
      <w:pPr>
        <w:pStyle w:val="Heading21"/>
      </w:pPr>
      <w:bookmarkStart w:id="4" w:name="methodology"/>
      <w:bookmarkEnd w:id="3"/>
      <w:r>
        <w:t>Methodology</w:t>
      </w:r>
    </w:p>
    <w:p w:rsidR="00DD4BEA" w:rsidRDefault="00BD6634">
      <w:pPr>
        <w:pStyle w:val="Heading31"/>
      </w:pPr>
      <w:bookmarkStart w:id="5" w:name="sample-collection"/>
      <w:r>
        <w:t>Sample Collection</w:t>
      </w:r>
    </w:p>
    <w:p w:rsidR="00DD4BEA" w:rsidRDefault="00BD6634">
      <w:pPr>
        <w:pStyle w:val="FirstParagraph"/>
      </w:pPr>
      <w:r>
        <w:t xml:space="preserve">Soil samples were collected from </w:t>
      </w:r>
      <w:proofErr w:type="spellStart"/>
      <w:r>
        <w:t>Mashasha</w:t>
      </w:r>
      <w:proofErr w:type="spellEnd"/>
      <w:r>
        <w:t xml:space="preserve"> Garage, located in </w:t>
      </w:r>
      <w:proofErr w:type="spellStart"/>
      <w:r>
        <w:t>Katsina</w:t>
      </w:r>
      <w:proofErr w:type="spellEnd"/>
      <w:r>
        <w:t xml:space="preserve"> Local Government Area, </w:t>
      </w:r>
      <w:proofErr w:type="spellStart"/>
      <w:r>
        <w:t>Katsina</w:t>
      </w:r>
      <w:proofErr w:type="spellEnd"/>
      <w:r>
        <w:t xml:space="preserve"> State, Nigeria, a site with documented diesel contamination due to automotive activities. Sampling was conducted aseptically using sterile tools and containers to prevent external contamination. Multiple samples were collected from different locations within the garage area to ensure representative sampling. Each sample was properly labeled with collection </w:t>
      </w:r>
      <w:r>
        <w:lastRenderedPageBreak/>
        <w:t>location, time, date, and environmental conditions. Samples were immediately transported to the laboratory in ice boxes maintained at 4°C to preserve microbial viability and prevent degradation of hydrocarbon substrates.</w:t>
      </w:r>
    </w:p>
    <w:p w:rsidR="00DD4BEA" w:rsidRDefault="00BD6634">
      <w:pPr>
        <w:pStyle w:val="Heading31"/>
      </w:pPr>
      <w:bookmarkStart w:id="6" w:name="X0258dc28f244f0d773422de10d779570566c108"/>
      <w:bookmarkEnd w:id="5"/>
      <w:r>
        <w:t xml:space="preserve">Isolation of </w:t>
      </w:r>
      <w:proofErr w:type="spellStart"/>
      <w:r>
        <w:t>Hydrocarbonoclastic</w:t>
      </w:r>
      <w:proofErr w:type="spellEnd"/>
      <w:r>
        <w:t xml:space="preserve"> Bacteria</w:t>
      </w:r>
    </w:p>
    <w:p w:rsidR="00DD4BEA" w:rsidRDefault="00BD6634">
      <w:pPr>
        <w:spacing w:before="180" w:after="180" w:line="240" w:lineRule="auto"/>
      </w:pPr>
      <w:r>
        <w:t xml:space="preserve">Bushnell-Haas agar (BHA) was prepared as the selective medium for </w:t>
      </w:r>
      <w:proofErr w:type="spellStart"/>
      <w:r>
        <w:t>hydrocarbonoclastic</w:t>
      </w:r>
      <w:proofErr w:type="spellEnd"/>
      <w:r>
        <w:t xml:space="preserve"> bacteria isolation, following established protocols (Chaudhary &amp; Kim, 2019). The medium composition included: plain agar powder (15 g/L), KH₂PO₄ (1 g/L), K₂HPO₄ (1 g/L), NH₄NO₃ (1 g/L), </w:t>
      </w:r>
      <w:proofErr w:type="spellStart"/>
      <w:r>
        <w:t>MgSO</w:t>
      </w:r>
      <w:proofErr w:type="spellEnd"/>
      <w:r>
        <w:t xml:space="preserve">₄ (0.2 g/L), </w:t>
      </w:r>
      <w:proofErr w:type="spellStart"/>
      <w:r>
        <w:t>FeCl</w:t>
      </w:r>
      <w:proofErr w:type="spellEnd"/>
      <w:r>
        <w:t xml:space="preserve">₃ (0.05 g/L), and </w:t>
      </w:r>
      <w:proofErr w:type="spellStart"/>
      <w:r>
        <w:t>CaCl</w:t>
      </w:r>
      <w:proofErr w:type="spellEnd"/>
      <w:r>
        <w:t>₂ (0.02 g/L) dissolved in distilled water. The medium was sterilized by autoclaving at 121°C for 15 minutes, then supplemented with 2.5% (v/v) filter-sterilized diesel as the sole carbon source.</w:t>
      </w:r>
    </w:p>
    <w:p w:rsidR="00DD4BEA" w:rsidRDefault="00BD6634">
      <w:pPr>
        <w:spacing w:before="180" w:after="180" w:line="240" w:lineRule="auto"/>
      </w:pPr>
      <w:r>
        <w:t xml:space="preserve">Soil samples were serially diluted in sterile distilled water to obtain dilutions ranging from 10⁻¹ to 10⁻⁶. One milliliter </w:t>
      </w:r>
      <w:proofErr w:type="gramStart"/>
      <w:r>
        <w:t>aliquots</w:t>
      </w:r>
      <w:proofErr w:type="gramEnd"/>
      <w:r>
        <w:t xml:space="preserve"> from appropriate dilutions were spread-plated onto BHA plates and incubated at 37°C for 96 hours. Colonies showing distinct morphological characteristics and clear growth on diesel-supplemented medium were selected for further analysis. Pure cultures were obtained through repeated streaking on fresh BHA plates and maintained on nutrient agar slants at 4°C for subsequent characterization.</w:t>
      </w:r>
    </w:p>
    <w:p w:rsidR="00DD4BEA" w:rsidRDefault="00DD4BEA">
      <w:pPr>
        <w:pStyle w:val="BodyText"/>
      </w:pPr>
    </w:p>
    <w:p w:rsidR="00DD4BEA" w:rsidRDefault="00BD6634">
      <w:pPr>
        <w:pStyle w:val="Heading31"/>
      </w:pPr>
      <w:bookmarkStart w:id="7" w:name="bacterial-characterization"/>
      <w:bookmarkEnd w:id="6"/>
      <w:r>
        <w:t>Bacterial Characterization</w:t>
      </w:r>
    </w:p>
    <w:p w:rsidR="00DD4BEA" w:rsidRDefault="00BD6634">
      <w:pPr>
        <w:spacing w:before="180" w:after="180" w:line="240" w:lineRule="auto"/>
        <w:rPr>
          <w:b/>
          <w:bCs/>
        </w:rPr>
      </w:pPr>
      <w:r>
        <w:rPr>
          <w:b/>
          <w:bCs/>
        </w:rPr>
        <w:t>Morphological Characterization:</w:t>
      </w:r>
      <w:r>
        <w:t xml:space="preserve"> Colony morphology was assessed by observing size, shape, color, texture, and elevation of bacterial colonies grown on BHA plates. Microscopic examination was performed using standard light microscopy to determine cell shape, arrangement, and motility.</w:t>
      </w:r>
    </w:p>
    <w:p w:rsidR="00DD4BEA" w:rsidRDefault="00BD6634">
      <w:pPr>
        <w:spacing w:before="180" w:after="180" w:line="240" w:lineRule="auto"/>
        <w:rPr>
          <w:b/>
          <w:bCs/>
        </w:rPr>
      </w:pPr>
      <w:r>
        <w:rPr>
          <w:b/>
          <w:bCs/>
        </w:rPr>
        <w:t>Gram Staining:</w:t>
      </w:r>
      <w:r>
        <w:t xml:space="preserve"> Gram staining was performed according to standard protocols (</w:t>
      </w:r>
      <w:proofErr w:type="spellStart"/>
      <w:r>
        <w:t>Cheesebrough</w:t>
      </w:r>
      <w:proofErr w:type="spellEnd"/>
      <w:r>
        <w:t>, 2006). Bacterial smears were prepared on clean glass slides, air-dried, and heat-fixed. The staining procedure involved sequential treatment with crystal violet (1 minute), Gram’s iodine (1 minute), acetone decolorization (5 seconds), and safranin counterstain (1 minute). Slides were examined under oil immersion microscopy to determine Gram reaction and cellular morphology.</w:t>
      </w:r>
    </w:p>
    <w:p w:rsidR="00DD4BEA" w:rsidRDefault="00BD6634">
      <w:pPr>
        <w:spacing w:before="180" w:after="180" w:line="240" w:lineRule="auto"/>
        <w:rPr>
          <w:b/>
          <w:bCs/>
        </w:rPr>
      </w:pPr>
      <w:r>
        <w:rPr>
          <w:b/>
          <w:bCs/>
        </w:rPr>
        <w:t>Endospore Detection:</w:t>
      </w:r>
      <w:r>
        <w:t xml:space="preserve"> Endospore formation was assessed using malachite green staining method. Bacterial smears were flooded with malachite green and heated gently, followed by washing and counterstaining with safranin. Spores appeared green while vegetative cells appeared red under microscopic examination.</w:t>
      </w:r>
    </w:p>
    <w:p w:rsidR="00DD4BEA" w:rsidRDefault="00BD6634">
      <w:pPr>
        <w:pStyle w:val="Heading31"/>
      </w:pPr>
      <w:bookmarkStart w:id="8" w:name="bacterial-identification"/>
      <w:bookmarkEnd w:id="7"/>
      <w:r>
        <w:t>Bacterial Identification</w:t>
      </w:r>
    </w:p>
    <w:p w:rsidR="00DD4BEA" w:rsidRDefault="00BD6634">
      <w:pPr>
        <w:pStyle w:val="FirstParagraph"/>
      </w:pPr>
      <w:r>
        <w:t>Pure bacterial isolates were identified using the VITEK-2 Compact automated identification system (</w:t>
      </w:r>
      <w:proofErr w:type="spellStart"/>
      <w:r>
        <w:t>Nisreen</w:t>
      </w:r>
      <w:proofErr w:type="spellEnd"/>
      <w:r>
        <w:t xml:space="preserve"> &amp; </w:t>
      </w:r>
      <w:proofErr w:type="spellStart"/>
      <w:r>
        <w:t>Israa</w:t>
      </w:r>
      <w:proofErr w:type="spellEnd"/>
      <w:r>
        <w:t xml:space="preserve">, 2020). Fresh bacterial cultures were suspended in sterile saline to achieve appropriate turbidity standards. The bacterial suspension was loaded into VITEK-2 identification cards containing various biochemical substrates. The system automatically performed </w:t>
      </w:r>
      <w:r>
        <w:lastRenderedPageBreak/>
        <w:t>biochemical tests and provided species identification based on metabolic profiles and database comparison.</w:t>
      </w:r>
    </w:p>
    <w:p w:rsidR="00DD4BEA" w:rsidRDefault="00BD6634">
      <w:pPr>
        <w:pStyle w:val="Heading31"/>
      </w:pPr>
      <w:bookmarkStart w:id="9" w:name="growth-kinetics-assessment"/>
      <w:bookmarkEnd w:id="8"/>
      <w:r>
        <w:t>Growth Kinetics Assessment</w:t>
      </w:r>
    </w:p>
    <w:p w:rsidR="00DD4BEA" w:rsidRDefault="00BD6634">
      <w:pPr>
        <w:pStyle w:val="FirstParagraph"/>
      </w:pPr>
      <w:r>
        <w:t xml:space="preserve">Bacterial growth kinetics were evaluated using mineral salt broth (MSB) supplemented with different diesel concentrations (100, 300, 500, and 1000 ppm). The MSB composition included: K₂HPO₄ (1.8 g/L), </w:t>
      </w:r>
      <w:proofErr w:type="spellStart"/>
      <w:r>
        <w:t>NH₄Cl</w:t>
      </w:r>
      <w:proofErr w:type="spellEnd"/>
      <w:r>
        <w:t xml:space="preserve"> (4 g/L), </w:t>
      </w:r>
      <w:proofErr w:type="spellStart"/>
      <w:r>
        <w:t>MgSO</w:t>
      </w:r>
      <w:proofErr w:type="spellEnd"/>
      <w:r>
        <w:t xml:space="preserve">₄·7H₂O (0.2 g/L), NaCl (0.1 g/L), </w:t>
      </w:r>
      <w:proofErr w:type="spellStart"/>
      <w:r>
        <w:t>Na₂SO</w:t>
      </w:r>
      <w:proofErr w:type="spellEnd"/>
      <w:r>
        <w:t>₄·7H₂O (0.01 g/L) in distilled water with pH adjusted to 7.2. Filter-sterilized diesel was added to achieve desired concentrations.</w:t>
      </w:r>
    </w:p>
    <w:p w:rsidR="00DD4BEA" w:rsidRDefault="00BD6634">
      <w:pPr>
        <w:pStyle w:val="BodyText"/>
      </w:pPr>
      <w:r>
        <w:t>Bacterial inoculum was prepared from 24-hour cultures and standardized to 0.1 OD₆₀₀. Growth kinetics were monitored over 72 hours by measuring optical density at 600 nm using UV-visible spectrophotometer at 24-hour intervals. Specific growth rates (μ) were calculated during the exponential growth phase (24-48 hours) using the formula: μ = (ln N₂ - ln N₁)</w:t>
      </w:r>
      <w:proofErr w:type="gramStart"/>
      <w:r>
        <w:t>/(</w:t>
      </w:r>
      <w:proofErr w:type="gramEnd"/>
      <w:r>
        <w:t>t₂ - t₁), where N₁ and N₂ represent optical densities at times t₁ and t₂, respectively.</w:t>
      </w:r>
    </w:p>
    <w:p w:rsidR="00DD4BEA" w:rsidRDefault="00BD6634">
      <w:pPr>
        <w:pStyle w:val="Heading21"/>
      </w:pPr>
      <w:bookmarkStart w:id="10" w:name="results"/>
      <w:bookmarkEnd w:id="4"/>
      <w:bookmarkEnd w:id="9"/>
      <w:r>
        <w:t>Results</w:t>
      </w:r>
    </w:p>
    <w:p w:rsidR="00DD4BEA" w:rsidRDefault="00BD6634">
      <w:pPr>
        <w:pStyle w:val="Heading31"/>
      </w:pPr>
      <w:bookmarkStart w:id="11" w:name="Xbd3928eb78ab2d13011fd5bb4a21c7b02d8c3d8"/>
      <w:r>
        <w:t>Bacterial Isolation and Morphological Characteristics</w:t>
      </w:r>
    </w:p>
    <w:p w:rsidR="00DD4BEA" w:rsidRDefault="00BD6634">
      <w:pPr>
        <w:pStyle w:val="FirstParagraph"/>
      </w:pPr>
      <w:proofErr w:type="spellStart"/>
      <w:r>
        <w:t>Hydrocarbonoclastic</w:t>
      </w:r>
      <w:proofErr w:type="spellEnd"/>
      <w:r>
        <w:t xml:space="preserve"> bacteria were successfully isolated from diesel-contaminated soil samples collected from </w:t>
      </w:r>
      <w:proofErr w:type="spellStart"/>
      <w:r>
        <w:t>Mashasha</w:t>
      </w:r>
      <w:proofErr w:type="spellEnd"/>
      <w:r>
        <w:t xml:space="preserve"> Garage. The bacterial isolate demonstrated vigorous growth on Bushnell-Haas agar supplemented with diesel as the sole carbon source, indicating its ability to utilize hydrocarbons for growth and metabolism. Colony morphology revealed large, off-white, rough-textured colonies with irregular edges and raised elevation, characteristics typical of environmental bacterial isolates adapted to hydrocarbon substrates.</w:t>
      </w:r>
    </w:p>
    <w:p w:rsidR="00DD4BEA" w:rsidRDefault="00BD6634">
      <w:pPr>
        <w:pStyle w:val="BodyText"/>
      </w:pPr>
      <w:r>
        <w:t xml:space="preserve">Microscopic examination revealed rod-shaped bacterial cells measuring approximately 2-4 </w:t>
      </w:r>
      <w:proofErr w:type="spellStart"/>
      <w:r>
        <w:t>μm</w:t>
      </w:r>
      <w:proofErr w:type="spellEnd"/>
      <w:r>
        <w:t xml:space="preserve"> in length and 0.5-1.0 </w:t>
      </w:r>
      <w:proofErr w:type="spellStart"/>
      <w:r>
        <w:t>μm</w:t>
      </w:r>
      <w:proofErr w:type="spellEnd"/>
      <w:r>
        <w:t xml:space="preserve"> in width. The cells occurred singly or in short chains and demonstrated active motility when observed in wet mount preparations. Gram staining confirmed the isolate as Gram-positive, showing purple coloration after crystal violet treatment and resistance to decolorization. Endospore staining revealed the presence of oval, subterminal endospores within the bacterial cells, a characteristic feature that enhances survival in harsh environmental conditions.</w:t>
      </w:r>
    </w:p>
    <w:tbl>
      <w:tblPr>
        <w:tblW w:w="0" w:type="auto"/>
        <w:tblLayout w:type="fixed"/>
        <w:tblLook w:val="04A0" w:firstRow="1" w:lastRow="0" w:firstColumn="1" w:lastColumn="0" w:noHBand="0" w:noVBand="1"/>
      </w:tblPr>
      <w:tblGrid>
        <w:gridCol w:w="4247"/>
        <w:gridCol w:w="4276"/>
      </w:tblGrid>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Parameter</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Observation/Description</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Source of Isolation</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 xml:space="preserve">Diesel-contaminated soil from </w:t>
            </w:r>
            <w:proofErr w:type="spellStart"/>
            <w:r>
              <w:rPr>
                <w:rFonts w:eastAsia="MS Mincho"/>
                <w:sz w:val="22"/>
                <w:szCs w:val="22"/>
              </w:rPr>
              <w:t>Mashasha</w:t>
            </w:r>
            <w:proofErr w:type="spellEnd"/>
            <w:r>
              <w:rPr>
                <w:rFonts w:eastAsia="MS Mincho"/>
                <w:sz w:val="22"/>
                <w:szCs w:val="22"/>
              </w:rPr>
              <w:t xml:space="preserve"> Garage</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Growth Medium</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Bushnell-Haas agar supplemented with diesel (sole carbon source)</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Hydrocarbon Utilization</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 xml:space="preserve">Vigorous growth observed, indicating </w:t>
            </w:r>
            <w:r>
              <w:rPr>
                <w:rFonts w:eastAsia="MS Mincho"/>
                <w:sz w:val="22"/>
                <w:szCs w:val="22"/>
              </w:rPr>
              <w:lastRenderedPageBreak/>
              <w:t>ability to metabolize hydrocarbons</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lastRenderedPageBreak/>
              <w:t>Colony Morphology</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Large, off-white, rough-textured colonies with irregular edges and raised elevation</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Cell Shape (Microscopy)</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Rod-shaped</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Cell Size</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 xml:space="preserve">2–4 </w:t>
            </w:r>
            <w:proofErr w:type="spellStart"/>
            <w:r>
              <w:rPr>
                <w:rFonts w:eastAsia="MS Mincho"/>
                <w:sz w:val="22"/>
                <w:szCs w:val="22"/>
              </w:rPr>
              <w:t>μm</w:t>
            </w:r>
            <w:proofErr w:type="spellEnd"/>
            <w:r>
              <w:rPr>
                <w:rFonts w:eastAsia="MS Mincho"/>
                <w:sz w:val="22"/>
                <w:szCs w:val="22"/>
              </w:rPr>
              <w:t xml:space="preserve"> in length, 0.5–1.0 </w:t>
            </w:r>
            <w:proofErr w:type="spellStart"/>
            <w:r>
              <w:rPr>
                <w:rFonts w:eastAsia="MS Mincho"/>
                <w:sz w:val="22"/>
                <w:szCs w:val="22"/>
              </w:rPr>
              <w:t>μm</w:t>
            </w:r>
            <w:proofErr w:type="spellEnd"/>
            <w:r>
              <w:rPr>
                <w:rFonts w:eastAsia="MS Mincho"/>
                <w:sz w:val="22"/>
                <w:szCs w:val="22"/>
              </w:rPr>
              <w:t xml:space="preserve"> in width</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Cell Arrangement</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Occurred singly or in short chains</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Motility</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Actively motile (observed in wet mount)</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Gram Staining Result</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Gram-positive (purple coloration, resistant to decolorization)</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Endospore Staining Result</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Oval, subterminal endospores observed</w:t>
            </w:r>
          </w:p>
        </w:tc>
      </w:tr>
      <w:tr w:rsidR="00DD4BEA">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Adaptation Feature</w:t>
            </w:r>
          </w:p>
        </w:tc>
        <w:tc>
          <w:tcPr>
            <w:tcW w:w="4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Endospore formation enhances survival in harsh environmental conditions</w:t>
            </w:r>
          </w:p>
        </w:tc>
      </w:tr>
    </w:tbl>
    <w:p w:rsidR="00DD4BEA" w:rsidRDefault="00DD4BEA">
      <w:pPr>
        <w:pStyle w:val="BodyText"/>
      </w:pPr>
    </w:p>
    <w:p w:rsidR="00DD4BEA" w:rsidRDefault="00BD6634">
      <w:pPr>
        <w:pStyle w:val="Heading31"/>
      </w:pPr>
      <w:bookmarkStart w:id="12" w:name="bacterial-identification-1"/>
      <w:bookmarkEnd w:id="11"/>
      <w:r>
        <w:t>Bacterial Identification</w:t>
      </w:r>
    </w:p>
    <w:p w:rsidR="00DD4BEA" w:rsidRDefault="00BD6634">
      <w:pPr>
        <w:pStyle w:val="FirstParagraph"/>
      </w:pPr>
      <w:r>
        <w:t xml:space="preserve">Biochemical characterization using the VITEK-2 Compact system provided comprehensive metabolic profiling of the bacterial isolate. The identification results, based on pattern matching with extensive databases, confirmed the isolate as </w:t>
      </w:r>
      <w:proofErr w:type="spellStart"/>
      <w:r>
        <w:rPr>
          <w:i/>
          <w:iCs/>
        </w:rPr>
        <w:t>Paenibacillus</w:t>
      </w:r>
      <w:proofErr w:type="spellEnd"/>
      <w:r>
        <w:rPr>
          <w:i/>
          <w:iCs/>
        </w:rPr>
        <w:t xml:space="preserve"> </w:t>
      </w:r>
      <w:proofErr w:type="spellStart"/>
      <w:r>
        <w:rPr>
          <w:i/>
          <w:iCs/>
        </w:rPr>
        <w:t>polymyxa</w:t>
      </w:r>
      <w:proofErr w:type="spellEnd"/>
      <w:r>
        <w:t xml:space="preserve"> with high confidence levels. The biochemical profile showed positive reactions for catalase, oxidase, nitrate reduction, and various carbohydrate utilization tests, consistent with </w:t>
      </w:r>
      <w:r>
        <w:rPr>
          <w:i/>
          <w:iCs/>
        </w:rPr>
        <w:t xml:space="preserve">P. </w:t>
      </w:r>
      <w:proofErr w:type="spellStart"/>
      <w:r>
        <w:rPr>
          <w:i/>
          <w:iCs/>
        </w:rPr>
        <w:t>polymyxa</w:t>
      </w:r>
      <w:proofErr w:type="spellEnd"/>
      <w:r>
        <w:t xml:space="preserve"> characteristics documented in taxonomic literature.</w:t>
      </w:r>
    </w:p>
    <w:p w:rsidR="00DD4BEA" w:rsidRDefault="00BD6634">
      <w:pPr>
        <w:pStyle w:val="BodyText"/>
      </w:pPr>
      <w:r>
        <w:t xml:space="preserve">The identification was further supported by morphological characteristics including rod-shaped cells, Gram-positive reaction, endospore formation, and motility, all of which align with the known phenotypic properties of </w:t>
      </w:r>
      <w:r>
        <w:rPr>
          <w:i/>
          <w:iCs/>
        </w:rPr>
        <w:t xml:space="preserve">P. </w:t>
      </w:r>
      <w:proofErr w:type="spellStart"/>
      <w:r>
        <w:rPr>
          <w:i/>
          <w:iCs/>
        </w:rPr>
        <w:t>polymyxa</w:t>
      </w:r>
      <w:proofErr w:type="spellEnd"/>
      <w:r>
        <w:t>. This species is recognized for its metabolic versatility and ability to survive in diverse environmental conditions, making it well-suited for hydrocarbon-contaminated environments.</w:t>
      </w:r>
    </w:p>
    <w:tbl>
      <w:tblPr>
        <w:tblW w:w="0" w:type="auto"/>
        <w:tblLayout w:type="fixed"/>
        <w:tblLook w:val="04A0" w:firstRow="1" w:lastRow="0" w:firstColumn="1" w:lastColumn="0" w:noHBand="0" w:noVBand="1"/>
      </w:tblPr>
      <w:tblGrid>
        <w:gridCol w:w="4261"/>
        <w:gridCol w:w="4262"/>
      </w:tblGrid>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Category</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Characteristics</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Identification Method</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VITEK-2 Compact System</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Species Identified</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proofErr w:type="spellStart"/>
            <w:r>
              <w:rPr>
                <w:rFonts w:eastAsia="MS Mincho"/>
                <w:sz w:val="22"/>
                <w:szCs w:val="22"/>
              </w:rPr>
              <w:t>Paenibacillus</w:t>
            </w:r>
            <w:proofErr w:type="spellEnd"/>
            <w:r>
              <w:rPr>
                <w:rFonts w:eastAsia="MS Mincho"/>
                <w:sz w:val="22"/>
                <w:szCs w:val="22"/>
              </w:rPr>
              <w:t xml:space="preserve"> </w:t>
            </w:r>
            <w:proofErr w:type="spellStart"/>
            <w:r>
              <w:rPr>
                <w:rFonts w:eastAsia="MS Mincho"/>
                <w:sz w:val="22"/>
                <w:szCs w:val="22"/>
              </w:rPr>
              <w:t>polymyxa</w:t>
            </w:r>
            <w:proofErr w:type="spellEnd"/>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Confidence Level</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High</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Biochemical Reactions</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DD4BEA">
            <w:pPr>
              <w:spacing w:line="276" w:lineRule="auto"/>
            </w:pP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lastRenderedPageBreak/>
              <w:t>– Catalase</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Positive</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 Oxidase</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Positive</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 Nitrate Reduction</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Positive</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 Carbohydrate Utilization</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Various carbohydrates utilized (consistent with taxonomic profile)</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Morphological Traits</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DD4BEA">
            <w:pPr>
              <w:spacing w:line="276" w:lineRule="auto"/>
            </w:pP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 Cell Shape</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Rod-shaped</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 Gram Reaction</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Gram-positive</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 Endospore Formation</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Present</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 Motility</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Motile</w:t>
            </w:r>
          </w:p>
        </w:tc>
      </w:tr>
      <w:tr w:rsidR="00DD4BEA">
        <w:tc>
          <w:tcPr>
            <w:tcW w:w="4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Ecological Adaptability</w:t>
            </w:r>
          </w:p>
        </w:tc>
        <w:tc>
          <w:tcPr>
            <w:tcW w:w="4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BEA" w:rsidRDefault="00BD6634">
            <w:pPr>
              <w:spacing w:line="276" w:lineRule="auto"/>
            </w:pPr>
            <w:r>
              <w:rPr>
                <w:rFonts w:eastAsia="MS Mincho"/>
                <w:sz w:val="22"/>
                <w:szCs w:val="22"/>
              </w:rPr>
              <w:t>Metabolically versatile; survives in hydrocarbon-contaminated environments</w:t>
            </w:r>
          </w:p>
        </w:tc>
      </w:tr>
    </w:tbl>
    <w:p w:rsidR="00DD4BEA" w:rsidRDefault="00DD4BEA">
      <w:pPr>
        <w:pStyle w:val="BodyText"/>
      </w:pPr>
    </w:p>
    <w:p w:rsidR="00DD4BEA" w:rsidRDefault="00BD6634">
      <w:pPr>
        <w:pStyle w:val="Heading31"/>
      </w:pPr>
      <w:bookmarkStart w:id="13" w:name="Xe764593a0ee7dc4c53394be91db6a50778a7936"/>
      <w:bookmarkEnd w:id="12"/>
      <w:r>
        <w:t>Growth Kinetics and Hydrocarbon Utilization</w:t>
      </w:r>
    </w:p>
    <w:p w:rsidR="00DD4BEA" w:rsidRDefault="00BD6634">
      <w:pPr>
        <w:pStyle w:val="FirstParagraph"/>
      </w:pPr>
      <w:r>
        <w:t>Growth kinetics analysis revealed significant variations in bacterial growth patterns across different diesel concentrations. The isolate demonstrated measurable growth at all tested concentrations (100-1000 ppm), indicating its broad tolerance to hydrocarbon substrates. Initial optical density measurements at time zero showed uniform values (OD₆₀₀ = 0.1) across all treatments, ensuring consistent inoculum levels.</w:t>
      </w:r>
    </w:p>
    <w:p w:rsidR="00DD4BEA" w:rsidRDefault="00BD6634">
      <w:pPr>
        <w:pStyle w:val="BodyText"/>
      </w:pPr>
      <w:r>
        <w:t>At 24 hours, differential growth patterns emerged with increasing diesel concentrations correlating with enhanced bacterial growth. The trend continued through 48 hours, with maximum optical density values recorded at 500 ppm diesel concentration. At 72 hours, the highest optical density (1.1) was observed at 500 ppm, followed by 1000 ppm (0.8), 300 ppm (0.9), and 100 ppm (0.55), respectively. The control treatment without diesel showed minimal growth (OD₆₀₀ = 0.2) throughout the incubation period.</w:t>
      </w:r>
    </w:p>
    <w:p w:rsidR="00DD4BEA" w:rsidRDefault="00BD6634">
      <w:pPr>
        <w:pStyle w:val="BodyText"/>
      </w:pPr>
      <w:r>
        <w:t>Specific growth rate calculations during the exponential phase (24-48 hours) revealed optimal growth conditions at 500 ppm diesel concentration, with the highest specific growth rate of 0.26192 hr⁻¹. Growth rates at other concentrations were: 300 ppm (0.02579 hr⁻¹), 1000 ppm (0.02888 hr⁻¹), and 100 ppm (0.01958 hr⁻¹). The control showed the lowest growth rate (0.00929 hr⁻¹), confirming the essential role of diesel as a carbon source for bacterial growth.</w:t>
      </w:r>
    </w:p>
    <w:p w:rsidR="00DD4BEA" w:rsidRDefault="00BD6634">
      <w:pPr>
        <w:pStyle w:val="BodyText"/>
      </w:pPr>
      <w:r>
        <w:lastRenderedPageBreak/>
        <w:t>The growth pattern indicated a typical substrate-dependent response, with optimal growth occurring at intermediate diesel concentrations. The slight reduction in growth rate at 1000 ppm compared to 500 ppm suggests potential substrate inhibition or toxic effects at higher hydrocarbon concentrations, a phenomenon commonly observed in hydrocarbon-utilizing bacteria.</w:t>
      </w:r>
    </w:p>
    <w:p w:rsidR="00DD4BEA" w:rsidRDefault="00BD6634">
      <w:pPr>
        <w:pStyle w:val="BodyText"/>
      </w:pPr>
      <w:r>
        <w:rPr>
          <w:noProof/>
        </w:rPr>
        <w:drawing>
          <wp:inline distT="0" distB="0" distL="0" distR="0">
            <wp:extent cx="2628900" cy="1971675"/>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7" cstate="print"/>
                    <a:srcRect/>
                    <a:stretch>
                      <a:fillRect/>
                    </a:stretch>
                  </pic:blipFill>
                  <pic:spPr>
                    <a:xfrm>
                      <a:off x="0" y="0"/>
                      <a:ext cx="2628900" cy="1971675"/>
                    </a:xfrm>
                    <a:prstGeom prst="rect">
                      <a:avLst/>
                    </a:prstGeom>
                  </pic:spPr>
                </pic:pic>
              </a:graphicData>
            </a:graphic>
          </wp:inline>
        </w:drawing>
      </w:r>
      <w:r>
        <w:rPr>
          <w:noProof/>
        </w:rPr>
        <w:drawing>
          <wp:inline distT="0" distB="0" distL="0" distR="0">
            <wp:extent cx="2628900" cy="1576705"/>
            <wp:effectExtent l="0" t="0" r="0"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8" cstate="print"/>
                    <a:srcRect/>
                    <a:stretch>
                      <a:fillRect/>
                    </a:stretch>
                  </pic:blipFill>
                  <pic:spPr>
                    <a:xfrm>
                      <a:off x="0" y="0"/>
                      <a:ext cx="2628900" cy="1576705"/>
                    </a:xfrm>
                    <a:prstGeom prst="rect">
                      <a:avLst/>
                    </a:prstGeom>
                  </pic:spPr>
                </pic:pic>
              </a:graphicData>
            </a:graphic>
          </wp:inline>
        </w:drawing>
      </w:r>
      <w:r>
        <w:t xml:space="preserve"> </w:t>
      </w:r>
    </w:p>
    <w:p w:rsidR="00DD4BEA" w:rsidRDefault="00BD6634">
      <w:pPr>
        <w:pStyle w:val="Heading21"/>
      </w:pPr>
      <w:bookmarkStart w:id="14" w:name="discussion"/>
      <w:bookmarkEnd w:id="10"/>
      <w:bookmarkEnd w:id="13"/>
      <w:r>
        <w:t>Discussion</w:t>
      </w:r>
    </w:p>
    <w:p w:rsidR="00DD4BEA" w:rsidRDefault="00BD6634">
      <w:pPr>
        <w:spacing w:before="180" w:after="180" w:line="240" w:lineRule="auto"/>
      </w:pPr>
      <w:r>
        <w:t xml:space="preserve">The successful isolation of </w:t>
      </w:r>
      <w:proofErr w:type="spellStart"/>
      <w:r>
        <w:rPr>
          <w:i/>
          <w:iCs/>
        </w:rPr>
        <w:t>Paenibacillus</w:t>
      </w:r>
      <w:proofErr w:type="spellEnd"/>
      <w:r>
        <w:rPr>
          <w:i/>
          <w:iCs/>
        </w:rPr>
        <w:t xml:space="preserve"> </w:t>
      </w:r>
      <w:proofErr w:type="spellStart"/>
      <w:r>
        <w:rPr>
          <w:i/>
          <w:iCs/>
        </w:rPr>
        <w:t>polymyxa</w:t>
      </w:r>
      <w:proofErr w:type="spellEnd"/>
      <w:r>
        <w:t xml:space="preserve"> from diesel-contaminated soil demonstrates the presence of indigenous </w:t>
      </w:r>
      <w:proofErr w:type="spellStart"/>
      <w:r>
        <w:t>hydrocarbonoclastic</w:t>
      </w:r>
      <w:proofErr w:type="spellEnd"/>
      <w:r>
        <w:t xml:space="preserve"> bacteria capable of utilizing petroleum hydrocarbons in Nigerian environmental conditions. The morphological and biochemical characteristics observed in this study align closely with previous descriptions of </w:t>
      </w:r>
      <w:r>
        <w:rPr>
          <w:i/>
          <w:iCs/>
        </w:rPr>
        <w:t xml:space="preserve">P. </w:t>
      </w:r>
      <w:proofErr w:type="spellStart"/>
      <w:r>
        <w:rPr>
          <w:i/>
          <w:iCs/>
        </w:rPr>
        <w:t>polymyxa</w:t>
      </w:r>
      <w:proofErr w:type="spellEnd"/>
      <w:r>
        <w:t>, confirming the reliability of identification methods employed (Grady et al., 2016). The ability of this isolate to grow efficiently on diesel as a sole carbon source indicates its potential ecological role in natural hydrocarbon attenuation processes occurring in contaminated environments.</w:t>
      </w:r>
    </w:p>
    <w:p w:rsidR="00DD4BEA" w:rsidRDefault="00BD6634">
      <w:pPr>
        <w:spacing w:before="180" w:after="180" w:line="240" w:lineRule="auto"/>
      </w:pPr>
      <w:r>
        <w:t xml:space="preserve">The growth kinetics data reveal important insights into the physiological adaptation of </w:t>
      </w:r>
      <w:r>
        <w:rPr>
          <w:i/>
          <w:iCs/>
        </w:rPr>
        <w:t xml:space="preserve">P. </w:t>
      </w:r>
      <w:proofErr w:type="spellStart"/>
      <w:r>
        <w:rPr>
          <w:i/>
          <w:iCs/>
        </w:rPr>
        <w:t>polymyxa</w:t>
      </w:r>
      <w:proofErr w:type="spellEnd"/>
      <w:r>
        <w:t xml:space="preserve"> to hydrocarbon substrates. The optimal growth observed at 500 ppm diesel concentration suggests that this species has evolved efficient metabolic pathways for hydrocarbon utilization while maintaining tolerance to potentially toxic substrate concentrations (Chaudhary &amp; Kim, 2019). The substrate-dependent growth pattern, with peak specific growth rates occurring at intermediate concentrations, reflects typical microbial responses to hydrocarbon substrates where excessive concentrations may exert inhibitory effects through membrane disruption or metabolic stress (</w:t>
      </w:r>
      <w:proofErr w:type="spellStart"/>
      <w:r>
        <w:t>Haleyur</w:t>
      </w:r>
      <w:proofErr w:type="spellEnd"/>
      <w:r>
        <w:t xml:space="preserve"> et al., 2018).</w:t>
      </w:r>
    </w:p>
    <w:p w:rsidR="00DD4BEA" w:rsidRDefault="00BD6634">
      <w:pPr>
        <w:spacing w:before="180" w:after="180" w:line="240" w:lineRule="auto"/>
      </w:pPr>
      <w:r>
        <w:t xml:space="preserve">The presence of endospores in </w:t>
      </w:r>
      <w:r>
        <w:rPr>
          <w:i/>
          <w:iCs/>
        </w:rPr>
        <w:t xml:space="preserve">P. </w:t>
      </w:r>
      <w:proofErr w:type="spellStart"/>
      <w:r>
        <w:rPr>
          <w:i/>
          <w:iCs/>
        </w:rPr>
        <w:t>polymyxa</w:t>
      </w:r>
      <w:proofErr w:type="spellEnd"/>
      <w:r>
        <w:t xml:space="preserve"> represents a significant ecological advantage in contaminated environments, as these resistant structures enable bacterial survival during adverse conditions such as nutrient limitation, temperature fluctuations, or toxic chemical exposure (Wahba et al., 2022). This characteristic enhances the bacterium’s persistence in diesel-contaminated sites and contributes to long-term biodegradation potential. The motility observed in this isolate further supports its ecological fitness, enabling chemotactic responses toward hydrocarbon substrates and enhanced bioavailability through active substrate seeking behavior.</w:t>
      </w:r>
    </w:p>
    <w:p w:rsidR="00DD4BEA" w:rsidRDefault="00BD6634">
      <w:pPr>
        <w:spacing w:before="180" w:after="180" w:line="240" w:lineRule="auto"/>
      </w:pPr>
      <w:r>
        <w:lastRenderedPageBreak/>
        <w:t xml:space="preserve">The biochemical versatility demonstrated by </w:t>
      </w:r>
      <w:r>
        <w:rPr>
          <w:i/>
          <w:iCs/>
        </w:rPr>
        <w:t xml:space="preserve">P. </w:t>
      </w:r>
      <w:proofErr w:type="spellStart"/>
      <w:r>
        <w:rPr>
          <w:i/>
          <w:iCs/>
        </w:rPr>
        <w:t>polymyxa</w:t>
      </w:r>
      <w:proofErr w:type="spellEnd"/>
      <w:r>
        <w:t xml:space="preserve"> through VITEK-2 analysis indicates broad metabolic capabilities beyond hydrocarbon utilization, suggesting its ability to function in complex environmental conditions where multiple carbon sources may be available (</w:t>
      </w:r>
      <w:proofErr w:type="spellStart"/>
      <w:r>
        <w:t>Abatenh</w:t>
      </w:r>
      <w:proofErr w:type="spellEnd"/>
      <w:r>
        <w:t xml:space="preserve"> et al., 2017). This metabolic flexibility is particularly valuable in real-world contaminated sites where hydrocarbon mixtures and varying environmental conditions create complex selective pressures on microbial communities.</w:t>
      </w:r>
    </w:p>
    <w:p w:rsidR="00DD4BEA" w:rsidRDefault="00BD6634">
      <w:pPr>
        <w:spacing w:before="180" w:after="180" w:line="240" w:lineRule="auto"/>
      </w:pPr>
      <w:r>
        <w:t xml:space="preserve">The identification of </w:t>
      </w:r>
      <w:r>
        <w:rPr>
          <w:i/>
          <w:iCs/>
        </w:rPr>
        <w:t xml:space="preserve">P. </w:t>
      </w:r>
      <w:proofErr w:type="spellStart"/>
      <w:r>
        <w:rPr>
          <w:i/>
          <w:iCs/>
        </w:rPr>
        <w:t>polymyxa</w:t>
      </w:r>
      <w:proofErr w:type="spellEnd"/>
      <w:r>
        <w:t xml:space="preserve"> as a dominant </w:t>
      </w:r>
      <w:proofErr w:type="spellStart"/>
      <w:r>
        <w:t>hydrocarbonoclastic</w:t>
      </w:r>
      <w:proofErr w:type="spellEnd"/>
      <w:r>
        <w:t xml:space="preserve"> bacterium in Nigerian diesel-contaminated soil adds to the growing body of knowledge regarding indigenous microbial diversity in petroleum-impacted environments across different geographical regions (Okafor et al., 2016). This finding supports the concept that hydrocarbon-utilizing bacteria are widely distributed in environments with petroleum exposure and suggests that local microbial communities may possess inherent bioremediation potential that could be harnessed for environmental restoration efforts.</w:t>
      </w:r>
    </w:p>
    <w:p w:rsidR="00DD4BEA" w:rsidRDefault="00BD6634">
      <w:pPr>
        <w:pStyle w:val="Heading21"/>
      </w:pPr>
      <w:bookmarkStart w:id="15" w:name="conclusions"/>
      <w:bookmarkEnd w:id="14"/>
      <w:r>
        <w:t>Conclusions</w:t>
      </w:r>
    </w:p>
    <w:p w:rsidR="00DD4BEA" w:rsidRDefault="00BD6634">
      <w:pPr>
        <w:pStyle w:val="FirstParagraph"/>
      </w:pPr>
      <w:r>
        <w:t xml:space="preserve">This study successfully isolated and characterized </w:t>
      </w:r>
      <w:proofErr w:type="spellStart"/>
      <w:r>
        <w:rPr>
          <w:i/>
          <w:iCs/>
        </w:rPr>
        <w:t>Paenibacillus</w:t>
      </w:r>
      <w:proofErr w:type="spellEnd"/>
      <w:r>
        <w:rPr>
          <w:i/>
          <w:iCs/>
        </w:rPr>
        <w:t xml:space="preserve"> </w:t>
      </w:r>
      <w:proofErr w:type="spellStart"/>
      <w:r>
        <w:rPr>
          <w:i/>
          <w:iCs/>
        </w:rPr>
        <w:t>polymyxa</w:t>
      </w:r>
      <w:proofErr w:type="spellEnd"/>
      <w:r>
        <w:t xml:space="preserve"> as a </w:t>
      </w:r>
      <w:proofErr w:type="spellStart"/>
      <w:r>
        <w:t>hydrocarbonoclastic</w:t>
      </w:r>
      <w:proofErr w:type="spellEnd"/>
      <w:r>
        <w:t xml:space="preserve"> bacterium from diesel-contaminated soil at </w:t>
      </w:r>
      <w:proofErr w:type="spellStart"/>
      <w:r>
        <w:t>Mashasha</w:t>
      </w:r>
      <w:proofErr w:type="spellEnd"/>
      <w:r>
        <w:t xml:space="preserve"> Garage, </w:t>
      </w:r>
      <w:proofErr w:type="spellStart"/>
      <w:r>
        <w:t>Katsina</w:t>
      </w:r>
      <w:proofErr w:type="spellEnd"/>
      <w:r>
        <w:t xml:space="preserve"> State, Nigeria. The isolate demonstrated characteristic morphological features including rod-shaped, Gram-positive, motile cells with endospore-forming capability. Growth kinetics analysis revealed optimal growth at 500 ppm diesel concentration with a specific growth rate of 0.26192 hr⁻¹, indicating efficient hydrocarbon utilization capabilities. The identification of this indigenous </w:t>
      </w:r>
      <w:proofErr w:type="spellStart"/>
      <w:r>
        <w:t>hydrocarbonoclastic</w:t>
      </w:r>
      <w:proofErr w:type="spellEnd"/>
      <w:r>
        <w:t xml:space="preserve"> bacterium contributes to understanding the natural biodegradation potential present in Nigerian petroleum-contaminated environments and provides a foundation for future bioremediation research and environmental management strategies.</w:t>
      </w:r>
    </w:p>
    <w:p w:rsidR="00DD4BEA" w:rsidRDefault="00BD6634">
      <w:pPr>
        <w:pStyle w:val="Heading21"/>
      </w:pPr>
      <w:bookmarkStart w:id="16" w:name="recommendations"/>
      <w:bookmarkEnd w:id="15"/>
      <w:r>
        <w:t>Recommendations</w:t>
      </w:r>
    </w:p>
    <w:p w:rsidR="00DD4BEA" w:rsidRDefault="00BD6634">
      <w:pPr>
        <w:pStyle w:val="FirstParagraph"/>
      </w:pPr>
      <w:r>
        <w:t xml:space="preserve">Future research should focus on comprehensive genomic analysis of the isolated </w:t>
      </w:r>
      <w:r>
        <w:rPr>
          <w:i/>
          <w:iCs/>
        </w:rPr>
        <w:t xml:space="preserve">P. </w:t>
      </w:r>
      <w:proofErr w:type="spellStart"/>
      <w:r>
        <w:rPr>
          <w:i/>
          <w:iCs/>
        </w:rPr>
        <w:t>polymyxa</w:t>
      </w:r>
      <w:proofErr w:type="spellEnd"/>
      <w:r>
        <w:t xml:space="preserve"> strain to identify specific genes and enzymatic pathways involved in hydrocarbon degradation, which would enhance understanding of biodegradation mechanisms. Metabolomic studies should be conducted to characterize degradation products and metabolic intermediates, providing insights into the complete degradation pathway. Field studies should be implemented to evaluate the natural biodegradation potential of indigenous microbial communities in various contaminated sites across Nigeria. Additionally, the development of bacterial consortia incorporating </w:t>
      </w:r>
      <w:r>
        <w:rPr>
          <w:i/>
          <w:iCs/>
        </w:rPr>
        <w:t xml:space="preserve">P. </w:t>
      </w:r>
      <w:proofErr w:type="spellStart"/>
      <w:r>
        <w:rPr>
          <w:i/>
          <w:iCs/>
        </w:rPr>
        <w:t>polymyxa</w:t>
      </w:r>
      <w:proofErr w:type="spellEnd"/>
      <w:r>
        <w:t xml:space="preserve"> with other </w:t>
      </w:r>
      <w:proofErr w:type="spellStart"/>
      <w:r>
        <w:t>hydrocarbonoclastic</w:t>
      </w:r>
      <w:proofErr w:type="spellEnd"/>
      <w:r>
        <w:t xml:space="preserve"> bacteria should be explored to enhance overall biodegradation efficiency. Finally, optimization studies should be conducted to determine ideal environmental conditions (pH, temperature, nutrients) that maximize the hydrocarbon degradation potential of this bacterial strain for practical environmental applications.</w:t>
      </w:r>
    </w:p>
    <w:p w:rsidR="00DD4BEA" w:rsidRDefault="00BD6634">
      <w:pPr>
        <w:pStyle w:val="Heading21"/>
      </w:pPr>
      <w:bookmarkStart w:id="17" w:name="references"/>
      <w:bookmarkEnd w:id="16"/>
      <w:r>
        <w:lastRenderedPageBreak/>
        <w:t>References</w:t>
      </w:r>
    </w:p>
    <w:p w:rsidR="00DD4BEA" w:rsidRDefault="00BD6634">
      <w:pPr>
        <w:spacing w:before="180" w:after="180" w:line="240" w:lineRule="auto"/>
      </w:pPr>
      <w:proofErr w:type="spellStart"/>
      <w:r>
        <w:t>Abatenh</w:t>
      </w:r>
      <w:proofErr w:type="spellEnd"/>
      <w:r>
        <w:t xml:space="preserve">, E., </w:t>
      </w:r>
      <w:proofErr w:type="spellStart"/>
      <w:r>
        <w:t>Gizaw</w:t>
      </w:r>
      <w:proofErr w:type="spellEnd"/>
      <w:r>
        <w:t xml:space="preserve">, B., </w:t>
      </w:r>
      <w:proofErr w:type="spellStart"/>
      <w:r>
        <w:t>Tsegaye</w:t>
      </w:r>
      <w:proofErr w:type="spellEnd"/>
      <w:r>
        <w:t xml:space="preserve">, Z., &amp; </w:t>
      </w:r>
      <w:proofErr w:type="spellStart"/>
      <w:r>
        <w:t>Wassie</w:t>
      </w:r>
      <w:proofErr w:type="spellEnd"/>
      <w:r>
        <w:t xml:space="preserve">, M. (2017). The role of microorganisms in bioremediation- A review. </w:t>
      </w:r>
      <w:r>
        <w:rPr>
          <w:i/>
          <w:iCs/>
        </w:rPr>
        <w:t>Open Journal of Environmental Biology</w:t>
      </w:r>
      <w:r>
        <w:t>, 2(1), 38-46.</w:t>
      </w:r>
    </w:p>
    <w:p w:rsidR="00DD4BEA" w:rsidRDefault="00BD6634">
      <w:pPr>
        <w:spacing w:before="180" w:after="180" w:line="240" w:lineRule="auto"/>
      </w:pPr>
      <w:r>
        <w:t xml:space="preserve">Bekele, D., </w:t>
      </w:r>
      <w:proofErr w:type="spellStart"/>
      <w:r>
        <w:t>Andargie</w:t>
      </w:r>
      <w:proofErr w:type="spellEnd"/>
      <w:r>
        <w:t xml:space="preserve">, M., &amp; </w:t>
      </w:r>
      <w:proofErr w:type="spellStart"/>
      <w:r>
        <w:t>Goshu</w:t>
      </w:r>
      <w:proofErr w:type="spellEnd"/>
      <w:r>
        <w:t xml:space="preserve">, G. (2022). Isolation and characterization of diesel-degrading bacteria from hydrocarbon-contaminated sites, flower farms, and soda lakes. </w:t>
      </w:r>
      <w:r>
        <w:rPr>
          <w:i/>
          <w:iCs/>
        </w:rPr>
        <w:t>International Journal of Microbiology</w:t>
      </w:r>
      <w:r>
        <w:t>, 2022, 5655767.</w:t>
      </w:r>
    </w:p>
    <w:p w:rsidR="00DD4BEA" w:rsidRDefault="00BD6634">
      <w:pPr>
        <w:spacing w:before="180" w:after="180" w:line="240" w:lineRule="auto"/>
      </w:pPr>
      <w:r>
        <w:t xml:space="preserve">Chaudhary, D. K., &amp; Kim, J. (2019). New insights into bioremediation strategies for oil-contaminated soil in cold environments. </w:t>
      </w:r>
      <w:r>
        <w:rPr>
          <w:i/>
          <w:iCs/>
        </w:rPr>
        <w:t>International Biodeterioration &amp; Biodegradation</w:t>
      </w:r>
      <w:r>
        <w:t>, 142, 58-72.</w:t>
      </w:r>
    </w:p>
    <w:p w:rsidR="00DD4BEA" w:rsidRDefault="00BD6634">
      <w:pPr>
        <w:spacing w:before="180" w:after="180" w:line="240" w:lineRule="auto"/>
      </w:pPr>
      <w:proofErr w:type="spellStart"/>
      <w:r>
        <w:t>Cheesebrough</w:t>
      </w:r>
      <w:proofErr w:type="spellEnd"/>
      <w:r>
        <w:t xml:space="preserve">, M. (2006). </w:t>
      </w:r>
      <w:r>
        <w:rPr>
          <w:i/>
          <w:iCs/>
        </w:rPr>
        <w:t>District Laboratory Practice in Tropical Countries</w:t>
      </w:r>
      <w:r>
        <w:t>. Cambridge University Press.</w:t>
      </w:r>
    </w:p>
    <w:p w:rsidR="00DD4BEA" w:rsidRDefault="00BD6634">
      <w:pPr>
        <w:spacing w:before="180" w:after="180" w:line="240" w:lineRule="auto"/>
      </w:pPr>
      <w:proofErr w:type="spellStart"/>
      <w:r>
        <w:t>Ferradji</w:t>
      </w:r>
      <w:proofErr w:type="spellEnd"/>
      <w:r>
        <w:t xml:space="preserve">, F. Z., </w:t>
      </w:r>
      <w:proofErr w:type="spellStart"/>
      <w:r>
        <w:t>Mnif</w:t>
      </w:r>
      <w:proofErr w:type="spellEnd"/>
      <w:r>
        <w:t xml:space="preserve">, S., </w:t>
      </w:r>
      <w:proofErr w:type="spellStart"/>
      <w:r>
        <w:t>Badis</w:t>
      </w:r>
      <w:proofErr w:type="spellEnd"/>
      <w:r>
        <w:t xml:space="preserve">, A., </w:t>
      </w:r>
      <w:proofErr w:type="spellStart"/>
      <w:r>
        <w:t>Rebbani</w:t>
      </w:r>
      <w:proofErr w:type="spellEnd"/>
      <w:r>
        <w:t xml:space="preserve">, S., </w:t>
      </w:r>
      <w:proofErr w:type="spellStart"/>
      <w:r>
        <w:t>Fodil</w:t>
      </w:r>
      <w:proofErr w:type="spellEnd"/>
      <w:r>
        <w:t xml:space="preserve">, D., </w:t>
      </w:r>
      <w:proofErr w:type="spellStart"/>
      <w:r>
        <w:t>Eddouaouda</w:t>
      </w:r>
      <w:proofErr w:type="spellEnd"/>
      <w:r>
        <w:t xml:space="preserve">, K., &amp; </w:t>
      </w:r>
      <w:proofErr w:type="spellStart"/>
      <w:r>
        <w:t>Sayadi</w:t>
      </w:r>
      <w:proofErr w:type="spellEnd"/>
      <w:r>
        <w:t xml:space="preserve">, S. (2014). Naphthalene and crude oil degradation by biosurfactant producing </w:t>
      </w:r>
      <w:r>
        <w:rPr>
          <w:i/>
          <w:iCs/>
        </w:rPr>
        <w:t>Streptomyces</w:t>
      </w:r>
      <w:r>
        <w:t xml:space="preserve"> sp. strain. </w:t>
      </w:r>
      <w:r>
        <w:rPr>
          <w:i/>
          <w:iCs/>
        </w:rPr>
        <w:t>International Biodeterioration &amp; Biodegradation</w:t>
      </w:r>
      <w:r>
        <w:t>, 86, 300-308.</w:t>
      </w:r>
    </w:p>
    <w:p w:rsidR="00DD4BEA" w:rsidRDefault="00BD6634">
      <w:pPr>
        <w:spacing w:before="180" w:after="180" w:line="240" w:lineRule="auto"/>
      </w:pPr>
      <w:r>
        <w:t xml:space="preserve">Grady, E. N., MacDonald, J., Liu, L., Richman, A., &amp; Yuan, Z. C. (2016). Current knowledge and perspectives of </w:t>
      </w:r>
      <w:proofErr w:type="spellStart"/>
      <w:r>
        <w:rPr>
          <w:i/>
          <w:iCs/>
        </w:rPr>
        <w:t>Paenibacillus</w:t>
      </w:r>
      <w:proofErr w:type="spellEnd"/>
      <w:r>
        <w:t xml:space="preserve">: a review. </w:t>
      </w:r>
      <w:r>
        <w:rPr>
          <w:i/>
          <w:iCs/>
        </w:rPr>
        <w:t>Microbial Cell Factories</w:t>
      </w:r>
      <w:r>
        <w:t>, 15(1), 203.</w:t>
      </w:r>
    </w:p>
    <w:p w:rsidR="00DD4BEA" w:rsidRDefault="00BD6634">
      <w:pPr>
        <w:spacing w:before="180" w:after="180" w:line="240" w:lineRule="auto"/>
      </w:pPr>
      <w:proofErr w:type="spellStart"/>
      <w:r>
        <w:t>Haleyur</w:t>
      </w:r>
      <w:proofErr w:type="spellEnd"/>
      <w:r>
        <w:t xml:space="preserve">, N., </w:t>
      </w:r>
      <w:proofErr w:type="spellStart"/>
      <w:r>
        <w:t>Shahsavari</w:t>
      </w:r>
      <w:proofErr w:type="spellEnd"/>
      <w:r>
        <w:t xml:space="preserve">, E., Jain, S. S., </w:t>
      </w:r>
      <w:proofErr w:type="spellStart"/>
      <w:r>
        <w:t>Koshlaf</w:t>
      </w:r>
      <w:proofErr w:type="spellEnd"/>
      <w:r>
        <w:t xml:space="preserve">, E., Ravindran, V. B., Morrison, P. D., … &amp; Ball, A. S. (2018). Influence of bioaugmentation and </w:t>
      </w:r>
      <w:proofErr w:type="spellStart"/>
      <w:r>
        <w:t>biostimulation</w:t>
      </w:r>
      <w:proofErr w:type="spellEnd"/>
      <w:r>
        <w:t xml:space="preserve"> on PAH degradation in aged contaminated soils: Response and dynamics of the bacterial community. </w:t>
      </w:r>
      <w:r>
        <w:rPr>
          <w:i/>
          <w:iCs/>
        </w:rPr>
        <w:t>Applied Microbiology and Biotechnology</w:t>
      </w:r>
      <w:r>
        <w:t>, 102(3), 1409-1420.</w:t>
      </w:r>
    </w:p>
    <w:p w:rsidR="00DD4BEA" w:rsidRDefault="00BD6634">
      <w:pPr>
        <w:spacing w:before="180" w:after="180" w:line="240" w:lineRule="auto"/>
      </w:pPr>
      <w:r>
        <w:t xml:space="preserve">Hasan, S., Jahan, N., Haque, M. M., </w:t>
      </w:r>
      <w:proofErr w:type="spellStart"/>
      <w:r>
        <w:t>Tasnim</w:t>
      </w:r>
      <w:proofErr w:type="spellEnd"/>
      <w:r>
        <w:t xml:space="preserve">, F., Bulbul, S., Hasan, M. M., &amp; Hossain, M. T. (2019). Bioremediation potential of hydrocarbon degrading bacteria: isolation, characterization, and assessment. </w:t>
      </w:r>
      <w:r>
        <w:rPr>
          <w:i/>
          <w:iCs/>
        </w:rPr>
        <w:t>SN Applied Sciences</w:t>
      </w:r>
      <w:r>
        <w:t>, 1(12), 1-13.</w:t>
      </w:r>
    </w:p>
    <w:p w:rsidR="00DD4BEA" w:rsidRDefault="00BD6634">
      <w:pPr>
        <w:spacing w:before="180" w:after="180" w:line="240" w:lineRule="auto"/>
      </w:pPr>
      <w:r>
        <w:t xml:space="preserve">Okafor, C. C., </w:t>
      </w:r>
      <w:proofErr w:type="spellStart"/>
      <w:r>
        <w:t>Okwu</w:t>
      </w:r>
      <w:proofErr w:type="spellEnd"/>
      <w:r>
        <w:t xml:space="preserve">, G. I., &amp; </w:t>
      </w:r>
      <w:proofErr w:type="spellStart"/>
      <w:r>
        <w:t>Akpa</w:t>
      </w:r>
      <w:proofErr w:type="spellEnd"/>
      <w:r>
        <w:t xml:space="preserve">, T. C. (2016). Petroleum industry and its pollution potential in Nigeria. </w:t>
      </w:r>
      <w:r>
        <w:rPr>
          <w:i/>
          <w:iCs/>
        </w:rPr>
        <w:t>Journal of Applied Sciences and Environmental Management</w:t>
      </w:r>
      <w:r>
        <w:t>, 20(3), 696-702.</w:t>
      </w:r>
    </w:p>
    <w:p w:rsidR="00DD4BEA" w:rsidRDefault="00BD6634">
      <w:pPr>
        <w:pStyle w:val="FirstParagraph"/>
      </w:pPr>
      <w:r>
        <w:t xml:space="preserve">Wahba, W. Y., Ramadan, A. A., </w:t>
      </w:r>
      <w:proofErr w:type="spellStart"/>
      <w:r>
        <w:t>Eida</w:t>
      </w:r>
      <w:proofErr w:type="spellEnd"/>
      <w:r>
        <w:t xml:space="preserve">, M. F., Rania, M. A., &amp; Saleh, A. M. (2022). Bioremediation of petroleum hydrocarbon-contaminated soils using endophytic bacteria isolated from </w:t>
      </w:r>
      <w:r>
        <w:rPr>
          <w:i/>
          <w:iCs/>
        </w:rPr>
        <w:t xml:space="preserve">Phragmites </w:t>
      </w:r>
      <w:proofErr w:type="spellStart"/>
      <w:r>
        <w:rPr>
          <w:i/>
          <w:iCs/>
        </w:rPr>
        <w:t>australis</w:t>
      </w:r>
      <w:proofErr w:type="spellEnd"/>
      <w:r>
        <w:t xml:space="preserve">. </w:t>
      </w:r>
      <w:r>
        <w:rPr>
          <w:i/>
          <w:iCs/>
        </w:rPr>
        <w:t>International Journal of Environmental Science and Technology</w:t>
      </w:r>
      <w:r>
        <w:t>, 19(4), 2965-2978.</w:t>
      </w:r>
    </w:p>
    <w:bookmarkEnd w:id="0"/>
    <w:bookmarkEnd w:id="17"/>
    <w:p w:rsidR="00DD4BEA" w:rsidRDefault="00DD4BEA">
      <w:pPr>
        <w:pStyle w:val="BodyText"/>
      </w:pPr>
    </w:p>
    <w:sectPr w:rsidR="00DD4BE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153" w:rsidRDefault="00142153" w:rsidP="00F8283E">
      <w:pPr>
        <w:spacing w:after="0" w:line="240" w:lineRule="auto"/>
      </w:pPr>
      <w:r>
        <w:separator/>
      </w:r>
    </w:p>
  </w:endnote>
  <w:endnote w:type="continuationSeparator" w:id="0">
    <w:p w:rsidR="00142153" w:rsidRDefault="00142153" w:rsidP="00F8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83E" w:rsidRDefault="00F82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83E" w:rsidRDefault="00F82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83E" w:rsidRDefault="00F82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153" w:rsidRDefault="00142153" w:rsidP="00F8283E">
      <w:pPr>
        <w:spacing w:after="0" w:line="240" w:lineRule="auto"/>
      </w:pPr>
      <w:r>
        <w:separator/>
      </w:r>
    </w:p>
  </w:footnote>
  <w:footnote w:type="continuationSeparator" w:id="0">
    <w:p w:rsidR="00142153" w:rsidRDefault="00142153" w:rsidP="00F8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83E" w:rsidRDefault="00F828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3094" o:spid="_x0000_s2050"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83E" w:rsidRDefault="00F828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3095" o:spid="_x0000_s2051"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83E" w:rsidRDefault="00F828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3093" o:spid="_x0000_s2049"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BEA"/>
    <w:rsid w:val="00142153"/>
    <w:rsid w:val="00BD6634"/>
    <w:rsid w:val="00DD4BEA"/>
    <w:rsid w:val="00F82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9B20B68-E71E-4AFA-AEC2-28F9380B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SimSu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Date" w:qFormat="1"/>
    <w:lsdException w:name="Block Text" w:uiPriority="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jc w:val="center"/>
    </w:pPr>
    <w:rPr>
      <w:sz w:val="24"/>
      <w:szCs w:val="24"/>
    </w:r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Calibri" w:eastAsia="SimSun" w:hAnsi="Calibri"/>
      <w:b/>
      <w:bCs/>
      <w:color w:val="345A8A"/>
      <w:sz w:val="36"/>
      <w:szCs w:val="36"/>
    </w:rPr>
  </w:style>
  <w:style w:type="character" w:styleId="Hyperlink">
    <w:name w:val="Hyperlink"/>
    <w:basedOn w:val="BodyTextChar"/>
    <w:rPr>
      <w:color w:val="4F81BD"/>
    </w:rPr>
  </w:style>
  <w:style w:type="character" w:customStyle="1" w:styleId="BodyTextChar">
    <w:name w:val="Body Text Char"/>
    <w:basedOn w:val="DefaultParagraphFont"/>
    <w:link w:val="BodyTex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sz w:val="24"/>
      <w:szCs w:val="24"/>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b0879294-f646-458c-a0ec-ef088f764761">
    <w:name w:val="Bibliography_b0879294-f646-458c-a0ec-ef088f764761"/>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d4785dba-1b97-44d7-a88c-a6e41aa8f137">
    <w:name w:val="TOC Heading_d4785dba-1b97-44d7-a88c-a6e41aa8f137"/>
    <w:basedOn w:val="Heading11"/>
    <w:next w:val="BodyText"/>
    <w:uiPriority w:val="39"/>
    <w:qFormat/>
    <w:pPr>
      <w:spacing w:before="240"/>
      <w:outlineLvl w:val="9"/>
    </w:pPr>
    <w:rPr>
      <w:b w:val="0"/>
      <w:bCs w:val="0"/>
      <w:color w:val="365F91"/>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BD6634"/>
    <w:rPr>
      <w:color w:val="605E5C"/>
      <w:shd w:val="clear" w:color="auto" w:fill="E1DFDD"/>
    </w:rPr>
  </w:style>
  <w:style w:type="paragraph" w:styleId="Header">
    <w:name w:val="header"/>
    <w:basedOn w:val="Normal"/>
    <w:link w:val="HeaderChar"/>
    <w:rsid w:val="00F8283E"/>
    <w:pPr>
      <w:tabs>
        <w:tab w:val="center" w:pos="4680"/>
        <w:tab w:val="right" w:pos="9360"/>
      </w:tabs>
      <w:spacing w:after="0" w:line="240" w:lineRule="auto"/>
    </w:pPr>
  </w:style>
  <w:style w:type="character" w:customStyle="1" w:styleId="HeaderChar">
    <w:name w:val="Header Char"/>
    <w:basedOn w:val="DefaultParagraphFont"/>
    <w:link w:val="Header"/>
    <w:rsid w:val="00F8283E"/>
    <w:rPr>
      <w:sz w:val="24"/>
      <w:szCs w:val="24"/>
    </w:rPr>
  </w:style>
  <w:style w:type="paragraph" w:styleId="Footer">
    <w:name w:val="footer"/>
    <w:basedOn w:val="Normal"/>
    <w:link w:val="FooterChar"/>
    <w:rsid w:val="00F8283E"/>
    <w:pPr>
      <w:tabs>
        <w:tab w:val="center" w:pos="4680"/>
        <w:tab w:val="right" w:pos="9360"/>
      </w:tabs>
      <w:spacing w:after="0" w:line="240" w:lineRule="auto"/>
    </w:pPr>
  </w:style>
  <w:style w:type="character" w:customStyle="1" w:styleId="FooterChar">
    <w:name w:val="Footer Char"/>
    <w:basedOn w:val="DefaultParagraphFont"/>
    <w:link w:val="Footer"/>
    <w:rsid w:val="00F828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9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3228</Words>
  <Characters>18401</Characters>
  <Application>Microsoft Office Word</Application>
  <DocSecurity>0</DocSecurity>
  <Lines>153</Lines>
  <Paragraphs>43</Paragraphs>
  <ScaleCrop>false</ScaleCrop>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1180</cp:lastModifiedBy>
  <cp:revision>2</cp:revision>
  <dcterms:created xsi:type="dcterms:W3CDTF">1970-01-01T02:00:00Z</dcterms:created>
  <dcterms:modified xsi:type="dcterms:W3CDTF">2025-07-12T10:30:00Z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9160695261040E74650C7268192F030B_33</vt:lpwstr>
  </property>
  <property fmtid="{D5CDD505-2E9C-101B-9397-08002B2CF9AE}" pid="3" name="KSOProductBuildVer">
    <vt:lpwstr>3081-11.34.13</vt:lpwstr>
  </property>
</Properties>
</file>