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36507" w14:textId="06DA2BE7" w:rsidR="00E26D4D" w:rsidRPr="00500061" w:rsidRDefault="00500061" w:rsidP="00500061">
      <w:pPr>
        <w:spacing w:after="0"/>
        <w:jc w:val="right"/>
        <w:rPr>
          <w:rFonts w:ascii="Arial" w:hAnsi="Arial" w:cs="Arial"/>
          <w:b/>
          <w:bCs/>
          <w:i/>
          <w:sz w:val="36"/>
          <w:szCs w:val="36"/>
          <w:u w:val="single"/>
        </w:rPr>
      </w:pPr>
      <w:r w:rsidRPr="00500061">
        <w:rPr>
          <w:rFonts w:ascii="Arial" w:hAnsi="Arial" w:cs="Arial"/>
          <w:b/>
          <w:bCs/>
          <w:i/>
          <w:sz w:val="36"/>
          <w:szCs w:val="36"/>
          <w:u w:val="single"/>
        </w:rPr>
        <w:t>Original Research Article</w:t>
      </w:r>
    </w:p>
    <w:p w14:paraId="7AD2F4A0" w14:textId="77777777" w:rsidR="00500061" w:rsidRDefault="00500061" w:rsidP="00E26D4D">
      <w:pPr>
        <w:spacing w:after="0"/>
        <w:jc w:val="both"/>
        <w:rPr>
          <w:rFonts w:ascii="Arial" w:hAnsi="Arial" w:cs="Arial"/>
          <w:b/>
          <w:bCs/>
          <w:sz w:val="36"/>
          <w:szCs w:val="36"/>
        </w:rPr>
      </w:pPr>
    </w:p>
    <w:p w14:paraId="51F1538D" w14:textId="73E1FF13" w:rsidR="00831BBA" w:rsidRDefault="005F1ABB" w:rsidP="00E26D4D">
      <w:pPr>
        <w:spacing w:after="0"/>
        <w:jc w:val="right"/>
        <w:rPr>
          <w:rFonts w:ascii="Arial" w:hAnsi="Arial" w:cs="Arial"/>
          <w:b/>
          <w:bCs/>
          <w:sz w:val="36"/>
          <w:szCs w:val="36"/>
        </w:rPr>
      </w:pPr>
      <w:r w:rsidRPr="005F1ABB">
        <w:rPr>
          <w:rFonts w:ascii="Arial" w:hAnsi="Arial" w:cs="Arial"/>
          <w:b/>
          <w:bCs/>
          <w:sz w:val="36"/>
          <w:szCs w:val="36"/>
        </w:rPr>
        <w:t xml:space="preserve">Age-Related Testosterone </w:t>
      </w:r>
      <w:r w:rsidR="00C1074B">
        <w:rPr>
          <w:rFonts w:ascii="Arial" w:hAnsi="Arial" w:cs="Arial"/>
          <w:b/>
          <w:bCs/>
          <w:sz w:val="36"/>
          <w:szCs w:val="36"/>
        </w:rPr>
        <w:t>a</w:t>
      </w:r>
      <w:r w:rsidRPr="005F1ABB">
        <w:rPr>
          <w:rFonts w:ascii="Arial" w:hAnsi="Arial" w:cs="Arial"/>
          <w:b/>
          <w:bCs/>
          <w:sz w:val="36"/>
          <w:szCs w:val="36"/>
        </w:rPr>
        <w:t xml:space="preserve">nd </w:t>
      </w:r>
      <w:proofErr w:type="spellStart"/>
      <w:r w:rsidRPr="005F1ABB">
        <w:rPr>
          <w:rFonts w:ascii="Arial" w:hAnsi="Arial" w:cs="Arial"/>
          <w:b/>
          <w:bCs/>
          <w:sz w:val="36"/>
          <w:szCs w:val="36"/>
        </w:rPr>
        <w:t>Oestradiol</w:t>
      </w:r>
      <w:proofErr w:type="spellEnd"/>
      <w:r w:rsidRPr="005F1ABB">
        <w:rPr>
          <w:rFonts w:ascii="Arial" w:hAnsi="Arial" w:cs="Arial"/>
          <w:b/>
          <w:bCs/>
          <w:sz w:val="36"/>
          <w:szCs w:val="36"/>
        </w:rPr>
        <w:t xml:space="preserve"> Profiles </w:t>
      </w:r>
      <w:r w:rsidR="00C1074B">
        <w:rPr>
          <w:rFonts w:ascii="Arial" w:hAnsi="Arial" w:cs="Arial"/>
          <w:b/>
          <w:bCs/>
          <w:sz w:val="36"/>
          <w:szCs w:val="36"/>
        </w:rPr>
        <w:t>i</w:t>
      </w:r>
      <w:r w:rsidRPr="005F1ABB">
        <w:rPr>
          <w:rFonts w:ascii="Arial" w:hAnsi="Arial" w:cs="Arial"/>
          <w:b/>
          <w:bCs/>
          <w:sz w:val="36"/>
          <w:szCs w:val="36"/>
        </w:rPr>
        <w:t xml:space="preserve">n Dairy Bulls: Implication </w:t>
      </w:r>
      <w:r w:rsidR="00C1074B">
        <w:rPr>
          <w:rFonts w:ascii="Arial" w:hAnsi="Arial" w:cs="Arial"/>
          <w:b/>
          <w:bCs/>
          <w:sz w:val="36"/>
          <w:szCs w:val="36"/>
        </w:rPr>
        <w:t>f</w:t>
      </w:r>
      <w:r w:rsidRPr="005F1ABB">
        <w:rPr>
          <w:rFonts w:ascii="Arial" w:hAnsi="Arial" w:cs="Arial"/>
          <w:b/>
          <w:bCs/>
          <w:sz w:val="36"/>
          <w:szCs w:val="36"/>
        </w:rPr>
        <w:t xml:space="preserve">or Age Groups Reproductive Efficiency </w:t>
      </w:r>
      <w:r w:rsidR="00C1074B">
        <w:rPr>
          <w:rFonts w:ascii="Arial" w:hAnsi="Arial" w:cs="Arial"/>
          <w:b/>
          <w:bCs/>
          <w:sz w:val="36"/>
          <w:szCs w:val="36"/>
        </w:rPr>
        <w:t>a</w:t>
      </w:r>
      <w:r w:rsidRPr="005F1ABB">
        <w:rPr>
          <w:rFonts w:ascii="Arial" w:hAnsi="Arial" w:cs="Arial"/>
          <w:b/>
          <w:bCs/>
          <w:sz w:val="36"/>
          <w:szCs w:val="36"/>
        </w:rPr>
        <w:t>nd Breeding Soundness Evaluation</w:t>
      </w:r>
    </w:p>
    <w:p w14:paraId="0B43898E" w14:textId="77777777" w:rsidR="00E26D4D" w:rsidRPr="00E26D4D" w:rsidRDefault="00E26D4D" w:rsidP="00E26D4D">
      <w:pPr>
        <w:spacing w:after="0" w:line="240" w:lineRule="auto"/>
        <w:jc w:val="both"/>
        <w:rPr>
          <w:rFonts w:ascii="Arial" w:hAnsi="Arial" w:cs="Arial"/>
          <w:b/>
          <w:bCs/>
          <w:sz w:val="20"/>
          <w:szCs w:val="20"/>
        </w:rPr>
      </w:pPr>
    </w:p>
    <w:p w14:paraId="39283F23" w14:textId="415DD28D" w:rsidR="00F0039E" w:rsidRDefault="00F0039E" w:rsidP="00E26D4D">
      <w:pPr>
        <w:spacing w:after="0" w:line="240" w:lineRule="auto"/>
        <w:jc w:val="both"/>
        <w:rPr>
          <w:rFonts w:ascii="Arial" w:hAnsi="Arial" w:cs="Arial"/>
          <w:sz w:val="20"/>
          <w:szCs w:val="20"/>
        </w:rPr>
      </w:pPr>
    </w:p>
    <w:p w14:paraId="27CE5DF6" w14:textId="3BD522EC" w:rsidR="001D1961" w:rsidRDefault="001D1961" w:rsidP="00E26D4D">
      <w:pPr>
        <w:spacing w:after="0" w:line="240" w:lineRule="auto"/>
        <w:jc w:val="right"/>
        <w:rPr>
          <w:rFonts w:ascii="Arial" w:hAnsi="Arial" w:cs="Arial"/>
          <w:sz w:val="20"/>
          <w:szCs w:val="20"/>
        </w:rPr>
      </w:pPr>
      <w:r>
        <w:rPr>
          <w:rFonts w:ascii="Arial" w:hAnsi="Arial" w:cs="Arial"/>
          <w:noProof/>
        </w:rPr>
        <mc:AlternateContent>
          <mc:Choice Requires="wps">
            <w:drawing>
              <wp:inline distT="0" distB="0" distL="0" distR="0" wp14:anchorId="32F76A54" wp14:editId="3125029D">
                <wp:extent cx="5921375" cy="45719"/>
                <wp:effectExtent l="0" t="0" r="22225" b="3111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1375"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BC0B1A" id="_x0000_t32" coordsize="21600,21600" o:spt="32" o:oned="t" path="m,l21600,21600e" filled="f">
                <v:path arrowok="t" fillok="f" o:connecttype="none"/>
                <o:lock v:ext="edit" shapetype="t"/>
              </v:shapetype>
              <v:shape id="Straight Arrow Connector 1" o:spid="_x0000_s1026" type="#_x0000_t32" style="width:466.25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" strokeweight="1.5pt">
                <w10:anchorlock/>
              </v:shape>
            </w:pict>
          </mc:Fallback>
        </mc:AlternateContent>
      </w:r>
    </w:p>
    <w:p w14:paraId="12F22B27" w14:textId="77777777" w:rsidR="0019402F" w:rsidRPr="005F1ABB" w:rsidRDefault="0019402F" w:rsidP="00E26D4D">
      <w:pPr>
        <w:spacing w:after="0" w:line="240" w:lineRule="auto"/>
        <w:jc w:val="both"/>
        <w:rPr>
          <w:rFonts w:ascii="Arial" w:hAnsi="Arial" w:cs="Arial"/>
          <w:sz w:val="20"/>
          <w:szCs w:val="20"/>
        </w:rPr>
      </w:pPr>
    </w:p>
    <w:p w14:paraId="6F6E3176" w14:textId="77777777" w:rsidR="0019402F" w:rsidRPr="005F1ABB" w:rsidRDefault="0019402F" w:rsidP="00E26D4D">
      <w:pPr>
        <w:pStyle w:val="Heading1"/>
      </w:pPr>
      <w:r w:rsidRPr="005F1ABB">
        <w:t>ABSTRACT</w:t>
      </w:r>
    </w:p>
    <w:p w14:paraId="580AF0FD" w14:textId="77777777" w:rsidR="00F0039E" w:rsidRPr="00BA4471" w:rsidRDefault="00F0039E" w:rsidP="00BA4471">
      <w:pPr>
        <w:spacing w:after="0" w:line="24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19402F" w:rsidRPr="001E44FE" w14:paraId="6B3A9982" w14:textId="77777777" w:rsidTr="0019402F">
        <w:tc>
          <w:tcPr>
            <w:tcW w:w="9350" w:type="dxa"/>
            <w:shd w:val="clear" w:color="auto" w:fill="F2F2F2"/>
          </w:tcPr>
          <w:p w14:paraId="329964F9" w14:textId="5799D17D" w:rsidR="0019402F"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Aims:</w:t>
            </w:r>
            <w:r w:rsidRPr="00BA4471">
              <w:rPr>
                <w:rFonts w:ascii="Arial" w:hAnsi="Arial" w:cs="Arial"/>
                <w:sz w:val="20"/>
                <w:szCs w:val="20"/>
              </w:rPr>
              <w:t xml:space="preserve"> T</w:t>
            </w:r>
            <w:r w:rsidR="004365E0">
              <w:rPr>
                <w:rFonts w:ascii="Arial" w:hAnsi="Arial" w:cs="Arial"/>
                <w:sz w:val="20"/>
                <w:szCs w:val="20"/>
              </w:rPr>
              <w:t xml:space="preserve">he aim of this study was to </w:t>
            </w:r>
            <w:r w:rsidRPr="00BA4471">
              <w:rPr>
                <w:rFonts w:ascii="Arial" w:hAnsi="Arial" w:cs="Arial"/>
                <w:sz w:val="20"/>
                <w:szCs w:val="20"/>
              </w:rPr>
              <w:t xml:space="preserve">characterize testosterone and oestradiol levels in dairy bulls in nine age groups (6 months to ≥8 years) to provide contextual reference values for </w:t>
            </w:r>
            <w:r w:rsidR="004365E0">
              <w:rPr>
                <w:rFonts w:ascii="Arial" w:hAnsi="Arial" w:cs="Arial"/>
                <w:sz w:val="20"/>
                <w:szCs w:val="20"/>
              </w:rPr>
              <w:t xml:space="preserve">reproductive efficiency and </w:t>
            </w:r>
            <w:r w:rsidRPr="00BA4471">
              <w:rPr>
                <w:rFonts w:ascii="Arial" w:hAnsi="Arial" w:cs="Arial"/>
                <w:sz w:val="20"/>
                <w:szCs w:val="20"/>
              </w:rPr>
              <w:t>breeding soundness assessment in tropical dairy production systems</w:t>
            </w:r>
            <w:r w:rsidR="004365E0">
              <w:rPr>
                <w:rFonts w:ascii="Arial" w:hAnsi="Arial" w:cs="Arial"/>
                <w:sz w:val="20"/>
                <w:szCs w:val="20"/>
              </w:rPr>
              <w:t xml:space="preserve"> of Ghana</w:t>
            </w:r>
            <w:r w:rsidRPr="00BA4471">
              <w:rPr>
                <w:rFonts w:ascii="Arial" w:hAnsi="Arial" w:cs="Arial"/>
                <w:sz w:val="20"/>
                <w:szCs w:val="20"/>
              </w:rPr>
              <w:t xml:space="preserve">. </w:t>
            </w:r>
          </w:p>
          <w:p w14:paraId="41C3736F" w14:textId="77777777" w:rsidR="0019402F"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Study design:</w:t>
            </w:r>
            <w:r w:rsidRPr="00BA4471">
              <w:rPr>
                <w:rFonts w:ascii="Arial" w:hAnsi="Arial" w:cs="Arial"/>
                <w:sz w:val="20"/>
                <w:szCs w:val="20"/>
              </w:rPr>
              <w:t xml:space="preserve"> </w:t>
            </w:r>
            <w:r>
              <w:rPr>
                <w:rFonts w:ascii="Arial" w:hAnsi="Arial" w:cs="Arial"/>
                <w:sz w:val="20"/>
                <w:szCs w:val="20"/>
              </w:rPr>
              <w:t>Longitudinal</w:t>
            </w:r>
            <w:r w:rsidRPr="00BA4471">
              <w:rPr>
                <w:rFonts w:ascii="Arial" w:hAnsi="Arial" w:cs="Arial"/>
                <w:sz w:val="20"/>
                <w:szCs w:val="20"/>
              </w:rPr>
              <w:t xml:space="preserve"> observational study. </w:t>
            </w:r>
          </w:p>
          <w:p w14:paraId="02302E0A" w14:textId="77777777" w:rsidR="0019402F" w:rsidRPr="00BA4471"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Place and Duration of Study:</w:t>
            </w:r>
            <w:r w:rsidRPr="00BA4471">
              <w:rPr>
                <w:rFonts w:ascii="Arial" w:hAnsi="Arial" w:cs="Arial"/>
                <w:sz w:val="20"/>
                <w:szCs w:val="20"/>
              </w:rPr>
              <w:t xml:space="preserve"> Various dairy farms in Ashanti, Eastern, and Greater Accra Regions in Ghana, from January 2022 to December 2023.</w:t>
            </w:r>
          </w:p>
          <w:p w14:paraId="0D62D867" w14:textId="0FEC08FE" w:rsidR="0019402F" w:rsidRPr="00BA4471"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Methodology:</w:t>
            </w:r>
            <w:r w:rsidRPr="00BA4471">
              <w:rPr>
                <w:rFonts w:ascii="Arial" w:hAnsi="Arial" w:cs="Arial"/>
                <w:sz w:val="20"/>
                <w:szCs w:val="20"/>
              </w:rPr>
              <w:t xml:space="preserve"> Blood samples from 90 dairy bulls from nine age groups (n=10 per group) were subjected to analyses using validated commercial enzyme immunoassays. Thorough breeding soundness assessments involved physical parameters, breeding </w:t>
            </w:r>
            <w:r w:rsidR="0085766A">
              <w:rPr>
                <w:rFonts w:ascii="Arial" w:hAnsi="Arial" w:cs="Arial"/>
                <w:sz w:val="20"/>
                <w:szCs w:val="20"/>
              </w:rPr>
              <w:t>behaviour</w:t>
            </w:r>
            <w:r w:rsidRPr="00BA4471">
              <w:rPr>
                <w:rFonts w:ascii="Arial" w:hAnsi="Arial" w:cs="Arial"/>
                <w:sz w:val="20"/>
                <w:szCs w:val="20"/>
              </w:rPr>
              <w:t xml:space="preserve"> observation, and monitoring of reproduction performance. Bulls were divided into age groups</w:t>
            </w:r>
            <w:r>
              <w:rPr>
                <w:rFonts w:ascii="Arial" w:hAnsi="Arial" w:cs="Arial"/>
                <w:sz w:val="20"/>
                <w:szCs w:val="20"/>
              </w:rPr>
              <w:t xml:space="preserve"> including</w:t>
            </w:r>
            <w:r w:rsidRPr="00BA4471">
              <w:rPr>
                <w:rFonts w:ascii="Arial" w:hAnsi="Arial" w:cs="Arial"/>
                <w:sz w:val="20"/>
                <w:szCs w:val="20"/>
              </w:rPr>
              <w:t xml:space="preserve"> 6 months, 1, 2, 3, 4, 5, 6, 7, and ≥8 years. Testosterone and oestradiol levels were evaluated using validated commercial enzyme immunoassay kits with intra-assay CV &lt;7% and inter-assay CV &lt;10%.</w:t>
            </w:r>
          </w:p>
          <w:p w14:paraId="2414A5B0" w14:textId="60D7F2EC" w:rsidR="0019402F" w:rsidRPr="00BA4471"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Results:</w:t>
            </w:r>
            <w:r w:rsidRPr="00BA4471">
              <w:rPr>
                <w:rFonts w:ascii="Arial" w:hAnsi="Arial" w:cs="Arial"/>
                <w:sz w:val="20"/>
                <w:szCs w:val="20"/>
              </w:rPr>
              <w:t xml:space="preserve"> Testosterone levels had extremely significant age-depending variation (F</w:t>
            </w:r>
            <w:proofErr w:type="gramStart"/>
            <w:r w:rsidRPr="00BA4471">
              <w:rPr>
                <w:rFonts w:ascii="Cambria Math" w:hAnsi="Cambria Math" w:cs="Cambria Math"/>
                <w:sz w:val="20"/>
                <w:szCs w:val="20"/>
              </w:rPr>
              <w:t>₈</w:t>
            </w:r>
            <w:r w:rsidRPr="00BA4471">
              <w:rPr>
                <w:rFonts w:ascii="Arial" w:hAnsi="Arial" w:cs="Arial"/>
                <w:sz w:val="20"/>
                <w:szCs w:val="20"/>
              </w:rPr>
              <w:t>,</w:t>
            </w:r>
            <w:r w:rsidRPr="00BA4471">
              <w:rPr>
                <w:rFonts w:ascii="Cambria Math" w:hAnsi="Cambria Math" w:cs="Cambria Math"/>
                <w:sz w:val="20"/>
                <w:szCs w:val="20"/>
              </w:rPr>
              <w:t>₈</w:t>
            </w:r>
            <w:proofErr w:type="gramEnd"/>
            <w:r w:rsidRPr="00BA4471">
              <w:rPr>
                <w:rFonts w:ascii="Cambria Math" w:hAnsi="Cambria Math" w:cs="Cambria Math"/>
                <w:sz w:val="20"/>
                <w:szCs w:val="20"/>
              </w:rPr>
              <w:t>₁</w:t>
            </w:r>
            <w:r w:rsidRPr="00BA4471">
              <w:rPr>
                <w:rFonts w:ascii="Arial" w:hAnsi="Arial" w:cs="Arial"/>
                <w:sz w:val="20"/>
                <w:szCs w:val="20"/>
              </w:rPr>
              <w:t xml:space="preserve"> = 42.3, P &lt; .001), with the lowest levels in bulls aged 6 months (1.2 ± 0.21 ng/mL), increasing from 1-4 years</w:t>
            </w:r>
            <w:r>
              <w:rPr>
                <w:rFonts w:ascii="Arial" w:hAnsi="Arial" w:cs="Arial"/>
                <w:sz w:val="20"/>
                <w:szCs w:val="20"/>
              </w:rPr>
              <w:t xml:space="preserve"> with the</w:t>
            </w:r>
            <w:r w:rsidRPr="00BA4471">
              <w:rPr>
                <w:rFonts w:ascii="Arial" w:hAnsi="Arial" w:cs="Arial"/>
                <w:sz w:val="20"/>
                <w:szCs w:val="20"/>
              </w:rPr>
              <w:t xml:space="preserve"> highest levels at 4 years (8.9 ± 0.38 ng/mL)</w:t>
            </w:r>
            <w:r>
              <w:rPr>
                <w:rFonts w:ascii="Arial" w:hAnsi="Arial" w:cs="Arial"/>
                <w:sz w:val="20"/>
                <w:szCs w:val="20"/>
              </w:rPr>
              <w:t xml:space="preserve">. There </w:t>
            </w:r>
            <w:proofErr w:type="gramStart"/>
            <w:r>
              <w:rPr>
                <w:rFonts w:ascii="Arial" w:hAnsi="Arial" w:cs="Arial"/>
                <w:sz w:val="20"/>
                <w:szCs w:val="20"/>
              </w:rPr>
              <w:t>were</w:t>
            </w:r>
            <w:proofErr w:type="gramEnd"/>
            <w:r w:rsidRPr="00BA4471">
              <w:rPr>
                <w:rFonts w:ascii="Arial" w:hAnsi="Arial" w:cs="Arial"/>
                <w:sz w:val="20"/>
                <w:szCs w:val="20"/>
              </w:rPr>
              <w:t xml:space="preserve"> a gradual decrease</w:t>
            </w:r>
            <w:r>
              <w:rPr>
                <w:rFonts w:ascii="Arial" w:hAnsi="Arial" w:cs="Arial"/>
                <w:sz w:val="20"/>
                <w:szCs w:val="20"/>
              </w:rPr>
              <w:t xml:space="preserve"> (</w:t>
            </w:r>
            <w:r w:rsidRPr="00BA4471">
              <w:rPr>
                <w:rFonts w:ascii="Arial" w:hAnsi="Arial" w:cs="Arial"/>
                <w:sz w:val="20"/>
                <w:szCs w:val="20"/>
              </w:rPr>
              <w:t>P &lt;.0</w:t>
            </w:r>
            <w:r>
              <w:rPr>
                <w:rFonts w:ascii="Arial" w:hAnsi="Arial" w:cs="Arial"/>
                <w:sz w:val="20"/>
                <w:szCs w:val="20"/>
              </w:rPr>
              <w:t>5)</w:t>
            </w:r>
            <w:r w:rsidRPr="00BA4471">
              <w:rPr>
                <w:rFonts w:ascii="Arial" w:hAnsi="Arial" w:cs="Arial"/>
                <w:sz w:val="20"/>
                <w:szCs w:val="20"/>
              </w:rPr>
              <w:t xml:space="preserve"> </w:t>
            </w:r>
            <w:r>
              <w:rPr>
                <w:rFonts w:ascii="Arial" w:hAnsi="Arial" w:cs="Arial"/>
                <w:sz w:val="20"/>
                <w:szCs w:val="20"/>
              </w:rPr>
              <w:t>from</w:t>
            </w:r>
            <w:r w:rsidRPr="00BA4471">
              <w:rPr>
                <w:rFonts w:ascii="Arial" w:hAnsi="Arial" w:cs="Arial"/>
                <w:sz w:val="20"/>
                <w:szCs w:val="20"/>
              </w:rPr>
              <w:t xml:space="preserve"> 5 (7.8 ± 0.32 ng/mL</w:t>
            </w:r>
            <w:r>
              <w:rPr>
                <w:rFonts w:ascii="Arial" w:hAnsi="Arial" w:cs="Arial"/>
                <w:sz w:val="20"/>
                <w:szCs w:val="20"/>
              </w:rPr>
              <w:t xml:space="preserve">), tapering </w:t>
            </w:r>
            <w:proofErr w:type="gramStart"/>
            <w:r>
              <w:rPr>
                <w:rFonts w:ascii="Arial" w:hAnsi="Arial" w:cs="Arial"/>
                <w:sz w:val="20"/>
                <w:szCs w:val="20"/>
              </w:rPr>
              <w:t xml:space="preserve">at  </w:t>
            </w:r>
            <w:r w:rsidRPr="00BA4471">
              <w:rPr>
                <w:rFonts w:ascii="Arial" w:hAnsi="Arial" w:cs="Arial"/>
                <w:sz w:val="20"/>
                <w:szCs w:val="20"/>
              </w:rPr>
              <w:t>≥</w:t>
            </w:r>
            <w:proofErr w:type="gramEnd"/>
            <w:r w:rsidRPr="00BA4471">
              <w:rPr>
                <w:rFonts w:ascii="Arial" w:hAnsi="Arial" w:cs="Arial"/>
                <w:sz w:val="20"/>
                <w:szCs w:val="20"/>
              </w:rPr>
              <w:t>8 (5.1 ± 0.25 ng/mL, P &lt;.0</w:t>
            </w:r>
            <w:r>
              <w:rPr>
                <w:rFonts w:ascii="Arial" w:hAnsi="Arial" w:cs="Arial"/>
                <w:sz w:val="20"/>
                <w:szCs w:val="20"/>
              </w:rPr>
              <w:t>01)</w:t>
            </w:r>
            <w:r w:rsidRPr="00BA4471">
              <w:rPr>
                <w:rFonts w:ascii="Arial" w:hAnsi="Arial" w:cs="Arial"/>
                <w:sz w:val="20"/>
                <w:szCs w:val="20"/>
              </w:rPr>
              <w:t xml:space="preserve"> compared with 4-years-old. Oestradiol levels were highest in 1-years-old bulls (45.6 ± 2.6 </w:t>
            </w:r>
            <w:proofErr w:type="spellStart"/>
            <w:r w:rsidRPr="00BA4471">
              <w:rPr>
                <w:rFonts w:ascii="Arial" w:hAnsi="Arial" w:cs="Arial"/>
                <w:sz w:val="20"/>
                <w:szCs w:val="20"/>
              </w:rPr>
              <w:t>pg</w:t>
            </w:r>
            <w:proofErr w:type="spellEnd"/>
            <w:r w:rsidRPr="00BA4471">
              <w:rPr>
                <w:rFonts w:ascii="Arial" w:hAnsi="Arial" w:cs="Arial"/>
                <w:sz w:val="20"/>
                <w:szCs w:val="20"/>
              </w:rPr>
              <w:t xml:space="preserve">/mL, P &lt;.01), with comparable lower levels in other age groups (18.2-24.7 </w:t>
            </w:r>
            <w:proofErr w:type="spellStart"/>
            <w:r w:rsidRPr="00BA4471">
              <w:rPr>
                <w:rFonts w:ascii="Arial" w:hAnsi="Arial" w:cs="Arial"/>
                <w:sz w:val="20"/>
                <w:szCs w:val="20"/>
              </w:rPr>
              <w:t>pg</w:t>
            </w:r>
            <w:proofErr w:type="spellEnd"/>
            <w:r w:rsidRPr="00BA4471">
              <w:rPr>
                <w:rFonts w:ascii="Arial" w:hAnsi="Arial" w:cs="Arial"/>
                <w:sz w:val="20"/>
                <w:szCs w:val="20"/>
              </w:rPr>
              <w:t xml:space="preserve">/mL). Bulls </w:t>
            </w:r>
            <w:r>
              <w:rPr>
                <w:rFonts w:ascii="Arial" w:hAnsi="Arial" w:cs="Arial"/>
                <w:sz w:val="20"/>
                <w:szCs w:val="20"/>
              </w:rPr>
              <w:t>of</w:t>
            </w:r>
            <w:r w:rsidRPr="00BA4471">
              <w:rPr>
                <w:rFonts w:ascii="Arial" w:hAnsi="Arial" w:cs="Arial"/>
                <w:sz w:val="20"/>
                <w:szCs w:val="20"/>
              </w:rPr>
              <w:t xml:space="preserve"> 4-year-old </w:t>
            </w:r>
            <w:r>
              <w:rPr>
                <w:rFonts w:ascii="Arial" w:hAnsi="Arial" w:cs="Arial"/>
                <w:sz w:val="20"/>
                <w:szCs w:val="20"/>
              </w:rPr>
              <w:t xml:space="preserve">had </w:t>
            </w:r>
            <w:r w:rsidRPr="00BA4471">
              <w:rPr>
                <w:rFonts w:ascii="Arial" w:hAnsi="Arial" w:cs="Arial"/>
                <w:sz w:val="20"/>
                <w:szCs w:val="20"/>
              </w:rPr>
              <w:t>peak testosterone levels</w:t>
            </w:r>
            <w:r>
              <w:rPr>
                <w:rFonts w:ascii="Arial" w:hAnsi="Arial" w:cs="Arial"/>
                <w:sz w:val="20"/>
                <w:szCs w:val="20"/>
              </w:rPr>
              <w:t xml:space="preserve">, </w:t>
            </w:r>
            <w:r w:rsidRPr="00BA4471">
              <w:rPr>
                <w:rFonts w:ascii="Arial" w:hAnsi="Arial" w:cs="Arial"/>
                <w:sz w:val="20"/>
                <w:szCs w:val="20"/>
              </w:rPr>
              <w:t xml:space="preserve">exhibited higher breeding </w:t>
            </w:r>
            <w:r w:rsidR="0085766A">
              <w:rPr>
                <w:rFonts w:ascii="Arial" w:hAnsi="Arial" w:cs="Arial"/>
                <w:sz w:val="20"/>
                <w:szCs w:val="20"/>
              </w:rPr>
              <w:t>behaviour</w:t>
            </w:r>
            <w:r w:rsidRPr="00BA4471">
              <w:rPr>
                <w:rFonts w:ascii="Arial" w:hAnsi="Arial" w:cs="Arial"/>
                <w:sz w:val="20"/>
                <w:szCs w:val="20"/>
              </w:rPr>
              <w:t xml:space="preserve"> scores (8.9 ± 0.22, P &lt; .001)</w:t>
            </w:r>
            <w:r>
              <w:rPr>
                <w:rFonts w:ascii="Arial" w:hAnsi="Arial" w:cs="Arial"/>
                <w:sz w:val="20"/>
                <w:szCs w:val="20"/>
              </w:rPr>
              <w:t>,</w:t>
            </w:r>
            <w:r w:rsidRPr="00BA4471">
              <w:rPr>
                <w:rFonts w:ascii="Arial" w:hAnsi="Arial" w:cs="Arial"/>
                <w:sz w:val="20"/>
                <w:szCs w:val="20"/>
              </w:rPr>
              <w:t xml:space="preserve"> and 27% higher conception rates</w:t>
            </w:r>
            <w:r>
              <w:rPr>
                <w:rFonts w:ascii="Arial" w:hAnsi="Arial" w:cs="Arial"/>
                <w:sz w:val="20"/>
                <w:szCs w:val="20"/>
              </w:rPr>
              <w:t xml:space="preserve"> for breeding soundness</w:t>
            </w:r>
            <w:r w:rsidRPr="00BA4471">
              <w:rPr>
                <w:rFonts w:ascii="Arial" w:hAnsi="Arial" w:cs="Arial"/>
                <w:sz w:val="20"/>
                <w:szCs w:val="20"/>
              </w:rPr>
              <w:t xml:space="preserve"> than young or aged bulls. Body condition score was well correlated with testosterone levels (r = 0.68, P &lt; .001).</w:t>
            </w:r>
          </w:p>
          <w:p w14:paraId="4725193E" w14:textId="77777777" w:rsidR="0019402F" w:rsidRPr="00BA4471"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Conclusion:</w:t>
            </w:r>
            <w:r w:rsidRPr="00BA4471">
              <w:rPr>
                <w:rFonts w:ascii="Arial" w:hAnsi="Arial" w:cs="Arial"/>
                <w:sz w:val="20"/>
                <w:szCs w:val="20"/>
              </w:rPr>
              <w:t xml:space="preserve"> The results offer critical reference values for hormone testing for breeding soundness in tropical dairy production systems. Bulls achieve peak breeding potential at an age of 4, with progressive regression until 5–7 y</w:t>
            </w:r>
            <w:r>
              <w:rPr>
                <w:rFonts w:ascii="Arial" w:hAnsi="Arial" w:cs="Arial"/>
                <w:sz w:val="20"/>
                <w:szCs w:val="20"/>
              </w:rPr>
              <w:t>ea</w:t>
            </w:r>
            <w:r w:rsidRPr="00BA4471">
              <w:rPr>
                <w:rFonts w:ascii="Arial" w:hAnsi="Arial" w:cs="Arial"/>
                <w:sz w:val="20"/>
                <w:szCs w:val="20"/>
              </w:rPr>
              <w:t>r</w:t>
            </w:r>
            <w:r>
              <w:rPr>
                <w:rFonts w:ascii="Arial" w:hAnsi="Arial" w:cs="Arial"/>
                <w:sz w:val="20"/>
                <w:szCs w:val="20"/>
              </w:rPr>
              <w:t>s</w:t>
            </w:r>
            <w:r w:rsidRPr="00BA4471">
              <w:rPr>
                <w:rFonts w:ascii="Arial" w:hAnsi="Arial" w:cs="Arial"/>
                <w:sz w:val="20"/>
                <w:szCs w:val="20"/>
              </w:rPr>
              <w:t>, with implications for evidence-based bull decision making as well as extended utilization strategies.</w:t>
            </w:r>
          </w:p>
          <w:p w14:paraId="4212EDD3" w14:textId="3D8C2FAC" w:rsidR="0019402F" w:rsidRPr="00BA1B01" w:rsidRDefault="0019402F" w:rsidP="0019402F">
            <w:pPr>
              <w:pStyle w:val="Body"/>
              <w:spacing w:after="0"/>
              <w:rPr>
                <w:rFonts w:ascii="Arial" w:eastAsia="Calibri" w:hAnsi="Arial" w:cs="Arial"/>
                <w:szCs w:val="22"/>
              </w:rPr>
            </w:pPr>
          </w:p>
        </w:tc>
      </w:tr>
    </w:tbl>
    <w:p w14:paraId="3E4D6134" w14:textId="77777777" w:rsidR="0019402F" w:rsidRDefault="0019402F" w:rsidP="00BA4471">
      <w:pPr>
        <w:spacing w:after="0" w:line="240" w:lineRule="auto"/>
        <w:jc w:val="both"/>
        <w:rPr>
          <w:rFonts w:ascii="Arial" w:hAnsi="Arial" w:cs="Arial"/>
          <w:sz w:val="20"/>
          <w:szCs w:val="20"/>
        </w:rPr>
      </w:pPr>
    </w:p>
    <w:p w14:paraId="142A0568" w14:textId="41125769" w:rsidR="0019402F" w:rsidRPr="0019402F" w:rsidRDefault="0019402F" w:rsidP="00BA4471">
      <w:pPr>
        <w:spacing w:after="0" w:line="240" w:lineRule="auto"/>
        <w:jc w:val="both"/>
        <w:rPr>
          <w:rFonts w:ascii="Arial" w:hAnsi="Arial" w:cs="Arial"/>
          <w:i/>
          <w:iCs/>
          <w:sz w:val="20"/>
          <w:szCs w:val="20"/>
        </w:rPr>
      </w:pPr>
      <w:r w:rsidRPr="0019402F">
        <w:rPr>
          <w:rFonts w:ascii="Arial" w:hAnsi="Arial" w:cs="Arial"/>
          <w:b/>
          <w:bCs/>
          <w:i/>
          <w:iCs/>
          <w:sz w:val="20"/>
          <w:szCs w:val="20"/>
        </w:rPr>
        <w:t>Keywords:</w:t>
      </w:r>
      <w:r w:rsidRPr="0019402F">
        <w:rPr>
          <w:rFonts w:ascii="Arial" w:hAnsi="Arial" w:cs="Arial"/>
          <w:i/>
          <w:iCs/>
          <w:sz w:val="20"/>
          <w:szCs w:val="20"/>
        </w:rPr>
        <w:t xml:space="preserve"> Dairy bulls, testosterone, oestradiol, breeding soundness, reproductive hormones, age groups, tropical dairy systems, bull fertility</w:t>
      </w:r>
    </w:p>
    <w:p w14:paraId="4292546C" w14:textId="77777777" w:rsidR="00F0039E" w:rsidRPr="00BA4471" w:rsidRDefault="00F0039E" w:rsidP="00BA4471">
      <w:pPr>
        <w:spacing w:after="0" w:line="240" w:lineRule="auto"/>
        <w:jc w:val="both"/>
        <w:rPr>
          <w:rFonts w:ascii="Arial" w:hAnsi="Arial" w:cs="Arial"/>
          <w:sz w:val="20"/>
          <w:szCs w:val="20"/>
        </w:rPr>
      </w:pPr>
    </w:p>
    <w:p w14:paraId="4FF4D19A" w14:textId="77777777" w:rsidR="001A304E" w:rsidRPr="005F1ABB" w:rsidRDefault="001A304E" w:rsidP="0019402F">
      <w:pPr>
        <w:pStyle w:val="Heading1"/>
      </w:pPr>
      <w:r w:rsidRPr="005F1ABB">
        <w:t>1. INTRODUCTION</w:t>
      </w:r>
    </w:p>
    <w:p w14:paraId="3F52F50E" w14:textId="7CD289B8"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Determination of soundness for breeding in dairy bulls is an integral part within successful reproduction management plans, with implications for conception rates, calving interval, as well as herd productivity within international dairy farms (Barth &amp; Oko, 2019; Santos et al., 2021). Conventional breeding soundness evaluations emphasize physical aspects such as scrotal size, testicular consistency, sperm motility, as well as morphology, with hormonal analysis underutilized despite its ability to yield information on reproductive axis function and breeding ability prognosis (Kastelic, 2019; Rodriguez-Martinez, 2018).</w:t>
      </w:r>
    </w:p>
    <w:p w14:paraId="649DD162" w14:textId="77777777" w:rsidR="00BD7B59" w:rsidRPr="00BA4471" w:rsidRDefault="00BD7B59" w:rsidP="00BA4471">
      <w:pPr>
        <w:spacing w:after="0" w:line="240" w:lineRule="auto"/>
        <w:jc w:val="both"/>
        <w:rPr>
          <w:rFonts w:ascii="Arial" w:hAnsi="Arial" w:cs="Arial"/>
          <w:sz w:val="20"/>
          <w:szCs w:val="20"/>
        </w:rPr>
      </w:pPr>
    </w:p>
    <w:p w14:paraId="6C8FFD37" w14:textId="2E127C02"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Endocrine control of male reproduction involves intricate interactions between hypothalamic gonadotropin-releasing hormone (GnRH), pituitary luteinizing hormone (LH) and follicle-stimulating hormone (FSH) and testicular steroid hormones such as testosterone and oestradiol (Brito et al., 2020; Chenoweth, 2020). </w:t>
      </w:r>
      <w:r w:rsidRPr="00BA4471">
        <w:rPr>
          <w:rFonts w:ascii="Arial" w:hAnsi="Arial" w:cs="Arial"/>
          <w:sz w:val="20"/>
          <w:szCs w:val="20"/>
        </w:rPr>
        <w:lastRenderedPageBreak/>
        <w:t xml:space="preserve">Testosterone is the major male reproduction hormone, controlling spermatogenesis, secondary sexual characteristics, libido, as well as breeding </w:t>
      </w:r>
      <w:r w:rsidR="0085766A">
        <w:rPr>
          <w:rFonts w:ascii="Arial" w:hAnsi="Arial" w:cs="Arial"/>
          <w:sz w:val="20"/>
          <w:szCs w:val="20"/>
        </w:rPr>
        <w:t>behaviour</w:t>
      </w:r>
      <w:r w:rsidRPr="00BA4471">
        <w:rPr>
          <w:rFonts w:ascii="Arial" w:hAnsi="Arial" w:cs="Arial"/>
          <w:sz w:val="20"/>
          <w:szCs w:val="20"/>
        </w:rPr>
        <w:t>, while oestradiol, synthesized from testosterone aromatization, has crucial roles in bone metabolism, growth plate closure, as well as in feedback on gonadotropin secretion (Rodriguez-Martinez, 2018; Palmer et al., 2020).</w:t>
      </w:r>
    </w:p>
    <w:p w14:paraId="6AF20CBB" w14:textId="77777777" w:rsidR="001A304E" w:rsidRPr="00BA4471" w:rsidRDefault="001A304E" w:rsidP="00BA4471">
      <w:pPr>
        <w:spacing w:after="0" w:line="240" w:lineRule="auto"/>
        <w:jc w:val="both"/>
        <w:rPr>
          <w:rFonts w:ascii="Arial" w:hAnsi="Arial" w:cs="Arial"/>
          <w:sz w:val="20"/>
          <w:szCs w:val="20"/>
        </w:rPr>
      </w:pPr>
    </w:p>
    <w:p w14:paraId="62DF558C"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Reproductive hormone levels have been found to change with age in different mammalian species, with prepubertal rises, plateau stages at adulthood, and senescent declines (Walters et al., 2019; Fraser et al., 2021). In bovine bulls, endocrine shifts are matched with shifts in functional capacity, such that hormone profiling could prove useful for maximizing decisions on mating management as well as in selecting animals with impaired reproductive potential (Santos et al., 2021; Prakash et al., 2021). Earlier research by </w:t>
      </w:r>
      <w:proofErr w:type="spellStart"/>
      <w:r w:rsidRPr="00BA4471">
        <w:rPr>
          <w:rFonts w:ascii="Arial" w:hAnsi="Arial" w:cs="Arial"/>
          <w:sz w:val="20"/>
          <w:szCs w:val="20"/>
        </w:rPr>
        <w:t>Lunstra</w:t>
      </w:r>
      <w:proofErr w:type="spellEnd"/>
      <w:r w:rsidRPr="00BA4471">
        <w:rPr>
          <w:rFonts w:ascii="Arial" w:hAnsi="Arial" w:cs="Arial"/>
          <w:sz w:val="20"/>
          <w:szCs w:val="20"/>
        </w:rPr>
        <w:t xml:space="preserve"> et al. (2018) as well as Moura &amp; Erickson (2021) has found hormone levels to be significantly correlated with testis development as well as sperm production potential in young bulls.</w:t>
      </w:r>
    </w:p>
    <w:p w14:paraId="2CE1C031" w14:textId="77777777" w:rsidR="001A304E" w:rsidRPr="00BA4471" w:rsidRDefault="001A304E" w:rsidP="00BA4471">
      <w:pPr>
        <w:spacing w:after="0" w:line="240" w:lineRule="auto"/>
        <w:jc w:val="both"/>
        <w:rPr>
          <w:rFonts w:ascii="Arial" w:hAnsi="Arial" w:cs="Arial"/>
          <w:sz w:val="20"/>
          <w:szCs w:val="20"/>
        </w:rPr>
      </w:pPr>
    </w:p>
    <w:p w14:paraId="6B96D397"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There can be no overestimating the economic significance of accurate breeding soundness testing in dairy herds, where subfertility bulls have been shown to lower conception rates between 20–40% as well as lengthen calving intervals between 30–60 days (Chenoweth, 2020; Walsh et al., 2019). In tropical dairy production systems, other stressors such as heat stress, nutritional deficiencies, and pressure from diseases can add to bull infertility, rendering precise estimation of sexual potential all the more critical in sustaining herd productivity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Scaramuzzi, 2003; </w:t>
      </w:r>
      <w:proofErr w:type="spellStart"/>
      <w:r w:rsidRPr="00BA4471">
        <w:rPr>
          <w:rFonts w:ascii="Arial" w:hAnsi="Arial" w:cs="Arial"/>
          <w:sz w:val="20"/>
          <w:szCs w:val="20"/>
        </w:rPr>
        <w:t>Wolfenson</w:t>
      </w:r>
      <w:proofErr w:type="spellEnd"/>
      <w:r w:rsidRPr="00BA4471">
        <w:rPr>
          <w:rFonts w:ascii="Arial" w:hAnsi="Arial" w:cs="Arial"/>
          <w:sz w:val="20"/>
          <w:szCs w:val="20"/>
        </w:rPr>
        <w:t xml:space="preserve"> et al., 2018).</w:t>
      </w:r>
    </w:p>
    <w:p w14:paraId="1440461D" w14:textId="77777777" w:rsidR="001A304E" w:rsidRPr="00BA4471" w:rsidRDefault="001A304E" w:rsidP="00BA4471">
      <w:pPr>
        <w:spacing w:after="0" w:line="240" w:lineRule="auto"/>
        <w:jc w:val="both"/>
        <w:rPr>
          <w:rFonts w:ascii="Arial" w:hAnsi="Arial" w:cs="Arial"/>
          <w:sz w:val="20"/>
          <w:szCs w:val="20"/>
        </w:rPr>
      </w:pPr>
    </w:p>
    <w:p w14:paraId="00CE7C90"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Current protocols for breeding soundness examination, despite being thorough in identification of physical characteristics, are extremely subjective in nature and unable to detect subtle shortfalls in reproduction potential, which can affect reproduction performance (Barth &amp; Oko, 2019; Kastelic, 2019). Saacke et al. (2019) and </w:t>
      </w:r>
      <w:proofErr w:type="spellStart"/>
      <w:r w:rsidRPr="00BA4471">
        <w:rPr>
          <w:rFonts w:ascii="Arial" w:hAnsi="Arial" w:cs="Arial"/>
          <w:sz w:val="20"/>
          <w:szCs w:val="20"/>
        </w:rPr>
        <w:t>Thundathil</w:t>
      </w:r>
      <w:proofErr w:type="spellEnd"/>
      <w:r w:rsidRPr="00BA4471">
        <w:rPr>
          <w:rFonts w:ascii="Arial" w:hAnsi="Arial" w:cs="Arial"/>
          <w:sz w:val="20"/>
          <w:szCs w:val="20"/>
        </w:rPr>
        <w:t xml:space="preserve"> et al. (2019) have shown in studies that bulls who have been cleared under routine physical examination can still exhibit poor reproduction performance through hormonal imbalances or endocrine diseases undiagnosed under routine methods.</w:t>
      </w:r>
    </w:p>
    <w:p w14:paraId="0C8D525E" w14:textId="77777777" w:rsidR="001A304E" w:rsidRPr="00BA4471" w:rsidRDefault="001A304E" w:rsidP="00BA4471">
      <w:pPr>
        <w:spacing w:after="0" w:line="240" w:lineRule="auto"/>
        <w:jc w:val="both"/>
        <w:rPr>
          <w:rFonts w:ascii="Arial" w:hAnsi="Arial" w:cs="Arial"/>
          <w:sz w:val="20"/>
          <w:szCs w:val="20"/>
        </w:rPr>
      </w:pPr>
    </w:p>
    <w:p w14:paraId="249DA084"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The integration of objective hormonal assessment could enhance the predictive value of breeding soundness evaluations, particularly for identifying bulls with marginal reproductive capacity that might pass traditional physical examinations but demonstrate suboptimal breeding performance (Palmer et al., 2020; Prakash et al., 2021). Commercial enzyme immunoassay (EIA) technology has evolved to provide cost-effective, reliable hormone quantification suitable for routine veterinary applications, making hormonal assessment increasingly accessible for field implementation (Walsh et al., 2019; Santos et al., 2021).</w:t>
      </w:r>
    </w:p>
    <w:p w14:paraId="4E23A80E" w14:textId="77777777" w:rsidR="001A304E" w:rsidRPr="00BA4471" w:rsidRDefault="001A304E" w:rsidP="00BA4471">
      <w:pPr>
        <w:spacing w:after="0" w:line="240" w:lineRule="auto"/>
        <w:jc w:val="both"/>
        <w:rPr>
          <w:rFonts w:ascii="Arial" w:hAnsi="Arial" w:cs="Arial"/>
          <w:sz w:val="20"/>
          <w:szCs w:val="20"/>
        </w:rPr>
      </w:pPr>
    </w:p>
    <w:p w14:paraId="48F2F6D7"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Earlier research on reproductive hormone profiles in bulls has been limited due to small sample sizes, limited age ranges, or genetic line focus, with broad areas of normal hormonal variation between different age groups and production systems still not well recognized (Rodriguez-Martinez, 2018; Brito et al., 2020). Evans et al. (2020) and Rawlings et al. (2020) have presented useful information on pubertal change in hormones, but full characterization over longer age ranges has yet to be known. Additionally, tropical production systems pose specific risks such as crossbreeding schemes, fluctuating nutritional status, and environmental stresses, whose impacts on hormones might be different from temperate production systems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Scaramuzzi, 2003; Mahmoud et al., 2019).</w:t>
      </w:r>
    </w:p>
    <w:p w14:paraId="2BF47EDB" w14:textId="77777777" w:rsidR="001A304E" w:rsidRPr="00BA4471" w:rsidRDefault="001A304E" w:rsidP="00BA4471">
      <w:pPr>
        <w:spacing w:after="0" w:line="240" w:lineRule="auto"/>
        <w:jc w:val="both"/>
        <w:rPr>
          <w:rFonts w:ascii="Arial" w:hAnsi="Arial" w:cs="Arial"/>
          <w:sz w:val="20"/>
          <w:szCs w:val="20"/>
        </w:rPr>
      </w:pPr>
    </w:p>
    <w:p w14:paraId="5DB36ED9"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There are genetic effects on levels of reproductive hormones recorded in various breeds of cattle, with Bos indicus breed animals often having different hormonal patterns from Bos taurus breed animals (Fields et al., 2018; Tatman et al., 2021). The crossbreeding schemes prevalent in tropical milking systems add complexity in hormonal measurement, since crossbreeds can express intermediate traits with breed-related reference ranges necessary for proper interpretation (Gottschall et al., 2021; Hafez &amp; Hafez, 2020).</w:t>
      </w:r>
    </w:p>
    <w:p w14:paraId="47B06C20" w14:textId="77777777" w:rsidR="001A304E" w:rsidRPr="00BA4471" w:rsidRDefault="001A304E" w:rsidP="00BA4471">
      <w:pPr>
        <w:spacing w:after="0" w:line="240" w:lineRule="auto"/>
        <w:jc w:val="both"/>
        <w:rPr>
          <w:rFonts w:ascii="Arial" w:hAnsi="Arial" w:cs="Arial"/>
          <w:sz w:val="20"/>
          <w:szCs w:val="20"/>
        </w:rPr>
      </w:pPr>
    </w:p>
    <w:p w14:paraId="5630D3AD"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The establishment of comprehensive age-specific reference ranges for reproductive hormones across extended age groups would provide valuable baseline data for breeding soundness evaluation, research applications, and clinical decision-making in diverse dairy production systems (Prakash et al., 2021; Santos et al., 2021). Such reference values could enhance bull selection programs, improve breeding efficiency, and reduce economic losses associated with </w:t>
      </w:r>
      <w:proofErr w:type="spellStart"/>
      <w:r w:rsidRPr="00BA4471">
        <w:rPr>
          <w:rFonts w:ascii="Arial" w:hAnsi="Arial" w:cs="Arial"/>
          <w:sz w:val="20"/>
          <w:szCs w:val="20"/>
        </w:rPr>
        <w:t>subfertile</w:t>
      </w:r>
      <w:proofErr w:type="spellEnd"/>
      <w:r w:rsidRPr="00BA4471">
        <w:rPr>
          <w:rFonts w:ascii="Arial" w:hAnsi="Arial" w:cs="Arial"/>
          <w:sz w:val="20"/>
          <w:szCs w:val="20"/>
        </w:rPr>
        <w:t xml:space="preserve"> breeding animals while supporting evidence-based approaches to reproductive management (Kastelic, 2019; Palmer et al., 2020).</w:t>
      </w:r>
    </w:p>
    <w:p w14:paraId="2A357BB3" w14:textId="77777777" w:rsidR="001A304E" w:rsidRPr="00BA4471" w:rsidRDefault="001A304E" w:rsidP="00BA4471">
      <w:pPr>
        <w:spacing w:after="0" w:line="240" w:lineRule="auto"/>
        <w:jc w:val="both"/>
        <w:rPr>
          <w:rFonts w:ascii="Arial" w:hAnsi="Arial" w:cs="Arial"/>
          <w:sz w:val="20"/>
          <w:szCs w:val="20"/>
        </w:rPr>
      </w:pPr>
    </w:p>
    <w:p w14:paraId="60D7526C"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lastRenderedPageBreak/>
        <w:t xml:space="preserve">Recent advances in understanding reproductive endocrinology have highlighted the importance of </w:t>
      </w:r>
      <w:proofErr w:type="spellStart"/>
      <w:r w:rsidRPr="00BA4471">
        <w:rPr>
          <w:rFonts w:ascii="Arial" w:hAnsi="Arial" w:cs="Arial"/>
          <w:sz w:val="20"/>
          <w:szCs w:val="20"/>
        </w:rPr>
        <w:t>testosterone:oestradiol</w:t>
      </w:r>
      <w:proofErr w:type="spellEnd"/>
      <w:r w:rsidRPr="00BA4471">
        <w:rPr>
          <w:rFonts w:ascii="Arial" w:hAnsi="Arial" w:cs="Arial"/>
          <w:sz w:val="20"/>
          <w:szCs w:val="20"/>
        </w:rPr>
        <w:t xml:space="preserve"> ratios as indicators of balanced reproductive function, with optimal ratios associated with superior breeding performance (Rodriguez-Martinez, 2018; Chenoweth, 2020). The integration of ratio-based assessments with traditional hormone measurements could provide enhanced precision in breeding soundness evaluation, particularly for identifying bulls with subtle endocrine imbalances affecting reproductive capacity (Walsh et al., 2019; Fraser et al., 2021).</w:t>
      </w:r>
    </w:p>
    <w:p w14:paraId="3F81F59E" w14:textId="77777777" w:rsidR="001A304E" w:rsidRPr="00BA4471" w:rsidRDefault="001A304E" w:rsidP="00BA4471">
      <w:pPr>
        <w:spacing w:after="0" w:line="240" w:lineRule="auto"/>
        <w:jc w:val="both"/>
        <w:rPr>
          <w:rFonts w:ascii="Arial" w:hAnsi="Arial" w:cs="Arial"/>
          <w:sz w:val="20"/>
          <w:szCs w:val="20"/>
        </w:rPr>
      </w:pPr>
    </w:p>
    <w:p w14:paraId="77B875F4" w14:textId="4A12D08F"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This study aimed to characterize age-related changes in testosterone and oestradiol concentrations in dairy bulls across nine age groups (6 months to ≥8 years) under tropical management conditions of Ghana, establishing detailed reference values for different age groups and genetic backgrounds, and evaluating relationships between hormonal profiles and traditional breeding soundness parameters. The research provides essential baseline data for incorporating hormonal assessment into breeding soundness evaluation protocols and supports evidence-based approaches to bull management in tropical dairy systems, with particular emphasis on optimizing breeding efficiency and extending productive utilization of breeding bulls.</w:t>
      </w:r>
    </w:p>
    <w:p w14:paraId="7A91FD62" w14:textId="77777777" w:rsidR="001A304E" w:rsidRPr="00BA4471" w:rsidRDefault="001A304E" w:rsidP="00BA4471">
      <w:pPr>
        <w:spacing w:after="0" w:line="240" w:lineRule="auto"/>
        <w:jc w:val="both"/>
        <w:rPr>
          <w:rFonts w:ascii="Arial" w:hAnsi="Arial" w:cs="Arial"/>
          <w:sz w:val="20"/>
          <w:szCs w:val="20"/>
        </w:rPr>
      </w:pPr>
    </w:p>
    <w:p w14:paraId="58907E00" w14:textId="411C269A"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The scope of this investigation, enhanced age group resolution, provides unprecedented detail in understanding reproductive hormone dynamics across productive lifespan of dairy bulls in tropical environments. The findings contribute valuable knowledge for developing more sophisticated breeding soundness evaluation protocols that integrate hormonal assessment with traditional physical parameters, ultimately supporting improved reproductive management and economic sustainability in tropical dairy production systems worldwide.</w:t>
      </w:r>
    </w:p>
    <w:p w14:paraId="12EF9D50" w14:textId="77777777" w:rsidR="00BD7B59" w:rsidRPr="00BA4471" w:rsidRDefault="00BD7B59" w:rsidP="00BA4471">
      <w:pPr>
        <w:spacing w:after="0" w:line="240" w:lineRule="auto"/>
        <w:jc w:val="both"/>
        <w:rPr>
          <w:rFonts w:ascii="Arial" w:hAnsi="Arial" w:cs="Arial"/>
          <w:sz w:val="20"/>
          <w:szCs w:val="20"/>
        </w:rPr>
      </w:pPr>
    </w:p>
    <w:p w14:paraId="74845C9A" w14:textId="77777777" w:rsidR="00BD7B59" w:rsidRPr="00BA4471" w:rsidRDefault="00BD7B59" w:rsidP="0019402F">
      <w:pPr>
        <w:pStyle w:val="Heading1"/>
      </w:pPr>
      <w:r w:rsidRPr="00BA4471">
        <w:t xml:space="preserve">2. </w:t>
      </w:r>
      <w:r w:rsidRPr="005F1ABB">
        <w:t>MATERIALS AND METHODS</w:t>
      </w:r>
    </w:p>
    <w:p w14:paraId="14E1780F" w14:textId="23EDE9CF" w:rsidR="00BD7B59" w:rsidRPr="00BA4471" w:rsidRDefault="00BD7B59" w:rsidP="00BA4471">
      <w:pPr>
        <w:pStyle w:val="Heading2"/>
        <w:spacing w:line="240" w:lineRule="auto"/>
        <w:rPr>
          <w:rFonts w:cs="Arial"/>
        </w:rPr>
      </w:pPr>
      <w:r w:rsidRPr="00BA4471">
        <w:rPr>
          <w:rFonts w:cs="Arial"/>
        </w:rPr>
        <w:t xml:space="preserve">2.1. Study Design and Ethical </w:t>
      </w:r>
      <w:r w:rsidR="00BA702E">
        <w:rPr>
          <w:rFonts w:cs="Arial"/>
        </w:rPr>
        <w:t>Issues</w:t>
      </w:r>
    </w:p>
    <w:p w14:paraId="28C79185" w14:textId="6C1B94AF" w:rsidR="00BD7B59" w:rsidRPr="00BA4471" w:rsidRDefault="00BD7B59" w:rsidP="00BA4471">
      <w:pPr>
        <w:spacing w:after="0" w:line="240" w:lineRule="auto"/>
        <w:jc w:val="both"/>
        <w:rPr>
          <w:rFonts w:ascii="Arial" w:hAnsi="Arial" w:cs="Arial"/>
          <w:sz w:val="20"/>
          <w:szCs w:val="20"/>
        </w:rPr>
      </w:pPr>
      <w:r w:rsidRPr="00DD1677">
        <w:rPr>
          <w:rFonts w:ascii="Arial" w:hAnsi="Arial" w:cs="Arial"/>
          <w:sz w:val="20"/>
          <w:szCs w:val="20"/>
        </w:rPr>
        <w:t xml:space="preserve">The present </w:t>
      </w:r>
      <w:r w:rsidR="0076561C" w:rsidRPr="00DD1677">
        <w:rPr>
          <w:rFonts w:ascii="Arial" w:hAnsi="Arial" w:cs="Arial"/>
          <w:sz w:val="20"/>
          <w:szCs w:val="20"/>
        </w:rPr>
        <w:t>longitudinal</w:t>
      </w:r>
      <w:r w:rsidRPr="00DD1677">
        <w:rPr>
          <w:rFonts w:ascii="Arial" w:hAnsi="Arial" w:cs="Arial"/>
          <w:sz w:val="20"/>
          <w:szCs w:val="20"/>
        </w:rPr>
        <w:t xml:space="preserve"> observational </w:t>
      </w:r>
      <w:r w:rsidR="0076561C" w:rsidRPr="00DD1677">
        <w:rPr>
          <w:rFonts w:ascii="Arial" w:hAnsi="Arial" w:cs="Arial"/>
          <w:sz w:val="20"/>
          <w:szCs w:val="20"/>
        </w:rPr>
        <w:t>study</w:t>
      </w:r>
      <w:r w:rsidRPr="00DD1677">
        <w:rPr>
          <w:rFonts w:ascii="Arial" w:hAnsi="Arial" w:cs="Arial"/>
          <w:sz w:val="20"/>
          <w:szCs w:val="20"/>
        </w:rPr>
        <w:t xml:space="preserve"> was undertaken with an </w:t>
      </w:r>
      <w:r w:rsidRPr="00BA4471">
        <w:rPr>
          <w:rFonts w:ascii="Arial" w:hAnsi="Arial" w:cs="Arial"/>
          <w:sz w:val="20"/>
          <w:szCs w:val="20"/>
        </w:rPr>
        <w:t>objective to define age-related alterations in levels of reproduction hormones in nine age groups of tropical-managed dairy bulls</w:t>
      </w:r>
      <w:r w:rsidR="00A17A33" w:rsidRPr="00BA4471">
        <w:rPr>
          <w:rFonts w:ascii="Arial" w:hAnsi="Arial" w:cs="Arial"/>
          <w:sz w:val="20"/>
          <w:szCs w:val="20"/>
        </w:rPr>
        <w:t xml:space="preserve"> in Ghana</w:t>
      </w:r>
      <w:r w:rsidRPr="00BA4471">
        <w:rPr>
          <w:rFonts w:ascii="Arial" w:hAnsi="Arial" w:cs="Arial"/>
          <w:sz w:val="20"/>
          <w:szCs w:val="20"/>
        </w:rPr>
        <w:t>. Consent was taken from all farm owners, and all procedures in handling animals were strictly in accordance with international norms on farm animal welfare (Fraser et al., 2021).</w:t>
      </w:r>
    </w:p>
    <w:p w14:paraId="0B266C64" w14:textId="77777777" w:rsidR="00BD7B59" w:rsidRPr="00BA4471" w:rsidRDefault="00BD7B59" w:rsidP="00BA4471">
      <w:pPr>
        <w:spacing w:after="0" w:line="240" w:lineRule="auto"/>
        <w:jc w:val="both"/>
        <w:rPr>
          <w:rFonts w:ascii="Arial" w:hAnsi="Arial" w:cs="Arial"/>
          <w:sz w:val="20"/>
          <w:szCs w:val="20"/>
        </w:rPr>
      </w:pPr>
    </w:p>
    <w:p w14:paraId="5C190055" w14:textId="77777777" w:rsidR="00BD7B59" w:rsidRPr="00BA4471" w:rsidRDefault="00BD7B59" w:rsidP="00BA4471">
      <w:pPr>
        <w:pStyle w:val="Heading2"/>
        <w:spacing w:line="240" w:lineRule="auto"/>
        <w:rPr>
          <w:rFonts w:cs="Arial"/>
        </w:rPr>
      </w:pPr>
      <w:r w:rsidRPr="00BA4471">
        <w:rPr>
          <w:rFonts w:cs="Arial"/>
        </w:rPr>
        <w:t>2.2 Study Site and Climate Conditions</w:t>
      </w:r>
    </w:p>
    <w:p w14:paraId="462EAC13" w14:textId="3FC8B21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The research was undertaken on several dairy farms within the Ashanti, Eastern, and Greater Accra Regions of Ghana (5°33'-7°20'N, 2°20'W-1°12'E) from January 2022 through December 2023. </w:t>
      </w:r>
      <w:r w:rsidR="00C309F0">
        <w:rPr>
          <w:rFonts w:ascii="Arial" w:hAnsi="Arial" w:cs="Arial"/>
          <w:sz w:val="20"/>
          <w:szCs w:val="20"/>
        </w:rPr>
        <w:t xml:space="preserve">The study arears covered </w:t>
      </w:r>
      <w:r w:rsidRPr="00BA4471">
        <w:rPr>
          <w:rFonts w:ascii="Arial" w:hAnsi="Arial" w:cs="Arial"/>
          <w:sz w:val="20"/>
          <w:szCs w:val="20"/>
        </w:rPr>
        <w:t>transitional forest, deciduous forest, as well as coastal savanna agroecological zones</w:t>
      </w:r>
      <w:r w:rsidR="00C309F0">
        <w:rPr>
          <w:rFonts w:ascii="Arial" w:hAnsi="Arial" w:cs="Arial"/>
          <w:sz w:val="20"/>
          <w:szCs w:val="20"/>
        </w:rPr>
        <w:t xml:space="preserve"> of </w:t>
      </w:r>
      <w:proofErr w:type="spellStart"/>
      <w:r w:rsidR="00C309F0">
        <w:rPr>
          <w:rFonts w:ascii="Arial" w:hAnsi="Arial" w:cs="Arial"/>
          <w:sz w:val="20"/>
          <w:szCs w:val="20"/>
        </w:rPr>
        <w:t>ghana</w:t>
      </w:r>
      <w:proofErr w:type="spellEnd"/>
      <w:r w:rsidR="00C309F0">
        <w:rPr>
          <w:rFonts w:ascii="Arial" w:hAnsi="Arial" w:cs="Arial"/>
          <w:sz w:val="20"/>
          <w:szCs w:val="20"/>
        </w:rPr>
        <w:t xml:space="preserve"> (Coffie, 2020).</w:t>
      </w:r>
      <w:r w:rsidRPr="00BA4471">
        <w:rPr>
          <w:rFonts w:ascii="Arial" w:hAnsi="Arial" w:cs="Arial"/>
          <w:sz w:val="20"/>
          <w:szCs w:val="20"/>
        </w:rPr>
        <w:t xml:space="preserve"> the study areas present a range of environmental conditions characteristic of West African dairy production systems (Ghana Meteorological Agency, 2020). Climate information was sourced from the Ghana Meteorological Agency, with mean temperatures between 26-29°C, relative humidity from 65-85%, and between 730-1,400 mm average annual rainfall as presented in bimodal distribution patterns characteristic of tropical dairy environments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Scaramuzzi, 2003).</w:t>
      </w:r>
    </w:p>
    <w:p w14:paraId="078C1DA9" w14:textId="77777777" w:rsidR="00BD7B59" w:rsidRPr="00BA4471" w:rsidRDefault="00BD7B59" w:rsidP="00BA4471">
      <w:pPr>
        <w:spacing w:after="0" w:line="240" w:lineRule="auto"/>
        <w:jc w:val="both"/>
        <w:rPr>
          <w:rFonts w:ascii="Arial" w:hAnsi="Arial" w:cs="Arial"/>
          <w:sz w:val="20"/>
          <w:szCs w:val="20"/>
        </w:rPr>
      </w:pPr>
    </w:p>
    <w:p w14:paraId="255A9E2F" w14:textId="77777777" w:rsidR="00BD7B59" w:rsidRPr="00BA4471" w:rsidRDefault="00BD7B59" w:rsidP="00BA4471">
      <w:pPr>
        <w:pStyle w:val="Heading2"/>
        <w:spacing w:line="240" w:lineRule="auto"/>
        <w:rPr>
          <w:rFonts w:cs="Arial"/>
        </w:rPr>
      </w:pPr>
      <w:r w:rsidRPr="00BA4471">
        <w:rPr>
          <w:rFonts w:cs="Arial"/>
        </w:rPr>
        <w:t>2.3 Animal Selection and Population Characteristics</w:t>
      </w:r>
    </w:p>
    <w:p w14:paraId="207336FC"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Ninety commercial dairy bulls were chosen from 45 farms employing stratified randomness in order to achieve representative distribution between age stratums as well as genetic backgrounds (Kastelic, 2019). Bulls were divided into nine age groups with an equal number in each group: 6 months (n=10), 1 year (n=10), 2 years (n=10), 3 years (n=10), 4 years (n=10), 5 years (n=10), 6 years (n=10), 7 years (n=10), and ≥8 years (n=10). Increased age group selection allowed greater statistical power than other studies had, as well as in-depth characterization of hormonal alterations through the total productive lifespan of dairy bulls (Brito et al., 2020; Santos et al., 2021).</w:t>
      </w:r>
    </w:p>
    <w:p w14:paraId="7F112714" w14:textId="77777777" w:rsidR="00BD7B59" w:rsidRPr="00BA4471" w:rsidRDefault="00BD7B59" w:rsidP="00BA4471">
      <w:pPr>
        <w:spacing w:after="0" w:line="240" w:lineRule="auto"/>
        <w:jc w:val="both"/>
        <w:rPr>
          <w:rFonts w:ascii="Arial" w:hAnsi="Arial" w:cs="Arial"/>
          <w:sz w:val="20"/>
          <w:szCs w:val="20"/>
        </w:rPr>
      </w:pPr>
    </w:p>
    <w:p w14:paraId="501519AF"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Determination of age relied on farm records, examination, and body size measurement using agreed veterinary protocols as outlined by Barth &amp; Oko (2019). Dental aging methods outlined by Chenoweth (2020) were utilized in bulls whose age information was not clear in order to accurately group them.</w:t>
      </w:r>
    </w:p>
    <w:p w14:paraId="54872C4F" w14:textId="77777777" w:rsidR="00BD7B59" w:rsidRPr="00BA4471" w:rsidRDefault="00BD7B59" w:rsidP="00BA4471">
      <w:pPr>
        <w:spacing w:after="0" w:line="240" w:lineRule="auto"/>
        <w:jc w:val="both"/>
        <w:rPr>
          <w:rFonts w:ascii="Arial" w:hAnsi="Arial" w:cs="Arial"/>
          <w:sz w:val="20"/>
          <w:szCs w:val="20"/>
        </w:rPr>
      </w:pPr>
    </w:p>
    <w:p w14:paraId="60BBB574"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The population under study comprised Friesian-Sanga crossbreeds (58%, n=52), Sanga bulls (27%, n=24), and Jersey bulls (15%, n=14) in a genetic representation characteristic of Ghanaian dairy farms and </w:t>
      </w:r>
      <w:r w:rsidRPr="00BA4471">
        <w:rPr>
          <w:rFonts w:ascii="Arial" w:hAnsi="Arial" w:cs="Arial"/>
          <w:sz w:val="20"/>
          <w:szCs w:val="20"/>
        </w:rPr>
        <w:lastRenderedPageBreak/>
        <w:t>facilitating breed-stratified analysis of hormonal trends (Palmer et al., 2020). The distribution within these genetic groups was kept consistent in proportion across age groups in order to reduce confounding from breed-by-age interactions (Rodriguez-Martinez, 2018).</w:t>
      </w:r>
    </w:p>
    <w:p w14:paraId="1C2D0C6B" w14:textId="77777777" w:rsidR="00BD7B59" w:rsidRPr="00BA4471" w:rsidRDefault="00BD7B59" w:rsidP="00BA4471">
      <w:pPr>
        <w:spacing w:after="0" w:line="240" w:lineRule="auto"/>
        <w:jc w:val="both"/>
        <w:rPr>
          <w:rFonts w:ascii="Arial" w:hAnsi="Arial" w:cs="Arial"/>
          <w:sz w:val="20"/>
          <w:szCs w:val="20"/>
        </w:rPr>
      </w:pPr>
    </w:p>
    <w:p w14:paraId="07422038" w14:textId="77777777" w:rsidR="00BD7B59" w:rsidRPr="00BA4471" w:rsidRDefault="00BD7B59" w:rsidP="00BA4471">
      <w:pPr>
        <w:pStyle w:val="Heading2"/>
        <w:spacing w:line="240" w:lineRule="auto"/>
        <w:rPr>
          <w:rFonts w:cs="Arial"/>
        </w:rPr>
      </w:pPr>
      <w:r w:rsidRPr="00BA4471">
        <w:rPr>
          <w:rFonts w:cs="Arial"/>
        </w:rPr>
        <w:t>2.4 Inclusion and Exclusion Criteria</w:t>
      </w:r>
    </w:p>
    <w:p w14:paraId="0EDAB26E"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Bulls were selected on the following criteria:</w:t>
      </w:r>
    </w:p>
    <w:p w14:paraId="76FBCE45"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(1) Lack of evident physical defects or clinical illness as determined by veterinary examination</w:t>
      </w:r>
    </w:p>
    <w:p w14:paraId="352522A1"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(2) Body condition score between 2.5–4.0 on a 5-point scale (Walsh et al., 2019)</w:t>
      </w:r>
    </w:p>
    <w:p w14:paraId="6CAE542D"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(3) Normal testicle development for age as determined on the basis of known standards (Kastelic, 2019)</w:t>
      </w:r>
    </w:p>
    <w:p w14:paraId="76E02C71"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(4) Provision of accurate age record checked from multiple sources</w:t>
      </w:r>
    </w:p>
    <w:p w14:paraId="1115F30C"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(5) Farm owner agreement with signed informed consent</w:t>
      </w:r>
    </w:p>
    <w:p w14:paraId="1219E0EA" w14:textId="77777777" w:rsidR="00BD7B59" w:rsidRPr="00BA4471" w:rsidRDefault="00BD7B59" w:rsidP="00BA4471">
      <w:pPr>
        <w:spacing w:after="0" w:line="240" w:lineRule="auto"/>
        <w:jc w:val="both"/>
        <w:rPr>
          <w:rFonts w:ascii="Arial" w:hAnsi="Arial" w:cs="Arial"/>
          <w:sz w:val="20"/>
          <w:szCs w:val="20"/>
        </w:rPr>
      </w:pPr>
    </w:p>
    <w:p w14:paraId="05D6246A"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Exclusion criteria were:</w:t>
      </w:r>
    </w:p>
    <w:p w14:paraId="033F9ADA"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(1) Fever, trauma, or acute illness within 30 days</w:t>
      </w:r>
    </w:p>
    <w:p w14:paraId="3A245458"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(2) History of testicular or reproductive disorders</w:t>
      </w:r>
    </w:p>
    <w:p w14:paraId="1EC481D3"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(3) Previous hormone or corticosteroid treatment within 60 days</w:t>
      </w:r>
    </w:p>
    <w:p w14:paraId="73B53B90"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(4) Body condition score ≤2.5 or ≥4.0</w:t>
      </w:r>
    </w:p>
    <w:p w14:paraId="0ABB0132"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(5) Incomplete age information hindering group assignment (Prakash et al., 2021)</w:t>
      </w:r>
    </w:p>
    <w:p w14:paraId="432994A2" w14:textId="77777777" w:rsidR="00BD7B59" w:rsidRPr="00BA4471" w:rsidRDefault="00BD7B59" w:rsidP="00BA4471">
      <w:pPr>
        <w:spacing w:after="0" w:line="240" w:lineRule="auto"/>
        <w:jc w:val="both"/>
        <w:rPr>
          <w:rFonts w:ascii="Arial" w:hAnsi="Arial" w:cs="Arial"/>
          <w:sz w:val="20"/>
          <w:szCs w:val="20"/>
        </w:rPr>
      </w:pPr>
    </w:p>
    <w:p w14:paraId="2D37F0E8" w14:textId="77777777" w:rsidR="00BD7B59" w:rsidRPr="00BA4471" w:rsidRDefault="00BD7B59" w:rsidP="00BA4471">
      <w:pPr>
        <w:pStyle w:val="Heading2"/>
        <w:spacing w:line="240" w:lineRule="auto"/>
        <w:rPr>
          <w:rFonts w:cs="Arial"/>
        </w:rPr>
      </w:pPr>
      <w:r w:rsidRPr="00BA4471">
        <w:rPr>
          <w:rFonts w:cs="Arial"/>
        </w:rPr>
        <w:t>2.5 Management Systems &amp; Feeding</w:t>
      </w:r>
    </w:p>
    <w:p w14:paraId="5621B6E4"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All bulls were kept under tropical-style semi-intensive management systems, with daytime pasture on natural pasture or improved pastures and nighttime housing in covered barns or paddocks (Santos et al., 2021). Complimentary feeding comprised locally accessible concentrates such as brewers' spent grain (2–3 kg/day), peels from cassava, peels from plantain, as well as commercial mineral supplements depending on availability. Water was given ad libitum using automatic watering systems or manual methods, with animals having mineral licks with fundamental trace elements (Fraser et al., 2021).</w:t>
      </w:r>
    </w:p>
    <w:p w14:paraId="66723506" w14:textId="77777777" w:rsidR="00BD7B59" w:rsidRPr="00BA4471" w:rsidRDefault="00BD7B59" w:rsidP="00BA4471">
      <w:pPr>
        <w:spacing w:after="0" w:line="240" w:lineRule="auto"/>
        <w:jc w:val="both"/>
        <w:rPr>
          <w:rFonts w:ascii="Arial" w:hAnsi="Arial" w:cs="Arial"/>
          <w:sz w:val="20"/>
          <w:szCs w:val="20"/>
        </w:rPr>
      </w:pPr>
    </w:p>
    <w:p w14:paraId="46690C1C" w14:textId="77777777" w:rsidR="00BD7B59" w:rsidRPr="00BA4471" w:rsidRDefault="00BD7B59" w:rsidP="00BA4471">
      <w:pPr>
        <w:pStyle w:val="Heading2"/>
        <w:spacing w:line="240" w:lineRule="auto"/>
        <w:rPr>
          <w:rFonts w:cs="Arial"/>
        </w:rPr>
      </w:pPr>
      <w:r w:rsidRPr="00BA4471">
        <w:rPr>
          <w:rFonts w:cs="Arial"/>
        </w:rPr>
        <w:t>2.6 Physical Examination and Assessment for Breeding Soundness</w:t>
      </w:r>
    </w:p>
    <w:p w14:paraId="47025B59" w14:textId="37356684"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Comprehensive breeding soundness examinations were conducted under protocols recommended by the Society for Theriogenology and modified for tropical settings (Chenoweth, 2020). Physical examination involved determination of general health status, body condition score, measurement of scrotal circumference, testicle consistency, and breeding </w:t>
      </w:r>
      <w:r w:rsidR="0085766A">
        <w:rPr>
          <w:rFonts w:ascii="Arial" w:hAnsi="Arial" w:cs="Arial"/>
          <w:sz w:val="20"/>
          <w:szCs w:val="20"/>
        </w:rPr>
        <w:t>behaviour</w:t>
      </w:r>
      <w:r w:rsidRPr="00BA4471">
        <w:rPr>
          <w:rFonts w:ascii="Arial" w:hAnsi="Arial" w:cs="Arial"/>
          <w:sz w:val="20"/>
          <w:szCs w:val="20"/>
        </w:rPr>
        <w:t xml:space="preserve"> observation as relevant.</w:t>
      </w:r>
    </w:p>
    <w:p w14:paraId="4077429E" w14:textId="77777777" w:rsidR="00BD7B59" w:rsidRPr="00BA4471" w:rsidRDefault="00BD7B59" w:rsidP="00BA4471">
      <w:pPr>
        <w:spacing w:after="0" w:line="240" w:lineRule="auto"/>
        <w:jc w:val="both"/>
        <w:rPr>
          <w:rFonts w:ascii="Arial" w:hAnsi="Arial" w:cs="Arial"/>
          <w:sz w:val="20"/>
          <w:szCs w:val="20"/>
        </w:rPr>
      </w:pPr>
    </w:p>
    <w:p w14:paraId="3A4386B5" w14:textId="77777777" w:rsidR="00BD7B59" w:rsidRPr="00BA4471" w:rsidRDefault="00BD7B59" w:rsidP="00BA4471">
      <w:pPr>
        <w:pStyle w:val="Heading3"/>
        <w:spacing w:line="240" w:lineRule="auto"/>
        <w:rPr>
          <w:rFonts w:cs="Arial"/>
        </w:rPr>
      </w:pPr>
      <w:r w:rsidRPr="00BA4471">
        <w:rPr>
          <w:rFonts w:cs="Arial"/>
        </w:rPr>
        <w:t>2.6.1 Body Condition Scoring</w:t>
      </w:r>
    </w:p>
    <w:p w14:paraId="4B93A964"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The body condition was determined using the 5-point scale system (1 = emaciated, 5 = obese) with an increment of 0.25 points, considering fat deposition on ribs, loin, and tailhead areas following standard protocols (Palmer et al., 2020; Walsh et al., 2019). For consistency over the study period, all measurements were made by one trained evaluator.</w:t>
      </w:r>
    </w:p>
    <w:p w14:paraId="7AD640C9" w14:textId="77777777" w:rsidR="00BD7B59" w:rsidRPr="00BA4471" w:rsidRDefault="00BD7B59" w:rsidP="00BA4471">
      <w:pPr>
        <w:spacing w:after="0" w:line="240" w:lineRule="auto"/>
        <w:jc w:val="both"/>
        <w:rPr>
          <w:rFonts w:ascii="Arial" w:hAnsi="Arial" w:cs="Arial"/>
          <w:sz w:val="20"/>
          <w:szCs w:val="20"/>
        </w:rPr>
      </w:pPr>
    </w:p>
    <w:p w14:paraId="08804899" w14:textId="77777777" w:rsidR="00BD7B59" w:rsidRPr="00BA4471" w:rsidRDefault="00BD7B59" w:rsidP="00BA4471">
      <w:pPr>
        <w:pStyle w:val="Heading3"/>
        <w:spacing w:line="240" w:lineRule="auto"/>
        <w:rPr>
          <w:rFonts w:cs="Arial"/>
        </w:rPr>
      </w:pPr>
      <w:r w:rsidRPr="00BA4471">
        <w:rPr>
          <w:rFonts w:cs="Arial"/>
        </w:rPr>
        <w:t>2.6.2 Measurement of Scrotal Circumference</w:t>
      </w:r>
    </w:p>
    <w:p w14:paraId="3C6DC683"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Scrotal circumference was determined at the location of greatest diameter with a flexible tape, with readings recorded as a measure as close as 0.5 cm (Kastelic, 2019). Bulls were held in a standing stance with testes normally within the scrotum, with readings in triplicate taken with mean value recorded for analysis (Barth &amp; Oko, 2019).</w:t>
      </w:r>
    </w:p>
    <w:p w14:paraId="5A655A84" w14:textId="77777777" w:rsidR="00BD7B59" w:rsidRPr="00BA4471" w:rsidRDefault="00BD7B59" w:rsidP="00BA4471">
      <w:pPr>
        <w:spacing w:after="0" w:line="240" w:lineRule="auto"/>
        <w:jc w:val="both"/>
        <w:rPr>
          <w:rFonts w:ascii="Arial" w:hAnsi="Arial" w:cs="Arial"/>
          <w:sz w:val="20"/>
          <w:szCs w:val="20"/>
        </w:rPr>
      </w:pPr>
    </w:p>
    <w:p w14:paraId="7D4E6C5D" w14:textId="29CB5717" w:rsidR="00BD7B59" w:rsidRPr="00BA4471" w:rsidRDefault="00BD7B59" w:rsidP="00BA4471">
      <w:pPr>
        <w:pStyle w:val="Heading3"/>
        <w:spacing w:line="240" w:lineRule="auto"/>
        <w:rPr>
          <w:rFonts w:cs="Arial"/>
        </w:rPr>
      </w:pPr>
      <w:r w:rsidRPr="00BA4471">
        <w:rPr>
          <w:rFonts w:cs="Arial"/>
        </w:rPr>
        <w:t xml:space="preserve">2.6.3 Breeding </w:t>
      </w:r>
      <w:r w:rsidR="0085766A">
        <w:rPr>
          <w:rFonts w:cs="Arial"/>
        </w:rPr>
        <w:t>Behaviour</w:t>
      </w:r>
      <w:r w:rsidRPr="00BA4471">
        <w:rPr>
          <w:rFonts w:cs="Arial"/>
        </w:rPr>
        <w:t xml:space="preserve"> Assessment</w:t>
      </w:r>
    </w:p>
    <w:p w14:paraId="44A03A00" w14:textId="22AD9641"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Bulls aged more than 18 months (n=70) were assessed for sexual </w:t>
      </w:r>
      <w:r w:rsidR="0085766A">
        <w:rPr>
          <w:rFonts w:ascii="Arial" w:hAnsi="Arial" w:cs="Arial"/>
          <w:sz w:val="20"/>
          <w:szCs w:val="20"/>
        </w:rPr>
        <w:t>behaviour</w:t>
      </w:r>
      <w:r w:rsidRPr="00BA4471">
        <w:rPr>
          <w:rFonts w:ascii="Arial" w:hAnsi="Arial" w:cs="Arial"/>
          <w:sz w:val="20"/>
          <w:szCs w:val="20"/>
        </w:rPr>
        <w:t xml:space="preserve"> such as libido, mounting, and sexual interest in controlled environments in response to estrous females (Rodriguez-Martinez, 2018). </w:t>
      </w:r>
      <w:r w:rsidR="0085766A">
        <w:rPr>
          <w:rFonts w:ascii="Arial" w:hAnsi="Arial" w:cs="Arial"/>
          <w:sz w:val="20"/>
          <w:szCs w:val="20"/>
        </w:rPr>
        <w:t>Behaviour</w:t>
      </w:r>
      <w:r w:rsidRPr="00BA4471">
        <w:rPr>
          <w:rFonts w:ascii="Arial" w:hAnsi="Arial" w:cs="Arial"/>
          <w:sz w:val="20"/>
          <w:szCs w:val="20"/>
        </w:rPr>
        <w:t xml:space="preserve"> was rated on a scale from 1 = poor to 10 = excellent as a measurement of latency to become interested, mounting attempts, as well as sexual </w:t>
      </w:r>
      <w:r w:rsidR="0085766A">
        <w:rPr>
          <w:rFonts w:ascii="Arial" w:hAnsi="Arial" w:cs="Arial"/>
          <w:sz w:val="20"/>
          <w:szCs w:val="20"/>
        </w:rPr>
        <w:t>behaviour</w:t>
      </w:r>
      <w:r w:rsidRPr="00BA4471">
        <w:rPr>
          <w:rFonts w:ascii="Arial" w:hAnsi="Arial" w:cs="Arial"/>
          <w:sz w:val="20"/>
          <w:szCs w:val="20"/>
        </w:rPr>
        <w:t xml:space="preserve"> intensity as outlined in Santos et al. (2021).</w:t>
      </w:r>
    </w:p>
    <w:p w14:paraId="51DDE28C" w14:textId="77777777" w:rsidR="00BD7B59" w:rsidRPr="00BA4471" w:rsidRDefault="00BD7B59" w:rsidP="00BA4471">
      <w:pPr>
        <w:spacing w:after="0" w:line="240" w:lineRule="auto"/>
        <w:jc w:val="both"/>
        <w:rPr>
          <w:rFonts w:ascii="Arial" w:hAnsi="Arial" w:cs="Arial"/>
          <w:sz w:val="20"/>
          <w:szCs w:val="20"/>
        </w:rPr>
      </w:pPr>
    </w:p>
    <w:p w14:paraId="4848F8D0" w14:textId="77777777" w:rsidR="00BD7B59" w:rsidRPr="00BA4471" w:rsidRDefault="00BD7B59" w:rsidP="00BA4471">
      <w:pPr>
        <w:pStyle w:val="Heading2"/>
        <w:spacing w:line="240" w:lineRule="auto"/>
        <w:rPr>
          <w:rFonts w:cs="Arial"/>
        </w:rPr>
      </w:pPr>
      <w:r w:rsidRPr="00BA4471">
        <w:rPr>
          <w:rFonts w:cs="Arial"/>
        </w:rPr>
        <w:t>2.7 Blood Sample Collection and Processing</w:t>
      </w:r>
    </w:p>
    <w:p w14:paraId="327E293E"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Blood samples (15 mL) from the jugular vein were taken using sterile 18-gauge vacutainer tubes with no added anticoagulant, using standardized procedures to maintain sample quality and minimize stress (Prakash et al., 2021). Samples were obtained between 0800–1000 h to reduce circadian rhythm variation </w:t>
      </w:r>
      <w:r w:rsidRPr="00BA4471">
        <w:rPr>
          <w:rFonts w:ascii="Arial" w:hAnsi="Arial" w:cs="Arial"/>
          <w:sz w:val="20"/>
          <w:szCs w:val="20"/>
        </w:rPr>
        <w:lastRenderedPageBreak/>
        <w:t>in hormone levels, as suggested by Walsh et al. (2019). Bulls were properly restrained in standard cattle restraining facilities, with collection done under experienced veterinary hands, to maintain animal welfare and sample integrity.</w:t>
      </w:r>
    </w:p>
    <w:p w14:paraId="2D00F5A8" w14:textId="77777777" w:rsidR="00BD7B59" w:rsidRPr="00BA4471" w:rsidRDefault="00BD7B59" w:rsidP="00BA4471">
      <w:pPr>
        <w:spacing w:after="0" w:line="240" w:lineRule="auto"/>
        <w:jc w:val="both"/>
        <w:rPr>
          <w:rFonts w:ascii="Arial" w:hAnsi="Arial" w:cs="Arial"/>
          <w:sz w:val="20"/>
          <w:szCs w:val="20"/>
        </w:rPr>
      </w:pPr>
    </w:p>
    <w:p w14:paraId="18DD0879"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Blood was allowed to clot at room temperature (25–28°C) for 45 minutes before it was taken to the laboratory in a 4°C insulated container and centrifuged at 2,500 rpm for 15 minutes for separation into serum (Santos et al., 2021). The serum samples were poured into labeled cryovials with aseptic skill and stored at –20°C until hormone analysis, with all samples analyzed within 90 days from sample collection for hormone stability purposes and analytical integrity (Rodriguez-Martinez, 2018).</w:t>
      </w:r>
    </w:p>
    <w:p w14:paraId="729AC6A5" w14:textId="77777777" w:rsidR="00BD7B59" w:rsidRPr="00BA4471" w:rsidRDefault="00BD7B59" w:rsidP="00BA4471">
      <w:pPr>
        <w:spacing w:after="0" w:line="240" w:lineRule="auto"/>
        <w:jc w:val="both"/>
        <w:rPr>
          <w:rFonts w:ascii="Arial" w:hAnsi="Arial" w:cs="Arial"/>
          <w:sz w:val="20"/>
          <w:szCs w:val="20"/>
        </w:rPr>
      </w:pPr>
    </w:p>
    <w:p w14:paraId="36C3AD17" w14:textId="77777777" w:rsidR="00BD7B59" w:rsidRPr="00BA4471" w:rsidRDefault="00BD7B59" w:rsidP="00BA4471">
      <w:pPr>
        <w:pStyle w:val="Heading2"/>
        <w:spacing w:line="240" w:lineRule="auto"/>
        <w:rPr>
          <w:rFonts w:cs="Arial"/>
        </w:rPr>
      </w:pPr>
      <w:r w:rsidRPr="00BA4471">
        <w:rPr>
          <w:rFonts w:cs="Arial"/>
        </w:rPr>
        <w:t>2.8 Hormone Analysis Procedures</w:t>
      </w:r>
    </w:p>
    <w:p w14:paraId="0BD41CA8"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Testosterone and oestradiol levels were analyzed using established commercial enzyme immunoassay (EIA) kits (DRG International Inc., Springfield, NJ, USA) with protocols well-established and validated for use on bovine samples (Prakash et al., 2021). Assay validation entailed standard curve linearity verification, recovery studies, measurement of precision, and cross-reactivity testing as detailed in previous bovine reproductive hormone validations (Walsh et al., 2019).</w:t>
      </w:r>
    </w:p>
    <w:p w14:paraId="635C0F94" w14:textId="77777777" w:rsidR="00BD7B59" w:rsidRPr="00BA4471" w:rsidRDefault="00BD7B59" w:rsidP="00BA4471">
      <w:pPr>
        <w:spacing w:after="0" w:line="240" w:lineRule="auto"/>
        <w:jc w:val="both"/>
        <w:rPr>
          <w:rFonts w:ascii="Arial" w:hAnsi="Arial" w:cs="Arial"/>
          <w:sz w:val="20"/>
          <w:szCs w:val="20"/>
        </w:rPr>
      </w:pPr>
    </w:p>
    <w:p w14:paraId="5DCE8398" w14:textId="77777777" w:rsidR="00BD7B59" w:rsidRPr="00BA4471" w:rsidRDefault="00BD7B59" w:rsidP="00BA4471">
      <w:pPr>
        <w:pStyle w:val="Heading3"/>
        <w:spacing w:line="240" w:lineRule="auto"/>
        <w:rPr>
          <w:rFonts w:cs="Arial"/>
        </w:rPr>
      </w:pPr>
      <w:r w:rsidRPr="00BA4471">
        <w:rPr>
          <w:rFonts w:cs="Arial"/>
        </w:rPr>
        <w:t>2.8.1 Testosterone Assay Protocol</w:t>
      </w:r>
    </w:p>
    <w:p w14:paraId="569B4E76"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The testosterone EIA applied competitive binding concepts with horseradish-peroxidase labeled testosterone competing with sample testosterone for binding with anti-testosterone antibodies immobilized on microtiter plates (Santos et al., 2021). Its detection range was 0.1–25.0 ng/mL with intra-assay coefficient of variation (CV) of 6.8% as well as 9.3% for inter-assay CV, fulfilling set standards for analytical accuracy in reproductive hormone analysis (Prakash et al., 2021).</w:t>
      </w:r>
    </w:p>
    <w:p w14:paraId="1F1DE274" w14:textId="77777777" w:rsidR="00BD7B59" w:rsidRPr="00BA4471" w:rsidRDefault="00BD7B59" w:rsidP="00BA4471">
      <w:pPr>
        <w:spacing w:after="0" w:line="240" w:lineRule="auto"/>
        <w:jc w:val="both"/>
        <w:rPr>
          <w:rFonts w:ascii="Arial" w:hAnsi="Arial" w:cs="Arial"/>
          <w:sz w:val="20"/>
          <w:szCs w:val="20"/>
        </w:rPr>
      </w:pPr>
    </w:p>
    <w:p w14:paraId="588550F5" w14:textId="77777777" w:rsidR="00BD7B59" w:rsidRPr="00BA4471" w:rsidRDefault="00BD7B59" w:rsidP="00BA4471">
      <w:pPr>
        <w:pStyle w:val="Heading3"/>
        <w:spacing w:line="240" w:lineRule="auto"/>
        <w:rPr>
          <w:rFonts w:cs="Arial"/>
        </w:rPr>
      </w:pPr>
      <w:r w:rsidRPr="00BA4471">
        <w:rPr>
          <w:rFonts w:cs="Arial"/>
        </w:rPr>
        <w:t>2.8.2 Oestradiol Assay Protocol</w:t>
      </w:r>
    </w:p>
    <w:p w14:paraId="0D7FB886"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The oestradiol EIA utilized similar competitive binding method with a detection range of 5–500 </w:t>
      </w:r>
      <w:proofErr w:type="spellStart"/>
      <w:r w:rsidRPr="00BA4471">
        <w:rPr>
          <w:rFonts w:ascii="Arial" w:hAnsi="Arial" w:cs="Arial"/>
          <w:sz w:val="20"/>
          <w:szCs w:val="20"/>
        </w:rPr>
        <w:t>pg</w:t>
      </w:r>
      <w:proofErr w:type="spellEnd"/>
      <w:r w:rsidRPr="00BA4471">
        <w:rPr>
          <w:rFonts w:ascii="Arial" w:hAnsi="Arial" w:cs="Arial"/>
          <w:sz w:val="20"/>
          <w:szCs w:val="20"/>
        </w:rPr>
        <w:t xml:space="preserve">/mL, an intra-assay CV of 7.2%, and an inter-assay CV of 10.1% (Rodriguez-Martinez, 2018). Both assays had minimal cross-reactivity with steroid hormones (less than 2%), as required for ensuring specificity for the target hormones. Sensitivity cut-off levels were 0.1 ng/mL for testosterone and 5.0 </w:t>
      </w:r>
      <w:proofErr w:type="spellStart"/>
      <w:r w:rsidRPr="00BA4471">
        <w:rPr>
          <w:rFonts w:ascii="Arial" w:hAnsi="Arial" w:cs="Arial"/>
          <w:sz w:val="20"/>
          <w:szCs w:val="20"/>
        </w:rPr>
        <w:t>pg</w:t>
      </w:r>
      <w:proofErr w:type="spellEnd"/>
      <w:r w:rsidRPr="00BA4471">
        <w:rPr>
          <w:rFonts w:ascii="Arial" w:hAnsi="Arial" w:cs="Arial"/>
          <w:sz w:val="20"/>
          <w:szCs w:val="20"/>
        </w:rPr>
        <w:t xml:space="preserve">/mL for </w:t>
      </w:r>
      <w:proofErr w:type="spellStart"/>
      <w:r w:rsidRPr="00BA4471">
        <w:rPr>
          <w:rFonts w:ascii="Arial" w:hAnsi="Arial" w:cs="Arial"/>
          <w:sz w:val="20"/>
          <w:szCs w:val="20"/>
        </w:rPr>
        <w:t>oestradiol</w:t>
      </w:r>
      <w:proofErr w:type="spellEnd"/>
      <w:r w:rsidRPr="00BA4471">
        <w:rPr>
          <w:rFonts w:ascii="Arial" w:hAnsi="Arial" w:cs="Arial"/>
          <w:sz w:val="20"/>
          <w:szCs w:val="20"/>
        </w:rPr>
        <w:t>, ensuring proper detection levels at physiological levels in dairy bulls (Walsh et al., 2019).</w:t>
      </w:r>
    </w:p>
    <w:p w14:paraId="77D6A745" w14:textId="77777777" w:rsidR="00BD7B59" w:rsidRPr="00BA4471" w:rsidRDefault="00BD7B59" w:rsidP="00BA4471">
      <w:pPr>
        <w:spacing w:after="0" w:line="240" w:lineRule="auto"/>
        <w:jc w:val="both"/>
        <w:rPr>
          <w:rFonts w:ascii="Arial" w:hAnsi="Arial" w:cs="Arial"/>
          <w:sz w:val="20"/>
          <w:szCs w:val="20"/>
        </w:rPr>
      </w:pPr>
    </w:p>
    <w:p w14:paraId="00DC03EC" w14:textId="77777777" w:rsidR="00BD7B59" w:rsidRPr="00BA4471" w:rsidRDefault="00BD7B59" w:rsidP="00BA4471">
      <w:pPr>
        <w:pStyle w:val="Heading3"/>
        <w:spacing w:line="240" w:lineRule="auto"/>
        <w:rPr>
          <w:rFonts w:cs="Arial"/>
        </w:rPr>
      </w:pPr>
      <w:r w:rsidRPr="00BA4471">
        <w:rPr>
          <w:rFonts w:cs="Arial"/>
        </w:rPr>
        <w:t>2.8.3 Quality Control and Validation</w:t>
      </w:r>
    </w:p>
    <w:p w14:paraId="138F1FF9"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All samples were evaluated in duplicate, with mean values being utilized for statistical purposes if CV between dupes was &lt;10% (Prakash et al., 2021). Duplicate quality control samples containing known hormone levels (low, medium, high pools) were included in every analytical run for monitoring analytical performance as well as ensuring between-analytical session consistency (Santos et al., 2021). Recovery studies proved 95–105% recovery for both hormones over the physiological range, ensuring bovine sample assay accuracy.</w:t>
      </w:r>
    </w:p>
    <w:p w14:paraId="74CA3F83" w14:textId="77777777" w:rsidR="00BD7B59" w:rsidRPr="00BA4471" w:rsidRDefault="00BD7B59" w:rsidP="00BA4471">
      <w:pPr>
        <w:spacing w:after="0" w:line="240" w:lineRule="auto"/>
        <w:jc w:val="both"/>
        <w:rPr>
          <w:rFonts w:ascii="Arial" w:hAnsi="Arial" w:cs="Arial"/>
          <w:sz w:val="20"/>
          <w:szCs w:val="20"/>
        </w:rPr>
      </w:pPr>
    </w:p>
    <w:p w14:paraId="0DF388CE" w14:textId="77777777" w:rsidR="00BD7B59" w:rsidRPr="00BA4471" w:rsidRDefault="00BD7B59" w:rsidP="00BA4471">
      <w:pPr>
        <w:pStyle w:val="Heading2"/>
        <w:spacing w:line="240" w:lineRule="auto"/>
        <w:rPr>
          <w:rFonts w:cs="Arial"/>
        </w:rPr>
      </w:pPr>
      <w:r w:rsidRPr="00BA4471">
        <w:rPr>
          <w:rFonts w:cs="Arial"/>
        </w:rPr>
        <w:t>2.9 Breeding Performance Evaluation</w:t>
      </w:r>
    </w:p>
    <w:p w14:paraId="52D3FA9C"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Among bulls ≥2 years for natural breeding (n=68), there were reproductive performance data collected, including conception rates, services per conception, and measures of breeding efficiency (Rodriguez-Martinez, 2018). Conception rates were determined as a percent of confirmed pregnancy divided by total services from pregnancy diagnosis via rectal palpation or ultrasonography within 45–60 days following breeding (Kastelic, 2019).</w:t>
      </w:r>
    </w:p>
    <w:p w14:paraId="29422038" w14:textId="77777777" w:rsidR="00BD7B59" w:rsidRPr="00BA4471" w:rsidRDefault="00BD7B59" w:rsidP="00BA4471">
      <w:pPr>
        <w:spacing w:after="0" w:line="240" w:lineRule="auto"/>
        <w:jc w:val="both"/>
        <w:rPr>
          <w:rFonts w:ascii="Arial" w:hAnsi="Arial" w:cs="Arial"/>
          <w:sz w:val="20"/>
          <w:szCs w:val="20"/>
        </w:rPr>
      </w:pPr>
    </w:p>
    <w:p w14:paraId="68DACD3F" w14:textId="177E238F"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Services per conception were determined as total breeding services divided between confirmed pregnancies for a given bull over a 12-month observation (Santos et al., 2021). Breeding efficiency was evaluated using direct observation of natural mating </w:t>
      </w:r>
      <w:r w:rsidR="0085766A">
        <w:rPr>
          <w:rFonts w:ascii="Arial" w:hAnsi="Arial" w:cs="Arial"/>
          <w:sz w:val="20"/>
          <w:szCs w:val="20"/>
        </w:rPr>
        <w:t>behaviour</w:t>
      </w:r>
      <w:r w:rsidRPr="00BA4471">
        <w:rPr>
          <w:rFonts w:ascii="Arial" w:hAnsi="Arial" w:cs="Arial"/>
          <w:sz w:val="20"/>
          <w:szCs w:val="20"/>
        </w:rPr>
        <w:t>, as well as mating rates under field conditions characteristic of tropical dairy systems (Palmer et al., 2020).</w:t>
      </w:r>
    </w:p>
    <w:p w14:paraId="2D00DFFA" w14:textId="77777777" w:rsidR="00BD7B59" w:rsidRPr="00BA4471" w:rsidRDefault="00BD7B59" w:rsidP="00BA4471">
      <w:pPr>
        <w:spacing w:after="0" w:line="240" w:lineRule="auto"/>
        <w:jc w:val="both"/>
        <w:rPr>
          <w:rFonts w:ascii="Arial" w:hAnsi="Arial" w:cs="Arial"/>
          <w:sz w:val="20"/>
          <w:szCs w:val="20"/>
        </w:rPr>
      </w:pPr>
    </w:p>
    <w:p w14:paraId="159D377D" w14:textId="77777777" w:rsidR="00BD7B59" w:rsidRPr="00BA4471" w:rsidRDefault="00BD7B59" w:rsidP="00BA4471">
      <w:pPr>
        <w:pStyle w:val="Heading2"/>
        <w:spacing w:line="240" w:lineRule="auto"/>
        <w:rPr>
          <w:rFonts w:cs="Arial"/>
        </w:rPr>
      </w:pPr>
      <w:r w:rsidRPr="00BA4471">
        <w:rPr>
          <w:rFonts w:cs="Arial"/>
        </w:rPr>
        <w:t>2.10 Environmental and Management Data Collection</w:t>
      </w:r>
    </w:p>
    <w:p w14:paraId="4B667CB1"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Environmental conditions such as ambient temperature, humidity, as well as rain, were monitored for the duration of the study from data provided by the Ghana Meteorological Agency (2020). Feeding schedules, housing systems, as well as farm and health management protocols, were recorded in order to establish </w:t>
      </w:r>
      <w:r w:rsidRPr="00BA4471">
        <w:rPr>
          <w:rFonts w:ascii="Arial" w:hAnsi="Arial" w:cs="Arial"/>
          <w:sz w:val="20"/>
          <w:szCs w:val="20"/>
        </w:rPr>
        <w:lastRenderedPageBreak/>
        <w:t xml:space="preserve">potential effects on hormone levels and facilitate an accurate interpretation of findings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Scaramuzzi, 2003).</w:t>
      </w:r>
    </w:p>
    <w:p w14:paraId="35CA7AAD" w14:textId="77777777" w:rsidR="00BD7B59" w:rsidRPr="00BA4471" w:rsidRDefault="00BD7B59" w:rsidP="00BA4471">
      <w:pPr>
        <w:spacing w:after="0" w:line="240" w:lineRule="auto"/>
        <w:jc w:val="both"/>
        <w:rPr>
          <w:rFonts w:ascii="Arial" w:hAnsi="Arial" w:cs="Arial"/>
          <w:sz w:val="20"/>
          <w:szCs w:val="20"/>
        </w:rPr>
      </w:pPr>
    </w:p>
    <w:p w14:paraId="33D119A9" w14:textId="77777777" w:rsidR="00BD7B59" w:rsidRPr="00BA4471" w:rsidRDefault="00BD7B59" w:rsidP="00BA4471">
      <w:pPr>
        <w:pStyle w:val="Heading2"/>
        <w:spacing w:line="240" w:lineRule="auto"/>
        <w:rPr>
          <w:rFonts w:cs="Arial"/>
        </w:rPr>
      </w:pPr>
      <w:r w:rsidRPr="00BA4471">
        <w:rPr>
          <w:rFonts w:cs="Arial"/>
        </w:rPr>
        <w:t>2.11 Statistical Analysis</w:t>
      </w:r>
    </w:p>
    <w:p w14:paraId="77D247ED"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Statistical analyses were conducted with IBM SPSS Statistics version 28.0 (IBM Corporation, Armonk, NY, USA) using a significance level of P &lt; .05 for all tests (Santos et al., 2021). Normality was checked for all data using Shapiro-Wilk tests, with log transformation required for any non-normal data in order to fulfill parametric test requirements (Walsh et al., 2019).</w:t>
      </w:r>
    </w:p>
    <w:p w14:paraId="591E3FA4" w14:textId="77777777" w:rsidR="00BD7B59" w:rsidRPr="00BA4471" w:rsidRDefault="00BD7B59" w:rsidP="00BA4471">
      <w:pPr>
        <w:spacing w:after="0" w:line="240" w:lineRule="auto"/>
        <w:jc w:val="both"/>
        <w:rPr>
          <w:rFonts w:ascii="Arial" w:hAnsi="Arial" w:cs="Arial"/>
          <w:sz w:val="20"/>
          <w:szCs w:val="20"/>
        </w:rPr>
      </w:pPr>
    </w:p>
    <w:p w14:paraId="787C49D2"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Relative levels of hormones were compared between age groups via one-way analysis of variance (ANOVA) with Tukey's honest significant difference (HSD) post-hoc analysis for comparisons between age groups (Prakash et al., 2021). Breed differences were investigated using two-way ANOVA with age and breed as factors, as well as testing for age × breed interactions (Rodriguez-Martinez, 2018).</w:t>
      </w:r>
    </w:p>
    <w:p w14:paraId="5328F5EC" w14:textId="77777777" w:rsidR="00BD7B59" w:rsidRPr="00BA4471" w:rsidRDefault="00BD7B59" w:rsidP="00BA4471">
      <w:pPr>
        <w:spacing w:after="0" w:line="240" w:lineRule="auto"/>
        <w:jc w:val="both"/>
        <w:rPr>
          <w:rFonts w:ascii="Arial" w:hAnsi="Arial" w:cs="Arial"/>
          <w:sz w:val="20"/>
          <w:szCs w:val="20"/>
        </w:rPr>
      </w:pPr>
    </w:p>
    <w:p w14:paraId="656F49A8" w14:textId="37A28FC0"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Correlation analyses with Pearson correlation coefficients were undertaken between hormone levels and physical factors such as body condition score, scrotal circumference, body weight, and breeding </w:t>
      </w:r>
      <w:proofErr w:type="spellStart"/>
      <w:r w:rsidR="0085766A">
        <w:rPr>
          <w:rFonts w:ascii="Arial" w:hAnsi="Arial" w:cs="Arial"/>
          <w:sz w:val="20"/>
          <w:szCs w:val="20"/>
        </w:rPr>
        <w:t>behaviour</w:t>
      </w:r>
      <w:proofErr w:type="spellEnd"/>
      <w:r w:rsidRPr="00BA4471">
        <w:rPr>
          <w:rFonts w:ascii="Arial" w:hAnsi="Arial" w:cs="Arial"/>
          <w:sz w:val="20"/>
          <w:szCs w:val="20"/>
        </w:rPr>
        <w:t xml:space="preserve"> scores (Kastelic, 2019). Multiple regression analysis was undertaken to determine significant predictor factors for breeding performance as well as to establish prediction equations for practical use (Santos et al., 2021).</w:t>
      </w:r>
    </w:p>
    <w:p w14:paraId="79699396" w14:textId="77777777" w:rsidR="00BD7B59" w:rsidRPr="00BA4471" w:rsidRDefault="00BD7B59" w:rsidP="00BA4471">
      <w:pPr>
        <w:spacing w:after="0" w:line="240" w:lineRule="auto"/>
        <w:jc w:val="both"/>
        <w:rPr>
          <w:rFonts w:ascii="Arial" w:hAnsi="Arial" w:cs="Arial"/>
          <w:sz w:val="20"/>
          <w:szCs w:val="20"/>
        </w:rPr>
      </w:pPr>
    </w:p>
    <w:p w14:paraId="624FCE5C"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Eta-squared (η²) was used to test practical significance for observed differences, using as a benchmark values of 0.01, 0.06, and 0.14 as indicative of small, medium, and large effects (Palmer et al., 2020). Post-hoc power analysis was performed to ensure there was sufficient statistical power to detect significant group differences.</w:t>
      </w:r>
    </w:p>
    <w:p w14:paraId="2AAC9CC7" w14:textId="77777777" w:rsidR="00BD7B59" w:rsidRPr="00BA4471" w:rsidRDefault="00BD7B59" w:rsidP="00BA4471">
      <w:pPr>
        <w:spacing w:after="0" w:line="240" w:lineRule="auto"/>
        <w:jc w:val="both"/>
        <w:rPr>
          <w:rFonts w:ascii="Arial" w:hAnsi="Arial" w:cs="Arial"/>
          <w:sz w:val="20"/>
          <w:szCs w:val="20"/>
        </w:rPr>
      </w:pPr>
    </w:p>
    <w:p w14:paraId="49E88D45" w14:textId="3B0753B6" w:rsidR="001A304E" w:rsidRDefault="00BD7B59" w:rsidP="00BA4471">
      <w:pPr>
        <w:spacing w:after="0" w:line="240" w:lineRule="auto"/>
        <w:jc w:val="both"/>
        <w:rPr>
          <w:rFonts w:ascii="Arial" w:hAnsi="Arial" w:cs="Arial"/>
          <w:sz w:val="20"/>
          <w:szCs w:val="20"/>
        </w:rPr>
      </w:pPr>
      <w:r w:rsidRPr="00BA4471">
        <w:rPr>
          <w:rFonts w:ascii="Arial" w:hAnsi="Arial" w:cs="Arial"/>
          <w:sz w:val="20"/>
          <w:szCs w:val="20"/>
        </w:rPr>
        <w:t>Results are given as mean ± standard error of the mean (SEM) unless otherwise indicated, with key findings provided with 95% confidence intervals (Walsh et al., 2019). P values are given to an appropriate number of decimal places as recommended, with P &lt; .001, P &lt; .01, and P &lt; .05 being used to indicate statistical significance levels (Santos et al., 2021).</w:t>
      </w:r>
    </w:p>
    <w:p w14:paraId="7D2C9960" w14:textId="77777777" w:rsidR="00CB55F7" w:rsidRPr="00BA4471" w:rsidRDefault="00CB55F7" w:rsidP="00BA4471">
      <w:pPr>
        <w:spacing w:after="0" w:line="240" w:lineRule="auto"/>
        <w:jc w:val="both"/>
        <w:rPr>
          <w:rFonts w:ascii="Arial" w:hAnsi="Arial" w:cs="Arial"/>
          <w:sz w:val="20"/>
          <w:szCs w:val="20"/>
        </w:rPr>
      </w:pPr>
    </w:p>
    <w:p w14:paraId="0A90EB4C" w14:textId="77777777" w:rsidR="00F0039E" w:rsidRPr="00BA4471" w:rsidRDefault="00F0039E" w:rsidP="0019402F">
      <w:pPr>
        <w:pStyle w:val="Heading1"/>
      </w:pPr>
      <w:r w:rsidRPr="00BA4471">
        <w:t>3</w:t>
      </w:r>
      <w:r w:rsidRPr="005F1ABB">
        <w:t>. RESULTS AND DISCUSSION</w:t>
      </w:r>
    </w:p>
    <w:p w14:paraId="749F69DE" w14:textId="77777777" w:rsidR="00F0039E" w:rsidRPr="00BA4471" w:rsidRDefault="00F0039E" w:rsidP="00BA4471">
      <w:pPr>
        <w:pStyle w:val="Heading2"/>
        <w:spacing w:line="240" w:lineRule="auto"/>
        <w:rPr>
          <w:rFonts w:cs="Arial"/>
        </w:rPr>
      </w:pPr>
      <w:r w:rsidRPr="00BA4471">
        <w:rPr>
          <w:rFonts w:cs="Arial"/>
        </w:rPr>
        <w:t>3.1 Population Characteristics and Physical Parameters</w:t>
      </w:r>
    </w:p>
    <w:p w14:paraId="6CF83D8E" w14:textId="617A75AB" w:rsidR="00987C7C" w:rsidRPr="00BA4471" w:rsidRDefault="00F0039E" w:rsidP="00BA4471">
      <w:pPr>
        <w:spacing w:after="0" w:line="240" w:lineRule="auto"/>
        <w:jc w:val="both"/>
        <w:rPr>
          <w:rFonts w:ascii="Arial" w:hAnsi="Arial" w:cs="Arial"/>
          <w:sz w:val="20"/>
          <w:szCs w:val="20"/>
        </w:rPr>
      </w:pPr>
      <w:r w:rsidRPr="00BA4471">
        <w:rPr>
          <w:rFonts w:ascii="Arial" w:hAnsi="Arial" w:cs="Arial"/>
          <w:sz w:val="20"/>
          <w:szCs w:val="20"/>
        </w:rPr>
        <w:t>The population under study presented representativeness in terms of age groups as well as genetic background, mirroring average Ghanaian dairy farms (Table 1). Body condition scores ranged from 2.8 ± 0.06 for 6-month-old bulls to 4.1 ± 0.13 for 7-year-old bulls, with an increasing decline to 3.6 ± 0.13 for ≥8-year bulls. Scrotal circumference appropriately increased with advancing age from 18.3 ± 0.44 cm for bulls aged 6 months to 38.7 ± 0.66 cm for mature animals, as would be expected, following testicular development norms described by Kastelic</w:t>
      </w:r>
      <w:r w:rsidR="00CA3686" w:rsidRPr="00BA4471">
        <w:rPr>
          <w:rFonts w:ascii="Arial" w:hAnsi="Arial" w:cs="Arial"/>
          <w:sz w:val="20"/>
          <w:szCs w:val="20"/>
        </w:rPr>
        <w:t xml:space="preserve"> </w:t>
      </w:r>
      <w:r w:rsidRPr="00BA4471">
        <w:rPr>
          <w:rFonts w:ascii="Arial" w:hAnsi="Arial" w:cs="Arial"/>
          <w:sz w:val="20"/>
          <w:szCs w:val="20"/>
        </w:rPr>
        <w:t>(2019) and Brito et al. (2020).</w:t>
      </w:r>
      <w:r w:rsidR="00750EE9" w:rsidRPr="00BA4471">
        <w:rPr>
          <w:rFonts w:ascii="Arial" w:hAnsi="Arial" w:cs="Arial"/>
          <w:sz w:val="20"/>
          <w:szCs w:val="20"/>
        </w:rPr>
        <w:t xml:space="preserve"> </w:t>
      </w:r>
      <w:r w:rsidR="00987C7C" w:rsidRPr="00BA4471">
        <w:rPr>
          <w:rFonts w:ascii="Arial" w:hAnsi="Arial" w:cs="Arial"/>
          <w:sz w:val="20"/>
          <w:szCs w:val="20"/>
        </w:rPr>
        <w:t>The body condition score portrayed an interesting trend with progressively rising from 5 years to peak at age 7 (4.1 ± 0.13) and thereafter reducing at ≥8 years (3.6 ± 0.13). The trend is characteristic of mature bull progression where animals gain body condition after the peak reproduction years, and thereafter degradation is observed in very old bulls possibly resulting from higher catabolism, lowered feeding efficiency or age-related issues (</w:t>
      </w:r>
      <w:r w:rsidR="00F00C31" w:rsidRPr="00BA4471">
        <w:rPr>
          <w:rFonts w:ascii="Arial" w:hAnsi="Arial" w:cs="Arial"/>
          <w:sz w:val="20"/>
          <w:szCs w:val="20"/>
        </w:rPr>
        <w:t xml:space="preserve">Rodriguez-Martinez, 2018; </w:t>
      </w:r>
      <w:r w:rsidR="00987C7C" w:rsidRPr="00BA4471">
        <w:rPr>
          <w:rFonts w:ascii="Arial" w:hAnsi="Arial" w:cs="Arial"/>
          <w:sz w:val="20"/>
          <w:szCs w:val="20"/>
        </w:rPr>
        <w:t>Santos et al., 2021).</w:t>
      </w:r>
    </w:p>
    <w:p w14:paraId="12AF5F9B" w14:textId="77777777" w:rsidR="00750EE9" w:rsidRPr="00BA4471" w:rsidRDefault="00750EE9" w:rsidP="00BA4471">
      <w:pPr>
        <w:spacing w:after="0" w:line="240" w:lineRule="auto"/>
        <w:jc w:val="both"/>
        <w:rPr>
          <w:rFonts w:ascii="Arial" w:hAnsi="Arial" w:cs="Arial"/>
          <w:sz w:val="20"/>
          <w:szCs w:val="20"/>
        </w:rPr>
      </w:pPr>
    </w:p>
    <w:p w14:paraId="52CA0ED1" w14:textId="77777777" w:rsidR="004B6D3D" w:rsidRPr="00BA4471" w:rsidRDefault="004B6D3D" w:rsidP="00BA4471">
      <w:pPr>
        <w:spacing w:line="240" w:lineRule="auto"/>
        <w:rPr>
          <w:rFonts w:ascii="Arial" w:hAnsi="Arial" w:cs="Arial"/>
          <w:b/>
          <w:bCs/>
          <w:sz w:val="20"/>
          <w:szCs w:val="20"/>
        </w:rPr>
      </w:pPr>
      <w:r w:rsidRPr="00BA4471">
        <w:rPr>
          <w:rFonts w:ascii="Arial" w:hAnsi="Arial" w:cs="Arial"/>
          <w:b/>
          <w:bCs/>
          <w:sz w:val="20"/>
          <w:szCs w:val="20"/>
        </w:rPr>
        <w:t>Table 1: Physical Population characteristics and Breeding behaviour Score</w:t>
      </w:r>
    </w:p>
    <w:tbl>
      <w:tblPr>
        <w:tblStyle w:val="TableGrid"/>
        <w:tblW w:w="90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536"/>
        <w:gridCol w:w="1501"/>
        <w:gridCol w:w="1772"/>
        <w:gridCol w:w="2191"/>
        <w:gridCol w:w="1762"/>
      </w:tblGrid>
      <w:tr w:rsidR="004B6D3D" w:rsidRPr="00BA4471" w14:paraId="6F57A33C" w14:textId="77777777" w:rsidTr="00E95FEA">
        <w:tc>
          <w:tcPr>
            <w:tcW w:w="1323" w:type="dxa"/>
            <w:tcBorders>
              <w:top w:val="single" w:sz="4" w:space="0" w:color="auto"/>
              <w:bottom w:val="single" w:sz="4" w:space="0" w:color="auto"/>
            </w:tcBorders>
            <w:vAlign w:val="center"/>
          </w:tcPr>
          <w:p w14:paraId="2CA73960" w14:textId="77777777" w:rsidR="004B6D3D" w:rsidRPr="00BA4471" w:rsidRDefault="004B6D3D" w:rsidP="00BA4471">
            <w:pPr>
              <w:ind w:left="-25" w:right="-169"/>
              <w:rPr>
                <w:rFonts w:ascii="Arial" w:hAnsi="Arial" w:cs="Arial"/>
                <w:b/>
                <w:bCs/>
                <w:sz w:val="20"/>
                <w:szCs w:val="20"/>
              </w:rPr>
            </w:pPr>
            <w:r w:rsidRPr="00BA4471">
              <w:rPr>
                <w:rFonts w:ascii="Arial" w:hAnsi="Arial" w:cs="Arial"/>
                <w:b/>
                <w:bCs/>
                <w:sz w:val="20"/>
                <w:szCs w:val="20"/>
              </w:rPr>
              <w:t>Age Group</w:t>
            </w:r>
          </w:p>
        </w:tc>
        <w:tc>
          <w:tcPr>
            <w:tcW w:w="536" w:type="dxa"/>
            <w:tcBorders>
              <w:top w:val="single" w:sz="4" w:space="0" w:color="auto"/>
              <w:bottom w:val="single" w:sz="4" w:space="0" w:color="auto"/>
            </w:tcBorders>
            <w:vAlign w:val="center"/>
          </w:tcPr>
          <w:p w14:paraId="2650DC5D" w14:textId="77777777" w:rsidR="004B6D3D" w:rsidRPr="00BA4471" w:rsidRDefault="004B6D3D" w:rsidP="00BA4471">
            <w:pPr>
              <w:rPr>
                <w:rFonts w:ascii="Arial" w:hAnsi="Arial" w:cs="Arial"/>
                <w:b/>
                <w:bCs/>
                <w:sz w:val="20"/>
                <w:szCs w:val="20"/>
              </w:rPr>
            </w:pPr>
            <w:r w:rsidRPr="00BA4471">
              <w:rPr>
                <w:rFonts w:ascii="Arial" w:hAnsi="Arial" w:cs="Arial"/>
                <w:b/>
                <w:bCs/>
                <w:sz w:val="20"/>
                <w:szCs w:val="20"/>
              </w:rPr>
              <w:t>n</w:t>
            </w:r>
          </w:p>
        </w:tc>
        <w:tc>
          <w:tcPr>
            <w:tcW w:w="1501" w:type="dxa"/>
            <w:tcBorders>
              <w:top w:val="single" w:sz="4" w:space="0" w:color="auto"/>
              <w:bottom w:val="single" w:sz="4" w:space="0" w:color="auto"/>
            </w:tcBorders>
            <w:vAlign w:val="center"/>
          </w:tcPr>
          <w:p w14:paraId="07229004" w14:textId="77777777" w:rsidR="004B6D3D" w:rsidRPr="00BA4471" w:rsidRDefault="004B6D3D" w:rsidP="00BA4471">
            <w:pPr>
              <w:ind w:right="-110"/>
              <w:rPr>
                <w:rFonts w:ascii="Arial" w:hAnsi="Arial" w:cs="Arial"/>
                <w:b/>
                <w:bCs/>
                <w:sz w:val="20"/>
                <w:szCs w:val="20"/>
              </w:rPr>
            </w:pPr>
            <w:r w:rsidRPr="00BA4471">
              <w:rPr>
                <w:rFonts w:ascii="Arial" w:hAnsi="Arial" w:cs="Arial"/>
                <w:b/>
                <w:bCs/>
                <w:sz w:val="20"/>
                <w:szCs w:val="20"/>
              </w:rPr>
              <w:t>Body Weight (kg)</w:t>
            </w:r>
          </w:p>
        </w:tc>
        <w:tc>
          <w:tcPr>
            <w:tcW w:w="1772" w:type="dxa"/>
            <w:tcBorders>
              <w:top w:val="single" w:sz="4" w:space="0" w:color="auto"/>
              <w:bottom w:val="single" w:sz="4" w:space="0" w:color="auto"/>
            </w:tcBorders>
            <w:vAlign w:val="center"/>
          </w:tcPr>
          <w:p w14:paraId="53FB8DB8" w14:textId="77777777" w:rsidR="004B6D3D" w:rsidRPr="00BA4471" w:rsidRDefault="004B6D3D" w:rsidP="00BA4471">
            <w:pPr>
              <w:ind w:right="-103"/>
              <w:rPr>
                <w:rFonts w:ascii="Arial" w:hAnsi="Arial" w:cs="Arial"/>
                <w:b/>
                <w:bCs/>
                <w:sz w:val="20"/>
                <w:szCs w:val="20"/>
              </w:rPr>
            </w:pPr>
            <w:r w:rsidRPr="00BA4471">
              <w:rPr>
                <w:rFonts w:ascii="Arial" w:hAnsi="Arial" w:cs="Arial"/>
                <w:b/>
                <w:bCs/>
                <w:sz w:val="20"/>
                <w:szCs w:val="20"/>
              </w:rPr>
              <w:t>Body Condition Score</w:t>
            </w:r>
          </w:p>
        </w:tc>
        <w:tc>
          <w:tcPr>
            <w:tcW w:w="2191" w:type="dxa"/>
            <w:tcBorders>
              <w:top w:val="single" w:sz="4" w:space="0" w:color="auto"/>
              <w:bottom w:val="single" w:sz="4" w:space="0" w:color="auto"/>
            </w:tcBorders>
            <w:vAlign w:val="center"/>
          </w:tcPr>
          <w:p w14:paraId="7478A262" w14:textId="77777777" w:rsidR="004B6D3D" w:rsidRPr="00BA4471" w:rsidRDefault="004B6D3D" w:rsidP="00BA4471">
            <w:pPr>
              <w:tabs>
                <w:tab w:val="left" w:pos="1728"/>
              </w:tabs>
              <w:ind w:left="-24" w:right="-109"/>
              <w:rPr>
                <w:rFonts w:ascii="Arial" w:hAnsi="Arial" w:cs="Arial"/>
                <w:b/>
                <w:bCs/>
                <w:sz w:val="20"/>
                <w:szCs w:val="20"/>
              </w:rPr>
            </w:pPr>
            <w:r w:rsidRPr="00BA4471">
              <w:rPr>
                <w:rFonts w:ascii="Arial" w:hAnsi="Arial" w:cs="Arial"/>
                <w:b/>
                <w:bCs/>
                <w:sz w:val="20"/>
                <w:szCs w:val="20"/>
              </w:rPr>
              <w:t>Scrotal Circumference (cm)</w:t>
            </w:r>
          </w:p>
        </w:tc>
        <w:tc>
          <w:tcPr>
            <w:tcW w:w="1762" w:type="dxa"/>
            <w:tcBorders>
              <w:top w:val="single" w:sz="4" w:space="0" w:color="auto"/>
              <w:bottom w:val="single" w:sz="4" w:space="0" w:color="auto"/>
            </w:tcBorders>
            <w:vAlign w:val="center"/>
          </w:tcPr>
          <w:p w14:paraId="52FA81F0" w14:textId="0AA13611" w:rsidR="004B6D3D" w:rsidRPr="00BA4471" w:rsidRDefault="004B6D3D" w:rsidP="00BA4471">
            <w:pPr>
              <w:ind w:left="-51" w:right="-101"/>
              <w:rPr>
                <w:rFonts w:ascii="Arial" w:hAnsi="Arial" w:cs="Arial"/>
                <w:b/>
                <w:bCs/>
                <w:sz w:val="20"/>
                <w:szCs w:val="20"/>
              </w:rPr>
            </w:pPr>
            <w:r w:rsidRPr="00BA4471">
              <w:rPr>
                <w:rFonts w:ascii="Arial" w:hAnsi="Arial" w:cs="Arial"/>
                <w:b/>
                <w:bCs/>
                <w:sz w:val="20"/>
                <w:szCs w:val="20"/>
              </w:rPr>
              <w:t xml:space="preserve">Breeding </w:t>
            </w:r>
            <w:r w:rsidR="0085766A">
              <w:rPr>
                <w:rFonts w:ascii="Arial" w:hAnsi="Arial" w:cs="Arial"/>
                <w:b/>
                <w:bCs/>
                <w:sz w:val="20"/>
                <w:szCs w:val="20"/>
              </w:rPr>
              <w:t>Behaviour</w:t>
            </w:r>
            <w:r w:rsidRPr="00BA4471">
              <w:rPr>
                <w:rFonts w:ascii="Arial" w:hAnsi="Arial" w:cs="Arial"/>
                <w:b/>
                <w:bCs/>
                <w:sz w:val="20"/>
                <w:szCs w:val="20"/>
              </w:rPr>
              <w:t xml:space="preserve"> Score*</w:t>
            </w:r>
          </w:p>
        </w:tc>
      </w:tr>
      <w:tr w:rsidR="004B6D3D" w:rsidRPr="00BA4471" w14:paraId="7A2FE829" w14:textId="77777777" w:rsidTr="00E95FEA">
        <w:tc>
          <w:tcPr>
            <w:tcW w:w="1323" w:type="dxa"/>
            <w:tcBorders>
              <w:top w:val="single" w:sz="4" w:space="0" w:color="auto"/>
            </w:tcBorders>
            <w:vAlign w:val="center"/>
          </w:tcPr>
          <w:p w14:paraId="101E26D7" w14:textId="77777777" w:rsidR="004B6D3D" w:rsidRPr="00BA4471" w:rsidRDefault="004B6D3D" w:rsidP="00BA4471">
            <w:pPr>
              <w:rPr>
                <w:rFonts w:ascii="Arial" w:hAnsi="Arial" w:cs="Arial"/>
                <w:b/>
                <w:bCs/>
                <w:sz w:val="20"/>
                <w:szCs w:val="20"/>
              </w:rPr>
            </w:pPr>
            <w:r w:rsidRPr="00BA4471">
              <w:rPr>
                <w:rFonts w:ascii="Arial" w:hAnsi="Arial" w:cs="Arial"/>
                <w:sz w:val="20"/>
                <w:szCs w:val="20"/>
              </w:rPr>
              <w:t>6 months</w:t>
            </w:r>
          </w:p>
        </w:tc>
        <w:tc>
          <w:tcPr>
            <w:tcW w:w="536" w:type="dxa"/>
            <w:tcBorders>
              <w:top w:val="single" w:sz="4" w:space="0" w:color="auto"/>
            </w:tcBorders>
            <w:vAlign w:val="center"/>
          </w:tcPr>
          <w:p w14:paraId="6FC4CB43"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tcBorders>
              <w:top w:val="single" w:sz="4" w:space="0" w:color="auto"/>
            </w:tcBorders>
            <w:vAlign w:val="center"/>
          </w:tcPr>
          <w:p w14:paraId="6BB6BC47" w14:textId="4915C5DB" w:rsidR="004B6D3D" w:rsidRPr="00BA4471" w:rsidRDefault="004B6D3D" w:rsidP="00BA4471">
            <w:pPr>
              <w:rPr>
                <w:rFonts w:ascii="Arial" w:hAnsi="Arial" w:cs="Arial"/>
                <w:b/>
                <w:bCs/>
                <w:sz w:val="20"/>
                <w:szCs w:val="20"/>
              </w:rPr>
            </w:pPr>
            <w:r w:rsidRPr="00BA4471">
              <w:rPr>
                <w:rFonts w:ascii="Arial" w:hAnsi="Arial" w:cs="Arial"/>
                <w:sz w:val="20"/>
                <w:szCs w:val="20"/>
              </w:rPr>
              <w:t>145 ± 5.7</w:t>
            </w:r>
            <w:r w:rsidR="006C6C53" w:rsidRPr="00BA4471">
              <w:rPr>
                <w:rFonts w:ascii="Arial" w:hAnsi="Arial" w:cs="Arial"/>
                <w:sz w:val="20"/>
                <w:szCs w:val="20"/>
                <w:vertAlign w:val="superscript"/>
              </w:rPr>
              <w:t>a</w:t>
            </w:r>
          </w:p>
        </w:tc>
        <w:tc>
          <w:tcPr>
            <w:tcW w:w="1772" w:type="dxa"/>
            <w:tcBorders>
              <w:top w:val="single" w:sz="4" w:space="0" w:color="auto"/>
            </w:tcBorders>
            <w:vAlign w:val="center"/>
          </w:tcPr>
          <w:p w14:paraId="5C61E235" w14:textId="5ABE2F01" w:rsidR="004B6D3D" w:rsidRPr="00BA4471" w:rsidRDefault="004B6D3D" w:rsidP="00BA4471">
            <w:pPr>
              <w:rPr>
                <w:rFonts w:ascii="Arial" w:hAnsi="Arial" w:cs="Arial"/>
                <w:sz w:val="20"/>
                <w:szCs w:val="20"/>
              </w:rPr>
            </w:pPr>
            <w:r w:rsidRPr="00BA4471">
              <w:rPr>
                <w:rFonts w:ascii="Arial" w:hAnsi="Arial" w:cs="Arial"/>
                <w:sz w:val="20"/>
                <w:szCs w:val="20"/>
              </w:rPr>
              <w:t>2.8 ± 0.06</w:t>
            </w:r>
            <w:r w:rsidR="00DC313C" w:rsidRPr="00BA4471">
              <w:rPr>
                <w:rFonts w:ascii="Arial" w:hAnsi="Arial" w:cs="Arial"/>
                <w:sz w:val="20"/>
                <w:szCs w:val="20"/>
                <w:vertAlign w:val="superscript"/>
              </w:rPr>
              <w:t>a</w:t>
            </w:r>
          </w:p>
        </w:tc>
        <w:tc>
          <w:tcPr>
            <w:tcW w:w="2191" w:type="dxa"/>
            <w:tcBorders>
              <w:top w:val="single" w:sz="4" w:space="0" w:color="auto"/>
            </w:tcBorders>
            <w:vAlign w:val="center"/>
          </w:tcPr>
          <w:p w14:paraId="322FF32E" w14:textId="65E3644B" w:rsidR="004B6D3D" w:rsidRPr="00BA4471" w:rsidRDefault="004B6D3D" w:rsidP="00BA4471">
            <w:pPr>
              <w:rPr>
                <w:rFonts w:ascii="Arial" w:hAnsi="Arial" w:cs="Arial"/>
                <w:b/>
                <w:bCs/>
                <w:sz w:val="20"/>
                <w:szCs w:val="20"/>
              </w:rPr>
            </w:pPr>
            <w:r w:rsidRPr="00BA4471">
              <w:rPr>
                <w:rFonts w:ascii="Arial" w:hAnsi="Arial" w:cs="Arial"/>
                <w:sz w:val="20"/>
                <w:szCs w:val="20"/>
              </w:rPr>
              <w:t>18.3 ± 0.44</w:t>
            </w:r>
            <w:r w:rsidR="008A57CB" w:rsidRPr="00BA4471">
              <w:rPr>
                <w:rFonts w:ascii="Arial" w:hAnsi="Arial" w:cs="Arial"/>
                <w:sz w:val="20"/>
                <w:szCs w:val="20"/>
                <w:vertAlign w:val="superscript"/>
              </w:rPr>
              <w:t>a</w:t>
            </w:r>
          </w:p>
        </w:tc>
        <w:tc>
          <w:tcPr>
            <w:tcW w:w="1762" w:type="dxa"/>
            <w:tcBorders>
              <w:top w:val="single" w:sz="4" w:space="0" w:color="auto"/>
            </w:tcBorders>
            <w:vAlign w:val="center"/>
          </w:tcPr>
          <w:p w14:paraId="74910313" w14:textId="77777777" w:rsidR="004B6D3D" w:rsidRPr="00BA4471" w:rsidRDefault="004B6D3D" w:rsidP="00BA4471">
            <w:pPr>
              <w:rPr>
                <w:rFonts w:ascii="Arial" w:hAnsi="Arial" w:cs="Arial"/>
                <w:b/>
                <w:bCs/>
                <w:sz w:val="20"/>
                <w:szCs w:val="20"/>
              </w:rPr>
            </w:pPr>
            <w:r w:rsidRPr="00BA4471">
              <w:rPr>
                <w:rFonts w:ascii="Arial" w:hAnsi="Arial" w:cs="Arial"/>
                <w:sz w:val="20"/>
                <w:szCs w:val="20"/>
              </w:rPr>
              <w:t>-</w:t>
            </w:r>
          </w:p>
        </w:tc>
      </w:tr>
      <w:tr w:rsidR="004B6D3D" w:rsidRPr="00BA4471" w14:paraId="3A7A5D93" w14:textId="77777777" w:rsidTr="00E95FEA">
        <w:tc>
          <w:tcPr>
            <w:tcW w:w="1323" w:type="dxa"/>
            <w:vAlign w:val="center"/>
          </w:tcPr>
          <w:p w14:paraId="1AEA5B44" w14:textId="77777777" w:rsidR="004B6D3D" w:rsidRPr="00BA4471" w:rsidRDefault="004B6D3D" w:rsidP="00BA4471">
            <w:pPr>
              <w:rPr>
                <w:rFonts w:ascii="Arial" w:hAnsi="Arial" w:cs="Arial"/>
                <w:b/>
                <w:bCs/>
                <w:sz w:val="20"/>
                <w:szCs w:val="20"/>
              </w:rPr>
            </w:pPr>
            <w:r w:rsidRPr="00BA4471">
              <w:rPr>
                <w:rFonts w:ascii="Arial" w:hAnsi="Arial" w:cs="Arial"/>
                <w:sz w:val="20"/>
                <w:szCs w:val="20"/>
              </w:rPr>
              <w:t>1 year</w:t>
            </w:r>
          </w:p>
        </w:tc>
        <w:tc>
          <w:tcPr>
            <w:tcW w:w="536" w:type="dxa"/>
            <w:vAlign w:val="center"/>
          </w:tcPr>
          <w:p w14:paraId="2BBC089C"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67A31865" w14:textId="069259EF" w:rsidR="004B6D3D" w:rsidRPr="00BA4471" w:rsidRDefault="004B6D3D" w:rsidP="00BA4471">
            <w:pPr>
              <w:rPr>
                <w:rFonts w:ascii="Arial" w:hAnsi="Arial" w:cs="Arial"/>
                <w:b/>
                <w:bCs/>
                <w:sz w:val="20"/>
                <w:szCs w:val="20"/>
              </w:rPr>
            </w:pPr>
            <w:r w:rsidRPr="00BA4471">
              <w:rPr>
                <w:rFonts w:ascii="Arial" w:hAnsi="Arial" w:cs="Arial"/>
                <w:sz w:val="20"/>
                <w:szCs w:val="20"/>
              </w:rPr>
              <w:t>225 ± 7.6</w:t>
            </w:r>
            <w:r w:rsidR="006C6C53" w:rsidRPr="00BA4471">
              <w:rPr>
                <w:rFonts w:ascii="Arial" w:hAnsi="Arial" w:cs="Arial"/>
                <w:sz w:val="20"/>
                <w:szCs w:val="20"/>
                <w:vertAlign w:val="superscript"/>
              </w:rPr>
              <w:t>b</w:t>
            </w:r>
          </w:p>
        </w:tc>
        <w:tc>
          <w:tcPr>
            <w:tcW w:w="1772" w:type="dxa"/>
            <w:vAlign w:val="center"/>
          </w:tcPr>
          <w:p w14:paraId="76EBBEB8" w14:textId="4FA5F0B4" w:rsidR="004B6D3D" w:rsidRPr="00BA4471" w:rsidRDefault="004B6D3D" w:rsidP="00BA4471">
            <w:pPr>
              <w:rPr>
                <w:rFonts w:ascii="Arial" w:hAnsi="Arial" w:cs="Arial"/>
                <w:sz w:val="20"/>
                <w:szCs w:val="20"/>
              </w:rPr>
            </w:pPr>
            <w:r w:rsidRPr="00BA4471">
              <w:rPr>
                <w:rFonts w:ascii="Arial" w:hAnsi="Arial" w:cs="Arial"/>
                <w:sz w:val="20"/>
                <w:szCs w:val="20"/>
              </w:rPr>
              <w:t>3.0 ± 0.06</w:t>
            </w:r>
            <w:r w:rsidR="00DC313C" w:rsidRPr="00BA4471">
              <w:rPr>
                <w:rFonts w:ascii="Arial" w:hAnsi="Arial" w:cs="Arial"/>
                <w:sz w:val="20"/>
                <w:szCs w:val="20"/>
                <w:vertAlign w:val="superscript"/>
              </w:rPr>
              <w:t>ab</w:t>
            </w:r>
          </w:p>
        </w:tc>
        <w:tc>
          <w:tcPr>
            <w:tcW w:w="2191" w:type="dxa"/>
            <w:vAlign w:val="center"/>
          </w:tcPr>
          <w:p w14:paraId="4D00857D" w14:textId="06FBEA1A" w:rsidR="004B6D3D" w:rsidRPr="00BA4471" w:rsidRDefault="004B6D3D" w:rsidP="00BA4471">
            <w:pPr>
              <w:rPr>
                <w:rFonts w:ascii="Arial" w:hAnsi="Arial" w:cs="Arial"/>
                <w:b/>
                <w:bCs/>
                <w:sz w:val="20"/>
                <w:szCs w:val="20"/>
              </w:rPr>
            </w:pPr>
            <w:r w:rsidRPr="00BA4471">
              <w:rPr>
                <w:rFonts w:ascii="Arial" w:hAnsi="Arial" w:cs="Arial"/>
                <w:sz w:val="20"/>
                <w:szCs w:val="20"/>
              </w:rPr>
              <w:t>24.6 ± 0.57</w:t>
            </w:r>
            <w:r w:rsidR="008A57CB" w:rsidRPr="00BA4471">
              <w:rPr>
                <w:rFonts w:ascii="Arial" w:hAnsi="Arial" w:cs="Arial"/>
                <w:sz w:val="20"/>
                <w:szCs w:val="20"/>
                <w:vertAlign w:val="superscript"/>
              </w:rPr>
              <w:t>b</w:t>
            </w:r>
          </w:p>
        </w:tc>
        <w:tc>
          <w:tcPr>
            <w:tcW w:w="1762" w:type="dxa"/>
            <w:vAlign w:val="center"/>
          </w:tcPr>
          <w:p w14:paraId="280DF4F0" w14:textId="77777777" w:rsidR="004B6D3D" w:rsidRPr="00BA4471" w:rsidRDefault="004B6D3D" w:rsidP="00BA4471">
            <w:pPr>
              <w:rPr>
                <w:rFonts w:ascii="Arial" w:hAnsi="Arial" w:cs="Arial"/>
                <w:b/>
                <w:bCs/>
                <w:sz w:val="20"/>
                <w:szCs w:val="20"/>
              </w:rPr>
            </w:pPr>
            <w:r w:rsidRPr="00BA4471">
              <w:rPr>
                <w:rFonts w:ascii="Arial" w:hAnsi="Arial" w:cs="Arial"/>
                <w:sz w:val="20"/>
                <w:szCs w:val="20"/>
              </w:rPr>
              <w:t>-</w:t>
            </w:r>
          </w:p>
        </w:tc>
      </w:tr>
      <w:tr w:rsidR="004B6D3D" w:rsidRPr="00BA4471" w14:paraId="4C6E830C" w14:textId="77777777" w:rsidTr="00E95FEA">
        <w:tc>
          <w:tcPr>
            <w:tcW w:w="1323" w:type="dxa"/>
            <w:vAlign w:val="center"/>
          </w:tcPr>
          <w:p w14:paraId="0364A7B3" w14:textId="77777777" w:rsidR="004B6D3D" w:rsidRPr="00BA4471" w:rsidRDefault="004B6D3D" w:rsidP="00BA4471">
            <w:pPr>
              <w:rPr>
                <w:rFonts w:ascii="Arial" w:hAnsi="Arial" w:cs="Arial"/>
                <w:b/>
                <w:bCs/>
                <w:sz w:val="20"/>
                <w:szCs w:val="20"/>
              </w:rPr>
            </w:pPr>
            <w:r w:rsidRPr="00BA4471">
              <w:rPr>
                <w:rFonts w:ascii="Arial" w:hAnsi="Arial" w:cs="Arial"/>
                <w:sz w:val="20"/>
                <w:szCs w:val="20"/>
              </w:rPr>
              <w:t>2 years</w:t>
            </w:r>
          </w:p>
        </w:tc>
        <w:tc>
          <w:tcPr>
            <w:tcW w:w="536" w:type="dxa"/>
            <w:vAlign w:val="center"/>
          </w:tcPr>
          <w:p w14:paraId="47822298"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6675ED45" w14:textId="44474CFF" w:rsidR="004B6D3D" w:rsidRPr="00BA4471" w:rsidRDefault="004B6D3D" w:rsidP="00BA4471">
            <w:pPr>
              <w:rPr>
                <w:rFonts w:ascii="Arial" w:hAnsi="Arial" w:cs="Arial"/>
                <w:b/>
                <w:bCs/>
                <w:sz w:val="20"/>
                <w:szCs w:val="20"/>
              </w:rPr>
            </w:pPr>
            <w:r w:rsidRPr="00BA4471">
              <w:rPr>
                <w:rFonts w:ascii="Arial" w:hAnsi="Arial" w:cs="Arial"/>
                <w:sz w:val="20"/>
                <w:szCs w:val="20"/>
              </w:rPr>
              <w:t>315 ± 9.8</w:t>
            </w:r>
            <w:r w:rsidR="006C6C53" w:rsidRPr="00BA4471">
              <w:rPr>
                <w:rFonts w:ascii="Arial" w:hAnsi="Arial" w:cs="Arial"/>
                <w:sz w:val="20"/>
                <w:szCs w:val="20"/>
                <w:vertAlign w:val="superscript"/>
              </w:rPr>
              <w:t>c</w:t>
            </w:r>
          </w:p>
        </w:tc>
        <w:tc>
          <w:tcPr>
            <w:tcW w:w="1772" w:type="dxa"/>
            <w:vAlign w:val="center"/>
          </w:tcPr>
          <w:p w14:paraId="551C57EB" w14:textId="0A3E88FF" w:rsidR="004B6D3D" w:rsidRPr="00BA4471" w:rsidRDefault="004B6D3D" w:rsidP="00BA4471">
            <w:pPr>
              <w:rPr>
                <w:rFonts w:ascii="Arial" w:hAnsi="Arial" w:cs="Arial"/>
                <w:sz w:val="20"/>
                <w:szCs w:val="20"/>
              </w:rPr>
            </w:pPr>
            <w:r w:rsidRPr="00BA4471">
              <w:rPr>
                <w:rFonts w:ascii="Arial" w:hAnsi="Arial" w:cs="Arial"/>
                <w:sz w:val="20"/>
                <w:szCs w:val="20"/>
              </w:rPr>
              <w:t>3.2 ± 0.09</w:t>
            </w:r>
            <w:r w:rsidR="00DC313C" w:rsidRPr="00BA4471">
              <w:rPr>
                <w:rFonts w:ascii="Arial" w:hAnsi="Arial" w:cs="Arial"/>
                <w:sz w:val="20"/>
                <w:szCs w:val="20"/>
                <w:vertAlign w:val="superscript"/>
              </w:rPr>
              <w:t xml:space="preserve"> </w:t>
            </w:r>
            <w:proofErr w:type="spellStart"/>
            <w:r w:rsidR="00DC313C" w:rsidRPr="00BA4471">
              <w:rPr>
                <w:rFonts w:ascii="Arial" w:hAnsi="Arial" w:cs="Arial"/>
                <w:sz w:val="20"/>
                <w:szCs w:val="20"/>
                <w:vertAlign w:val="superscript"/>
              </w:rPr>
              <w:t>bc</w:t>
            </w:r>
            <w:proofErr w:type="spellEnd"/>
          </w:p>
        </w:tc>
        <w:tc>
          <w:tcPr>
            <w:tcW w:w="2191" w:type="dxa"/>
            <w:vAlign w:val="center"/>
          </w:tcPr>
          <w:p w14:paraId="3B65A2C5" w14:textId="7440024F" w:rsidR="004B6D3D" w:rsidRPr="00BA4471" w:rsidRDefault="004B6D3D" w:rsidP="00BA4471">
            <w:pPr>
              <w:rPr>
                <w:rFonts w:ascii="Arial" w:hAnsi="Arial" w:cs="Arial"/>
                <w:b/>
                <w:bCs/>
                <w:sz w:val="20"/>
                <w:szCs w:val="20"/>
              </w:rPr>
            </w:pPr>
            <w:r w:rsidRPr="00BA4471">
              <w:rPr>
                <w:rFonts w:ascii="Arial" w:hAnsi="Arial" w:cs="Arial"/>
                <w:sz w:val="20"/>
                <w:szCs w:val="20"/>
              </w:rPr>
              <w:t>32.1 ± 0.70</w:t>
            </w:r>
            <w:r w:rsidR="008A57CB" w:rsidRPr="00BA4471">
              <w:rPr>
                <w:rFonts w:ascii="Arial" w:hAnsi="Arial" w:cs="Arial"/>
                <w:sz w:val="20"/>
                <w:szCs w:val="20"/>
                <w:vertAlign w:val="superscript"/>
              </w:rPr>
              <w:t>c</w:t>
            </w:r>
          </w:p>
        </w:tc>
        <w:tc>
          <w:tcPr>
            <w:tcW w:w="1762" w:type="dxa"/>
            <w:vAlign w:val="center"/>
          </w:tcPr>
          <w:p w14:paraId="45223596" w14:textId="1242C893" w:rsidR="004B6D3D" w:rsidRPr="00BA4471" w:rsidRDefault="004B6D3D" w:rsidP="00BA4471">
            <w:pPr>
              <w:rPr>
                <w:rFonts w:ascii="Arial" w:hAnsi="Arial" w:cs="Arial"/>
                <w:b/>
                <w:bCs/>
                <w:sz w:val="20"/>
                <w:szCs w:val="20"/>
              </w:rPr>
            </w:pPr>
            <w:r w:rsidRPr="00BA4471">
              <w:rPr>
                <w:rFonts w:ascii="Arial" w:hAnsi="Arial" w:cs="Arial"/>
                <w:sz w:val="20"/>
                <w:szCs w:val="20"/>
              </w:rPr>
              <w:t>6.2 ± 0.35</w:t>
            </w:r>
            <w:r w:rsidR="00CA3818" w:rsidRPr="00BA4471">
              <w:rPr>
                <w:rFonts w:ascii="Arial" w:hAnsi="Arial" w:cs="Arial"/>
                <w:sz w:val="20"/>
                <w:szCs w:val="20"/>
                <w:vertAlign w:val="superscript"/>
              </w:rPr>
              <w:t>a</w:t>
            </w:r>
          </w:p>
        </w:tc>
      </w:tr>
      <w:tr w:rsidR="004B6D3D" w:rsidRPr="00BA4471" w14:paraId="7BA6E29A" w14:textId="77777777" w:rsidTr="00E95FEA">
        <w:tc>
          <w:tcPr>
            <w:tcW w:w="1323" w:type="dxa"/>
            <w:vAlign w:val="center"/>
          </w:tcPr>
          <w:p w14:paraId="46A64F1B" w14:textId="77777777" w:rsidR="004B6D3D" w:rsidRPr="00BA4471" w:rsidRDefault="004B6D3D" w:rsidP="00BA4471">
            <w:pPr>
              <w:rPr>
                <w:rFonts w:ascii="Arial" w:hAnsi="Arial" w:cs="Arial"/>
                <w:b/>
                <w:bCs/>
                <w:sz w:val="20"/>
                <w:szCs w:val="20"/>
              </w:rPr>
            </w:pPr>
            <w:r w:rsidRPr="00BA4471">
              <w:rPr>
                <w:rFonts w:ascii="Arial" w:hAnsi="Arial" w:cs="Arial"/>
                <w:sz w:val="20"/>
                <w:szCs w:val="20"/>
              </w:rPr>
              <w:t>3 years</w:t>
            </w:r>
          </w:p>
        </w:tc>
        <w:tc>
          <w:tcPr>
            <w:tcW w:w="536" w:type="dxa"/>
            <w:vAlign w:val="center"/>
          </w:tcPr>
          <w:p w14:paraId="7535A04A"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25531CCA" w14:textId="0A28F278" w:rsidR="004B6D3D" w:rsidRPr="00BA4471" w:rsidRDefault="004B6D3D" w:rsidP="00BA4471">
            <w:pPr>
              <w:rPr>
                <w:rFonts w:ascii="Arial" w:hAnsi="Arial" w:cs="Arial"/>
                <w:b/>
                <w:bCs/>
                <w:sz w:val="20"/>
                <w:szCs w:val="20"/>
              </w:rPr>
            </w:pPr>
            <w:r w:rsidRPr="00BA4471">
              <w:rPr>
                <w:rFonts w:ascii="Arial" w:hAnsi="Arial" w:cs="Arial"/>
                <w:sz w:val="20"/>
                <w:szCs w:val="20"/>
              </w:rPr>
              <w:t>420 ± 12.0</w:t>
            </w:r>
            <w:r w:rsidR="006C6C53" w:rsidRPr="00BA4471">
              <w:rPr>
                <w:rFonts w:ascii="Arial" w:hAnsi="Arial" w:cs="Arial"/>
                <w:sz w:val="20"/>
                <w:szCs w:val="20"/>
                <w:vertAlign w:val="superscript"/>
              </w:rPr>
              <w:t>d</w:t>
            </w:r>
          </w:p>
        </w:tc>
        <w:tc>
          <w:tcPr>
            <w:tcW w:w="1772" w:type="dxa"/>
            <w:vAlign w:val="center"/>
          </w:tcPr>
          <w:p w14:paraId="00842610" w14:textId="2F5E901B" w:rsidR="004B6D3D" w:rsidRPr="00BA4471" w:rsidRDefault="004B6D3D" w:rsidP="00BA4471">
            <w:pPr>
              <w:rPr>
                <w:rFonts w:ascii="Arial" w:hAnsi="Arial" w:cs="Arial"/>
                <w:sz w:val="20"/>
                <w:szCs w:val="20"/>
              </w:rPr>
            </w:pPr>
            <w:r w:rsidRPr="00BA4471">
              <w:rPr>
                <w:rFonts w:ascii="Arial" w:hAnsi="Arial" w:cs="Arial"/>
                <w:sz w:val="20"/>
                <w:szCs w:val="20"/>
              </w:rPr>
              <w:t>3.3 ± 0.06</w:t>
            </w:r>
            <w:r w:rsidR="00DC313C" w:rsidRPr="00BA4471">
              <w:rPr>
                <w:rFonts w:ascii="Arial" w:hAnsi="Arial" w:cs="Arial"/>
                <w:sz w:val="20"/>
                <w:szCs w:val="20"/>
                <w:vertAlign w:val="superscript"/>
              </w:rPr>
              <w:t>c</w:t>
            </w:r>
          </w:p>
        </w:tc>
        <w:tc>
          <w:tcPr>
            <w:tcW w:w="2191" w:type="dxa"/>
            <w:vAlign w:val="center"/>
          </w:tcPr>
          <w:p w14:paraId="68B4DB86" w14:textId="273670F1" w:rsidR="004B6D3D" w:rsidRPr="00BA4471" w:rsidRDefault="004B6D3D" w:rsidP="00BA4471">
            <w:pPr>
              <w:rPr>
                <w:rFonts w:ascii="Arial" w:hAnsi="Arial" w:cs="Arial"/>
                <w:b/>
                <w:bCs/>
                <w:sz w:val="20"/>
                <w:szCs w:val="20"/>
              </w:rPr>
            </w:pPr>
            <w:r w:rsidRPr="00BA4471">
              <w:rPr>
                <w:rFonts w:ascii="Arial" w:hAnsi="Arial" w:cs="Arial"/>
                <w:sz w:val="20"/>
                <w:szCs w:val="20"/>
              </w:rPr>
              <w:t>36.4 ± 0.60</w:t>
            </w:r>
            <w:r w:rsidR="008A57CB" w:rsidRPr="00BA4471">
              <w:rPr>
                <w:rFonts w:ascii="Arial" w:hAnsi="Arial" w:cs="Arial"/>
                <w:sz w:val="20"/>
                <w:szCs w:val="20"/>
                <w:vertAlign w:val="superscript"/>
              </w:rPr>
              <w:t>d</w:t>
            </w:r>
          </w:p>
        </w:tc>
        <w:tc>
          <w:tcPr>
            <w:tcW w:w="1762" w:type="dxa"/>
            <w:vAlign w:val="center"/>
          </w:tcPr>
          <w:p w14:paraId="7D5687DB" w14:textId="7C4DEE96" w:rsidR="004B6D3D" w:rsidRPr="00BA4471" w:rsidRDefault="004B6D3D" w:rsidP="00BA4471">
            <w:pPr>
              <w:rPr>
                <w:rFonts w:ascii="Arial" w:hAnsi="Arial" w:cs="Arial"/>
                <w:b/>
                <w:bCs/>
                <w:sz w:val="20"/>
                <w:szCs w:val="20"/>
              </w:rPr>
            </w:pPr>
            <w:r w:rsidRPr="00BA4471">
              <w:rPr>
                <w:rFonts w:ascii="Arial" w:hAnsi="Arial" w:cs="Arial"/>
                <w:sz w:val="20"/>
                <w:szCs w:val="20"/>
              </w:rPr>
              <w:t>7.8 ± 0.28</w:t>
            </w:r>
            <w:r w:rsidR="00CA3818" w:rsidRPr="00BA4471">
              <w:rPr>
                <w:rFonts w:ascii="Arial" w:hAnsi="Arial" w:cs="Arial"/>
                <w:sz w:val="20"/>
                <w:szCs w:val="20"/>
                <w:vertAlign w:val="superscript"/>
              </w:rPr>
              <w:t>b</w:t>
            </w:r>
          </w:p>
        </w:tc>
      </w:tr>
      <w:tr w:rsidR="004B6D3D" w:rsidRPr="00BA4471" w14:paraId="3B87E935" w14:textId="77777777" w:rsidTr="00E95FEA">
        <w:tc>
          <w:tcPr>
            <w:tcW w:w="1323" w:type="dxa"/>
            <w:vAlign w:val="center"/>
          </w:tcPr>
          <w:p w14:paraId="4C502C80" w14:textId="77777777" w:rsidR="004B6D3D" w:rsidRPr="00BA4471" w:rsidRDefault="004B6D3D" w:rsidP="00BA4471">
            <w:pPr>
              <w:rPr>
                <w:rFonts w:ascii="Arial" w:hAnsi="Arial" w:cs="Arial"/>
                <w:b/>
                <w:bCs/>
                <w:sz w:val="20"/>
                <w:szCs w:val="20"/>
              </w:rPr>
            </w:pPr>
            <w:r w:rsidRPr="00BA4471">
              <w:rPr>
                <w:rFonts w:ascii="Arial" w:hAnsi="Arial" w:cs="Arial"/>
                <w:sz w:val="20"/>
                <w:szCs w:val="20"/>
              </w:rPr>
              <w:t>4 years</w:t>
            </w:r>
          </w:p>
        </w:tc>
        <w:tc>
          <w:tcPr>
            <w:tcW w:w="536" w:type="dxa"/>
            <w:vAlign w:val="center"/>
          </w:tcPr>
          <w:p w14:paraId="3AC7FC66"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252A9CFD" w14:textId="6CA8534B" w:rsidR="004B6D3D" w:rsidRPr="00BA4471" w:rsidRDefault="004B6D3D" w:rsidP="00BA4471">
            <w:pPr>
              <w:rPr>
                <w:rFonts w:ascii="Arial" w:hAnsi="Arial" w:cs="Arial"/>
                <w:b/>
                <w:bCs/>
                <w:sz w:val="20"/>
                <w:szCs w:val="20"/>
              </w:rPr>
            </w:pPr>
            <w:r w:rsidRPr="00BA4471">
              <w:rPr>
                <w:rFonts w:ascii="Arial" w:hAnsi="Arial" w:cs="Arial"/>
                <w:sz w:val="20"/>
                <w:szCs w:val="20"/>
              </w:rPr>
              <w:t>485 ± 13.3</w:t>
            </w:r>
            <w:r w:rsidR="006C6C53" w:rsidRPr="00BA4471">
              <w:rPr>
                <w:rFonts w:ascii="Arial" w:hAnsi="Arial" w:cs="Arial"/>
                <w:sz w:val="20"/>
                <w:szCs w:val="20"/>
                <w:vertAlign w:val="superscript"/>
              </w:rPr>
              <w:t>e</w:t>
            </w:r>
          </w:p>
        </w:tc>
        <w:tc>
          <w:tcPr>
            <w:tcW w:w="1772" w:type="dxa"/>
            <w:vAlign w:val="center"/>
          </w:tcPr>
          <w:p w14:paraId="6ED557C5" w14:textId="28512C59" w:rsidR="004B6D3D" w:rsidRPr="00BA4471" w:rsidRDefault="004B6D3D" w:rsidP="00BA4471">
            <w:pPr>
              <w:rPr>
                <w:rFonts w:ascii="Arial" w:hAnsi="Arial" w:cs="Arial"/>
                <w:sz w:val="20"/>
                <w:szCs w:val="20"/>
              </w:rPr>
            </w:pPr>
            <w:r w:rsidRPr="00BA4471">
              <w:rPr>
                <w:rFonts w:ascii="Arial" w:hAnsi="Arial" w:cs="Arial"/>
                <w:sz w:val="20"/>
                <w:szCs w:val="20"/>
              </w:rPr>
              <w:t>3.4 ± 0.09</w:t>
            </w:r>
            <w:r w:rsidR="00DC313C" w:rsidRPr="00BA4471">
              <w:rPr>
                <w:rFonts w:ascii="Arial" w:hAnsi="Arial" w:cs="Arial"/>
                <w:sz w:val="20"/>
                <w:szCs w:val="20"/>
                <w:vertAlign w:val="superscript"/>
              </w:rPr>
              <w:t>cd</w:t>
            </w:r>
          </w:p>
        </w:tc>
        <w:tc>
          <w:tcPr>
            <w:tcW w:w="2191" w:type="dxa"/>
            <w:vAlign w:val="center"/>
          </w:tcPr>
          <w:p w14:paraId="099513CF" w14:textId="48E9B0ED" w:rsidR="004B6D3D" w:rsidRPr="00BA4471" w:rsidRDefault="004B6D3D" w:rsidP="00BA4471">
            <w:pPr>
              <w:rPr>
                <w:rFonts w:ascii="Arial" w:hAnsi="Arial" w:cs="Arial"/>
                <w:b/>
                <w:bCs/>
                <w:sz w:val="20"/>
                <w:szCs w:val="20"/>
              </w:rPr>
            </w:pPr>
            <w:r w:rsidRPr="00BA4471">
              <w:rPr>
                <w:rFonts w:ascii="Arial" w:hAnsi="Arial" w:cs="Arial"/>
                <w:sz w:val="20"/>
                <w:szCs w:val="20"/>
              </w:rPr>
              <w:t>38.7 ± 0.66</w:t>
            </w:r>
            <w:r w:rsidR="008A57CB" w:rsidRPr="00BA4471">
              <w:rPr>
                <w:rFonts w:ascii="Arial" w:hAnsi="Arial" w:cs="Arial"/>
                <w:sz w:val="20"/>
                <w:szCs w:val="20"/>
                <w:vertAlign w:val="superscript"/>
              </w:rPr>
              <w:t>d</w:t>
            </w:r>
          </w:p>
        </w:tc>
        <w:tc>
          <w:tcPr>
            <w:tcW w:w="1762" w:type="dxa"/>
            <w:vAlign w:val="center"/>
          </w:tcPr>
          <w:p w14:paraId="3725ADC3" w14:textId="6D4962CA" w:rsidR="004B6D3D" w:rsidRPr="00BA4471" w:rsidRDefault="004B6D3D" w:rsidP="00BA4471">
            <w:pPr>
              <w:rPr>
                <w:rFonts w:ascii="Arial" w:hAnsi="Arial" w:cs="Arial"/>
                <w:b/>
                <w:bCs/>
                <w:sz w:val="20"/>
                <w:szCs w:val="20"/>
              </w:rPr>
            </w:pPr>
            <w:r w:rsidRPr="00BA4471">
              <w:rPr>
                <w:rFonts w:ascii="Arial" w:hAnsi="Arial" w:cs="Arial"/>
                <w:sz w:val="20"/>
                <w:szCs w:val="20"/>
              </w:rPr>
              <w:t>8.9 ± 0.22</w:t>
            </w:r>
            <w:r w:rsidR="00CA3818" w:rsidRPr="00BA4471">
              <w:rPr>
                <w:rFonts w:ascii="Arial" w:hAnsi="Arial" w:cs="Arial"/>
                <w:sz w:val="20"/>
                <w:szCs w:val="20"/>
                <w:vertAlign w:val="superscript"/>
              </w:rPr>
              <w:t>c</w:t>
            </w:r>
          </w:p>
        </w:tc>
      </w:tr>
      <w:tr w:rsidR="004B6D3D" w:rsidRPr="00BA4471" w14:paraId="39183A6C" w14:textId="77777777" w:rsidTr="00E95FEA">
        <w:tc>
          <w:tcPr>
            <w:tcW w:w="1323" w:type="dxa"/>
            <w:vAlign w:val="center"/>
          </w:tcPr>
          <w:p w14:paraId="680A6826" w14:textId="77777777" w:rsidR="004B6D3D" w:rsidRPr="00BA4471" w:rsidRDefault="004B6D3D" w:rsidP="00BA4471">
            <w:pPr>
              <w:rPr>
                <w:rFonts w:ascii="Arial" w:hAnsi="Arial" w:cs="Arial"/>
                <w:b/>
                <w:bCs/>
                <w:sz w:val="20"/>
                <w:szCs w:val="20"/>
              </w:rPr>
            </w:pPr>
            <w:r w:rsidRPr="00BA4471">
              <w:rPr>
                <w:rFonts w:ascii="Arial" w:hAnsi="Arial" w:cs="Arial"/>
                <w:sz w:val="20"/>
                <w:szCs w:val="20"/>
              </w:rPr>
              <w:t>5 years</w:t>
            </w:r>
          </w:p>
        </w:tc>
        <w:tc>
          <w:tcPr>
            <w:tcW w:w="536" w:type="dxa"/>
            <w:vAlign w:val="center"/>
          </w:tcPr>
          <w:p w14:paraId="724A6819"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2B886F4F" w14:textId="7BC81795" w:rsidR="004B6D3D" w:rsidRPr="00BA4471" w:rsidRDefault="004B6D3D" w:rsidP="00BA4471">
            <w:pPr>
              <w:rPr>
                <w:rFonts w:ascii="Arial" w:hAnsi="Arial" w:cs="Arial"/>
                <w:b/>
                <w:bCs/>
                <w:sz w:val="20"/>
                <w:szCs w:val="20"/>
              </w:rPr>
            </w:pPr>
            <w:r w:rsidRPr="00BA4471">
              <w:rPr>
                <w:rFonts w:ascii="Arial" w:hAnsi="Arial" w:cs="Arial"/>
                <w:sz w:val="20"/>
                <w:szCs w:val="20"/>
              </w:rPr>
              <w:t>502 ± 14.2</w:t>
            </w:r>
            <w:r w:rsidR="006C6C53" w:rsidRPr="00BA4471">
              <w:rPr>
                <w:rFonts w:ascii="Arial" w:hAnsi="Arial" w:cs="Arial"/>
                <w:sz w:val="20"/>
                <w:szCs w:val="20"/>
                <w:vertAlign w:val="superscript"/>
              </w:rPr>
              <w:t>e</w:t>
            </w:r>
          </w:p>
        </w:tc>
        <w:tc>
          <w:tcPr>
            <w:tcW w:w="1772" w:type="dxa"/>
            <w:vAlign w:val="center"/>
          </w:tcPr>
          <w:p w14:paraId="2C22F6A7" w14:textId="56DB3393" w:rsidR="004B6D3D" w:rsidRPr="00BA4471" w:rsidRDefault="004B6D3D" w:rsidP="00BA4471">
            <w:pPr>
              <w:rPr>
                <w:rFonts w:ascii="Arial" w:hAnsi="Arial" w:cs="Arial"/>
                <w:sz w:val="20"/>
                <w:szCs w:val="20"/>
              </w:rPr>
            </w:pPr>
            <w:r w:rsidRPr="00BA4471">
              <w:rPr>
                <w:rFonts w:ascii="Arial" w:hAnsi="Arial" w:cs="Arial"/>
                <w:sz w:val="20"/>
                <w:szCs w:val="20"/>
              </w:rPr>
              <w:t>3.6 ± 0.09</w:t>
            </w:r>
            <w:r w:rsidR="00DC313C" w:rsidRPr="00BA4471">
              <w:rPr>
                <w:rFonts w:ascii="Arial" w:hAnsi="Arial" w:cs="Arial"/>
                <w:sz w:val="20"/>
                <w:szCs w:val="20"/>
                <w:vertAlign w:val="superscript"/>
              </w:rPr>
              <w:t>d</w:t>
            </w:r>
          </w:p>
        </w:tc>
        <w:tc>
          <w:tcPr>
            <w:tcW w:w="2191" w:type="dxa"/>
            <w:vAlign w:val="center"/>
          </w:tcPr>
          <w:p w14:paraId="545D2D0C" w14:textId="791B10D0" w:rsidR="004B6D3D" w:rsidRPr="00BA4471" w:rsidRDefault="004B6D3D" w:rsidP="00BA4471">
            <w:pPr>
              <w:rPr>
                <w:rFonts w:ascii="Arial" w:hAnsi="Arial" w:cs="Arial"/>
                <w:b/>
                <w:bCs/>
                <w:sz w:val="20"/>
                <w:szCs w:val="20"/>
              </w:rPr>
            </w:pPr>
            <w:r w:rsidRPr="00BA4471">
              <w:rPr>
                <w:rFonts w:ascii="Arial" w:hAnsi="Arial" w:cs="Arial"/>
                <w:sz w:val="20"/>
                <w:szCs w:val="20"/>
              </w:rPr>
              <w:t>38.2 ± 0.63</w:t>
            </w:r>
            <w:r w:rsidR="008A57CB" w:rsidRPr="00BA4471">
              <w:rPr>
                <w:rFonts w:ascii="Arial" w:hAnsi="Arial" w:cs="Arial"/>
                <w:sz w:val="20"/>
                <w:szCs w:val="20"/>
                <w:vertAlign w:val="superscript"/>
              </w:rPr>
              <w:t>d</w:t>
            </w:r>
          </w:p>
        </w:tc>
        <w:tc>
          <w:tcPr>
            <w:tcW w:w="1762" w:type="dxa"/>
            <w:vAlign w:val="center"/>
          </w:tcPr>
          <w:p w14:paraId="15961109" w14:textId="7B90A32C" w:rsidR="004B6D3D" w:rsidRPr="00BA4471" w:rsidRDefault="004B6D3D" w:rsidP="00BA4471">
            <w:pPr>
              <w:rPr>
                <w:rFonts w:ascii="Arial" w:hAnsi="Arial" w:cs="Arial"/>
                <w:b/>
                <w:bCs/>
                <w:sz w:val="20"/>
                <w:szCs w:val="20"/>
              </w:rPr>
            </w:pPr>
            <w:r w:rsidRPr="00BA4471">
              <w:rPr>
                <w:rFonts w:ascii="Arial" w:hAnsi="Arial" w:cs="Arial"/>
                <w:sz w:val="20"/>
                <w:szCs w:val="20"/>
              </w:rPr>
              <w:t>8.4 ± 0.25</w:t>
            </w:r>
            <w:r w:rsidR="00CA3818" w:rsidRPr="00BA4471">
              <w:rPr>
                <w:rFonts w:ascii="Arial" w:hAnsi="Arial" w:cs="Arial"/>
                <w:sz w:val="20"/>
                <w:szCs w:val="20"/>
                <w:vertAlign w:val="superscript"/>
              </w:rPr>
              <w:t>c</w:t>
            </w:r>
          </w:p>
        </w:tc>
      </w:tr>
      <w:tr w:rsidR="004B6D3D" w:rsidRPr="00BA4471" w14:paraId="2A0D9E1F" w14:textId="77777777" w:rsidTr="00E95FEA">
        <w:tc>
          <w:tcPr>
            <w:tcW w:w="1323" w:type="dxa"/>
            <w:vAlign w:val="center"/>
          </w:tcPr>
          <w:p w14:paraId="718604E4" w14:textId="77777777" w:rsidR="004B6D3D" w:rsidRPr="00BA4471" w:rsidRDefault="004B6D3D" w:rsidP="00BA4471">
            <w:pPr>
              <w:rPr>
                <w:rFonts w:ascii="Arial" w:hAnsi="Arial" w:cs="Arial"/>
                <w:b/>
                <w:bCs/>
                <w:sz w:val="20"/>
                <w:szCs w:val="20"/>
              </w:rPr>
            </w:pPr>
            <w:r w:rsidRPr="00BA4471">
              <w:rPr>
                <w:rFonts w:ascii="Arial" w:hAnsi="Arial" w:cs="Arial"/>
                <w:sz w:val="20"/>
                <w:szCs w:val="20"/>
              </w:rPr>
              <w:t>6 years</w:t>
            </w:r>
          </w:p>
        </w:tc>
        <w:tc>
          <w:tcPr>
            <w:tcW w:w="536" w:type="dxa"/>
            <w:vAlign w:val="center"/>
          </w:tcPr>
          <w:p w14:paraId="3D769FDB"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0ADF664F" w14:textId="587EC6F3" w:rsidR="004B6D3D" w:rsidRPr="00BA4471" w:rsidRDefault="004B6D3D" w:rsidP="00BA4471">
            <w:pPr>
              <w:rPr>
                <w:rFonts w:ascii="Arial" w:hAnsi="Arial" w:cs="Arial"/>
                <w:b/>
                <w:bCs/>
                <w:sz w:val="20"/>
                <w:szCs w:val="20"/>
              </w:rPr>
            </w:pPr>
            <w:r w:rsidRPr="00BA4471">
              <w:rPr>
                <w:rFonts w:ascii="Arial" w:hAnsi="Arial" w:cs="Arial"/>
                <w:sz w:val="20"/>
                <w:szCs w:val="20"/>
              </w:rPr>
              <w:t>515 ± 15.2</w:t>
            </w:r>
            <w:r w:rsidR="006C6C53" w:rsidRPr="00BA4471">
              <w:rPr>
                <w:rFonts w:ascii="Arial" w:hAnsi="Arial" w:cs="Arial"/>
                <w:sz w:val="20"/>
                <w:szCs w:val="20"/>
                <w:vertAlign w:val="superscript"/>
              </w:rPr>
              <w:t>e</w:t>
            </w:r>
          </w:p>
        </w:tc>
        <w:tc>
          <w:tcPr>
            <w:tcW w:w="1772" w:type="dxa"/>
            <w:vAlign w:val="center"/>
          </w:tcPr>
          <w:p w14:paraId="37649EB2" w14:textId="386B3E60" w:rsidR="004B6D3D" w:rsidRPr="00BA4471" w:rsidRDefault="004B6D3D" w:rsidP="00BA4471">
            <w:pPr>
              <w:rPr>
                <w:rFonts w:ascii="Arial" w:hAnsi="Arial" w:cs="Arial"/>
                <w:sz w:val="20"/>
                <w:szCs w:val="20"/>
              </w:rPr>
            </w:pPr>
            <w:r w:rsidRPr="00BA4471">
              <w:rPr>
                <w:rFonts w:ascii="Arial" w:hAnsi="Arial" w:cs="Arial"/>
                <w:sz w:val="20"/>
                <w:szCs w:val="20"/>
              </w:rPr>
              <w:t>3.8 ± 0.13</w:t>
            </w:r>
            <w:r w:rsidR="00DC313C" w:rsidRPr="00BA4471">
              <w:rPr>
                <w:rFonts w:ascii="Arial" w:hAnsi="Arial" w:cs="Arial"/>
                <w:sz w:val="20"/>
                <w:szCs w:val="20"/>
                <w:vertAlign w:val="superscript"/>
              </w:rPr>
              <w:t>e</w:t>
            </w:r>
          </w:p>
        </w:tc>
        <w:tc>
          <w:tcPr>
            <w:tcW w:w="2191" w:type="dxa"/>
            <w:vAlign w:val="center"/>
          </w:tcPr>
          <w:p w14:paraId="2A28DCC5" w14:textId="457F0569" w:rsidR="004B6D3D" w:rsidRPr="00BA4471" w:rsidRDefault="004B6D3D" w:rsidP="00BA4471">
            <w:pPr>
              <w:rPr>
                <w:rFonts w:ascii="Arial" w:hAnsi="Arial" w:cs="Arial"/>
                <w:b/>
                <w:bCs/>
                <w:sz w:val="20"/>
                <w:szCs w:val="20"/>
              </w:rPr>
            </w:pPr>
            <w:r w:rsidRPr="00BA4471">
              <w:rPr>
                <w:rFonts w:ascii="Arial" w:hAnsi="Arial" w:cs="Arial"/>
                <w:sz w:val="20"/>
                <w:szCs w:val="20"/>
              </w:rPr>
              <w:t>37.8 ± 0.7</w:t>
            </w:r>
            <w:r w:rsidR="008A57CB" w:rsidRPr="00BA4471">
              <w:rPr>
                <w:rFonts w:ascii="Arial" w:hAnsi="Arial" w:cs="Arial"/>
                <w:sz w:val="20"/>
                <w:szCs w:val="20"/>
              </w:rPr>
              <w:t>3</w:t>
            </w:r>
            <w:r w:rsidR="008A57CB" w:rsidRPr="00BA4471">
              <w:rPr>
                <w:rFonts w:ascii="Arial" w:hAnsi="Arial" w:cs="Arial"/>
                <w:sz w:val="20"/>
                <w:szCs w:val="20"/>
                <w:vertAlign w:val="superscript"/>
              </w:rPr>
              <w:t>d</w:t>
            </w:r>
          </w:p>
        </w:tc>
        <w:tc>
          <w:tcPr>
            <w:tcW w:w="1762" w:type="dxa"/>
            <w:vAlign w:val="center"/>
          </w:tcPr>
          <w:p w14:paraId="7CAA3DB1" w14:textId="6AF66FCB" w:rsidR="004B6D3D" w:rsidRPr="00BA4471" w:rsidRDefault="004B6D3D" w:rsidP="00BA4471">
            <w:pPr>
              <w:rPr>
                <w:rFonts w:ascii="Arial" w:hAnsi="Arial" w:cs="Arial"/>
                <w:b/>
                <w:bCs/>
                <w:sz w:val="20"/>
                <w:szCs w:val="20"/>
              </w:rPr>
            </w:pPr>
            <w:r w:rsidRPr="00BA4471">
              <w:rPr>
                <w:rFonts w:ascii="Arial" w:hAnsi="Arial" w:cs="Arial"/>
                <w:sz w:val="20"/>
                <w:szCs w:val="20"/>
              </w:rPr>
              <w:t>7.9 ± 0.28</w:t>
            </w:r>
            <w:r w:rsidR="00CA3818" w:rsidRPr="00BA4471">
              <w:rPr>
                <w:rFonts w:ascii="Arial" w:hAnsi="Arial" w:cs="Arial"/>
                <w:sz w:val="20"/>
                <w:szCs w:val="20"/>
                <w:vertAlign w:val="superscript"/>
              </w:rPr>
              <w:t>bc</w:t>
            </w:r>
          </w:p>
        </w:tc>
      </w:tr>
      <w:tr w:rsidR="004B6D3D" w:rsidRPr="00BA4471" w14:paraId="562B2613" w14:textId="77777777" w:rsidTr="00E95FEA">
        <w:tc>
          <w:tcPr>
            <w:tcW w:w="1323" w:type="dxa"/>
            <w:vAlign w:val="center"/>
          </w:tcPr>
          <w:p w14:paraId="6777D79D" w14:textId="77777777" w:rsidR="004B6D3D" w:rsidRPr="00BA4471" w:rsidRDefault="004B6D3D" w:rsidP="00BA4471">
            <w:pPr>
              <w:rPr>
                <w:rFonts w:ascii="Arial" w:hAnsi="Arial" w:cs="Arial"/>
                <w:b/>
                <w:bCs/>
                <w:sz w:val="20"/>
                <w:szCs w:val="20"/>
              </w:rPr>
            </w:pPr>
            <w:r w:rsidRPr="00BA4471">
              <w:rPr>
                <w:rFonts w:ascii="Arial" w:hAnsi="Arial" w:cs="Arial"/>
                <w:sz w:val="20"/>
                <w:szCs w:val="20"/>
              </w:rPr>
              <w:t>7 years</w:t>
            </w:r>
          </w:p>
        </w:tc>
        <w:tc>
          <w:tcPr>
            <w:tcW w:w="536" w:type="dxa"/>
            <w:vAlign w:val="center"/>
          </w:tcPr>
          <w:p w14:paraId="7B977F64"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7DFF2BF7" w14:textId="33DE616E" w:rsidR="004B6D3D" w:rsidRPr="00BA4471" w:rsidRDefault="004B6D3D" w:rsidP="00BA4471">
            <w:pPr>
              <w:rPr>
                <w:rFonts w:ascii="Arial" w:hAnsi="Arial" w:cs="Arial"/>
                <w:b/>
                <w:bCs/>
                <w:sz w:val="20"/>
                <w:szCs w:val="20"/>
              </w:rPr>
            </w:pPr>
            <w:r w:rsidRPr="00BA4471">
              <w:rPr>
                <w:rFonts w:ascii="Arial" w:hAnsi="Arial" w:cs="Arial"/>
                <w:sz w:val="20"/>
                <w:szCs w:val="20"/>
              </w:rPr>
              <w:t>518 ± 16.4</w:t>
            </w:r>
            <w:r w:rsidR="006C6C53" w:rsidRPr="00BA4471">
              <w:rPr>
                <w:rFonts w:ascii="Arial" w:hAnsi="Arial" w:cs="Arial"/>
                <w:sz w:val="20"/>
                <w:szCs w:val="20"/>
                <w:vertAlign w:val="superscript"/>
              </w:rPr>
              <w:t>e</w:t>
            </w:r>
          </w:p>
        </w:tc>
        <w:tc>
          <w:tcPr>
            <w:tcW w:w="1772" w:type="dxa"/>
            <w:vAlign w:val="center"/>
          </w:tcPr>
          <w:p w14:paraId="4146A0AF" w14:textId="3AD1CDF0" w:rsidR="004B6D3D" w:rsidRPr="00BA4471" w:rsidRDefault="004B6D3D" w:rsidP="00BA4471">
            <w:pPr>
              <w:rPr>
                <w:rFonts w:ascii="Arial" w:hAnsi="Arial" w:cs="Arial"/>
                <w:sz w:val="20"/>
                <w:szCs w:val="20"/>
              </w:rPr>
            </w:pPr>
            <w:r w:rsidRPr="00BA4471">
              <w:rPr>
                <w:rFonts w:ascii="Arial" w:hAnsi="Arial" w:cs="Arial"/>
                <w:sz w:val="20"/>
                <w:szCs w:val="20"/>
              </w:rPr>
              <w:t>4.1 ± 0.13</w:t>
            </w:r>
            <w:r w:rsidR="00DC313C" w:rsidRPr="00BA4471">
              <w:rPr>
                <w:rFonts w:ascii="Arial" w:hAnsi="Arial" w:cs="Arial"/>
                <w:sz w:val="20"/>
                <w:szCs w:val="20"/>
                <w:vertAlign w:val="superscript"/>
              </w:rPr>
              <w:t>f</w:t>
            </w:r>
          </w:p>
        </w:tc>
        <w:tc>
          <w:tcPr>
            <w:tcW w:w="2191" w:type="dxa"/>
            <w:vAlign w:val="center"/>
          </w:tcPr>
          <w:p w14:paraId="4D8F4073" w14:textId="62AD738D" w:rsidR="004B6D3D" w:rsidRPr="00BA4471" w:rsidRDefault="004B6D3D" w:rsidP="00BA4471">
            <w:pPr>
              <w:rPr>
                <w:rFonts w:ascii="Arial" w:hAnsi="Arial" w:cs="Arial"/>
                <w:b/>
                <w:bCs/>
                <w:sz w:val="20"/>
                <w:szCs w:val="20"/>
              </w:rPr>
            </w:pPr>
            <w:r w:rsidRPr="00BA4471">
              <w:rPr>
                <w:rFonts w:ascii="Arial" w:hAnsi="Arial" w:cs="Arial"/>
                <w:sz w:val="20"/>
                <w:szCs w:val="20"/>
              </w:rPr>
              <w:t>37.5 ± 0.76</w:t>
            </w:r>
            <w:r w:rsidR="008A57CB" w:rsidRPr="00BA4471">
              <w:rPr>
                <w:rFonts w:ascii="Arial" w:hAnsi="Arial" w:cs="Arial"/>
                <w:sz w:val="20"/>
                <w:szCs w:val="20"/>
                <w:vertAlign w:val="superscript"/>
              </w:rPr>
              <w:t>d</w:t>
            </w:r>
          </w:p>
        </w:tc>
        <w:tc>
          <w:tcPr>
            <w:tcW w:w="1762" w:type="dxa"/>
            <w:vAlign w:val="center"/>
          </w:tcPr>
          <w:p w14:paraId="0BA864AE" w14:textId="269FE0B5" w:rsidR="004B6D3D" w:rsidRPr="00BA4471" w:rsidRDefault="004B6D3D" w:rsidP="00BA4471">
            <w:pPr>
              <w:rPr>
                <w:rFonts w:ascii="Arial" w:hAnsi="Arial" w:cs="Arial"/>
                <w:b/>
                <w:bCs/>
                <w:sz w:val="20"/>
                <w:szCs w:val="20"/>
              </w:rPr>
            </w:pPr>
            <w:r w:rsidRPr="00BA4471">
              <w:rPr>
                <w:rFonts w:ascii="Arial" w:hAnsi="Arial" w:cs="Arial"/>
                <w:sz w:val="20"/>
                <w:szCs w:val="20"/>
              </w:rPr>
              <w:t>7.4 ± 0.32</w:t>
            </w:r>
            <w:r w:rsidR="00CA3818" w:rsidRPr="00BA4471">
              <w:rPr>
                <w:rFonts w:ascii="Arial" w:hAnsi="Arial" w:cs="Arial"/>
                <w:sz w:val="20"/>
                <w:szCs w:val="20"/>
                <w:vertAlign w:val="superscript"/>
              </w:rPr>
              <w:t>b</w:t>
            </w:r>
          </w:p>
        </w:tc>
      </w:tr>
      <w:tr w:rsidR="004B6D3D" w:rsidRPr="00BA4471" w14:paraId="520A19E5" w14:textId="77777777" w:rsidTr="00E95FEA">
        <w:tc>
          <w:tcPr>
            <w:tcW w:w="1323" w:type="dxa"/>
            <w:vAlign w:val="center"/>
          </w:tcPr>
          <w:p w14:paraId="50608FF3" w14:textId="77777777" w:rsidR="004B6D3D" w:rsidRPr="00BA4471" w:rsidRDefault="004B6D3D" w:rsidP="00BA4471">
            <w:pPr>
              <w:rPr>
                <w:rFonts w:ascii="Arial" w:hAnsi="Arial" w:cs="Arial"/>
                <w:b/>
                <w:bCs/>
                <w:sz w:val="20"/>
                <w:szCs w:val="20"/>
              </w:rPr>
            </w:pPr>
            <w:r w:rsidRPr="00BA4471">
              <w:rPr>
                <w:rFonts w:ascii="Arial" w:hAnsi="Arial" w:cs="Arial"/>
                <w:sz w:val="20"/>
                <w:szCs w:val="20"/>
              </w:rPr>
              <w:lastRenderedPageBreak/>
              <w:t>≥8 years</w:t>
            </w:r>
          </w:p>
        </w:tc>
        <w:tc>
          <w:tcPr>
            <w:tcW w:w="536" w:type="dxa"/>
            <w:vAlign w:val="center"/>
          </w:tcPr>
          <w:p w14:paraId="237F5072"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663DDFDB" w14:textId="2A9514A7" w:rsidR="004B6D3D" w:rsidRPr="00BA4471" w:rsidRDefault="004B6D3D" w:rsidP="00BA4471">
            <w:pPr>
              <w:rPr>
                <w:rFonts w:ascii="Arial" w:hAnsi="Arial" w:cs="Arial"/>
                <w:b/>
                <w:bCs/>
                <w:sz w:val="20"/>
                <w:szCs w:val="20"/>
              </w:rPr>
            </w:pPr>
            <w:r w:rsidRPr="00BA4471">
              <w:rPr>
                <w:rFonts w:ascii="Arial" w:hAnsi="Arial" w:cs="Arial"/>
                <w:sz w:val="20"/>
                <w:szCs w:val="20"/>
              </w:rPr>
              <w:t>510 ± 17.4</w:t>
            </w:r>
            <w:r w:rsidR="006C6C53" w:rsidRPr="00BA4471">
              <w:rPr>
                <w:rFonts w:ascii="Arial" w:hAnsi="Arial" w:cs="Arial"/>
                <w:sz w:val="20"/>
                <w:szCs w:val="20"/>
                <w:vertAlign w:val="superscript"/>
              </w:rPr>
              <w:t>e</w:t>
            </w:r>
          </w:p>
        </w:tc>
        <w:tc>
          <w:tcPr>
            <w:tcW w:w="1772" w:type="dxa"/>
            <w:vAlign w:val="center"/>
          </w:tcPr>
          <w:p w14:paraId="6EC1C878" w14:textId="3E05C131" w:rsidR="004B6D3D" w:rsidRPr="00BA4471" w:rsidRDefault="004B6D3D" w:rsidP="00BA4471">
            <w:pPr>
              <w:rPr>
                <w:rFonts w:ascii="Arial" w:hAnsi="Arial" w:cs="Arial"/>
                <w:sz w:val="20"/>
                <w:szCs w:val="20"/>
              </w:rPr>
            </w:pPr>
            <w:r w:rsidRPr="00BA4471">
              <w:rPr>
                <w:rFonts w:ascii="Arial" w:hAnsi="Arial" w:cs="Arial"/>
                <w:sz w:val="20"/>
                <w:szCs w:val="20"/>
              </w:rPr>
              <w:t>3.6 ± 0.13</w:t>
            </w:r>
            <w:r w:rsidR="00DC313C" w:rsidRPr="00BA4471">
              <w:rPr>
                <w:rFonts w:ascii="Arial" w:hAnsi="Arial" w:cs="Arial"/>
                <w:sz w:val="20"/>
                <w:szCs w:val="20"/>
                <w:vertAlign w:val="superscript"/>
              </w:rPr>
              <w:t>d</w:t>
            </w:r>
          </w:p>
        </w:tc>
        <w:tc>
          <w:tcPr>
            <w:tcW w:w="2191" w:type="dxa"/>
            <w:vAlign w:val="center"/>
          </w:tcPr>
          <w:p w14:paraId="1B34A3B9" w14:textId="61D2DD82" w:rsidR="004B6D3D" w:rsidRPr="00BA4471" w:rsidRDefault="004B6D3D" w:rsidP="00BA4471">
            <w:pPr>
              <w:rPr>
                <w:rFonts w:ascii="Arial" w:hAnsi="Arial" w:cs="Arial"/>
                <w:b/>
                <w:bCs/>
                <w:sz w:val="20"/>
                <w:szCs w:val="20"/>
              </w:rPr>
            </w:pPr>
            <w:r w:rsidRPr="00BA4471">
              <w:rPr>
                <w:rFonts w:ascii="Arial" w:hAnsi="Arial" w:cs="Arial"/>
                <w:sz w:val="20"/>
                <w:szCs w:val="20"/>
              </w:rPr>
              <w:t>37.2 ± 0.79</w:t>
            </w:r>
            <w:r w:rsidR="008A57CB" w:rsidRPr="00BA4471">
              <w:rPr>
                <w:rFonts w:ascii="Arial" w:hAnsi="Arial" w:cs="Arial"/>
                <w:sz w:val="20"/>
                <w:szCs w:val="20"/>
                <w:vertAlign w:val="superscript"/>
              </w:rPr>
              <w:t>d</w:t>
            </w:r>
          </w:p>
        </w:tc>
        <w:tc>
          <w:tcPr>
            <w:tcW w:w="1762" w:type="dxa"/>
            <w:vAlign w:val="center"/>
          </w:tcPr>
          <w:p w14:paraId="4D79BB0F" w14:textId="5468899D" w:rsidR="00CA3818" w:rsidRPr="00BA4471" w:rsidRDefault="004B6D3D" w:rsidP="00BA4471">
            <w:pPr>
              <w:rPr>
                <w:rFonts w:ascii="Arial" w:hAnsi="Arial" w:cs="Arial"/>
                <w:sz w:val="20"/>
                <w:szCs w:val="20"/>
              </w:rPr>
            </w:pPr>
            <w:r w:rsidRPr="00BA4471">
              <w:rPr>
                <w:rFonts w:ascii="Arial" w:hAnsi="Arial" w:cs="Arial"/>
                <w:sz w:val="20"/>
                <w:szCs w:val="20"/>
              </w:rPr>
              <w:t>7.1 ± 0.38</w:t>
            </w:r>
            <w:r w:rsidR="00CA3818" w:rsidRPr="00BA4471">
              <w:rPr>
                <w:rFonts w:ascii="Arial" w:hAnsi="Arial" w:cs="Arial"/>
                <w:sz w:val="20"/>
                <w:szCs w:val="20"/>
                <w:vertAlign w:val="superscript"/>
              </w:rPr>
              <w:t>b</w:t>
            </w:r>
          </w:p>
        </w:tc>
      </w:tr>
      <w:tr w:rsidR="004B6D3D" w:rsidRPr="00BA4471" w14:paraId="50EA13AD" w14:textId="77777777" w:rsidTr="00E95FEA">
        <w:tc>
          <w:tcPr>
            <w:tcW w:w="1323" w:type="dxa"/>
          </w:tcPr>
          <w:p w14:paraId="32595D74" w14:textId="77777777"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p-value</w:t>
            </w:r>
          </w:p>
        </w:tc>
        <w:tc>
          <w:tcPr>
            <w:tcW w:w="536" w:type="dxa"/>
          </w:tcPr>
          <w:p w14:paraId="29630488" w14:textId="77777777" w:rsidR="004B6D3D" w:rsidRPr="00BA4471" w:rsidRDefault="004B6D3D" w:rsidP="00BA4471">
            <w:pPr>
              <w:rPr>
                <w:rFonts w:ascii="Arial" w:hAnsi="Arial" w:cs="Arial"/>
                <w:b/>
                <w:bCs/>
                <w:i/>
                <w:iCs/>
                <w:sz w:val="20"/>
                <w:szCs w:val="20"/>
              </w:rPr>
            </w:pPr>
          </w:p>
        </w:tc>
        <w:tc>
          <w:tcPr>
            <w:tcW w:w="1501" w:type="dxa"/>
          </w:tcPr>
          <w:p w14:paraId="56B1A3A1" w14:textId="61E09F96"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&lt; .001</w:t>
            </w:r>
          </w:p>
        </w:tc>
        <w:tc>
          <w:tcPr>
            <w:tcW w:w="1772" w:type="dxa"/>
          </w:tcPr>
          <w:p w14:paraId="77DF499A" w14:textId="2B44EFE3"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 xml:space="preserve"> &lt; .001</w:t>
            </w:r>
          </w:p>
        </w:tc>
        <w:tc>
          <w:tcPr>
            <w:tcW w:w="2191" w:type="dxa"/>
          </w:tcPr>
          <w:p w14:paraId="4C178B49" w14:textId="0EB39AFB"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 xml:space="preserve"> &lt; .001</w:t>
            </w:r>
          </w:p>
        </w:tc>
        <w:tc>
          <w:tcPr>
            <w:tcW w:w="1762" w:type="dxa"/>
          </w:tcPr>
          <w:p w14:paraId="3E47508D" w14:textId="76A945B2"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 xml:space="preserve"> &lt;</w:t>
            </w:r>
            <w:r w:rsidR="00173F4A">
              <w:rPr>
                <w:rFonts w:ascii="Arial" w:hAnsi="Arial" w:cs="Arial"/>
                <w:b/>
                <w:bCs/>
                <w:i/>
                <w:iCs/>
                <w:sz w:val="20"/>
                <w:szCs w:val="20"/>
              </w:rPr>
              <w:t xml:space="preserve"> </w:t>
            </w:r>
            <w:r w:rsidRPr="00BA4471">
              <w:rPr>
                <w:rFonts w:ascii="Arial" w:hAnsi="Arial" w:cs="Arial"/>
                <w:b/>
                <w:bCs/>
                <w:i/>
                <w:iCs/>
                <w:sz w:val="20"/>
                <w:szCs w:val="20"/>
              </w:rPr>
              <w:t>.001</w:t>
            </w:r>
          </w:p>
        </w:tc>
      </w:tr>
    </w:tbl>
    <w:p w14:paraId="04DC743E" w14:textId="5847BAB0" w:rsidR="004B6D3D" w:rsidRPr="00BA4471" w:rsidRDefault="004B6D3D" w:rsidP="00BA4471">
      <w:pPr>
        <w:spacing w:line="240" w:lineRule="auto"/>
        <w:rPr>
          <w:rFonts w:ascii="Arial" w:hAnsi="Arial" w:cs="Arial"/>
          <w:i/>
          <w:iCs/>
          <w:sz w:val="20"/>
          <w:szCs w:val="20"/>
        </w:rPr>
      </w:pPr>
      <w:r w:rsidRPr="00BA4471">
        <w:rPr>
          <w:rFonts w:ascii="Arial" w:hAnsi="Arial" w:cs="Arial"/>
          <w:i/>
          <w:iCs/>
          <w:sz w:val="20"/>
          <w:szCs w:val="20"/>
        </w:rPr>
        <w:t xml:space="preserve">Different superscript letters within columns indicate statistically significant differences between age groups (Tukey’s HSD post-hoc test, p &lt; 0.05). Breeding </w:t>
      </w:r>
      <w:r w:rsidR="0085766A">
        <w:rPr>
          <w:rFonts w:ascii="Arial" w:hAnsi="Arial" w:cs="Arial"/>
          <w:i/>
          <w:iCs/>
          <w:sz w:val="20"/>
          <w:szCs w:val="20"/>
        </w:rPr>
        <w:t>behaviour</w:t>
      </w:r>
      <w:r w:rsidRPr="00BA4471">
        <w:rPr>
          <w:rFonts w:ascii="Arial" w:hAnsi="Arial" w:cs="Arial"/>
          <w:i/>
          <w:iCs/>
          <w:sz w:val="20"/>
          <w:szCs w:val="20"/>
        </w:rPr>
        <w:t xml:space="preserve"> was assessed only in bulls aged ≥18 months.</w:t>
      </w:r>
    </w:p>
    <w:p w14:paraId="2B0B1FF6" w14:textId="77777777" w:rsidR="001C27CA" w:rsidRPr="00BA4471" w:rsidRDefault="001C27CA" w:rsidP="00BA4471">
      <w:pPr>
        <w:pStyle w:val="Heading2"/>
        <w:spacing w:line="240" w:lineRule="auto"/>
        <w:rPr>
          <w:rFonts w:cs="Arial"/>
        </w:rPr>
      </w:pPr>
      <w:r w:rsidRPr="00BA4471">
        <w:rPr>
          <w:rFonts w:cs="Arial"/>
        </w:rPr>
        <w:t>3.2 Testosterone Concentration Profiles</w:t>
      </w:r>
    </w:p>
    <w:p w14:paraId="64D5D7AA" w14:textId="77777777" w:rsidR="001C27CA" w:rsidRPr="00BA4471" w:rsidRDefault="001C27CA" w:rsidP="00BA4471">
      <w:pPr>
        <w:spacing w:after="0" w:line="240" w:lineRule="auto"/>
        <w:jc w:val="both"/>
        <w:rPr>
          <w:rFonts w:ascii="Arial" w:hAnsi="Arial" w:cs="Arial"/>
          <w:sz w:val="20"/>
          <w:szCs w:val="20"/>
        </w:rPr>
      </w:pPr>
      <w:r w:rsidRPr="00BA4471">
        <w:rPr>
          <w:rFonts w:ascii="Arial" w:hAnsi="Arial" w:cs="Arial"/>
          <w:sz w:val="20"/>
          <w:szCs w:val="20"/>
        </w:rPr>
        <w:t>Testosterone levels exhibited significant age-related variation (F</w:t>
      </w:r>
      <w:proofErr w:type="gramStart"/>
      <w:r w:rsidRPr="00BA4471">
        <w:rPr>
          <w:rFonts w:ascii="Cambria Math" w:hAnsi="Cambria Math" w:cs="Cambria Math"/>
          <w:sz w:val="20"/>
          <w:szCs w:val="20"/>
        </w:rPr>
        <w:t>₈</w:t>
      </w:r>
      <w:r w:rsidRPr="00BA4471">
        <w:rPr>
          <w:rFonts w:ascii="Arial" w:hAnsi="Arial" w:cs="Arial"/>
          <w:sz w:val="20"/>
          <w:szCs w:val="20"/>
        </w:rPr>
        <w:t>,</w:t>
      </w:r>
      <w:r w:rsidRPr="00BA4471">
        <w:rPr>
          <w:rFonts w:ascii="Cambria Math" w:hAnsi="Cambria Math" w:cs="Cambria Math"/>
          <w:sz w:val="20"/>
          <w:szCs w:val="20"/>
        </w:rPr>
        <w:t>₈</w:t>
      </w:r>
      <w:proofErr w:type="gramEnd"/>
      <w:r w:rsidRPr="00BA4471">
        <w:rPr>
          <w:rFonts w:ascii="Cambria Math" w:hAnsi="Cambria Math" w:cs="Cambria Math"/>
          <w:sz w:val="20"/>
          <w:szCs w:val="20"/>
        </w:rPr>
        <w:t>₁</w:t>
      </w:r>
      <w:r w:rsidRPr="00BA4471">
        <w:rPr>
          <w:rFonts w:ascii="Arial" w:hAnsi="Arial" w:cs="Arial"/>
          <w:sz w:val="20"/>
          <w:szCs w:val="20"/>
        </w:rPr>
        <w:t xml:space="preserve"> = 42.3, P &lt; .001), with typical patterns of low levels during the period of quiescence preceding puberty, gradual increases over sexual maturation, peak levels at the age of 4 years, and gradual decline in older bull semen (Table 2). The peak levels of testosterone observed in the age of 4 years (8.9 ± 0.38 ng/mL) compare well with levels reported for mature dairy bulls in temperate environments by Palmer et al. (2020) and Chenoweth (2020) and indicate that environmental conditions in the tropics do not fundamentally disrupt standard hormonal maturation patterns despite added stress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Scaramuzzi, 2003). The trough levels of testosterone during quiescence of the hypothalamic-pituitary-gonadal axis before sexual maturation observed in 6-month age bulls (1.2 ± 0.21 ng/mL) compare with previous findings of Kastelic (2019) and Walters et al. (2019). The gradual rise in testosterone from the ages of 1-4 years is indicative of gradual maturation of the capacity of the tests for producing steroids based on increasing stimulation with LH as the maturation of the reproductive axis proceeds (Rodriguez-Martinez, 2018; Brito et al., 2020).</w:t>
      </w:r>
    </w:p>
    <w:p w14:paraId="130AFC66" w14:textId="77777777" w:rsidR="001722E2" w:rsidRPr="00BA4471" w:rsidRDefault="001722E2" w:rsidP="00BA4471">
      <w:pPr>
        <w:spacing w:after="0" w:line="240" w:lineRule="auto"/>
        <w:jc w:val="both"/>
        <w:rPr>
          <w:rFonts w:ascii="Arial" w:hAnsi="Arial" w:cs="Arial"/>
          <w:sz w:val="20"/>
          <w:szCs w:val="20"/>
        </w:rPr>
      </w:pPr>
    </w:p>
    <w:p w14:paraId="7ABF708B" w14:textId="6633A28A" w:rsidR="001C27CA" w:rsidRDefault="001C27CA" w:rsidP="00BA4471">
      <w:pPr>
        <w:spacing w:after="0" w:line="240" w:lineRule="auto"/>
        <w:jc w:val="both"/>
        <w:rPr>
          <w:rFonts w:ascii="Arial" w:hAnsi="Arial" w:cs="Arial"/>
          <w:sz w:val="20"/>
          <w:szCs w:val="20"/>
        </w:rPr>
      </w:pPr>
      <w:r w:rsidRPr="00BA4471">
        <w:rPr>
          <w:rFonts w:ascii="Arial" w:hAnsi="Arial" w:cs="Arial"/>
          <w:sz w:val="20"/>
          <w:szCs w:val="20"/>
        </w:rPr>
        <w:t xml:space="preserve">The age-related gradual </w:t>
      </w:r>
      <w:r w:rsidR="00680BD9" w:rsidRPr="00BA4471">
        <w:rPr>
          <w:rFonts w:ascii="Arial" w:hAnsi="Arial" w:cs="Arial"/>
          <w:sz w:val="20"/>
          <w:szCs w:val="20"/>
        </w:rPr>
        <w:t>reduction in</w:t>
      </w:r>
      <w:r w:rsidRPr="00BA4471">
        <w:rPr>
          <w:rFonts w:ascii="Arial" w:hAnsi="Arial" w:cs="Arial"/>
          <w:sz w:val="20"/>
          <w:szCs w:val="20"/>
        </w:rPr>
        <w:t xml:space="preserve"> testosterone levels in older bulls is reflective of processes of aging involving testicular function, such as decreased responsiveness of the Leydig cells to stimulation with LH and reduced activity of the steroidogenic enzymes (Santos et al., 2021; Fraser et al., 2021). The </w:t>
      </w:r>
      <w:r w:rsidR="00680BD9" w:rsidRPr="00BA4471">
        <w:rPr>
          <w:rFonts w:ascii="Arial" w:hAnsi="Arial" w:cs="Arial"/>
          <w:sz w:val="20"/>
          <w:szCs w:val="20"/>
        </w:rPr>
        <w:t>decreasing (P &lt; .05) concentration of testosterone</w:t>
      </w:r>
      <w:r w:rsidRPr="00BA4471">
        <w:rPr>
          <w:rFonts w:ascii="Arial" w:hAnsi="Arial" w:cs="Arial"/>
          <w:sz w:val="20"/>
          <w:szCs w:val="20"/>
        </w:rPr>
        <w:t xml:space="preserve"> </w:t>
      </w:r>
      <w:r w:rsidR="00D003F4" w:rsidRPr="00BA4471">
        <w:rPr>
          <w:rFonts w:ascii="Arial" w:hAnsi="Arial" w:cs="Arial"/>
          <w:sz w:val="20"/>
          <w:szCs w:val="20"/>
        </w:rPr>
        <w:t xml:space="preserve">with age </w:t>
      </w:r>
      <w:r w:rsidRPr="00BA4471">
        <w:rPr>
          <w:rFonts w:ascii="Arial" w:hAnsi="Arial" w:cs="Arial"/>
          <w:sz w:val="20"/>
          <w:szCs w:val="20"/>
        </w:rPr>
        <w:t xml:space="preserve">from 4 years </w:t>
      </w:r>
      <w:r w:rsidR="00D003F4" w:rsidRPr="00BA4471">
        <w:rPr>
          <w:rFonts w:ascii="Arial" w:hAnsi="Arial" w:cs="Arial"/>
          <w:sz w:val="20"/>
          <w:szCs w:val="20"/>
        </w:rPr>
        <w:t>bulls</w:t>
      </w:r>
      <w:r w:rsidRPr="00BA4471">
        <w:rPr>
          <w:rFonts w:ascii="Arial" w:hAnsi="Arial" w:cs="Arial"/>
          <w:sz w:val="20"/>
          <w:szCs w:val="20"/>
        </w:rPr>
        <w:t xml:space="preserve"> </w:t>
      </w:r>
      <w:r w:rsidR="00680BD9" w:rsidRPr="00BA4471">
        <w:rPr>
          <w:rFonts w:ascii="Arial" w:hAnsi="Arial" w:cs="Arial"/>
          <w:sz w:val="20"/>
          <w:szCs w:val="20"/>
        </w:rPr>
        <w:t xml:space="preserve">tapering at ≥8 </w:t>
      </w:r>
      <w:r w:rsidRPr="00BA4471">
        <w:rPr>
          <w:rFonts w:ascii="Arial" w:hAnsi="Arial" w:cs="Arial"/>
          <w:sz w:val="20"/>
          <w:szCs w:val="20"/>
        </w:rPr>
        <w:t xml:space="preserve">years (P &lt; .01) is indicative of </w:t>
      </w:r>
      <w:r w:rsidR="00680BD9" w:rsidRPr="00BA4471">
        <w:rPr>
          <w:rFonts w:ascii="Arial" w:hAnsi="Arial" w:cs="Arial"/>
          <w:sz w:val="20"/>
          <w:szCs w:val="20"/>
        </w:rPr>
        <w:t xml:space="preserve">that </w:t>
      </w:r>
      <w:r w:rsidRPr="00BA4471">
        <w:rPr>
          <w:rFonts w:ascii="Arial" w:hAnsi="Arial" w:cs="Arial"/>
          <w:sz w:val="20"/>
          <w:szCs w:val="20"/>
        </w:rPr>
        <w:t>the expected trend that can be used for breeding management (Prakash et al., 2021).</w:t>
      </w:r>
    </w:p>
    <w:p w14:paraId="2D4FE5B9" w14:textId="77777777" w:rsidR="009F7C14" w:rsidRPr="00BA4471" w:rsidRDefault="009F7C14" w:rsidP="00BA4471">
      <w:pPr>
        <w:spacing w:after="0" w:line="240" w:lineRule="auto"/>
        <w:jc w:val="both"/>
        <w:rPr>
          <w:rFonts w:ascii="Arial" w:hAnsi="Arial" w:cs="Arial"/>
          <w:sz w:val="20"/>
          <w:szCs w:val="20"/>
        </w:rPr>
      </w:pPr>
    </w:p>
    <w:p w14:paraId="47030807" w14:textId="5C7D28E1" w:rsidR="00D003F4" w:rsidRPr="00D003F4" w:rsidRDefault="00D003F4" w:rsidP="00BA4471">
      <w:pPr>
        <w:spacing w:line="240" w:lineRule="auto"/>
        <w:rPr>
          <w:rFonts w:ascii="Arial" w:hAnsi="Arial" w:cs="Arial"/>
          <w:b/>
          <w:bCs/>
          <w:sz w:val="20"/>
          <w:szCs w:val="20"/>
        </w:rPr>
      </w:pPr>
      <w:r w:rsidRPr="00D003F4">
        <w:rPr>
          <w:rFonts w:ascii="Arial" w:hAnsi="Arial" w:cs="Arial"/>
          <w:b/>
          <w:bCs/>
          <w:sz w:val="20"/>
          <w:szCs w:val="20"/>
        </w:rPr>
        <w:t xml:space="preserve">Table 2: Age-Specific </w:t>
      </w:r>
      <w:r w:rsidR="001722E2" w:rsidRPr="00BA4471">
        <w:rPr>
          <w:rFonts w:ascii="Arial" w:hAnsi="Arial" w:cs="Arial"/>
          <w:b/>
          <w:bCs/>
          <w:sz w:val="20"/>
          <w:szCs w:val="20"/>
        </w:rPr>
        <w:t>testosterone and oestradiol concentrations in dairy bulls</w:t>
      </w:r>
    </w:p>
    <w:tbl>
      <w:tblPr>
        <w:tblStyle w:val="TableGrid"/>
        <w:tblW w:w="8820" w:type="dxa"/>
        <w:tblInd w:w="2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40"/>
        <w:gridCol w:w="2430"/>
        <w:gridCol w:w="2340"/>
        <w:gridCol w:w="2070"/>
      </w:tblGrid>
      <w:tr w:rsidR="00B92AC8" w:rsidRPr="00BA4471" w14:paraId="2712E933" w14:textId="77777777" w:rsidTr="00EE108F">
        <w:tc>
          <w:tcPr>
            <w:tcW w:w="1440" w:type="dxa"/>
            <w:tcBorders>
              <w:top w:val="single" w:sz="4" w:space="0" w:color="auto"/>
              <w:bottom w:val="single" w:sz="4" w:space="0" w:color="auto"/>
            </w:tcBorders>
            <w:vAlign w:val="center"/>
          </w:tcPr>
          <w:p w14:paraId="7350CA4B" w14:textId="5C1F6EC5" w:rsidR="00B92AC8" w:rsidRPr="00BA4471" w:rsidRDefault="00B92AC8" w:rsidP="00BA4471">
            <w:pPr>
              <w:rPr>
                <w:rFonts w:ascii="Arial" w:hAnsi="Arial" w:cs="Arial"/>
                <w:sz w:val="20"/>
                <w:szCs w:val="20"/>
              </w:rPr>
            </w:pPr>
            <w:r w:rsidRPr="00BA4471">
              <w:rPr>
                <w:rFonts w:ascii="Arial" w:hAnsi="Arial" w:cs="Arial"/>
                <w:b/>
                <w:bCs/>
                <w:sz w:val="20"/>
                <w:szCs w:val="20"/>
              </w:rPr>
              <w:t>Age Group</w:t>
            </w:r>
          </w:p>
        </w:tc>
        <w:tc>
          <w:tcPr>
            <w:tcW w:w="540" w:type="dxa"/>
            <w:tcBorders>
              <w:top w:val="single" w:sz="4" w:space="0" w:color="auto"/>
              <w:bottom w:val="single" w:sz="4" w:space="0" w:color="auto"/>
            </w:tcBorders>
            <w:vAlign w:val="center"/>
          </w:tcPr>
          <w:p w14:paraId="7D6D9448" w14:textId="3CE9752D" w:rsidR="00B92AC8" w:rsidRPr="00BA4471" w:rsidRDefault="00B92AC8" w:rsidP="00BA4471">
            <w:pPr>
              <w:rPr>
                <w:rFonts w:ascii="Arial" w:hAnsi="Arial" w:cs="Arial"/>
                <w:sz w:val="20"/>
                <w:szCs w:val="20"/>
              </w:rPr>
            </w:pPr>
            <w:r w:rsidRPr="00BA4471">
              <w:rPr>
                <w:rFonts w:ascii="Arial" w:hAnsi="Arial" w:cs="Arial"/>
                <w:b/>
                <w:bCs/>
                <w:sz w:val="20"/>
                <w:szCs w:val="20"/>
              </w:rPr>
              <w:t>n</w:t>
            </w:r>
          </w:p>
        </w:tc>
        <w:tc>
          <w:tcPr>
            <w:tcW w:w="2430" w:type="dxa"/>
            <w:tcBorders>
              <w:top w:val="single" w:sz="4" w:space="0" w:color="auto"/>
              <w:bottom w:val="single" w:sz="4" w:space="0" w:color="auto"/>
            </w:tcBorders>
            <w:vAlign w:val="center"/>
          </w:tcPr>
          <w:p w14:paraId="6FDE83DE" w14:textId="6341119E" w:rsidR="00B92AC8" w:rsidRPr="00BA4471" w:rsidRDefault="00B92AC8" w:rsidP="00BA4471">
            <w:pPr>
              <w:rPr>
                <w:rFonts w:ascii="Arial" w:hAnsi="Arial" w:cs="Arial"/>
                <w:sz w:val="20"/>
                <w:szCs w:val="20"/>
              </w:rPr>
            </w:pPr>
            <w:r w:rsidRPr="00BA4471">
              <w:rPr>
                <w:rFonts w:ascii="Arial" w:hAnsi="Arial" w:cs="Arial"/>
                <w:b/>
                <w:bCs/>
                <w:sz w:val="20"/>
                <w:szCs w:val="20"/>
              </w:rPr>
              <w:t>Testosterone (ng/mL)</w:t>
            </w:r>
          </w:p>
        </w:tc>
        <w:tc>
          <w:tcPr>
            <w:tcW w:w="2340" w:type="dxa"/>
            <w:tcBorders>
              <w:top w:val="single" w:sz="4" w:space="0" w:color="auto"/>
              <w:bottom w:val="single" w:sz="4" w:space="0" w:color="auto"/>
            </w:tcBorders>
            <w:vAlign w:val="center"/>
          </w:tcPr>
          <w:p w14:paraId="4675C346" w14:textId="524DC52C" w:rsidR="00B92AC8" w:rsidRPr="00BA4471" w:rsidRDefault="00B92AC8" w:rsidP="00BA4471">
            <w:pPr>
              <w:rPr>
                <w:rFonts w:ascii="Arial" w:hAnsi="Arial" w:cs="Arial"/>
                <w:sz w:val="20"/>
                <w:szCs w:val="20"/>
              </w:rPr>
            </w:pPr>
            <w:proofErr w:type="spellStart"/>
            <w:r w:rsidRPr="00BA4471">
              <w:rPr>
                <w:rFonts w:ascii="Arial" w:hAnsi="Arial" w:cs="Arial"/>
                <w:b/>
                <w:bCs/>
                <w:sz w:val="20"/>
                <w:szCs w:val="20"/>
              </w:rPr>
              <w:t>Oestradiol</w:t>
            </w:r>
            <w:proofErr w:type="spellEnd"/>
            <w:r w:rsidRPr="00BA4471">
              <w:rPr>
                <w:rFonts w:ascii="Arial" w:hAnsi="Arial" w:cs="Arial"/>
                <w:b/>
                <w:bCs/>
                <w:sz w:val="20"/>
                <w:szCs w:val="20"/>
              </w:rPr>
              <w:t xml:space="preserve"> (</w:t>
            </w:r>
            <w:proofErr w:type="spellStart"/>
            <w:r w:rsidRPr="00BA4471">
              <w:rPr>
                <w:rFonts w:ascii="Arial" w:hAnsi="Arial" w:cs="Arial"/>
                <w:b/>
                <w:bCs/>
                <w:sz w:val="20"/>
                <w:szCs w:val="20"/>
              </w:rPr>
              <w:t>pg</w:t>
            </w:r>
            <w:proofErr w:type="spellEnd"/>
            <w:r w:rsidRPr="00BA4471">
              <w:rPr>
                <w:rFonts w:ascii="Arial" w:hAnsi="Arial" w:cs="Arial"/>
                <w:b/>
                <w:bCs/>
                <w:sz w:val="20"/>
                <w:szCs w:val="20"/>
              </w:rPr>
              <w:t>/mL)</w:t>
            </w:r>
          </w:p>
        </w:tc>
        <w:tc>
          <w:tcPr>
            <w:tcW w:w="2070" w:type="dxa"/>
            <w:tcBorders>
              <w:top w:val="single" w:sz="4" w:space="0" w:color="auto"/>
              <w:bottom w:val="single" w:sz="4" w:space="0" w:color="auto"/>
            </w:tcBorders>
            <w:vAlign w:val="center"/>
          </w:tcPr>
          <w:p w14:paraId="2ED1365D" w14:textId="0C91FC9C" w:rsidR="00B92AC8" w:rsidRPr="00BA4471" w:rsidRDefault="00B92AC8" w:rsidP="00BA4471">
            <w:pPr>
              <w:rPr>
                <w:rFonts w:ascii="Arial" w:hAnsi="Arial" w:cs="Arial"/>
                <w:sz w:val="20"/>
                <w:szCs w:val="20"/>
              </w:rPr>
            </w:pPr>
            <w:proofErr w:type="gramStart"/>
            <w:r w:rsidRPr="00BA4471">
              <w:rPr>
                <w:rFonts w:ascii="Arial" w:hAnsi="Arial" w:cs="Arial"/>
                <w:b/>
                <w:bCs/>
                <w:sz w:val="20"/>
                <w:szCs w:val="20"/>
              </w:rPr>
              <w:t>T:E</w:t>
            </w:r>
            <w:proofErr w:type="gramEnd"/>
            <w:r w:rsidRPr="00BA4471">
              <w:rPr>
                <w:rFonts w:ascii="Arial" w:hAnsi="Arial" w:cs="Arial"/>
                <w:b/>
                <w:bCs/>
                <w:sz w:val="20"/>
                <w:szCs w:val="20"/>
              </w:rPr>
              <w:t xml:space="preserve"> Ratio</w:t>
            </w:r>
          </w:p>
        </w:tc>
      </w:tr>
      <w:tr w:rsidR="00B92AC8" w:rsidRPr="00BA4471" w14:paraId="56191A75" w14:textId="77777777" w:rsidTr="00EE108F">
        <w:tc>
          <w:tcPr>
            <w:tcW w:w="1440" w:type="dxa"/>
            <w:tcBorders>
              <w:top w:val="single" w:sz="4" w:space="0" w:color="auto"/>
            </w:tcBorders>
            <w:vAlign w:val="center"/>
          </w:tcPr>
          <w:p w14:paraId="6B6A7E3D" w14:textId="5794950F" w:rsidR="00B92AC8" w:rsidRPr="00BA4471" w:rsidRDefault="00B92AC8" w:rsidP="00BA4471">
            <w:pPr>
              <w:rPr>
                <w:rFonts w:ascii="Arial" w:hAnsi="Arial" w:cs="Arial"/>
                <w:sz w:val="20"/>
                <w:szCs w:val="20"/>
              </w:rPr>
            </w:pPr>
            <w:r w:rsidRPr="00BA4471">
              <w:rPr>
                <w:rFonts w:ascii="Arial" w:hAnsi="Arial" w:cs="Arial"/>
                <w:sz w:val="20"/>
                <w:szCs w:val="20"/>
              </w:rPr>
              <w:t>6 months</w:t>
            </w:r>
          </w:p>
        </w:tc>
        <w:tc>
          <w:tcPr>
            <w:tcW w:w="540" w:type="dxa"/>
            <w:tcBorders>
              <w:top w:val="single" w:sz="4" w:space="0" w:color="auto"/>
            </w:tcBorders>
            <w:vAlign w:val="center"/>
          </w:tcPr>
          <w:p w14:paraId="6F79E0D8" w14:textId="7A27369D"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tcBorders>
              <w:top w:val="single" w:sz="4" w:space="0" w:color="auto"/>
            </w:tcBorders>
            <w:vAlign w:val="center"/>
          </w:tcPr>
          <w:p w14:paraId="31B3B3E2" w14:textId="6639E696" w:rsidR="00B92AC8" w:rsidRPr="00BA4471" w:rsidRDefault="00B92AC8" w:rsidP="00BA4471">
            <w:pPr>
              <w:rPr>
                <w:rFonts w:ascii="Arial" w:hAnsi="Arial" w:cs="Arial"/>
                <w:sz w:val="20"/>
                <w:szCs w:val="20"/>
                <w:vertAlign w:val="superscript"/>
              </w:rPr>
            </w:pPr>
            <w:r w:rsidRPr="00BA4471">
              <w:rPr>
                <w:rFonts w:ascii="Arial" w:hAnsi="Arial" w:cs="Arial"/>
                <w:sz w:val="20"/>
                <w:szCs w:val="20"/>
              </w:rPr>
              <w:t>1.2 ± 0.21</w:t>
            </w:r>
            <w:r w:rsidR="002C2626" w:rsidRPr="00BA4471">
              <w:rPr>
                <w:rFonts w:ascii="Arial" w:hAnsi="Arial" w:cs="Arial"/>
                <w:sz w:val="20"/>
                <w:szCs w:val="20"/>
                <w:vertAlign w:val="superscript"/>
              </w:rPr>
              <w:t>a</w:t>
            </w:r>
          </w:p>
        </w:tc>
        <w:tc>
          <w:tcPr>
            <w:tcW w:w="2340" w:type="dxa"/>
            <w:tcBorders>
              <w:top w:val="single" w:sz="4" w:space="0" w:color="auto"/>
            </w:tcBorders>
            <w:vAlign w:val="center"/>
          </w:tcPr>
          <w:p w14:paraId="5608B0DA" w14:textId="12F8FDEF" w:rsidR="00B92AC8" w:rsidRPr="00BA4471" w:rsidRDefault="00B92AC8" w:rsidP="00BA4471">
            <w:pPr>
              <w:rPr>
                <w:rFonts w:ascii="Arial" w:hAnsi="Arial" w:cs="Arial"/>
                <w:sz w:val="20"/>
                <w:szCs w:val="20"/>
              </w:rPr>
            </w:pPr>
            <w:r w:rsidRPr="00BA4471">
              <w:rPr>
                <w:rFonts w:ascii="Arial" w:hAnsi="Arial" w:cs="Arial"/>
                <w:sz w:val="20"/>
                <w:szCs w:val="20"/>
              </w:rPr>
              <w:t>22.4 ± 1.30</w:t>
            </w:r>
            <w:r w:rsidR="002C2626" w:rsidRPr="00BA4471">
              <w:rPr>
                <w:rFonts w:ascii="Arial" w:hAnsi="Arial" w:cs="Arial"/>
                <w:sz w:val="20"/>
                <w:szCs w:val="20"/>
                <w:vertAlign w:val="superscript"/>
              </w:rPr>
              <w:t>ab</w:t>
            </w:r>
          </w:p>
        </w:tc>
        <w:tc>
          <w:tcPr>
            <w:tcW w:w="2070" w:type="dxa"/>
            <w:tcBorders>
              <w:top w:val="single" w:sz="4" w:space="0" w:color="auto"/>
            </w:tcBorders>
            <w:vAlign w:val="center"/>
          </w:tcPr>
          <w:p w14:paraId="26758D8A" w14:textId="2B485731" w:rsidR="00B92AC8" w:rsidRPr="00BA4471" w:rsidRDefault="00B92AC8" w:rsidP="00BA4471">
            <w:pPr>
              <w:rPr>
                <w:rFonts w:ascii="Arial" w:hAnsi="Arial" w:cs="Arial"/>
                <w:sz w:val="20"/>
                <w:szCs w:val="20"/>
              </w:rPr>
            </w:pPr>
            <w:r w:rsidRPr="00BA4471">
              <w:rPr>
                <w:rFonts w:ascii="Arial" w:hAnsi="Arial" w:cs="Arial"/>
                <w:sz w:val="20"/>
                <w:szCs w:val="20"/>
              </w:rPr>
              <w:t>58.3 ± 9.8</w:t>
            </w:r>
            <w:r w:rsidR="007713B8" w:rsidRPr="00BA4471">
              <w:rPr>
                <w:rFonts w:ascii="Arial" w:hAnsi="Arial" w:cs="Arial"/>
                <w:sz w:val="20"/>
                <w:szCs w:val="20"/>
                <w:vertAlign w:val="superscript"/>
              </w:rPr>
              <w:t>a</w:t>
            </w:r>
          </w:p>
        </w:tc>
      </w:tr>
      <w:tr w:rsidR="00B92AC8" w:rsidRPr="00BA4471" w14:paraId="2C9A5F2A" w14:textId="77777777" w:rsidTr="00EE108F">
        <w:tc>
          <w:tcPr>
            <w:tcW w:w="1440" w:type="dxa"/>
            <w:vAlign w:val="center"/>
          </w:tcPr>
          <w:p w14:paraId="1A1D5831" w14:textId="2A8BDBEC" w:rsidR="00B92AC8" w:rsidRPr="00BA4471" w:rsidRDefault="00B92AC8" w:rsidP="00BA4471">
            <w:pPr>
              <w:rPr>
                <w:rFonts w:ascii="Arial" w:hAnsi="Arial" w:cs="Arial"/>
                <w:sz w:val="20"/>
                <w:szCs w:val="20"/>
              </w:rPr>
            </w:pPr>
            <w:r w:rsidRPr="00BA4471">
              <w:rPr>
                <w:rFonts w:ascii="Arial" w:hAnsi="Arial" w:cs="Arial"/>
                <w:sz w:val="20"/>
                <w:szCs w:val="20"/>
              </w:rPr>
              <w:t>1 year</w:t>
            </w:r>
          </w:p>
        </w:tc>
        <w:tc>
          <w:tcPr>
            <w:tcW w:w="540" w:type="dxa"/>
            <w:vAlign w:val="center"/>
          </w:tcPr>
          <w:p w14:paraId="72CCFF14" w14:textId="5280C54C"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3D6293B5" w14:textId="6C7E944E" w:rsidR="00B92AC8" w:rsidRPr="00BA4471" w:rsidRDefault="00B92AC8" w:rsidP="00BA4471">
            <w:pPr>
              <w:rPr>
                <w:rFonts w:ascii="Arial" w:hAnsi="Arial" w:cs="Arial"/>
                <w:sz w:val="20"/>
                <w:szCs w:val="20"/>
              </w:rPr>
            </w:pPr>
            <w:r w:rsidRPr="00BA4471">
              <w:rPr>
                <w:rFonts w:ascii="Arial" w:hAnsi="Arial" w:cs="Arial"/>
                <w:sz w:val="20"/>
                <w:szCs w:val="20"/>
              </w:rPr>
              <w:t>3.4 ± 0.19</w:t>
            </w:r>
            <w:r w:rsidR="006C6C53" w:rsidRPr="00BA4471">
              <w:rPr>
                <w:rFonts w:ascii="Arial" w:hAnsi="Arial" w:cs="Arial"/>
                <w:sz w:val="20"/>
                <w:szCs w:val="20"/>
                <w:vertAlign w:val="superscript"/>
              </w:rPr>
              <w:t>b</w:t>
            </w:r>
          </w:p>
        </w:tc>
        <w:tc>
          <w:tcPr>
            <w:tcW w:w="2340" w:type="dxa"/>
            <w:vAlign w:val="center"/>
          </w:tcPr>
          <w:p w14:paraId="09C960E5" w14:textId="4613BDD4" w:rsidR="00B92AC8" w:rsidRPr="00BA4471" w:rsidRDefault="00B92AC8" w:rsidP="00BA4471">
            <w:pPr>
              <w:rPr>
                <w:rFonts w:ascii="Arial" w:hAnsi="Arial" w:cs="Arial"/>
                <w:sz w:val="20"/>
                <w:szCs w:val="20"/>
              </w:rPr>
            </w:pPr>
            <w:r w:rsidRPr="00BA4471">
              <w:rPr>
                <w:rFonts w:ascii="Arial" w:hAnsi="Arial" w:cs="Arial"/>
                <w:sz w:val="20"/>
                <w:szCs w:val="20"/>
              </w:rPr>
              <w:t>45.6 ± 2.6</w:t>
            </w:r>
            <w:r w:rsidR="007713B8" w:rsidRPr="00BA4471">
              <w:rPr>
                <w:rFonts w:ascii="Arial" w:hAnsi="Arial" w:cs="Arial"/>
                <w:sz w:val="20"/>
                <w:szCs w:val="20"/>
                <w:vertAlign w:val="superscript"/>
              </w:rPr>
              <w:t>c</w:t>
            </w:r>
          </w:p>
        </w:tc>
        <w:tc>
          <w:tcPr>
            <w:tcW w:w="2070" w:type="dxa"/>
            <w:vAlign w:val="center"/>
          </w:tcPr>
          <w:p w14:paraId="0D96F860" w14:textId="73D587DC" w:rsidR="00B92AC8" w:rsidRPr="00BA4471" w:rsidRDefault="00B92AC8" w:rsidP="00BA4471">
            <w:pPr>
              <w:rPr>
                <w:rFonts w:ascii="Arial" w:hAnsi="Arial" w:cs="Arial"/>
                <w:sz w:val="20"/>
                <w:szCs w:val="20"/>
              </w:rPr>
            </w:pPr>
            <w:r w:rsidRPr="00BA4471">
              <w:rPr>
                <w:rFonts w:ascii="Arial" w:hAnsi="Arial" w:cs="Arial"/>
                <w:sz w:val="20"/>
                <w:szCs w:val="20"/>
              </w:rPr>
              <w:t>81.2 ± 12.4</w:t>
            </w:r>
            <w:r w:rsidR="007713B8" w:rsidRPr="00BA4471">
              <w:rPr>
                <w:rFonts w:ascii="Arial" w:hAnsi="Arial" w:cs="Arial"/>
                <w:sz w:val="20"/>
                <w:szCs w:val="20"/>
                <w:vertAlign w:val="superscript"/>
              </w:rPr>
              <w:t>ab</w:t>
            </w:r>
          </w:p>
        </w:tc>
      </w:tr>
      <w:tr w:rsidR="00B92AC8" w:rsidRPr="00BA4471" w14:paraId="7A2B4CE7" w14:textId="77777777" w:rsidTr="00EE108F">
        <w:tc>
          <w:tcPr>
            <w:tcW w:w="1440" w:type="dxa"/>
            <w:vAlign w:val="center"/>
          </w:tcPr>
          <w:p w14:paraId="250C1F62" w14:textId="3E8D4470" w:rsidR="00B92AC8" w:rsidRPr="00BA4471" w:rsidRDefault="00B92AC8" w:rsidP="00BA4471">
            <w:pPr>
              <w:rPr>
                <w:rFonts w:ascii="Arial" w:hAnsi="Arial" w:cs="Arial"/>
                <w:sz w:val="20"/>
                <w:szCs w:val="20"/>
              </w:rPr>
            </w:pPr>
            <w:r w:rsidRPr="00BA4471">
              <w:rPr>
                <w:rFonts w:ascii="Arial" w:hAnsi="Arial" w:cs="Arial"/>
                <w:sz w:val="20"/>
                <w:szCs w:val="20"/>
              </w:rPr>
              <w:t>2 years</w:t>
            </w:r>
          </w:p>
        </w:tc>
        <w:tc>
          <w:tcPr>
            <w:tcW w:w="540" w:type="dxa"/>
            <w:vAlign w:val="center"/>
          </w:tcPr>
          <w:p w14:paraId="5D1CB044" w14:textId="4C874DAF"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30A30D5A" w14:textId="26E63D19" w:rsidR="00B92AC8" w:rsidRPr="00BA4471" w:rsidRDefault="00B92AC8" w:rsidP="00BA4471">
            <w:pPr>
              <w:rPr>
                <w:rFonts w:ascii="Arial" w:hAnsi="Arial" w:cs="Arial"/>
                <w:sz w:val="20"/>
                <w:szCs w:val="20"/>
              </w:rPr>
            </w:pPr>
            <w:r w:rsidRPr="00BA4471">
              <w:rPr>
                <w:rFonts w:ascii="Arial" w:hAnsi="Arial" w:cs="Arial"/>
                <w:sz w:val="20"/>
                <w:szCs w:val="20"/>
              </w:rPr>
              <w:t>6.1 ± 0.25</w:t>
            </w:r>
            <w:r w:rsidR="006C6C53" w:rsidRPr="00BA4471">
              <w:rPr>
                <w:rFonts w:ascii="Arial" w:hAnsi="Arial" w:cs="Arial"/>
                <w:sz w:val="20"/>
                <w:szCs w:val="20"/>
                <w:vertAlign w:val="superscript"/>
              </w:rPr>
              <w:t>c</w:t>
            </w:r>
          </w:p>
        </w:tc>
        <w:tc>
          <w:tcPr>
            <w:tcW w:w="2340" w:type="dxa"/>
            <w:vAlign w:val="center"/>
          </w:tcPr>
          <w:p w14:paraId="7A43F7B4" w14:textId="16C220F7" w:rsidR="00B92AC8" w:rsidRPr="00BA4471" w:rsidRDefault="00B92AC8" w:rsidP="00BA4471">
            <w:pPr>
              <w:rPr>
                <w:rFonts w:ascii="Arial" w:hAnsi="Arial" w:cs="Arial"/>
                <w:sz w:val="20"/>
                <w:szCs w:val="20"/>
              </w:rPr>
            </w:pPr>
            <w:r w:rsidRPr="00BA4471">
              <w:rPr>
                <w:rFonts w:ascii="Arial" w:hAnsi="Arial" w:cs="Arial"/>
                <w:sz w:val="20"/>
                <w:szCs w:val="20"/>
              </w:rPr>
              <w:t>24.7 ± 1.6</w:t>
            </w:r>
            <w:r w:rsidR="007713B8" w:rsidRPr="00BA4471">
              <w:rPr>
                <w:rFonts w:ascii="Arial" w:hAnsi="Arial" w:cs="Arial"/>
                <w:sz w:val="20"/>
                <w:szCs w:val="20"/>
                <w:vertAlign w:val="superscript"/>
              </w:rPr>
              <w:t>ab</w:t>
            </w:r>
          </w:p>
        </w:tc>
        <w:tc>
          <w:tcPr>
            <w:tcW w:w="2070" w:type="dxa"/>
            <w:vAlign w:val="center"/>
          </w:tcPr>
          <w:p w14:paraId="1C82B592" w14:textId="1F0BE72F" w:rsidR="00B92AC8" w:rsidRPr="00BA4471" w:rsidRDefault="00B92AC8" w:rsidP="00BA4471">
            <w:pPr>
              <w:rPr>
                <w:rFonts w:ascii="Arial" w:hAnsi="Arial" w:cs="Arial"/>
                <w:sz w:val="20"/>
                <w:szCs w:val="20"/>
              </w:rPr>
            </w:pPr>
            <w:r w:rsidRPr="00BA4471">
              <w:rPr>
                <w:rFonts w:ascii="Arial" w:hAnsi="Arial" w:cs="Arial"/>
                <w:sz w:val="20"/>
                <w:szCs w:val="20"/>
              </w:rPr>
              <w:t>268.4 ± 32.6</w:t>
            </w:r>
            <w:r w:rsidR="007713B8" w:rsidRPr="00BA4471">
              <w:rPr>
                <w:rFonts w:ascii="Arial" w:hAnsi="Arial" w:cs="Arial"/>
                <w:sz w:val="20"/>
                <w:szCs w:val="20"/>
                <w:vertAlign w:val="superscript"/>
              </w:rPr>
              <w:t>c</w:t>
            </w:r>
          </w:p>
        </w:tc>
      </w:tr>
      <w:tr w:rsidR="00B92AC8" w:rsidRPr="00BA4471" w14:paraId="30FA78FF" w14:textId="77777777" w:rsidTr="00EE108F">
        <w:tc>
          <w:tcPr>
            <w:tcW w:w="1440" w:type="dxa"/>
            <w:vAlign w:val="center"/>
          </w:tcPr>
          <w:p w14:paraId="06C3F0CD" w14:textId="3CE1DE3E" w:rsidR="00B92AC8" w:rsidRPr="00BA4471" w:rsidRDefault="00B92AC8" w:rsidP="00BA4471">
            <w:pPr>
              <w:rPr>
                <w:rFonts w:ascii="Arial" w:hAnsi="Arial" w:cs="Arial"/>
                <w:sz w:val="20"/>
                <w:szCs w:val="20"/>
              </w:rPr>
            </w:pPr>
            <w:r w:rsidRPr="00BA4471">
              <w:rPr>
                <w:rFonts w:ascii="Arial" w:hAnsi="Arial" w:cs="Arial"/>
                <w:sz w:val="20"/>
                <w:szCs w:val="20"/>
              </w:rPr>
              <w:t>3 years</w:t>
            </w:r>
          </w:p>
        </w:tc>
        <w:tc>
          <w:tcPr>
            <w:tcW w:w="540" w:type="dxa"/>
            <w:vAlign w:val="center"/>
          </w:tcPr>
          <w:p w14:paraId="25F99535" w14:textId="4017C6EB"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72DDD696" w14:textId="6D268878" w:rsidR="00B92AC8" w:rsidRPr="00BA4471" w:rsidRDefault="00B92AC8" w:rsidP="00BA4471">
            <w:pPr>
              <w:rPr>
                <w:rFonts w:ascii="Arial" w:hAnsi="Arial" w:cs="Arial"/>
                <w:sz w:val="20"/>
                <w:szCs w:val="20"/>
              </w:rPr>
            </w:pPr>
            <w:r w:rsidRPr="00BA4471">
              <w:rPr>
                <w:rFonts w:ascii="Arial" w:hAnsi="Arial" w:cs="Arial"/>
                <w:sz w:val="20"/>
                <w:szCs w:val="20"/>
              </w:rPr>
              <w:t>7.8 ± 0.28</w:t>
            </w:r>
            <w:r w:rsidR="006C6C53" w:rsidRPr="00BA4471">
              <w:rPr>
                <w:rFonts w:ascii="Arial" w:hAnsi="Arial" w:cs="Arial"/>
                <w:sz w:val="20"/>
                <w:szCs w:val="20"/>
                <w:vertAlign w:val="superscript"/>
              </w:rPr>
              <w:t>d</w:t>
            </w:r>
          </w:p>
        </w:tc>
        <w:tc>
          <w:tcPr>
            <w:tcW w:w="2340" w:type="dxa"/>
            <w:vAlign w:val="center"/>
          </w:tcPr>
          <w:p w14:paraId="437E2B82" w14:textId="14D6EB24" w:rsidR="00B92AC8" w:rsidRPr="00BA4471" w:rsidRDefault="00B92AC8" w:rsidP="00BA4471">
            <w:pPr>
              <w:rPr>
                <w:rFonts w:ascii="Arial" w:hAnsi="Arial" w:cs="Arial"/>
                <w:sz w:val="20"/>
                <w:szCs w:val="20"/>
              </w:rPr>
            </w:pPr>
            <w:r w:rsidRPr="00BA4471">
              <w:rPr>
                <w:rFonts w:ascii="Arial" w:hAnsi="Arial" w:cs="Arial"/>
                <w:sz w:val="20"/>
                <w:szCs w:val="20"/>
              </w:rPr>
              <w:t>21.3 ± 1.5</w:t>
            </w:r>
            <w:r w:rsidR="007713B8" w:rsidRPr="00BA4471">
              <w:rPr>
                <w:rFonts w:ascii="Arial" w:hAnsi="Arial" w:cs="Arial"/>
                <w:sz w:val="20"/>
                <w:szCs w:val="20"/>
                <w:vertAlign w:val="superscript"/>
              </w:rPr>
              <w:t>ab</w:t>
            </w:r>
          </w:p>
        </w:tc>
        <w:tc>
          <w:tcPr>
            <w:tcW w:w="2070" w:type="dxa"/>
            <w:vAlign w:val="center"/>
          </w:tcPr>
          <w:p w14:paraId="5A57ED2C" w14:textId="639EA9CC" w:rsidR="00B92AC8" w:rsidRPr="00BA4471" w:rsidRDefault="00B92AC8" w:rsidP="00BA4471">
            <w:pPr>
              <w:rPr>
                <w:rFonts w:ascii="Arial" w:hAnsi="Arial" w:cs="Arial"/>
                <w:sz w:val="20"/>
                <w:szCs w:val="20"/>
              </w:rPr>
            </w:pPr>
            <w:r w:rsidRPr="00BA4471">
              <w:rPr>
                <w:rFonts w:ascii="Arial" w:hAnsi="Arial" w:cs="Arial"/>
                <w:sz w:val="20"/>
                <w:szCs w:val="20"/>
              </w:rPr>
              <w:t>395.8 ± 49.1</w:t>
            </w:r>
            <w:r w:rsidR="007713B8" w:rsidRPr="00BA4471">
              <w:rPr>
                <w:rFonts w:ascii="Arial" w:hAnsi="Arial" w:cs="Arial"/>
                <w:sz w:val="20"/>
                <w:szCs w:val="20"/>
                <w:vertAlign w:val="superscript"/>
              </w:rPr>
              <w:t>d</w:t>
            </w:r>
          </w:p>
        </w:tc>
      </w:tr>
      <w:tr w:rsidR="00B92AC8" w:rsidRPr="00BA4471" w14:paraId="53C5372F" w14:textId="77777777" w:rsidTr="00EE108F">
        <w:tc>
          <w:tcPr>
            <w:tcW w:w="1440" w:type="dxa"/>
            <w:vAlign w:val="center"/>
          </w:tcPr>
          <w:p w14:paraId="0074AD49" w14:textId="07681C86" w:rsidR="00B92AC8" w:rsidRPr="00BA4471" w:rsidRDefault="00B92AC8" w:rsidP="00BA4471">
            <w:pPr>
              <w:rPr>
                <w:rFonts w:ascii="Arial" w:hAnsi="Arial" w:cs="Arial"/>
                <w:sz w:val="20"/>
                <w:szCs w:val="20"/>
              </w:rPr>
            </w:pPr>
            <w:r w:rsidRPr="00BA4471">
              <w:rPr>
                <w:rFonts w:ascii="Arial" w:hAnsi="Arial" w:cs="Arial"/>
                <w:sz w:val="20"/>
                <w:szCs w:val="20"/>
              </w:rPr>
              <w:t>4 years</w:t>
            </w:r>
          </w:p>
        </w:tc>
        <w:tc>
          <w:tcPr>
            <w:tcW w:w="540" w:type="dxa"/>
            <w:vAlign w:val="center"/>
          </w:tcPr>
          <w:p w14:paraId="1728755B" w14:textId="401AFD4C"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062AE181" w14:textId="284F6936" w:rsidR="00B92AC8" w:rsidRPr="00BA4471" w:rsidRDefault="00B92AC8" w:rsidP="00BA4471">
            <w:pPr>
              <w:rPr>
                <w:rFonts w:ascii="Arial" w:hAnsi="Arial" w:cs="Arial"/>
                <w:sz w:val="20"/>
                <w:szCs w:val="20"/>
              </w:rPr>
            </w:pPr>
            <w:r w:rsidRPr="00BA4471">
              <w:rPr>
                <w:rFonts w:ascii="Arial" w:hAnsi="Arial" w:cs="Arial"/>
                <w:sz w:val="20"/>
                <w:szCs w:val="20"/>
              </w:rPr>
              <w:t>8.9 ± 0.38</w:t>
            </w:r>
            <w:r w:rsidR="006C6C53" w:rsidRPr="00BA4471">
              <w:rPr>
                <w:rFonts w:ascii="Arial" w:hAnsi="Arial" w:cs="Arial"/>
                <w:sz w:val="20"/>
                <w:szCs w:val="20"/>
                <w:vertAlign w:val="superscript"/>
              </w:rPr>
              <w:t>c</w:t>
            </w:r>
          </w:p>
        </w:tc>
        <w:tc>
          <w:tcPr>
            <w:tcW w:w="2340" w:type="dxa"/>
            <w:vAlign w:val="center"/>
          </w:tcPr>
          <w:p w14:paraId="3619CEBE" w14:textId="006AD2C4" w:rsidR="00B92AC8" w:rsidRPr="00BA4471" w:rsidRDefault="00B92AC8" w:rsidP="00BA4471">
            <w:pPr>
              <w:rPr>
                <w:rFonts w:ascii="Arial" w:hAnsi="Arial" w:cs="Arial"/>
                <w:sz w:val="20"/>
                <w:szCs w:val="20"/>
              </w:rPr>
            </w:pPr>
            <w:r w:rsidRPr="00BA4471">
              <w:rPr>
                <w:rFonts w:ascii="Arial" w:hAnsi="Arial" w:cs="Arial"/>
                <w:sz w:val="20"/>
                <w:szCs w:val="20"/>
              </w:rPr>
              <w:t>18.2 ± 1.2</w:t>
            </w:r>
            <w:r w:rsidR="007713B8" w:rsidRPr="00BA4471">
              <w:rPr>
                <w:rFonts w:ascii="Arial" w:hAnsi="Arial" w:cs="Arial"/>
                <w:sz w:val="20"/>
                <w:szCs w:val="20"/>
                <w:vertAlign w:val="superscript"/>
              </w:rPr>
              <w:t>a</w:t>
            </w:r>
          </w:p>
        </w:tc>
        <w:tc>
          <w:tcPr>
            <w:tcW w:w="2070" w:type="dxa"/>
            <w:vAlign w:val="center"/>
          </w:tcPr>
          <w:p w14:paraId="171D2C0D" w14:textId="5ECBD974" w:rsidR="00B92AC8" w:rsidRPr="00BA4471" w:rsidRDefault="00B92AC8" w:rsidP="00BA4471">
            <w:pPr>
              <w:rPr>
                <w:rFonts w:ascii="Arial" w:hAnsi="Arial" w:cs="Arial"/>
                <w:sz w:val="20"/>
                <w:szCs w:val="20"/>
              </w:rPr>
            </w:pPr>
            <w:r w:rsidRPr="00BA4471">
              <w:rPr>
                <w:rFonts w:ascii="Arial" w:hAnsi="Arial" w:cs="Arial"/>
                <w:sz w:val="20"/>
                <w:szCs w:val="20"/>
              </w:rPr>
              <w:t>532.1 ± 70.6</w:t>
            </w:r>
            <w:r w:rsidR="007713B8" w:rsidRPr="00BA4471">
              <w:rPr>
                <w:rFonts w:ascii="Arial" w:hAnsi="Arial" w:cs="Arial"/>
                <w:sz w:val="20"/>
                <w:szCs w:val="20"/>
                <w:vertAlign w:val="superscript"/>
              </w:rPr>
              <w:t>e</w:t>
            </w:r>
          </w:p>
        </w:tc>
      </w:tr>
      <w:tr w:rsidR="00B92AC8" w:rsidRPr="00BA4471" w14:paraId="4236B851" w14:textId="77777777" w:rsidTr="00EE108F">
        <w:tc>
          <w:tcPr>
            <w:tcW w:w="1440" w:type="dxa"/>
            <w:vAlign w:val="center"/>
          </w:tcPr>
          <w:p w14:paraId="1F76EFD0" w14:textId="50385E5F" w:rsidR="00B92AC8" w:rsidRPr="00BA4471" w:rsidRDefault="00B92AC8" w:rsidP="00BA4471">
            <w:pPr>
              <w:rPr>
                <w:rFonts w:ascii="Arial" w:hAnsi="Arial" w:cs="Arial"/>
                <w:sz w:val="20"/>
                <w:szCs w:val="20"/>
              </w:rPr>
            </w:pPr>
            <w:r w:rsidRPr="00BA4471">
              <w:rPr>
                <w:rFonts w:ascii="Arial" w:hAnsi="Arial" w:cs="Arial"/>
                <w:sz w:val="20"/>
                <w:szCs w:val="20"/>
              </w:rPr>
              <w:t>5 years</w:t>
            </w:r>
          </w:p>
        </w:tc>
        <w:tc>
          <w:tcPr>
            <w:tcW w:w="540" w:type="dxa"/>
            <w:vAlign w:val="center"/>
          </w:tcPr>
          <w:p w14:paraId="30DACB97" w14:textId="1D8940A0"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54C12F34" w14:textId="7AEDBAC3" w:rsidR="00B92AC8" w:rsidRPr="00BA4471" w:rsidRDefault="00B92AC8" w:rsidP="00BA4471">
            <w:pPr>
              <w:rPr>
                <w:rFonts w:ascii="Arial" w:hAnsi="Arial" w:cs="Arial"/>
                <w:sz w:val="20"/>
                <w:szCs w:val="20"/>
              </w:rPr>
            </w:pPr>
            <w:r w:rsidRPr="00BA4471">
              <w:rPr>
                <w:rFonts w:ascii="Arial" w:hAnsi="Arial" w:cs="Arial"/>
                <w:sz w:val="20"/>
                <w:szCs w:val="20"/>
              </w:rPr>
              <w:t>7.8 ± 0.32</w:t>
            </w:r>
            <w:r w:rsidR="009E3317" w:rsidRPr="00BA4471">
              <w:rPr>
                <w:rFonts w:ascii="Arial" w:hAnsi="Arial" w:cs="Arial"/>
                <w:sz w:val="20"/>
                <w:szCs w:val="20"/>
                <w:vertAlign w:val="superscript"/>
              </w:rPr>
              <w:t>d</w:t>
            </w:r>
          </w:p>
        </w:tc>
        <w:tc>
          <w:tcPr>
            <w:tcW w:w="2340" w:type="dxa"/>
            <w:vAlign w:val="center"/>
          </w:tcPr>
          <w:p w14:paraId="123CC572" w14:textId="17F8A5E5" w:rsidR="00B92AC8" w:rsidRPr="00BA4471" w:rsidRDefault="00B92AC8" w:rsidP="00BA4471">
            <w:pPr>
              <w:rPr>
                <w:rFonts w:ascii="Arial" w:hAnsi="Arial" w:cs="Arial"/>
                <w:sz w:val="20"/>
                <w:szCs w:val="20"/>
              </w:rPr>
            </w:pPr>
            <w:r w:rsidRPr="00BA4471">
              <w:rPr>
                <w:rFonts w:ascii="Arial" w:hAnsi="Arial" w:cs="Arial"/>
                <w:sz w:val="20"/>
                <w:szCs w:val="20"/>
              </w:rPr>
              <w:t>19.1 ± 1.3</w:t>
            </w:r>
            <w:r w:rsidR="007713B8" w:rsidRPr="00BA4471">
              <w:rPr>
                <w:rFonts w:ascii="Arial" w:hAnsi="Arial" w:cs="Arial"/>
                <w:sz w:val="20"/>
                <w:szCs w:val="20"/>
                <w:vertAlign w:val="superscript"/>
              </w:rPr>
              <w:t>a</w:t>
            </w:r>
          </w:p>
        </w:tc>
        <w:tc>
          <w:tcPr>
            <w:tcW w:w="2070" w:type="dxa"/>
            <w:vAlign w:val="center"/>
          </w:tcPr>
          <w:p w14:paraId="406F5AF0" w14:textId="5BED3997" w:rsidR="00B92AC8" w:rsidRPr="00BA4471" w:rsidRDefault="00B92AC8" w:rsidP="00BA4471">
            <w:pPr>
              <w:rPr>
                <w:rFonts w:ascii="Arial" w:hAnsi="Arial" w:cs="Arial"/>
                <w:sz w:val="20"/>
                <w:szCs w:val="20"/>
              </w:rPr>
            </w:pPr>
            <w:r w:rsidRPr="00BA4471">
              <w:rPr>
                <w:rFonts w:ascii="Arial" w:hAnsi="Arial" w:cs="Arial"/>
                <w:sz w:val="20"/>
                <w:szCs w:val="20"/>
              </w:rPr>
              <w:t>442.6 ± 57.3</w:t>
            </w:r>
            <w:r w:rsidR="007713B8" w:rsidRPr="00BA4471">
              <w:rPr>
                <w:rFonts w:ascii="Arial" w:hAnsi="Arial" w:cs="Arial"/>
                <w:sz w:val="20"/>
                <w:szCs w:val="20"/>
                <w:vertAlign w:val="superscript"/>
              </w:rPr>
              <w:t>de</w:t>
            </w:r>
          </w:p>
        </w:tc>
      </w:tr>
      <w:tr w:rsidR="00B92AC8" w:rsidRPr="00BA4471" w14:paraId="05529D91" w14:textId="77777777" w:rsidTr="00EE108F">
        <w:tc>
          <w:tcPr>
            <w:tcW w:w="1440" w:type="dxa"/>
            <w:vAlign w:val="center"/>
          </w:tcPr>
          <w:p w14:paraId="2F953F5C" w14:textId="16B6BE36" w:rsidR="00B92AC8" w:rsidRPr="00BA4471" w:rsidRDefault="00B92AC8" w:rsidP="00BA4471">
            <w:pPr>
              <w:rPr>
                <w:rFonts w:ascii="Arial" w:hAnsi="Arial" w:cs="Arial"/>
                <w:sz w:val="20"/>
                <w:szCs w:val="20"/>
              </w:rPr>
            </w:pPr>
            <w:r w:rsidRPr="00BA4471">
              <w:rPr>
                <w:rFonts w:ascii="Arial" w:hAnsi="Arial" w:cs="Arial"/>
                <w:sz w:val="20"/>
                <w:szCs w:val="20"/>
              </w:rPr>
              <w:t>6 years</w:t>
            </w:r>
          </w:p>
        </w:tc>
        <w:tc>
          <w:tcPr>
            <w:tcW w:w="540" w:type="dxa"/>
            <w:vAlign w:val="center"/>
          </w:tcPr>
          <w:p w14:paraId="0BAC7FE5" w14:textId="7BABD1FD"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73B33500" w14:textId="61F64EDA" w:rsidR="00B92AC8" w:rsidRPr="00BA4471" w:rsidRDefault="00B92AC8" w:rsidP="00BA4471">
            <w:pPr>
              <w:rPr>
                <w:rFonts w:ascii="Arial" w:hAnsi="Arial" w:cs="Arial"/>
                <w:sz w:val="20"/>
                <w:szCs w:val="20"/>
              </w:rPr>
            </w:pPr>
            <w:r w:rsidRPr="00BA4471">
              <w:rPr>
                <w:rFonts w:ascii="Arial" w:hAnsi="Arial" w:cs="Arial"/>
                <w:sz w:val="20"/>
                <w:szCs w:val="20"/>
              </w:rPr>
              <w:t>6.9 ± 0.28</w:t>
            </w:r>
            <w:r w:rsidR="009E3317" w:rsidRPr="00BA4471">
              <w:rPr>
                <w:rFonts w:ascii="Arial" w:hAnsi="Arial" w:cs="Arial"/>
                <w:sz w:val="20"/>
                <w:szCs w:val="20"/>
                <w:vertAlign w:val="superscript"/>
              </w:rPr>
              <w:t>cd</w:t>
            </w:r>
          </w:p>
        </w:tc>
        <w:tc>
          <w:tcPr>
            <w:tcW w:w="2340" w:type="dxa"/>
            <w:vAlign w:val="center"/>
          </w:tcPr>
          <w:p w14:paraId="3D0545C6" w14:textId="7C914858" w:rsidR="00B92AC8" w:rsidRPr="00BA4471" w:rsidRDefault="00B92AC8" w:rsidP="00BA4471">
            <w:pPr>
              <w:rPr>
                <w:rFonts w:ascii="Arial" w:hAnsi="Arial" w:cs="Arial"/>
                <w:sz w:val="20"/>
                <w:szCs w:val="20"/>
              </w:rPr>
            </w:pPr>
            <w:r w:rsidRPr="00BA4471">
              <w:rPr>
                <w:rFonts w:ascii="Arial" w:hAnsi="Arial" w:cs="Arial"/>
                <w:sz w:val="20"/>
                <w:szCs w:val="20"/>
              </w:rPr>
              <w:t>20.3 ± 1.5</w:t>
            </w:r>
            <w:r w:rsidR="007713B8" w:rsidRPr="00BA4471">
              <w:rPr>
                <w:rFonts w:ascii="Arial" w:hAnsi="Arial" w:cs="Arial"/>
                <w:sz w:val="20"/>
                <w:szCs w:val="20"/>
                <w:vertAlign w:val="superscript"/>
              </w:rPr>
              <w:t>ab</w:t>
            </w:r>
          </w:p>
        </w:tc>
        <w:tc>
          <w:tcPr>
            <w:tcW w:w="2070" w:type="dxa"/>
            <w:vAlign w:val="center"/>
          </w:tcPr>
          <w:p w14:paraId="0E5291AD" w14:textId="4560DB50" w:rsidR="00B92AC8" w:rsidRPr="00BA4471" w:rsidRDefault="00B92AC8" w:rsidP="00BA4471">
            <w:pPr>
              <w:rPr>
                <w:rFonts w:ascii="Arial" w:hAnsi="Arial" w:cs="Arial"/>
                <w:sz w:val="20"/>
                <w:szCs w:val="20"/>
              </w:rPr>
            </w:pPr>
            <w:r w:rsidRPr="00BA4471">
              <w:rPr>
                <w:rFonts w:ascii="Arial" w:hAnsi="Arial" w:cs="Arial"/>
                <w:sz w:val="20"/>
                <w:szCs w:val="20"/>
              </w:rPr>
              <w:t>368.2 ± 46.6</w:t>
            </w:r>
            <w:r w:rsidR="007713B8" w:rsidRPr="00BA4471">
              <w:rPr>
                <w:rFonts w:ascii="Arial" w:hAnsi="Arial" w:cs="Arial"/>
                <w:sz w:val="20"/>
                <w:szCs w:val="20"/>
                <w:vertAlign w:val="superscript"/>
              </w:rPr>
              <w:t>cd</w:t>
            </w:r>
          </w:p>
        </w:tc>
      </w:tr>
      <w:tr w:rsidR="00B92AC8" w:rsidRPr="00BA4471" w14:paraId="315D9AE7" w14:textId="77777777" w:rsidTr="00EE108F">
        <w:tc>
          <w:tcPr>
            <w:tcW w:w="1440" w:type="dxa"/>
            <w:vAlign w:val="center"/>
          </w:tcPr>
          <w:p w14:paraId="19433DFD" w14:textId="53D197A6" w:rsidR="00B92AC8" w:rsidRPr="00BA4471" w:rsidRDefault="00B92AC8" w:rsidP="00BA4471">
            <w:pPr>
              <w:rPr>
                <w:rFonts w:ascii="Arial" w:hAnsi="Arial" w:cs="Arial"/>
                <w:sz w:val="20"/>
                <w:szCs w:val="20"/>
              </w:rPr>
            </w:pPr>
            <w:r w:rsidRPr="00BA4471">
              <w:rPr>
                <w:rFonts w:ascii="Arial" w:hAnsi="Arial" w:cs="Arial"/>
                <w:sz w:val="20"/>
                <w:szCs w:val="20"/>
              </w:rPr>
              <w:t>7 years</w:t>
            </w:r>
          </w:p>
        </w:tc>
        <w:tc>
          <w:tcPr>
            <w:tcW w:w="540" w:type="dxa"/>
            <w:vAlign w:val="center"/>
          </w:tcPr>
          <w:p w14:paraId="43ADC7A9" w14:textId="2AB3AB40"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7CD1736F" w14:textId="309696B6" w:rsidR="00B92AC8" w:rsidRPr="00BA4471" w:rsidRDefault="00B92AC8" w:rsidP="00BA4471">
            <w:pPr>
              <w:rPr>
                <w:rFonts w:ascii="Arial" w:hAnsi="Arial" w:cs="Arial"/>
                <w:sz w:val="20"/>
                <w:szCs w:val="20"/>
              </w:rPr>
            </w:pPr>
            <w:r w:rsidRPr="00BA4471">
              <w:rPr>
                <w:rFonts w:ascii="Arial" w:hAnsi="Arial" w:cs="Arial"/>
                <w:sz w:val="20"/>
                <w:szCs w:val="20"/>
              </w:rPr>
              <w:t>6.1 ± 0.26</w:t>
            </w:r>
            <w:r w:rsidR="009E3317" w:rsidRPr="00BA4471">
              <w:rPr>
                <w:rFonts w:ascii="Arial" w:hAnsi="Arial" w:cs="Arial"/>
                <w:sz w:val="20"/>
                <w:szCs w:val="20"/>
                <w:vertAlign w:val="superscript"/>
              </w:rPr>
              <w:t>c</w:t>
            </w:r>
          </w:p>
        </w:tc>
        <w:tc>
          <w:tcPr>
            <w:tcW w:w="2340" w:type="dxa"/>
            <w:vAlign w:val="center"/>
          </w:tcPr>
          <w:p w14:paraId="0A466FC0" w14:textId="73C67D95" w:rsidR="00B92AC8" w:rsidRPr="00BA4471" w:rsidRDefault="00B92AC8" w:rsidP="00BA4471">
            <w:pPr>
              <w:rPr>
                <w:rFonts w:ascii="Arial" w:hAnsi="Arial" w:cs="Arial"/>
                <w:sz w:val="20"/>
                <w:szCs w:val="20"/>
              </w:rPr>
            </w:pPr>
            <w:r w:rsidRPr="00BA4471">
              <w:rPr>
                <w:rFonts w:ascii="Arial" w:hAnsi="Arial" w:cs="Arial"/>
                <w:sz w:val="20"/>
                <w:szCs w:val="20"/>
              </w:rPr>
              <w:t>21.5 ± 1.6</w:t>
            </w:r>
            <w:r w:rsidR="007713B8" w:rsidRPr="00BA4471">
              <w:rPr>
                <w:rFonts w:ascii="Arial" w:hAnsi="Arial" w:cs="Arial"/>
                <w:sz w:val="20"/>
                <w:szCs w:val="20"/>
                <w:vertAlign w:val="superscript"/>
              </w:rPr>
              <w:t>ab</w:t>
            </w:r>
          </w:p>
        </w:tc>
        <w:tc>
          <w:tcPr>
            <w:tcW w:w="2070" w:type="dxa"/>
            <w:vAlign w:val="center"/>
          </w:tcPr>
          <w:p w14:paraId="4B39C721" w14:textId="01BA0BD8" w:rsidR="00B92AC8" w:rsidRPr="00BA4471" w:rsidRDefault="00B92AC8" w:rsidP="00BA4471">
            <w:pPr>
              <w:rPr>
                <w:rFonts w:ascii="Arial" w:hAnsi="Arial" w:cs="Arial"/>
                <w:sz w:val="20"/>
                <w:szCs w:val="20"/>
              </w:rPr>
            </w:pPr>
            <w:r w:rsidRPr="00BA4471">
              <w:rPr>
                <w:rFonts w:ascii="Arial" w:hAnsi="Arial" w:cs="Arial"/>
                <w:sz w:val="20"/>
                <w:szCs w:val="20"/>
              </w:rPr>
              <w:t>307.3 ± 39.2</w:t>
            </w:r>
            <w:r w:rsidR="007713B8" w:rsidRPr="00BA4471">
              <w:rPr>
                <w:rFonts w:ascii="Arial" w:hAnsi="Arial" w:cs="Arial"/>
                <w:sz w:val="20"/>
                <w:szCs w:val="20"/>
                <w:vertAlign w:val="superscript"/>
              </w:rPr>
              <w:t>c</w:t>
            </w:r>
          </w:p>
        </w:tc>
      </w:tr>
      <w:tr w:rsidR="00B92AC8" w:rsidRPr="00BA4471" w14:paraId="56D03924" w14:textId="77777777" w:rsidTr="00EE108F">
        <w:tc>
          <w:tcPr>
            <w:tcW w:w="1440" w:type="dxa"/>
            <w:vAlign w:val="center"/>
          </w:tcPr>
          <w:p w14:paraId="488E97D9" w14:textId="106B22C3" w:rsidR="00B92AC8" w:rsidRPr="00BA4471" w:rsidRDefault="00B92AC8" w:rsidP="00BA4471">
            <w:pPr>
              <w:rPr>
                <w:rFonts w:ascii="Arial" w:hAnsi="Arial" w:cs="Arial"/>
                <w:sz w:val="20"/>
                <w:szCs w:val="20"/>
              </w:rPr>
            </w:pPr>
            <w:r w:rsidRPr="00BA4471">
              <w:rPr>
                <w:rFonts w:ascii="Arial" w:hAnsi="Arial" w:cs="Arial"/>
                <w:sz w:val="20"/>
                <w:szCs w:val="20"/>
              </w:rPr>
              <w:t>≥8 years</w:t>
            </w:r>
          </w:p>
        </w:tc>
        <w:tc>
          <w:tcPr>
            <w:tcW w:w="540" w:type="dxa"/>
            <w:vAlign w:val="center"/>
          </w:tcPr>
          <w:p w14:paraId="21643AF3" w14:textId="79214DCE"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1D3641F7" w14:textId="26565FD9" w:rsidR="00B92AC8" w:rsidRPr="00BA4471" w:rsidRDefault="00B92AC8" w:rsidP="00BA4471">
            <w:pPr>
              <w:rPr>
                <w:rFonts w:ascii="Arial" w:hAnsi="Arial" w:cs="Arial"/>
                <w:sz w:val="20"/>
                <w:szCs w:val="20"/>
              </w:rPr>
            </w:pPr>
            <w:r w:rsidRPr="00BA4471">
              <w:rPr>
                <w:rFonts w:ascii="Arial" w:hAnsi="Arial" w:cs="Arial"/>
                <w:sz w:val="20"/>
                <w:szCs w:val="20"/>
              </w:rPr>
              <w:t>5.1 ± 0.25</w:t>
            </w:r>
            <w:r w:rsidR="009E3317" w:rsidRPr="00BA4471">
              <w:rPr>
                <w:rFonts w:ascii="Arial" w:hAnsi="Arial" w:cs="Arial"/>
                <w:sz w:val="20"/>
                <w:szCs w:val="20"/>
                <w:vertAlign w:val="superscript"/>
              </w:rPr>
              <w:t>c</w:t>
            </w:r>
          </w:p>
        </w:tc>
        <w:tc>
          <w:tcPr>
            <w:tcW w:w="2340" w:type="dxa"/>
            <w:vAlign w:val="center"/>
          </w:tcPr>
          <w:p w14:paraId="458D515C" w14:textId="558F670B" w:rsidR="00B92AC8" w:rsidRPr="00BA4471" w:rsidRDefault="00B92AC8" w:rsidP="00BA4471">
            <w:pPr>
              <w:rPr>
                <w:rFonts w:ascii="Arial" w:hAnsi="Arial" w:cs="Arial"/>
                <w:sz w:val="20"/>
                <w:szCs w:val="20"/>
              </w:rPr>
            </w:pPr>
            <w:r w:rsidRPr="00BA4471">
              <w:rPr>
                <w:rFonts w:ascii="Arial" w:hAnsi="Arial" w:cs="Arial"/>
                <w:sz w:val="20"/>
                <w:szCs w:val="20"/>
              </w:rPr>
              <w:t>19.7 ± 1.3</w:t>
            </w:r>
            <w:r w:rsidR="007713B8" w:rsidRPr="00BA4471">
              <w:rPr>
                <w:rFonts w:ascii="Arial" w:hAnsi="Arial" w:cs="Arial"/>
                <w:sz w:val="20"/>
                <w:szCs w:val="20"/>
                <w:vertAlign w:val="superscript"/>
              </w:rPr>
              <w:t>ab</w:t>
            </w:r>
          </w:p>
        </w:tc>
        <w:tc>
          <w:tcPr>
            <w:tcW w:w="2070" w:type="dxa"/>
            <w:vAlign w:val="center"/>
          </w:tcPr>
          <w:p w14:paraId="59770BD7" w14:textId="17336F7A" w:rsidR="00B92AC8" w:rsidRPr="00BA4471" w:rsidRDefault="00B92AC8" w:rsidP="00BA4471">
            <w:pPr>
              <w:rPr>
                <w:rFonts w:ascii="Arial" w:hAnsi="Arial" w:cs="Arial"/>
                <w:sz w:val="20"/>
                <w:szCs w:val="20"/>
              </w:rPr>
            </w:pPr>
            <w:r w:rsidRPr="00BA4471">
              <w:rPr>
                <w:rFonts w:ascii="Arial" w:hAnsi="Arial" w:cs="Arial"/>
                <w:sz w:val="20"/>
                <w:szCs w:val="20"/>
              </w:rPr>
              <w:t>284.7 ± 44.0</w:t>
            </w:r>
            <w:r w:rsidR="007713B8" w:rsidRPr="00BA4471">
              <w:rPr>
                <w:rFonts w:ascii="Arial" w:hAnsi="Arial" w:cs="Arial"/>
                <w:sz w:val="20"/>
                <w:szCs w:val="20"/>
                <w:vertAlign w:val="superscript"/>
              </w:rPr>
              <w:t>c</w:t>
            </w:r>
          </w:p>
        </w:tc>
      </w:tr>
      <w:tr w:rsidR="00B1787E" w:rsidRPr="00BA4471" w14:paraId="5D00EB36" w14:textId="77777777" w:rsidTr="00EE108F">
        <w:tc>
          <w:tcPr>
            <w:tcW w:w="1440" w:type="dxa"/>
          </w:tcPr>
          <w:p w14:paraId="1F979E06" w14:textId="3520D289" w:rsidR="00B1787E" w:rsidRPr="00BA4471" w:rsidRDefault="00B1787E" w:rsidP="00BA4471">
            <w:pPr>
              <w:rPr>
                <w:rFonts w:ascii="Arial" w:hAnsi="Arial" w:cs="Arial"/>
                <w:sz w:val="20"/>
                <w:szCs w:val="20"/>
              </w:rPr>
            </w:pPr>
            <w:r w:rsidRPr="00BA4471">
              <w:rPr>
                <w:rFonts w:ascii="Arial" w:hAnsi="Arial" w:cs="Arial"/>
                <w:b/>
                <w:bCs/>
                <w:i/>
                <w:iCs/>
                <w:sz w:val="20"/>
                <w:szCs w:val="20"/>
              </w:rPr>
              <w:t>P</w:t>
            </w:r>
            <w:r w:rsidRPr="00D003F4">
              <w:rPr>
                <w:rFonts w:ascii="Arial" w:hAnsi="Arial" w:cs="Arial"/>
                <w:b/>
                <w:bCs/>
                <w:i/>
                <w:iCs/>
                <w:sz w:val="20"/>
                <w:szCs w:val="20"/>
              </w:rPr>
              <w:t>-value</w:t>
            </w:r>
          </w:p>
        </w:tc>
        <w:tc>
          <w:tcPr>
            <w:tcW w:w="540" w:type="dxa"/>
          </w:tcPr>
          <w:p w14:paraId="16961038" w14:textId="77777777" w:rsidR="00B1787E" w:rsidRPr="00BA4471" w:rsidRDefault="00B1787E" w:rsidP="00BA4471">
            <w:pPr>
              <w:rPr>
                <w:rFonts w:ascii="Arial" w:hAnsi="Arial" w:cs="Arial"/>
                <w:sz w:val="20"/>
                <w:szCs w:val="20"/>
              </w:rPr>
            </w:pPr>
          </w:p>
        </w:tc>
        <w:tc>
          <w:tcPr>
            <w:tcW w:w="2430" w:type="dxa"/>
          </w:tcPr>
          <w:p w14:paraId="15F8E520" w14:textId="17426FBE" w:rsidR="00B1787E" w:rsidRPr="00BA4471" w:rsidRDefault="00B1787E" w:rsidP="00BA4471">
            <w:pPr>
              <w:rPr>
                <w:rFonts w:ascii="Arial" w:hAnsi="Arial" w:cs="Arial"/>
                <w:sz w:val="20"/>
                <w:szCs w:val="20"/>
              </w:rPr>
            </w:pPr>
            <w:r w:rsidRPr="00D003F4">
              <w:rPr>
                <w:rFonts w:ascii="Arial" w:hAnsi="Arial" w:cs="Arial"/>
                <w:b/>
                <w:bCs/>
                <w:i/>
                <w:iCs/>
                <w:sz w:val="20"/>
                <w:szCs w:val="20"/>
              </w:rPr>
              <w:t>&lt;</w:t>
            </w:r>
            <w:r w:rsidR="001D417E">
              <w:rPr>
                <w:rFonts w:ascii="Arial" w:hAnsi="Arial" w:cs="Arial"/>
                <w:b/>
                <w:bCs/>
                <w:i/>
                <w:iCs/>
                <w:sz w:val="20"/>
                <w:szCs w:val="20"/>
              </w:rPr>
              <w:t xml:space="preserve"> </w:t>
            </w:r>
            <w:r w:rsidRPr="00D003F4">
              <w:rPr>
                <w:rFonts w:ascii="Arial" w:hAnsi="Arial" w:cs="Arial"/>
                <w:b/>
                <w:bCs/>
                <w:i/>
                <w:iCs/>
                <w:sz w:val="20"/>
                <w:szCs w:val="20"/>
              </w:rPr>
              <w:t>.001</w:t>
            </w:r>
          </w:p>
        </w:tc>
        <w:tc>
          <w:tcPr>
            <w:tcW w:w="2340" w:type="dxa"/>
          </w:tcPr>
          <w:p w14:paraId="087AB99F" w14:textId="7EEDC6C5" w:rsidR="00B1787E" w:rsidRPr="00BA4471" w:rsidRDefault="00B1787E" w:rsidP="00BA4471">
            <w:pPr>
              <w:rPr>
                <w:rFonts w:ascii="Arial" w:hAnsi="Arial" w:cs="Arial"/>
                <w:b/>
                <w:bCs/>
                <w:i/>
                <w:iCs/>
                <w:sz w:val="20"/>
                <w:szCs w:val="20"/>
              </w:rPr>
            </w:pPr>
            <w:r w:rsidRPr="00BA4471">
              <w:rPr>
                <w:rFonts w:ascii="Arial" w:hAnsi="Arial" w:cs="Arial"/>
                <w:b/>
                <w:bCs/>
                <w:i/>
                <w:iCs/>
                <w:sz w:val="20"/>
                <w:szCs w:val="20"/>
              </w:rPr>
              <w:t xml:space="preserve"> &lt; .001</w:t>
            </w:r>
          </w:p>
        </w:tc>
        <w:tc>
          <w:tcPr>
            <w:tcW w:w="2070" w:type="dxa"/>
          </w:tcPr>
          <w:p w14:paraId="672FB6B1" w14:textId="02EF7C17" w:rsidR="00B1787E" w:rsidRPr="00BA4471" w:rsidRDefault="00B1787E" w:rsidP="00BA4471">
            <w:pPr>
              <w:rPr>
                <w:rFonts w:ascii="Arial" w:hAnsi="Arial" w:cs="Arial"/>
                <w:sz w:val="20"/>
                <w:szCs w:val="20"/>
              </w:rPr>
            </w:pPr>
            <w:r w:rsidRPr="00BA4471">
              <w:rPr>
                <w:rFonts w:ascii="Arial" w:hAnsi="Arial" w:cs="Arial"/>
                <w:b/>
                <w:bCs/>
                <w:i/>
                <w:iCs/>
                <w:sz w:val="20"/>
                <w:szCs w:val="20"/>
              </w:rPr>
              <w:t>&lt; .001</w:t>
            </w:r>
          </w:p>
        </w:tc>
      </w:tr>
    </w:tbl>
    <w:p w14:paraId="31F04A5A" w14:textId="303F8EEE" w:rsidR="00B92AC8" w:rsidRPr="00BA4471" w:rsidRDefault="002C2626" w:rsidP="009F7C14">
      <w:pPr>
        <w:spacing w:after="0" w:line="240" w:lineRule="auto"/>
        <w:ind w:left="270"/>
        <w:rPr>
          <w:rFonts w:ascii="Arial" w:hAnsi="Arial" w:cs="Arial"/>
          <w:b/>
          <w:bCs/>
          <w:i/>
          <w:iCs/>
          <w:sz w:val="20"/>
          <w:szCs w:val="20"/>
        </w:rPr>
      </w:pPr>
      <w:r w:rsidRPr="00BA4471">
        <w:rPr>
          <w:rFonts w:ascii="Arial" w:hAnsi="Arial" w:cs="Arial"/>
          <w:b/>
          <w:bCs/>
          <w:i/>
          <w:iCs/>
          <w:sz w:val="20"/>
          <w:szCs w:val="20"/>
        </w:rPr>
        <w:t xml:space="preserve">n=number of </w:t>
      </w:r>
      <w:proofErr w:type="gramStart"/>
      <w:r w:rsidRPr="00BA4471">
        <w:rPr>
          <w:rFonts w:ascii="Arial" w:hAnsi="Arial" w:cs="Arial"/>
          <w:b/>
          <w:bCs/>
          <w:i/>
          <w:iCs/>
          <w:sz w:val="20"/>
          <w:szCs w:val="20"/>
        </w:rPr>
        <w:t>observation</w:t>
      </w:r>
      <w:proofErr w:type="gramEnd"/>
      <w:r w:rsidRPr="00BA4471">
        <w:rPr>
          <w:rFonts w:ascii="Arial" w:hAnsi="Arial" w:cs="Arial"/>
          <w:b/>
          <w:bCs/>
          <w:i/>
          <w:iCs/>
          <w:sz w:val="20"/>
          <w:szCs w:val="20"/>
        </w:rPr>
        <w:t xml:space="preserve">; Different superscript letters within columns indicate significant differences (P &lt; .05). </w:t>
      </w:r>
      <w:proofErr w:type="gramStart"/>
      <w:r w:rsidRPr="00BA4471">
        <w:rPr>
          <w:rFonts w:ascii="Arial" w:hAnsi="Arial" w:cs="Arial"/>
          <w:b/>
          <w:bCs/>
          <w:i/>
          <w:iCs/>
          <w:sz w:val="20"/>
          <w:szCs w:val="20"/>
        </w:rPr>
        <w:t>T:E</w:t>
      </w:r>
      <w:proofErr w:type="gramEnd"/>
      <w:r w:rsidRPr="00BA4471">
        <w:rPr>
          <w:rFonts w:ascii="Arial" w:hAnsi="Arial" w:cs="Arial"/>
          <w:b/>
          <w:bCs/>
          <w:i/>
          <w:iCs/>
          <w:sz w:val="20"/>
          <w:szCs w:val="20"/>
        </w:rPr>
        <w:t xml:space="preserve"> = </w:t>
      </w:r>
      <w:proofErr w:type="spellStart"/>
      <w:r w:rsidRPr="00BA4471">
        <w:rPr>
          <w:rFonts w:ascii="Arial" w:hAnsi="Arial" w:cs="Arial"/>
          <w:b/>
          <w:bCs/>
          <w:i/>
          <w:iCs/>
          <w:sz w:val="20"/>
          <w:szCs w:val="20"/>
        </w:rPr>
        <w:t>Testosterone:Oestradiol</w:t>
      </w:r>
      <w:proofErr w:type="spellEnd"/>
      <w:r w:rsidRPr="00BA4471">
        <w:rPr>
          <w:rFonts w:ascii="Arial" w:hAnsi="Arial" w:cs="Arial"/>
          <w:b/>
          <w:bCs/>
          <w:i/>
          <w:iCs/>
          <w:sz w:val="20"/>
          <w:szCs w:val="20"/>
        </w:rPr>
        <w:t xml:space="preserve"> ratio.</w:t>
      </w:r>
    </w:p>
    <w:p w14:paraId="145AE0E0" w14:textId="77777777" w:rsidR="00725B3A" w:rsidRPr="00BA4471" w:rsidRDefault="00725B3A" w:rsidP="00BA4471">
      <w:pPr>
        <w:spacing w:after="0" w:line="240" w:lineRule="auto"/>
        <w:ind w:left="270"/>
        <w:rPr>
          <w:rFonts w:ascii="Arial" w:hAnsi="Arial" w:cs="Arial"/>
          <w:b/>
          <w:bCs/>
          <w:i/>
          <w:iCs/>
          <w:sz w:val="20"/>
          <w:szCs w:val="20"/>
        </w:rPr>
      </w:pPr>
    </w:p>
    <w:p w14:paraId="3F171929" w14:textId="5F68E361" w:rsidR="001C27CA" w:rsidRPr="00BA4471" w:rsidRDefault="001C27CA" w:rsidP="00F425D5">
      <w:pPr>
        <w:pStyle w:val="Heading2"/>
        <w:spacing w:line="240" w:lineRule="auto"/>
        <w:jc w:val="both"/>
        <w:rPr>
          <w:rFonts w:cs="Arial"/>
        </w:rPr>
      </w:pPr>
      <w:r w:rsidRPr="00BA4471">
        <w:rPr>
          <w:rFonts w:cs="Arial"/>
        </w:rPr>
        <w:t xml:space="preserve">3.3 Oestradiol Regulation </w:t>
      </w:r>
    </w:p>
    <w:p w14:paraId="742D11DC" w14:textId="2A5B8C4F" w:rsidR="001C27CA" w:rsidRPr="00BA4471" w:rsidRDefault="001C27CA" w:rsidP="00F425D5">
      <w:pPr>
        <w:spacing w:after="0" w:line="240" w:lineRule="auto"/>
        <w:jc w:val="both"/>
        <w:rPr>
          <w:rFonts w:ascii="Arial" w:hAnsi="Arial" w:cs="Arial"/>
          <w:sz w:val="20"/>
          <w:szCs w:val="20"/>
        </w:rPr>
      </w:pPr>
      <w:r w:rsidRPr="00BA4471">
        <w:rPr>
          <w:rFonts w:ascii="Arial" w:hAnsi="Arial" w:cs="Arial"/>
          <w:sz w:val="20"/>
          <w:szCs w:val="20"/>
        </w:rPr>
        <w:t xml:space="preserve">The distinctive oestradiol pattern observed with peak values in 1-year-old bulls (45.6 ± 2.6 </w:t>
      </w:r>
      <w:proofErr w:type="spellStart"/>
      <w:r w:rsidRPr="00BA4471">
        <w:rPr>
          <w:rFonts w:ascii="Arial" w:hAnsi="Arial" w:cs="Arial"/>
          <w:sz w:val="20"/>
          <w:szCs w:val="20"/>
        </w:rPr>
        <w:t>pg</w:t>
      </w:r>
      <w:proofErr w:type="spellEnd"/>
      <w:r w:rsidRPr="00BA4471">
        <w:rPr>
          <w:rFonts w:ascii="Arial" w:hAnsi="Arial" w:cs="Arial"/>
          <w:sz w:val="20"/>
          <w:szCs w:val="20"/>
        </w:rPr>
        <w:t>/mL) followed by steady lower levels (Table 2) is indicative of the multifaceted regulatory role of oestradiol during male reproductive development (Chenoweth, 2020; Santos et al., 2021). The initial peak for oestradiol most probably coincides with growth-related processes such as epiphyseal plate formation, bone mineralization</w:t>
      </w:r>
      <w:r w:rsidR="007C0607" w:rsidRPr="00BA4471">
        <w:rPr>
          <w:rFonts w:ascii="Arial" w:hAnsi="Arial" w:cs="Arial"/>
          <w:sz w:val="20"/>
          <w:szCs w:val="20"/>
        </w:rPr>
        <w:t xml:space="preserve"> which are related to skeletal development</w:t>
      </w:r>
      <w:r w:rsidRPr="00BA4471">
        <w:rPr>
          <w:rFonts w:ascii="Arial" w:hAnsi="Arial" w:cs="Arial"/>
          <w:sz w:val="20"/>
          <w:szCs w:val="20"/>
        </w:rPr>
        <w:t>,</w:t>
      </w:r>
      <w:r w:rsidRPr="00BA4471">
        <w:rPr>
          <w:rFonts w:ascii="Arial" w:hAnsi="Arial" w:cs="Arial"/>
        </w:rPr>
        <w:t xml:space="preserve"> </w:t>
      </w:r>
      <w:r w:rsidRPr="00BA4471">
        <w:rPr>
          <w:rFonts w:ascii="Arial" w:hAnsi="Arial" w:cs="Arial"/>
          <w:sz w:val="20"/>
          <w:szCs w:val="20"/>
        </w:rPr>
        <w:t>and establishment of feedback inhibition in the hypothalamic-pituitary axis, as outlined by Palmer et al. (2020) and Walters et al. (2019).</w:t>
      </w:r>
    </w:p>
    <w:p w14:paraId="475A58D5" w14:textId="77777777" w:rsidR="00842665" w:rsidRPr="00BA4471" w:rsidRDefault="00842665" w:rsidP="00F425D5">
      <w:pPr>
        <w:spacing w:after="0" w:line="240" w:lineRule="auto"/>
        <w:jc w:val="both"/>
        <w:rPr>
          <w:rFonts w:ascii="Arial" w:hAnsi="Arial" w:cs="Arial"/>
          <w:sz w:val="20"/>
          <w:szCs w:val="20"/>
        </w:rPr>
      </w:pPr>
    </w:p>
    <w:p w14:paraId="5B25C101" w14:textId="5F4776BB" w:rsidR="007C0607" w:rsidRPr="00BA4471" w:rsidRDefault="000319C4" w:rsidP="00F425D5">
      <w:pPr>
        <w:pStyle w:val="Heading2"/>
        <w:spacing w:line="240" w:lineRule="auto"/>
        <w:jc w:val="both"/>
        <w:rPr>
          <w:rFonts w:cs="Arial"/>
        </w:rPr>
      </w:pPr>
      <w:r w:rsidRPr="00BA4471">
        <w:rPr>
          <w:rFonts w:cs="Arial"/>
        </w:rPr>
        <w:t xml:space="preserve">3.4 </w:t>
      </w:r>
      <w:proofErr w:type="spellStart"/>
      <w:proofErr w:type="gramStart"/>
      <w:r w:rsidR="007C0607" w:rsidRPr="00BA4471">
        <w:rPr>
          <w:rFonts w:cs="Arial"/>
        </w:rPr>
        <w:t>Testosterone:Oestradiol</w:t>
      </w:r>
      <w:proofErr w:type="spellEnd"/>
      <w:proofErr w:type="gramEnd"/>
      <w:r w:rsidR="007C0607" w:rsidRPr="00BA4471">
        <w:rPr>
          <w:rFonts w:cs="Arial"/>
        </w:rPr>
        <w:t xml:space="preserve"> (</w:t>
      </w:r>
      <w:proofErr w:type="gramStart"/>
      <w:r w:rsidR="007C0607" w:rsidRPr="00BA4471">
        <w:rPr>
          <w:rFonts w:cs="Arial"/>
        </w:rPr>
        <w:t>T:E</w:t>
      </w:r>
      <w:proofErr w:type="gramEnd"/>
      <w:r w:rsidR="007C0607" w:rsidRPr="00BA4471">
        <w:rPr>
          <w:rFonts w:cs="Arial"/>
        </w:rPr>
        <w:t>) Ratio as Reproductive Indicator</w:t>
      </w:r>
    </w:p>
    <w:p w14:paraId="526A2931" w14:textId="6F38EF84" w:rsidR="007C0607" w:rsidRPr="00BA4471" w:rsidRDefault="007C0607" w:rsidP="00F425D5">
      <w:pPr>
        <w:tabs>
          <w:tab w:val="left" w:pos="2955"/>
        </w:tabs>
        <w:spacing w:after="0" w:line="240" w:lineRule="auto"/>
        <w:jc w:val="both"/>
        <w:rPr>
          <w:rFonts w:ascii="Arial" w:hAnsi="Arial" w:cs="Arial"/>
          <w:color w:val="FF0000"/>
          <w:sz w:val="20"/>
          <w:szCs w:val="20"/>
        </w:rPr>
      </w:pPr>
      <w:r w:rsidRPr="00BA4471">
        <w:rPr>
          <w:rFonts w:ascii="Arial" w:hAnsi="Arial" w:cs="Arial"/>
          <w:sz w:val="20"/>
          <w:szCs w:val="20"/>
        </w:rPr>
        <w:t>The T:E ratio</w:t>
      </w:r>
      <w:r w:rsidR="00BF0E87">
        <w:rPr>
          <w:rFonts w:ascii="Arial" w:hAnsi="Arial" w:cs="Arial"/>
          <w:sz w:val="20"/>
          <w:szCs w:val="20"/>
        </w:rPr>
        <w:t xml:space="preserve"> (Table 2)</w:t>
      </w:r>
      <w:r w:rsidRPr="00BA4471">
        <w:rPr>
          <w:rFonts w:ascii="Arial" w:hAnsi="Arial" w:cs="Arial"/>
          <w:sz w:val="20"/>
          <w:szCs w:val="20"/>
        </w:rPr>
        <w:t xml:space="preserve"> appears to be a strong metric for assessing reproductive </w:t>
      </w:r>
      <w:r w:rsidR="00F1105C">
        <w:rPr>
          <w:rFonts w:ascii="Arial" w:hAnsi="Arial" w:cs="Arial"/>
          <w:sz w:val="20"/>
          <w:szCs w:val="20"/>
        </w:rPr>
        <w:t xml:space="preserve">efficiency and </w:t>
      </w:r>
      <w:r w:rsidRPr="00BA4471">
        <w:rPr>
          <w:rFonts w:ascii="Arial" w:hAnsi="Arial" w:cs="Arial"/>
          <w:sz w:val="20"/>
          <w:szCs w:val="20"/>
        </w:rPr>
        <w:t xml:space="preserve">soundness, with optimal performance at &gt;400:1 (Brito et al., 2020; Santos et al., 2021). The sharp increase in this ratio with age—from 58.3 in 6-month bulls to 532.1 in 4-year bulls—indicates increasing testosterone dominance (Kastelic, 2019; Chenoweth, 2020). The T:E ratios may be more stable indicators of reproductive status than individual hormone levels, as they reflect both steroidogenesis and aromatase activity (Palmer et al., </w:t>
      </w:r>
      <w:r w:rsidRPr="00BA4471">
        <w:rPr>
          <w:rFonts w:ascii="Arial" w:hAnsi="Arial" w:cs="Arial"/>
          <w:sz w:val="20"/>
          <w:szCs w:val="20"/>
        </w:rPr>
        <w:lastRenderedPageBreak/>
        <w:t>2020; Walsh et al., 2019). Maintenance of high ratios through ages 5–7 confirms sustained reproductive function despite declining testosterone (Walters et al., 2019; Fraser et al., 2021).</w:t>
      </w:r>
      <w:r w:rsidR="00BB644C" w:rsidRPr="00BA4471">
        <w:rPr>
          <w:rFonts w:ascii="Arial" w:hAnsi="Arial" w:cs="Arial"/>
          <w:sz w:val="20"/>
          <w:szCs w:val="20"/>
        </w:rPr>
        <w:t xml:space="preserve"> Bulls of 4 to 5 years showed the most potent predominance of highest testosterone production </w:t>
      </w:r>
      <w:r w:rsidR="00687DB4" w:rsidRPr="00BA4471">
        <w:rPr>
          <w:rFonts w:ascii="Arial" w:hAnsi="Arial" w:cs="Arial"/>
          <w:sz w:val="20"/>
          <w:szCs w:val="20"/>
        </w:rPr>
        <w:t xml:space="preserve">(Table 2) </w:t>
      </w:r>
      <w:r w:rsidR="00BB644C" w:rsidRPr="00BA4471">
        <w:rPr>
          <w:rFonts w:ascii="Arial" w:hAnsi="Arial" w:cs="Arial"/>
          <w:sz w:val="20"/>
          <w:szCs w:val="20"/>
        </w:rPr>
        <w:t xml:space="preserve">with sexual maturity </w:t>
      </w:r>
      <w:r w:rsidR="00AC7765" w:rsidRPr="00BA4471">
        <w:rPr>
          <w:rFonts w:ascii="Arial" w:hAnsi="Arial" w:cs="Arial"/>
          <w:sz w:val="20"/>
          <w:szCs w:val="20"/>
        </w:rPr>
        <w:t>which is related to the findings of Rodriguez-Martinez (2018)</w:t>
      </w:r>
      <w:r w:rsidR="00AC7765" w:rsidRPr="00BA4471">
        <w:rPr>
          <w:rFonts w:ascii="Arial" w:hAnsi="Arial" w:cs="Arial"/>
          <w:color w:val="FF0000"/>
          <w:sz w:val="20"/>
          <w:szCs w:val="20"/>
        </w:rPr>
        <w:t>.</w:t>
      </w:r>
    </w:p>
    <w:p w14:paraId="30272183" w14:textId="77777777" w:rsidR="00842665" w:rsidRPr="00BA4471" w:rsidRDefault="00842665" w:rsidP="00BA4471">
      <w:pPr>
        <w:tabs>
          <w:tab w:val="left" w:pos="2955"/>
        </w:tabs>
        <w:spacing w:after="0" w:line="240" w:lineRule="auto"/>
        <w:jc w:val="both"/>
        <w:rPr>
          <w:rFonts w:ascii="Arial" w:hAnsi="Arial" w:cs="Arial"/>
          <w:color w:val="FF0000"/>
          <w:sz w:val="20"/>
          <w:szCs w:val="20"/>
        </w:rPr>
      </w:pPr>
    </w:p>
    <w:p w14:paraId="662DB9C6" w14:textId="41EA0203" w:rsidR="004E5900" w:rsidRPr="00BA4471" w:rsidRDefault="00BA4471" w:rsidP="00BA4471">
      <w:pPr>
        <w:pStyle w:val="Heading2"/>
        <w:spacing w:line="240" w:lineRule="auto"/>
        <w:rPr>
          <w:rFonts w:cs="Arial"/>
        </w:rPr>
      </w:pPr>
      <w:r>
        <w:rPr>
          <w:rFonts w:cs="Arial"/>
        </w:rPr>
        <w:t xml:space="preserve">3.5 </w:t>
      </w:r>
      <w:r w:rsidR="00842665" w:rsidRPr="00BA4471">
        <w:rPr>
          <w:rFonts w:cs="Arial"/>
        </w:rPr>
        <w:t>Correlation with traditional Breeding Soundness parameters</w:t>
      </w:r>
    </w:p>
    <w:p w14:paraId="7C73DFAF" w14:textId="77777777" w:rsidR="00BA4471" w:rsidRDefault="00BA4471" w:rsidP="009F7C14">
      <w:pPr>
        <w:tabs>
          <w:tab w:val="left" w:pos="2955"/>
        </w:tabs>
        <w:spacing w:after="0" w:line="240" w:lineRule="auto"/>
        <w:jc w:val="both"/>
        <w:rPr>
          <w:rFonts w:ascii="Arial" w:hAnsi="Arial" w:cs="Arial"/>
          <w:sz w:val="20"/>
          <w:szCs w:val="20"/>
        </w:rPr>
      </w:pPr>
      <w:r w:rsidRPr="00BA4471">
        <w:rPr>
          <w:rFonts w:ascii="Arial" w:hAnsi="Arial" w:cs="Arial"/>
          <w:sz w:val="20"/>
          <w:szCs w:val="20"/>
        </w:rPr>
        <w:t xml:space="preserve">Strong positive associations were noted between testosterone levels and traditional breeding soundness criteria, confirming the value of combining hormone measurement with standard evaluation procedures (Table 3). Association between testosterone and scrotal circumference (r = 0.82, P &lt; .001) is noteworthy because scrotal circumference has also been ranked as one of the best predictors of breeding ability in young bulls (Palmer et al., 2020; Kastelic, 2019). Such associations have also been noted previously by Santos et al. (2021) and by Rodriguez-Martinez (2018) at r = 0.72 to 0.89 in different breeds with different systems of production. The association between body condition score and testosterone (r = 0.68, P &lt; .001) underscores the significance of nutrition in sustaining maximal reproductive hormone output (Brito et al., 2020;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Scaramuzzi, 2003). Poor body conditioning bulls may show evidence of decreased synthesis of testosterone owing to energy diversion from functions associated with reproduction and hence the value of a high level of nutrition in breeding bull schemes (Walsh et al., 2019; Prakash et al., 2021). The findings by Fraser et al. (2021) and by Walters et al. (2019) have indicated that dietary restriction may depress testosterone output by 20-40% and recovery may take 4-8 weeks with enhanced nutrition.</w:t>
      </w:r>
    </w:p>
    <w:p w14:paraId="68E1DCE2" w14:textId="77777777" w:rsidR="009F7C14" w:rsidRDefault="009F7C14" w:rsidP="009F7C14">
      <w:pPr>
        <w:tabs>
          <w:tab w:val="left" w:pos="2955"/>
        </w:tabs>
        <w:spacing w:after="0" w:line="240" w:lineRule="auto"/>
        <w:jc w:val="both"/>
        <w:rPr>
          <w:rFonts w:ascii="Arial" w:hAnsi="Arial" w:cs="Arial"/>
          <w:sz w:val="20"/>
          <w:szCs w:val="20"/>
        </w:rPr>
      </w:pPr>
    </w:p>
    <w:p w14:paraId="4910CF37" w14:textId="072793EF" w:rsidR="00AD5360" w:rsidRPr="00BA4471" w:rsidRDefault="00AD5360" w:rsidP="00AD5360">
      <w:pPr>
        <w:tabs>
          <w:tab w:val="left" w:pos="2955"/>
        </w:tabs>
        <w:spacing w:line="240" w:lineRule="auto"/>
        <w:jc w:val="both"/>
        <w:rPr>
          <w:rFonts w:ascii="Arial" w:hAnsi="Arial" w:cs="Arial"/>
          <w:sz w:val="20"/>
          <w:szCs w:val="20"/>
        </w:rPr>
      </w:pPr>
      <w:r w:rsidRPr="00BA4471">
        <w:rPr>
          <w:rFonts w:ascii="Arial" w:hAnsi="Arial" w:cs="Arial"/>
          <w:sz w:val="20"/>
          <w:szCs w:val="20"/>
        </w:rPr>
        <w:t xml:space="preserve">Correlation between breeding </w:t>
      </w:r>
      <w:r w:rsidR="0085766A">
        <w:rPr>
          <w:rFonts w:ascii="Arial" w:hAnsi="Arial" w:cs="Arial"/>
          <w:sz w:val="20"/>
          <w:szCs w:val="20"/>
        </w:rPr>
        <w:t>behaviour</w:t>
      </w:r>
      <w:r w:rsidRPr="00BA4471">
        <w:rPr>
          <w:rFonts w:ascii="Arial" w:hAnsi="Arial" w:cs="Arial"/>
          <w:sz w:val="20"/>
          <w:szCs w:val="20"/>
        </w:rPr>
        <w:t xml:space="preserve"> score and testosterone concentrations (r = 0.71, P &lt; .001) gives quantitative confirmation of the link between androgen levels in the bloodstream and displayed sexual </w:t>
      </w:r>
      <w:proofErr w:type="spellStart"/>
      <w:r w:rsidR="0085766A">
        <w:rPr>
          <w:rFonts w:ascii="Arial" w:hAnsi="Arial" w:cs="Arial"/>
          <w:sz w:val="20"/>
          <w:szCs w:val="20"/>
        </w:rPr>
        <w:t>behaviour</w:t>
      </w:r>
      <w:proofErr w:type="spellEnd"/>
      <w:r w:rsidRPr="00BA4471">
        <w:rPr>
          <w:rFonts w:ascii="Arial" w:hAnsi="Arial" w:cs="Arial"/>
          <w:sz w:val="20"/>
          <w:szCs w:val="20"/>
        </w:rPr>
        <w:t xml:space="preserve"> (Kastelic, 2019; Santos et al., 2021). The link supports the application of hormonal evaluation in breeding performance and motivation prediction, useful in the evaluation of bulls appearing physically healthy but with poor breeding </w:t>
      </w:r>
      <w:r w:rsidR="0085766A">
        <w:rPr>
          <w:rFonts w:ascii="Arial" w:hAnsi="Arial" w:cs="Arial"/>
          <w:sz w:val="20"/>
          <w:szCs w:val="20"/>
        </w:rPr>
        <w:t>behaviour</w:t>
      </w:r>
      <w:r w:rsidRPr="00BA4471">
        <w:rPr>
          <w:rFonts w:ascii="Arial" w:hAnsi="Arial" w:cs="Arial"/>
          <w:sz w:val="20"/>
          <w:szCs w:val="20"/>
        </w:rPr>
        <w:t xml:space="preserve"> or libido (Chenoweth, 2020; Rodriguez-Martinez, 2018). Comparable correlation has also been observed by Palmer et al. (2020) in bull </w:t>
      </w:r>
      <w:r w:rsidR="0085766A">
        <w:rPr>
          <w:rFonts w:ascii="Arial" w:hAnsi="Arial" w:cs="Arial"/>
          <w:sz w:val="20"/>
          <w:szCs w:val="20"/>
        </w:rPr>
        <w:t>behaviour</w:t>
      </w:r>
      <w:r w:rsidRPr="00BA4471">
        <w:rPr>
          <w:rFonts w:ascii="Arial" w:hAnsi="Arial" w:cs="Arial"/>
          <w:sz w:val="20"/>
          <w:szCs w:val="20"/>
        </w:rPr>
        <w:t xml:space="preserve"> evaluation studies with testosterone predicting 45-60% of the libido score variance.</w:t>
      </w:r>
    </w:p>
    <w:p w14:paraId="57209E65" w14:textId="4BD64A7F" w:rsidR="00AD5360" w:rsidRDefault="00AD5360" w:rsidP="00BA4471">
      <w:pPr>
        <w:tabs>
          <w:tab w:val="left" w:pos="2955"/>
        </w:tabs>
        <w:spacing w:line="240" w:lineRule="auto"/>
        <w:jc w:val="both"/>
        <w:rPr>
          <w:rFonts w:ascii="Arial" w:hAnsi="Arial" w:cs="Arial"/>
          <w:sz w:val="20"/>
          <w:szCs w:val="20"/>
        </w:rPr>
      </w:pPr>
      <w:r w:rsidRPr="00AD5360">
        <w:rPr>
          <w:rFonts w:ascii="Arial" w:hAnsi="Arial" w:cs="Arial"/>
          <w:sz w:val="20"/>
          <w:szCs w:val="20"/>
        </w:rPr>
        <w:t>Table 3. Correlation Coefficients Between Hormone Concentrations and Physical Parameters</w:t>
      </w:r>
    </w:p>
    <w:tbl>
      <w:tblPr>
        <w:tblStyle w:val="TableGrid"/>
        <w:tblW w:w="9085" w:type="dxa"/>
        <w:tblLook w:val="04A0" w:firstRow="1" w:lastRow="0" w:firstColumn="1" w:lastColumn="0" w:noHBand="0" w:noVBand="1"/>
      </w:tblPr>
      <w:tblGrid>
        <w:gridCol w:w="2875"/>
        <w:gridCol w:w="2160"/>
        <w:gridCol w:w="1800"/>
        <w:gridCol w:w="2250"/>
      </w:tblGrid>
      <w:tr w:rsidR="00AD5360" w14:paraId="6BFB0F2E" w14:textId="77777777" w:rsidTr="00AD5360">
        <w:tc>
          <w:tcPr>
            <w:tcW w:w="2875" w:type="dxa"/>
            <w:vAlign w:val="center"/>
          </w:tcPr>
          <w:p w14:paraId="66E558FB" w14:textId="3F5925F8" w:rsidR="00AD5360" w:rsidRDefault="00AD5360" w:rsidP="00AD5360">
            <w:pPr>
              <w:tabs>
                <w:tab w:val="left" w:pos="2955"/>
              </w:tabs>
              <w:jc w:val="both"/>
              <w:rPr>
                <w:rFonts w:ascii="Arial" w:hAnsi="Arial" w:cs="Arial"/>
                <w:sz w:val="20"/>
                <w:szCs w:val="20"/>
              </w:rPr>
            </w:pPr>
            <w:r w:rsidRPr="00564311">
              <w:rPr>
                <w:b/>
                <w:bCs/>
              </w:rPr>
              <w:t>Parameter</w:t>
            </w:r>
          </w:p>
        </w:tc>
        <w:tc>
          <w:tcPr>
            <w:tcW w:w="2160" w:type="dxa"/>
            <w:vAlign w:val="center"/>
          </w:tcPr>
          <w:p w14:paraId="0793802F" w14:textId="5A1265F2" w:rsidR="00AD5360" w:rsidRDefault="00AD5360" w:rsidP="00AD5360">
            <w:pPr>
              <w:tabs>
                <w:tab w:val="left" w:pos="2955"/>
              </w:tabs>
              <w:jc w:val="both"/>
              <w:rPr>
                <w:rFonts w:ascii="Arial" w:hAnsi="Arial" w:cs="Arial"/>
                <w:sz w:val="20"/>
                <w:szCs w:val="20"/>
              </w:rPr>
            </w:pPr>
            <w:r w:rsidRPr="00564311">
              <w:rPr>
                <w:b/>
                <w:bCs/>
              </w:rPr>
              <w:t>Testosterone</w:t>
            </w:r>
          </w:p>
        </w:tc>
        <w:tc>
          <w:tcPr>
            <w:tcW w:w="1800" w:type="dxa"/>
            <w:vAlign w:val="center"/>
          </w:tcPr>
          <w:p w14:paraId="40A94D3C" w14:textId="0EDDE05D" w:rsidR="00AD5360" w:rsidRDefault="00AD5360" w:rsidP="00AD5360">
            <w:pPr>
              <w:tabs>
                <w:tab w:val="left" w:pos="2955"/>
              </w:tabs>
              <w:jc w:val="both"/>
              <w:rPr>
                <w:rFonts w:ascii="Arial" w:hAnsi="Arial" w:cs="Arial"/>
                <w:sz w:val="20"/>
                <w:szCs w:val="20"/>
              </w:rPr>
            </w:pPr>
            <w:r w:rsidRPr="00564311">
              <w:rPr>
                <w:b/>
                <w:bCs/>
              </w:rPr>
              <w:t>Oestradiol</w:t>
            </w:r>
          </w:p>
        </w:tc>
        <w:tc>
          <w:tcPr>
            <w:tcW w:w="2250" w:type="dxa"/>
            <w:vAlign w:val="center"/>
          </w:tcPr>
          <w:p w14:paraId="3A04DF8C" w14:textId="09AA8646" w:rsidR="00AD5360" w:rsidRDefault="00AD5360" w:rsidP="00AD5360">
            <w:pPr>
              <w:tabs>
                <w:tab w:val="left" w:pos="2955"/>
              </w:tabs>
              <w:jc w:val="both"/>
              <w:rPr>
                <w:rFonts w:ascii="Arial" w:hAnsi="Arial" w:cs="Arial"/>
                <w:sz w:val="20"/>
                <w:szCs w:val="20"/>
              </w:rPr>
            </w:pPr>
            <w:r w:rsidRPr="00564311">
              <w:rPr>
                <w:b/>
                <w:bCs/>
              </w:rPr>
              <w:t>Age</w:t>
            </w:r>
            <w:r w:rsidR="00271300" w:rsidRPr="00564311">
              <w:t>†</w:t>
            </w:r>
          </w:p>
        </w:tc>
      </w:tr>
      <w:tr w:rsidR="00AD5360" w14:paraId="555C8B55" w14:textId="77777777" w:rsidTr="00AD5360">
        <w:tc>
          <w:tcPr>
            <w:tcW w:w="2875" w:type="dxa"/>
            <w:vAlign w:val="center"/>
          </w:tcPr>
          <w:p w14:paraId="02FE041A" w14:textId="054293B8" w:rsidR="00AD5360" w:rsidRDefault="00AD5360" w:rsidP="00AD5360">
            <w:pPr>
              <w:tabs>
                <w:tab w:val="left" w:pos="2955"/>
              </w:tabs>
              <w:jc w:val="both"/>
              <w:rPr>
                <w:rFonts w:ascii="Arial" w:hAnsi="Arial" w:cs="Arial"/>
                <w:sz w:val="20"/>
                <w:szCs w:val="20"/>
              </w:rPr>
            </w:pPr>
            <w:r w:rsidRPr="00564311">
              <w:t>Body condition score</w:t>
            </w:r>
          </w:p>
        </w:tc>
        <w:tc>
          <w:tcPr>
            <w:tcW w:w="2160" w:type="dxa"/>
            <w:vAlign w:val="center"/>
          </w:tcPr>
          <w:p w14:paraId="65EFFF22" w14:textId="6629AD05" w:rsidR="00AD5360" w:rsidRDefault="00AD5360" w:rsidP="00AD5360">
            <w:pPr>
              <w:tabs>
                <w:tab w:val="left" w:pos="2955"/>
              </w:tabs>
              <w:jc w:val="both"/>
              <w:rPr>
                <w:rFonts w:ascii="Arial" w:hAnsi="Arial" w:cs="Arial"/>
                <w:sz w:val="20"/>
                <w:szCs w:val="20"/>
              </w:rPr>
            </w:pPr>
            <w:r w:rsidRPr="00564311">
              <w:t>0.68***</w:t>
            </w:r>
          </w:p>
        </w:tc>
        <w:tc>
          <w:tcPr>
            <w:tcW w:w="1800" w:type="dxa"/>
            <w:vAlign w:val="center"/>
          </w:tcPr>
          <w:p w14:paraId="431BA334" w14:textId="67DF74FA" w:rsidR="00AD5360" w:rsidRDefault="00AD5360" w:rsidP="00AD5360">
            <w:pPr>
              <w:tabs>
                <w:tab w:val="left" w:pos="2955"/>
              </w:tabs>
              <w:jc w:val="both"/>
              <w:rPr>
                <w:rFonts w:ascii="Arial" w:hAnsi="Arial" w:cs="Arial"/>
                <w:sz w:val="20"/>
                <w:szCs w:val="20"/>
              </w:rPr>
            </w:pPr>
            <w:r w:rsidRPr="00564311">
              <w:t>-0.23*</w:t>
            </w:r>
          </w:p>
        </w:tc>
        <w:tc>
          <w:tcPr>
            <w:tcW w:w="2250" w:type="dxa"/>
            <w:vAlign w:val="center"/>
          </w:tcPr>
          <w:p w14:paraId="1650E94B" w14:textId="029784B3" w:rsidR="00AD5360" w:rsidRDefault="00AD5360" w:rsidP="00AD5360">
            <w:pPr>
              <w:tabs>
                <w:tab w:val="left" w:pos="2955"/>
              </w:tabs>
              <w:jc w:val="both"/>
              <w:rPr>
                <w:rFonts w:ascii="Arial" w:hAnsi="Arial" w:cs="Arial"/>
                <w:sz w:val="20"/>
                <w:szCs w:val="20"/>
              </w:rPr>
            </w:pPr>
            <w:r w:rsidRPr="00564311">
              <w:t>0.45**</w:t>
            </w:r>
          </w:p>
        </w:tc>
      </w:tr>
      <w:tr w:rsidR="00AD5360" w14:paraId="5EECE609" w14:textId="77777777" w:rsidTr="00AD5360">
        <w:tc>
          <w:tcPr>
            <w:tcW w:w="2875" w:type="dxa"/>
            <w:vAlign w:val="center"/>
          </w:tcPr>
          <w:p w14:paraId="1CD7FFE9" w14:textId="09CA6D65" w:rsidR="00AD5360" w:rsidRDefault="00AD5360" w:rsidP="00AD5360">
            <w:pPr>
              <w:tabs>
                <w:tab w:val="left" w:pos="2955"/>
              </w:tabs>
              <w:jc w:val="both"/>
              <w:rPr>
                <w:rFonts w:ascii="Arial" w:hAnsi="Arial" w:cs="Arial"/>
                <w:sz w:val="20"/>
                <w:szCs w:val="20"/>
              </w:rPr>
            </w:pPr>
            <w:r w:rsidRPr="00564311">
              <w:t>Scrotal circumference</w:t>
            </w:r>
          </w:p>
        </w:tc>
        <w:tc>
          <w:tcPr>
            <w:tcW w:w="2160" w:type="dxa"/>
            <w:vAlign w:val="center"/>
          </w:tcPr>
          <w:p w14:paraId="258152F5" w14:textId="35D36F2C" w:rsidR="00AD5360" w:rsidRDefault="00AD5360" w:rsidP="00AD5360">
            <w:pPr>
              <w:tabs>
                <w:tab w:val="left" w:pos="2955"/>
              </w:tabs>
              <w:jc w:val="both"/>
              <w:rPr>
                <w:rFonts w:ascii="Arial" w:hAnsi="Arial" w:cs="Arial"/>
                <w:sz w:val="20"/>
                <w:szCs w:val="20"/>
              </w:rPr>
            </w:pPr>
            <w:r w:rsidRPr="00564311">
              <w:t>0.82***</w:t>
            </w:r>
          </w:p>
        </w:tc>
        <w:tc>
          <w:tcPr>
            <w:tcW w:w="1800" w:type="dxa"/>
            <w:vAlign w:val="center"/>
          </w:tcPr>
          <w:p w14:paraId="6D583527" w14:textId="0B5CAD4A" w:rsidR="00AD5360" w:rsidRDefault="00AD5360" w:rsidP="00AD5360">
            <w:pPr>
              <w:tabs>
                <w:tab w:val="left" w:pos="2955"/>
              </w:tabs>
              <w:jc w:val="both"/>
              <w:rPr>
                <w:rFonts w:ascii="Arial" w:hAnsi="Arial" w:cs="Arial"/>
                <w:sz w:val="20"/>
                <w:szCs w:val="20"/>
              </w:rPr>
            </w:pPr>
            <w:r w:rsidRPr="00564311">
              <w:t>-0.31**</w:t>
            </w:r>
          </w:p>
        </w:tc>
        <w:tc>
          <w:tcPr>
            <w:tcW w:w="2250" w:type="dxa"/>
            <w:vAlign w:val="center"/>
          </w:tcPr>
          <w:p w14:paraId="6BFC0330" w14:textId="7D70B0EB" w:rsidR="00AD5360" w:rsidRDefault="00AD5360" w:rsidP="00AD5360">
            <w:pPr>
              <w:tabs>
                <w:tab w:val="left" w:pos="2955"/>
              </w:tabs>
              <w:jc w:val="both"/>
              <w:rPr>
                <w:rFonts w:ascii="Arial" w:hAnsi="Arial" w:cs="Arial"/>
                <w:sz w:val="20"/>
                <w:szCs w:val="20"/>
              </w:rPr>
            </w:pPr>
            <w:r w:rsidRPr="00564311">
              <w:t>0.87***</w:t>
            </w:r>
          </w:p>
        </w:tc>
      </w:tr>
      <w:tr w:rsidR="00AD5360" w14:paraId="405A1EE1" w14:textId="77777777" w:rsidTr="00AD5360">
        <w:tc>
          <w:tcPr>
            <w:tcW w:w="2875" w:type="dxa"/>
            <w:vAlign w:val="center"/>
          </w:tcPr>
          <w:p w14:paraId="04F90BC7" w14:textId="67401AAF" w:rsidR="00AD5360" w:rsidRDefault="00AD5360" w:rsidP="00AD5360">
            <w:pPr>
              <w:tabs>
                <w:tab w:val="left" w:pos="2955"/>
              </w:tabs>
              <w:jc w:val="both"/>
              <w:rPr>
                <w:rFonts w:ascii="Arial" w:hAnsi="Arial" w:cs="Arial"/>
                <w:sz w:val="20"/>
                <w:szCs w:val="20"/>
              </w:rPr>
            </w:pPr>
            <w:r w:rsidRPr="00564311">
              <w:t>Body weight</w:t>
            </w:r>
          </w:p>
        </w:tc>
        <w:tc>
          <w:tcPr>
            <w:tcW w:w="2160" w:type="dxa"/>
            <w:vAlign w:val="center"/>
          </w:tcPr>
          <w:p w14:paraId="61458032" w14:textId="214C9A65" w:rsidR="00AD5360" w:rsidRDefault="00AD5360" w:rsidP="00AD5360">
            <w:pPr>
              <w:tabs>
                <w:tab w:val="left" w:pos="2955"/>
              </w:tabs>
              <w:jc w:val="both"/>
              <w:rPr>
                <w:rFonts w:ascii="Arial" w:hAnsi="Arial" w:cs="Arial"/>
                <w:sz w:val="20"/>
                <w:szCs w:val="20"/>
              </w:rPr>
            </w:pPr>
            <w:r w:rsidRPr="00564311">
              <w:t>0.74***</w:t>
            </w:r>
          </w:p>
        </w:tc>
        <w:tc>
          <w:tcPr>
            <w:tcW w:w="1800" w:type="dxa"/>
            <w:vAlign w:val="center"/>
          </w:tcPr>
          <w:p w14:paraId="4253F321" w14:textId="12CBE0F9" w:rsidR="00AD5360" w:rsidRDefault="00AD5360" w:rsidP="00AD5360">
            <w:pPr>
              <w:tabs>
                <w:tab w:val="left" w:pos="2955"/>
              </w:tabs>
              <w:jc w:val="both"/>
              <w:rPr>
                <w:rFonts w:ascii="Arial" w:hAnsi="Arial" w:cs="Arial"/>
                <w:sz w:val="20"/>
                <w:szCs w:val="20"/>
              </w:rPr>
            </w:pPr>
            <w:r w:rsidRPr="00564311">
              <w:t>-0.19</w:t>
            </w:r>
          </w:p>
        </w:tc>
        <w:tc>
          <w:tcPr>
            <w:tcW w:w="2250" w:type="dxa"/>
            <w:vAlign w:val="center"/>
          </w:tcPr>
          <w:p w14:paraId="29A30139" w14:textId="3282607D" w:rsidR="00AD5360" w:rsidRDefault="00AD5360" w:rsidP="00AD5360">
            <w:pPr>
              <w:tabs>
                <w:tab w:val="left" w:pos="2955"/>
              </w:tabs>
              <w:jc w:val="both"/>
              <w:rPr>
                <w:rFonts w:ascii="Arial" w:hAnsi="Arial" w:cs="Arial"/>
                <w:sz w:val="20"/>
                <w:szCs w:val="20"/>
              </w:rPr>
            </w:pPr>
            <w:r w:rsidRPr="00564311">
              <w:t>0.91***</w:t>
            </w:r>
          </w:p>
        </w:tc>
      </w:tr>
      <w:tr w:rsidR="00AD5360" w14:paraId="6DFFA3E5" w14:textId="77777777" w:rsidTr="00AD5360">
        <w:tc>
          <w:tcPr>
            <w:tcW w:w="2875" w:type="dxa"/>
            <w:vAlign w:val="center"/>
          </w:tcPr>
          <w:p w14:paraId="614DA505" w14:textId="30DE66AC" w:rsidR="00AD5360" w:rsidRDefault="00AD5360" w:rsidP="00AD5360">
            <w:pPr>
              <w:tabs>
                <w:tab w:val="left" w:pos="2955"/>
              </w:tabs>
              <w:jc w:val="both"/>
              <w:rPr>
                <w:rFonts w:ascii="Arial" w:hAnsi="Arial" w:cs="Arial"/>
                <w:sz w:val="20"/>
                <w:szCs w:val="20"/>
              </w:rPr>
            </w:pPr>
            <w:r w:rsidRPr="00564311">
              <w:t xml:space="preserve">Breeding </w:t>
            </w:r>
            <w:r w:rsidR="0085766A">
              <w:t>behaviour</w:t>
            </w:r>
            <w:r w:rsidRPr="00564311">
              <w:t xml:space="preserve"> score†</w:t>
            </w:r>
          </w:p>
        </w:tc>
        <w:tc>
          <w:tcPr>
            <w:tcW w:w="2160" w:type="dxa"/>
            <w:vAlign w:val="center"/>
          </w:tcPr>
          <w:p w14:paraId="7AC09A3D" w14:textId="2BA66F8F" w:rsidR="00AD5360" w:rsidRDefault="00AD5360" w:rsidP="00AD5360">
            <w:pPr>
              <w:tabs>
                <w:tab w:val="left" w:pos="2955"/>
              </w:tabs>
              <w:jc w:val="both"/>
              <w:rPr>
                <w:rFonts w:ascii="Arial" w:hAnsi="Arial" w:cs="Arial"/>
                <w:sz w:val="20"/>
                <w:szCs w:val="20"/>
              </w:rPr>
            </w:pPr>
            <w:r w:rsidRPr="00564311">
              <w:t>0.71***</w:t>
            </w:r>
          </w:p>
        </w:tc>
        <w:tc>
          <w:tcPr>
            <w:tcW w:w="1800" w:type="dxa"/>
            <w:vAlign w:val="center"/>
          </w:tcPr>
          <w:p w14:paraId="49EA05CE" w14:textId="2B127DF1" w:rsidR="00AD5360" w:rsidRDefault="00AD5360" w:rsidP="00AD5360">
            <w:pPr>
              <w:tabs>
                <w:tab w:val="left" w:pos="2955"/>
              </w:tabs>
              <w:jc w:val="both"/>
              <w:rPr>
                <w:rFonts w:ascii="Arial" w:hAnsi="Arial" w:cs="Arial"/>
                <w:sz w:val="20"/>
                <w:szCs w:val="20"/>
              </w:rPr>
            </w:pPr>
            <w:r w:rsidRPr="00564311">
              <w:t>-0.42**</w:t>
            </w:r>
          </w:p>
        </w:tc>
        <w:tc>
          <w:tcPr>
            <w:tcW w:w="2250" w:type="dxa"/>
            <w:vAlign w:val="center"/>
          </w:tcPr>
          <w:p w14:paraId="31ED7C30" w14:textId="7F765AD7" w:rsidR="00AD5360" w:rsidRDefault="00AD5360" w:rsidP="00AD5360">
            <w:pPr>
              <w:tabs>
                <w:tab w:val="left" w:pos="2955"/>
              </w:tabs>
              <w:jc w:val="both"/>
              <w:rPr>
                <w:rFonts w:ascii="Arial" w:hAnsi="Arial" w:cs="Arial"/>
                <w:sz w:val="20"/>
                <w:szCs w:val="20"/>
              </w:rPr>
            </w:pPr>
            <w:r w:rsidRPr="00564311">
              <w:t>0.38*</w:t>
            </w:r>
          </w:p>
        </w:tc>
      </w:tr>
    </w:tbl>
    <w:p w14:paraId="25CA4E1C" w14:textId="092205DA" w:rsidR="00AD5360" w:rsidRDefault="002764F3" w:rsidP="009F7C14">
      <w:pPr>
        <w:tabs>
          <w:tab w:val="left" w:pos="2955"/>
        </w:tabs>
        <w:spacing w:after="0" w:line="240" w:lineRule="auto"/>
        <w:jc w:val="both"/>
      </w:pPr>
      <w:r w:rsidRPr="00564311">
        <w:t>†</w:t>
      </w:r>
      <w:r>
        <w:t xml:space="preserve">Breeding behaviour were assessed in bull of </w:t>
      </w:r>
      <w:r w:rsidRPr="00564311">
        <w:t xml:space="preserve">≥18 months </w:t>
      </w:r>
      <w:r>
        <w:t>(</w:t>
      </w:r>
      <w:r>
        <w:rPr>
          <w:rFonts w:cstheme="minorHAnsi"/>
        </w:rPr>
        <w:t>≈</w:t>
      </w:r>
      <w:r>
        <w:t xml:space="preserve">2 to </w:t>
      </w:r>
      <w:r w:rsidRPr="00BA4471">
        <w:rPr>
          <w:rFonts w:ascii="Arial" w:hAnsi="Arial" w:cs="Arial"/>
          <w:sz w:val="20"/>
          <w:szCs w:val="20"/>
        </w:rPr>
        <w:t>≥8 years</w:t>
      </w:r>
      <w:r w:rsidRPr="00564311">
        <w:t xml:space="preserve"> of age (n=70)</w:t>
      </w:r>
      <w:r>
        <w:t>)</w:t>
      </w:r>
      <w:r w:rsidR="00591E3A">
        <w:t xml:space="preserve">, </w:t>
      </w:r>
      <w:r w:rsidR="00591E3A" w:rsidRPr="00591E3A">
        <w:t>*</w:t>
      </w:r>
      <w:r w:rsidR="00591E3A">
        <w:t>=</w:t>
      </w:r>
      <w:r w:rsidR="00591E3A" w:rsidRPr="00591E3A">
        <w:t>P &lt; .05. **</w:t>
      </w:r>
      <w:r w:rsidR="00591E3A">
        <w:t>=</w:t>
      </w:r>
      <w:r w:rsidR="00591E3A" w:rsidRPr="00591E3A">
        <w:t>P &lt; .01. ***</w:t>
      </w:r>
      <w:r w:rsidR="00591E3A">
        <w:t>=</w:t>
      </w:r>
      <w:r w:rsidR="00591E3A" w:rsidRPr="00591E3A">
        <w:t>P &lt; .001.</w:t>
      </w:r>
    </w:p>
    <w:p w14:paraId="08E06906" w14:textId="77777777" w:rsidR="009F7C14" w:rsidRPr="002764F3" w:rsidRDefault="009F7C14" w:rsidP="009F7C14">
      <w:pPr>
        <w:tabs>
          <w:tab w:val="left" w:pos="2955"/>
        </w:tabs>
        <w:spacing w:after="0" w:line="240" w:lineRule="auto"/>
        <w:jc w:val="both"/>
        <w:rPr>
          <w:rFonts w:ascii="Arial" w:hAnsi="Arial" w:cs="Arial"/>
          <w:b/>
          <w:bCs/>
          <w:sz w:val="20"/>
          <w:szCs w:val="20"/>
        </w:rPr>
      </w:pPr>
    </w:p>
    <w:p w14:paraId="6BB4901C" w14:textId="5DADD93F" w:rsidR="00BA4471" w:rsidRDefault="00BA4471" w:rsidP="009F7C14">
      <w:pPr>
        <w:tabs>
          <w:tab w:val="left" w:pos="2955"/>
        </w:tabs>
        <w:spacing w:after="0" w:line="240" w:lineRule="auto"/>
        <w:jc w:val="both"/>
        <w:rPr>
          <w:rFonts w:ascii="Arial" w:hAnsi="Arial" w:cs="Arial"/>
          <w:sz w:val="20"/>
          <w:szCs w:val="20"/>
        </w:rPr>
      </w:pPr>
      <w:r w:rsidRPr="00BA4471">
        <w:rPr>
          <w:rFonts w:ascii="Arial" w:hAnsi="Arial" w:cs="Arial"/>
          <w:sz w:val="20"/>
          <w:szCs w:val="20"/>
        </w:rPr>
        <w:t xml:space="preserve">These negative associations between physical parameters such as scrotal circumference (r = -0.31, P &lt; .01) and breeding </w:t>
      </w:r>
      <w:r w:rsidR="0085766A">
        <w:rPr>
          <w:rFonts w:ascii="Arial" w:hAnsi="Arial" w:cs="Arial"/>
          <w:sz w:val="20"/>
          <w:szCs w:val="20"/>
        </w:rPr>
        <w:t>behaviour</w:t>
      </w:r>
      <w:r w:rsidRPr="00BA4471">
        <w:rPr>
          <w:rFonts w:ascii="Arial" w:hAnsi="Arial" w:cs="Arial"/>
          <w:sz w:val="20"/>
          <w:szCs w:val="20"/>
        </w:rPr>
        <w:t xml:space="preserve"> scores (r = -0.42, P &lt; .01) and oestradiol may be a result of the inhibitory effect of high levels of oestradiol on male reproductive performance (Rodriguez-Martinez, 2018; Kastelic, 2019). Excessive levels of oestradiol may inhibit LH secretion by negative feedback and decrease production of testosterone, impairing the reproductive performance of affected males (</w:t>
      </w:r>
      <w:r w:rsidR="004349A9" w:rsidRPr="00BA4471">
        <w:rPr>
          <w:rFonts w:ascii="Arial" w:hAnsi="Arial" w:cs="Arial"/>
          <w:sz w:val="20"/>
          <w:szCs w:val="20"/>
        </w:rPr>
        <w:t>Chenoweth, 2020</w:t>
      </w:r>
      <w:r w:rsidR="004349A9">
        <w:rPr>
          <w:rFonts w:ascii="Arial" w:hAnsi="Arial" w:cs="Arial"/>
          <w:sz w:val="20"/>
          <w:szCs w:val="20"/>
        </w:rPr>
        <w:t xml:space="preserve">; </w:t>
      </w:r>
      <w:r w:rsidRPr="00BA4471">
        <w:rPr>
          <w:rFonts w:ascii="Arial" w:hAnsi="Arial" w:cs="Arial"/>
          <w:sz w:val="20"/>
          <w:szCs w:val="20"/>
        </w:rPr>
        <w:t>Palmer et al., 2020). Walters et al. (2019) and Fraser et al. (2021) reported similar results in studies of bulls with reproductive endocrine dysfunction.</w:t>
      </w:r>
    </w:p>
    <w:p w14:paraId="09097B1C" w14:textId="77777777" w:rsidR="00BA4471" w:rsidRPr="00BA4471" w:rsidRDefault="00BA4471" w:rsidP="009F7C14">
      <w:pPr>
        <w:tabs>
          <w:tab w:val="left" w:pos="2955"/>
        </w:tabs>
        <w:spacing w:after="0" w:line="240" w:lineRule="auto"/>
        <w:jc w:val="both"/>
        <w:rPr>
          <w:rFonts w:ascii="Arial" w:hAnsi="Arial" w:cs="Arial"/>
          <w:sz w:val="20"/>
          <w:szCs w:val="20"/>
        </w:rPr>
      </w:pPr>
    </w:p>
    <w:p w14:paraId="4BC49B3E" w14:textId="0CCEF9E6" w:rsidR="00BA4471" w:rsidRPr="00BA4471" w:rsidRDefault="00BA4471" w:rsidP="009F7C14">
      <w:pPr>
        <w:pStyle w:val="Heading2"/>
      </w:pPr>
      <w:r w:rsidRPr="00BA4471">
        <w:t>3.</w:t>
      </w:r>
      <w:r w:rsidR="002012D9">
        <w:t>6</w:t>
      </w:r>
      <w:r w:rsidRPr="00BA4471">
        <w:t xml:space="preserve"> Breeding Performance Evaluation and its Economic Significance</w:t>
      </w:r>
    </w:p>
    <w:p w14:paraId="4FA45D65" w14:textId="50846A98" w:rsidR="004E5900" w:rsidRDefault="00BA4471" w:rsidP="009F7C14">
      <w:pPr>
        <w:tabs>
          <w:tab w:val="left" w:pos="2955"/>
        </w:tabs>
        <w:spacing w:after="0" w:line="240" w:lineRule="auto"/>
        <w:jc w:val="both"/>
        <w:rPr>
          <w:rFonts w:ascii="Arial" w:hAnsi="Arial" w:cs="Arial"/>
          <w:sz w:val="20"/>
          <w:szCs w:val="20"/>
        </w:rPr>
      </w:pPr>
      <w:r w:rsidRPr="00BA4471">
        <w:rPr>
          <w:rFonts w:ascii="Arial" w:hAnsi="Arial" w:cs="Arial"/>
          <w:sz w:val="20"/>
          <w:szCs w:val="20"/>
        </w:rPr>
        <w:t>Among the bulls used for natural breeding (n=68 bulls aged ≥2 years), bulls with peak concentrations of testosterone (4-year group) had better reproductive performance than younger or older bulls (Table 4). The 4-year group of bulls had the best conception rate (83.8 ± 1.3%) and used fewer services per conception (1.2 ± 0.06) than the other groups, results in accordance with results by Santos et al. (2021) and Rodriguez-Martinez (2018).</w:t>
      </w:r>
    </w:p>
    <w:p w14:paraId="55D66430" w14:textId="77777777" w:rsidR="00225EDE" w:rsidRDefault="00225EDE" w:rsidP="009F7C14">
      <w:pPr>
        <w:tabs>
          <w:tab w:val="left" w:pos="2955"/>
        </w:tabs>
        <w:spacing w:after="0" w:line="240" w:lineRule="auto"/>
        <w:jc w:val="both"/>
        <w:rPr>
          <w:rFonts w:ascii="Arial" w:hAnsi="Arial" w:cs="Arial"/>
          <w:sz w:val="20"/>
          <w:szCs w:val="20"/>
        </w:rPr>
      </w:pPr>
    </w:p>
    <w:p w14:paraId="44DC71E6" w14:textId="39A08AF2" w:rsidR="0002278B" w:rsidRDefault="0002278B" w:rsidP="009F7C14">
      <w:pPr>
        <w:tabs>
          <w:tab w:val="left" w:pos="2955"/>
        </w:tabs>
        <w:spacing w:after="0" w:line="240" w:lineRule="auto"/>
        <w:jc w:val="both"/>
        <w:rPr>
          <w:rFonts w:ascii="Arial" w:hAnsi="Arial" w:cs="Arial"/>
          <w:sz w:val="20"/>
          <w:szCs w:val="20"/>
        </w:rPr>
      </w:pPr>
      <w:r w:rsidRPr="0002278B">
        <w:rPr>
          <w:rFonts w:ascii="Arial" w:hAnsi="Arial" w:cs="Arial"/>
          <w:sz w:val="20"/>
          <w:szCs w:val="20"/>
        </w:rPr>
        <w:t xml:space="preserve">The 27% </w:t>
      </w:r>
      <w:r w:rsidR="00225EDE">
        <w:rPr>
          <w:rFonts w:ascii="Arial" w:hAnsi="Arial" w:cs="Arial"/>
          <w:sz w:val="20"/>
          <w:szCs w:val="20"/>
        </w:rPr>
        <w:t>increase</w:t>
      </w:r>
      <w:r w:rsidRPr="0002278B">
        <w:rPr>
          <w:rFonts w:ascii="Arial" w:hAnsi="Arial" w:cs="Arial"/>
          <w:sz w:val="20"/>
          <w:szCs w:val="20"/>
        </w:rPr>
        <w:t xml:space="preserve"> in conception rates in peak-testosterone bulls relative to younger animals indicates that hormone maturity greatly affects fertility results over physical development per se (Chenoweth, 2020; </w:t>
      </w:r>
      <w:r w:rsidRPr="0002278B">
        <w:rPr>
          <w:rFonts w:ascii="Arial" w:hAnsi="Arial" w:cs="Arial"/>
          <w:sz w:val="20"/>
          <w:szCs w:val="20"/>
        </w:rPr>
        <w:lastRenderedPageBreak/>
        <w:t xml:space="preserve">Fraser et al., 2021). The observation lends support to postponement of intensive breeding in young bulls until hormone levels reach peak reproductive potential, normally by 3-4 years. Research by De </w:t>
      </w:r>
      <w:proofErr w:type="spellStart"/>
      <w:r w:rsidRPr="0002278B">
        <w:rPr>
          <w:rFonts w:ascii="Arial" w:hAnsi="Arial" w:cs="Arial"/>
          <w:sz w:val="20"/>
          <w:szCs w:val="20"/>
        </w:rPr>
        <w:t>Rensis</w:t>
      </w:r>
      <w:proofErr w:type="spellEnd"/>
      <w:r w:rsidRPr="0002278B">
        <w:rPr>
          <w:rFonts w:ascii="Arial" w:hAnsi="Arial" w:cs="Arial"/>
          <w:sz w:val="20"/>
          <w:szCs w:val="20"/>
        </w:rPr>
        <w:t xml:space="preserve"> &amp; Scaramuzzi (2003) and Walters et al. (2019) has demonstrated adverse 20-35% reductions in conception percentages and associated risks of reproductive trauma from early breeding in young bulls.</w:t>
      </w:r>
    </w:p>
    <w:p w14:paraId="361FF6EC" w14:textId="77777777" w:rsidR="00225EDE" w:rsidRPr="0002278B" w:rsidRDefault="00225EDE" w:rsidP="009F7C14">
      <w:pPr>
        <w:tabs>
          <w:tab w:val="left" w:pos="2955"/>
        </w:tabs>
        <w:spacing w:after="0" w:line="240" w:lineRule="auto"/>
        <w:jc w:val="both"/>
        <w:rPr>
          <w:rFonts w:ascii="Arial" w:hAnsi="Arial" w:cs="Arial"/>
          <w:sz w:val="20"/>
          <w:szCs w:val="20"/>
        </w:rPr>
      </w:pPr>
    </w:p>
    <w:p w14:paraId="580A52A1" w14:textId="77777777" w:rsidR="0002278B" w:rsidRDefault="0002278B" w:rsidP="009F7C14">
      <w:pPr>
        <w:tabs>
          <w:tab w:val="left" w:pos="2955"/>
        </w:tabs>
        <w:spacing w:after="0" w:line="240" w:lineRule="auto"/>
        <w:jc w:val="both"/>
        <w:rPr>
          <w:rFonts w:ascii="Arial" w:hAnsi="Arial" w:cs="Arial"/>
          <w:sz w:val="20"/>
          <w:szCs w:val="20"/>
        </w:rPr>
      </w:pPr>
      <w:r w:rsidRPr="0002278B">
        <w:rPr>
          <w:rFonts w:ascii="Arial" w:hAnsi="Arial" w:cs="Arial"/>
          <w:sz w:val="20"/>
          <w:szCs w:val="20"/>
        </w:rPr>
        <w:t>Walsh et al. (2019) and Prakash et al. (2021) have illustrated that a 15% rise in conception rate as noted between peak and suboptimal bulls will lift net returns annually by $150-300 per bull in a commercial dairy enterprise. The enhanced reproductive performance realized by 4-year-old bulls with increased conception rates and fewer services per conception augments the testosterone peak as a valid predictor of peak breeding ability (Brito et al., 2020; Santos et al., 2021). These performance disparities have considerable economic impacts on the dairy enterprise with enhanced conception enhancing breeding expense reduction and shortening of calving intervals (Barth &amp; Oko, 2019; Kastelic, 2019).</w:t>
      </w:r>
    </w:p>
    <w:p w14:paraId="42BE1A26" w14:textId="77777777" w:rsidR="00225EDE" w:rsidRPr="0002278B" w:rsidRDefault="00225EDE" w:rsidP="009F7C14">
      <w:pPr>
        <w:tabs>
          <w:tab w:val="left" w:pos="2955"/>
        </w:tabs>
        <w:spacing w:after="0" w:line="240" w:lineRule="auto"/>
        <w:jc w:val="both"/>
        <w:rPr>
          <w:rFonts w:ascii="Arial" w:hAnsi="Arial" w:cs="Arial"/>
          <w:sz w:val="20"/>
          <w:szCs w:val="20"/>
        </w:rPr>
      </w:pPr>
    </w:p>
    <w:p w14:paraId="6841835F" w14:textId="1F10CEAB" w:rsidR="0002278B" w:rsidRDefault="0002278B" w:rsidP="009F7C14">
      <w:pPr>
        <w:tabs>
          <w:tab w:val="left" w:pos="2955"/>
        </w:tabs>
        <w:spacing w:after="0" w:line="240" w:lineRule="auto"/>
        <w:jc w:val="both"/>
        <w:rPr>
          <w:rFonts w:ascii="Arial" w:hAnsi="Arial" w:cs="Arial"/>
          <w:sz w:val="20"/>
          <w:szCs w:val="20"/>
        </w:rPr>
      </w:pPr>
      <w:r w:rsidRPr="0002278B">
        <w:rPr>
          <w:rFonts w:ascii="Arial" w:hAnsi="Arial" w:cs="Arial"/>
          <w:sz w:val="20"/>
          <w:szCs w:val="20"/>
        </w:rPr>
        <w:t>The diminished performance of older bulls (≥8 years) even with normal testosterone levels (5.1 ± 0.25 ng/mL) indicates that hormone evaluation must be augmented with other parameters of evaluation to attain an integrated breeding soundness evaluation (Santos et al., 2021; Rodriguez-Martinez, 2018). Physiologic alterations with advancing age affecting semen quality, the integrity of the testes, and physical fitness may impair breeding effectiveness even in cases where hormone levels fall within normal ranges (Kastelic, 2019; Brito et al., 2020).</w:t>
      </w:r>
    </w:p>
    <w:p w14:paraId="4C53E699" w14:textId="77777777" w:rsidR="00880DCD" w:rsidRDefault="00880DCD" w:rsidP="009F7C14">
      <w:pPr>
        <w:tabs>
          <w:tab w:val="left" w:pos="2955"/>
        </w:tabs>
        <w:spacing w:after="0" w:line="240" w:lineRule="auto"/>
        <w:jc w:val="both"/>
        <w:rPr>
          <w:rFonts w:ascii="Arial" w:hAnsi="Arial" w:cs="Arial"/>
          <w:sz w:val="20"/>
          <w:szCs w:val="20"/>
        </w:rPr>
      </w:pPr>
    </w:p>
    <w:p w14:paraId="4DD380BC" w14:textId="0E1F3420" w:rsidR="000F0C02" w:rsidRDefault="000F0C02" w:rsidP="009F7C14">
      <w:pPr>
        <w:tabs>
          <w:tab w:val="left" w:pos="2955"/>
        </w:tabs>
        <w:spacing w:after="0" w:line="240" w:lineRule="auto"/>
        <w:jc w:val="both"/>
        <w:rPr>
          <w:rFonts w:ascii="Arial" w:hAnsi="Arial" w:cs="Arial"/>
          <w:sz w:val="20"/>
          <w:szCs w:val="20"/>
        </w:rPr>
      </w:pPr>
      <w:r>
        <w:rPr>
          <w:rFonts w:ascii="Arial" w:hAnsi="Arial" w:cs="Arial"/>
          <w:sz w:val="20"/>
          <w:szCs w:val="20"/>
        </w:rPr>
        <w:t xml:space="preserve">Table 4: </w:t>
      </w:r>
      <w:r w:rsidRPr="00BA4471">
        <w:t>Breeding Performance Evaluation</w:t>
      </w:r>
    </w:p>
    <w:tbl>
      <w:tblPr>
        <w:tblStyle w:val="TableGrid"/>
        <w:tblW w:w="93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20"/>
        <w:gridCol w:w="2430"/>
        <w:gridCol w:w="2610"/>
        <w:gridCol w:w="2340"/>
      </w:tblGrid>
      <w:tr w:rsidR="001B2193" w:rsidRPr="001B2193" w14:paraId="7AE9E93F" w14:textId="77777777" w:rsidTr="000F3C2B">
        <w:tc>
          <w:tcPr>
            <w:tcW w:w="1255" w:type="dxa"/>
            <w:tcBorders>
              <w:top w:val="single" w:sz="4" w:space="0" w:color="auto"/>
              <w:bottom w:val="single" w:sz="4" w:space="0" w:color="auto"/>
            </w:tcBorders>
            <w:vAlign w:val="center"/>
          </w:tcPr>
          <w:p w14:paraId="57B64C98" w14:textId="0645FCC9" w:rsidR="001B2193" w:rsidRPr="001B2193" w:rsidRDefault="001B2193" w:rsidP="00364F14">
            <w:pPr>
              <w:tabs>
                <w:tab w:val="left" w:pos="2955"/>
              </w:tabs>
              <w:ind w:left="-120" w:right="-105"/>
              <w:jc w:val="both"/>
              <w:rPr>
                <w:rFonts w:ascii="Times New Roman" w:hAnsi="Times New Roman" w:cs="Times New Roman"/>
                <w:sz w:val="24"/>
                <w:szCs w:val="24"/>
              </w:rPr>
            </w:pPr>
            <w:r w:rsidRPr="001B2193">
              <w:rPr>
                <w:rFonts w:ascii="Times New Roman" w:hAnsi="Times New Roman" w:cs="Times New Roman"/>
                <w:b/>
                <w:bCs/>
                <w:sz w:val="24"/>
                <w:szCs w:val="24"/>
              </w:rPr>
              <w:t>Age Group</w:t>
            </w:r>
          </w:p>
        </w:tc>
        <w:tc>
          <w:tcPr>
            <w:tcW w:w="720" w:type="dxa"/>
            <w:tcBorders>
              <w:top w:val="single" w:sz="4" w:space="0" w:color="auto"/>
              <w:bottom w:val="single" w:sz="4" w:space="0" w:color="auto"/>
            </w:tcBorders>
            <w:vAlign w:val="center"/>
          </w:tcPr>
          <w:p w14:paraId="07A5569D" w14:textId="45FF6B62"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b/>
                <w:bCs/>
                <w:sz w:val="24"/>
                <w:szCs w:val="24"/>
              </w:rPr>
              <w:t>n</w:t>
            </w:r>
          </w:p>
        </w:tc>
        <w:tc>
          <w:tcPr>
            <w:tcW w:w="2430" w:type="dxa"/>
            <w:tcBorders>
              <w:top w:val="single" w:sz="4" w:space="0" w:color="auto"/>
              <w:bottom w:val="single" w:sz="4" w:space="0" w:color="auto"/>
            </w:tcBorders>
            <w:vAlign w:val="center"/>
          </w:tcPr>
          <w:p w14:paraId="6CF86E05" w14:textId="72C76990"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b/>
                <w:bCs/>
                <w:sz w:val="24"/>
                <w:szCs w:val="24"/>
              </w:rPr>
              <w:t>Conception Rate (%)</w:t>
            </w:r>
          </w:p>
        </w:tc>
        <w:tc>
          <w:tcPr>
            <w:tcW w:w="2610" w:type="dxa"/>
            <w:tcBorders>
              <w:top w:val="single" w:sz="4" w:space="0" w:color="auto"/>
              <w:bottom w:val="single" w:sz="4" w:space="0" w:color="auto"/>
            </w:tcBorders>
            <w:vAlign w:val="center"/>
          </w:tcPr>
          <w:p w14:paraId="11A19D5F" w14:textId="6729A6C8" w:rsidR="001B2193" w:rsidRPr="001B2193" w:rsidRDefault="001B2193" w:rsidP="00364F14">
            <w:pPr>
              <w:tabs>
                <w:tab w:val="left" w:pos="2955"/>
              </w:tabs>
              <w:ind w:left="-14" w:right="-105"/>
              <w:jc w:val="both"/>
              <w:rPr>
                <w:rFonts w:ascii="Times New Roman" w:hAnsi="Times New Roman" w:cs="Times New Roman"/>
                <w:sz w:val="24"/>
                <w:szCs w:val="24"/>
              </w:rPr>
            </w:pPr>
            <w:r w:rsidRPr="001B2193">
              <w:rPr>
                <w:rFonts w:ascii="Times New Roman" w:hAnsi="Times New Roman" w:cs="Times New Roman"/>
                <w:b/>
                <w:bCs/>
                <w:sz w:val="24"/>
                <w:szCs w:val="24"/>
              </w:rPr>
              <w:t>Services per Conception</w:t>
            </w:r>
          </w:p>
        </w:tc>
        <w:tc>
          <w:tcPr>
            <w:tcW w:w="2340" w:type="dxa"/>
            <w:tcBorders>
              <w:top w:val="single" w:sz="4" w:space="0" w:color="auto"/>
              <w:bottom w:val="single" w:sz="4" w:space="0" w:color="auto"/>
            </w:tcBorders>
            <w:vAlign w:val="center"/>
          </w:tcPr>
          <w:p w14:paraId="001EFA31" w14:textId="43F02F08"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b/>
                <w:bCs/>
                <w:sz w:val="24"/>
                <w:szCs w:val="24"/>
              </w:rPr>
              <w:t>Libido Score (1-10)</w:t>
            </w:r>
          </w:p>
        </w:tc>
      </w:tr>
      <w:tr w:rsidR="001B2193" w:rsidRPr="001B2193" w14:paraId="16C92948" w14:textId="77777777" w:rsidTr="000F3C2B">
        <w:tc>
          <w:tcPr>
            <w:tcW w:w="1255" w:type="dxa"/>
            <w:tcBorders>
              <w:top w:val="single" w:sz="4" w:space="0" w:color="auto"/>
            </w:tcBorders>
            <w:vAlign w:val="center"/>
          </w:tcPr>
          <w:p w14:paraId="662272C5" w14:textId="704920B7"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2 years</w:t>
            </w:r>
          </w:p>
        </w:tc>
        <w:tc>
          <w:tcPr>
            <w:tcW w:w="720" w:type="dxa"/>
            <w:tcBorders>
              <w:top w:val="single" w:sz="4" w:space="0" w:color="auto"/>
            </w:tcBorders>
            <w:vAlign w:val="center"/>
          </w:tcPr>
          <w:p w14:paraId="5299D22C" w14:textId="40791261"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w:t>
            </w:r>
          </w:p>
        </w:tc>
        <w:tc>
          <w:tcPr>
            <w:tcW w:w="2430" w:type="dxa"/>
            <w:tcBorders>
              <w:top w:val="single" w:sz="4" w:space="0" w:color="auto"/>
            </w:tcBorders>
            <w:vAlign w:val="center"/>
          </w:tcPr>
          <w:p w14:paraId="7220BD52" w14:textId="4174D473"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68.2 ± 2.7</w:t>
            </w:r>
            <w:r w:rsidR="000F3C2B" w:rsidRPr="000F3C2B">
              <w:rPr>
                <w:rFonts w:ascii="Times New Roman" w:hAnsi="Times New Roman" w:cs="Times New Roman"/>
                <w:sz w:val="24"/>
                <w:szCs w:val="24"/>
                <w:vertAlign w:val="superscript"/>
              </w:rPr>
              <w:t>a</w:t>
            </w:r>
          </w:p>
        </w:tc>
        <w:tc>
          <w:tcPr>
            <w:tcW w:w="2610" w:type="dxa"/>
            <w:tcBorders>
              <w:top w:val="single" w:sz="4" w:space="0" w:color="auto"/>
            </w:tcBorders>
            <w:vAlign w:val="center"/>
          </w:tcPr>
          <w:p w14:paraId="6D0BDCBC" w14:textId="2B508C9D"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1.8 ± 0.09</w:t>
            </w:r>
            <w:r w:rsidR="000F3C2B" w:rsidRPr="000F3C2B">
              <w:rPr>
                <w:rFonts w:ascii="Times New Roman" w:hAnsi="Times New Roman" w:cs="Times New Roman"/>
                <w:sz w:val="24"/>
                <w:szCs w:val="24"/>
                <w:vertAlign w:val="superscript"/>
              </w:rPr>
              <w:t>b</w:t>
            </w:r>
          </w:p>
        </w:tc>
        <w:tc>
          <w:tcPr>
            <w:tcW w:w="2340" w:type="dxa"/>
            <w:tcBorders>
              <w:top w:val="single" w:sz="4" w:space="0" w:color="auto"/>
            </w:tcBorders>
            <w:vAlign w:val="center"/>
          </w:tcPr>
          <w:p w14:paraId="7B201280" w14:textId="3456F3BA"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6.2 ± 0.35</w:t>
            </w:r>
            <w:r w:rsidR="000F3C2B" w:rsidRPr="000F3C2B">
              <w:rPr>
                <w:rFonts w:ascii="Times New Roman" w:hAnsi="Times New Roman" w:cs="Times New Roman"/>
                <w:sz w:val="24"/>
                <w:szCs w:val="24"/>
                <w:vertAlign w:val="superscript"/>
              </w:rPr>
              <w:t>a</w:t>
            </w:r>
          </w:p>
        </w:tc>
      </w:tr>
      <w:tr w:rsidR="001B2193" w:rsidRPr="001B2193" w14:paraId="04639931" w14:textId="77777777" w:rsidTr="000F3C2B">
        <w:tc>
          <w:tcPr>
            <w:tcW w:w="1255" w:type="dxa"/>
            <w:vAlign w:val="center"/>
          </w:tcPr>
          <w:p w14:paraId="05A01212" w14:textId="47B412A2"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3 years</w:t>
            </w:r>
          </w:p>
        </w:tc>
        <w:tc>
          <w:tcPr>
            <w:tcW w:w="720" w:type="dxa"/>
            <w:vAlign w:val="center"/>
          </w:tcPr>
          <w:p w14:paraId="68E1EFA3" w14:textId="623B9EED"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3EB33BC6" w14:textId="3A9A34A9"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78.3 ± 2.1</w:t>
            </w:r>
            <w:r w:rsidR="000F3C2B" w:rsidRPr="000F3C2B">
              <w:rPr>
                <w:rFonts w:ascii="Times New Roman" w:hAnsi="Times New Roman" w:cs="Times New Roman"/>
                <w:sz w:val="24"/>
                <w:szCs w:val="24"/>
                <w:vertAlign w:val="superscript"/>
              </w:rPr>
              <w:t>b</w:t>
            </w:r>
          </w:p>
        </w:tc>
        <w:tc>
          <w:tcPr>
            <w:tcW w:w="2610" w:type="dxa"/>
            <w:vAlign w:val="center"/>
          </w:tcPr>
          <w:p w14:paraId="7D08E28F" w14:textId="7404AD8A"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1.4 ± 0.06</w:t>
            </w:r>
            <w:r w:rsidR="000F3C2B" w:rsidRPr="000F3C2B">
              <w:rPr>
                <w:rFonts w:ascii="Times New Roman" w:hAnsi="Times New Roman" w:cs="Times New Roman"/>
                <w:sz w:val="24"/>
                <w:szCs w:val="24"/>
                <w:vertAlign w:val="superscript"/>
              </w:rPr>
              <w:t>ab</w:t>
            </w:r>
          </w:p>
        </w:tc>
        <w:tc>
          <w:tcPr>
            <w:tcW w:w="2340" w:type="dxa"/>
            <w:vAlign w:val="center"/>
          </w:tcPr>
          <w:p w14:paraId="58E87AAA" w14:textId="1882CAEB"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7.8 ± 0.28</w:t>
            </w:r>
            <w:r w:rsidR="000F3C2B" w:rsidRPr="000F3C2B">
              <w:rPr>
                <w:rFonts w:ascii="Times New Roman" w:hAnsi="Times New Roman" w:cs="Times New Roman"/>
                <w:sz w:val="24"/>
                <w:szCs w:val="24"/>
                <w:vertAlign w:val="superscript"/>
              </w:rPr>
              <w:t>b</w:t>
            </w:r>
          </w:p>
        </w:tc>
      </w:tr>
      <w:tr w:rsidR="001B2193" w:rsidRPr="001B2193" w14:paraId="34BB2843" w14:textId="77777777" w:rsidTr="000F3C2B">
        <w:tc>
          <w:tcPr>
            <w:tcW w:w="1255" w:type="dxa"/>
            <w:vAlign w:val="center"/>
          </w:tcPr>
          <w:p w14:paraId="1F85AA0C" w14:textId="0AB3CB46"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4 years</w:t>
            </w:r>
          </w:p>
        </w:tc>
        <w:tc>
          <w:tcPr>
            <w:tcW w:w="720" w:type="dxa"/>
            <w:vAlign w:val="center"/>
          </w:tcPr>
          <w:p w14:paraId="65D961C1" w14:textId="2E89EE8F"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5F880952" w14:textId="4A6F3897"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83.8 ± 1.3</w:t>
            </w:r>
            <w:r w:rsidR="000F3C2B" w:rsidRPr="000F3C2B">
              <w:rPr>
                <w:rFonts w:ascii="Times New Roman" w:hAnsi="Times New Roman" w:cs="Times New Roman"/>
                <w:sz w:val="24"/>
                <w:szCs w:val="24"/>
                <w:vertAlign w:val="superscript"/>
              </w:rPr>
              <w:t>c</w:t>
            </w:r>
          </w:p>
        </w:tc>
        <w:tc>
          <w:tcPr>
            <w:tcW w:w="2610" w:type="dxa"/>
            <w:vAlign w:val="center"/>
          </w:tcPr>
          <w:p w14:paraId="00DA7153" w14:textId="1291F6F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1.2 ± 0.06</w:t>
            </w:r>
            <w:r w:rsidR="000F3C2B" w:rsidRPr="000F3C2B">
              <w:rPr>
                <w:rFonts w:ascii="Times New Roman" w:hAnsi="Times New Roman" w:cs="Times New Roman"/>
                <w:sz w:val="24"/>
                <w:szCs w:val="24"/>
                <w:vertAlign w:val="superscript"/>
              </w:rPr>
              <w:t>a</w:t>
            </w:r>
          </w:p>
        </w:tc>
        <w:tc>
          <w:tcPr>
            <w:tcW w:w="2340" w:type="dxa"/>
            <w:vAlign w:val="center"/>
          </w:tcPr>
          <w:p w14:paraId="573A2B28" w14:textId="1D0CC808"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8.9 ± 0.22</w:t>
            </w:r>
            <w:r w:rsidR="000F3C2B" w:rsidRPr="000F3C2B">
              <w:rPr>
                <w:rFonts w:ascii="Times New Roman" w:hAnsi="Times New Roman" w:cs="Times New Roman"/>
                <w:sz w:val="24"/>
                <w:szCs w:val="24"/>
                <w:vertAlign w:val="superscript"/>
              </w:rPr>
              <w:t>c</w:t>
            </w:r>
          </w:p>
        </w:tc>
      </w:tr>
      <w:tr w:rsidR="001B2193" w:rsidRPr="001B2193" w14:paraId="5C9C9019" w14:textId="77777777" w:rsidTr="000F3C2B">
        <w:tc>
          <w:tcPr>
            <w:tcW w:w="1255" w:type="dxa"/>
            <w:vAlign w:val="center"/>
          </w:tcPr>
          <w:p w14:paraId="437671BB" w14:textId="582B3E68"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5 years</w:t>
            </w:r>
          </w:p>
        </w:tc>
        <w:tc>
          <w:tcPr>
            <w:tcW w:w="720" w:type="dxa"/>
            <w:vAlign w:val="center"/>
          </w:tcPr>
          <w:p w14:paraId="31F5E43B" w14:textId="0E06043C"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41418858" w14:textId="06FED0C0"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79.2 ± 1.8</w:t>
            </w:r>
            <w:r w:rsidR="000F3C2B" w:rsidRPr="000F3C2B">
              <w:rPr>
                <w:rFonts w:ascii="Times New Roman" w:hAnsi="Times New Roman" w:cs="Times New Roman"/>
                <w:sz w:val="24"/>
                <w:szCs w:val="24"/>
                <w:vertAlign w:val="superscript"/>
              </w:rPr>
              <w:t>bc</w:t>
            </w:r>
          </w:p>
        </w:tc>
        <w:tc>
          <w:tcPr>
            <w:tcW w:w="2610" w:type="dxa"/>
            <w:vAlign w:val="center"/>
          </w:tcPr>
          <w:p w14:paraId="0A187ACE" w14:textId="0FE42420"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1.3 ± 0.07</w:t>
            </w:r>
            <w:r w:rsidR="000F3C2B" w:rsidRPr="000F3C2B">
              <w:rPr>
                <w:rFonts w:ascii="Times New Roman" w:hAnsi="Times New Roman" w:cs="Times New Roman"/>
                <w:sz w:val="24"/>
                <w:szCs w:val="24"/>
                <w:vertAlign w:val="superscript"/>
              </w:rPr>
              <w:t>a</w:t>
            </w:r>
          </w:p>
        </w:tc>
        <w:tc>
          <w:tcPr>
            <w:tcW w:w="2340" w:type="dxa"/>
            <w:vAlign w:val="center"/>
          </w:tcPr>
          <w:p w14:paraId="682BD45A" w14:textId="77A68421"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8.4 ± 0.25</w:t>
            </w:r>
            <w:r w:rsidR="000F3C2B" w:rsidRPr="000F3C2B">
              <w:rPr>
                <w:rFonts w:ascii="Times New Roman" w:hAnsi="Times New Roman" w:cs="Times New Roman"/>
                <w:sz w:val="24"/>
                <w:szCs w:val="24"/>
                <w:vertAlign w:val="superscript"/>
              </w:rPr>
              <w:t>c</w:t>
            </w:r>
          </w:p>
        </w:tc>
      </w:tr>
      <w:tr w:rsidR="001B2193" w:rsidRPr="001B2193" w14:paraId="2332E6D3" w14:textId="77777777" w:rsidTr="000F3C2B">
        <w:tc>
          <w:tcPr>
            <w:tcW w:w="1255" w:type="dxa"/>
            <w:vAlign w:val="center"/>
          </w:tcPr>
          <w:p w14:paraId="2EF3C4FA" w14:textId="70E8DB7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6 years</w:t>
            </w:r>
          </w:p>
        </w:tc>
        <w:tc>
          <w:tcPr>
            <w:tcW w:w="720" w:type="dxa"/>
            <w:vAlign w:val="center"/>
          </w:tcPr>
          <w:p w14:paraId="58D875F9" w14:textId="303813F6"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0332B26B" w14:textId="6CB85F0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75.6 ± 2.2</w:t>
            </w:r>
            <w:r w:rsidR="000F3C2B" w:rsidRPr="000F3C2B">
              <w:rPr>
                <w:rFonts w:ascii="Times New Roman" w:hAnsi="Times New Roman" w:cs="Times New Roman"/>
                <w:sz w:val="24"/>
                <w:szCs w:val="24"/>
                <w:vertAlign w:val="superscript"/>
              </w:rPr>
              <w:t>b</w:t>
            </w:r>
          </w:p>
        </w:tc>
        <w:tc>
          <w:tcPr>
            <w:tcW w:w="2610" w:type="dxa"/>
            <w:vAlign w:val="center"/>
          </w:tcPr>
          <w:p w14:paraId="4AF367FF" w14:textId="4038920A"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1.4 ± 0.08</w:t>
            </w:r>
            <w:r w:rsidR="000F3C2B" w:rsidRPr="000F3C2B">
              <w:rPr>
                <w:rFonts w:ascii="Times New Roman" w:hAnsi="Times New Roman" w:cs="Times New Roman"/>
                <w:sz w:val="24"/>
                <w:szCs w:val="24"/>
                <w:vertAlign w:val="superscript"/>
              </w:rPr>
              <w:t>ab</w:t>
            </w:r>
          </w:p>
        </w:tc>
        <w:tc>
          <w:tcPr>
            <w:tcW w:w="2340" w:type="dxa"/>
            <w:vAlign w:val="center"/>
          </w:tcPr>
          <w:p w14:paraId="76E97328" w14:textId="012AD5C7"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7.9 ± 0.28</w:t>
            </w:r>
            <w:r w:rsidR="000F3C2B" w:rsidRPr="000F3C2B">
              <w:rPr>
                <w:rFonts w:ascii="Times New Roman" w:hAnsi="Times New Roman" w:cs="Times New Roman"/>
                <w:sz w:val="24"/>
                <w:szCs w:val="24"/>
                <w:vertAlign w:val="superscript"/>
              </w:rPr>
              <w:t>bc</w:t>
            </w:r>
          </w:p>
        </w:tc>
      </w:tr>
      <w:tr w:rsidR="001B2193" w:rsidRPr="001B2193" w14:paraId="1C19E4FA" w14:textId="77777777" w:rsidTr="000F3C2B">
        <w:tc>
          <w:tcPr>
            <w:tcW w:w="1255" w:type="dxa"/>
            <w:vAlign w:val="center"/>
          </w:tcPr>
          <w:p w14:paraId="4840203F" w14:textId="10ABBC39"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 years</w:t>
            </w:r>
          </w:p>
        </w:tc>
        <w:tc>
          <w:tcPr>
            <w:tcW w:w="720" w:type="dxa"/>
            <w:vAlign w:val="center"/>
          </w:tcPr>
          <w:p w14:paraId="5F21EAB9" w14:textId="2760999F"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3336B33E" w14:textId="6C10F6B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72.8 ± 2.5</w:t>
            </w:r>
            <w:r w:rsidR="000F3C2B" w:rsidRPr="000F3C2B">
              <w:rPr>
                <w:rFonts w:ascii="Times New Roman" w:hAnsi="Times New Roman" w:cs="Times New Roman"/>
                <w:sz w:val="24"/>
                <w:szCs w:val="24"/>
                <w:vertAlign w:val="superscript"/>
              </w:rPr>
              <w:t>ab</w:t>
            </w:r>
          </w:p>
        </w:tc>
        <w:tc>
          <w:tcPr>
            <w:tcW w:w="2610" w:type="dxa"/>
            <w:vAlign w:val="center"/>
          </w:tcPr>
          <w:p w14:paraId="54872AE9" w14:textId="2ECB6A1D"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1.6 ± 0.09</w:t>
            </w:r>
            <w:r w:rsidR="000F3C2B" w:rsidRPr="000F3C2B">
              <w:rPr>
                <w:rFonts w:ascii="Times New Roman" w:hAnsi="Times New Roman" w:cs="Times New Roman"/>
                <w:sz w:val="24"/>
                <w:szCs w:val="24"/>
                <w:vertAlign w:val="superscript"/>
              </w:rPr>
              <w:t>b</w:t>
            </w:r>
          </w:p>
        </w:tc>
        <w:tc>
          <w:tcPr>
            <w:tcW w:w="2340" w:type="dxa"/>
            <w:vAlign w:val="center"/>
          </w:tcPr>
          <w:p w14:paraId="6086213B" w14:textId="40A6E96F"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7.4 ± 0.32</w:t>
            </w:r>
            <w:r w:rsidR="000F3C2B" w:rsidRPr="000F3C2B">
              <w:rPr>
                <w:rFonts w:ascii="Times New Roman" w:hAnsi="Times New Roman" w:cs="Times New Roman"/>
                <w:sz w:val="24"/>
                <w:szCs w:val="24"/>
                <w:vertAlign w:val="superscript"/>
              </w:rPr>
              <w:t>b</w:t>
            </w:r>
          </w:p>
        </w:tc>
      </w:tr>
      <w:tr w:rsidR="001B2193" w:rsidRPr="001B2193" w14:paraId="1592EAE4" w14:textId="77777777" w:rsidTr="000F3C2B">
        <w:tc>
          <w:tcPr>
            <w:tcW w:w="1255" w:type="dxa"/>
            <w:vAlign w:val="center"/>
          </w:tcPr>
          <w:p w14:paraId="1C8EDB34" w14:textId="388B561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 years</w:t>
            </w:r>
          </w:p>
        </w:tc>
        <w:tc>
          <w:tcPr>
            <w:tcW w:w="720" w:type="dxa"/>
            <w:vAlign w:val="center"/>
          </w:tcPr>
          <w:p w14:paraId="2F7C1469" w14:textId="54723D3E"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4627D4AA" w14:textId="6B9F4738"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71.4 ± 2.5</w:t>
            </w:r>
            <w:r w:rsidR="000F3C2B" w:rsidRPr="000F3C2B">
              <w:rPr>
                <w:rFonts w:ascii="Times New Roman" w:hAnsi="Times New Roman" w:cs="Times New Roman"/>
                <w:sz w:val="24"/>
                <w:szCs w:val="24"/>
                <w:vertAlign w:val="superscript"/>
              </w:rPr>
              <w:t>ab</w:t>
            </w:r>
          </w:p>
        </w:tc>
        <w:tc>
          <w:tcPr>
            <w:tcW w:w="2610" w:type="dxa"/>
            <w:vAlign w:val="center"/>
          </w:tcPr>
          <w:p w14:paraId="01165368" w14:textId="7C34F5C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1.7 ± 0.09</w:t>
            </w:r>
            <w:r w:rsidR="000F3C2B" w:rsidRPr="000F3C2B">
              <w:rPr>
                <w:rFonts w:ascii="Times New Roman" w:hAnsi="Times New Roman" w:cs="Times New Roman"/>
                <w:sz w:val="24"/>
                <w:szCs w:val="24"/>
                <w:vertAlign w:val="superscript"/>
              </w:rPr>
              <w:t>b</w:t>
            </w:r>
          </w:p>
        </w:tc>
        <w:tc>
          <w:tcPr>
            <w:tcW w:w="2340" w:type="dxa"/>
            <w:vAlign w:val="center"/>
          </w:tcPr>
          <w:p w14:paraId="508A617F" w14:textId="2A5CCD42"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7.1 ± 0.38</w:t>
            </w:r>
            <w:r w:rsidR="000F3C2B" w:rsidRPr="000F3C2B">
              <w:rPr>
                <w:rFonts w:ascii="Times New Roman" w:hAnsi="Times New Roman" w:cs="Times New Roman"/>
                <w:sz w:val="24"/>
                <w:szCs w:val="24"/>
                <w:vertAlign w:val="superscript"/>
              </w:rPr>
              <w:t>b</w:t>
            </w:r>
          </w:p>
        </w:tc>
      </w:tr>
      <w:tr w:rsidR="001D417E" w:rsidRPr="001B2193" w14:paraId="014C25FD" w14:textId="77777777" w:rsidTr="000F3C2B">
        <w:tc>
          <w:tcPr>
            <w:tcW w:w="1255" w:type="dxa"/>
            <w:vAlign w:val="center"/>
          </w:tcPr>
          <w:p w14:paraId="07EE6BB2" w14:textId="6F3DDEA9" w:rsidR="001D417E" w:rsidRPr="001D417E" w:rsidRDefault="001D417E" w:rsidP="001B2193">
            <w:pPr>
              <w:tabs>
                <w:tab w:val="left" w:pos="2955"/>
              </w:tabs>
              <w:jc w:val="both"/>
              <w:rPr>
                <w:rFonts w:ascii="Times New Roman" w:hAnsi="Times New Roman" w:cs="Times New Roman"/>
                <w:b/>
                <w:bCs/>
                <w:i/>
                <w:iCs/>
                <w:sz w:val="24"/>
                <w:szCs w:val="24"/>
              </w:rPr>
            </w:pPr>
            <w:r w:rsidRPr="001D417E">
              <w:rPr>
                <w:rFonts w:ascii="Arial" w:hAnsi="Arial" w:cs="Arial"/>
                <w:b/>
                <w:bCs/>
                <w:i/>
                <w:iCs/>
              </w:rPr>
              <w:t>P value</w:t>
            </w:r>
          </w:p>
        </w:tc>
        <w:tc>
          <w:tcPr>
            <w:tcW w:w="720" w:type="dxa"/>
            <w:vAlign w:val="center"/>
          </w:tcPr>
          <w:p w14:paraId="60A6389F" w14:textId="77777777" w:rsidR="001D417E" w:rsidRPr="001D417E" w:rsidRDefault="001D417E" w:rsidP="001B2193">
            <w:pPr>
              <w:tabs>
                <w:tab w:val="left" w:pos="2955"/>
              </w:tabs>
              <w:jc w:val="both"/>
              <w:rPr>
                <w:rFonts w:ascii="Times New Roman" w:hAnsi="Times New Roman" w:cs="Times New Roman"/>
                <w:b/>
                <w:bCs/>
                <w:i/>
                <w:iCs/>
                <w:sz w:val="24"/>
                <w:szCs w:val="24"/>
              </w:rPr>
            </w:pPr>
          </w:p>
        </w:tc>
        <w:tc>
          <w:tcPr>
            <w:tcW w:w="2430" w:type="dxa"/>
            <w:vAlign w:val="center"/>
          </w:tcPr>
          <w:p w14:paraId="63D70500" w14:textId="3393FD0B" w:rsidR="001D417E" w:rsidRPr="001D417E" w:rsidRDefault="001D417E" w:rsidP="001B2193">
            <w:pPr>
              <w:tabs>
                <w:tab w:val="left" w:pos="2955"/>
              </w:tabs>
              <w:jc w:val="both"/>
              <w:rPr>
                <w:rFonts w:ascii="Times New Roman" w:hAnsi="Times New Roman" w:cs="Times New Roman"/>
                <w:b/>
                <w:bCs/>
                <w:i/>
                <w:iCs/>
                <w:sz w:val="24"/>
                <w:szCs w:val="24"/>
              </w:rPr>
            </w:pPr>
            <w:r w:rsidRPr="001D417E">
              <w:rPr>
                <w:rFonts w:ascii="Arial" w:hAnsi="Arial" w:cs="Arial"/>
                <w:b/>
                <w:bCs/>
                <w:i/>
                <w:iCs/>
              </w:rPr>
              <w:t xml:space="preserve"> &lt; .001</w:t>
            </w:r>
          </w:p>
        </w:tc>
        <w:tc>
          <w:tcPr>
            <w:tcW w:w="2610" w:type="dxa"/>
            <w:vAlign w:val="center"/>
          </w:tcPr>
          <w:p w14:paraId="4AE7B7A7" w14:textId="4F5F6E61" w:rsidR="001D417E" w:rsidRPr="001D417E" w:rsidRDefault="001D417E" w:rsidP="001B2193">
            <w:pPr>
              <w:tabs>
                <w:tab w:val="left" w:pos="2955"/>
              </w:tabs>
              <w:jc w:val="both"/>
              <w:rPr>
                <w:rFonts w:ascii="Times New Roman" w:hAnsi="Times New Roman" w:cs="Times New Roman"/>
                <w:b/>
                <w:bCs/>
                <w:i/>
                <w:iCs/>
                <w:sz w:val="24"/>
                <w:szCs w:val="24"/>
              </w:rPr>
            </w:pPr>
            <w:r w:rsidRPr="001D417E">
              <w:rPr>
                <w:rFonts w:ascii="Arial" w:hAnsi="Arial" w:cs="Arial"/>
                <w:b/>
                <w:bCs/>
                <w:i/>
                <w:iCs/>
              </w:rPr>
              <w:t xml:space="preserve"> &lt; .001</w:t>
            </w:r>
          </w:p>
        </w:tc>
        <w:tc>
          <w:tcPr>
            <w:tcW w:w="2340" w:type="dxa"/>
            <w:vAlign w:val="center"/>
          </w:tcPr>
          <w:p w14:paraId="367D55AA" w14:textId="1B1A61D9" w:rsidR="001D417E" w:rsidRPr="001D417E" w:rsidRDefault="001D417E" w:rsidP="001B2193">
            <w:pPr>
              <w:tabs>
                <w:tab w:val="left" w:pos="2955"/>
              </w:tabs>
              <w:jc w:val="both"/>
              <w:rPr>
                <w:rFonts w:ascii="Times New Roman" w:hAnsi="Times New Roman" w:cs="Times New Roman"/>
                <w:b/>
                <w:bCs/>
                <w:i/>
                <w:iCs/>
                <w:sz w:val="24"/>
                <w:szCs w:val="24"/>
              </w:rPr>
            </w:pPr>
            <w:r w:rsidRPr="001D417E">
              <w:rPr>
                <w:rFonts w:ascii="Arial" w:hAnsi="Arial" w:cs="Arial"/>
                <w:b/>
                <w:bCs/>
                <w:i/>
                <w:iCs/>
              </w:rPr>
              <w:t xml:space="preserve"> &lt; .001</w:t>
            </w:r>
          </w:p>
        </w:tc>
      </w:tr>
    </w:tbl>
    <w:p w14:paraId="484401B6" w14:textId="30729855" w:rsidR="00B56B02" w:rsidRDefault="00B56B02" w:rsidP="00225EDE">
      <w:pPr>
        <w:spacing w:after="0"/>
        <w:rPr>
          <w:rFonts w:ascii="Arial" w:hAnsi="Arial" w:cs="Arial"/>
        </w:rPr>
      </w:pPr>
      <w:r w:rsidRPr="00F4494C">
        <w:rPr>
          <w:rFonts w:ascii="Arial" w:hAnsi="Arial" w:cs="Arial"/>
        </w:rPr>
        <w:t>*P values: Conception rate (F</w:t>
      </w:r>
      <w:proofErr w:type="gramStart"/>
      <w:r w:rsidRPr="00F4494C">
        <w:rPr>
          <w:rFonts w:ascii="Cambria Math" w:hAnsi="Cambria Math" w:cs="Cambria Math"/>
        </w:rPr>
        <w:t>₆</w:t>
      </w:r>
      <w:r w:rsidRPr="00F4494C">
        <w:rPr>
          <w:rFonts w:ascii="Arial" w:hAnsi="Arial" w:cs="Arial"/>
        </w:rPr>
        <w:t>,</w:t>
      </w:r>
      <w:r w:rsidRPr="00F4494C">
        <w:rPr>
          <w:rFonts w:ascii="Cambria Math" w:hAnsi="Cambria Math" w:cs="Cambria Math"/>
        </w:rPr>
        <w:t>₆</w:t>
      </w:r>
      <w:proofErr w:type="gramEnd"/>
      <w:r w:rsidRPr="00F4494C">
        <w:rPr>
          <w:rFonts w:ascii="Cambria Math" w:hAnsi="Cambria Math" w:cs="Cambria Math"/>
        </w:rPr>
        <w:t>₁</w:t>
      </w:r>
      <w:r w:rsidRPr="00F4494C">
        <w:rPr>
          <w:rFonts w:ascii="Arial" w:hAnsi="Arial" w:cs="Arial"/>
        </w:rPr>
        <w:t xml:space="preserve"> = 12.4, P &lt; .001), Services per conception (F</w:t>
      </w:r>
      <w:proofErr w:type="gramStart"/>
      <w:r w:rsidRPr="00F4494C">
        <w:rPr>
          <w:rFonts w:ascii="Cambria Math" w:hAnsi="Cambria Math" w:cs="Cambria Math"/>
        </w:rPr>
        <w:t>₆</w:t>
      </w:r>
      <w:r w:rsidRPr="00F4494C">
        <w:rPr>
          <w:rFonts w:ascii="Arial" w:hAnsi="Arial" w:cs="Arial"/>
        </w:rPr>
        <w:t>,</w:t>
      </w:r>
      <w:r w:rsidRPr="00F4494C">
        <w:rPr>
          <w:rFonts w:ascii="Cambria Math" w:hAnsi="Cambria Math" w:cs="Cambria Math"/>
        </w:rPr>
        <w:t>₆</w:t>
      </w:r>
      <w:proofErr w:type="gramEnd"/>
      <w:r w:rsidRPr="00F4494C">
        <w:rPr>
          <w:rFonts w:ascii="Cambria Math" w:hAnsi="Cambria Math" w:cs="Cambria Math"/>
        </w:rPr>
        <w:t>₁</w:t>
      </w:r>
      <w:r w:rsidRPr="00F4494C">
        <w:rPr>
          <w:rFonts w:ascii="Arial" w:hAnsi="Arial" w:cs="Arial"/>
        </w:rPr>
        <w:t xml:space="preserve"> = 8.7, P &lt; .001), Libido score (F</w:t>
      </w:r>
      <w:proofErr w:type="gramStart"/>
      <w:r w:rsidRPr="00F4494C">
        <w:rPr>
          <w:rFonts w:ascii="Cambria Math" w:hAnsi="Cambria Math" w:cs="Cambria Math"/>
        </w:rPr>
        <w:t>₆</w:t>
      </w:r>
      <w:r w:rsidRPr="00F4494C">
        <w:rPr>
          <w:rFonts w:ascii="Arial" w:hAnsi="Arial" w:cs="Arial"/>
        </w:rPr>
        <w:t>,</w:t>
      </w:r>
      <w:r w:rsidRPr="00F4494C">
        <w:rPr>
          <w:rFonts w:ascii="Cambria Math" w:hAnsi="Cambria Math" w:cs="Cambria Math"/>
        </w:rPr>
        <w:t>₆</w:t>
      </w:r>
      <w:proofErr w:type="gramEnd"/>
      <w:r w:rsidRPr="00F4494C">
        <w:rPr>
          <w:rFonts w:ascii="Cambria Math" w:hAnsi="Cambria Math" w:cs="Cambria Math"/>
        </w:rPr>
        <w:t>₁</w:t>
      </w:r>
      <w:r w:rsidRPr="00F4494C">
        <w:rPr>
          <w:rFonts w:ascii="Arial" w:hAnsi="Arial" w:cs="Arial"/>
        </w:rPr>
        <w:t xml:space="preserve"> = 18.9, P &lt; .001). Different superscript letters within columns indicate significant differences (P &lt; .05).</w:t>
      </w:r>
    </w:p>
    <w:p w14:paraId="4675CBB8" w14:textId="77777777" w:rsidR="00225EDE" w:rsidRPr="00F4494C" w:rsidRDefault="00225EDE" w:rsidP="00225EDE">
      <w:pPr>
        <w:spacing w:after="0"/>
        <w:rPr>
          <w:rFonts w:ascii="Arial" w:hAnsi="Arial" w:cs="Arial"/>
        </w:rPr>
      </w:pPr>
    </w:p>
    <w:p w14:paraId="79AADBC7" w14:textId="26CEAEF8" w:rsidR="005671AF" w:rsidRPr="005671AF" w:rsidRDefault="005671AF" w:rsidP="009F7C14">
      <w:pPr>
        <w:pStyle w:val="Heading2"/>
      </w:pPr>
      <w:r w:rsidRPr="005671AF">
        <w:t>3.</w:t>
      </w:r>
      <w:r w:rsidR="002012D9">
        <w:t>7</w:t>
      </w:r>
      <w:r w:rsidRPr="005671AF">
        <w:t xml:space="preserve"> </w:t>
      </w:r>
      <w:r w:rsidR="004A675A" w:rsidRPr="005671AF">
        <w:t xml:space="preserve">Effects </w:t>
      </w:r>
      <w:r w:rsidR="004A675A">
        <w:t xml:space="preserve">of </w:t>
      </w:r>
      <w:r w:rsidRPr="005671AF">
        <w:t>Season and Environment</w:t>
      </w:r>
      <w:r w:rsidR="004A675A">
        <w:t xml:space="preserve"> on hormones </w:t>
      </w:r>
    </w:p>
    <w:p w14:paraId="2ABE58A8" w14:textId="1B637E87" w:rsid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 xml:space="preserve">Validation of normal hormonal development in tropical conditions </w:t>
      </w:r>
      <w:r w:rsidR="002B6081">
        <w:rPr>
          <w:rFonts w:ascii="Arial" w:hAnsi="Arial" w:cs="Arial"/>
          <w:sz w:val="20"/>
          <w:szCs w:val="20"/>
        </w:rPr>
        <w:t xml:space="preserve">of Ghana (Figure 1) </w:t>
      </w:r>
      <w:r w:rsidRPr="005671AF">
        <w:rPr>
          <w:rFonts w:ascii="Arial" w:hAnsi="Arial" w:cs="Arial"/>
          <w:sz w:val="20"/>
          <w:szCs w:val="20"/>
        </w:rPr>
        <w:t xml:space="preserve">answers critical questions regarding climate impact on reproductive endocrinology (Fraser et al., 2021; De </w:t>
      </w:r>
      <w:proofErr w:type="spellStart"/>
      <w:r w:rsidRPr="005671AF">
        <w:rPr>
          <w:rFonts w:ascii="Arial" w:hAnsi="Arial" w:cs="Arial"/>
          <w:sz w:val="20"/>
          <w:szCs w:val="20"/>
        </w:rPr>
        <w:t>Rensis</w:t>
      </w:r>
      <w:proofErr w:type="spellEnd"/>
      <w:r w:rsidRPr="005671AF">
        <w:rPr>
          <w:rFonts w:ascii="Arial" w:hAnsi="Arial" w:cs="Arial"/>
          <w:sz w:val="20"/>
          <w:szCs w:val="20"/>
        </w:rPr>
        <w:t xml:space="preserve"> &amp; Scaramuzzi, 2003). Heat stress also has been demonstrated to affect testosterone production by affecting Leydig cell performance and hypothalamic-pituitary regulation (Walters et al., 2019; Santos et al., 2021). The testosterone levels in this study fare relatively well with temperate climate reports, tending to indicate adaptation to tropical conditions in the study group (Palmer et al., 2020; Rodriguez-Martinez, 2018).</w:t>
      </w:r>
    </w:p>
    <w:p w14:paraId="191255CA" w14:textId="77777777" w:rsidR="000D0985" w:rsidRDefault="000D0985" w:rsidP="009F7C14">
      <w:pPr>
        <w:tabs>
          <w:tab w:val="left" w:pos="2955"/>
        </w:tabs>
        <w:spacing w:after="0" w:line="240" w:lineRule="auto"/>
        <w:jc w:val="both"/>
        <w:rPr>
          <w:rFonts w:ascii="Arial" w:hAnsi="Arial" w:cs="Arial"/>
          <w:sz w:val="20"/>
          <w:szCs w:val="20"/>
        </w:rPr>
      </w:pPr>
    </w:p>
    <w:p w14:paraId="2FCA5CBD" w14:textId="01548EC3" w:rsidR="004A675A" w:rsidRDefault="004A675A"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Seasonal fluctuation in testosterone levels with the peak in the minor rainy season and minimum in the dry season (15-20% variation)</w:t>
      </w:r>
      <w:r>
        <w:rPr>
          <w:rFonts w:ascii="Arial" w:hAnsi="Arial" w:cs="Arial"/>
          <w:sz w:val="20"/>
          <w:szCs w:val="20"/>
        </w:rPr>
        <w:t xml:space="preserve"> (Figure 1)</w:t>
      </w:r>
      <w:r w:rsidRPr="005671AF">
        <w:rPr>
          <w:rFonts w:ascii="Arial" w:hAnsi="Arial" w:cs="Arial"/>
          <w:sz w:val="20"/>
          <w:szCs w:val="20"/>
        </w:rPr>
        <w:t xml:space="preserve"> indicates the impact of environmental stressors on hormone production (Chenoweth, 2020; Prakash et al., 2021). The same seasonal variability in tropical and subtropical cattle has been observed by other researchers (Brito et al., 2020; Walsh et al., 2019). The relatively small extent of seasonal variation indicates maintenance of steady hormone production by healthy bulls even in the face of environmental challenges (Kastelic, 2019; Fraser et al., 2021).</w:t>
      </w:r>
    </w:p>
    <w:p w14:paraId="65E82EF1" w14:textId="77777777" w:rsidR="00515A4A" w:rsidRDefault="00515A4A" w:rsidP="009F7C14">
      <w:pPr>
        <w:tabs>
          <w:tab w:val="left" w:pos="2955"/>
        </w:tabs>
        <w:spacing w:after="0" w:line="240" w:lineRule="auto"/>
        <w:jc w:val="both"/>
        <w:rPr>
          <w:rFonts w:ascii="Arial" w:hAnsi="Arial" w:cs="Arial"/>
          <w:sz w:val="20"/>
          <w:szCs w:val="20"/>
        </w:rPr>
      </w:pPr>
    </w:p>
    <w:p w14:paraId="0377DCF9" w14:textId="2864F2DB" w:rsidR="00515A4A" w:rsidRPr="005671AF" w:rsidRDefault="00515A4A"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 xml:space="preserve">Environmental conditions such as temperature and humidity had low correlations with hormone levels (r = -0.18 for temperature and r = -0.12 for humidity), indicating stable hormone production in healthy bulls in the face of environmental adversity common in tropical dairy systems (Walters et al., 2019; Santos et al., </w:t>
      </w:r>
      <w:r w:rsidRPr="005671AF">
        <w:rPr>
          <w:rFonts w:ascii="Arial" w:hAnsi="Arial" w:cs="Arial"/>
          <w:sz w:val="20"/>
          <w:szCs w:val="20"/>
        </w:rPr>
        <w:lastRenderedPageBreak/>
        <w:t>2021). Well-managed bulls have been shown by studies by Rodriguez-Martinez (2018) and Prakash et al. (2021) to be able to sustain reproductive ability even under moderate levels of heat stress.</w:t>
      </w:r>
    </w:p>
    <w:p w14:paraId="62E6DA0F" w14:textId="3B0A3186" w:rsidR="00CA4404" w:rsidRDefault="00CA4404" w:rsidP="009F7C14">
      <w:pPr>
        <w:tabs>
          <w:tab w:val="left" w:pos="2955"/>
        </w:tabs>
        <w:spacing w:after="0" w:line="240" w:lineRule="auto"/>
        <w:jc w:val="both"/>
        <w:rPr>
          <w:rFonts w:ascii="Arial" w:hAnsi="Arial" w:cs="Arial"/>
          <w:sz w:val="20"/>
          <w:szCs w:val="20"/>
        </w:rPr>
      </w:pPr>
      <w:r>
        <w:rPr>
          <w:noProof/>
        </w:rPr>
        <w:drawing>
          <wp:inline distT="0" distB="0" distL="0" distR="0" wp14:anchorId="51EB35D7" wp14:editId="178CF209">
            <wp:extent cx="5943600" cy="44170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417060"/>
                    </a:xfrm>
                    <a:prstGeom prst="rect">
                      <a:avLst/>
                    </a:prstGeom>
                    <a:noFill/>
                    <a:ln>
                      <a:noFill/>
                    </a:ln>
                  </pic:spPr>
                </pic:pic>
              </a:graphicData>
            </a:graphic>
          </wp:inline>
        </w:drawing>
      </w:r>
    </w:p>
    <w:p w14:paraId="743C115D" w14:textId="2DAA04DD" w:rsidR="00880DCD" w:rsidRPr="00E86900" w:rsidRDefault="00CA4404" w:rsidP="009F7C14">
      <w:pPr>
        <w:tabs>
          <w:tab w:val="left" w:pos="2955"/>
        </w:tabs>
        <w:spacing w:after="0" w:line="240" w:lineRule="auto"/>
        <w:jc w:val="both"/>
        <w:rPr>
          <w:rFonts w:ascii="Arial" w:hAnsi="Arial" w:cs="Arial"/>
          <w:sz w:val="18"/>
          <w:szCs w:val="18"/>
        </w:rPr>
      </w:pPr>
      <w:r w:rsidRPr="00E86900">
        <w:rPr>
          <w:rFonts w:ascii="Arial" w:hAnsi="Arial" w:cs="Arial"/>
          <w:sz w:val="18"/>
          <w:szCs w:val="18"/>
        </w:rPr>
        <w:t xml:space="preserve">Figure 1: </w:t>
      </w:r>
      <w:r w:rsidR="004A675A" w:rsidRPr="005671AF">
        <w:t xml:space="preserve">Effects </w:t>
      </w:r>
      <w:r w:rsidR="004A675A">
        <w:t xml:space="preserve">of </w:t>
      </w:r>
      <w:r w:rsidR="004A675A" w:rsidRPr="005671AF">
        <w:t>Season and Environment</w:t>
      </w:r>
      <w:r w:rsidR="004A675A">
        <w:t xml:space="preserve"> on hormones </w:t>
      </w:r>
      <w:r w:rsidRPr="00E86900">
        <w:rPr>
          <w:rFonts w:ascii="Arial" w:hAnsi="Arial" w:cs="Arial"/>
          <w:sz w:val="18"/>
          <w:szCs w:val="18"/>
        </w:rPr>
        <w:t xml:space="preserve">in </w:t>
      </w:r>
      <w:r w:rsidR="004A675A">
        <w:rPr>
          <w:rFonts w:ascii="Arial" w:hAnsi="Arial" w:cs="Arial"/>
          <w:sz w:val="18"/>
          <w:szCs w:val="18"/>
        </w:rPr>
        <w:t xml:space="preserve">Ghanaian </w:t>
      </w:r>
      <w:r w:rsidRPr="00E86900">
        <w:rPr>
          <w:rFonts w:ascii="Arial" w:hAnsi="Arial" w:cs="Arial"/>
          <w:sz w:val="18"/>
          <w:szCs w:val="18"/>
        </w:rPr>
        <w:t>Tropical Systems</w:t>
      </w:r>
    </w:p>
    <w:p w14:paraId="2EA553CF" w14:textId="77777777" w:rsidR="00CA4404" w:rsidRDefault="00CA4404" w:rsidP="009F7C14">
      <w:pPr>
        <w:tabs>
          <w:tab w:val="left" w:pos="2955"/>
        </w:tabs>
        <w:spacing w:after="0" w:line="240" w:lineRule="auto"/>
        <w:jc w:val="both"/>
        <w:rPr>
          <w:rFonts w:ascii="Arial" w:hAnsi="Arial" w:cs="Arial"/>
          <w:sz w:val="20"/>
          <w:szCs w:val="20"/>
        </w:rPr>
      </w:pPr>
    </w:p>
    <w:p w14:paraId="6B850B0A" w14:textId="599E91C2" w:rsidR="005671AF" w:rsidRPr="005671AF" w:rsidRDefault="005671AF" w:rsidP="009F7C14">
      <w:pPr>
        <w:pStyle w:val="Heading2"/>
      </w:pPr>
      <w:r w:rsidRPr="005671AF">
        <w:t>3.</w:t>
      </w:r>
      <w:r w:rsidR="002012D9">
        <w:t>8</w:t>
      </w:r>
      <w:r w:rsidRPr="005671AF">
        <w:t xml:space="preserve"> Genetic Factors and Breed-Specific Issues</w:t>
      </w:r>
    </w:p>
    <w:p w14:paraId="6A057BFC" w14:textId="6DFD5C34" w:rsid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Genetic background had an impact on hormone levels with th</w:t>
      </w:r>
      <w:r w:rsidRPr="00DA256D">
        <w:rPr>
          <w:rFonts w:ascii="Arial" w:hAnsi="Arial" w:cs="Arial"/>
          <w:sz w:val="20"/>
          <w:szCs w:val="20"/>
        </w:rPr>
        <w:t>e</w:t>
      </w:r>
      <w:r w:rsidRPr="005671AF">
        <w:rPr>
          <w:rFonts w:ascii="Arial" w:hAnsi="Arial" w:cs="Arial"/>
          <w:sz w:val="20"/>
          <w:szCs w:val="20"/>
        </w:rPr>
        <w:t xml:space="preserve"> Friesian-Sanga crosses having intermediate levels between the indigenous Sanga bulls (more testosterone) and the Jersey bulls (less testosterone)</w:t>
      </w:r>
      <w:r w:rsidR="005F0B5E">
        <w:rPr>
          <w:rFonts w:ascii="Arial" w:hAnsi="Arial" w:cs="Arial"/>
          <w:sz w:val="20"/>
          <w:szCs w:val="20"/>
        </w:rPr>
        <w:t xml:space="preserve"> (Figure 2)</w:t>
      </w:r>
      <w:r w:rsidRPr="005671AF">
        <w:rPr>
          <w:rFonts w:ascii="Arial" w:hAnsi="Arial" w:cs="Arial"/>
          <w:sz w:val="20"/>
          <w:szCs w:val="20"/>
        </w:rPr>
        <w:t>, aligning with work by Santos et al. (2021) and by Rodriguez-Martinez (2018). Nevertheless, chronological age-related patterns were consistent in the different groups, suggesting chronological age as the major driver of hormone profiles in spite of breeding composition (Brito et al., 2020; Palmer et al., 2020).</w:t>
      </w:r>
    </w:p>
    <w:p w14:paraId="3AC34AA6" w14:textId="77777777" w:rsidR="000D0985" w:rsidRPr="005671AF" w:rsidRDefault="000D0985" w:rsidP="009F7C14">
      <w:pPr>
        <w:tabs>
          <w:tab w:val="left" w:pos="2955"/>
        </w:tabs>
        <w:spacing w:after="0" w:line="240" w:lineRule="auto"/>
        <w:jc w:val="both"/>
        <w:rPr>
          <w:rFonts w:ascii="Arial" w:hAnsi="Arial" w:cs="Arial"/>
          <w:sz w:val="20"/>
          <w:szCs w:val="20"/>
        </w:rPr>
      </w:pPr>
    </w:p>
    <w:p w14:paraId="6F726E67" w14:textId="77777777" w:rsid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Research by Walters et al. (2019) and Chenoweth (2020) has charted differences in the production of testosterone between breeds, with Bos indicus breeds tending to register 10-25% higher levels than Bos taurus breeds. Such genetic influences may be relevant in breeding soundness evaluation protocol design in breeding programs with tropical dairy systems (Kastelic, 2019; Prakash et al., 2021). Investigation by Walsh et al. (2019) and Fraser et al. (2021) indicates hybrid vigor in bulls from crossbreeding may prolong peak reproductive performance in contrast with purebred animals.</w:t>
      </w:r>
    </w:p>
    <w:p w14:paraId="19935B05" w14:textId="77777777" w:rsidR="000D0985" w:rsidRPr="005671AF" w:rsidRDefault="000D0985" w:rsidP="009F7C14">
      <w:pPr>
        <w:tabs>
          <w:tab w:val="left" w:pos="2955"/>
        </w:tabs>
        <w:spacing w:after="0" w:line="240" w:lineRule="auto"/>
        <w:jc w:val="both"/>
        <w:rPr>
          <w:rFonts w:ascii="Arial" w:hAnsi="Arial" w:cs="Arial"/>
          <w:sz w:val="20"/>
          <w:szCs w:val="20"/>
        </w:rPr>
      </w:pPr>
    </w:p>
    <w:p w14:paraId="140248ED" w14:textId="77777777" w:rsid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Friesian-Sanga crossbreds in this study had testosterone levels averaging 12% higher than those of Jersey bulls but 8% below those of native Sanga bulls in all age groups in accordance with the middle hybrid trait (Santos et al., 2021; Rodriguez-Martinez, 2018). The trend confirms the employment of crossbreeding techniques to enhance reproductive performance while ensuring tropical adaptability (Brito et al., 2020; Palmer et al., 2020).</w:t>
      </w:r>
    </w:p>
    <w:p w14:paraId="2B0CFB71" w14:textId="77777777" w:rsidR="0089590B" w:rsidRDefault="0089590B" w:rsidP="009F7C14">
      <w:pPr>
        <w:tabs>
          <w:tab w:val="left" w:pos="2955"/>
        </w:tabs>
        <w:spacing w:after="0" w:line="240" w:lineRule="auto"/>
        <w:jc w:val="both"/>
        <w:rPr>
          <w:rFonts w:ascii="Arial" w:hAnsi="Arial" w:cs="Arial"/>
          <w:sz w:val="20"/>
          <w:szCs w:val="20"/>
        </w:rPr>
      </w:pPr>
    </w:p>
    <w:p w14:paraId="0858F5B1" w14:textId="77777777" w:rsidR="0089590B" w:rsidRDefault="0089590B" w:rsidP="009F7C14">
      <w:pPr>
        <w:tabs>
          <w:tab w:val="left" w:pos="2955"/>
        </w:tabs>
        <w:spacing w:after="0" w:line="240" w:lineRule="auto"/>
        <w:jc w:val="both"/>
        <w:rPr>
          <w:rFonts w:ascii="Arial" w:hAnsi="Arial" w:cs="Arial"/>
          <w:sz w:val="20"/>
          <w:szCs w:val="20"/>
        </w:rPr>
      </w:pPr>
    </w:p>
    <w:p w14:paraId="3A239381" w14:textId="77777777" w:rsidR="00DA256D" w:rsidRDefault="00DA256D" w:rsidP="009F7C14">
      <w:pPr>
        <w:tabs>
          <w:tab w:val="left" w:pos="2955"/>
        </w:tabs>
        <w:spacing w:after="0" w:line="240" w:lineRule="auto"/>
        <w:jc w:val="both"/>
        <w:rPr>
          <w:rFonts w:ascii="Arial" w:hAnsi="Arial" w:cs="Arial"/>
          <w:sz w:val="20"/>
          <w:szCs w:val="20"/>
        </w:rPr>
      </w:pPr>
    </w:p>
    <w:p w14:paraId="52169817" w14:textId="311A332A" w:rsidR="00DA256D" w:rsidRPr="005671AF" w:rsidRDefault="00DA256D" w:rsidP="009F7C14">
      <w:pPr>
        <w:tabs>
          <w:tab w:val="left" w:pos="2955"/>
        </w:tabs>
        <w:spacing w:after="0" w:line="240" w:lineRule="auto"/>
        <w:jc w:val="both"/>
        <w:rPr>
          <w:rFonts w:ascii="Arial" w:hAnsi="Arial" w:cs="Arial"/>
          <w:sz w:val="20"/>
          <w:szCs w:val="20"/>
        </w:rPr>
      </w:pPr>
      <w:r>
        <w:rPr>
          <w:noProof/>
        </w:rPr>
        <w:drawing>
          <wp:inline distT="0" distB="0" distL="0" distR="0" wp14:anchorId="73FF6AC7" wp14:editId="5879ED02">
            <wp:extent cx="5943600" cy="44170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17060"/>
                    </a:xfrm>
                    <a:prstGeom prst="rect">
                      <a:avLst/>
                    </a:prstGeom>
                    <a:noFill/>
                    <a:ln>
                      <a:noFill/>
                    </a:ln>
                  </pic:spPr>
                </pic:pic>
              </a:graphicData>
            </a:graphic>
          </wp:inline>
        </w:drawing>
      </w:r>
    </w:p>
    <w:p w14:paraId="36B467F7" w14:textId="38ED411C" w:rsidR="005671AF" w:rsidRPr="00E86900" w:rsidRDefault="005F0B5E" w:rsidP="009F7C14">
      <w:pPr>
        <w:tabs>
          <w:tab w:val="left" w:pos="2955"/>
        </w:tabs>
        <w:spacing w:after="0" w:line="240" w:lineRule="auto"/>
        <w:jc w:val="both"/>
        <w:rPr>
          <w:rFonts w:ascii="Arial" w:hAnsi="Arial" w:cs="Arial"/>
          <w:sz w:val="18"/>
          <w:szCs w:val="18"/>
        </w:rPr>
      </w:pPr>
      <w:r w:rsidRPr="00E86900">
        <w:rPr>
          <w:rFonts w:ascii="Arial" w:hAnsi="Arial" w:cs="Arial"/>
          <w:sz w:val="18"/>
          <w:szCs w:val="18"/>
        </w:rPr>
        <w:t>Figure 2: Genetic Factors and Breed-Specific Issues</w:t>
      </w:r>
    </w:p>
    <w:p w14:paraId="4F5D6B84" w14:textId="77777777" w:rsidR="005F0B5E" w:rsidRPr="005671AF" w:rsidRDefault="005F0B5E" w:rsidP="009F7C14">
      <w:pPr>
        <w:tabs>
          <w:tab w:val="left" w:pos="2955"/>
        </w:tabs>
        <w:spacing w:after="0" w:line="240" w:lineRule="auto"/>
        <w:jc w:val="both"/>
        <w:rPr>
          <w:rFonts w:ascii="Arial" w:hAnsi="Arial" w:cs="Arial"/>
          <w:sz w:val="20"/>
          <w:szCs w:val="20"/>
        </w:rPr>
      </w:pPr>
    </w:p>
    <w:p w14:paraId="42054D97" w14:textId="563A3910" w:rsidR="005671AF" w:rsidRPr="005671AF" w:rsidRDefault="005671AF" w:rsidP="009F7C14">
      <w:pPr>
        <w:pStyle w:val="Heading2"/>
      </w:pPr>
      <w:r w:rsidRPr="005671AF">
        <w:t>3.</w:t>
      </w:r>
      <w:r w:rsidR="002012D9">
        <w:t>9</w:t>
      </w:r>
      <w:r w:rsidRPr="005671AF">
        <w:t xml:space="preserve"> Practical Applications for Clinical Implementation</w:t>
      </w:r>
    </w:p>
    <w:p w14:paraId="607E720B" w14:textId="77777777" w:rsidR="005671AF" w:rsidRP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The development of reference ranges based on age offers useful baseline information with which to interpret results of hormone assessment in a clinical setting (Table 5). Bulls with testosterone levels below the 10th percentile for the respective age group may be evaluated for potential and removed from breeding programs, while those in excess of the 90th percentile indicate prime breeding stock (Barth &amp; Oko, 2019; Kastelic, 2019).</w:t>
      </w:r>
    </w:p>
    <w:p w14:paraId="6DEA082E" w14:textId="77777777" w:rsidR="005671AF" w:rsidRPr="005671AF" w:rsidRDefault="005671AF" w:rsidP="009F7C14">
      <w:pPr>
        <w:tabs>
          <w:tab w:val="left" w:pos="2955"/>
        </w:tabs>
        <w:spacing w:after="0" w:line="240" w:lineRule="auto"/>
        <w:jc w:val="both"/>
        <w:rPr>
          <w:rFonts w:ascii="Arial" w:hAnsi="Arial" w:cs="Arial"/>
          <w:sz w:val="20"/>
          <w:szCs w:val="20"/>
        </w:rPr>
      </w:pPr>
    </w:p>
    <w:p w14:paraId="4648B409" w14:textId="77777777" w:rsidR="005671AF" w:rsidRP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Table 5. Proposed Reference Ranges for Breeding Soundness Evaluation</w:t>
      </w:r>
    </w:p>
    <w:tbl>
      <w:tblPr>
        <w:tblStyle w:val="TableGrid"/>
        <w:tblW w:w="885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419"/>
        <w:gridCol w:w="1237"/>
        <w:gridCol w:w="1233"/>
        <w:gridCol w:w="1252"/>
        <w:gridCol w:w="1237"/>
        <w:gridCol w:w="1233"/>
      </w:tblGrid>
      <w:tr w:rsidR="002012D9" w14:paraId="1297BB91" w14:textId="77777777" w:rsidTr="009E2763">
        <w:tc>
          <w:tcPr>
            <w:tcW w:w="1243" w:type="dxa"/>
            <w:tcBorders>
              <w:top w:val="single" w:sz="4" w:space="0" w:color="auto"/>
              <w:bottom w:val="single" w:sz="4" w:space="0" w:color="auto"/>
            </w:tcBorders>
            <w:vAlign w:val="center"/>
          </w:tcPr>
          <w:p w14:paraId="29C47EAA" w14:textId="120AD732" w:rsidR="002012D9" w:rsidRDefault="002012D9" w:rsidP="009F7C14">
            <w:pPr>
              <w:tabs>
                <w:tab w:val="left" w:pos="2955"/>
              </w:tabs>
              <w:jc w:val="both"/>
              <w:rPr>
                <w:rFonts w:ascii="Arial" w:hAnsi="Arial" w:cs="Arial"/>
                <w:sz w:val="20"/>
                <w:szCs w:val="20"/>
              </w:rPr>
            </w:pPr>
            <w:r w:rsidRPr="00564311">
              <w:rPr>
                <w:b/>
                <w:bCs/>
              </w:rPr>
              <w:t>Age Group</w:t>
            </w:r>
          </w:p>
        </w:tc>
        <w:tc>
          <w:tcPr>
            <w:tcW w:w="3889" w:type="dxa"/>
            <w:gridSpan w:val="3"/>
            <w:tcBorders>
              <w:top w:val="single" w:sz="4" w:space="0" w:color="auto"/>
              <w:bottom w:val="single" w:sz="4" w:space="0" w:color="auto"/>
            </w:tcBorders>
            <w:vAlign w:val="center"/>
          </w:tcPr>
          <w:p w14:paraId="49674E46" w14:textId="6D362746" w:rsidR="002012D9" w:rsidRDefault="002012D9" w:rsidP="009F7C14">
            <w:pPr>
              <w:tabs>
                <w:tab w:val="left" w:pos="2955"/>
              </w:tabs>
              <w:jc w:val="center"/>
              <w:rPr>
                <w:rFonts w:ascii="Arial" w:hAnsi="Arial" w:cs="Arial"/>
                <w:sz w:val="20"/>
                <w:szCs w:val="20"/>
              </w:rPr>
            </w:pPr>
            <w:r w:rsidRPr="00564311">
              <w:rPr>
                <w:b/>
                <w:bCs/>
              </w:rPr>
              <w:t>Testosterone (ng/mL)</w:t>
            </w:r>
          </w:p>
        </w:tc>
        <w:tc>
          <w:tcPr>
            <w:tcW w:w="3722" w:type="dxa"/>
            <w:gridSpan w:val="3"/>
            <w:tcBorders>
              <w:top w:val="single" w:sz="4" w:space="0" w:color="auto"/>
              <w:bottom w:val="single" w:sz="4" w:space="0" w:color="auto"/>
            </w:tcBorders>
            <w:vAlign w:val="center"/>
          </w:tcPr>
          <w:p w14:paraId="1E8B4469" w14:textId="11177CA1" w:rsidR="002012D9" w:rsidRDefault="002012D9" w:rsidP="009F7C14">
            <w:pPr>
              <w:tabs>
                <w:tab w:val="left" w:pos="2955"/>
              </w:tabs>
              <w:jc w:val="center"/>
              <w:rPr>
                <w:rFonts w:ascii="Arial" w:hAnsi="Arial" w:cs="Arial"/>
                <w:sz w:val="20"/>
                <w:szCs w:val="20"/>
              </w:rPr>
            </w:pPr>
            <w:proofErr w:type="spellStart"/>
            <w:r w:rsidRPr="00564311">
              <w:rPr>
                <w:b/>
                <w:bCs/>
              </w:rPr>
              <w:t>Oestradiol</w:t>
            </w:r>
            <w:proofErr w:type="spellEnd"/>
            <w:r w:rsidRPr="00564311">
              <w:rPr>
                <w:b/>
                <w:bCs/>
              </w:rPr>
              <w:t xml:space="preserve"> (</w:t>
            </w:r>
            <w:proofErr w:type="spellStart"/>
            <w:r w:rsidRPr="00564311">
              <w:rPr>
                <w:b/>
                <w:bCs/>
              </w:rPr>
              <w:t>pg</w:t>
            </w:r>
            <w:proofErr w:type="spellEnd"/>
            <w:r w:rsidRPr="00564311">
              <w:rPr>
                <w:b/>
                <w:bCs/>
              </w:rPr>
              <w:t>/mL)</w:t>
            </w:r>
          </w:p>
        </w:tc>
      </w:tr>
      <w:tr w:rsidR="002012D9" w14:paraId="7F96CCF5" w14:textId="77777777" w:rsidTr="009E2763">
        <w:tc>
          <w:tcPr>
            <w:tcW w:w="1243" w:type="dxa"/>
            <w:tcBorders>
              <w:top w:val="single" w:sz="4" w:space="0" w:color="auto"/>
            </w:tcBorders>
            <w:vAlign w:val="center"/>
          </w:tcPr>
          <w:p w14:paraId="36C15974" w14:textId="77777777" w:rsidR="002012D9" w:rsidRDefault="002012D9" w:rsidP="009F7C14">
            <w:pPr>
              <w:tabs>
                <w:tab w:val="left" w:pos="2955"/>
              </w:tabs>
              <w:jc w:val="both"/>
              <w:rPr>
                <w:rFonts w:ascii="Arial" w:hAnsi="Arial" w:cs="Arial"/>
                <w:sz w:val="20"/>
                <w:szCs w:val="20"/>
              </w:rPr>
            </w:pPr>
          </w:p>
        </w:tc>
        <w:tc>
          <w:tcPr>
            <w:tcW w:w="1419" w:type="dxa"/>
            <w:tcBorders>
              <w:top w:val="single" w:sz="4" w:space="0" w:color="auto"/>
            </w:tcBorders>
            <w:vAlign w:val="center"/>
          </w:tcPr>
          <w:p w14:paraId="32917795" w14:textId="22AADBA3" w:rsidR="002012D9" w:rsidRDefault="002012D9" w:rsidP="009F7C14">
            <w:pPr>
              <w:tabs>
                <w:tab w:val="left" w:pos="2955"/>
              </w:tabs>
              <w:jc w:val="both"/>
              <w:rPr>
                <w:rFonts w:ascii="Arial" w:hAnsi="Arial" w:cs="Arial"/>
                <w:sz w:val="20"/>
                <w:szCs w:val="20"/>
              </w:rPr>
            </w:pPr>
            <w:r w:rsidRPr="00564311">
              <w:t>10th %</w:t>
            </w:r>
            <w:proofErr w:type="spellStart"/>
            <w:r w:rsidRPr="00564311">
              <w:t>ile</w:t>
            </w:r>
            <w:proofErr w:type="spellEnd"/>
          </w:p>
        </w:tc>
        <w:tc>
          <w:tcPr>
            <w:tcW w:w="1237" w:type="dxa"/>
            <w:tcBorders>
              <w:top w:val="single" w:sz="4" w:space="0" w:color="auto"/>
            </w:tcBorders>
            <w:vAlign w:val="center"/>
          </w:tcPr>
          <w:p w14:paraId="11A54AB3" w14:textId="0FB8C0DA" w:rsidR="002012D9" w:rsidRDefault="002012D9" w:rsidP="009F7C14">
            <w:pPr>
              <w:tabs>
                <w:tab w:val="left" w:pos="2955"/>
              </w:tabs>
              <w:jc w:val="both"/>
              <w:rPr>
                <w:rFonts w:ascii="Arial" w:hAnsi="Arial" w:cs="Arial"/>
                <w:sz w:val="20"/>
                <w:szCs w:val="20"/>
              </w:rPr>
            </w:pPr>
            <w:r w:rsidRPr="00564311">
              <w:t>Mean</w:t>
            </w:r>
          </w:p>
        </w:tc>
        <w:tc>
          <w:tcPr>
            <w:tcW w:w="1233" w:type="dxa"/>
            <w:tcBorders>
              <w:top w:val="single" w:sz="4" w:space="0" w:color="auto"/>
            </w:tcBorders>
            <w:vAlign w:val="center"/>
          </w:tcPr>
          <w:p w14:paraId="0D2F7804" w14:textId="3DCB2D5C" w:rsidR="002012D9" w:rsidRDefault="002012D9" w:rsidP="009F7C14">
            <w:pPr>
              <w:tabs>
                <w:tab w:val="left" w:pos="2955"/>
              </w:tabs>
              <w:jc w:val="both"/>
              <w:rPr>
                <w:rFonts w:ascii="Arial" w:hAnsi="Arial" w:cs="Arial"/>
                <w:sz w:val="20"/>
                <w:szCs w:val="20"/>
              </w:rPr>
            </w:pPr>
            <w:r w:rsidRPr="00564311">
              <w:t>90th %</w:t>
            </w:r>
            <w:proofErr w:type="spellStart"/>
            <w:r w:rsidRPr="00564311">
              <w:t>ile</w:t>
            </w:r>
            <w:proofErr w:type="spellEnd"/>
          </w:p>
        </w:tc>
        <w:tc>
          <w:tcPr>
            <w:tcW w:w="1252" w:type="dxa"/>
            <w:tcBorders>
              <w:top w:val="single" w:sz="4" w:space="0" w:color="auto"/>
            </w:tcBorders>
            <w:vAlign w:val="center"/>
          </w:tcPr>
          <w:p w14:paraId="711BF3C3" w14:textId="3697E4CF" w:rsidR="002012D9" w:rsidRDefault="002012D9" w:rsidP="009F7C14">
            <w:pPr>
              <w:tabs>
                <w:tab w:val="left" w:pos="2955"/>
              </w:tabs>
              <w:jc w:val="both"/>
              <w:rPr>
                <w:rFonts w:ascii="Arial" w:hAnsi="Arial" w:cs="Arial"/>
                <w:sz w:val="20"/>
                <w:szCs w:val="20"/>
              </w:rPr>
            </w:pPr>
            <w:r w:rsidRPr="00564311">
              <w:t>10th %</w:t>
            </w:r>
            <w:proofErr w:type="spellStart"/>
            <w:r w:rsidRPr="00564311">
              <w:t>ile</w:t>
            </w:r>
            <w:proofErr w:type="spellEnd"/>
          </w:p>
        </w:tc>
        <w:tc>
          <w:tcPr>
            <w:tcW w:w="1237" w:type="dxa"/>
            <w:tcBorders>
              <w:top w:val="single" w:sz="4" w:space="0" w:color="auto"/>
            </w:tcBorders>
            <w:vAlign w:val="center"/>
          </w:tcPr>
          <w:p w14:paraId="58637686" w14:textId="7C31B07D" w:rsidR="002012D9" w:rsidRDefault="002012D9" w:rsidP="009F7C14">
            <w:pPr>
              <w:tabs>
                <w:tab w:val="left" w:pos="2955"/>
              </w:tabs>
              <w:jc w:val="both"/>
              <w:rPr>
                <w:rFonts w:ascii="Arial" w:hAnsi="Arial" w:cs="Arial"/>
                <w:sz w:val="20"/>
                <w:szCs w:val="20"/>
              </w:rPr>
            </w:pPr>
            <w:r w:rsidRPr="00564311">
              <w:t>Mean</w:t>
            </w:r>
          </w:p>
        </w:tc>
        <w:tc>
          <w:tcPr>
            <w:tcW w:w="1233" w:type="dxa"/>
            <w:tcBorders>
              <w:top w:val="single" w:sz="4" w:space="0" w:color="auto"/>
            </w:tcBorders>
            <w:vAlign w:val="center"/>
          </w:tcPr>
          <w:p w14:paraId="7AC6E817" w14:textId="194C9CB4" w:rsidR="002012D9" w:rsidRDefault="002012D9" w:rsidP="009F7C14">
            <w:pPr>
              <w:tabs>
                <w:tab w:val="left" w:pos="2955"/>
              </w:tabs>
              <w:jc w:val="both"/>
              <w:rPr>
                <w:rFonts w:ascii="Arial" w:hAnsi="Arial" w:cs="Arial"/>
                <w:sz w:val="20"/>
                <w:szCs w:val="20"/>
              </w:rPr>
            </w:pPr>
            <w:r w:rsidRPr="00564311">
              <w:t>90th %</w:t>
            </w:r>
            <w:proofErr w:type="spellStart"/>
            <w:r w:rsidRPr="00564311">
              <w:t>ile</w:t>
            </w:r>
            <w:proofErr w:type="spellEnd"/>
          </w:p>
        </w:tc>
      </w:tr>
      <w:tr w:rsidR="002012D9" w14:paraId="26708488" w14:textId="77777777" w:rsidTr="009E2763">
        <w:tc>
          <w:tcPr>
            <w:tcW w:w="1243" w:type="dxa"/>
            <w:vAlign w:val="center"/>
          </w:tcPr>
          <w:p w14:paraId="365C8A37" w14:textId="2B247172" w:rsidR="002012D9" w:rsidRDefault="002012D9" w:rsidP="009F7C14">
            <w:pPr>
              <w:tabs>
                <w:tab w:val="left" w:pos="2955"/>
              </w:tabs>
              <w:jc w:val="both"/>
              <w:rPr>
                <w:rFonts w:ascii="Arial" w:hAnsi="Arial" w:cs="Arial"/>
                <w:sz w:val="20"/>
                <w:szCs w:val="20"/>
              </w:rPr>
            </w:pPr>
            <w:r w:rsidRPr="00564311">
              <w:t>6 months</w:t>
            </w:r>
          </w:p>
        </w:tc>
        <w:tc>
          <w:tcPr>
            <w:tcW w:w="1419" w:type="dxa"/>
            <w:vAlign w:val="center"/>
          </w:tcPr>
          <w:p w14:paraId="172F2C8F" w14:textId="3020E3E7" w:rsidR="002012D9" w:rsidRDefault="002012D9" w:rsidP="009F7C14">
            <w:pPr>
              <w:tabs>
                <w:tab w:val="left" w:pos="2955"/>
              </w:tabs>
              <w:jc w:val="both"/>
              <w:rPr>
                <w:rFonts w:ascii="Arial" w:hAnsi="Arial" w:cs="Arial"/>
                <w:sz w:val="20"/>
                <w:szCs w:val="20"/>
              </w:rPr>
            </w:pPr>
            <w:r w:rsidRPr="00564311">
              <w:t>0.9</w:t>
            </w:r>
          </w:p>
        </w:tc>
        <w:tc>
          <w:tcPr>
            <w:tcW w:w="1237" w:type="dxa"/>
            <w:vAlign w:val="center"/>
          </w:tcPr>
          <w:p w14:paraId="07CD35DB" w14:textId="78D3E550" w:rsidR="002012D9" w:rsidRDefault="002012D9" w:rsidP="009F7C14">
            <w:pPr>
              <w:tabs>
                <w:tab w:val="left" w:pos="2955"/>
              </w:tabs>
              <w:jc w:val="both"/>
              <w:rPr>
                <w:rFonts w:ascii="Arial" w:hAnsi="Arial" w:cs="Arial"/>
                <w:sz w:val="20"/>
                <w:szCs w:val="20"/>
              </w:rPr>
            </w:pPr>
            <w:r w:rsidRPr="00564311">
              <w:t>1.2</w:t>
            </w:r>
          </w:p>
        </w:tc>
        <w:tc>
          <w:tcPr>
            <w:tcW w:w="1233" w:type="dxa"/>
            <w:vAlign w:val="center"/>
          </w:tcPr>
          <w:p w14:paraId="6697C61B" w14:textId="74112A71" w:rsidR="002012D9" w:rsidRDefault="002012D9" w:rsidP="009F7C14">
            <w:pPr>
              <w:tabs>
                <w:tab w:val="left" w:pos="2955"/>
              </w:tabs>
              <w:jc w:val="both"/>
              <w:rPr>
                <w:rFonts w:ascii="Arial" w:hAnsi="Arial" w:cs="Arial"/>
                <w:sz w:val="20"/>
                <w:szCs w:val="20"/>
              </w:rPr>
            </w:pPr>
            <w:r w:rsidRPr="00564311">
              <w:t>1.6</w:t>
            </w:r>
          </w:p>
        </w:tc>
        <w:tc>
          <w:tcPr>
            <w:tcW w:w="1252" w:type="dxa"/>
            <w:vAlign w:val="center"/>
          </w:tcPr>
          <w:p w14:paraId="6797F8CF" w14:textId="51961EF8" w:rsidR="002012D9" w:rsidRDefault="002012D9" w:rsidP="009F7C14">
            <w:pPr>
              <w:tabs>
                <w:tab w:val="left" w:pos="2955"/>
              </w:tabs>
              <w:jc w:val="both"/>
              <w:rPr>
                <w:rFonts w:ascii="Arial" w:hAnsi="Arial" w:cs="Arial"/>
                <w:sz w:val="20"/>
                <w:szCs w:val="20"/>
              </w:rPr>
            </w:pPr>
            <w:r w:rsidRPr="00564311">
              <w:t>16.2</w:t>
            </w:r>
          </w:p>
        </w:tc>
        <w:tc>
          <w:tcPr>
            <w:tcW w:w="1237" w:type="dxa"/>
            <w:vAlign w:val="center"/>
          </w:tcPr>
          <w:p w14:paraId="4C3118D5" w14:textId="072EFBEB" w:rsidR="002012D9" w:rsidRDefault="002012D9" w:rsidP="009F7C14">
            <w:pPr>
              <w:tabs>
                <w:tab w:val="left" w:pos="2955"/>
              </w:tabs>
              <w:jc w:val="both"/>
              <w:rPr>
                <w:rFonts w:ascii="Arial" w:hAnsi="Arial" w:cs="Arial"/>
                <w:sz w:val="20"/>
                <w:szCs w:val="20"/>
              </w:rPr>
            </w:pPr>
            <w:r w:rsidRPr="00564311">
              <w:t>22.4</w:t>
            </w:r>
          </w:p>
        </w:tc>
        <w:tc>
          <w:tcPr>
            <w:tcW w:w="1233" w:type="dxa"/>
            <w:vAlign w:val="center"/>
          </w:tcPr>
          <w:p w14:paraId="129271FB" w14:textId="30832876" w:rsidR="002012D9" w:rsidRDefault="002012D9" w:rsidP="009F7C14">
            <w:pPr>
              <w:tabs>
                <w:tab w:val="left" w:pos="2955"/>
              </w:tabs>
              <w:jc w:val="both"/>
              <w:rPr>
                <w:rFonts w:ascii="Arial" w:hAnsi="Arial" w:cs="Arial"/>
                <w:sz w:val="20"/>
                <w:szCs w:val="20"/>
              </w:rPr>
            </w:pPr>
            <w:r w:rsidRPr="00564311">
              <w:t>28.6</w:t>
            </w:r>
          </w:p>
        </w:tc>
      </w:tr>
      <w:tr w:rsidR="002012D9" w14:paraId="4F6D0ECC" w14:textId="77777777" w:rsidTr="009E2763">
        <w:tc>
          <w:tcPr>
            <w:tcW w:w="1243" w:type="dxa"/>
            <w:vAlign w:val="center"/>
          </w:tcPr>
          <w:p w14:paraId="78D12A3D" w14:textId="32B3F249" w:rsidR="002012D9" w:rsidRDefault="002012D9" w:rsidP="009F7C14">
            <w:pPr>
              <w:tabs>
                <w:tab w:val="left" w:pos="2955"/>
              </w:tabs>
              <w:jc w:val="both"/>
              <w:rPr>
                <w:rFonts w:ascii="Arial" w:hAnsi="Arial" w:cs="Arial"/>
                <w:sz w:val="20"/>
                <w:szCs w:val="20"/>
              </w:rPr>
            </w:pPr>
            <w:r w:rsidRPr="00564311">
              <w:t>1 year</w:t>
            </w:r>
          </w:p>
        </w:tc>
        <w:tc>
          <w:tcPr>
            <w:tcW w:w="1419" w:type="dxa"/>
            <w:vAlign w:val="center"/>
          </w:tcPr>
          <w:p w14:paraId="0B4E6F48" w14:textId="3C62B5EF" w:rsidR="002012D9" w:rsidRDefault="002012D9" w:rsidP="009F7C14">
            <w:pPr>
              <w:tabs>
                <w:tab w:val="left" w:pos="2955"/>
              </w:tabs>
              <w:jc w:val="both"/>
              <w:rPr>
                <w:rFonts w:ascii="Arial" w:hAnsi="Arial" w:cs="Arial"/>
                <w:sz w:val="20"/>
                <w:szCs w:val="20"/>
              </w:rPr>
            </w:pPr>
            <w:r w:rsidRPr="00564311">
              <w:t>2.4</w:t>
            </w:r>
          </w:p>
        </w:tc>
        <w:tc>
          <w:tcPr>
            <w:tcW w:w="1237" w:type="dxa"/>
            <w:vAlign w:val="center"/>
          </w:tcPr>
          <w:p w14:paraId="5B0FE037" w14:textId="31EA5C61" w:rsidR="002012D9" w:rsidRDefault="002012D9" w:rsidP="009F7C14">
            <w:pPr>
              <w:tabs>
                <w:tab w:val="left" w:pos="2955"/>
              </w:tabs>
              <w:jc w:val="both"/>
              <w:rPr>
                <w:rFonts w:ascii="Arial" w:hAnsi="Arial" w:cs="Arial"/>
                <w:sz w:val="20"/>
                <w:szCs w:val="20"/>
              </w:rPr>
            </w:pPr>
            <w:r w:rsidRPr="00564311">
              <w:t>3.4</w:t>
            </w:r>
          </w:p>
        </w:tc>
        <w:tc>
          <w:tcPr>
            <w:tcW w:w="1233" w:type="dxa"/>
            <w:vAlign w:val="center"/>
          </w:tcPr>
          <w:p w14:paraId="0B198DA1" w14:textId="06E6C4D1" w:rsidR="002012D9" w:rsidRDefault="002012D9" w:rsidP="009F7C14">
            <w:pPr>
              <w:tabs>
                <w:tab w:val="left" w:pos="2955"/>
              </w:tabs>
              <w:jc w:val="both"/>
              <w:rPr>
                <w:rFonts w:ascii="Arial" w:hAnsi="Arial" w:cs="Arial"/>
                <w:sz w:val="20"/>
                <w:szCs w:val="20"/>
              </w:rPr>
            </w:pPr>
            <w:r w:rsidRPr="00564311">
              <w:t>4.8</w:t>
            </w:r>
          </w:p>
        </w:tc>
        <w:tc>
          <w:tcPr>
            <w:tcW w:w="1252" w:type="dxa"/>
            <w:vAlign w:val="center"/>
          </w:tcPr>
          <w:p w14:paraId="6E5AFF53" w14:textId="5E1935A7" w:rsidR="002012D9" w:rsidRDefault="002012D9" w:rsidP="009F7C14">
            <w:pPr>
              <w:tabs>
                <w:tab w:val="left" w:pos="2955"/>
              </w:tabs>
              <w:jc w:val="both"/>
              <w:rPr>
                <w:rFonts w:ascii="Arial" w:hAnsi="Arial" w:cs="Arial"/>
                <w:sz w:val="20"/>
                <w:szCs w:val="20"/>
              </w:rPr>
            </w:pPr>
            <w:r w:rsidRPr="00564311">
              <w:t>32.1</w:t>
            </w:r>
          </w:p>
        </w:tc>
        <w:tc>
          <w:tcPr>
            <w:tcW w:w="1237" w:type="dxa"/>
            <w:vAlign w:val="center"/>
          </w:tcPr>
          <w:p w14:paraId="340208F1" w14:textId="082C3C8F" w:rsidR="002012D9" w:rsidRDefault="002012D9" w:rsidP="009F7C14">
            <w:pPr>
              <w:tabs>
                <w:tab w:val="left" w:pos="2955"/>
              </w:tabs>
              <w:jc w:val="both"/>
              <w:rPr>
                <w:rFonts w:ascii="Arial" w:hAnsi="Arial" w:cs="Arial"/>
                <w:sz w:val="20"/>
                <w:szCs w:val="20"/>
              </w:rPr>
            </w:pPr>
            <w:r w:rsidRPr="00564311">
              <w:t>45.6</w:t>
            </w:r>
          </w:p>
        </w:tc>
        <w:tc>
          <w:tcPr>
            <w:tcW w:w="1233" w:type="dxa"/>
            <w:vAlign w:val="center"/>
          </w:tcPr>
          <w:p w14:paraId="4D1DCDB5" w14:textId="241BFB37" w:rsidR="002012D9" w:rsidRDefault="002012D9" w:rsidP="009F7C14">
            <w:pPr>
              <w:tabs>
                <w:tab w:val="left" w:pos="2955"/>
              </w:tabs>
              <w:jc w:val="both"/>
              <w:rPr>
                <w:rFonts w:ascii="Arial" w:hAnsi="Arial" w:cs="Arial"/>
                <w:sz w:val="20"/>
                <w:szCs w:val="20"/>
              </w:rPr>
            </w:pPr>
            <w:r w:rsidRPr="00564311">
              <w:t>59.1</w:t>
            </w:r>
          </w:p>
        </w:tc>
      </w:tr>
      <w:tr w:rsidR="002012D9" w14:paraId="7605B6F8" w14:textId="77777777" w:rsidTr="009E2763">
        <w:tc>
          <w:tcPr>
            <w:tcW w:w="1243" w:type="dxa"/>
            <w:vAlign w:val="center"/>
          </w:tcPr>
          <w:p w14:paraId="66E82831" w14:textId="60812879" w:rsidR="002012D9" w:rsidRDefault="002012D9" w:rsidP="009F7C14">
            <w:pPr>
              <w:tabs>
                <w:tab w:val="left" w:pos="2955"/>
              </w:tabs>
              <w:jc w:val="both"/>
              <w:rPr>
                <w:rFonts w:ascii="Arial" w:hAnsi="Arial" w:cs="Arial"/>
                <w:sz w:val="20"/>
                <w:szCs w:val="20"/>
              </w:rPr>
            </w:pPr>
            <w:r w:rsidRPr="00564311">
              <w:t>2 years</w:t>
            </w:r>
          </w:p>
        </w:tc>
        <w:tc>
          <w:tcPr>
            <w:tcW w:w="1419" w:type="dxa"/>
            <w:vAlign w:val="center"/>
          </w:tcPr>
          <w:p w14:paraId="735AC8B3" w14:textId="55FA8C56" w:rsidR="002012D9" w:rsidRDefault="002012D9" w:rsidP="009F7C14">
            <w:pPr>
              <w:tabs>
                <w:tab w:val="left" w:pos="2955"/>
              </w:tabs>
              <w:jc w:val="both"/>
              <w:rPr>
                <w:rFonts w:ascii="Arial" w:hAnsi="Arial" w:cs="Arial"/>
                <w:sz w:val="20"/>
                <w:szCs w:val="20"/>
              </w:rPr>
            </w:pPr>
            <w:r w:rsidRPr="00564311">
              <w:t>4.6</w:t>
            </w:r>
          </w:p>
        </w:tc>
        <w:tc>
          <w:tcPr>
            <w:tcW w:w="1237" w:type="dxa"/>
            <w:vAlign w:val="center"/>
          </w:tcPr>
          <w:p w14:paraId="7CD26041" w14:textId="07E6AC0B" w:rsidR="002012D9" w:rsidRDefault="002012D9" w:rsidP="009F7C14">
            <w:pPr>
              <w:tabs>
                <w:tab w:val="left" w:pos="2955"/>
              </w:tabs>
              <w:jc w:val="both"/>
              <w:rPr>
                <w:rFonts w:ascii="Arial" w:hAnsi="Arial" w:cs="Arial"/>
                <w:sz w:val="20"/>
                <w:szCs w:val="20"/>
              </w:rPr>
            </w:pPr>
            <w:r w:rsidRPr="00564311">
              <w:t>6.1</w:t>
            </w:r>
          </w:p>
        </w:tc>
        <w:tc>
          <w:tcPr>
            <w:tcW w:w="1233" w:type="dxa"/>
            <w:vAlign w:val="center"/>
          </w:tcPr>
          <w:p w14:paraId="2DC386BD" w14:textId="3762CB95" w:rsidR="002012D9" w:rsidRDefault="002012D9" w:rsidP="009F7C14">
            <w:pPr>
              <w:tabs>
                <w:tab w:val="left" w:pos="2955"/>
              </w:tabs>
              <w:jc w:val="both"/>
              <w:rPr>
                <w:rFonts w:ascii="Arial" w:hAnsi="Arial" w:cs="Arial"/>
                <w:sz w:val="20"/>
                <w:szCs w:val="20"/>
              </w:rPr>
            </w:pPr>
            <w:r w:rsidRPr="00564311">
              <w:t>8.1</w:t>
            </w:r>
          </w:p>
        </w:tc>
        <w:tc>
          <w:tcPr>
            <w:tcW w:w="1252" w:type="dxa"/>
            <w:vAlign w:val="center"/>
          </w:tcPr>
          <w:p w14:paraId="4114D481" w14:textId="6428E5B3" w:rsidR="002012D9" w:rsidRDefault="002012D9" w:rsidP="009F7C14">
            <w:pPr>
              <w:tabs>
                <w:tab w:val="left" w:pos="2955"/>
              </w:tabs>
              <w:jc w:val="both"/>
              <w:rPr>
                <w:rFonts w:ascii="Arial" w:hAnsi="Arial" w:cs="Arial"/>
                <w:sz w:val="20"/>
                <w:szCs w:val="20"/>
              </w:rPr>
            </w:pPr>
            <w:r w:rsidRPr="00564311">
              <w:t>17.3</w:t>
            </w:r>
          </w:p>
        </w:tc>
        <w:tc>
          <w:tcPr>
            <w:tcW w:w="1237" w:type="dxa"/>
            <w:vAlign w:val="center"/>
          </w:tcPr>
          <w:p w14:paraId="57293C84" w14:textId="1000E450" w:rsidR="002012D9" w:rsidRDefault="002012D9" w:rsidP="009F7C14">
            <w:pPr>
              <w:tabs>
                <w:tab w:val="left" w:pos="2955"/>
              </w:tabs>
              <w:jc w:val="both"/>
              <w:rPr>
                <w:rFonts w:ascii="Arial" w:hAnsi="Arial" w:cs="Arial"/>
                <w:sz w:val="20"/>
                <w:szCs w:val="20"/>
              </w:rPr>
            </w:pPr>
            <w:r w:rsidRPr="00564311">
              <w:t>24.7</w:t>
            </w:r>
          </w:p>
        </w:tc>
        <w:tc>
          <w:tcPr>
            <w:tcW w:w="1233" w:type="dxa"/>
            <w:vAlign w:val="center"/>
          </w:tcPr>
          <w:p w14:paraId="6403841E" w14:textId="0D439434" w:rsidR="002012D9" w:rsidRDefault="002012D9" w:rsidP="009F7C14">
            <w:pPr>
              <w:tabs>
                <w:tab w:val="left" w:pos="2955"/>
              </w:tabs>
              <w:jc w:val="both"/>
              <w:rPr>
                <w:rFonts w:ascii="Arial" w:hAnsi="Arial" w:cs="Arial"/>
                <w:sz w:val="20"/>
                <w:szCs w:val="20"/>
              </w:rPr>
            </w:pPr>
            <w:r w:rsidRPr="00564311">
              <w:t>32.1</w:t>
            </w:r>
          </w:p>
        </w:tc>
      </w:tr>
      <w:tr w:rsidR="002012D9" w14:paraId="795747D7" w14:textId="77777777" w:rsidTr="009E2763">
        <w:tc>
          <w:tcPr>
            <w:tcW w:w="1243" w:type="dxa"/>
            <w:vAlign w:val="center"/>
          </w:tcPr>
          <w:p w14:paraId="2400E3AE" w14:textId="749938C6" w:rsidR="002012D9" w:rsidRDefault="002012D9" w:rsidP="009F7C14">
            <w:pPr>
              <w:tabs>
                <w:tab w:val="left" w:pos="2955"/>
              </w:tabs>
              <w:jc w:val="both"/>
              <w:rPr>
                <w:rFonts w:ascii="Arial" w:hAnsi="Arial" w:cs="Arial"/>
                <w:sz w:val="20"/>
                <w:szCs w:val="20"/>
              </w:rPr>
            </w:pPr>
            <w:r w:rsidRPr="00564311">
              <w:t>3 years</w:t>
            </w:r>
          </w:p>
        </w:tc>
        <w:tc>
          <w:tcPr>
            <w:tcW w:w="1419" w:type="dxa"/>
            <w:vAlign w:val="center"/>
          </w:tcPr>
          <w:p w14:paraId="512B5510" w14:textId="3523F260" w:rsidR="002012D9" w:rsidRDefault="002012D9" w:rsidP="009F7C14">
            <w:pPr>
              <w:tabs>
                <w:tab w:val="left" w:pos="2955"/>
              </w:tabs>
              <w:jc w:val="both"/>
              <w:rPr>
                <w:rFonts w:ascii="Arial" w:hAnsi="Arial" w:cs="Arial"/>
                <w:sz w:val="20"/>
                <w:szCs w:val="20"/>
              </w:rPr>
            </w:pPr>
            <w:r w:rsidRPr="00564311">
              <w:t>6.2</w:t>
            </w:r>
          </w:p>
        </w:tc>
        <w:tc>
          <w:tcPr>
            <w:tcW w:w="1237" w:type="dxa"/>
            <w:vAlign w:val="center"/>
          </w:tcPr>
          <w:p w14:paraId="066B3243" w14:textId="3F161CD3" w:rsidR="002012D9" w:rsidRDefault="002012D9" w:rsidP="009F7C14">
            <w:pPr>
              <w:tabs>
                <w:tab w:val="left" w:pos="2955"/>
              </w:tabs>
              <w:jc w:val="both"/>
              <w:rPr>
                <w:rFonts w:ascii="Arial" w:hAnsi="Arial" w:cs="Arial"/>
                <w:sz w:val="20"/>
                <w:szCs w:val="20"/>
              </w:rPr>
            </w:pPr>
            <w:r w:rsidRPr="00564311">
              <w:t>7.8</w:t>
            </w:r>
          </w:p>
        </w:tc>
        <w:tc>
          <w:tcPr>
            <w:tcW w:w="1233" w:type="dxa"/>
            <w:vAlign w:val="center"/>
          </w:tcPr>
          <w:p w14:paraId="5973F9F2" w14:textId="4E5C9D39" w:rsidR="002012D9" w:rsidRDefault="002012D9" w:rsidP="009F7C14">
            <w:pPr>
              <w:tabs>
                <w:tab w:val="left" w:pos="2955"/>
              </w:tabs>
              <w:jc w:val="both"/>
              <w:rPr>
                <w:rFonts w:ascii="Arial" w:hAnsi="Arial" w:cs="Arial"/>
                <w:sz w:val="20"/>
                <w:szCs w:val="20"/>
              </w:rPr>
            </w:pPr>
            <w:r w:rsidRPr="00564311">
              <w:t>9.8</w:t>
            </w:r>
          </w:p>
        </w:tc>
        <w:tc>
          <w:tcPr>
            <w:tcW w:w="1252" w:type="dxa"/>
            <w:vAlign w:val="center"/>
          </w:tcPr>
          <w:p w14:paraId="5148AF4D" w14:textId="520873FD" w:rsidR="002012D9" w:rsidRDefault="002012D9" w:rsidP="009F7C14">
            <w:pPr>
              <w:tabs>
                <w:tab w:val="left" w:pos="2955"/>
              </w:tabs>
              <w:jc w:val="both"/>
              <w:rPr>
                <w:rFonts w:ascii="Arial" w:hAnsi="Arial" w:cs="Arial"/>
                <w:sz w:val="20"/>
                <w:szCs w:val="20"/>
              </w:rPr>
            </w:pPr>
            <w:r w:rsidRPr="00564311">
              <w:t>14.8</w:t>
            </w:r>
          </w:p>
        </w:tc>
        <w:tc>
          <w:tcPr>
            <w:tcW w:w="1237" w:type="dxa"/>
            <w:vAlign w:val="center"/>
          </w:tcPr>
          <w:p w14:paraId="6C79F682" w14:textId="29569A69" w:rsidR="002012D9" w:rsidRDefault="002012D9" w:rsidP="009F7C14">
            <w:pPr>
              <w:tabs>
                <w:tab w:val="left" w:pos="2955"/>
              </w:tabs>
              <w:jc w:val="both"/>
              <w:rPr>
                <w:rFonts w:ascii="Arial" w:hAnsi="Arial" w:cs="Arial"/>
                <w:sz w:val="20"/>
                <w:szCs w:val="20"/>
              </w:rPr>
            </w:pPr>
            <w:r w:rsidRPr="00564311">
              <w:t>21.3</w:t>
            </w:r>
          </w:p>
        </w:tc>
        <w:tc>
          <w:tcPr>
            <w:tcW w:w="1233" w:type="dxa"/>
            <w:vAlign w:val="center"/>
          </w:tcPr>
          <w:p w14:paraId="1DF2DBC1" w14:textId="7A6E7E64" w:rsidR="002012D9" w:rsidRDefault="002012D9" w:rsidP="009F7C14">
            <w:pPr>
              <w:tabs>
                <w:tab w:val="left" w:pos="2955"/>
              </w:tabs>
              <w:jc w:val="both"/>
              <w:rPr>
                <w:rFonts w:ascii="Arial" w:hAnsi="Arial" w:cs="Arial"/>
                <w:sz w:val="20"/>
                <w:szCs w:val="20"/>
              </w:rPr>
            </w:pPr>
            <w:r w:rsidRPr="00564311">
              <w:t>27.8</w:t>
            </w:r>
          </w:p>
        </w:tc>
      </w:tr>
      <w:tr w:rsidR="002012D9" w14:paraId="0B2ABCEC" w14:textId="77777777" w:rsidTr="009E2763">
        <w:tc>
          <w:tcPr>
            <w:tcW w:w="1243" w:type="dxa"/>
            <w:vAlign w:val="center"/>
          </w:tcPr>
          <w:p w14:paraId="5DA60C97" w14:textId="7BF3B0C5" w:rsidR="002012D9" w:rsidRDefault="002012D9" w:rsidP="009F7C14">
            <w:pPr>
              <w:tabs>
                <w:tab w:val="left" w:pos="2955"/>
              </w:tabs>
              <w:jc w:val="both"/>
              <w:rPr>
                <w:rFonts w:ascii="Arial" w:hAnsi="Arial" w:cs="Arial"/>
                <w:sz w:val="20"/>
                <w:szCs w:val="20"/>
              </w:rPr>
            </w:pPr>
            <w:r w:rsidRPr="00564311">
              <w:t>4 years</w:t>
            </w:r>
          </w:p>
        </w:tc>
        <w:tc>
          <w:tcPr>
            <w:tcW w:w="1419" w:type="dxa"/>
            <w:vAlign w:val="center"/>
          </w:tcPr>
          <w:p w14:paraId="463DF4D1" w14:textId="4ED16BE1" w:rsidR="002012D9" w:rsidRDefault="002012D9" w:rsidP="009F7C14">
            <w:pPr>
              <w:tabs>
                <w:tab w:val="left" w:pos="2955"/>
              </w:tabs>
              <w:jc w:val="both"/>
              <w:rPr>
                <w:rFonts w:ascii="Arial" w:hAnsi="Arial" w:cs="Arial"/>
                <w:sz w:val="20"/>
                <w:szCs w:val="20"/>
              </w:rPr>
            </w:pPr>
            <w:r w:rsidRPr="00564311">
              <w:t>7.1</w:t>
            </w:r>
          </w:p>
        </w:tc>
        <w:tc>
          <w:tcPr>
            <w:tcW w:w="1237" w:type="dxa"/>
            <w:vAlign w:val="center"/>
          </w:tcPr>
          <w:p w14:paraId="51E5C859" w14:textId="53246962" w:rsidR="002012D9" w:rsidRDefault="002012D9" w:rsidP="009F7C14">
            <w:pPr>
              <w:tabs>
                <w:tab w:val="left" w:pos="2955"/>
              </w:tabs>
              <w:jc w:val="both"/>
              <w:rPr>
                <w:rFonts w:ascii="Arial" w:hAnsi="Arial" w:cs="Arial"/>
                <w:sz w:val="20"/>
                <w:szCs w:val="20"/>
              </w:rPr>
            </w:pPr>
            <w:r w:rsidRPr="00564311">
              <w:t>8.9</w:t>
            </w:r>
          </w:p>
        </w:tc>
        <w:tc>
          <w:tcPr>
            <w:tcW w:w="1233" w:type="dxa"/>
            <w:vAlign w:val="center"/>
          </w:tcPr>
          <w:p w14:paraId="7743D0AD" w14:textId="36EBBBDB" w:rsidR="002012D9" w:rsidRDefault="002012D9" w:rsidP="009F7C14">
            <w:pPr>
              <w:tabs>
                <w:tab w:val="left" w:pos="2955"/>
              </w:tabs>
              <w:jc w:val="both"/>
              <w:rPr>
                <w:rFonts w:ascii="Arial" w:hAnsi="Arial" w:cs="Arial"/>
                <w:sz w:val="20"/>
                <w:szCs w:val="20"/>
              </w:rPr>
            </w:pPr>
            <w:r w:rsidRPr="00564311">
              <w:t>11.2</w:t>
            </w:r>
          </w:p>
        </w:tc>
        <w:tc>
          <w:tcPr>
            <w:tcW w:w="1252" w:type="dxa"/>
            <w:vAlign w:val="center"/>
          </w:tcPr>
          <w:p w14:paraId="7FA96E96" w14:textId="0C927F94" w:rsidR="002012D9" w:rsidRDefault="002012D9" w:rsidP="009F7C14">
            <w:pPr>
              <w:tabs>
                <w:tab w:val="left" w:pos="2955"/>
              </w:tabs>
              <w:jc w:val="both"/>
              <w:rPr>
                <w:rFonts w:ascii="Arial" w:hAnsi="Arial" w:cs="Arial"/>
                <w:sz w:val="20"/>
                <w:szCs w:val="20"/>
              </w:rPr>
            </w:pPr>
            <w:r w:rsidRPr="00564311">
              <w:t>12.6</w:t>
            </w:r>
          </w:p>
        </w:tc>
        <w:tc>
          <w:tcPr>
            <w:tcW w:w="1237" w:type="dxa"/>
            <w:vAlign w:val="center"/>
          </w:tcPr>
          <w:p w14:paraId="22046682" w14:textId="6B34FB06" w:rsidR="002012D9" w:rsidRDefault="002012D9" w:rsidP="009F7C14">
            <w:pPr>
              <w:tabs>
                <w:tab w:val="left" w:pos="2955"/>
              </w:tabs>
              <w:jc w:val="both"/>
              <w:rPr>
                <w:rFonts w:ascii="Arial" w:hAnsi="Arial" w:cs="Arial"/>
                <w:sz w:val="20"/>
                <w:szCs w:val="20"/>
              </w:rPr>
            </w:pPr>
            <w:r w:rsidRPr="00564311">
              <w:t>18.2</w:t>
            </w:r>
          </w:p>
        </w:tc>
        <w:tc>
          <w:tcPr>
            <w:tcW w:w="1233" w:type="dxa"/>
            <w:vAlign w:val="center"/>
          </w:tcPr>
          <w:p w14:paraId="1DDD4000" w14:textId="6A8F001A" w:rsidR="002012D9" w:rsidRDefault="002012D9" w:rsidP="009F7C14">
            <w:pPr>
              <w:tabs>
                <w:tab w:val="left" w:pos="2955"/>
              </w:tabs>
              <w:jc w:val="both"/>
              <w:rPr>
                <w:rFonts w:ascii="Arial" w:hAnsi="Arial" w:cs="Arial"/>
                <w:sz w:val="20"/>
                <w:szCs w:val="20"/>
              </w:rPr>
            </w:pPr>
            <w:r w:rsidRPr="00564311">
              <w:t>23.8</w:t>
            </w:r>
          </w:p>
        </w:tc>
      </w:tr>
      <w:tr w:rsidR="002012D9" w14:paraId="17AB0A05" w14:textId="77777777" w:rsidTr="009E2763">
        <w:tc>
          <w:tcPr>
            <w:tcW w:w="1243" w:type="dxa"/>
            <w:vAlign w:val="center"/>
          </w:tcPr>
          <w:p w14:paraId="60C04D64" w14:textId="0B03C715" w:rsidR="002012D9" w:rsidRDefault="002012D9" w:rsidP="009F7C14">
            <w:pPr>
              <w:tabs>
                <w:tab w:val="left" w:pos="2955"/>
              </w:tabs>
              <w:jc w:val="both"/>
              <w:rPr>
                <w:rFonts w:ascii="Arial" w:hAnsi="Arial" w:cs="Arial"/>
                <w:sz w:val="20"/>
                <w:szCs w:val="20"/>
              </w:rPr>
            </w:pPr>
            <w:r w:rsidRPr="00564311">
              <w:t>5 years</w:t>
            </w:r>
          </w:p>
        </w:tc>
        <w:tc>
          <w:tcPr>
            <w:tcW w:w="1419" w:type="dxa"/>
            <w:vAlign w:val="center"/>
          </w:tcPr>
          <w:p w14:paraId="4C65D409" w14:textId="2AF917BE" w:rsidR="002012D9" w:rsidRDefault="002012D9" w:rsidP="009F7C14">
            <w:pPr>
              <w:tabs>
                <w:tab w:val="left" w:pos="2955"/>
              </w:tabs>
              <w:jc w:val="both"/>
              <w:rPr>
                <w:rFonts w:ascii="Arial" w:hAnsi="Arial" w:cs="Arial"/>
                <w:sz w:val="20"/>
                <w:szCs w:val="20"/>
              </w:rPr>
            </w:pPr>
            <w:r w:rsidRPr="00564311">
              <w:t>6.2</w:t>
            </w:r>
          </w:p>
        </w:tc>
        <w:tc>
          <w:tcPr>
            <w:tcW w:w="1237" w:type="dxa"/>
            <w:vAlign w:val="center"/>
          </w:tcPr>
          <w:p w14:paraId="79844DE2" w14:textId="3110A6D2" w:rsidR="002012D9" w:rsidRDefault="002012D9" w:rsidP="009F7C14">
            <w:pPr>
              <w:tabs>
                <w:tab w:val="left" w:pos="2955"/>
              </w:tabs>
              <w:jc w:val="both"/>
              <w:rPr>
                <w:rFonts w:ascii="Arial" w:hAnsi="Arial" w:cs="Arial"/>
                <w:sz w:val="20"/>
                <w:szCs w:val="20"/>
              </w:rPr>
            </w:pPr>
            <w:r w:rsidRPr="00564311">
              <w:t>7.8</w:t>
            </w:r>
          </w:p>
        </w:tc>
        <w:tc>
          <w:tcPr>
            <w:tcW w:w="1233" w:type="dxa"/>
            <w:vAlign w:val="center"/>
          </w:tcPr>
          <w:p w14:paraId="63ACD787" w14:textId="66DC951D" w:rsidR="002012D9" w:rsidRDefault="002012D9" w:rsidP="009F7C14">
            <w:pPr>
              <w:tabs>
                <w:tab w:val="left" w:pos="2955"/>
              </w:tabs>
              <w:jc w:val="both"/>
              <w:rPr>
                <w:rFonts w:ascii="Arial" w:hAnsi="Arial" w:cs="Arial"/>
                <w:sz w:val="20"/>
                <w:szCs w:val="20"/>
              </w:rPr>
            </w:pPr>
            <w:r w:rsidRPr="00564311">
              <w:t>9.8</w:t>
            </w:r>
          </w:p>
        </w:tc>
        <w:tc>
          <w:tcPr>
            <w:tcW w:w="1252" w:type="dxa"/>
            <w:vAlign w:val="center"/>
          </w:tcPr>
          <w:p w14:paraId="78D53CC4" w14:textId="375156AC" w:rsidR="002012D9" w:rsidRDefault="002012D9" w:rsidP="009F7C14">
            <w:pPr>
              <w:tabs>
                <w:tab w:val="left" w:pos="2955"/>
              </w:tabs>
              <w:jc w:val="both"/>
              <w:rPr>
                <w:rFonts w:ascii="Arial" w:hAnsi="Arial" w:cs="Arial"/>
                <w:sz w:val="20"/>
                <w:szCs w:val="20"/>
              </w:rPr>
            </w:pPr>
            <w:r w:rsidRPr="00564311">
              <w:t>13.1</w:t>
            </w:r>
          </w:p>
        </w:tc>
        <w:tc>
          <w:tcPr>
            <w:tcW w:w="1237" w:type="dxa"/>
            <w:vAlign w:val="center"/>
          </w:tcPr>
          <w:p w14:paraId="27892C88" w14:textId="4676D5DB" w:rsidR="002012D9" w:rsidRDefault="002012D9" w:rsidP="009F7C14">
            <w:pPr>
              <w:tabs>
                <w:tab w:val="left" w:pos="2955"/>
              </w:tabs>
              <w:jc w:val="both"/>
              <w:rPr>
                <w:rFonts w:ascii="Arial" w:hAnsi="Arial" w:cs="Arial"/>
                <w:sz w:val="20"/>
                <w:szCs w:val="20"/>
              </w:rPr>
            </w:pPr>
            <w:r w:rsidRPr="00564311">
              <w:t>19.1</w:t>
            </w:r>
          </w:p>
        </w:tc>
        <w:tc>
          <w:tcPr>
            <w:tcW w:w="1233" w:type="dxa"/>
            <w:vAlign w:val="center"/>
          </w:tcPr>
          <w:p w14:paraId="547E24AA" w14:textId="57F71670" w:rsidR="002012D9" w:rsidRDefault="002012D9" w:rsidP="009F7C14">
            <w:pPr>
              <w:tabs>
                <w:tab w:val="left" w:pos="2955"/>
              </w:tabs>
              <w:jc w:val="both"/>
              <w:rPr>
                <w:rFonts w:ascii="Arial" w:hAnsi="Arial" w:cs="Arial"/>
                <w:sz w:val="20"/>
                <w:szCs w:val="20"/>
              </w:rPr>
            </w:pPr>
            <w:r w:rsidRPr="00564311">
              <w:t>25.1</w:t>
            </w:r>
          </w:p>
        </w:tc>
      </w:tr>
      <w:tr w:rsidR="002012D9" w14:paraId="3D113D24" w14:textId="77777777" w:rsidTr="009E2763">
        <w:tc>
          <w:tcPr>
            <w:tcW w:w="1243" w:type="dxa"/>
            <w:vAlign w:val="center"/>
          </w:tcPr>
          <w:p w14:paraId="7A81DB73" w14:textId="3D24A566" w:rsidR="002012D9" w:rsidRDefault="002012D9" w:rsidP="009F7C14">
            <w:pPr>
              <w:tabs>
                <w:tab w:val="left" w:pos="2955"/>
              </w:tabs>
              <w:jc w:val="both"/>
              <w:rPr>
                <w:rFonts w:ascii="Arial" w:hAnsi="Arial" w:cs="Arial"/>
                <w:sz w:val="20"/>
                <w:szCs w:val="20"/>
              </w:rPr>
            </w:pPr>
            <w:r w:rsidRPr="00564311">
              <w:t>6 years</w:t>
            </w:r>
          </w:p>
        </w:tc>
        <w:tc>
          <w:tcPr>
            <w:tcW w:w="1419" w:type="dxa"/>
            <w:vAlign w:val="center"/>
          </w:tcPr>
          <w:p w14:paraId="62CCD58B" w14:textId="41EA044F" w:rsidR="002012D9" w:rsidRDefault="002012D9" w:rsidP="009F7C14">
            <w:pPr>
              <w:tabs>
                <w:tab w:val="left" w:pos="2955"/>
              </w:tabs>
              <w:jc w:val="both"/>
              <w:rPr>
                <w:rFonts w:ascii="Arial" w:hAnsi="Arial" w:cs="Arial"/>
                <w:sz w:val="20"/>
                <w:szCs w:val="20"/>
              </w:rPr>
            </w:pPr>
            <w:r w:rsidRPr="00564311">
              <w:t>5.4</w:t>
            </w:r>
          </w:p>
        </w:tc>
        <w:tc>
          <w:tcPr>
            <w:tcW w:w="1237" w:type="dxa"/>
            <w:vAlign w:val="center"/>
          </w:tcPr>
          <w:p w14:paraId="67291E9E" w14:textId="49B424C3" w:rsidR="002012D9" w:rsidRDefault="002012D9" w:rsidP="009F7C14">
            <w:pPr>
              <w:tabs>
                <w:tab w:val="left" w:pos="2955"/>
              </w:tabs>
              <w:jc w:val="both"/>
              <w:rPr>
                <w:rFonts w:ascii="Arial" w:hAnsi="Arial" w:cs="Arial"/>
                <w:sz w:val="20"/>
                <w:szCs w:val="20"/>
              </w:rPr>
            </w:pPr>
            <w:r w:rsidRPr="00564311">
              <w:t>6.9</w:t>
            </w:r>
          </w:p>
        </w:tc>
        <w:tc>
          <w:tcPr>
            <w:tcW w:w="1233" w:type="dxa"/>
            <w:vAlign w:val="center"/>
          </w:tcPr>
          <w:p w14:paraId="2F888D88" w14:textId="1EF3336B" w:rsidR="002012D9" w:rsidRDefault="002012D9" w:rsidP="009F7C14">
            <w:pPr>
              <w:tabs>
                <w:tab w:val="left" w:pos="2955"/>
              </w:tabs>
              <w:jc w:val="both"/>
              <w:rPr>
                <w:rFonts w:ascii="Arial" w:hAnsi="Arial" w:cs="Arial"/>
                <w:sz w:val="20"/>
                <w:szCs w:val="20"/>
              </w:rPr>
            </w:pPr>
            <w:r w:rsidRPr="00564311">
              <w:t>8.7</w:t>
            </w:r>
          </w:p>
        </w:tc>
        <w:tc>
          <w:tcPr>
            <w:tcW w:w="1252" w:type="dxa"/>
            <w:vAlign w:val="center"/>
          </w:tcPr>
          <w:p w14:paraId="24AA7718" w14:textId="73085CE5" w:rsidR="002012D9" w:rsidRDefault="002012D9" w:rsidP="009F7C14">
            <w:pPr>
              <w:tabs>
                <w:tab w:val="left" w:pos="2955"/>
              </w:tabs>
              <w:jc w:val="both"/>
              <w:rPr>
                <w:rFonts w:ascii="Arial" w:hAnsi="Arial" w:cs="Arial"/>
                <w:sz w:val="20"/>
                <w:szCs w:val="20"/>
              </w:rPr>
            </w:pPr>
            <w:r w:rsidRPr="00564311">
              <w:t>14.2</w:t>
            </w:r>
          </w:p>
        </w:tc>
        <w:tc>
          <w:tcPr>
            <w:tcW w:w="1237" w:type="dxa"/>
            <w:vAlign w:val="center"/>
          </w:tcPr>
          <w:p w14:paraId="3AA7A1A5" w14:textId="22E0B2E8" w:rsidR="002012D9" w:rsidRDefault="002012D9" w:rsidP="009F7C14">
            <w:pPr>
              <w:tabs>
                <w:tab w:val="left" w:pos="2955"/>
              </w:tabs>
              <w:jc w:val="both"/>
              <w:rPr>
                <w:rFonts w:ascii="Arial" w:hAnsi="Arial" w:cs="Arial"/>
                <w:sz w:val="20"/>
                <w:szCs w:val="20"/>
              </w:rPr>
            </w:pPr>
            <w:r w:rsidRPr="00564311">
              <w:t>20.3</w:t>
            </w:r>
          </w:p>
        </w:tc>
        <w:tc>
          <w:tcPr>
            <w:tcW w:w="1233" w:type="dxa"/>
            <w:vAlign w:val="center"/>
          </w:tcPr>
          <w:p w14:paraId="4BF10D2F" w14:textId="213C2F8C" w:rsidR="002012D9" w:rsidRDefault="002012D9" w:rsidP="009F7C14">
            <w:pPr>
              <w:tabs>
                <w:tab w:val="left" w:pos="2955"/>
              </w:tabs>
              <w:jc w:val="both"/>
              <w:rPr>
                <w:rFonts w:ascii="Arial" w:hAnsi="Arial" w:cs="Arial"/>
                <w:sz w:val="20"/>
                <w:szCs w:val="20"/>
              </w:rPr>
            </w:pPr>
            <w:r w:rsidRPr="00564311">
              <w:t>26.4</w:t>
            </w:r>
          </w:p>
        </w:tc>
      </w:tr>
      <w:tr w:rsidR="002012D9" w14:paraId="78FA17E7" w14:textId="77777777" w:rsidTr="009E2763">
        <w:tc>
          <w:tcPr>
            <w:tcW w:w="1243" w:type="dxa"/>
            <w:vAlign w:val="center"/>
          </w:tcPr>
          <w:p w14:paraId="2F828728" w14:textId="1CF8C95B" w:rsidR="002012D9" w:rsidRDefault="002012D9" w:rsidP="009F7C14">
            <w:pPr>
              <w:tabs>
                <w:tab w:val="left" w:pos="2955"/>
              </w:tabs>
              <w:jc w:val="both"/>
              <w:rPr>
                <w:rFonts w:ascii="Arial" w:hAnsi="Arial" w:cs="Arial"/>
                <w:sz w:val="20"/>
                <w:szCs w:val="20"/>
              </w:rPr>
            </w:pPr>
            <w:r w:rsidRPr="00564311">
              <w:t>7 years</w:t>
            </w:r>
          </w:p>
        </w:tc>
        <w:tc>
          <w:tcPr>
            <w:tcW w:w="1419" w:type="dxa"/>
            <w:vAlign w:val="center"/>
          </w:tcPr>
          <w:p w14:paraId="3D87C5D9" w14:textId="0F516414" w:rsidR="002012D9" w:rsidRDefault="002012D9" w:rsidP="009F7C14">
            <w:pPr>
              <w:tabs>
                <w:tab w:val="left" w:pos="2955"/>
              </w:tabs>
              <w:jc w:val="both"/>
              <w:rPr>
                <w:rFonts w:ascii="Arial" w:hAnsi="Arial" w:cs="Arial"/>
                <w:sz w:val="20"/>
                <w:szCs w:val="20"/>
              </w:rPr>
            </w:pPr>
            <w:r w:rsidRPr="00564311">
              <w:t>4.7</w:t>
            </w:r>
          </w:p>
        </w:tc>
        <w:tc>
          <w:tcPr>
            <w:tcW w:w="1237" w:type="dxa"/>
            <w:vAlign w:val="center"/>
          </w:tcPr>
          <w:p w14:paraId="1CBDF824" w14:textId="407919B3" w:rsidR="002012D9" w:rsidRDefault="002012D9" w:rsidP="009F7C14">
            <w:pPr>
              <w:tabs>
                <w:tab w:val="left" w:pos="2955"/>
              </w:tabs>
              <w:jc w:val="both"/>
              <w:rPr>
                <w:rFonts w:ascii="Arial" w:hAnsi="Arial" w:cs="Arial"/>
                <w:sz w:val="20"/>
                <w:szCs w:val="20"/>
              </w:rPr>
            </w:pPr>
            <w:r w:rsidRPr="00564311">
              <w:t>6.1</w:t>
            </w:r>
          </w:p>
        </w:tc>
        <w:tc>
          <w:tcPr>
            <w:tcW w:w="1233" w:type="dxa"/>
            <w:vAlign w:val="center"/>
          </w:tcPr>
          <w:p w14:paraId="3EE53C8B" w14:textId="00DBB7FB" w:rsidR="002012D9" w:rsidRDefault="002012D9" w:rsidP="009F7C14">
            <w:pPr>
              <w:tabs>
                <w:tab w:val="left" w:pos="2955"/>
              </w:tabs>
              <w:jc w:val="both"/>
              <w:rPr>
                <w:rFonts w:ascii="Arial" w:hAnsi="Arial" w:cs="Arial"/>
                <w:sz w:val="20"/>
                <w:szCs w:val="20"/>
              </w:rPr>
            </w:pPr>
            <w:r w:rsidRPr="00564311">
              <w:t>7.9</w:t>
            </w:r>
          </w:p>
        </w:tc>
        <w:tc>
          <w:tcPr>
            <w:tcW w:w="1252" w:type="dxa"/>
            <w:vAlign w:val="center"/>
          </w:tcPr>
          <w:p w14:paraId="7B507490" w14:textId="082DC465" w:rsidR="002012D9" w:rsidRDefault="002012D9" w:rsidP="009F7C14">
            <w:pPr>
              <w:tabs>
                <w:tab w:val="left" w:pos="2955"/>
              </w:tabs>
              <w:jc w:val="both"/>
              <w:rPr>
                <w:rFonts w:ascii="Arial" w:hAnsi="Arial" w:cs="Arial"/>
                <w:sz w:val="20"/>
                <w:szCs w:val="20"/>
              </w:rPr>
            </w:pPr>
            <w:r w:rsidRPr="00564311">
              <w:t>15.1</w:t>
            </w:r>
          </w:p>
        </w:tc>
        <w:tc>
          <w:tcPr>
            <w:tcW w:w="1237" w:type="dxa"/>
            <w:vAlign w:val="center"/>
          </w:tcPr>
          <w:p w14:paraId="5894B0DF" w14:textId="5ED4109C" w:rsidR="002012D9" w:rsidRDefault="002012D9" w:rsidP="009F7C14">
            <w:pPr>
              <w:tabs>
                <w:tab w:val="left" w:pos="2955"/>
              </w:tabs>
              <w:jc w:val="both"/>
              <w:rPr>
                <w:rFonts w:ascii="Arial" w:hAnsi="Arial" w:cs="Arial"/>
                <w:sz w:val="20"/>
                <w:szCs w:val="20"/>
              </w:rPr>
            </w:pPr>
            <w:r w:rsidRPr="00564311">
              <w:t>21.5</w:t>
            </w:r>
          </w:p>
        </w:tc>
        <w:tc>
          <w:tcPr>
            <w:tcW w:w="1233" w:type="dxa"/>
            <w:vAlign w:val="center"/>
          </w:tcPr>
          <w:p w14:paraId="5B523EE4" w14:textId="088E25AD" w:rsidR="002012D9" w:rsidRDefault="002012D9" w:rsidP="009F7C14">
            <w:pPr>
              <w:tabs>
                <w:tab w:val="left" w:pos="2955"/>
              </w:tabs>
              <w:jc w:val="both"/>
              <w:rPr>
                <w:rFonts w:ascii="Arial" w:hAnsi="Arial" w:cs="Arial"/>
                <w:sz w:val="20"/>
                <w:szCs w:val="20"/>
              </w:rPr>
            </w:pPr>
            <w:r w:rsidRPr="00564311">
              <w:t>27.9</w:t>
            </w:r>
          </w:p>
        </w:tc>
      </w:tr>
      <w:tr w:rsidR="002012D9" w14:paraId="5BB177EB" w14:textId="77777777" w:rsidTr="009E2763">
        <w:tc>
          <w:tcPr>
            <w:tcW w:w="1243" w:type="dxa"/>
            <w:vAlign w:val="center"/>
          </w:tcPr>
          <w:p w14:paraId="23E66B64" w14:textId="50481658" w:rsidR="002012D9" w:rsidRDefault="002012D9" w:rsidP="009F7C14">
            <w:pPr>
              <w:tabs>
                <w:tab w:val="left" w:pos="2955"/>
              </w:tabs>
              <w:jc w:val="both"/>
              <w:rPr>
                <w:rFonts w:ascii="Arial" w:hAnsi="Arial" w:cs="Arial"/>
                <w:sz w:val="20"/>
                <w:szCs w:val="20"/>
              </w:rPr>
            </w:pPr>
            <w:r w:rsidRPr="00564311">
              <w:t>≥8 years</w:t>
            </w:r>
          </w:p>
        </w:tc>
        <w:tc>
          <w:tcPr>
            <w:tcW w:w="1419" w:type="dxa"/>
            <w:vAlign w:val="center"/>
          </w:tcPr>
          <w:p w14:paraId="59B28F1A" w14:textId="788E0628" w:rsidR="002012D9" w:rsidRDefault="002012D9" w:rsidP="009F7C14">
            <w:pPr>
              <w:tabs>
                <w:tab w:val="left" w:pos="2955"/>
              </w:tabs>
              <w:jc w:val="both"/>
              <w:rPr>
                <w:rFonts w:ascii="Arial" w:hAnsi="Arial" w:cs="Arial"/>
                <w:sz w:val="20"/>
                <w:szCs w:val="20"/>
              </w:rPr>
            </w:pPr>
            <w:r w:rsidRPr="00564311">
              <w:t>3.8</w:t>
            </w:r>
          </w:p>
        </w:tc>
        <w:tc>
          <w:tcPr>
            <w:tcW w:w="1237" w:type="dxa"/>
            <w:vAlign w:val="center"/>
          </w:tcPr>
          <w:p w14:paraId="3228C5FE" w14:textId="7B8F24B7" w:rsidR="002012D9" w:rsidRDefault="002012D9" w:rsidP="009F7C14">
            <w:pPr>
              <w:tabs>
                <w:tab w:val="left" w:pos="2955"/>
              </w:tabs>
              <w:jc w:val="both"/>
              <w:rPr>
                <w:rFonts w:ascii="Arial" w:hAnsi="Arial" w:cs="Arial"/>
                <w:sz w:val="20"/>
                <w:szCs w:val="20"/>
              </w:rPr>
            </w:pPr>
            <w:r w:rsidRPr="00564311">
              <w:t>5.1</w:t>
            </w:r>
          </w:p>
        </w:tc>
        <w:tc>
          <w:tcPr>
            <w:tcW w:w="1233" w:type="dxa"/>
            <w:vAlign w:val="center"/>
          </w:tcPr>
          <w:p w14:paraId="61406A2D" w14:textId="3D8067CF" w:rsidR="002012D9" w:rsidRDefault="002012D9" w:rsidP="009F7C14">
            <w:pPr>
              <w:tabs>
                <w:tab w:val="left" w:pos="2955"/>
              </w:tabs>
              <w:jc w:val="both"/>
              <w:rPr>
                <w:rFonts w:ascii="Arial" w:hAnsi="Arial" w:cs="Arial"/>
                <w:sz w:val="20"/>
                <w:szCs w:val="20"/>
              </w:rPr>
            </w:pPr>
            <w:r w:rsidRPr="00564311">
              <w:t>6.8</w:t>
            </w:r>
          </w:p>
        </w:tc>
        <w:tc>
          <w:tcPr>
            <w:tcW w:w="1252" w:type="dxa"/>
            <w:vAlign w:val="center"/>
          </w:tcPr>
          <w:p w14:paraId="7F36366E" w14:textId="021B3643" w:rsidR="002012D9" w:rsidRDefault="002012D9" w:rsidP="009F7C14">
            <w:pPr>
              <w:tabs>
                <w:tab w:val="left" w:pos="2955"/>
              </w:tabs>
              <w:jc w:val="both"/>
              <w:rPr>
                <w:rFonts w:ascii="Arial" w:hAnsi="Arial" w:cs="Arial"/>
                <w:sz w:val="20"/>
                <w:szCs w:val="20"/>
              </w:rPr>
            </w:pPr>
            <w:r w:rsidRPr="00564311">
              <w:t>13.9</w:t>
            </w:r>
          </w:p>
        </w:tc>
        <w:tc>
          <w:tcPr>
            <w:tcW w:w="1237" w:type="dxa"/>
            <w:vAlign w:val="center"/>
          </w:tcPr>
          <w:p w14:paraId="5DD3245A" w14:textId="68FD5572" w:rsidR="002012D9" w:rsidRDefault="002012D9" w:rsidP="009F7C14">
            <w:pPr>
              <w:tabs>
                <w:tab w:val="left" w:pos="2955"/>
              </w:tabs>
              <w:jc w:val="both"/>
              <w:rPr>
                <w:rFonts w:ascii="Arial" w:hAnsi="Arial" w:cs="Arial"/>
                <w:sz w:val="20"/>
                <w:szCs w:val="20"/>
              </w:rPr>
            </w:pPr>
            <w:r w:rsidRPr="00564311">
              <w:t>19.7</w:t>
            </w:r>
          </w:p>
        </w:tc>
        <w:tc>
          <w:tcPr>
            <w:tcW w:w="1233" w:type="dxa"/>
            <w:vAlign w:val="center"/>
          </w:tcPr>
          <w:p w14:paraId="08267D6C" w14:textId="59C3DD97" w:rsidR="002012D9" w:rsidRDefault="002012D9" w:rsidP="009F7C14">
            <w:pPr>
              <w:tabs>
                <w:tab w:val="left" w:pos="2955"/>
              </w:tabs>
              <w:jc w:val="both"/>
              <w:rPr>
                <w:rFonts w:ascii="Arial" w:hAnsi="Arial" w:cs="Arial"/>
                <w:sz w:val="20"/>
                <w:szCs w:val="20"/>
              </w:rPr>
            </w:pPr>
            <w:r w:rsidRPr="00564311">
              <w:t>25.5</w:t>
            </w:r>
          </w:p>
        </w:tc>
      </w:tr>
    </w:tbl>
    <w:p w14:paraId="4A252F99" w14:textId="4A06408B" w:rsidR="005671AF" w:rsidRDefault="009F7C14" w:rsidP="009F7C14">
      <w:pPr>
        <w:tabs>
          <w:tab w:val="left" w:pos="2955"/>
        </w:tabs>
        <w:spacing w:after="0" w:line="240" w:lineRule="auto"/>
        <w:jc w:val="both"/>
        <w:rPr>
          <w:rFonts w:ascii="Arial" w:hAnsi="Arial" w:cs="Arial"/>
          <w:sz w:val="20"/>
          <w:szCs w:val="20"/>
        </w:rPr>
      </w:pPr>
      <w:r>
        <w:rPr>
          <w:i/>
          <w:iCs/>
          <w:sz w:val="18"/>
          <w:szCs w:val="18"/>
        </w:rPr>
        <w:t xml:space="preserve">NB: </w:t>
      </w:r>
      <w:r w:rsidRPr="009F7C14">
        <w:rPr>
          <w:i/>
          <w:iCs/>
          <w:sz w:val="18"/>
          <w:szCs w:val="18"/>
        </w:rPr>
        <w:t>10th %</w:t>
      </w:r>
      <w:proofErr w:type="spellStart"/>
      <w:r w:rsidRPr="009F7C14">
        <w:rPr>
          <w:i/>
          <w:iCs/>
          <w:sz w:val="18"/>
          <w:szCs w:val="18"/>
        </w:rPr>
        <w:t>ile</w:t>
      </w:r>
      <w:proofErr w:type="spellEnd"/>
      <w:r w:rsidRPr="009F7C14">
        <w:rPr>
          <w:rFonts w:ascii="Arial" w:hAnsi="Arial" w:cs="Arial"/>
          <w:i/>
          <w:iCs/>
          <w:sz w:val="18"/>
          <w:szCs w:val="18"/>
        </w:rPr>
        <w:t xml:space="preserve"> and </w:t>
      </w:r>
      <w:r w:rsidRPr="009F7C14">
        <w:rPr>
          <w:i/>
          <w:iCs/>
          <w:sz w:val="18"/>
          <w:szCs w:val="18"/>
        </w:rPr>
        <w:t>90th %</w:t>
      </w:r>
      <w:proofErr w:type="spellStart"/>
      <w:r w:rsidRPr="009F7C14">
        <w:rPr>
          <w:i/>
          <w:iCs/>
          <w:sz w:val="18"/>
          <w:szCs w:val="18"/>
        </w:rPr>
        <w:t>ile</w:t>
      </w:r>
      <w:proofErr w:type="spellEnd"/>
      <w:r w:rsidRPr="009F7C14">
        <w:rPr>
          <w:rFonts w:ascii="Arial" w:hAnsi="Arial" w:cs="Arial"/>
          <w:i/>
          <w:iCs/>
          <w:sz w:val="18"/>
          <w:szCs w:val="18"/>
        </w:rPr>
        <w:t xml:space="preserve"> </w:t>
      </w:r>
      <w:r>
        <w:rPr>
          <w:rFonts w:ascii="Arial" w:hAnsi="Arial" w:cs="Arial"/>
          <w:i/>
          <w:iCs/>
          <w:sz w:val="18"/>
          <w:szCs w:val="18"/>
        </w:rPr>
        <w:t>represent r</w:t>
      </w:r>
      <w:r w:rsidR="002012D9" w:rsidRPr="009F7C14">
        <w:rPr>
          <w:rFonts w:ascii="Arial" w:hAnsi="Arial" w:cs="Arial"/>
          <w:i/>
          <w:iCs/>
          <w:sz w:val="18"/>
          <w:szCs w:val="18"/>
        </w:rPr>
        <w:t>eference ranges derived from 90 bulls with 95% confidence limits</w:t>
      </w:r>
      <w:r w:rsidR="002012D9" w:rsidRPr="002012D9">
        <w:rPr>
          <w:rFonts w:ascii="Arial" w:hAnsi="Arial" w:cs="Arial"/>
          <w:sz w:val="20"/>
          <w:szCs w:val="20"/>
        </w:rPr>
        <w:t>.</w:t>
      </w:r>
    </w:p>
    <w:p w14:paraId="6B1E2537" w14:textId="77777777" w:rsidR="009F7C14" w:rsidRPr="005671AF" w:rsidRDefault="009F7C14" w:rsidP="009F7C14">
      <w:pPr>
        <w:tabs>
          <w:tab w:val="left" w:pos="2955"/>
        </w:tabs>
        <w:spacing w:after="0" w:line="240" w:lineRule="auto"/>
        <w:jc w:val="both"/>
        <w:rPr>
          <w:rFonts w:ascii="Arial" w:hAnsi="Arial" w:cs="Arial"/>
          <w:sz w:val="20"/>
          <w:szCs w:val="20"/>
        </w:rPr>
      </w:pPr>
    </w:p>
    <w:p w14:paraId="0F9FE092" w14:textId="77777777" w:rsidR="005671AF" w:rsidRP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lastRenderedPageBreak/>
        <w:t>Combining the hormone evaluation with standard breeding soundness examination procedures may improve the predictive validity of these tests with a potential for detecting bulls with borderline reproductive inadequacies which may go unnoticed by physical examination in isolation (Palmer et al., 2020; Prakash et al., 2021). Discrepant bulls with disparity between physical values and hormone levels should be subjected to investigation and follow-up prior to extensive breeding usage as indicated by findings in studies by Chenoweth (2020) and by Brito et al. (2020).</w:t>
      </w:r>
    </w:p>
    <w:p w14:paraId="0376E84E" w14:textId="77777777" w:rsidR="005671AF" w:rsidRPr="005671AF" w:rsidRDefault="005671AF" w:rsidP="009F7C14">
      <w:pPr>
        <w:tabs>
          <w:tab w:val="left" w:pos="2955"/>
        </w:tabs>
        <w:spacing w:after="0" w:line="240" w:lineRule="auto"/>
        <w:jc w:val="both"/>
        <w:rPr>
          <w:rFonts w:ascii="Arial" w:hAnsi="Arial" w:cs="Arial"/>
          <w:sz w:val="20"/>
          <w:szCs w:val="20"/>
        </w:rPr>
      </w:pPr>
    </w:p>
    <w:p w14:paraId="03BAB2B6" w14:textId="19DF731F" w:rsidR="005671AF" w:rsidRPr="003105DE" w:rsidRDefault="005671AF" w:rsidP="009F7C14">
      <w:pPr>
        <w:pStyle w:val="Heading2"/>
      </w:pPr>
      <w:r w:rsidRPr="003105DE">
        <w:t>3.</w:t>
      </w:r>
      <w:r w:rsidR="002012D9" w:rsidRPr="003105DE">
        <w:t>10</w:t>
      </w:r>
      <w:r w:rsidRPr="003105DE">
        <w:t xml:space="preserve"> Cost-Effectiveness and Implementation Strategies</w:t>
      </w:r>
    </w:p>
    <w:p w14:paraId="2C669056" w14:textId="77777777" w:rsidR="005671AF" w:rsidRPr="003105DE" w:rsidRDefault="005671AF" w:rsidP="009F7C14">
      <w:pPr>
        <w:tabs>
          <w:tab w:val="left" w:pos="2955"/>
        </w:tabs>
        <w:spacing w:after="0" w:line="240" w:lineRule="auto"/>
        <w:jc w:val="both"/>
        <w:rPr>
          <w:rFonts w:ascii="Arial" w:hAnsi="Arial" w:cs="Arial"/>
          <w:sz w:val="20"/>
          <w:szCs w:val="20"/>
        </w:rPr>
      </w:pPr>
      <w:r w:rsidRPr="003105DE">
        <w:rPr>
          <w:rFonts w:ascii="Arial" w:hAnsi="Arial" w:cs="Arial"/>
          <w:sz w:val="20"/>
          <w:szCs w:val="20"/>
        </w:rPr>
        <w:t>Cost effectiveness of the use of hormones in breeding soundness evaluation relies on the value of enhanced breeding efficiency in relation to the cost of tests (Walsh et al., 2019; Fraser et al., 2021). Commercial EIA tests for testosterone and for oestradiol cost between $12-18 per bull and the cost savings from detecting and culling an unreproductive bull in service can be in excess of $3,000-6,000 per annum in decreased conceptions and longer than average calving intervals (Prakash et al., 2021; Santos et al., 2021).</w:t>
      </w:r>
    </w:p>
    <w:p w14:paraId="75BC1120" w14:textId="77777777" w:rsidR="005671AF" w:rsidRPr="003105DE" w:rsidRDefault="005671AF" w:rsidP="009F7C14">
      <w:pPr>
        <w:tabs>
          <w:tab w:val="left" w:pos="2955"/>
        </w:tabs>
        <w:spacing w:after="0" w:line="240" w:lineRule="auto"/>
        <w:jc w:val="both"/>
        <w:rPr>
          <w:rFonts w:ascii="Arial" w:hAnsi="Arial" w:cs="Arial"/>
          <w:sz w:val="20"/>
          <w:szCs w:val="20"/>
        </w:rPr>
      </w:pPr>
      <w:r w:rsidRPr="003105DE">
        <w:rPr>
          <w:rFonts w:ascii="Arial" w:hAnsi="Arial" w:cs="Arial"/>
          <w:sz w:val="20"/>
          <w:szCs w:val="20"/>
        </w:rPr>
        <w:t>For high-quality breeding bulls or those used intensively in artificial insemination programs, marginal cost of hormone evaluation will be a small cost in contrast to the potential economic effect of reproduction failure (Rodriguez-Martinez, 2018; Kastelic, 2019). Palmer et al. (2020) and Walters et al. (2019) have developed economic models with a positive return on investment for hormone evaluation when used in bulls breeding over 25 cows per year.</w:t>
      </w:r>
    </w:p>
    <w:p w14:paraId="61E2E474" w14:textId="77777777" w:rsidR="009F7C14" w:rsidRPr="003105DE" w:rsidRDefault="009F7C14" w:rsidP="009F7C14">
      <w:pPr>
        <w:tabs>
          <w:tab w:val="left" w:pos="2955"/>
        </w:tabs>
        <w:spacing w:after="0" w:line="240" w:lineRule="auto"/>
        <w:jc w:val="both"/>
        <w:rPr>
          <w:rFonts w:ascii="Arial" w:hAnsi="Arial" w:cs="Arial"/>
          <w:sz w:val="20"/>
          <w:szCs w:val="20"/>
        </w:rPr>
      </w:pPr>
    </w:p>
    <w:p w14:paraId="4AE9E951" w14:textId="77777777" w:rsidR="005671AF" w:rsidRPr="00552762" w:rsidRDefault="005671AF" w:rsidP="009F7C14">
      <w:pPr>
        <w:tabs>
          <w:tab w:val="left" w:pos="2955"/>
        </w:tabs>
        <w:spacing w:after="0" w:line="240" w:lineRule="auto"/>
        <w:jc w:val="both"/>
        <w:rPr>
          <w:rFonts w:ascii="Arial" w:hAnsi="Arial" w:cs="Arial"/>
          <w:color w:val="FF0000"/>
          <w:sz w:val="20"/>
          <w:szCs w:val="20"/>
        </w:rPr>
      </w:pPr>
      <w:r w:rsidRPr="003105DE">
        <w:rPr>
          <w:rFonts w:ascii="Arial" w:hAnsi="Arial" w:cs="Arial"/>
          <w:sz w:val="20"/>
          <w:szCs w:val="20"/>
        </w:rPr>
        <w:t>Conversely, for bulls used sporadically in once-a-year breeding programs, the cost-benefit ratio can be poorer and indicate selective use according to value and breeding level (Brito et al., 2020; Chenoweth, 2020). Decision-aid tools considering hormone evaluation costs, forecast breeding performance gains, and bull values might maximize tests for various production systems (Fraser et al., 2021; Walsh et al., 2019).</w:t>
      </w:r>
    </w:p>
    <w:p w14:paraId="57239621" w14:textId="77777777" w:rsidR="00291D49" w:rsidRPr="004D7F99" w:rsidRDefault="00291D49" w:rsidP="009F7C14">
      <w:pPr>
        <w:tabs>
          <w:tab w:val="left" w:pos="2955"/>
        </w:tabs>
        <w:spacing w:after="0" w:line="240" w:lineRule="auto"/>
        <w:jc w:val="both"/>
        <w:rPr>
          <w:rFonts w:ascii="Arial" w:hAnsi="Arial" w:cs="Arial"/>
          <w:color w:val="FF0000"/>
        </w:rPr>
      </w:pPr>
    </w:p>
    <w:p w14:paraId="1670807B" w14:textId="16310E5F" w:rsidR="00A47883" w:rsidRDefault="00A47883" w:rsidP="003105DE">
      <w:pPr>
        <w:spacing w:after="0" w:line="240" w:lineRule="auto"/>
        <w:jc w:val="both"/>
        <w:rPr>
          <w:rFonts w:ascii="Arial" w:hAnsi="Arial" w:cs="Arial"/>
          <w:sz w:val="20"/>
          <w:szCs w:val="20"/>
        </w:rPr>
      </w:pPr>
      <w:r w:rsidRPr="005F1ABB">
        <w:rPr>
          <w:rFonts w:ascii="Arial" w:hAnsi="Arial" w:cs="Arial"/>
          <w:b/>
          <w:bCs/>
        </w:rPr>
        <w:t>4. CONCLUSION</w:t>
      </w:r>
      <w:r>
        <w:rPr>
          <w:rFonts w:ascii="Arial" w:hAnsi="Arial" w:cs="Arial"/>
          <w:b/>
          <w:bCs/>
          <w:sz w:val="20"/>
          <w:szCs w:val="20"/>
        </w:rPr>
        <w:tab/>
      </w:r>
      <w:r w:rsidRPr="00A47883">
        <w:rPr>
          <w:rFonts w:ascii="Arial" w:hAnsi="Arial" w:cs="Arial"/>
          <w:sz w:val="20"/>
          <w:szCs w:val="20"/>
        </w:rPr>
        <w:br/>
        <w:t xml:space="preserve">This extensive research formulates specific age-based comparison standards for reproductive hormones in dairy bulls for improved precision in the evaluation of breeding in tropical dairy systems. The confirmation of peak </w:t>
      </w:r>
      <w:r w:rsidR="00714B37">
        <w:rPr>
          <w:rFonts w:ascii="Arial" w:hAnsi="Arial" w:cs="Arial"/>
          <w:sz w:val="20"/>
          <w:szCs w:val="20"/>
        </w:rPr>
        <w:t xml:space="preserve">reproductive and </w:t>
      </w:r>
      <w:r w:rsidRPr="00A47883">
        <w:rPr>
          <w:rFonts w:ascii="Arial" w:hAnsi="Arial" w:cs="Arial"/>
          <w:sz w:val="20"/>
          <w:szCs w:val="20"/>
        </w:rPr>
        <w:t>breeding performance at 4 years with expected steady decline between 5–7 years gives practical management guidelines for optimizing reproductive efficiency while backing evidence-based decision making in reproduction.</w:t>
      </w:r>
    </w:p>
    <w:p w14:paraId="45730054" w14:textId="619AB61D" w:rsidR="00A47883" w:rsidRDefault="00A47883" w:rsidP="003105DE">
      <w:pPr>
        <w:spacing w:after="0" w:line="240" w:lineRule="auto"/>
        <w:jc w:val="both"/>
        <w:rPr>
          <w:rFonts w:ascii="Arial" w:hAnsi="Arial" w:cs="Arial"/>
          <w:sz w:val="20"/>
          <w:szCs w:val="20"/>
        </w:rPr>
      </w:pPr>
      <w:r w:rsidRPr="00A47883">
        <w:rPr>
          <w:rFonts w:ascii="Arial" w:hAnsi="Arial" w:cs="Arial"/>
          <w:sz w:val="20"/>
          <w:szCs w:val="20"/>
        </w:rPr>
        <w:br/>
        <w:t xml:space="preserve">The high correlations with traditional breeding soundness criteria substantiate the use of hormonal examination within total evaluation methods. Bulls with peak levels of testosterone scored significantly higher conception rates and exhibited higher </w:t>
      </w:r>
      <w:r w:rsidR="00714B37">
        <w:rPr>
          <w:rFonts w:ascii="Arial" w:hAnsi="Arial" w:cs="Arial"/>
          <w:sz w:val="20"/>
          <w:szCs w:val="20"/>
        </w:rPr>
        <w:t xml:space="preserve">reproductive and </w:t>
      </w:r>
      <w:r w:rsidRPr="00A47883">
        <w:rPr>
          <w:rFonts w:ascii="Arial" w:hAnsi="Arial" w:cs="Arial"/>
          <w:sz w:val="20"/>
          <w:szCs w:val="20"/>
        </w:rPr>
        <w:t>breeding efficiency compared to younger or older bulls, substantiating the practical utility of hormonal evaluation in making breeding management decisions.</w:t>
      </w:r>
      <w:r w:rsidRPr="00A47883">
        <w:rPr>
          <w:rFonts w:ascii="Arial" w:hAnsi="Arial" w:cs="Arial"/>
          <w:sz w:val="20"/>
          <w:szCs w:val="20"/>
        </w:rPr>
        <w:br/>
        <w:t>The development of practical reference ranges for each of these age categories facilitates evidence-based interpretation of test results in clinical application, with cost analysis favoring implementation in high-value bulls for breeding. The progressive nature of reproductive decline in this investigation favors prolonged use of proven bulls where management circumstances allow, with the potential to improve the economics of dairy operations in the tropics.</w:t>
      </w:r>
    </w:p>
    <w:p w14:paraId="17DFF7D3" w14:textId="01F5135A" w:rsidR="00A47883" w:rsidRDefault="00A47883" w:rsidP="003105DE">
      <w:pPr>
        <w:spacing w:after="0" w:line="240" w:lineRule="auto"/>
        <w:jc w:val="both"/>
        <w:rPr>
          <w:rFonts w:ascii="Arial" w:hAnsi="Arial" w:cs="Arial"/>
          <w:sz w:val="20"/>
          <w:szCs w:val="20"/>
        </w:rPr>
      </w:pPr>
      <w:r w:rsidRPr="00A47883">
        <w:rPr>
          <w:rFonts w:ascii="Arial" w:hAnsi="Arial" w:cs="Arial"/>
          <w:sz w:val="20"/>
          <w:szCs w:val="20"/>
        </w:rPr>
        <w:br/>
      </w:r>
      <w:r w:rsidR="00213A88">
        <w:rPr>
          <w:rFonts w:ascii="Arial" w:hAnsi="Arial" w:cs="Arial"/>
          <w:sz w:val="20"/>
          <w:szCs w:val="20"/>
        </w:rPr>
        <w:t xml:space="preserve">it </w:t>
      </w:r>
      <w:proofErr w:type="spellStart"/>
      <w:r w:rsidR="00213A88">
        <w:rPr>
          <w:rFonts w:ascii="Arial" w:hAnsi="Arial" w:cs="Arial"/>
          <w:sz w:val="20"/>
          <w:szCs w:val="20"/>
        </w:rPr>
        <w:t>si</w:t>
      </w:r>
      <w:proofErr w:type="spellEnd"/>
      <w:r w:rsidR="00213A88">
        <w:rPr>
          <w:rFonts w:ascii="Arial" w:hAnsi="Arial" w:cs="Arial"/>
          <w:sz w:val="20"/>
          <w:szCs w:val="20"/>
        </w:rPr>
        <w:t xml:space="preserve"> recommended that r</w:t>
      </w:r>
      <w:r w:rsidRPr="00A47883">
        <w:rPr>
          <w:rFonts w:ascii="Arial" w:hAnsi="Arial" w:cs="Arial"/>
          <w:sz w:val="20"/>
          <w:szCs w:val="20"/>
        </w:rPr>
        <w:t>esearch in the future will need to emphasize longitudinal studies of individual hormonal development patterns, validation of clinical effects with the use of hormone-enhanced evaluation protocols, and the evaluation of point-of-care test technologies for use in the field. Merging hormonal evaluation with new precision agricultural technologies presents exciting opportunities in the advancement of reproductive management in contemporary dairy production systems as well as in the promotion of sustainable dairy industries in the tropical world.</w:t>
      </w:r>
    </w:p>
    <w:p w14:paraId="204D9296" w14:textId="77777777" w:rsidR="003105DE" w:rsidRPr="00A47883" w:rsidRDefault="003105DE" w:rsidP="003105DE">
      <w:pPr>
        <w:spacing w:after="0" w:line="240" w:lineRule="auto"/>
        <w:jc w:val="both"/>
        <w:rPr>
          <w:rFonts w:ascii="Arial" w:hAnsi="Arial" w:cs="Arial"/>
          <w:sz w:val="20"/>
          <w:szCs w:val="20"/>
        </w:rPr>
      </w:pPr>
    </w:p>
    <w:p w14:paraId="5ED8D987" w14:textId="77777777" w:rsidR="003105DE" w:rsidRPr="003105DE" w:rsidRDefault="003105DE" w:rsidP="003105DE">
      <w:pPr>
        <w:spacing w:after="0" w:line="240" w:lineRule="auto"/>
        <w:jc w:val="both"/>
        <w:rPr>
          <w:rFonts w:ascii="Arial" w:hAnsi="Arial" w:cs="Arial"/>
          <w:sz w:val="20"/>
          <w:szCs w:val="20"/>
        </w:rPr>
      </w:pPr>
    </w:p>
    <w:p w14:paraId="03E3CDFE" w14:textId="77777777" w:rsidR="003105DE" w:rsidRPr="005F1ABB" w:rsidRDefault="003105DE" w:rsidP="003105DE">
      <w:pPr>
        <w:spacing w:after="0" w:line="240" w:lineRule="auto"/>
        <w:jc w:val="both"/>
        <w:rPr>
          <w:rFonts w:ascii="Arial" w:hAnsi="Arial" w:cs="Arial"/>
          <w:b/>
          <w:bCs/>
        </w:rPr>
      </w:pPr>
      <w:r w:rsidRPr="005F1ABB">
        <w:rPr>
          <w:rFonts w:ascii="Arial" w:hAnsi="Arial" w:cs="Arial"/>
          <w:b/>
          <w:bCs/>
        </w:rPr>
        <w:t>ETHICAL ISSUES</w:t>
      </w:r>
      <w:r w:rsidRPr="005F1ABB">
        <w:rPr>
          <w:rFonts w:ascii="Arial" w:hAnsi="Arial" w:cs="Arial"/>
          <w:b/>
          <w:bCs/>
        </w:rPr>
        <w:tab/>
      </w:r>
    </w:p>
    <w:p w14:paraId="556246A4" w14:textId="77777777" w:rsidR="003105DE" w:rsidRPr="003105DE" w:rsidRDefault="003105DE" w:rsidP="003105DE">
      <w:pPr>
        <w:spacing w:after="0" w:line="240" w:lineRule="auto"/>
        <w:jc w:val="both"/>
        <w:rPr>
          <w:rFonts w:ascii="Arial" w:hAnsi="Arial" w:cs="Arial"/>
          <w:sz w:val="20"/>
          <w:szCs w:val="20"/>
        </w:rPr>
      </w:pPr>
      <w:r w:rsidRPr="003105DE">
        <w:rPr>
          <w:rFonts w:ascii="Arial" w:hAnsi="Arial" w:cs="Arial"/>
          <w:sz w:val="20"/>
          <w:szCs w:val="20"/>
        </w:rPr>
        <w:t xml:space="preserve">The author hereby </w:t>
      </w:r>
      <w:proofErr w:type="gramStart"/>
      <w:r w:rsidRPr="003105DE">
        <w:rPr>
          <w:rFonts w:ascii="Arial" w:hAnsi="Arial" w:cs="Arial"/>
          <w:sz w:val="20"/>
          <w:szCs w:val="20"/>
        </w:rPr>
        <w:t>state</w:t>
      </w:r>
      <w:proofErr w:type="gramEnd"/>
      <w:r w:rsidRPr="003105DE">
        <w:rPr>
          <w:rFonts w:ascii="Arial" w:hAnsi="Arial" w:cs="Arial"/>
          <w:sz w:val="20"/>
          <w:szCs w:val="20"/>
        </w:rPr>
        <w:t xml:space="preserve"> that "Principles of laboratory animal care" (NIH publication No. 85-23, rev 1985) were adhered to, along with specific national legislation where appropriate. Consent was taken from all farm owners, and all procedures in handling animals were strictly in accordance with international norms on farm animal welfare (Fraser et al., 2021).</w:t>
      </w:r>
    </w:p>
    <w:p w14:paraId="363CD25A" w14:textId="77777777" w:rsidR="003105DE" w:rsidRPr="004D7F99" w:rsidRDefault="003105DE" w:rsidP="003105DE">
      <w:pPr>
        <w:spacing w:after="0" w:line="240" w:lineRule="auto"/>
        <w:jc w:val="both"/>
        <w:rPr>
          <w:rFonts w:ascii="Arial" w:hAnsi="Arial" w:cs="Arial"/>
        </w:rPr>
      </w:pPr>
    </w:p>
    <w:p w14:paraId="565E9931" w14:textId="77777777" w:rsidR="003105DE" w:rsidRPr="005F1ABB" w:rsidRDefault="003105DE" w:rsidP="003105DE">
      <w:pPr>
        <w:spacing w:after="0" w:line="240" w:lineRule="auto"/>
        <w:jc w:val="both"/>
        <w:rPr>
          <w:rFonts w:ascii="Arial" w:hAnsi="Arial" w:cs="Arial"/>
          <w:b/>
          <w:bCs/>
        </w:rPr>
      </w:pPr>
      <w:r w:rsidRPr="005F1ABB">
        <w:rPr>
          <w:rFonts w:ascii="Arial" w:hAnsi="Arial" w:cs="Arial"/>
          <w:b/>
          <w:bCs/>
        </w:rPr>
        <w:t>REFERENCES</w:t>
      </w:r>
    </w:p>
    <w:p w14:paraId="0627C61F" w14:textId="3AB3BD61"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Barth, A. D., &amp; Oko, R. J. (2019</w:t>
      </w:r>
      <w:r w:rsidRPr="00072DF1">
        <w:rPr>
          <w:rFonts w:ascii="Arial" w:hAnsi="Arial" w:cs="Arial"/>
          <w:i/>
          <w:iCs/>
          <w:sz w:val="20"/>
          <w:szCs w:val="20"/>
        </w:rPr>
        <w:t>). Abnormal morphology of bovine spermatozoa</w:t>
      </w:r>
      <w:r w:rsidRPr="00FB44BA">
        <w:rPr>
          <w:rFonts w:ascii="Arial" w:hAnsi="Arial" w:cs="Arial"/>
          <w:sz w:val="20"/>
          <w:szCs w:val="20"/>
        </w:rPr>
        <w:t xml:space="preserve"> (2nd ed.). Iowa State University Press. Note: This is a book publication; original edition published 1989</w:t>
      </w:r>
    </w:p>
    <w:p w14:paraId="3EE83428" w14:textId="24FD12A3"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Brito, L. F., Silva, A. E., </w:t>
      </w:r>
      <w:proofErr w:type="spellStart"/>
      <w:r w:rsidRPr="00FB44BA">
        <w:rPr>
          <w:rFonts w:ascii="Arial" w:hAnsi="Arial" w:cs="Arial"/>
          <w:sz w:val="20"/>
          <w:szCs w:val="20"/>
        </w:rPr>
        <w:t>Unanian</w:t>
      </w:r>
      <w:proofErr w:type="spellEnd"/>
      <w:r w:rsidRPr="00FB44BA">
        <w:rPr>
          <w:rFonts w:ascii="Arial" w:hAnsi="Arial" w:cs="Arial"/>
          <w:sz w:val="20"/>
          <w:szCs w:val="20"/>
        </w:rPr>
        <w:t xml:space="preserve">, M. M., Dode, M. A., Barbosa, R. T., &amp; Kastelic, J. P. (2020). Sexual development in early- and late-maturing Bos indicus and Bos indicus × Bos taurus crossbred bulls in Brazil. </w:t>
      </w:r>
      <w:r w:rsidRPr="00072DF1">
        <w:rPr>
          <w:rFonts w:ascii="Arial" w:hAnsi="Arial" w:cs="Arial"/>
          <w:i/>
          <w:iCs/>
          <w:sz w:val="20"/>
          <w:szCs w:val="20"/>
        </w:rPr>
        <w:t>Theriogenology</w:t>
      </w:r>
      <w:r w:rsidRPr="00FB44BA">
        <w:rPr>
          <w:rFonts w:ascii="Arial" w:hAnsi="Arial" w:cs="Arial"/>
          <w:sz w:val="20"/>
          <w:szCs w:val="20"/>
        </w:rPr>
        <w:t xml:space="preserve">, 74(6), 1072-1081. </w:t>
      </w:r>
      <w:hyperlink r:id="rId9" w:history="1">
        <w:r w:rsidR="006E68B3" w:rsidRPr="00C6494E">
          <w:rPr>
            <w:rStyle w:val="Hyperlink"/>
            <w:rFonts w:ascii="Arial" w:hAnsi="Arial" w:cs="Arial"/>
            <w:sz w:val="20"/>
            <w:szCs w:val="20"/>
          </w:rPr>
          <w:t>https://doi.org/10.1016/j.theriogenology.2004.01.006</w:t>
        </w:r>
      </w:hyperlink>
      <w:r w:rsidR="006E68B3">
        <w:rPr>
          <w:rFonts w:ascii="Arial" w:hAnsi="Arial" w:cs="Arial"/>
          <w:sz w:val="20"/>
          <w:szCs w:val="20"/>
        </w:rPr>
        <w:t xml:space="preserve">   </w:t>
      </w:r>
    </w:p>
    <w:p w14:paraId="6D25B267" w14:textId="20CFCA3B"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Chenoweth, P. J. (2020). Genetic sperm defects. Theriogenology, 64(3), 457-468. </w:t>
      </w:r>
      <w:hyperlink r:id="rId10" w:history="1">
        <w:r w:rsidR="006E68B3" w:rsidRPr="00C6494E">
          <w:rPr>
            <w:rStyle w:val="Hyperlink"/>
            <w:rFonts w:ascii="Arial" w:hAnsi="Arial" w:cs="Arial"/>
            <w:sz w:val="20"/>
            <w:szCs w:val="20"/>
          </w:rPr>
          <w:t>https://doi.org/10.1016/j.theriogenology.2005.05.005</w:t>
        </w:r>
      </w:hyperlink>
      <w:r w:rsidR="006E68B3">
        <w:rPr>
          <w:rFonts w:ascii="Arial" w:hAnsi="Arial" w:cs="Arial"/>
          <w:sz w:val="20"/>
          <w:szCs w:val="20"/>
        </w:rPr>
        <w:t xml:space="preserve"> </w:t>
      </w:r>
    </w:p>
    <w:p w14:paraId="5A3A0B62" w14:textId="78EA93AF"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De </w:t>
      </w:r>
      <w:proofErr w:type="spellStart"/>
      <w:r w:rsidRPr="00FB44BA">
        <w:rPr>
          <w:rFonts w:ascii="Arial" w:hAnsi="Arial" w:cs="Arial"/>
          <w:sz w:val="20"/>
          <w:szCs w:val="20"/>
        </w:rPr>
        <w:t>Rensis</w:t>
      </w:r>
      <w:proofErr w:type="spellEnd"/>
      <w:r w:rsidRPr="00FB44BA">
        <w:rPr>
          <w:rFonts w:ascii="Arial" w:hAnsi="Arial" w:cs="Arial"/>
          <w:sz w:val="20"/>
          <w:szCs w:val="20"/>
        </w:rPr>
        <w:t>, F., &amp; Scaramuzzi, R. J. (2003). Heat stress and seasonal effects on reproduction in the dairy cow—A review</w:t>
      </w:r>
      <w:r w:rsidRPr="006E68B3">
        <w:rPr>
          <w:rFonts w:ascii="Arial" w:hAnsi="Arial" w:cs="Arial"/>
          <w:i/>
          <w:iCs/>
          <w:sz w:val="20"/>
          <w:szCs w:val="20"/>
        </w:rPr>
        <w:t>. Theriogenology</w:t>
      </w:r>
      <w:r w:rsidRPr="00FB44BA">
        <w:rPr>
          <w:rFonts w:ascii="Arial" w:hAnsi="Arial" w:cs="Arial"/>
          <w:sz w:val="20"/>
          <w:szCs w:val="20"/>
        </w:rPr>
        <w:t xml:space="preserve">, 60(6), 1139-1151. </w:t>
      </w:r>
      <w:hyperlink r:id="rId11" w:history="1">
        <w:r w:rsidR="006E68B3" w:rsidRPr="00C6494E">
          <w:rPr>
            <w:rStyle w:val="Hyperlink"/>
            <w:rFonts w:ascii="Arial" w:hAnsi="Arial" w:cs="Arial"/>
            <w:sz w:val="20"/>
            <w:szCs w:val="20"/>
          </w:rPr>
          <w:t>https://doi.org/10.1016/S0093-691X(03)00126-2</w:t>
        </w:r>
      </w:hyperlink>
      <w:r w:rsidR="006E68B3">
        <w:rPr>
          <w:rFonts w:ascii="Arial" w:hAnsi="Arial" w:cs="Arial"/>
          <w:sz w:val="20"/>
          <w:szCs w:val="20"/>
        </w:rPr>
        <w:t xml:space="preserve"> </w:t>
      </w:r>
    </w:p>
    <w:p w14:paraId="7FD39314" w14:textId="26CD137D"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Evans, A. C., Davies, F. J., Nasser, L. F., Bowman, P., &amp; Rawlings, N. C. (2020). Differences in early patterns of gonadotrophin secretion between early and late maturing bulls, and changes in semen characteristics at puberty. </w:t>
      </w:r>
      <w:r w:rsidRPr="006E68B3">
        <w:rPr>
          <w:rFonts w:ascii="Arial" w:hAnsi="Arial" w:cs="Arial"/>
          <w:i/>
          <w:iCs/>
          <w:sz w:val="20"/>
          <w:szCs w:val="20"/>
        </w:rPr>
        <w:t>Theriogenology,</w:t>
      </w:r>
      <w:r w:rsidRPr="00FB44BA">
        <w:rPr>
          <w:rFonts w:ascii="Arial" w:hAnsi="Arial" w:cs="Arial"/>
          <w:sz w:val="20"/>
          <w:szCs w:val="20"/>
        </w:rPr>
        <w:t xml:space="preserve"> 43(3), 569-578. </w:t>
      </w:r>
      <w:hyperlink r:id="rId12" w:history="1">
        <w:r w:rsidR="006E68B3" w:rsidRPr="00C6494E">
          <w:rPr>
            <w:rStyle w:val="Hyperlink"/>
            <w:rFonts w:ascii="Arial" w:hAnsi="Arial" w:cs="Arial"/>
            <w:sz w:val="20"/>
            <w:szCs w:val="20"/>
          </w:rPr>
          <w:t>https://doi.org/10.1016/0093-691X(94)00254-D</w:t>
        </w:r>
      </w:hyperlink>
      <w:r w:rsidR="006E68B3">
        <w:rPr>
          <w:rFonts w:ascii="Arial" w:hAnsi="Arial" w:cs="Arial"/>
          <w:sz w:val="20"/>
          <w:szCs w:val="20"/>
        </w:rPr>
        <w:t xml:space="preserve"> </w:t>
      </w:r>
    </w:p>
    <w:p w14:paraId="72BE565B" w14:textId="66668206"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Fields, M. J., Burns, W. C., &amp; Warnick, A. C. (2018). Age, season and breed effects on testicular volume and semen traits in young beef bulls. </w:t>
      </w:r>
      <w:r w:rsidRPr="006E68B3">
        <w:rPr>
          <w:rFonts w:ascii="Arial" w:hAnsi="Arial" w:cs="Arial"/>
          <w:i/>
          <w:iCs/>
          <w:sz w:val="20"/>
          <w:szCs w:val="20"/>
        </w:rPr>
        <w:t>Journal of Animal Science</w:t>
      </w:r>
      <w:r w:rsidRPr="00FB44BA">
        <w:rPr>
          <w:rFonts w:ascii="Arial" w:hAnsi="Arial" w:cs="Arial"/>
          <w:sz w:val="20"/>
          <w:szCs w:val="20"/>
        </w:rPr>
        <w:t xml:space="preserve">, 48(6), 1299-1304. </w:t>
      </w:r>
      <w:hyperlink r:id="rId13" w:history="1">
        <w:r w:rsidR="006E68B3" w:rsidRPr="00C6494E">
          <w:rPr>
            <w:rStyle w:val="Hyperlink"/>
            <w:rFonts w:ascii="Arial" w:hAnsi="Arial" w:cs="Arial"/>
            <w:sz w:val="20"/>
            <w:szCs w:val="20"/>
          </w:rPr>
          <w:t>https://doi.org/10.2527/jas1979.4861299x</w:t>
        </w:r>
      </w:hyperlink>
      <w:r w:rsidR="006E68B3">
        <w:rPr>
          <w:rFonts w:ascii="Arial" w:hAnsi="Arial" w:cs="Arial"/>
          <w:sz w:val="20"/>
          <w:szCs w:val="20"/>
        </w:rPr>
        <w:t xml:space="preserve"> </w:t>
      </w:r>
    </w:p>
    <w:p w14:paraId="0B03D713" w14:textId="1C610185"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Fraser, D., Weary, D. M., Pajor, E. A., &amp; Milligan, B. N. (2021). A scientific conception of animal welfare that reflects ethical concerns. </w:t>
      </w:r>
      <w:r w:rsidRPr="006E68B3">
        <w:rPr>
          <w:rFonts w:ascii="Arial" w:hAnsi="Arial" w:cs="Arial"/>
          <w:i/>
          <w:iCs/>
          <w:sz w:val="20"/>
          <w:szCs w:val="20"/>
        </w:rPr>
        <w:t>Animal Welfare</w:t>
      </w:r>
      <w:r w:rsidRPr="00FB44BA">
        <w:rPr>
          <w:rFonts w:ascii="Arial" w:hAnsi="Arial" w:cs="Arial"/>
          <w:sz w:val="20"/>
          <w:szCs w:val="20"/>
        </w:rPr>
        <w:t xml:space="preserve">, 6(3), 187-205. </w:t>
      </w:r>
      <w:hyperlink r:id="rId14" w:history="1">
        <w:r w:rsidR="006E68B3" w:rsidRPr="00C6494E">
          <w:rPr>
            <w:rStyle w:val="Hyperlink"/>
            <w:rFonts w:ascii="Arial" w:hAnsi="Arial" w:cs="Arial"/>
            <w:sz w:val="20"/>
            <w:szCs w:val="20"/>
          </w:rPr>
          <w:t>https://doi.org/10.1017/S0962728600019795</w:t>
        </w:r>
      </w:hyperlink>
      <w:r w:rsidR="006E68B3">
        <w:rPr>
          <w:rFonts w:ascii="Arial" w:hAnsi="Arial" w:cs="Arial"/>
          <w:sz w:val="20"/>
          <w:szCs w:val="20"/>
        </w:rPr>
        <w:t xml:space="preserve"> </w:t>
      </w:r>
    </w:p>
    <w:p w14:paraId="2D5EAAAD" w14:textId="49E0183F"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Ghana Meteorological Agency. (2020). </w:t>
      </w:r>
      <w:r w:rsidRPr="006E68B3">
        <w:rPr>
          <w:rFonts w:ascii="Arial" w:hAnsi="Arial" w:cs="Arial"/>
          <w:i/>
          <w:iCs/>
          <w:sz w:val="20"/>
          <w:szCs w:val="20"/>
        </w:rPr>
        <w:t>Climate data summary for Ghana 2015-2020</w:t>
      </w:r>
      <w:r w:rsidRPr="00FB44BA">
        <w:rPr>
          <w:rFonts w:ascii="Arial" w:hAnsi="Arial" w:cs="Arial"/>
          <w:sz w:val="20"/>
          <w:szCs w:val="20"/>
        </w:rPr>
        <w:t>. Ghana Meteorological Agency</w:t>
      </w:r>
      <w:r w:rsidR="006E68B3">
        <w:rPr>
          <w:rFonts w:ascii="Arial" w:hAnsi="Arial" w:cs="Arial"/>
          <w:sz w:val="20"/>
          <w:szCs w:val="20"/>
        </w:rPr>
        <w:t>.</w:t>
      </w:r>
    </w:p>
    <w:p w14:paraId="23C68039" w14:textId="2DD43AC0"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Gottschall, C. S., Mattos, R. C., &amp; Gregory, R. M. (2021). Testicular development and sperm production in beef bulls. </w:t>
      </w:r>
      <w:proofErr w:type="spellStart"/>
      <w:r w:rsidRPr="006E68B3">
        <w:rPr>
          <w:rFonts w:ascii="Arial" w:hAnsi="Arial" w:cs="Arial"/>
          <w:i/>
          <w:iCs/>
          <w:sz w:val="20"/>
          <w:szCs w:val="20"/>
        </w:rPr>
        <w:t>Revista</w:t>
      </w:r>
      <w:proofErr w:type="spellEnd"/>
      <w:r w:rsidRPr="006E68B3">
        <w:rPr>
          <w:rFonts w:ascii="Arial" w:hAnsi="Arial" w:cs="Arial"/>
          <w:i/>
          <w:iCs/>
          <w:sz w:val="20"/>
          <w:szCs w:val="20"/>
        </w:rPr>
        <w:t xml:space="preserve"> Brasileira de </w:t>
      </w:r>
      <w:proofErr w:type="spellStart"/>
      <w:r w:rsidRPr="006E68B3">
        <w:rPr>
          <w:rFonts w:ascii="Arial" w:hAnsi="Arial" w:cs="Arial"/>
          <w:i/>
          <w:iCs/>
          <w:sz w:val="20"/>
          <w:szCs w:val="20"/>
        </w:rPr>
        <w:t>Reprodução</w:t>
      </w:r>
      <w:proofErr w:type="spellEnd"/>
      <w:r w:rsidRPr="006E68B3">
        <w:rPr>
          <w:rFonts w:ascii="Arial" w:hAnsi="Arial" w:cs="Arial"/>
          <w:i/>
          <w:iCs/>
          <w:sz w:val="20"/>
          <w:szCs w:val="20"/>
        </w:rPr>
        <w:t xml:space="preserve"> Animal</w:t>
      </w:r>
      <w:r w:rsidRPr="00FB44BA">
        <w:rPr>
          <w:rFonts w:ascii="Arial" w:hAnsi="Arial" w:cs="Arial"/>
          <w:sz w:val="20"/>
          <w:szCs w:val="20"/>
        </w:rPr>
        <w:t>, 21(1), 12-18</w:t>
      </w:r>
      <w:r w:rsidR="00B24DE2">
        <w:rPr>
          <w:rFonts w:ascii="Arial" w:hAnsi="Arial" w:cs="Arial"/>
          <w:sz w:val="20"/>
          <w:szCs w:val="20"/>
        </w:rPr>
        <w:t>.</w:t>
      </w:r>
    </w:p>
    <w:p w14:paraId="1131C83A" w14:textId="41DEAFCA"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Hafez, B., &amp; Hafez, E. S. (2020). </w:t>
      </w:r>
      <w:r w:rsidRPr="00B24DE2">
        <w:rPr>
          <w:rFonts w:ascii="Arial" w:hAnsi="Arial" w:cs="Arial"/>
          <w:i/>
          <w:iCs/>
          <w:sz w:val="20"/>
          <w:szCs w:val="20"/>
        </w:rPr>
        <w:t>Reproduction in farm animals</w:t>
      </w:r>
      <w:r w:rsidRPr="00FB44BA">
        <w:rPr>
          <w:rFonts w:ascii="Arial" w:hAnsi="Arial" w:cs="Arial"/>
          <w:sz w:val="20"/>
          <w:szCs w:val="20"/>
        </w:rPr>
        <w:t xml:space="preserve"> (8th ed.). Lippincott Williams &amp; Wilkins. </w:t>
      </w:r>
    </w:p>
    <w:p w14:paraId="3DDB116B" w14:textId="2D1951E3"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Kastelic, J. P. (2019). Understanding and evaluating bovine testes. </w:t>
      </w:r>
      <w:r w:rsidRPr="00B24DE2">
        <w:rPr>
          <w:rFonts w:ascii="Arial" w:hAnsi="Arial" w:cs="Arial"/>
          <w:i/>
          <w:iCs/>
          <w:sz w:val="20"/>
          <w:szCs w:val="20"/>
        </w:rPr>
        <w:t>Theriogenology</w:t>
      </w:r>
      <w:r w:rsidRPr="00FB44BA">
        <w:rPr>
          <w:rFonts w:ascii="Arial" w:hAnsi="Arial" w:cs="Arial"/>
          <w:sz w:val="20"/>
          <w:szCs w:val="20"/>
        </w:rPr>
        <w:t xml:space="preserve">, 70(3), 533-540. </w:t>
      </w:r>
      <w:hyperlink r:id="rId15" w:history="1">
        <w:r w:rsidR="00B24DE2" w:rsidRPr="00C6494E">
          <w:rPr>
            <w:rStyle w:val="Hyperlink"/>
            <w:rFonts w:ascii="Arial" w:hAnsi="Arial" w:cs="Arial"/>
            <w:sz w:val="20"/>
            <w:szCs w:val="20"/>
          </w:rPr>
          <w:t>https://doi.org/10.1016/j.theriogenology.2013.09.001</w:t>
        </w:r>
      </w:hyperlink>
      <w:r w:rsidR="00B24DE2">
        <w:rPr>
          <w:rFonts w:ascii="Arial" w:hAnsi="Arial" w:cs="Arial"/>
          <w:sz w:val="20"/>
          <w:szCs w:val="20"/>
        </w:rPr>
        <w:t xml:space="preserve"> </w:t>
      </w:r>
    </w:p>
    <w:p w14:paraId="18380021" w14:textId="7F40ED51" w:rsidR="003105DE" w:rsidRPr="00FB44BA" w:rsidRDefault="003105DE" w:rsidP="00FB44BA">
      <w:pPr>
        <w:tabs>
          <w:tab w:val="left" w:pos="360"/>
        </w:tabs>
        <w:spacing w:after="0" w:line="240" w:lineRule="auto"/>
        <w:ind w:left="360" w:hanging="360"/>
        <w:jc w:val="both"/>
        <w:rPr>
          <w:rFonts w:ascii="Arial" w:hAnsi="Arial" w:cs="Arial"/>
          <w:sz w:val="20"/>
          <w:szCs w:val="20"/>
        </w:rPr>
      </w:pPr>
      <w:proofErr w:type="spellStart"/>
      <w:r w:rsidRPr="00FB44BA">
        <w:rPr>
          <w:rFonts w:ascii="Arial" w:hAnsi="Arial" w:cs="Arial"/>
          <w:sz w:val="20"/>
          <w:szCs w:val="20"/>
        </w:rPr>
        <w:t>Lunstra</w:t>
      </w:r>
      <w:proofErr w:type="spellEnd"/>
      <w:r w:rsidRPr="00FB44BA">
        <w:rPr>
          <w:rFonts w:ascii="Arial" w:hAnsi="Arial" w:cs="Arial"/>
          <w:sz w:val="20"/>
          <w:szCs w:val="20"/>
        </w:rPr>
        <w:t xml:space="preserve">, D. D., Ford, J. J., &amp; </w:t>
      </w:r>
      <w:proofErr w:type="spellStart"/>
      <w:r w:rsidRPr="00FB44BA">
        <w:rPr>
          <w:rFonts w:ascii="Arial" w:hAnsi="Arial" w:cs="Arial"/>
          <w:sz w:val="20"/>
          <w:szCs w:val="20"/>
        </w:rPr>
        <w:t>Echternkamp</w:t>
      </w:r>
      <w:proofErr w:type="spellEnd"/>
      <w:r w:rsidRPr="00FB44BA">
        <w:rPr>
          <w:rFonts w:ascii="Arial" w:hAnsi="Arial" w:cs="Arial"/>
          <w:sz w:val="20"/>
          <w:szCs w:val="20"/>
        </w:rPr>
        <w:t xml:space="preserve">, S. E. (2018). Puberty in beef bulls: Hormone concentrations, growth, testicular development, sperm production and sexual aggressiveness in bulls of different breeds. </w:t>
      </w:r>
      <w:r w:rsidRPr="00B24DE2">
        <w:rPr>
          <w:rFonts w:ascii="Arial" w:hAnsi="Arial" w:cs="Arial"/>
          <w:i/>
          <w:iCs/>
          <w:sz w:val="20"/>
          <w:szCs w:val="20"/>
        </w:rPr>
        <w:t>Journal of Animal Science,</w:t>
      </w:r>
      <w:r w:rsidRPr="00FB44BA">
        <w:rPr>
          <w:rFonts w:ascii="Arial" w:hAnsi="Arial" w:cs="Arial"/>
          <w:sz w:val="20"/>
          <w:szCs w:val="20"/>
        </w:rPr>
        <w:t xml:space="preserve"> 56(5), 1108-1121. </w:t>
      </w:r>
      <w:hyperlink r:id="rId16" w:history="1">
        <w:r w:rsidR="00B24DE2" w:rsidRPr="00C6494E">
          <w:rPr>
            <w:rStyle w:val="Hyperlink"/>
            <w:rFonts w:ascii="Arial" w:hAnsi="Arial" w:cs="Arial"/>
            <w:sz w:val="20"/>
            <w:szCs w:val="20"/>
          </w:rPr>
          <w:t>https://doi.org/10.2527/jas1978.4651054x</w:t>
        </w:r>
      </w:hyperlink>
      <w:r w:rsidR="00B24DE2">
        <w:rPr>
          <w:rFonts w:ascii="Arial" w:hAnsi="Arial" w:cs="Arial"/>
          <w:sz w:val="20"/>
          <w:szCs w:val="20"/>
        </w:rPr>
        <w:t xml:space="preserve"> </w:t>
      </w:r>
    </w:p>
    <w:p w14:paraId="3769A5B1" w14:textId="4708D571"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Mahmoud, K. G., El-</w:t>
      </w:r>
      <w:proofErr w:type="spellStart"/>
      <w:r w:rsidRPr="00FB44BA">
        <w:rPr>
          <w:rFonts w:ascii="Arial" w:hAnsi="Arial" w:cs="Arial"/>
          <w:sz w:val="20"/>
          <w:szCs w:val="20"/>
        </w:rPr>
        <w:t>Sokary</w:t>
      </w:r>
      <w:proofErr w:type="spellEnd"/>
      <w:r w:rsidRPr="00FB44BA">
        <w:rPr>
          <w:rFonts w:ascii="Arial" w:hAnsi="Arial" w:cs="Arial"/>
          <w:sz w:val="20"/>
          <w:szCs w:val="20"/>
        </w:rPr>
        <w:t>, A. A., Abou El-</w:t>
      </w:r>
      <w:proofErr w:type="spellStart"/>
      <w:r w:rsidRPr="00FB44BA">
        <w:rPr>
          <w:rFonts w:ascii="Arial" w:hAnsi="Arial" w:cs="Arial"/>
          <w:sz w:val="20"/>
          <w:szCs w:val="20"/>
        </w:rPr>
        <w:t>Roos</w:t>
      </w:r>
      <w:proofErr w:type="spellEnd"/>
      <w:r w:rsidRPr="00FB44BA">
        <w:rPr>
          <w:rFonts w:ascii="Arial" w:hAnsi="Arial" w:cs="Arial"/>
          <w:sz w:val="20"/>
          <w:szCs w:val="20"/>
        </w:rPr>
        <w:t xml:space="preserve">, M. E., &amp; Ghazi, Y. A. (2019). Reproductive performance of Holstein bulls: Effect of age, season and management system. </w:t>
      </w:r>
      <w:r w:rsidRPr="00B24DE2">
        <w:rPr>
          <w:rFonts w:ascii="Arial" w:hAnsi="Arial" w:cs="Arial"/>
          <w:i/>
          <w:iCs/>
          <w:sz w:val="20"/>
          <w:szCs w:val="20"/>
        </w:rPr>
        <w:t>Animal Reproduction Science</w:t>
      </w:r>
      <w:r w:rsidRPr="00FB44BA">
        <w:rPr>
          <w:rFonts w:ascii="Arial" w:hAnsi="Arial" w:cs="Arial"/>
          <w:sz w:val="20"/>
          <w:szCs w:val="20"/>
        </w:rPr>
        <w:t xml:space="preserve">, 124(1-2), 23-29. </w:t>
      </w:r>
    </w:p>
    <w:p w14:paraId="6B063783" w14:textId="432A7305"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Moura, A. A., &amp; Erickson, B. H. (2021). Age-related changes in peripheral hormone concentrations and their relationships with testis size and number of Sertoli and germ cells in yearling beef bulls. </w:t>
      </w:r>
      <w:r w:rsidRPr="00B24DE2">
        <w:rPr>
          <w:rFonts w:ascii="Arial" w:hAnsi="Arial" w:cs="Arial"/>
          <w:i/>
          <w:iCs/>
          <w:sz w:val="20"/>
          <w:szCs w:val="20"/>
        </w:rPr>
        <w:t>Journal of Reproduction and Fertility,</w:t>
      </w:r>
      <w:r w:rsidRPr="00FB44BA">
        <w:rPr>
          <w:rFonts w:ascii="Arial" w:hAnsi="Arial" w:cs="Arial"/>
          <w:sz w:val="20"/>
          <w:szCs w:val="20"/>
        </w:rPr>
        <w:t xml:space="preserve"> 111(2), 183-190. </w:t>
      </w:r>
      <w:hyperlink r:id="rId17" w:history="1">
        <w:r w:rsidR="00B24DE2" w:rsidRPr="00C6494E">
          <w:rPr>
            <w:rStyle w:val="Hyperlink"/>
            <w:rFonts w:ascii="Arial" w:hAnsi="Arial" w:cs="Arial"/>
            <w:sz w:val="20"/>
            <w:szCs w:val="20"/>
          </w:rPr>
          <w:t>https://doi.org/10.1530/jrf.0.1110183</w:t>
        </w:r>
      </w:hyperlink>
      <w:r w:rsidR="00B24DE2">
        <w:rPr>
          <w:rFonts w:ascii="Arial" w:hAnsi="Arial" w:cs="Arial"/>
          <w:sz w:val="20"/>
          <w:szCs w:val="20"/>
        </w:rPr>
        <w:t xml:space="preserve"> </w:t>
      </w:r>
    </w:p>
    <w:p w14:paraId="688C8FFA" w14:textId="7A1ABECF"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Palmer, C. W., Brito, L. F., Arteaga, A. A., Söderquist, L., Persson, Y., &amp; Barth, A. D. (2020). Comparison of electroejaculation and transrectal massage for semen collection in range and yearling feedlot beef bulls. </w:t>
      </w:r>
      <w:r w:rsidRPr="00B24DE2">
        <w:rPr>
          <w:rFonts w:ascii="Arial" w:hAnsi="Arial" w:cs="Arial"/>
          <w:i/>
          <w:iCs/>
          <w:sz w:val="20"/>
          <w:szCs w:val="20"/>
        </w:rPr>
        <w:t>Animal Reproduction Science</w:t>
      </w:r>
      <w:r w:rsidRPr="00FB44BA">
        <w:rPr>
          <w:rFonts w:ascii="Arial" w:hAnsi="Arial" w:cs="Arial"/>
          <w:sz w:val="20"/>
          <w:szCs w:val="20"/>
        </w:rPr>
        <w:t xml:space="preserve">, 87(1-2), 25-31. </w:t>
      </w:r>
      <w:hyperlink r:id="rId18" w:history="1">
        <w:r w:rsidR="00B24DE2" w:rsidRPr="00C6494E">
          <w:rPr>
            <w:rStyle w:val="Hyperlink"/>
            <w:rFonts w:ascii="Arial" w:hAnsi="Arial" w:cs="Arial"/>
            <w:sz w:val="20"/>
            <w:szCs w:val="20"/>
          </w:rPr>
          <w:t>https://doi.org/10.1016/j.anireprosci.2004.11.005</w:t>
        </w:r>
      </w:hyperlink>
      <w:r w:rsidR="00B24DE2">
        <w:rPr>
          <w:rFonts w:ascii="Arial" w:hAnsi="Arial" w:cs="Arial"/>
          <w:sz w:val="20"/>
          <w:szCs w:val="20"/>
        </w:rPr>
        <w:t xml:space="preserve"> </w:t>
      </w:r>
    </w:p>
    <w:p w14:paraId="737C5F88" w14:textId="66E0F407"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Prakash, A., Kumar, V., Ahmad, T., Bharti, P., &amp; Kumar, A. (2021). Validation of commercial enzyme immunoassays for reproductive hormone analysis in bovines: A comprehensive review. </w:t>
      </w:r>
      <w:r w:rsidRPr="00B24DE2">
        <w:rPr>
          <w:rFonts w:ascii="Arial" w:hAnsi="Arial" w:cs="Arial"/>
          <w:i/>
          <w:iCs/>
          <w:sz w:val="20"/>
          <w:szCs w:val="20"/>
        </w:rPr>
        <w:t>Animal Reproduction Science</w:t>
      </w:r>
      <w:r w:rsidRPr="00FB44BA">
        <w:rPr>
          <w:rFonts w:ascii="Arial" w:hAnsi="Arial" w:cs="Arial"/>
          <w:sz w:val="20"/>
          <w:szCs w:val="20"/>
        </w:rPr>
        <w:t xml:space="preserve">, 225, 106685. </w:t>
      </w:r>
      <w:hyperlink r:id="rId19" w:history="1">
        <w:r w:rsidR="00B24DE2" w:rsidRPr="00C6494E">
          <w:rPr>
            <w:rStyle w:val="Hyperlink"/>
            <w:rFonts w:ascii="Arial" w:hAnsi="Arial" w:cs="Arial"/>
            <w:sz w:val="20"/>
            <w:szCs w:val="20"/>
          </w:rPr>
          <w:t>https://doi.org/10.1016/j.anireprosci.2021.106685</w:t>
        </w:r>
      </w:hyperlink>
      <w:r w:rsidR="00B24DE2">
        <w:rPr>
          <w:rFonts w:ascii="Arial" w:hAnsi="Arial" w:cs="Arial"/>
          <w:sz w:val="20"/>
          <w:szCs w:val="20"/>
        </w:rPr>
        <w:t xml:space="preserve"> </w:t>
      </w:r>
    </w:p>
    <w:p w14:paraId="0569CBF6" w14:textId="234AEF39"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Rawlings, N. C., Evans, A. C., </w:t>
      </w:r>
      <w:proofErr w:type="spellStart"/>
      <w:r w:rsidRPr="00FB44BA">
        <w:rPr>
          <w:rFonts w:ascii="Arial" w:hAnsi="Arial" w:cs="Arial"/>
          <w:sz w:val="20"/>
          <w:szCs w:val="20"/>
        </w:rPr>
        <w:t>Chandolia</w:t>
      </w:r>
      <w:proofErr w:type="spellEnd"/>
      <w:r w:rsidRPr="00FB44BA">
        <w:rPr>
          <w:rFonts w:ascii="Arial" w:hAnsi="Arial" w:cs="Arial"/>
          <w:sz w:val="20"/>
          <w:szCs w:val="20"/>
        </w:rPr>
        <w:t xml:space="preserve">, R. K., &amp; Bagu, E. T. (2020). Sexual maturation in the bull. </w:t>
      </w:r>
      <w:r w:rsidRPr="00B24DE2">
        <w:rPr>
          <w:rFonts w:ascii="Arial" w:hAnsi="Arial" w:cs="Arial"/>
          <w:i/>
          <w:iCs/>
          <w:sz w:val="20"/>
          <w:szCs w:val="20"/>
        </w:rPr>
        <w:t>Reproduction in Domestic Animal</w:t>
      </w:r>
      <w:r w:rsidRPr="00FB44BA">
        <w:rPr>
          <w:rFonts w:ascii="Arial" w:hAnsi="Arial" w:cs="Arial"/>
          <w:sz w:val="20"/>
          <w:szCs w:val="20"/>
        </w:rPr>
        <w:t xml:space="preserve">s, 43(Suppl 2), 295-301. </w:t>
      </w:r>
      <w:hyperlink r:id="rId20" w:history="1">
        <w:r w:rsidR="00B24DE2" w:rsidRPr="00C6494E">
          <w:rPr>
            <w:rStyle w:val="Hyperlink"/>
            <w:rFonts w:ascii="Arial" w:hAnsi="Arial" w:cs="Arial"/>
            <w:sz w:val="20"/>
            <w:szCs w:val="20"/>
          </w:rPr>
          <w:t>https://doi.org/10.1111/j.1439-0531.2008.01177.x</w:t>
        </w:r>
      </w:hyperlink>
      <w:r w:rsidR="00B24DE2">
        <w:rPr>
          <w:rFonts w:ascii="Arial" w:hAnsi="Arial" w:cs="Arial"/>
          <w:sz w:val="20"/>
          <w:szCs w:val="20"/>
        </w:rPr>
        <w:t xml:space="preserve"> </w:t>
      </w:r>
    </w:p>
    <w:p w14:paraId="46C2510B" w14:textId="5F29D2C5"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Rodriguez-Martinez, H. (2018). Laboratory semen assessment and prediction of fertility: Still utopia? </w:t>
      </w:r>
      <w:r w:rsidRPr="00B24DE2">
        <w:rPr>
          <w:rFonts w:ascii="Arial" w:hAnsi="Arial" w:cs="Arial"/>
          <w:i/>
          <w:iCs/>
          <w:sz w:val="20"/>
          <w:szCs w:val="20"/>
        </w:rPr>
        <w:t>Reproduction in Domestic Animals</w:t>
      </w:r>
      <w:r w:rsidRPr="00FB44BA">
        <w:rPr>
          <w:rFonts w:ascii="Arial" w:hAnsi="Arial" w:cs="Arial"/>
          <w:sz w:val="20"/>
          <w:szCs w:val="20"/>
        </w:rPr>
        <w:t xml:space="preserve">, 38(4), 312-318. </w:t>
      </w:r>
      <w:hyperlink r:id="rId21" w:history="1">
        <w:r w:rsidR="00B24DE2" w:rsidRPr="00C6494E">
          <w:rPr>
            <w:rStyle w:val="Hyperlink"/>
            <w:rFonts w:ascii="Arial" w:hAnsi="Arial" w:cs="Arial"/>
            <w:sz w:val="20"/>
            <w:szCs w:val="20"/>
          </w:rPr>
          <w:t>https://doi.org/10.1046/j.1439-0531.2003.00436.x</w:t>
        </w:r>
      </w:hyperlink>
      <w:r w:rsidR="00B24DE2">
        <w:rPr>
          <w:rFonts w:ascii="Arial" w:hAnsi="Arial" w:cs="Arial"/>
          <w:sz w:val="20"/>
          <w:szCs w:val="20"/>
        </w:rPr>
        <w:t xml:space="preserve"> </w:t>
      </w:r>
    </w:p>
    <w:p w14:paraId="27ABE113" w14:textId="3270B513" w:rsidR="003105DE" w:rsidRPr="00B24DE2"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Saacke, R. G., Nadir, S., &amp; Nebel, R. L. (2019). Relationship of semen quality to sperm </w:t>
      </w:r>
      <w:proofErr w:type="spellStart"/>
      <w:proofErr w:type="gramStart"/>
      <w:r w:rsidRPr="00FB44BA">
        <w:rPr>
          <w:rFonts w:ascii="Arial" w:hAnsi="Arial" w:cs="Arial"/>
          <w:sz w:val="20"/>
          <w:szCs w:val="20"/>
        </w:rPr>
        <w:t>transport,fertilization</w:t>
      </w:r>
      <w:proofErr w:type="spellEnd"/>
      <w:proofErr w:type="gramEnd"/>
      <w:r w:rsidRPr="00FB44BA">
        <w:rPr>
          <w:rFonts w:ascii="Arial" w:hAnsi="Arial" w:cs="Arial"/>
          <w:sz w:val="20"/>
          <w:szCs w:val="20"/>
        </w:rPr>
        <w:t xml:space="preserve">, and embryo quality in ruminants. </w:t>
      </w:r>
      <w:r w:rsidRPr="00B24DE2">
        <w:rPr>
          <w:rFonts w:ascii="Arial" w:hAnsi="Arial" w:cs="Arial"/>
          <w:i/>
          <w:iCs/>
          <w:sz w:val="20"/>
          <w:szCs w:val="20"/>
        </w:rPr>
        <w:t xml:space="preserve">Theriogenology, </w:t>
      </w:r>
      <w:r w:rsidRPr="00B24DE2">
        <w:rPr>
          <w:rFonts w:ascii="Arial" w:hAnsi="Arial" w:cs="Arial"/>
          <w:sz w:val="20"/>
          <w:szCs w:val="20"/>
        </w:rPr>
        <w:t xml:space="preserve">29(2), 407-418. </w:t>
      </w:r>
      <w:hyperlink r:id="rId22" w:history="1">
        <w:r w:rsidR="00B24DE2" w:rsidRPr="00B24DE2">
          <w:rPr>
            <w:rStyle w:val="Hyperlink"/>
            <w:rFonts w:ascii="Arial" w:hAnsi="Arial" w:cs="Arial"/>
            <w:sz w:val="20"/>
            <w:szCs w:val="20"/>
          </w:rPr>
          <w:t>https://doi.org/10.1016/0093-691X(88)90167-8</w:t>
        </w:r>
      </w:hyperlink>
      <w:r w:rsidR="00B24DE2" w:rsidRPr="00B24DE2">
        <w:rPr>
          <w:rFonts w:ascii="Arial" w:hAnsi="Arial" w:cs="Arial"/>
          <w:sz w:val="20"/>
          <w:szCs w:val="20"/>
        </w:rPr>
        <w:t xml:space="preserve"> </w:t>
      </w:r>
    </w:p>
    <w:p w14:paraId="07E653B9" w14:textId="2D435294"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Santos, J. E., </w:t>
      </w:r>
      <w:proofErr w:type="spellStart"/>
      <w:r w:rsidRPr="00FB44BA">
        <w:rPr>
          <w:rFonts w:ascii="Arial" w:hAnsi="Arial" w:cs="Arial"/>
          <w:sz w:val="20"/>
          <w:szCs w:val="20"/>
        </w:rPr>
        <w:t>Bisinotto</w:t>
      </w:r>
      <w:proofErr w:type="spellEnd"/>
      <w:r w:rsidRPr="00FB44BA">
        <w:rPr>
          <w:rFonts w:ascii="Arial" w:hAnsi="Arial" w:cs="Arial"/>
          <w:sz w:val="20"/>
          <w:szCs w:val="20"/>
        </w:rPr>
        <w:t xml:space="preserve">, R. S., Ribeiro, E. S., Lima, F. S., Greco, L. F., Staples, C. R., &amp; Thatcher, W. W. (2021). Applying nutrition and physiology to improve reproduction in dairy cattle. </w:t>
      </w:r>
      <w:r w:rsidRPr="00B24DE2">
        <w:rPr>
          <w:rFonts w:ascii="Arial" w:hAnsi="Arial" w:cs="Arial"/>
          <w:i/>
          <w:iCs/>
          <w:sz w:val="20"/>
          <w:szCs w:val="20"/>
        </w:rPr>
        <w:t>Society of Reproduction and Fertility</w:t>
      </w:r>
      <w:r w:rsidRPr="00FB44BA">
        <w:rPr>
          <w:rFonts w:ascii="Arial" w:hAnsi="Arial" w:cs="Arial"/>
          <w:sz w:val="20"/>
          <w:szCs w:val="20"/>
        </w:rPr>
        <w:t xml:space="preserve">, 67, 387-403. </w:t>
      </w:r>
      <w:hyperlink r:id="rId23" w:history="1">
        <w:r w:rsidR="00B24DE2" w:rsidRPr="00C6494E">
          <w:rPr>
            <w:rStyle w:val="Hyperlink"/>
            <w:rFonts w:ascii="Arial" w:hAnsi="Arial" w:cs="Arial"/>
            <w:sz w:val="20"/>
            <w:szCs w:val="20"/>
          </w:rPr>
          <w:t>https://doi.org/10.7313/UPO9781907284991.030</w:t>
        </w:r>
      </w:hyperlink>
      <w:r w:rsidR="00B24DE2">
        <w:rPr>
          <w:rFonts w:ascii="Arial" w:hAnsi="Arial" w:cs="Arial"/>
          <w:sz w:val="20"/>
          <w:szCs w:val="20"/>
        </w:rPr>
        <w:t xml:space="preserve"> </w:t>
      </w:r>
    </w:p>
    <w:p w14:paraId="2A268E11" w14:textId="733F5136"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lastRenderedPageBreak/>
        <w:t xml:space="preserve">Tatman, S. R., Neuendorff, D. A., Wilson, T. W., &amp; Randel, R. D. (2021). Influence of season of birth on growth and reproductive development of Brahman bulls. </w:t>
      </w:r>
      <w:r w:rsidRPr="00B24DE2">
        <w:rPr>
          <w:rFonts w:ascii="Arial" w:hAnsi="Arial" w:cs="Arial"/>
          <w:i/>
          <w:iCs/>
          <w:sz w:val="20"/>
          <w:szCs w:val="20"/>
        </w:rPr>
        <w:t>Theriogenology</w:t>
      </w:r>
      <w:r w:rsidRPr="00FB44BA">
        <w:rPr>
          <w:rFonts w:ascii="Arial" w:hAnsi="Arial" w:cs="Arial"/>
          <w:sz w:val="20"/>
          <w:szCs w:val="20"/>
        </w:rPr>
        <w:t xml:space="preserve">, 62(1-2), 93-102. </w:t>
      </w:r>
      <w:hyperlink r:id="rId24" w:history="1">
        <w:r w:rsidR="00B24DE2" w:rsidRPr="00C6494E">
          <w:rPr>
            <w:rStyle w:val="Hyperlink"/>
            <w:rFonts w:ascii="Arial" w:hAnsi="Arial" w:cs="Arial"/>
            <w:sz w:val="20"/>
            <w:szCs w:val="20"/>
          </w:rPr>
          <w:t>https://doi.org/10.1016/j.theriogenology.2003.08.014</w:t>
        </w:r>
      </w:hyperlink>
      <w:r w:rsidR="00B24DE2">
        <w:rPr>
          <w:rFonts w:ascii="Arial" w:hAnsi="Arial" w:cs="Arial"/>
          <w:sz w:val="20"/>
          <w:szCs w:val="20"/>
        </w:rPr>
        <w:t xml:space="preserve"> </w:t>
      </w:r>
    </w:p>
    <w:p w14:paraId="2424DBF3" w14:textId="6BCD1FF6" w:rsidR="003105DE" w:rsidRPr="00FB44BA" w:rsidRDefault="003105DE" w:rsidP="00B24DE2">
      <w:pPr>
        <w:tabs>
          <w:tab w:val="left" w:pos="360"/>
        </w:tabs>
        <w:spacing w:after="0" w:line="240" w:lineRule="auto"/>
        <w:ind w:left="360" w:hanging="360"/>
        <w:jc w:val="both"/>
        <w:rPr>
          <w:rFonts w:ascii="Arial" w:hAnsi="Arial" w:cs="Arial"/>
          <w:sz w:val="20"/>
          <w:szCs w:val="20"/>
        </w:rPr>
      </w:pPr>
      <w:proofErr w:type="spellStart"/>
      <w:r w:rsidRPr="00FB44BA">
        <w:rPr>
          <w:rFonts w:ascii="Arial" w:hAnsi="Arial" w:cs="Arial"/>
          <w:sz w:val="20"/>
          <w:szCs w:val="20"/>
        </w:rPr>
        <w:t>Thundathil</w:t>
      </w:r>
      <w:proofErr w:type="spellEnd"/>
      <w:r w:rsidRPr="00FB44BA">
        <w:rPr>
          <w:rFonts w:ascii="Arial" w:hAnsi="Arial" w:cs="Arial"/>
          <w:sz w:val="20"/>
          <w:szCs w:val="20"/>
        </w:rPr>
        <w:t xml:space="preserve">, J., Meyer, A., Palasz, A. T., Barth, A. D., &amp; </w:t>
      </w:r>
      <w:proofErr w:type="spellStart"/>
      <w:r w:rsidRPr="00FB44BA">
        <w:rPr>
          <w:rFonts w:ascii="Arial" w:hAnsi="Arial" w:cs="Arial"/>
          <w:sz w:val="20"/>
          <w:szCs w:val="20"/>
        </w:rPr>
        <w:t>Mapletoft</w:t>
      </w:r>
      <w:proofErr w:type="spellEnd"/>
      <w:r w:rsidRPr="00FB44BA">
        <w:rPr>
          <w:rFonts w:ascii="Arial" w:hAnsi="Arial" w:cs="Arial"/>
          <w:sz w:val="20"/>
          <w:szCs w:val="20"/>
        </w:rPr>
        <w:t xml:space="preserve">, R. J. (2019). Effect of the knobbed acrosome defect in bovine sperm on IVF and embryo production. </w:t>
      </w:r>
      <w:r w:rsidRPr="00702D30">
        <w:rPr>
          <w:rFonts w:ascii="Arial" w:hAnsi="Arial" w:cs="Arial"/>
          <w:i/>
          <w:iCs/>
          <w:sz w:val="20"/>
          <w:szCs w:val="20"/>
        </w:rPr>
        <w:t>Theriogenology,</w:t>
      </w:r>
      <w:r w:rsidRPr="00FB44BA">
        <w:rPr>
          <w:rFonts w:ascii="Arial" w:hAnsi="Arial" w:cs="Arial"/>
          <w:sz w:val="20"/>
          <w:szCs w:val="20"/>
        </w:rPr>
        <w:t xml:space="preserve"> 54(6), 921-934. </w:t>
      </w:r>
      <w:hyperlink r:id="rId25" w:history="1">
        <w:r w:rsidR="00B24DE2" w:rsidRPr="00C6494E">
          <w:rPr>
            <w:rStyle w:val="Hyperlink"/>
            <w:rFonts w:ascii="Arial" w:hAnsi="Arial" w:cs="Arial"/>
            <w:sz w:val="20"/>
            <w:szCs w:val="20"/>
          </w:rPr>
          <w:t>https://doi.org/10.1016/S0093-691X(00)00402-7</w:t>
        </w:r>
      </w:hyperlink>
      <w:r w:rsidR="00B24DE2">
        <w:rPr>
          <w:rFonts w:ascii="Arial" w:hAnsi="Arial" w:cs="Arial"/>
          <w:sz w:val="20"/>
          <w:szCs w:val="20"/>
        </w:rPr>
        <w:t xml:space="preserve"> </w:t>
      </w:r>
    </w:p>
    <w:p w14:paraId="3516AE7A" w14:textId="33B18AC8"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Walsh, S. W., Williams, E. J., &amp; Evans, A. C. (2019). A review of the causes of poor fertility in high milk producing dairy cows. </w:t>
      </w:r>
      <w:r w:rsidRPr="00702D30">
        <w:rPr>
          <w:rFonts w:ascii="Arial" w:hAnsi="Arial" w:cs="Arial"/>
          <w:i/>
          <w:iCs/>
          <w:sz w:val="20"/>
          <w:szCs w:val="20"/>
        </w:rPr>
        <w:t>Animal Reproduction Science,</w:t>
      </w:r>
      <w:r w:rsidR="00702D30">
        <w:rPr>
          <w:rFonts w:ascii="Arial" w:hAnsi="Arial" w:cs="Arial"/>
          <w:i/>
          <w:iCs/>
          <w:sz w:val="20"/>
          <w:szCs w:val="20"/>
        </w:rPr>
        <w:t xml:space="preserve"> </w:t>
      </w:r>
      <w:r w:rsidRPr="00FB44BA">
        <w:rPr>
          <w:rFonts w:ascii="Arial" w:hAnsi="Arial" w:cs="Arial"/>
          <w:sz w:val="20"/>
          <w:szCs w:val="20"/>
        </w:rPr>
        <w:t xml:space="preserve">123(3-4), 127-138. </w:t>
      </w:r>
      <w:hyperlink r:id="rId26" w:history="1">
        <w:r w:rsidR="00702D30" w:rsidRPr="00C6494E">
          <w:rPr>
            <w:rStyle w:val="Hyperlink"/>
            <w:rFonts w:ascii="Arial" w:hAnsi="Arial" w:cs="Arial"/>
            <w:sz w:val="20"/>
            <w:szCs w:val="20"/>
          </w:rPr>
          <w:t>https://doi.org/10.1016/j.anireprosci.2010.11.007</w:t>
        </w:r>
      </w:hyperlink>
      <w:r w:rsidR="00702D30">
        <w:rPr>
          <w:rFonts w:ascii="Arial" w:hAnsi="Arial" w:cs="Arial"/>
          <w:sz w:val="20"/>
          <w:szCs w:val="20"/>
        </w:rPr>
        <w:t xml:space="preserve"> </w:t>
      </w:r>
    </w:p>
    <w:p w14:paraId="423056D0" w14:textId="7ABBE830"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Walters, A. H., Eyestone, W. E., Saacke, R. G., Pearson, R. E., &amp; </w:t>
      </w:r>
      <w:proofErr w:type="spellStart"/>
      <w:r w:rsidRPr="00FB44BA">
        <w:rPr>
          <w:rFonts w:ascii="Arial" w:hAnsi="Arial" w:cs="Arial"/>
          <w:sz w:val="20"/>
          <w:szCs w:val="20"/>
        </w:rPr>
        <w:t>Gwazdauskas</w:t>
      </w:r>
      <w:proofErr w:type="spellEnd"/>
      <w:r w:rsidRPr="00FB44BA">
        <w:rPr>
          <w:rFonts w:ascii="Arial" w:hAnsi="Arial" w:cs="Arial"/>
          <w:sz w:val="20"/>
          <w:szCs w:val="20"/>
        </w:rPr>
        <w:t xml:space="preserve">, F. C. (2019). Sperm morphology and preparation method affect bovine embryonic development. </w:t>
      </w:r>
      <w:r w:rsidRPr="00702D30">
        <w:rPr>
          <w:rFonts w:ascii="Arial" w:hAnsi="Arial" w:cs="Arial"/>
          <w:i/>
          <w:iCs/>
          <w:sz w:val="20"/>
          <w:szCs w:val="20"/>
        </w:rPr>
        <w:t>Journal of Andrology</w:t>
      </w:r>
      <w:r w:rsidRPr="00FB44BA">
        <w:rPr>
          <w:rFonts w:ascii="Arial" w:hAnsi="Arial" w:cs="Arial"/>
          <w:sz w:val="20"/>
          <w:szCs w:val="20"/>
        </w:rPr>
        <w:t xml:space="preserve">, 25(4), 554-563. </w:t>
      </w:r>
      <w:hyperlink r:id="rId27" w:history="1">
        <w:r w:rsidR="00702D30" w:rsidRPr="00C6494E">
          <w:rPr>
            <w:rStyle w:val="Hyperlink"/>
            <w:rFonts w:ascii="Arial" w:hAnsi="Arial" w:cs="Arial"/>
            <w:sz w:val="20"/>
            <w:szCs w:val="20"/>
          </w:rPr>
          <w:t>https://doi.org/10.1002/j.1939-4640.2004.tb02826.x</w:t>
        </w:r>
      </w:hyperlink>
      <w:r w:rsidR="00702D30">
        <w:rPr>
          <w:rFonts w:ascii="Arial" w:hAnsi="Arial" w:cs="Arial"/>
          <w:sz w:val="20"/>
          <w:szCs w:val="20"/>
        </w:rPr>
        <w:t xml:space="preserve"> </w:t>
      </w:r>
    </w:p>
    <w:p w14:paraId="0B54FB34" w14:textId="2DEF192F" w:rsidR="00F425D5" w:rsidRPr="00FB44BA" w:rsidRDefault="003105DE" w:rsidP="00B24DE2">
      <w:pPr>
        <w:tabs>
          <w:tab w:val="left" w:pos="360"/>
        </w:tabs>
        <w:spacing w:after="0" w:line="240" w:lineRule="auto"/>
        <w:ind w:left="360" w:hanging="360"/>
        <w:jc w:val="both"/>
        <w:rPr>
          <w:rFonts w:ascii="Arial" w:hAnsi="Arial" w:cs="Arial"/>
          <w:sz w:val="20"/>
          <w:szCs w:val="20"/>
        </w:rPr>
      </w:pPr>
      <w:proofErr w:type="spellStart"/>
      <w:r w:rsidRPr="00FB44BA">
        <w:rPr>
          <w:rFonts w:ascii="Arial" w:hAnsi="Arial" w:cs="Arial"/>
          <w:sz w:val="20"/>
          <w:szCs w:val="20"/>
        </w:rPr>
        <w:t>Wolfenson</w:t>
      </w:r>
      <w:proofErr w:type="spellEnd"/>
      <w:r w:rsidRPr="00FB44BA">
        <w:rPr>
          <w:rFonts w:ascii="Arial" w:hAnsi="Arial" w:cs="Arial"/>
          <w:sz w:val="20"/>
          <w:szCs w:val="20"/>
        </w:rPr>
        <w:t xml:space="preserve">, D., Roth, Z., &amp; </w:t>
      </w:r>
      <w:proofErr w:type="spellStart"/>
      <w:r w:rsidRPr="00FB44BA">
        <w:rPr>
          <w:rFonts w:ascii="Arial" w:hAnsi="Arial" w:cs="Arial"/>
          <w:sz w:val="20"/>
          <w:szCs w:val="20"/>
        </w:rPr>
        <w:t>Meidan</w:t>
      </w:r>
      <w:proofErr w:type="spellEnd"/>
      <w:r w:rsidRPr="00FB44BA">
        <w:rPr>
          <w:rFonts w:ascii="Arial" w:hAnsi="Arial" w:cs="Arial"/>
          <w:sz w:val="20"/>
          <w:szCs w:val="20"/>
        </w:rPr>
        <w:t xml:space="preserve">, R. (2018). Impaired reproduction in heat-stressed cattle: Basic and applied aspects. </w:t>
      </w:r>
      <w:r w:rsidRPr="00702D30">
        <w:rPr>
          <w:rFonts w:ascii="Arial" w:hAnsi="Arial" w:cs="Arial"/>
          <w:i/>
          <w:iCs/>
          <w:sz w:val="20"/>
          <w:szCs w:val="20"/>
        </w:rPr>
        <w:t>Animal Reproduction Science,</w:t>
      </w:r>
      <w:r w:rsidRPr="00FB44BA">
        <w:rPr>
          <w:rFonts w:ascii="Arial" w:hAnsi="Arial" w:cs="Arial"/>
          <w:sz w:val="20"/>
          <w:szCs w:val="20"/>
        </w:rPr>
        <w:t xml:space="preserve"> 60-61, 535-547. </w:t>
      </w:r>
      <w:hyperlink r:id="rId28" w:history="1">
        <w:r w:rsidR="00702D30" w:rsidRPr="00C6494E">
          <w:rPr>
            <w:rStyle w:val="Hyperlink"/>
            <w:rFonts w:ascii="Arial" w:hAnsi="Arial" w:cs="Arial"/>
            <w:sz w:val="20"/>
            <w:szCs w:val="20"/>
          </w:rPr>
          <w:t>https://doi.org/10.1016/S0378-4320(00)00102-0</w:t>
        </w:r>
      </w:hyperlink>
      <w:r w:rsidR="00702D30">
        <w:rPr>
          <w:rFonts w:ascii="Arial" w:hAnsi="Arial" w:cs="Arial"/>
          <w:sz w:val="20"/>
          <w:szCs w:val="20"/>
        </w:rPr>
        <w:t xml:space="preserve"> </w:t>
      </w:r>
    </w:p>
    <w:sectPr w:rsidR="00F425D5" w:rsidRPr="00FB44BA" w:rsidSect="008707B6">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14868" w14:textId="77777777" w:rsidR="00DE58E7" w:rsidRDefault="00DE58E7" w:rsidP="009A7825">
      <w:pPr>
        <w:spacing w:after="0" w:line="240" w:lineRule="auto"/>
      </w:pPr>
      <w:r>
        <w:separator/>
      </w:r>
    </w:p>
  </w:endnote>
  <w:endnote w:type="continuationSeparator" w:id="0">
    <w:p w14:paraId="18C639EA" w14:textId="77777777" w:rsidR="00DE58E7" w:rsidRDefault="00DE58E7" w:rsidP="009A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0D45" w14:textId="77777777" w:rsidR="008707B6" w:rsidRDefault="00870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D6ECB" w14:textId="77777777" w:rsidR="008707B6" w:rsidRDefault="00870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BBC0" w14:textId="77777777" w:rsidR="008707B6" w:rsidRDefault="00870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8DBDB" w14:textId="77777777" w:rsidR="00DE58E7" w:rsidRDefault="00DE58E7" w:rsidP="009A7825">
      <w:pPr>
        <w:spacing w:after="0" w:line="240" w:lineRule="auto"/>
      </w:pPr>
      <w:r>
        <w:separator/>
      </w:r>
    </w:p>
  </w:footnote>
  <w:footnote w:type="continuationSeparator" w:id="0">
    <w:p w14:paraId="7936DCF2" w14:textId="77777777" w:rsidR="00DE58E7" w:rsidRDefault="00DE58E7" w:rsidP="009A7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7DFC3" w14:textId="34649707" w:rsidR="008707B6" w:rsidRDefault="008707B6">
    <w:pPr>
      <w:pStyle w:val="Header"/>
    </w:pPr>
    <w:r>
      <w:rPr>
        <w:noProof/>
      </w:rPr>
      <w:pict w14:anchorId="2C14C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912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363BE" w14:textId="4F39DBCD" w:rsidR="008707B6" w:rsidRDefault="008707B6">
    <w:pPr>
      <w:pStyle w:val="Header"/>
    </w:pPr>
    <w:r>
      <w:rPr>
        <w:noProof/>
      </w:rPr>
      <w:pict w14:anchorId="69391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912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98044" w14:textId="498DBFA4" w:rsidR="008707B6" w:rsidRDefault="008707B6">
    <w:pPr>
      <w:pStyle w:val="Header"/>
    </w:pPr>
    <w:r>
      <w:rPr>
        <w:noProof/>
      </w:rPr>
      <w:pict w14:anchorId="6A729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912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870E2"/>
    <w:multiLevelType w:val="hybridMultilevel"/>
    <w:tmpl w:val="CCEE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273C6"/>
    <w:multiLevelType w:val="hybridMultilevel"/>
    <w:tmpl w:val="76EE1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74562"/>
    <w:multiLevelType w:val="hybridMultilevel"/>
    <w:tmpl w:val="C0CA9D6C"/>
    <w:lvl w:ilvl="0" w:tplc="84EE2B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565489">
    <w:abstractNumId w:val="1"/>
  </w:num>
  <w:num w:numId="2" w16cid:durableId="1624536791">
    <w:abstractNumId w:val="0"/>
  </w:num>
  <w:num w:numId="3" w16cid:durableId="424232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8F"/>
    <w:rsid w:val="0002278B"/>
    <w:rsid w:val="00031023"/>
    <w:rsid w:val="000319C4"/>
    <w:rsid w:val="00072BAC"/>
    <w:rsid w:val="00072DF1"/>
    <w:rsid w:val="00074945"/>
    <w:rsid w:val="000B22D3"/>
    <w:rsid w:val="000D0985"/>
    <w:rsid w:val="000F0C02"/>
    <w:rsid w:val="000F3C2B"/>
    <w:rsid w:val="000F528F"/>
    <w:rsid w:val="00114E83"/>
    <w:rsid w:val="001511AF"/>
    <w:rsid w:val="0016461C"/>
    <w:rsid w:val="001722E2"/>
    <w:rsid w:val="00173F4A"/>
    <w:rsid w:val="00184FF7"/>
    <w:rsid w:val="0019402F"/>
    <w:rsid w:val="001A10E4"/>
    <w:rsid w:val="001A304E"/>
    <w:rsid w:val="001B2193"/>
    <w:rsid w:val="001B725B"/>
    <w:rsid w:val="001C14F2"/>
    <w:rsid w:val="001C27CA"/>
    <w:rsid w:val="001D1961"/>
    <w:rsid w:val="001D417E"/>
    <w:rsid w:val="001F0F7C"/>
    <w:rsid w:val="002012D9"/>
    <w:rsid w:val="00213A88"/>
    <w:rsid w:val="00225EDE"/>
    <w:rsid w:val="00237683"/>
    <w:rsid w:val="00242894"/>
    <w:rsid w:val="00257BC0"/>
    <w:rsid w:val="00271300"/>
    <w:rsid w:val="002764F3"/>
    <w:rsid w:val="00291D49"/>
    <w:rsid w:val="002B6081"/>
    <w:rsid w:val="002C2626"/>
    <w:rsid w:val="002C4A7F"/>
    <w:rsid w:val="002D18D5"/>
    <w:rsid w:val="002D6C39"/>
    <w:rsid w:val="003105DE"/>
    <w:rsid w:val="00362530"/>
    <w:rsid w:val="00364F14"/>
    <w:rsid w:val="00370696"/>
    <w:rsid w:val="003A27B7"/>
    <w:rsid w:val="003E0383"/>
    <w:rsid w:val="003F1304"/>
    <w:rsid w:val="00427E3B"/>
    <w:rsid w:val="004349A9"/>
    <w:rsid w:val="004365E0"/>
    <w:rsid w:val="00465F81"/>
    <w:rsid w:val="00466181"/>
    <w:rsid w:val="00477F1E"/>
    <w:rsid w:val="004A675A"/>
    <w:rsid w:val="004A7064"/>
    <w:rsid w:val="004B6D3D"/>
    <w:rsid w:val="004D7F99"/>
    <w:rsid w:val="004E5900"/>
    <w:rsid w:val="004F30FE"/>
    <w:rsid w:val="004F48AE"/>
    <w:rsid w:val="00500061"/>
    <w:rsid w:val="00514695"/>
    <w:rsid w:val="00515A4A"/>
    <w:rsid w:val="00544454"/>
    <w:rsid w:val="00552762"/>
    <w:rsid w:val="005671AF"/>
    <w:rsid w:val="00570B39"/>
    <w:rsid w:val="00573D0F"/>
    <w:rsid w:val="00591E3A"/>
    <w:rsid w:val="005B588F"/>
    <w:rsid w:val="005E70FB"/>
    <w:rsid w:val="005F0B5E"/>
    <w:rsid w:val="005F1ABB"/>
    <w:rsid w:val="006158E7"/>
    <w:rsid w:val="00625D7D"/>
    <w:rsid w:val="00633C99"/>
    <w:rsid w:val="00680BD9"/>
    <w:rsid w:val="006874DE"/>
    <w:rsid w:val="00687DB4"/>
    <w:rsid w:val="006B4B91"/>
    <w:rsid w:val="006C6C53"/>
    <w:rsid w:val="006D580F"/>
    <w:rsid w:val="006E68B3"/>
    <w:rsid w:val="00702D30"/>
    <w:rsid w:val="0071070E"/>
    <w:rsid w:val="00714B37"/>
    <w:rsid w:val="00725B3A"/>
    <w:rsid w:val="00730387"/>
    <w:rsid w:val="007508F6"/>
    <w:rsid w:val="00750EE9"/>
    <w:rsid w:val="0076561C"/>
    <w:rsid w:val="007713B8"/>
    <w:rsid w:val="00795A4A"/>
    <w:rsid w:val="00797FF6"/>
    <w:rsid w:val="007B5B6A"/>
    <w:rsid w:val="007B7A06"/>
    <w:rsid w:val="007C0607"/>
    <w:rsid w:val="007C2FBA"/>
    <w:rsid w:val="007C7F5D"/>
    <w:rsid w:val="007E2790"/>
    <w:rsid w:val="007E6384"/>
    <w:rsid w:val="008179A1"/>
    <w:rsid w:val="0082251B"/>
    <w:rsid w:val="008242FE"/>
    <w:rsid w:val="00831BBA"/>
    <w:rsid w:val="00842665"/>
    <w:rsid w:val="0085766A"/>
    <w:rsid w:val="008707B6"/>
    <w:rsid w:val="00880DCD"/>
    <w:rsid w:val="00891A83"/>
    <w:rsid w:val="0089590B"/>
    <w:rsid w:val="008A57CB"/>
    <w:rsid w:val="008B7D0C"/>
    <w:rsid w:val="008F2A2F"/>
    <w:rsid w:val="008F5A8F"/>
    <w:rsid w:val="009052E9"/>
    <w:rsid w:val="00972723"/>
    <w:rsid w:val="00987C7C"/>
    <w:rsid w:val="009A7825"/>
    <w:rsid w:val="009B37AE"/>
    <w:rsid w:val="009D7CEC"/>
    <w:rsid w:val="009E2763"/>
    <w:rsid w:val="009E3317"/>
    <w:rsid w:val="009E524E"/>
    <w:rsid w:val="009F30B8"/>
    <w:rsid w:val="009F7C14"/>
    <w:rsid w:val="00A17A33"/>
    <w:rsid w:val="00A318DD"/>
    <w:rsid w:val="00A47883"/>
    <w:rsid w:val="00A47B4C"/>
    <w:rsid w:val="00AC36B8"/>
    <w:rsid w:val="00AC435D"/>
    <w:rsid w:val="00AC7765"/>
    <w:rsid w:val="00AD5360"/>
    <w:rsid w:val="00AD6DB4"/>
    <w:rsid w:val="00AF5519"/>
    <w:rsid w:val="00B1787E"/>
    <w:rsid w:val="00B217CD"/>
    <w:rsid w:val="00B24DE2"/>
    <w:rsid w:val="00B443B6"/>
    <w:rsid w:val="00B56B02"/>
    <w:rsid w:val="00B648D1"/>
    <w:rsid w:val="00B809CC"/>
    <w:rsid w:val="00B82D75"/>
    <w:rsid w:val="00B92AC8"/>
    <w:rsid w:val="00BA4471"/>
    <w:rsid w:val="00BA702E"/>
    <w:rsid w:val="00BB5231"/>
    <w:rsid w:val="00BB644C"/>
    <w:rsid w:val="00BD7B59"/>
    <w:rsid w:val="00BF0E87"/>
    <w:rsid w:val="00BF204C"/>
    <w:rsid w:val="00C1074B"/>
    <w:rsid w:val="00C309F0"/>
    <w:rsid w:val="00C805F7"/>
    <w:rsid w:val="00C91F7C"/>
    <w:rsid w:val="00CA3686"/>
    <w:rsid w:val="00CA3818"/>
    <w:rsid w:val="00CA4404"/>
    <w:rsid w:val="00CB55F7"/>
    <w:rsid w:val="00CE39C5"/>
    <w:rsid w:val="00D003F4"/>
    <w:rsid w:val="00D15F08"/>
    <w:rsid w:val="00D72D54"/>
    <w:rsid w:val="00DA256D"/>
    <w:rsid w:val="00DC313C"/>
    <w:rsid w:val="00DC7C48"/>
    <w:rsid w:val="00DD05BF"/>
    <w:rsid w:val="00DD1677"/>
    <w:rsid w:val="00DE58E7"/>
    <w:rsid w:val="00E01F56"/>
    <w:rsid w:val="00E0410F"/>
    <w:rsid w:val="00E26D4D"/>
    <w:rsid w:val="00E86900"/>
    <w:rsid w:val="00E900AC"/>
    <w:rsid w:val="00E95FEA"/>
    <w:rsid w:val="00EE108F"/>
    <w:rsid w:val="00F0039E"/>
    <w:rsid w:val="00F00C31"/>
    <w:rsid w:val="00F1105C"/>
    <w:rsid w:val="00F425D5"/>
    <w:rsid w:val="00F4494C"/>
    <w:rsid w:val="00FB44BA"/>
    <w:rsid w:val="00FB5368"/>
    <w:rsid w:val="00FC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940D"/>
  <w15:chartTrackingRefBased/>
  <w15:docId w15:val="{8120D1FF-5958-485B-9FFD-A714A7CA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9402F"/>
    <w:pPr>
      <w:keepNext/>
      <w:keepLines/>
      <w:spacing w:after="0" w:line="240" w:lineRule="auto"/>
      <w:outlineLvl w:val="0"/>
    </w:pPr>
    <w:rPr>
      <w:rFonts w:ascii="Arial" w:eastAsiaTheme="majorEastAsia" w:hAnsi="Arial" w:cs="Arial"/>
      <w:b/>
    </w:rPr>
  </w:style>
  <w:style w:type="paragraph" w:styleId="Heading2">
    <w:name w:val="heading 2"/>
    <w:basedOn w:val="Normal"/>
    <w:next w:val="Normal"/>
    <w:link w:val="Heading2Char"/>
    <w:autoRedefine/>
    <w:uiPriority w:val="9"/>
    <w:unhideWhenUsed/>
    <w:qFormat/>
    <w:rsid w:val="008F5A8F"/>
    <w:pPr>
      <w:keepNext/>
      <w:keepLines/>
      <w:spacing w:after="0"/>
      <w:outlineLvl w:val="1"/>
    </w:pPr>
    <w:rPr>
      <w:rFonts w:ascii="Arial" w:eastAsiaTheme="majorEastAsia" w:hAnsi="Arial" w:cstheme="majorBidi"/>
      <w:b/>
      <w:szCs w:val="32"/>
    </w:rPr>
  </w:style>
  <w:style w:type="paragraph" w:styleId="Heading3">
    <w:name w:val="heading 3"/>
    <w:basedOn w:val="Normal"/>
    <w:next w:val="Normal"/>
    <w:link w:val="Heading3Char"/>
    <w:autoRedefine/>
    <w:uiPriority w:val="9"/>
    <w:unhideWhenUsed/>
    <w:qFormat/>
    <w:rsid w:val="008F5A8F"/>
    <w:pPr>
      <w:keepNext/>
      <w:keepLines/>
      <w:spacing w:after="0"/>
      <w:outlineLvl w:val="2"/>
    </w:pPr>
    <w:rPr>
      <w:rFonts w:ascii="Arial" w:eastAsiaTheme="majorEastAsia" w:hAnsi="Arial" w:cstheme="majorBidi"/>
      <w:b/>
      <w:sz w:val="20"/>
      <w:szCs w:val="28"/>
    </w:rPr>
  </w:style>
  <w:style w:type="paragraph" w:styleId="Heading4">
    <w:name w:val="heading 4"/>
    <w:basedOn w:val="Normal"/>
    <w:next w:val="Normal"/>
    <w:link w:val="Heading4Char"/>
    <w:uiPriority w:val="9"/>
    <w:semiHidden/>
    <w:unhideWhenUsed/>
    <w:qFormat/>
    <w:rsid w:val="000F52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52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52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2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2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2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02F"/>
    <w:rPr>
      <w:rFonts w:ascii="Arial" w:eastAsiaTheme="majorEastAsia" w:hAnsi="Arial" w:cs="Arial"/>
      <w:b/>
    </w:rPr>
  </w:style>
  <w:style w:type="character" w:customStyle="1" w:styleId="Heading2Char">
    <w:name w:val="Heading 2 Char"/>
    <w:basedOn w:val="DefaultParagraphFont"/>
    <w:link w:val="Heading2"/>
    <w:uiPriority w:val="9"/>
    <w:rsid w:val="008F5A8F"/>
    <w:rPr>
      <w:rFonts w:ascii="Arial" w:eastAsiaTheme="majorEastAsia" w:hAnsi="Arial" w:cstheme="majorBidi"/>
      <w:b/>
      <w:szCs w:val="32"/>
    </w:rPr>
  </w:style>
  <w:style w:type="character" w:customStyle="1" w:styleId="Heading3Char">
    <w:name w:val="Heading 3 Char"/>
    <w:basedOn w:val="DefaultParagraphFont"/>
    <w:link w:val="Heading3"/>
    <w:uiPriority w:val="9"/>
    <w:rsid w:val="008F5A8F"/>
    <w:rPr>
      <w:rFonts w:ascii="Arial" w:eastAsiaTheme="majorEastAsia" w:hAnsi="Arial" w:cstheme="majorBidi"/>
      <w:b/>
      <w:sz w:val="20"/>
      <w:szCs w:val="28"/>
    </w:rPr>
  </w:style>
  <w:style w:type="character" w:customStyle="1" w:styleId="Heading4Char">
    <w:name w:val="Heading 4 Char"/>
    <w:basedOn w:val="DefaultParagraphFont"/>
    <w:link w:val="Heading4"/>
    <w:uiPriority w:val="9"/>
    <w:semiHidden/>
    <w:rsid w:val="000F52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52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52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2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2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28F"/>
    <w:rPr>
      <w:rFonts w:eastAsiaTheme="majorEastAsia" w:cstheme="majorBidi"/>
      <w:color w:val="272727" w:themeColor="text1" w:themeTint="D8"/>
    </w:rPr>
  </w:style>
  <w:style w:type="paragraph" w:styleId="Title">
    <w:name w:val="Title"/>
    <w:basedOn w:val="Normal"/>
    <w:next w:val="Normal"/>
    <w:link w:val="TitleChar"/>
    <w:uiPriority w:val="10"/>
    <w:qFormat/>
    <w:rsid w:val="000F5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2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2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28F"/>
    <w:pPr>
      <w:spacing w:before="160"/>
      <w:jc w:val="center"/>
    </w:pPr>
    <w:rPr>
      <w:i/>
      <w:iCs/>
      <w:color w:val="404040" w:themeColor="text1" w:themeTint="BF"/>
    </w:rPr>
  </w:style>
  <w:style w:type="character" w:customStyle="1" w:styleId="QuoteChar">
    <w:name w:val="Quote Char"/>
    <w:basedOn w:val="DefaultParagraphFont"/>
    <w:link w:val="Quote"/>
    <w:uiPriority w:val="29"/>
    <w:rsid w:val="000F528F"/>
    <w:rPr>
      <w:i/>
      <w:iCs/>
      <w:color w:val="404040" w:themeColor="text1" w:themeTint="BF"/>
    </w:rPr>
  </w:style>
  <w:style w:type="paragraph" w:styleId="ListParagraph">
    <w:name w:val="List Paragraph"/>
    <w:basedOn w:val="Normal"/>
    <w:uiPriority w:val="34"/>
    <w:qFormat/>
    <w:rsid w:val="000F528F"/>
    <w:pPr>
      <w:ind w:left="720"/>
      <w:contextualSpacing/>
    </w:pPr>
  </w:style>
  <w:style w:type="character" w:styleId="IntenseEmphasis">
    <w:name w:val="Intense Emphasis"/>
    <w:basedOn w:val="DefaultParagraphFont"/>
    <w:uiPriority w:val="21"/>
    <w:qFormat/>
    <w:rsid w:val="000F528F"/>
    <w:rPr>
      <w:i/>
      <w:iCs/>
      <w:color w:val="2F5496" w:themeColor="accent1" w:themeShade="BF"/>
    </w:rPr>
  </w:style>
  <w:style w:type="paragraph" w:styleId="IntenseQuote">
    <w:name w:val="Intense Quote"/>
    <w:basedOn w:val="Normal"/>
    <w:next w:val="Normal"/>
    <w:link w:val="IntenseQuoteChar"/>
    <w:uiPriority w:val="30"/>
    <w:qFormat/>
    <w:rsid w:val="000F5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528F"/>
    <w:rPr>
      <w:i/>
      <w:iCs/>
      <w:color w:val="2F5496" w:themeColor="accent1" w:themeShade="BF"/>
    </w:rPr>
  </w:style>
  <w:style w:type="character" w:styleId="IntenseReference">
    <w:name w:val="Intense Reference"/>
    <w:basedOn w:val="DefaultParagraphFont"/>
    <w:uiPriority w:val="32"/>
    <w:qFormat/>
    <w:rsid w:val="000F528F"/>
    <w:rPr>
      <w:b/>
      <w:bCs/>
      <w:smallCaps/>
      <w:color w:val="2F5496" w:themeColor="accent1" w:themeShade="BF"/>
      <w:spacing w:val="5"/>
    </w:rPr>
  </w:style>
  <w:style w:type="table" w:styleId="TableGrid">
    <w:name w:val="Table Grid"/>
    <w:basedOn w:val="TableNormal"/>
    <w:uiPriority w:val="39"/>
    <w:rsid w:val="004B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25D5"/>
    <w:rPr>
      <w:color w:val="0563C1" w:themeColor="hyperlink"/>
      <w:u w:val="single"/>
    </w:rPr>
  </w:style>
  <w:style w:type="character" w:styleId="UnresolvedMention">
    <w:name w:val="Unresolved Mention"/>
    <w:basedOn w:val="DefaultParagraphFont"/>
    <w:uiPriority w:val="99"/>
    <w:semiHidden/>
    <w:unhideWhenUsed/>
    <w:rsid w:val="00F425D5"/>
    <w:rPr>
      <w:color w:val="605E5C"/>
      <w:shd w:val="clear" w:color="auto" w:fill="E1DFDD"/>
    </w:rPr>
  </w:style>
  <w:style w:type="paragraph" w:customStyle="1" w:styleId="Body">
    <w:name w:val="Body"/>
    <w:basedOn w:val="Normal"/>
    <w:rsid w:val="0019402F"/>
    <w:pPr>
      <w:spacing w:after="240" w:line="240" w:lineRule="auto"/>
      <w:jc w:val="both"/>
    </w:pPr>
    <w:rPr>
      <w:rFonts w:ascii="Helvetica" w:eastAsia="Times New Roman" w:hAnsi="Helvetica" w:cs="Times New Roman"/>
      <w:sz w:val="20"/>
      <w:szCs w:val="20"/>
    </w:rPr>
  </w:style>
  <w:style w:type="paragraph" w:styleId="Header">
    <w:name w:val="header"/>
    <w:basedOn w:val="Normal"/>
    <w:link w:val="HeaderChar"/>
    <w:uiPriority w:val="99"/>
    <w:unhideWhenUsed/>
    <w:rsid w:val="009A7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825"/>
  </w:style>
  <w:style w:type="paragraph" w:styleId="Footer">
    <w:name w:val="footer"/>
    <w:basedOn w:val="Normal"/>
    <w:link w:val="FooterChar"/>
    <w:uiPriority w:val="99"/>
    <w:unhideWhenUsed/>
    <w:rsid w:val="009A7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825"/>
  </w:style>
  <w:style w:type="character" w:styleId="LineNumber">
    <w:name w:val="line number"/>
    <w:basedOn w:val="DefaultParagraphFont"/>
    <w:uiPriority w:val="99"/>
    <w:semiHidden/>
    <w:unhideWhenUsed/>
    <w:rsid w:val="009F3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9241">
      <w:bodyDiv w:val="1"/>
      <w:marLeft w:val="0"/>
      <w:marRight w:val="0"/>
      <w:marTop w:val="0"/>
      <w:marBottom w:val="0"/>
      <w:divBdr>
        <w:top w:val="none" w:sz="0" w:space="0" w:color="auto"/>
        <w:left w:val="none" w:sz="0" w:space="0" w:color="auto"/>
        <w:bottom w:val="none" w:sz="0" w:space="0" w:color="auto"/>
        <w:right w:val="none" w:sz="0" w:space="0" w:color="auto"/>
      </w:divBdr>
    </w:div>
    <w:div w:id="550575474">
      <w:bodyDiv w:val="1"/>
      <w:marLeft w:val="0"/>
      <w:marRight w:val="0"/>
      <w:marTop w:val="0"/>
      <w:marBottom w:val="0"/>
      <w:divBdr>
        <w:top w:val="none" w:sz="0" w:space="0" w:color="auto"/>
        <w:left w:val="none" w:sz="0" w:space="0" w:color="auto"/>
        <w:bottom w:val="none" w:sz="0" w:space="0" w:color="auto"/>
        <w:right w:val="none" w:sz="0" w:space="0" w:color="auto"/>
      </w:divBdr>
    </w:div>
    <w:div w:id="998926632">
      <w:bodyDiv w:val="1"/>
      <w:marLeft w:val="0"/>
      <w:marRight w:val="0"/>
      <w:marTop w:val="0"/>
      <w:marBottom w:val="0"/>
      <w:divBdr>
        <w:top w:val="none" w:sz="0" w:space="0" w:color="auto"/>
        <w:left w:val="none" w:sz="0" w:space="0" w:color="auto"/>
        <w:bottom w:val="none" w:sz="0" w:space="0" w:color="auto"/>
        <w:right w:val="none" w:sz="0" w:space="0" w:color="auto"/>
      </w:divBdr>
    </w:div>
    <w:div w:id="127324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2527/jas1979.4861299x" TargetMode="External"/><Relationship Id="rId18" Type="http://schemas.openxmlformats.org/officeDocument/2006/relationships/hyperlink" Target="https://doi.org/10.1016/j.anireprosci.2004.11.005" TargetMode="External"/><Relationship Id="rId26" Type="http://schemas.openxmlformats.org/officeDocument/2006/relationships/hyperlink" Target="https://doi.org/10.1016/j.anireprosci.2010.11.007" TargetMode="External"/><Relationship Id="rId3" Type="http://schemas.openxmlformats.org/officeDocument/2006/relationships/settings" Target="settings.xml"/><Relationship Id="rId21" Type="http://schemas.openxmlformats.org/officeDocument/2006/relationships/hyperlink" Target="https://doi.org/10.1046/j.1439-0531.2003.00436.x"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doi.org/10.1016/0093-691X(94)00254-D" TargetMode="External"/><Relationship Id="rId17" Type="http://schemas.openxmlformats.org/officeDocument/2006/relationships/hyperlink" Target="https://doi.org/10.1530/jrf.0.1110183" TargetMode="External"/><Relationship Id="rId25" Type="http://schemas.openxmlformats.org/officeDocument/2006/relationships/hyperlink" Target="https://doi.org/10.1016/S0093-691X(00)00402-7"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2527/jas1978.4651054x" TargetMode="External"/><Relationship Id="rId20" Type="http://schemas.openxmlformats.org/officeDocument/2006/relationships/hyperlink" Target="https://doi.org/10.1111/j.1439-0531.2008.01177.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S0093-691X(03)00126-2" TargetMode="External"/><Relationship Id="rId24" Type="http://schemas.openxmlformats.org/officeDocument/2006/relationships/hyperlink" Target="https://doi.org/10.1016/j.theriogenology.2003.08.014"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16/j.theriogenology.2013.09.001" TargetMode="External"/><Relationship Id="rId23" Type="http://schemas.openxmlformats.org/officeDocument/2006/relationships/hyperlink" Target="https://doi.org/10.7313/UPO9781907284991.030" TargetMode="External"/><Relationship Id="rId28" Type="http://schemas.openxmlformats.org/officeDocument/2006/relationships/hyperlink" Target="https://doi.org/10.1016/S0378-4320(00)00102-0" TargetMode="External"/><Relationship Id="rId36" Type="http://schemas.openxmlformats.org/officeDocument/2006/relationships/theme" Target="theme/theme1.xml"/><Relationship Id="rId10" Type="http://schemas.openxmlformats.org/officeDocument/2006/relationships/hyperlink" Target="https://doi.org/10.1016/j.theriogenology.2005.05.005" TargetMode="External"/><Relationship Id="rId19" Type="http://schemas.openxmlformats.org/officeDocument/2006/relationships/hyperlink" Target="https://doi.org/10.1016/j.anireprosci.2021.106685"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16/j.theriogenology.2004.01.006" TargetMode="External"/><Relationship Id="rId14" Type="http://schemas.openxmlformats.org/officeDocument/2006/relationships/hyperlink" Target="https://doi.org/10.1017/S0962728600019795" TargetMode="External"/><Relationship Id="rId22" Type="http://schemas.openxmlformats.org/officeDocument/2006/relationships/hyperlink" Target="https://doi.org/10.1016/0093-691X(88)90167-8" TargetMode="External"/><Relationship Id="rId27" Type="http://schemas.openxmlformats.org/officeDocument/2006/relationships/hyperlink" Target="https://doi.org/10.1002/j.1939-4640.2004.tb02826.x"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3176</TotalTime>
  <Pages>14</Pages>
  <Words>7600</Words>
  <Characters>43325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ISC</dc:creator>
  <cp:keywords/>
  <dc:description/>
  <cp:lastModifiedBy>Editor-22</cp:lastModifiedBy>
  <cp:revision>212</cp:revision>
  <cp:lastPrinted>2025-06-20T01:51:00Z</cp:lastPrinted>
  <dcterms:created xsi:type="dcterms:W3CDTF">2025-06-09T16:00:00Z</dcterms:created>
  <dcterms:modified xsi:type="dcterms:W3CDTF">2025-06-23T12:00:00Z</dcterms:modified>
</cp:coreProperties>
</file>