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C7071A" w14:textId="77777777" w:rsidR="00754C9A" w:rsidRDefault="00754C9A" w:rsidP="00441B6F">
      <w:pPr>
        <w:pStyle w:val="Title"/>
        <w:spacing w:after="0"/>
        <w:jc w:val="both"/>
        <w:rPr>
          <w:rFonts w:ascii="Arial" w:hAnsi="Arial" w:cs="Arial"/>
        </w:rPr>
      </w:pPr>
    </w:p>
    <w:p w14:paraId="478E3979" w14:textId="77777777" w:rsidR="00BD313F" w:rsidRPr="00BD313F" w:rsidRDefault="00BD313F" w:rsidP="00BD313F">
      <w:pPr>
        <w:pStyle w:val="Author"/>
        <w:rPr>
          <w:rFonts w:ascii="Arial" w:hAnsi="Arial" w:cs="Arial"/>
          <w:bCs/>
          <w:i/>
          <w:iCs/>
          <w:kern w:val="28"/>
          <w:sz w:val="18"/>
          <w:szCs w:val="18"/>
          <w:u w:val="single"/>
        </w:rPr>
      </w:pPr>
      <w:r w:rsidRPr="00BD313F">
        <w:rPr>
          <w:rFonts w:ascii="Arial" w:hAnsi="Arial" w:cs="Arial"/>
          <w:bCs/>
          <w:i/>
          <w:iCs/>
          <w:kern w:val="28"/>
          <w:sz w:val="18"/>
          <w:szCs w:val="18"/>
          <w:u w:val="single"/>
        </w:rPr>
        <w:t>Original Research Article</w:t>
      </w:r>
    </w:p>
    <w:p w14:paraId="6D682112" w14:textId="77777777" w:rsidR="00163BC4" w:rsidRPr="00163BC4" w:rsidRDefault="0092776B" w:rsidP="00441B6F">
      <w:pPr>
        <w:pStyle w:val="Author"/>
        <w:spacing w:line="240" w:lineRule="auto"/>
        <w:rPr>
          <w:rFonts w:ascii="Arial" w:hAnsi="Arial" w:cs="Arial"/>
          <w:bCs/>
          <w:iCs/>
          <w:kern w:val="28"/>
          <w:sz w:val="36"/>
        </w:rPr>
      </w:pPr>
      <w:r w:rsidRPr="0092776B">
        <w:rPr>
          <w:rFonts w:ascii="Arial" w:hAnsi="Arial" w:cs="Arial"/>
          <w:bCs/>
          <w:iCs/>
          <w:kern w:val="28"/>
          <w:sz w:val="36"/>
        </w:rPr>
        <w:t xml:space="preserve">Assessment of </w:t>
      </w:r>
      <w:r>
        <w:rPr>
          <w:rFonts w:ascii="Arial" w:hAnsi="Arial" w:cs="Arial"/>
          <w:bCs/>
          <w:iCs/>
          <w:kern w:val="28"/>
          <w:sz w:val="36"/>
        </w:rPr>
        <w:t>C</w:t>
      </w:r>
      <w:r w:rsidRPr="0092776B">
        <w:rPr>
          <w:rFonts w:ascii="Arial" w:hAnsi="Arial" w:cs="Arial"/>
          <w:bCs/>
          <w:iCs/>
          <w:kern w:val="28"/>
          <w:sz w:val="36"/>
        </w:rPr>
        <w:t xml:space="preserve">arbon </w:t>
      </w:r>
      <w:r>
        <w:rPr>
          <w:rFonts w:ascii="Arial" w:hAnsi="Arial" w:cs="Arial"/>
          <w:bCs/>
          <w:iCs/>
          <w:kern w:val="28"/>
          <w:sz w:val="36"/>
        </w:rPr>
        <w:t>S</w:t>
      </w:r>
      <w:r w:rsidRPr="0092776B">
        <w:rPr>
          <w:rFonts w:ascii="Arial" w:hAnsi="Arial" w:cs="Arial"/>
          <w:bCs/>
          <w:iCs/>
          <w:kern w:val="28"/>
          <w:sz w:val="36"/>
        </w:rPr>
        <w:t xml:space="preserve">tock </w:t>
      </w:r>
      <w:r>
        <w:rPr>
          <w:rFonts w:ascii="Arial" w:hAnsi="Arial" w:cs="Arial"/>
          <w:bCs/>
          <w:iCs/>
          <w:kern w:val="28"/>
          <w:sz w:val="36"/>
        </w:rPr>
        <w:t>P</w:t>
      </w:r>
      <w:r w:rsidRPr="0092776B">
        <w:rPr>
          <w:rFonts w:ascii="Arial" w:hAnsi="Arial" w:cs="Arial"/>
          <w:bCs/>
          <w:iCs/>
          <w:kern w:val="28"/>
          <w:sz w:val="36"/>
        </w:rPr>
        <w:t xml:space="preserve">otential of </w:t>
      </w:r>
      <w:proofErr w:type="spellStart"/>
      <w:r w:rsidRPr="0092776B">
        <w:rPr>
          <w:rFonts w:ascii="Arial" w:hAnsi="Arial" w:cs="Arial"/>
          <w:bCs/>
          <w:iCs/>
          <w:kern w:val="28"/>
          <w:sz w:val="36"/>
        </w:rPr>
        <w:t>Arecanut</w:t>
      </w:r>
      <w:proofErr w:type="spellEnd"/>
      <w:r w:rsidRPr="0092776B">
        <w:rPr>
          <w:rFonts w:ascii="Arial" w:hAnsi="Arial" w:cs="Arial"/>
          <w:bCs/>
          <w:iCs/>
          <w:kern w:val="28"/>
          <w:sz w:val="36"/>
        </w:rPr>
        <w:t xml:space="preserve"> </w:t>
      </w:r>
      <w:r>
        <w:rPr>
          <w:rFonts w:ascii="Arial" w:hAnsi="Arial" w:cs="Arial"/>
          <w:bCs/>
          <w:iCs/>
          <w:kern w:val="28"/>
          <w:sz w:val="36"/>
        </w:rPr>
        <w:t>Plantations in C</w:t>
      </w:r>
      <w:r w:rsidR="002213ED">
        <w:rPr>
          <w:rFonts w:ascii="Arial" w:hAnsi="Arial" w:cs="Arial"/>
          <w:bCs/>
          <w:iCs/>
          <w:kern w:val="28"/>
          <w:sz w:val="36"/>
        </w:rPr>
        <w:t>oimbatore District of Tamil Nadu,</w:t>
      </w:r>
      <w:r w:rsidRPr="0092776B">
        <w:rPr>
          <w:rFonts w:ascii="Arial" w:hAnsi="Arial" w:cs="Arial"/>
          <w:bCs/>
          <w:iCs/>
          <w:kern w:val="28"/>
          <w:sz w:val="36"/>
        </w:rPr>
        <w:t xml:space="preserve"> India</w:t>
      </w:r>
      <w:r w:rsidR="00231920">
        <w:rPr>
          <w:rFonts w:ascii="Arial" w:hAnsi="Arial" w:cs="Arial"/>
          <w:bCs/>
          <w:iCs/>
          <w:kern w:val="28"/>
          <w:sz w:val="36"/>
        </w:rPr>
        <w:t xml:space="preserve"> </w:t>
      </w:r>
    </w:p>
    <w:p w14:paraId="4EC9AB52" w14:textId="77777777" w:rsidR="00A258C3" w:rsidRPr="00790ADA" w:rsidRDefault="00A258C3" w:rsidP="00441B6F">
      <w:pPr>
        <w:pStyle w:val="Author"/>
        <w:spacing w:line="240" w:lineRule="auto"/>
        <w:jc w:val="both"/>
        <w:rPr>
          <w:rFonts w:ascii="Arial" w:hAnsi="Arial" w:cs="Arial"/>
          <w:sz w:val="36"/>
        </w:rPr>
      </w:pPr>
    </w:p>
    <w:p w14:paraId="143D48B1" w14:textId="7E77A274" w:rsidR="00B01FCD" w:rsidRPr="00FB3A86" w:rsidRDefault="00B01FCD" w:rsidP="00441B6F">
      <w:pPr>
        <w:pStyle w:val="Copyright"/>
        <w:spacing w:after="0" w:line="240" w:lineRule="auto"/>
        <w:jc w:val="both"/>
        <w:rPr>
          <w:rFonts w:ascii="Arial" w:hAnsi="Arial" w:cs="Arial"/>
        </w:rPr>
        <w:sectPr w:rsidR="00B01FCD" w:rsidRPr="00FB3A86" w:rsidSect="00A41FA8">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p>
    <w:p w14:paraId="0E1A5FAF" w14:textId="77777777"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24D56497"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47C0D6CF" w14:textId="77777777" w:rsidTr="001E44FE">
        <w:tc>
          <w:tcPr>
            <w:tcW w:w="9576" w:type="dxa"/>
            <w:shd w:val="clear" w:color="auto" w:fill="F2F2F2"/>
          </w:tcPr>
          <w:p w14:paraId="2980A82F" w14:textId="77777777" w:rsidR="00505F06" w:rsidRPr="00BA1B01" w:rsidRDefault="00553898" w:rsidP="00553898">
            <w:pPr>
              <w:pStyle w:val="Body"/>
              <w:spacing w:after="0"/>
              <w:rPr>
                <w:rFonts w:ascii="Arial" w:eastAsia="Calibri" w:hAnsi="Arial" w:cs="Arial"/>
                <w:szCs w:val="22"/>
              </w:rPr>
            </w:pPr>
            <w:r w:rsidRPr="00553898">
              <w:rPr>
                <w:rFonts w:ascii="Arial" w:eastAsia="Calibri" w:hAnsi="Arial" w:cs="Arial"/>
                <w:szCs w:val="22"/>
              </w:rPr>
              <w:t xml:space="preserve">Climate change, driven largely by anthropogenic greenhouse gas emissions, demands the identification of sustainable carbon sequestration strategies. Agroforestry systems, particularly plantation crops like </w:t>
            </w:r>
            <w:proofErr w:type="spellStart"/>
            <w:r w:rsidRPr="00553898">
              <w:rPr>
                <w:rFonts w:ascii="Arial" w:eastAsia="Calibri" w:hAnsi="Arial" w:cs="Arial"/>
                <w:szCs w:val="22"/>
              </w:rPr>
              <w:t>arecanut</w:t>
            </w:r>
            <w:proofErr w:type="spellEnd"/>
            <w:r w:rsidRPr="00553898">
              <w:rPr>
                <w:rFonts w:ascii="Arial" w:eastAsia="Calibri" w:hAnsi="Arial" w:cs="Arial"/>
                <w:szCs w:val="22"/>
              </w:rPr>
              <w:t xml:space="preserve"> (</w:t>
            </w:r>
            <w:r w:rsidRPr="00553898">
              <w:rPr>
                <w:rFonts w:ascii="Arial" w:eastAsia="Calibri" w:hAnsi="Arial" w:cs="Arial"/>
                <w:i/>
                <w:szCs w:val="22"/>
              </w:rPr>
              <w:t>Areca catechu</w:t>
            </w:r>
            <w:r w:rsidRPr="00553898">
              <w:rPr>
                <w:rFonts w:ascii="Arial" w:eastAsia="Calibri" w:hAnsi="Arial" w:cs="Arial"/>
                <w:szCs w:val="22"/>
              </w:rPr>
              <w:t xml:space="preserve"> L.), have gained attention for their potential to serve as carbon sinks while offering socio-economic benefits. Despite widespread </w:t>
            </w:r>
            <w:proofErr w:type="spellStart"/>
            <w:r w:rsidRPr="00553898">
              <w:rPr>
                <w:rFonts w:ascii="Arial" w:eastAsia="Calibri" w:hAnsi="Arial" w:cs="Arial"/>
                <w:szCs w:val="22"/>
              </w:rPr>
              <w:t>arecanut</w:t>
            </w:r>
            <w:proofErr w:type="spellEnd"/>
            <w:r w:rsidRPr="00553898">
              <w:rPr>
                <w:rFonts w:ascii="Arial" w:eastAsia="Calibri" w:hAnsi="Arial" w:cs="Arial"/>
                <w:szCs w:val="22"/>
              </w:rPr>
              <w:t xml:space="preserve"> cultivation in India, its role in climate mitigation remains underexplored. This study quantifies the biomass and carbon stock potential of </w:t>
            </w:r>
            <w:proofErr w:type="spellStart"/>
            <w:r w:rsidRPr="00553898">
              <w:rPr>
                <w:rFonts w:ascii="Arial" w:eastAsia="Calibri" w:hAnsi="Arial" w:cs="Arial"/>
                <w:szCs w:val="22"/>
              </w:rPr>
              <w:t>arecanut</w:t>
            </w:r>
            <w:proofErr w:type="spellEnd"/>
            <w:r w:rsidRPr="00553898">
              <w:rPr>
                <w:rFonts w:ascii="Arial" w:eastAsia="Calibri" w:hAnsi="Arial" w:cs="Arial"/>
                <w:szCs w:val="22"/>
              </w:rPr>
              <w:t xml:space="preserve"> plantations at two managed sites, </w:t>
            </w:r>
            <w:proofErr w:type="spellStart"/>
            <w:r w:rsidRPr="00553898">
              <w:rPr>
                <w:rFonts w:ascii="Arial" w:eastAsia="Calibri" w:hAnsi="Arial" w:cs="Arial"/>
                <w:szCs w:val="22"/>
              </w:rPr>
              <w:t>Onappalayam</w:t>
            </w:r>
            <w:proofErr w:type="spellEnd"/>
            <w:r w:rsidRPr="00553898">
              <w:rPr>
                <w:rFonts w:ascii="Arial" w:eastAsia="Calibri" w:hAnsi="Arial" w:cs="Arial"/>
                <w:szCs w:val="22"/>
              </w:rPr>
              <w:t xml:space="preserve"> (Site 1) and </w:t>
            </w:r>
            <w:proofErr w:type="spellStart"/>
            <w:r w:rsidRPr="00553898">
              <w:rPr>
                <w:rFonts w:ascii="Arial" w:eastAsia="Calibri" w:hAnsi="Arial" w:cs="Arial"/>
                <w:szCs w:val="22"/>
              </w:rPr>
              <w:t>Vedapatti</w:t>
            </w:r>
            <w:proofErr w:type="spellEnd"/>
            <w:r w:rsidRPr="00553898">
              <w:rPr>
                <w:rFonts w:ascii="Arial" w:eastAsia="Calibri" w:hAnsi="Arial" w:cs="Arial"/>
                <w:szCs w:val="22"/>
              </w:rPr>
              <w:t xml:space="preserve"> (Site 2) in the Coimbatore district of Tamil Nadu, India. Each site comprises a 1-h</w:t>
            </w:r>
            <w:bookmarkStart w:id="0" w:name="_GoBack"/>
            <w:bookmarkEnd w:id="0"/>
            <w:r w:rsidRPr="00553898">
              <w:rPr>
                <w:rFonts w:ascii="Arial" w:eastAsia="Calibri" w:hAnsi="Arial" w:cs="Arial"/>
                <w:szCs w:val="22"/>
              </w:rPr>
              <w:t xml:space="preserve">ectare plantation with different intercrops (teak at Site 1 and coconut at Site 2) and crop spacing. Using a standardized quadrat method (25 quadrats per hectare), tree girth measurements were collected to estimate above-ground and below-ground biomass through established allometric equations. Total carbon stock was calculated as 50% of the total biomass. Results revealed significantly higher tree density, biomass, and carbon stock at Site 1 compared to Site 2. Site 1 recorded a mean total biomass of 3.04 </w:t>
            </w:r>
            <w:r>
              <w:rPr>
                <w:rFonts w:ascii="Arial" w:eastAsia="Calibri" w:hAnsi="Arial" w:cs="Arial"/>
                <w:szCs w:val="22"/>
              </w:rPr>
              <w:t>±</w:t>
            </w:r>
            <w:r w:rsidRPr="00553898">
              <w:rPr>
                <w:rFonts w:ascii="Arial" w:eastAsia="Calibri" w:hAnsi="Arial" w:cs="Arial"/>
                <w:szCs w:val="22"/>
              </w:rPr>
              <w:t xml:space="preserve"> 0.95 </w:t>
            </w:r>
            <w:proofErr w:type="spellStart"/>
            <w:r w:rsidRPr="00553898">
              <w:rPr>
                <w:rFonts w:ascii="Arial" w:eastAsia="Calibri" w:hAnsi="Arial" w:cs="Arial"/>
                <w:szCs w:val="22"/>
              </w:rPr>
              <w:t>tonnes</w:t>
            </w:r>
            <w:proofErr w:type="spellEnd"/>
            <w:r w:rsidRPr="00553898">
              <w:rPr>
                <w:rFonts w:ascii="Arial" w:eastAsia="Calibri" w:hAnsi="Arial" w:cs="Arial"/>
                <w:szCs w:val="22"/>
              </w:rPr>
              <w:t>/quadrat and total carbon stock of 1.52</w:t>
            </w:r>
            <w:r>
              <w:rPr>
                <w:rFonts w:ascii="Arial" w:eastAsia="Calibri" w:hAnsi="Arial" w:cs="Arial"/>
                <w:szCs w:val="22"/>
              </w:rPr>
              <w:t xml:space="preserve"> ±</w:t>
            </w:r>
            <w:r w:rsidRPr="00553898">
              <w:rPr>
                <w:rFonts w:ascii="Arial" w:eastAsia="Calibri" w:hAnsi="Arial" w:cs="Arial"/>
                <w:szCs w:val="22"/>
              </w:rPr>
              <w:t xml:space="preserve"> 0.48 </w:t>
            </w:r>
            <w:proofErr w:type="spellStart"/>
            <w:r w:rsidRPr="00553898">
              <w:rPr>
                <w:rFonts w:ascii="Arial" w:eastAsia="Calibri" w:hAnsi="Arial" w:cs="Arial"/>
                <w:szCs w:val="22"/>
              </w:rPr>
              <w:t>tonnes</w:t>
            </w:r>
            <w:proofErr w:type="spellEnd"/>
            <w:r w:rsidRPr="00553898">
              <w:rPr>
                <w:rFonts w:ascii="Arial" w:eastAsia="Calibri" w:hAnsi="Arial" w:cs="Arial"/>
                <w:szCs w:val="22"/>
              </w:rPr>
              <w:t xml:space="preserve">/quadrat, while Site 2 reported 1.61 </w:t>
            </w:r>
            <w:r>
              <w:rPr>
                <w:rFonts w:ascii="Arial" w:eastAsia="Calibri" w:hAnsi="Arial" w:cs="Arial"/>
                <w:szCs w:val="22"/>
              </w:rPr>
              <w:t>±</w:t>
            </w:r>
            <w:r w:rsidRPr="00553898">
              <w:rPr>
                <w:rFonts w:ascii="Arial" w:eastAsia="Calibri" w:hAnsi="Arial" w:cs="Arial"/>
                <w:szCs w:val="22"/>
              </w:rPr>
              <w:t xml:space="preserve"> 0.52 </w:t>
            </w:r>
            <w:proofErr w:type="spellStart"/>
            <w:r w:rsidRPr="00553898">
              <w:rPr>
                <w:rFonts w:ascii="Arial" w:eastAsia="Calibri" w:hAnsi="Arial" w:cs="Arial"/>
                <w:szCs w:val="22"/>
              </w:rPr>
              <w:t>tonnes</w:t>
            </w:r>
            <w:proofErr w:type="spellEnd"/>
            <w:r w:rsidRPr="00553898">
              <w:rPr>
                <w:rFonts w:ascii="Arial" w:eastAsia="Calibri" w:hAnsi="Arial" w:cs="Arial"/>
                <w:szCs w:val="22"/>
              </w:rPr>
              <w:t xml:space="preserve">/quadrat and 0.80 </w:t>
            </w:r>
            <w:r>
              <w:rPr>
                <w:rFonts w:ascii="Arial" w:eastAsia="Calibri" w:hAnsi="Arial" w:cs="Arial"/>
                <w:szCs w:val="22"/>
              </w:rPr>
              <w:t>±</w:t>
            </w:r>
            <w:r w:rsidRPr="00553898">
              <w:rPr>
                <w:rFonts w:ascii="Arial" w:eastAsia="Calibri" w:hAnsi="Arial" w:cs="Arial"/>
                <w:szCs w:val="22"/>
              </w:rPr>
              <w:t xml:space="preserve"> 0.26 </w:t>
            </w:r>
            <w:proofErr w:type="spellStart"/>
            <w:r w:rsidRPr="00553898">
              <w:rPr>
                <w:rFonts w:ascii="Arial" w:eastAsia="Calibri" w:hAnsi="Arial" w:cs="Arial"/>
                <w:szCs w:val="22"/>
              </w:rPr>
              <w:t>tonnes</w:t>
            </w:r>
            <w:proofErr w:type="spellEnd"/>
            <w:r w:rsidRPr="00553898">
              <w:rPr>
                <w:rFonts w:ascii="Arial" w:eastAsia="Calibri" w:hAnsi="Arial" w:cs="Arial"/>
                <w:szCs w:val="22"/>
              </w:rPr>
              <w:t xml:space="preserve">/quadrat, respectively. Differences were attributed to higher tree density and better soil potassium levels at Site 1. Above-ground carbon stock accounted 85% of total carbon, underscoring the dominant role of canopy biomass in carbon sequestration. This study demonstrates that </w:t>
            </w:r>
            <w:proofErr w:type="spellStart"/>
            <w:r w:rsidRPr="00553898">
              <w:rPr>
                <w:rFonts w:ascii="Arial" w:eastAsia="Calibri" w:hAnsi="Arial" w:cs="Arial"/>
                <w:szCs w:val="22"/>
              </w:rPr>
              <w:t>arecanut</w:t>
            </w:r>
            <w:proofErr w:type="spellEnd"/>
            <w:r w:rsidRPr="00553898">
              <w:rPr>
                <w:rFonts w:ascii="Arial" w:eastAsia="Calibri" w:hAnsi="Arial" w:cs="Arial"/>
                <w:szCs w:val="22"/>
              </w:rPr>
              <w:t xml:space="preserve"> plantations, beyond their economic value, possess substantial carbon storage potential. Given their long lifespan and adaptability, </w:t>
            </w:r>
            <w:proofErr w:type="spellStart"/>
            <w:r w:rsidRPr="00553898">
              <w:rPr>
                <w:rFonts w:ascii="Arial" w:eastAsia="Calibri" w:hAnsi="Arial" w:cs="Arial"/>
                <w:szCs w:val="22"/>
              </w:rPr>
              <w:t>arecanut</w:t>
            </w:r>
            <w:proofErr w:type="spellEnd"/>
            <w:r w:rsidRPr="00553898">
              <w:rPr>
                <w:rFonts w:ascii="Arial" w:eastAsia="Calibri" w:hAnsi="Arial" w:cs="Arial"/>
                <w:szCs w:val="22"/>
              </w:rPr>
              <w:t xml:space="preserve"> systems can contribute meaningfully to climate change mitigation efforts. The findings advocate for their inclusion in agroforestry-based carbon accounting and climate policy frameworks, particularly in tropical regions where such systems are already well established.</w:t>
            </w:r>
          </w:p>
        </w:tc>
      </w:tr>
    </w:tbl>
    <w:p w14:paraId="4BFDA4D5" w14:textId="77777777" w:rsidR="00636EB2" w:rsidRDefault="00636EB2" w:rsidP="00441B6F">
      <w:pPr>
        <w:pStyle w:val="Body"/>
        <w:spacing w:after="0"/>
        <w:rPr>
          <w:rFonts w:ascii="Arial" w:hAnsi="Arial" w:cs="Arial"/>
          <w:i/>
        </w:rPr>
      </w:pPr>
    </w:p>
    <w:p w14:paraId="5CA94CDA" w14:textId="77777777" w:rsidR="00A24E7E" w:rsidRDefault="00A24E7E" w:rsidP="00441B6F">
      <w:pPr>
        <w:pStyle w:val="Body"/>
        <w:spacing w:after="0"/>
        <w:rPr>
          <w:rFonts w:ascii="Arial" w:hAnsi="Arial" w:cs="Arial"/>
          <w:i/>
        </w:rPr>
      </w:pPr>
      <w:r>
        <w:rPr>
          <w:rFonts w:ascii="Arial" w:hAnsi="Arial" w:cs="Arial"/>
          <w:i/>
        </w:rPr>
        <w:t>Keywords:</w:t>
      </w:r>
      <w:r w:rsidR="00553898">
        <w:rPr>
          <w:rFonts w:ascii="Arial" w:hAnsi="Arial" w:cs="Arial"/>
          <w:i/>
        </w:rPr>
        <w:t xml:space="preserve"> Carbon sequestration; </w:t>
      </w:r>
      <w:proofErr w:type="spellStart"/>
      <w:r w:rsidR="00553898">
        <w:rPr>
          <w:rFonts w:ascii="Arial" w:hAnsi="Arial" w:cs="Arial"/>
          <w:i/>
        </w:rPr>
        <w:t>Arecanut</w:t>
      </w:r>
      <w:proofErr w:type="spellEnd"/>
      <w:r w:rsidR="00553898">
        <w:rPr>
          <w:rFonts w:ascii="Arial" w:hAnsi="Arial" w:cs="Arial"/>
          <w:i/>
        </w:rPr>
        <w:t xml:space="preserve"> plantation, Agroforestry, Biomass estimation, Climate change mitigation</w:t>
      </w:r>
    </w:p>
    <w:p w14:paraId="65F6405A" w14:textId="77777777" w:rsidR="00790ADA" w:rsidRDefault="00790ADA" w:rsidP="00441B6F">
      <w:pPr>
        <w:pStyle w:val="Body"/>
        <w:spacing w:after="0"/>
        <w:rPr>
          <w:rFonts w:ascii="Arial" w:hAnsi="Arial" w:cs="Arial"/>
          <w:i/>
        </w:rPr>
      </w:pPr>
    </w:p>
    <w:p w14:paraId="330FB1E2" w14:textId="77777777" w:rsidR="0024282C" w:rsidRDefault="0024282C" w:rsidP="00441B6F">
      <w:pPr>
        <w:pStyle w:val="Body"/>
        <w:spacing w:after="0"/>
        <w:rPr>
          <w:rFonts w:ascii="Arial" w:hAnsi="Arial" w:cs="Arial"/>
          <w:i/>
          <w:sz w:val="18"/>
        </w:rPr>
      </w:pPr>
    </w:p>
    <w:p w14:paraId="7C28083C" w14:textId="77777777" w:rsidR="00505F06" w:rsidRPr="00A24E7E" w:rsidRDefault="00505F06" w:rsidP="00441B6F">
      <w:pPr>
        <w:pStyle w:val="Body"/>
        <w:spacing w:after="0"/>
        <w:rPr>
          <w:rFonts w:ascii="Arial" w:hAnsi="Arial" w:cs="Arial"/>
          <w:i/>
        </w:rPr>
      </w:pPr>
    </w:p>
    <w:p w14:paraId="26D0DD89" w14:textId="7777777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p>
    <w:p w14:paraId="35CF8E70" w14:textId="77777777" w:rsidR="00790ADA" w:rsidRPr="00FB3A86" w:rsidRDefault="00790ADA" w:rsidP="00441B6F">
      <w:pPr>
        <w:pStyle w:val="AbstHead"/>
        <w:spacing w:after="0"/>
        <w:jc w:val="both"/>
        <w:rPr>
          <w:rFonts w:ascii="Arial" w:hAnsi="Arial" w:cs="Arial"/>
        </w:rPr>
      </w:pPr>
    </w:p>
    <w:p w14:paraId="769824F8" w14:textId="77777777" w:rsidR="006475B6" w:rsidRPr="006475B6" w:rsidRDefault="006475B6" w:rsidP="006475B6">
      <w:pPr>
        <w:pStyle w:val="Body"/>
        <w:rPr>
          <w:rFonts w:ascii="Arial" w:hAnsi="Arial" w:cs="Arial"/>
        </w:rPr>
      </w:pPr>
      <w:r w:rsidRPr="006475B6">
        <w:rPr>
          <w:rFonts w:ascii="Arial" w:hAnsi="Arial" w:cs="Arial"/>
        </w:rPr>
        <w:t>Climate change is among the most pressing global environmental challenges, primarily driven by anthropogenic greenhouse gas emissions (</w:t>
      </w:r>
      <w:proofErr w:type="spellStart"/>
      <w:r w:rsidRPr="006475B6">
        <w:rPr>
          <w:rFonts w:ascii="Arial" w:hAnsi="Arial" w:cs="Arial"/>
        </w:rPr>
        <w:t>Filonchyk</w:t>
      </w:r>
      <w:proofErr w:type="spellEnd"/>
      <w:r w:rsidRPr="006475B6">
        <w:rPr>
          <w:rFonts w:ascii="Arial" w:hAnsi="Arial" w:cs="Arial"/>
        </w:rPr>
        <w:t xml:space="preserve"> et al., 2024). In response, nations worldwide are prioritizing strategies to reduce atmospheric carbon dioxide (CO</w:t>
      </w:r>
      <w:r w:rsidRPr="006475B6">
        <w:rPr>
          <w:rFonts w:ascii="Cambria Math" w:hAnsi="Cambria Math" w:cs="Cambria Math"/>
        </w:rPr>
        <w:t>₂</w:t>
      </w:r>
      <w:r w:rsidRPr="006475B6">
        <w:rPr>
          <w:rFonts w:ascii="Arial" w:hAnsi="Arial" w:cs="Arial"/>
        </w:rPr>
        <w:t>) concentrations, with particular attention on natural ecosystems that act as carbon sinks (Chen and Lin, 2021; Manjunath et al., 2024). While natural forests have long been recognized for their carbon sequestration potential, agroforestry systems are increasingly gaining recognition for their dual role in climate mitigation and socio-economic development (Ghale et al., 2022).</w:t>
      </w:r>
    </w:p>
    <w:p w14:paraId="45CF2678" w14:textId="77777777" w:rsidR="006475B6" w:rsidRPr="006475B6" w:rsidRDefault="006475B6" w:rsidP="006475B6">
      <w:pPr>
        <w:pStyle w:val="Body"/>
        <w:rPr>
          <w:rFonts w:ascii="Arial" w:hAnsi="Arial" w:cs="Arial"/>
        </w:rPr>
      </w:pPr>
      <w:r w:rsidRPr="006475B6">
        <w:rPr>
          <w:rFonts w:ascii="Arial" w:hAnsi="Arial" w:cs="Arial"/>
        </w:rPr>
        <w:t xml:space="preserve">Among agroforestry systems, plantation crops such as coconut (Kumar and Aggarwal, 2013; Nair, et al. 2018; Dissanayaka, et al. 2023; </w:t>
      </w:r>
      <w:proofErr w:type="spellStart"/>
      <w:r w:rsidRPr="006475B6">
        <w:rPr>
          <w:rFonts w:ascii="Arial" w:hAnsi="Arial" w:cs="Arial"/>
        </w:rPr>
        <w:t>Pragasan</w:t>
      </w:r>
      <w:proofErr w:type="spellEnd"/>
      <w:r w:rsidRPr="006475B6">
        <w:rPr>
          <w:rFonts w:ascii="Arial" w:hAnsi="Arial" w:cs="Arial"/>
        </w:rPr>
        <w:t xml:space="preserve"> and </w:t>
      </w:r>
      <w:proofErr w:type="spellStart"/>
      <w:r w:rsidRPr="006475B6">
        <w:rPr>
          <w:rFonts w:ascii="Arial" w:hAnsi="Arial" w:cs="Arial"/>
        </w:rPr>
        <w:t>Kalaiselvi</w:t>
      </w:r>
      <w:proofErr w:type="spellEnd"/>
      <w:r w:rsidRPr="006475B6">
        <w:rPr>
          <w:rFonts w:ascii="Arial" w:hAnsi="Arial" w:cs="Arial"/>
        </w:rPr>
        <w:t xml:space="preserve">, 2024), oil palm (Paterson and Lima, 2018), and </w:t>
      </w:r>
      <w:proofErr w:type="spellStart"/>
      <w:r w:rsidRPr="006475B6">
        <w:rPr>
          <w:rFonts w:ascii="Arial" w:hAnsi="Arial" w:cs="Arial"/>
        </w:rPr>
        <w:t>arecanut</w:t>
      </w:r>
      <w:proofErr w:type="spellEnd"/>
      <w:r w:rsidRPr="006475B6">
        <w:rPr>
          <w:rFonts w:ascii="Arial" w:hAnsi="Arial" w:cs="Arial"/>
        </w:rPr>
        <w:t xml:space="preserve"> (Das, et al. 2021) are emerging as viable alternatives for climate change mitigation. These systems offer not only ecological benefits such as biodiversity conservation and soil protection, but also economic opportunities through mechanisms like carbon trading (</w:t>
      </w:r>
      <w:proofErr w:type="spellStart"/>
      <w:r w:rsidRPr="006475B6">
        <w:rPr>
          <w:rFonts w:ascii="Arial" w:hAnsi="Arial" w:cs="Arial"/>
        </w:rPr>
        <w:t>Newaj</w:t>
      </w:r>
      <w:proofErr w:type="spellEnd"/>
      <w:r w:rsidRPr="006475B6">
        <w:rPr>
          <w:rFonts w:ascii="Arial" w:hAnsi="Arial" w:cs="Arial"/>
        </w:rPr>
        <w:t xml:space="preserve"> et al., 2021).</w:t>
      </w:r>
    </w:p>
    <w:p w14:paraId="3703A47C" w14:textId="77777777" w:rsidR="006475B6" w:rsidRPr="006475B6" w:rsidRDefault="006475B6" w:rsidP="006475B6">
      <w:pPr>
        <w:pStyle w:val="Body"/>
        <w:rPr>
          <w:rFonts w:ascii="Arial" w:hAnsi="Arial" w:cs="Arial"/>
        </w:rPr>
      </w:pPr>
      <w:proofErr w:type="spellStart"/>
      <w:r w:rsidRPr="006475B6">
        <w:rPr>
          <w:rFonts w:ascii="Arial" w:hAnsi="Arial" w:cs="Arial"/>
        </w:rPr>
        <w:lastRenderedPageBreak/>
        <w:t>Arecanut</w:t>
      </w:r>
      <w:proofErr w:type="spellEnd"/>
      <w:r w:rsidRPr="006475B6">
        <w:rPr>
          <w:rFonts w:ascii="Arial" w:hAnsi="Arial" w:cs="Arial"/>
        </w:rPr>
        <w:t xml:space="preserve"> (</w:t>
      </w:r>
      <w:r w:rsidRPr="00490639">
        <w:rPr>
          <w:rFonts w:ascii="Arial" w:hAnsi="Arial" w:cs="Arial"/>
          <w:i/>
        </w:rPr>
        <w:t>Areca catechu</w:t>
      </w:r>
      <w:r w:rsidRPr="006475B6">
        <w:rPr>
          <w:rFonts w:ascii="Arial" w:hAnsi="Arial" w:cs="Arial"/>
        </w:rPr>
        <w:t xml:space="preserve"> L.), commonly known as betel nut, is a tropical palm cultivated predominantly for its nut, which is widely consumed across South and Southeast Asia (</w:t>
      </w:r>
      <w:proofErr w:type="spellStart"/>
      <w:r w:rsidRPr="006475B6">
        <w:rPr>
          <w:rFonts w:ascii="Arial" w:hAnsi="Arial" w:cs="Arial"/>
        </w:rPr>
        <w:t>Gunjal</w:t>
      </w:r>
      <w:proofErr w:type="spellEnd"/>
      <w:r w:rsidRPr="006475B6">
        <w:rPr>
          <w:rFonts w:ascii="Arial" w:hAnsi="Arial" w:cs="Arial"/>
        </w:rPr>
        <w:t xml:space="preserve"> et al., 2020). Globally, </w:t>
      </w:r>
      <w:proofErr w:type="spellStart"/>
      <w:r w:rsidRPr="006475B6">
        <w:rPr>
          <w:rFonts w:ascii="Arial" w:hAnsi="Arial" w:cs="Arial"/>
        </w:rPr>
        <w:t>arecanut</w:t>
      </w:r>
      <w:proofErr w:type="spellEnd"/>
      <w:r w:rsidRPr="006475B6">
        <w:rPr>
          <w:rFonts w:ascii="Arial" w:hAnsi="Arial" w:cs="Arial"/>
        </w:rPr>
        <w:t xml:space="preserve"> is cultivated over approximately 1.42 million hectares, with an annual production of around 2.1 million </w:t>
      </w:r>
      <w:proofErr w:type="spellStart"/>
      <w:r w:rsidRPr="006475B6">
        <w:rPr>
          <w:rFonts w:ascii="Arial" w:hAnsi="Arial" w:cs="Arial"/>
        </w:rPr>
        <w:t>tonnes</w:t>
      </w:r>
      <w:proofErr w:type="spellEnd"/>
      <w:r w:rsidRPr="006475B6">
        <w:rPr>
          <w:rFonts w:ascii="Arial" w:hAnsi="Arial" w:cs="Arial"/>
        </w:rPr>
        <w:t xml:space="preserve">. India is the leading producer, accounting for 51.12% of the cultivation area and 57.56% of total production (Singh and Karun, 2022). Major producing states in India include Karnataka, Kerala, Assam, and West Bengal. While the economic significance of </w:t>
      </w:r>
      <w:proofErr w:type="spellStart"/>
      <w:r w:rsidRPr="006475B6">
        <w:rPr>
          <w:rFonts w:ascii="Arial" w:hAnsi="Arial" w:cs="Arial"/>
        </w:rPr>
        <w:t>arecanut</w:t>
      </w:r>
      <w:proofErr w:type="spellEnd"/>
      <w:r w:rsidRPr="006475B6">
        <w:rPr>
          <w:rFonts w:ascii="Arial" w:hAnsi="Arial" w:cs="Arial"/>
        </w:rPr>
        <w:t xml:space="preserve"> is well established, its ecological functions, particularly its potential role in carbon sequestration, remain underexplored.</w:t>
      </w:r>
    </w:p>
    <w:p w14:paraId="21C9E930" w14:textId="77777777" w:rsidR="006475B6" w:rsidRPr="006475B6" w:rsidRDefault="006475B6" w:rsidP="006475B6">
      <w:pPr>
        <w:pStyle w:val="Body"/>
        <w:rPr>
          <w:rFonts w:ascii="Arial" w:hAnsi="Arial" w:cs="Arial"/>
        </w:rPr>
      </w:pPr>
      <w:r w:rsidRPr="006475B6">
        <w:rPr>
          <w:rFonts w:ascii="Arial" w:hAnsi="Arial" w:cs="Arial"/>
        </w:rPr>
        <w:t xml:space="preserve">Due to their perennial nature and long-standing canopy, </w:t>
      </w:r>
      <w:proofErr w:type="spellStart"/>
      <w:r w:rsidRPr="006475B6">
        <w:rPr>
          <w:rFonts w:ascii="Arial" w:hAnsi="Arial" w:cs="Arial"/>
        </w:rPr>
        <w:t>arecanut</w:t>
      </w:r>
      <w:proofErr w:type="spellEnd"/>
      <w:r w:rsidRPr="006475B6">
        <w:rPr>
          <w:rFonts w:ascii="Arial" w:hAnsi="Arial" w:cs="Arial"/>
        </w:rPr>
        <w:t xml:space="preserve"> plantations contribute to microclimate regulation, soil conservation, and increasingly, carbon sequestration (Demie et al., 2024). Through photosynthesis, trees fix atmospheric carbon, which is stored as biomass in both above-ground (stem, leaves, branches) and below-ground (roots) components (</w:t>
      </w:r>
      <w:proofErr w:type="spellStart"/>
      <w:r w:rsidRPr="006475B6">
        <w:rPr>
          <w:rFonts w:ascii="Arial" w:hAnsi="Arial" w:cs="Arial"/>
        </w:rPr>
        <w:t>Pragasan</w:t>
      </w:r>
      <w:proofErr w:type="spellEnd"/>
      <w:r w:rsidRPr="006475B6">
        <w:rPr>
          <w:rFonts w:ascii="Arial" w:hAnsi="Arial" w:cs="Arial"/>
        </w:rPr>
        <w:t xml:space="preserve"> and Karthick, 2013; </w:t>
      </w:r>
      <w:proofErr w:type="spellStart"/>
      <w:r w:rsidRPr="006475B6">
        <w:rPr>
          <w:rFonts w:ascii="Arial" w:hAnsi="Arial" w:cs="Arial"/>
        </w:rPr>
        <w:t>Pragasan</w:t>
      </w:r>
      <w:proofErr w:type="spellEnd"/>
      <w:r w:rsidRPr="006475B6">
        <w:rPr>
          <w:rFonts w:ascii="Arial" w:hAnsi="Arial" w:cs="Arial"/>
        </w:rPr>
        <w:t xml:space="preserve"> and </w:t>
      </w:r>
      <w:proofErr w:type="spellStart"/>
      <w:r w:rsidRPr="006475B6">
        <w:rPr>
          <w:rFonts w:ascii="Arial" w:hAnsi="Arial" w:cs="Arial"/>
        </w:rPr>
        <w:t>Kalaiselvi</w:t>
      </w:r>
      <w:proofErr w:type="spellEnd"/>
      <w:r w:rsidRPr="006475B6">
        <w:rPr>
          <w:rFonts w:ascii="Arial" w:hAnsi="Arial" w:cs="Arial"/>
        </w:rPr>
        <w:t>, 2024). It is generally accepted that 50% of dry biomass is composed of carbon (</w:t>
      </w:r>
      <w:proofErr w:type="spellStart"/>
      <w:r w:rsidRPr="006475B6">
        <w:rPr>
          <w:rFonts w:ascii="Arial" w:hAnsi="Arial" w:cs="Arial"/>
        </w:rPr>
        <w:t>Pragasan</w:t>
      </w:r>
      <w:proofErr w:type="spellEnd"/>
      <w:r w:rsidRPr="006475B6">
        <w:rPr>
          <w:rFonts w:ascii="Arial" w:hAnsi="Arial" w:cs="Arial"/>
        </w:rPr>
        <w:t xml:space="preserve"> et al., 2025). Accurate estimation of biomass is thus crucial for assessing carbon stocks and understanding the role of land-use systems in the global carbon cycle.</w:t>
      </w:r>
    </w:p>
    <w:p w14:paraId="5A039C7F" w14:textId="77777777" w:rsidR="006475B6" w:rsidRPr="006475B6" w:rsidRDefault="006475B6" w:rsidP="006475B6">
      <w:pPr>
        <w:pStyle w:val="Body"/>
        <w:rPr>
          <w:rFonts w:ascii="Arial" w:hAnsi="Arial" w:cs="Arial"/>
        </w:rPr>
      </w:pPr>
      <w:r w:rsidRPr="006475B6">
        <w:rPr>
          <w:rFonts w:ascii="Arial" w:hAnsi="Arial" w:cs="Arial"/>
        </w:rPr>
        <w:t>In India, rapid development has led to rising CO</w:t>
      </w:r>
      <w:r w:rsidRPr="006475B6">
        <w:rPr>
          <w:rFonts w:ascii="Cambria Math" w:hAnsi="Cambria Math" w:cs="Cambria Math"/>
        </w:rPr>
        <w:t>₂</w:t>
      </w:r>
      <w:r w:rsidRPr="006475B6">
        <w:rPr>
          <w:rFonts w:ascii="Arial" w:hAnsi="Arial" w:cs="Arial"/>
        </w:rPr>
        <w:t xml:space="preserve"> emissions, necessitating the evaluation of mitigation strategies, particularly in the context of the United Nations Framework Convention on Climate Change (UNFCCC) (Niles et al., 2002). Agroforestry not only sequesters carbon but also opens avenues for carbon credits, offering a sustainable income source for developing nations (Jindal et al., 2008). Despite the extensive area under </w:t>
      </w:r>
      <w:proofErr w:type="spellStart"/>
      <w:r w:rsidRPr="006475B6">
        <w:rPr>
          <w:rFonts w:ascii="Arial" w:hAnsi="Arial" w:cs="Arial"/>
        </w:rPr>
        <w:t>arecanut</w:t>
      </w:r>
      <w:proofErr w:type="spellEnd"/>
      <w:r w:rsidRPr="006475B6">
        <w:rPr>
          <w:rFonts w:ascii="Arial" w:hAnsi="Arial" w:cs="Arial"/>
        </w:rPr>
        <w:t xml:space="preserve"> cultivation, scientific studies on its carbon sequestration potential are limited (Demie et al., 2024). Most existing research has focused on productivity, pest management, and socio-economic impacts (Jose et al., 2011; Sujatha and Bhat, 2015; Nair and Nair, 2021; Mohanraj et al., 2021).</w:t>
      </w:r>
    </w:p>
    <w:p w14:paraId="5797879B" w14:textId="77777777" w:rsidR="006475B6" w:rsidRPr="006475B6" w:rsidRDefault="006475B6" w:rsidP="006475B6">
      <w:pPr>
        <w:pStyle w:val="Body"/>
        <w:rPr>
          <w:rFonts w:ascii="Arial" w:hAnsi="Arial" w:cs="Arial"/>
        </w:rPr>
      </w:pPr>
      <w:r w:rsidRPr="006475B6">
        <w:rPr>
          <w:rFonts w:ascii="Arial" w:hAnsi="Arial" w:cs="Arial"/>
        </w:rPr>
        <w:t xml:space="preserve">With increasing concern over global climate change, it is necessary to evaluate the carbon sink potential of agroforestry systems, including lesser-studied plantation crops like </w:t>
      </w:r>
      <w:proofErr w:type="spellStart"/>
      <w:r w:rsidRPr="006475B6">
        <w:rPr>
          <w:rFonts w:ascii="Arial" w:hAnsi="Arial" w:cs="Arial"/>
        </w:rPr>
        <w:t>arecanut</w:t>
      </w:r>
      <w:proofErr w:type="spellEnd"/>
      <w:r w:rsidRPr="006475B6">
        <w:rPr>
          <w:rFonts w:ascii="Arial" w:hAnsi="Arial" w:cs="Arial"/>
        </w:rPr>
        <w:t>. Biomass estimation is essential for evaluating carbon stocks, and the Intergovernmental Panel on Climate Change (IPCC) provides guidelines for converting biomass into carbon stock using a standard carbon fraction of 0.5 (Brown and Lugo, 1982; Dixon et al., 1994; McRoberts et al., 2018).</w:t>
      </w:r>
    </w:p>
    <w:p w14:paraId="6B3A2C7C" w14:textId="77777777" w:rsidR="00B01FCD" w:rsidRDefault="006475B6" w:rsidP="00441B6F">
      <w:pPr>
        <w:pStyle w:val="Body"/>
        <w:spacing w:after="0"/>
        <w:rPr>
          <w:rFonts w:ascii="Arial" w:hAnsi="Arial" w:cs="Arial"/>
        </w:rPr>
      </w:pPr>
      <w:r w:rsidRPr="006475B6">
        <w:rPr>
          <w:rFonts w:ascii="Arial" w:hAnsi="Arial" w:cs="Arial"/>
        </w:rPr>
        <w:t xml:space="preserve">This study aims to address the existing knowledge gap by quantifying the biomass and carbon stock of </w:t>
      </w:r>
      <w:proofErr w:type="spellStart"/>
      <w:r w:rsidRPr="006475B6">
        <w:rPr>
          <w:rFonts w:ascii="Arial" w:hAnsi="Arial" w:cs="Arial"/>
        </w:rPr>
        <w:t>arecanut</w:t>
      </w:r>
      <w:proofErr w:type="spellEnd"/>
      <w:r w:rsidRPr="006475B6">
        <w:rPr>
          <w:rFonts w:ascii="Arial" w:hAnsi="Arial" w:cs="Arial"/>
        </w:rPr>
        <w:t xml:space="preserve"> plantations in the Coimbatore district of Tamil Nadu, India. The novelty of this research lies in its focus on the underexplored carbon sequestration potential of </w:t>
      </w:r>
      <w:proofErr w:type="spellStart"/>
      <w:r w:rsidRPr="006475B6">
        <w:rPr>
          <w:rFonts w:ascii="Arial" w:hAnsi="Arial" w:cs="Arial"/>
        </w:rPr>
        <w:t>arecanut</w:t>
      </w:r>
      <w:proofErr w:type="spellEnd"/>
      <w:r w:rsidRPr="006475B6">
        <w:rPr>
          <w:rFonts w:ascii="Arial" w:hAnsi="Arial" w:cs="Arial"/>
        </w:rPr>
        <w:t xml:space="preserve"> plantations, with implications for both climate mitigation and economic sustainability through carbon trading mechanisms.</w:t>
      </w:r>
    </w:p>
    <w:p w14:paraId="31C96F75" w14:textId="77777777" w:rsidR="00790ADA" w:rsidRPr="00FB3A86" w:rsidRDefault="00790ADA" w:rsidP="00441B6F">
      <w:pPr>
        <w:pStyle w:val="Body"/>
        <w:spacing w:after="0"/>
        <w:rPr>
          <w:rFonts w:ascii="Arial" w:hAnsi="Arial" w:cs="Arial"/>
        </w:rPr>
      </w:pPr>
    </w:p>
    <w:p w14:paraId="17C5B040" w14:textId="77777777"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16074B70" w14:textId="77777777" w:rsidR="00790ADA" w:rsidRPr="00FB3A86" w:rsidRDefault="00790ADA" w:rsidP="00441B6F">
      <w:pPr>
        <w:pStyle w:val="AbstHead"/>
        <w:spacing w:after="0"/>
        <w:jc w:val="both"/>
        <w:rPr>
          <w:rFonts w:ascii="Arial" w:hAnsi="Arial" w:cs="Arial"/>
        </w:rPr>
      </w:pPr>
    </w:p>
    <w:p w14:paraId="30E5C667" w14:textId="77777777" w:rsidR="006475B6" w:rsidRPr="006475B6" w:rsidRDefault="006475B6" w:rsidP="006475B6">
      <w:pPr>
        <w:pStyle w:val="Body"/>
        <w:rPr>
          <w:rFonts w:ascii="Arial" w:hAnsi="Arial" w:cs="Arial"/>
        </w:rPr>
      </w:pPr>
      <w:r w:rsidRPr="006475B6">
        <w:rPr>
          <w:rFonts w:ascii="Arial" w:hAnsi="Arial" w:cs="Arial"/>
        </w:rPr>
        <w:t xml:space="preserve">This study was conducted on two managed </w:t>
      </w:r>
      <w:proofErr w:type="spellStart"/>
      <w:r w:rsidRPr="006475B6">
        <w:rPr>
          <w:rFonts w:ascii="Arial" w:hAnsi="Arial" w:cs="Arial"/>
        </w:rPr>
        <w:t>arecanut</w:t>
      </w:r>
      <w:proofErr w:type="spellEnd"/>
      <w:r w:rsidRPr="006475B6">
        <w:rPr>
          <w:rFonts w:ascii="Arial" w:hAnsi="Arial" w:cs="Arial"/>
        </w:rPr>
        <w:t xml:space="preserve"> (</w:t>
      </w:r>
      <w:r w:rsidRPr="008D6AD9">
        <w:rPr>
          <w:rFonts w:ascii="Arial" w:hAnsi="Arial" w:cs="Arial"/>
          <w:i/>
        </w:rPr>
        <w:t>Areca ca</w:t>
      </w:r>
      <w:r w:rsidR="00983DE4">
        <w:rPr>
          <w:rFonts w:ascii="Arial" w:hAnsi="Arial" w:cs="Arial"/>
          <w:i/>
        </w:rPr>
        <w:t>t</w:t>
      </w:r>
      <w:r w:rsidRPr="008D6AD9">
        <w:rPr>
          <w:rFonts w:ascii="Arial" w:hAnsi="Arial" w:cs="Arial"/>
          <w:i/>
        </w:rPr>
        <w:t>echu</w:t>
      </w:r>
      <w:r w:rsidRPr="006475B6">
        <w:rPr>
          <w:rFonts w:ascii="Arial" w:hAnsi="Arial" w:cs="Arial"/>
        </w:rPr>
        <w:t xml:space="preserve"> L.) plantations located in the Coimbatore district of Tamil Nadu, India. The two sites, designated as Site 1 (</w:t>
      </w:r>
      <w:proofErr w:type="spellStart"/>
      <w:r w:rsidRPr="006475B6">
        <w:rPr>
          <w:rFonts w:ascii="Arial" w:hAnsi="Arial" w:cs="Arial"/>
        </w:rPr>
        <w:t>Onappalayam</w:t>
      </w:r>
      <w:proofErr w:type="spellEnd"/>
      <w:r w:rsidRPr="006475B6">
        <w:rPr>
          <w:rFonts w:ascii="Arial" w:hAnsi="Arial" w:cs="Arial"/>
        </w:rPr>
        <w:t>) and Site 2 (</w:t>
      </w:r>
      <w:proofErr w:type="spellStart"/>
      <w:r w:rsidRPr="006475B6">
        <w:rPr>
          <w:rFonts w:ascii="Arial" w:hAnsi="Arial" w:cs="Arial"/>
        </w:rPr>
        <w:t>Vedapatti</w:t>
      </w:r>
      <w:proofErr w:type="spellEnd"/>
      <w:r w:rsidRPr="006475B6">
        <w:rPr>
          <w:rFonts w:ascii="Arial" w:hAnsi="Arial" w:cs="Arial"/>
        </w:rPr>
        <w:t>), are situated at coordinates 11°00'41.9″N &amp; 76°52'19.7″E and 10°59'59.0″N &amp; 76°53'17.6″E, respectively (Figure 1). Both plantations are approximately eight years old.</w:t>
      </w:r>
    </w:p>
    <w:p w14:paraId="79F93887" w14:textId="77777777" w:rsidR="006475B6" w:rsidRPr="006475B6" w:rsidRDefault="006475B6" w:rsidP="006475B6">
      <w:pPr>
        <w:pStyle w:val="Body"/>
        <w:rPr>
          <w:rFonts w:ascii="Arial" w:hAnsi="Arial" w:cs="Arial"/>
        </w:rPr>
      </w:pPr>
      <w:r w:rsidRPr="006475B6">
        <w:rPr>
          <w:rFonts w:ascii="Arial" w:hAnsi="Arial" w:cs="Arial"/>
        </w:rPr>
        <w:t xml:space="preserve">At Site 1, </w:t>
      </w:r>
      <w:proofErr w:type="spellStart"/>
      <w:r w:rsidRPr="006475B6">
        <w:rPr>
          <w:rFonts w:ascii="Arial" w:hAnsi="Arial" w:cs="Arial"/>
        </w:rPr>
        <w:t>arecanut</w:t>
      </w:r>
      <w:proofErr w:type="spellEnd"/>
      <w:r w:rsidRPr="006475B6">
        <w:rPr>
          <w:rFonts w:ascii="Arial" w:hAnsi="Arial" w:cs="Arial"/>
        </w:rPr>
        <w:t xml:space="preserve"> palms are planted at a spacing of 2 × 2 meters, with teak (</w:t>
      </w:r>
      <w:r w:rsidRPr="00983DE4">
        <w:rPr>
          <w:rFonts w:ascii="Arial" w:hAnsi="Arial" w:cs="Arial"/>
          <w:i/>
        </w:rPr>
        <w:t>Tectona grandis</w:t>
      </w:r>
      <w:r w:rsidRPr="006475B6">
        <w:rPr>
          <w:rFonts w:ascii="Arial" w:hAnsi="Arial" w:cs="Arial"/>
        </w:rPr>
        <w:t>) used as an intercrop. In contrast, Site 2 features a wider spacing of 2.8 × 2.8 meters, with coconut (</w:t>
      </w:r>
      <w:r w:rsidRPr="00983DE4">
        <w:rPr>
          <w:rFonts w:ascii="Arial" w:hAnsi="Arial" w:cs="Arial"/>
          <w:i/>
        </w:rPr>
        <w:t>Cocos nucifera</w:t>
      </w:r>
      <w:r w:rsidRPr="006475B6">
        <w:rPr>
          <w:rFonts w:ascii="Arial" w:hAnsi="Arial" w:cs="Arial"/>
        </w:rPr>
        <w:t>) as the intercrop species.</w:t>
      </w:r>
    </w:p>
    <w:p w14:paraId="68FA8E73" w14:textId="77777777" w:rsidR="006475B6" w:rsidRPr="006475B6" w:rsidRDefault="006475B6" w:rsidP="006475B6">
      <w:pPr>
        <w:pStyle w:val="Body"/>
        <w:rPr>
          <w:rFonts w:ascii="Arial" w:hAnsi="Arial" w:cs="Arial"/>
        </w:rPr>
      </w:pPr>
      <w:r w:rsidRPr="006475B6">
        <w:rPr>
          <w:rFonts w:ascii="Arial" w:hAnsi="Arial" w:cs="Arial"/>
        </w:rPr>
        <w:t>The two sites exhibit notable differences in soil characteristics (Table 1). Site 1 has a lower organic carbon content (0.32%) and a moderate level of available nitrogen (126 kg/ha), indicating relatively lower soil fertility compared to Site 2. However, Site 1 possesses higher levels of available potassium (693 kg/ha) and phosphorus (15.4 kg/ha), reflecting better nutrient availability in these specific components. The soil at both sites is alkaline, with a pH of 8.39 at Site 1 and 8.33 at Site 2, which may restrict the availability of certain micronutrients.</w:t>
      </w:r>
    </w:p>
    <w:p w14:paraId="6F37B1E8" w14:textId="77777777" w:rsidR="006475B6" w:rsidRPr="006475B6" w:rsidRDefault="006475B6" w:rsidP="006475B6">
      <w:pPr>
        <w:pStyle w:val="Body"/>
        <w:rPr>
          <w:rFonts w:ascii="Arial" w:hAnsi="Arial" w:cs="Arial"/>
        </w:rPr>
      </w:pPr>
      <w:r w:rsidRPr="006475B6">
        <w:rPr>
          <w:rFonts w:ascii="Arial" w:hAnsi="Arial" w:cs="Arial"/>
        </w:rPr>
        <w:t xml:space="preserve">Site 2, on the other hand, shows higher organic carbon (0.70%) and available nitrogen (154 kg/ha), suggesting improved soil fertility and microbial activity. Nevertheless, it has lower levels of available phosphorus (11.6 kg/ha) and potassium (259 kg/ha), which could limit growth, particularly for potassium-demanding crops. </w:t>
      </w:r>
      <w:r w:rsidR="00983DE4">
        <w:rPr>
          <w:rFonts w:ascii="Arial" w:hAnsi="Arial" w:cs="Arial"/>
        </w:rPr>
        <w:t>Further</w:t>
      </w:r>
      <w:r w:rsidRPr="006475B6">
        <w:rPr>
          <w:rFonts w:ascii="Arial" w:hAnsi="Arial" w:cs="Arial"/>
        </w:rPr>
        <w:t xml:space="preserve">, Site 2 exhibits a higher electrical conductivity (0.44 </w:t>
      </w:r>
      <w:proofErr w:type="spellStart"/>
      <w:r w:rsidRPr="006475B6">
        <w:rPr>
          <w:rFonts w:ascii="Arial" w:hAnsi="Arial" w:cs="Arial"/>
        </w:rPr>
        <w:t>dS</w:t>
      </w:r>
      <w:proofErr w:type="spellEnd"/>
      <w:r w:rsidRPr="006475B6">
        <w:rPr>
          <w:rFonts w:ascii="Arial" w:hAnsi="Arial" w:cs="Arial"/>
        </w:rPr>
        <w:t>/m), indicating slightly increased soil salinity that may necessitate careful irrigation and salinity management.</w:t>
      </w:r>
    </w:p>
    <w:p w14:paraId="46B11335" w14:textId="77777777" w:rsidR="006475B6" w:rsidRPr="006475B6" w:rsidRDefault="006475B6" w:rsidP="006475B6">
      <w:pPr>
        <w:pStyle w:val="Body"/>
        <w:rPr>
          <w:rFonts w:ascii="Arial" w:hAnsi="Arial" w:cs="Arial"/>
        </w:rPr>
      </w:pPr>
      <w:r w:rsidRPr="006475B6">
        <w:rPr>
          <w:rFonts w:ascii="Arial" w:hAnsi="Arial" w:cs="Arial"/>
        </w:rPr>
        <w:t>Climatic data from the study area between 1991 and 2021 show an average annual rainfall of 952 mm, with approximately 77% of precipitation occurring between June and November. The region experiences an average monthly temperature of 25°C. The lowest recorded temperature is 18°C in January, while the highest reaches 35°C in April.</w:t>
      </w:r>
    </w:p>
    <w:p w14:paraId="123AB0E6" w14:textId="77777777" w:rsidR="006475B6" w:rsidRDefault="006475B6" w:rsidP="006475B6">
      <w:pPr>
        <w:pStyle w:val="Body"/>
        <w:rPr>
          <w:rFonts w:ascii="Arial" w:hAnsi="Arial" w:cs="Arial"/>
        </w:rPr>
      </w:pPr>
    </w:p>
    <w:p w14:paraId="70A11675" w14:textId="77777777" w:rsidR="006475B6" w:rsidRDefault="006475B6" w:rsidP="00200436">
      <w:pPr>
        <w:pStyle w:val="Body"/>
        <w:jc w:val="center"/>
        <w:rPr>
          <w:rFonts w:ascii="Arial" w:hAnsi="Arial" w:cs="Arial"/>
        </w:rPr>
      </w:pPr>
      <w:r w:rsidRPr="00432A8C">
        <w:rPr>
          <w:rFonts w:ascii="Times New Roman" w:hAnsi="Times New Roman"/>
          <w:noProof/>
          <w:sz w:val="24"/>
          <w:szCs w:val="24"/>
          <w:lang w:val="en-IN" w:eastAsia="en-IN"/>
        </w:rPr>
        <w:lastRenderedPageBreak/>
        <w:drawing>
          <wp:inline distT="0" distB="0" distL="0" distR="0" wp14:anchorId="6E7C1EF4" wp14:editId="2ABC7678">
            <wp:extent cx="5212080" cy="7371414"/>
            <wp:effectExtent l="0" t="0" r="0" b="0"/>
            <wp:docPr id="3" name="Picture 3" descr="F:\3.M.Sc\1.M.Sc. Projects\2025-2\2.Sidharth Madhu_23ENVA20\Data\map\f1\study 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3.M.Sc\1.M.Sc. Projects\2025-2\2.Sidharth Madhu_23ENVA20\Data\map\f1\study final.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212080" cy="7371414"/>
                    </a:xfrm>
                    <a:prstGeom prst="rect">
                      <a:avLst/>
                    </a:prstGeom>
                    <a:noFill/>
                    <a:ln>
                      <a:noFill/>
                    </a:ln>
                  </pic:spPr>
                </pic:pic>
              </a:graphicData>
            </a:graphic>
          </wp:inline>
        </w:drawing>
      </w:r>
    </w:p>
    <w:p w14:paraId="6EE77B77" w14:textId="77777777" w:rsidR="006475B6" w:rsidRPr="006475B6" w:rsidRDefault="006475B6" w:rsidP="00B54E8A">
      <w:pPr>
        <w:pStyle w:val="Body"/>
        <w:jc w:val="center"/>
        <w:rPr>
          <w:rFonts w:ascii="Arial" w:hAnsi="Arial" w:cs="Arial"/>
        </w:rPr>
      </w:pPr>
      <w:r w:rsidRPr="00B54E8A">
        <w:rPr>
          <w:rFonts w:ascii="Arial" w:hAnsi="Arial" w:cs="Arial"/>
          <w:b/>
        </w:rPr>
        <w:t>Figure 1.</w:t>
      </w:r>
      <w:r w:rsidRPr="006475B6">
        <w:rPr>
          <w:rFonts w:ascii="Arial" w:hAnsi="Arial" w:cs="Arial"/>
        </w:rPr>
        <w:t xml:space="preserve"> </w:t>
      </w:r>
      <w:r w:rsidRPr="00B54E8A">
        <w:rPr>
          <w:rFonts w:ascii="Arial" w:hAnsi="Arial" w:cs="Arial"/>
          <w:b/>
        </w:rPr>
        <w:t>Map showing the location of the study sites.</w:t>
      </w:r>
    </w:p>
    <w:p w14:paraId="417872E6" w14:textId="77777777" w:rsidR="006475B6" w:rsidRDefault="006475B6" w:rsidP="006475B6">
      <w:pPr>
        <w:pStyle w:val="Body"/>
        <w:rPr>
          <w:rFonts w:ascii="Arial" w:hAnsi="Arial" w:cs="Arial"/>
        </w:rPr>
      </w:pPr>
    </w:p>
    <w:p w14:paraId="44DCC655" w14:textId="77777777" w:rsidR="006475B6" w:rsidRPr="00B54E8A" w:rsidRDefault="006475B6" w:rsidP="006475B6">
      <w:pPr>
        <w:pStyle w:val="Body"/>
        <w:rPr>
          <w:rFonts w:ascii="Arial" w:hAnsi="Arial" w:cs="Arial"/>
          <w:b/>
        </w:rPr>
      </w:pPr>
      <w:r w:rsidRPr="00B54E8A">
        <w:rPr>
          <w:rFonts w:ascii="Arial" w:hAnsi="Arial" w:cs="Arial"/>
          <w:b/>
        </w:rPr>
        <w:t>Table 1. Soil characteristics of the two study sites.</w:t>
      </w:r>
    </w:p>
    <w:tbl>
      <w:tblPr>
        <w:tblStyle w:val="TableGrid"/>
        <w:tblW w:w="8217"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1984"/>
        <w:gridCol w:w="1985"/>
      </w:tblGrid>
      <w:tr w:rsidR="006475B6" w:rsidRPr="006475B6" w14:paraId="06C9C308" w14:textId="77777777" w:rsidTr="00166977">
        <w:trPr>
          <w:trHeight w:val="361"/>
        </w:trPr>
        <w:tc>
          <w:tcPr>
            <w:tcW w:w="4248" w:type="dxa"/>
            <w:tcBorders>
              <w:top w:val="single" w:sz="4" w:space="0" w:color="auto"/>
              <w:bottom w:val="single" w:sz="4" w:space="0" w:color="auto"/>
            </w:tcBorders>
          </w:tcPr>
          <w:p w14:paraId="64B1907B" w14:textId="77777777" w:rsidR="006475B6" w:rsidRPr="006475B6" w:rsidRDefault="006475B6" w:rsidP="00166977">
            <w:pPr>
              <w:spacing w:line="360" w:lineRule="auto"/>
              <w:contextualSpacing/>
              <w:jc w:val="both"/>
              <w:rPr>
                <w:rFonts w:ascii="Arial" w:hAnsi="Arial" w:cs="Arial"/>
                <w:b/>
                <w:sz w:val="20"/>
                <w:szCs w:val="20"/>
              </w:rPr>
            </w:pPr>
            <w:r w:rsidRPr="006475B6">
              <w:rPr>
                <w:rFonts w:ascii="Arial" w:hAnsi="Arial" w:cs="Arial"/>
                <w:b/>
                <w:sz w:val="20"/>
                <w:szCs w:val="20"/>
              </w:rPr>
              <w:t>Parameter</w:t>
            </w:r>
          </w:p>
        </w:tc>
        <w:tc>
          <w:tcPr>
            <w:tcW w:w="1984" w:type="dxa"/>
            <w:tcBorders>
              <w:top w:val="single" w:sz="4" w:space="0" w:color="auto"/>
              <w:bottom w:val="single" w:sz="4" w:space="0" w:color="auto"/>
            </w:tcBorders>
          </w:tcPr>
          <w:p w14:paraId="0B00A437" w14:textId="77777777" w:rsidR="006475B6" w:rsidRPr="006475B6" w:rsidRDefault="006475B6" w:rsidP="00166977">
            <w:pPr>
              <w:spacing w:line="360" w:lineRule="auto"/>
              <w:contextualSpacing/>
              <w:jc w:val="both"/>
              <w:rPr>
                <w:rFonts w:ascii="Arial" w:hAnsi="Arial" w:cs="Arial"/>
                <w:b/>
                <w:sz w:val="20"/>
                <w:szCs w:val="20"/>
              </w:rPr>
            </w:pPr>
            <w:r w:rsidRPr="006475B6">
              <w:rPr>
                <w:rFonts w:ascii="Arial" w:hAnsi="Arial" w:cs="Arial"/>
                <w:b/>
                <w:sz w:val="20"/>
                <w:szCs w:val="20"/>
              </w:rPr>
              <w:t>Site 1</w:t>
            </w:r>
          </w:p>
        </w:tc>
        <w:tc>
          <w:tcPr>
            <w:tcW w:w="1985" w:type="dxa"/>
            <w:tcBorders>
              <w:top w:val="single" w:sz="4" w:space="0" w:color="auto"/>
              <w:bottom w:val="single" w:sz="4" w:space="0" w:color="auto"/>
            </w:tcBorders>
          </w:tcPr>
          <w:p w14:paraId="32A88A2E" w14:textId="77777777" w:rsidR="006475B6" w:rsidRPr="006475B6" w:rsidRDefault="006475B6" w:rsidP="00166977">
            <w:pPr>
              <w:spacing w:line="360" w:lineRule="auto"/>
              <w:contextualSpacing/>
              <w:jc w:val="both"/>
              <w:rPr>
                <w:rFonts w:ascii="Arial" w:hAnsi="Arial" w:cs="Arial"/>
                <w:b/>
                <w:sz w:val="20"/>
                <w:szCs w:val="20"/>
              </w:rPr>
            </w:pPr>
            <w:r w:rsidRPr="006475B6">
              <w:rPr>
                <w:rFonts w:ascii="Arial" w:hAnsi="Arial" w:cs="Arial"/>
                <w:b/>
                <w:sz w:val="20"/>
                <w:szCs w:val="20"/>
              </w:rPr>
              <w:t>Site 2</w:t>
            </w:r>
          </w:p>
        </w:tc>
      </w:tr>
      <w:tr w:rsidR="006475B6" w:rsidRPr="006475B6" w14:paraId="4111E56D" w14:textId="77777777" w:rsidTr="00166977">
        <w:trPr>
          <w:trHeight w:val="375"/>
        </w:trPr>
        <w:tc>
          <w:tcPr>
            <w:tcW w:w="4248" w:type="dxa"/>
            <w:tcBorders>
              <w:top w:val="single" w:sz="4" w:space="0" w:color="auto"/>
            </w:tcBorders>
          </w:tcPr>
          <w:p w14:paraId="054BC5DA" w14:textId="77777777" w:rsidR="006475B6" w:rsidRPr="006475B6" w:rsidRDefault="006475B6" w:rsidP="00166977">
            <w:pPr>
              <w:spacing w:line="360" w:lineRule="auto"/>
              <w:contextualSpacing/>
              <w:jc w:val="both"/>
              <w:rPr>
                <w:rFonts w:ascii="Arial" w:hAnsi="Arial" w:cs="Arial"/>
                <w:sz w:val="20"/>
                <w:szCs w:val="20"/>
              </w:rPr>
            </w:pPr>
            <w:r w:rsidRPr="006475B6">
              <w:rPr>
                <w:rFonts w:ascii="Arial" w:hAnsi="Arial" w:cs="Arial"/>
                <w:sz w:val="20"/>
                <w:szCs w:val="20"/>
              </w:rPr>
              <w:lastRenderedPageBreak/>
              <w:t>Organic Carbon (%)</w:t>
            </w:r>
          </w:p>
        </w:tc>
        <w:tc>
          <w:tcPr>
            <w:tcW w:w="1984" w:type="dxa"/>
            <w:tcBorders>
              <w:top w:val="single" w:sz="4" w:space="0" w:color="auto"/>
            </w:tcBorders>
          </w:tcPr>
          <w:p w14:paraId="46F1FBA9" w14:textId="77777777" w:rsidR="006475B6" w:rsidRPr="006475B6" w:rsidRDefault="006475B6" w:rsidP="00166977">
            <w:pPr>
              <w:spacing w:line="360" w:lineRule="auto"/>
              <w:contextualSpacing/>
              <w:jc w:val="both"/>
              <w:rPr>
                <w:rFonts w:ascii="Arial" w:hAnsi="Arial" w:cs="Arial"/>
                <w:sz w:val="20"/>
                <w:szCs w:val="20"/>
              </w:rPr>
            </w:pPr>
            <w:r w:rsidRPr="006475B6">
              <w:rPr>
                <w:rFonts w:ascii="Arial" w:hAnsi="Arial" w:cs="Arial"/>
                <w:sz w:val="20"/>
                <w:szCs w:val="20"/>
              </w:rPr>
              <w:t>0.32 %</w:t>
            </w:r>
          </w:p>
        </w:tc>
        <w:tc>
          <w:tcPr>
            <w:tcW w:w="1985" w:type="dxa"/>
            <w:tcBorders>
              <w:top w:val="single" w:sz="4" w:space="0" w:color="auto"/>
            </w:tcBorders>
          </w:tcPr>
          <w:p w14:paraId="4C505677" w14:textId="77777777" w:rsidR="006475B6" w:rsidRPr="006475B6" w:rsidRDefault="006475B6" w:rsidP="00166977">
            <w:pPr>
              <w:spacing w:line="360" w:lineRule="auto"/>
              <w:contextualSpacing/>
              <w:jc w:val="both"/>
              <w:rPr>
                <w:rFonts w:ascii="Arial" w:hAnsi="Arial" w:cs="Arial"/>
                <w:sz w:val="20"/>
                <w:szCs w:val="20"/>
              </w:rPr>
            </w:pPr>
            <w:r w:rsidRPr="006475B6">
              <w:rPr>
                <w:rFonts w:ascii="Arial" w:hAnsi="Arial" w:cs="Arial"/>
                <w:sz w:val="20"/>
                <w:szCs w:val="20"/>
              </w:rPr>
              <w:t>0.70 %</w:t>
            </w:r>
          </w:p>
        </w:tc>
      </w:tr>
      <w:tr w:rsidR="006475B6" w:rsidRPr="006475B6" w14:paraId="2D8348E8" w14:textId="77777777" w:rsidTr="00166977">
        <w:trPr>
          <w:trHeight w:val="361"/>
        </w:trPr>
        <w:tc>
          <w:tcPr>
            <w:tcW w:w="4248" w:type="dxa"/>
          </w:tcPr>
          <w:p w14:paraId="669B6A66" w14:textId="77777777" w:rsidR="006475B6" w:rsidRPr="006475B6" w:rsidRDefault="006475B6" w:rsidP="00166977">
            <w:pPr>
              <w:spacing w:line="360" w:lineRule="auto"/>
              <w:contextualSpacing/>
              <w:jc w:val="both"/>
              <w:rPr>
                <w:rFonts w:ascii="Arial" w:hAnsi="Arial" w:cs="Arial"/>
                <w:sz w:val="20"/>
                <w:szCs w:val="20"/>
              </w:rPr>
            </w:pPr>
            <w:r w:rsidRPr="006475B6">
              <w:rPr>
                <w:rFonts w:ascii="Arial" w:hAnsi="Arial" w:cs="Arial"/>
                <w:sz w:val="20"/>
                <w:szCs w:val="20"/>
              </w:rPr>
              <w:t>pH</w:t>
            </w:r>
          </w:p>
        </w:tc>
        <w:tc>
          <w:tcPr>
            <w:tcW w:w="1984" w:type="dxa"/>
          </w:tcPr>
          <w:p w14:paraId="734DC928" w14:textId="77777777" w:rsidR="006475B6" w:rsidRPr="006475B6" w:rsidRDefault="006475B6" w:rsidP="00166977">
            <w:pPr>
              <w:spacing w:line="360" w:lineRule="auto"/>
              <w:contextualSpacing/>
              <w:jc w:val="both"/>
              <w:rPr>
                <w:rFonts w:ascii="Arial" w:hAnsi="Arial" w:cs="Arial"/>
                <w:sz w:val="20"/>
                <w:szCs w:val="20"/>
              </w:rPr>
            </w:pPr>
            <w:r w:rsidRPr="006475B6">
              <w:rPr>
                <w:rFonts w:ascii="Arial" w:hAnsi="Arial" w:cs="Arial"/>
                <w:sz w:val="20"/>
                <w:szCs w:val="20"/>
              </w:rPr>
              <w:t>8.39</w:t>
            </w:r>
          </w:p>
        </w:tc>
        <w:tc>
          <w:tcPr>
            <w:tcW w:w="1985" w:type="dxa"/>
          </w:tcPr>
          <w:p w14:paraId="0A2AF846" w14:textId="77777777" w:rsidR="006475B6" w:rsidRPr="006475B6" w:rsidRDefault="006475B6" w:rsidP="00166977">
            <w:pPr>
              <w:spacing w:line="360" w:lineRule="auto"/>
              <w:contextualSpacing/>
              <w:jc w:val="both"/>
              <w:rPr>
                <w:rFonts w:ascii="Arial" w:hAnsi="Arial" w:cs="Arial"/>
                <w:sz w:val="20"/>
                <w:szCs w:val="20"/>
              </w:rPr>
            </w:pPr>
            <w:r w:rsidRPr="006475B6">
              <w:rPr>
                <w:rFonts w:ascii="Arial" w:hAnsi="Arial" w:cs="Arial"/>
                <w:sz w:val="20"/>
                <w:szCs w:val="20"/>
              </w:rPr>
              <w:t>8.33</w:t>
            </w:r>
          </w:p>
        </w:tc>
      </w:tr>
      <w:tr w:rsidR="006475B6" w:rsidRPr="006475B6" w14:paraId="6BD82C1A" w14:textId="77777777" w:rsidTr="00166977">
        <w:trPr>
          <w:trHeight w:val="361"/>
        </w:trPr>
        <w:tc>
          <w:tcPr>
            <w:tcW w:w="4248" w:type="dxa"/>
          </w:tcPr>
          <w:p w14:paraId="2090BDF5" w14:textId="77777777" w:rsidR="006475B6" w:rsidRPr="006475B6" w:rsidRDefault="006475B6" w:rsidP="00166977">
            <w:pPr>
              <w:spacing w:line="360" w:lineRule="auto"/>
              <w:contextualSpacing/>
              <w:jc w:val="both"/>
              <w:rPr>
                <w:rFonts w:ascii="Arial" w:hAnsi="Arial" w:cs="Arial"/>
                <w:sz w:val="20"/>
                <w:szCs w:val="20"/>
              </w:rPr>
            </w:pPr>
            <w:r w:rsidRPr="006475B6">
              <w:rPr>
                <w:rFonts w:ascii="Arial" w:hAnsi="Arial" w:cs="Arial"/>
                <w:sz w:val="20"/>
                <w:szCs w:val="20"/>
              </w:rPr>
              <w:t>EC (</w:t>
            </w:r>
            <w:proofErr w:type="spellStart"/>
            <w:r w:rsidRPr="006475B6">
              <w:rPr>
                <w:rFonts w:ascii="Arial" w:hAnsi="Arial" w:cs="Arial"/>
                <w:sz w:val="20"/>
                <w:szCs w:val="20"/>
              </w:rPr>
              <w:t>dS</w:t>
            </w:r>
            <w:proofErr w:type="spellEnd"/>
            <w:r w:rsidRPr="006475B6">
              <w:rPr>
                <w:rFonts w:ascii="Arial" w:hAnsi="Arial" w:cs="Arial"/>
                <w:sz w:val="20"/>
                <w:szCs w:val="20"/>
              </w:rPr>
              <w:t>/m)</w:t>
            </w:r>
          </w:p>
        </w:tc>
        <w:tc>
          <w:tcPr>
            <w:tcW w:w="1984" w:type="dxa"/>
          </w:tcPr>
          <w:p w14:paraId="6BD41307" w14:textId="77777777" w:rsidR="006475B6" w:rsidRPr="006475B6" w:rsidRDefault="006475B6" w:rsidP="00166977">
            <w:pPr>
              <w:spacing w:line="360" w:lineRule="auto"/>
              <w:contextualSpacing/>
              <w:jc w:val="both"/>
              <w:rPr>
                <w:rFonts w:ascii="Arial" w:hAnsi="Arial" w:cs="Arial"/>
                <w:sz w:val="20"/>
                <w:szCs w:val="20"/>
                <w:vertAlign w:val="superscript"/>
              </w:rPr>
            </w:pPr>
            <w:r w:rsidRPr="006475B6">
              <w:rPr>
                <w:rFonts w:ascii="Arial" w:hAnsi="Arial" w:cs="Arial"/>
                <w:sz w:val="20"/>
                <w:szCs w:val="20"/>
              </w:rPr>
              <w:t xml:space="preserve">0.16 </w:t>
            </w:r>
          </w:p>
        </w:tc>
        <w:tc>
          <w:tcPr>
            <w:tcW w:w="1985" w:type="dxa"/>
          </w:tcPr>
          <w:p w14:paraId="41EAE822" w14:textId="77777777" w:rsidR="006475B6" w:rsidRPr="006475B6" w:rsidRDefault="006475B6" w:rsidP="00166977">
            <w:pPr>
              <w:spacing w:line="360" w:lineRule="auto"/>
              <w:contextualSpacing/>
              <w:jc w:val="both"/>
              <w:rPr>
                <w:rFonts w:ascii="Arial" w:hAnsi="Arial" w:cs="Arial"/>
                <w:sz w:val="20"/>
                <w:szCs w:val="20"/>
                <w:vertAlign w:val="superscript"/>
              </w:rPr>
            </w:pPr>
            <w:r w:rsidRPr="006475B6">
              <w:rPr>
                <w:rFonts w:ascii="Arial" w:hAnsi="Arial" w:cs="Arial"/>
                <w:sz w:val="20"/>
                <w:szCs w:val="20"/>
              </w:rPr>
              <w:t xml:space="preserve">0.44 </w:t>
            </w:r>
          </w:p>
        </w:tc>
      </w:tr>
      <w:tr w:rsidR="006475B6" w:rsidRPr="006475B6" w14:paraId="2054321D" w14:textId="77777777" w:rsidTr="00166977">
        <w:trPr>
          <w:trHeight w:val="375"/>
        </w:trPr>
        <w:tc>
          <w:tcPr>
            <w:tcW w:w="4248" w:type="dxa"/>
          </w:tcPr>
          <w:p w14:paraId="5F20D3C9" w14:textId="77777777" w:rsidR="006475B6" w:rsidRPr="006475B6" w:rsidRDefault="006475B6" w:rsidP="00166977">
            <w:pPr>
              <w:spacing w:line="360" w:lineRule="auto"/>
              <w:contextualSpacing/>
              <w:jc w:val="both"/>
              <w:rPr>
                <w:rFonts w:ascii="Arial" w:hAnsi="Arial" w:cs="Arial"/>
                <w:sz w:val="20"/>
                <w:szCs w:val="20"/>
              </w:rPr>
            </w:pPr>
            <w:r w:rsidRPr="006475B6">
              <w:rPr>
                <w:rFonts w:ascii="Arial" w:hAnsi="Arial" w:cs="Arial"/>
                <w:sz w:val="20"/>
                <w:szCs w:val="20"/>
              </w:rPr>
              <w:t>Available N (kg/ha)</w:t>
            </w:r>
          </w:p>
        </w:tc>
        <w:tc>
          <w:tcPr>
            <w:tcW w:w="1984" w:type="dxa"/>
          </w:tcPr>
          <w:p w14:paraId="0969A70E" w14:textId="77777777" w:rsidR="006475B6" w:rsidRPr="006475B6" w:rsidRDefault="006475B6" w:rsidP="00166977">
            <w:pPr>
              <w:spacing w:line="360" w:lineRule="auto"/>
              <w:contextualSpacing/>
              <w:jc w:val="both"/>
              <w:rPr>
                <w:rFonts w:ascii="Arial" w:hAnsi="Arial" w:cs="Arial"/>
                <w:sz w:val="20"/>
                <w:szCs w:val="20"/>
              </w:rPr>
            </w:pPr>
            <w:r w:rsidRPr="006475B6">
              <w:rPr>
                <w:rFonts w:ascii="Arial" w:hAnsi="Arial" w:cs="Arial"/>
                <w:sz w:val="20"/>
                <w:szCs w:val="20"/>
              </w:rPr>
              <w:t xml:space="preserve">126 </w:t>
            </w:r>
          </w:p>
        </w:tc>
        <w:tc>
          <w:tcPr>
            <w:tcW w:w="1985" w:type="dxa"/>
          </w:tcPr>
          <w:p w14:paraId="353A802E" w14:textId="77777777" w:rsidR="006475B6" w:rsidRPr="006475B6" w:rsidRDefault="006475B6" w:rsidP="00166977">
            <w:pPr>
              <w:spacing w:line="360" w:lineRule="auto"/>
              <w:contextualSpacing/>
              <w:jc w:val="both"/>
              <w:rPr>
                <w:rFonts w:ascii="Arial" w:hAnsi="Arial" w:cs="Arial"/>
                <w:sz w:val="20"/>
                <w:szCs w:val="20"/>
              </w:rPr>
            </w:pPr>
            <w:r w:rsidRPr="006475B6">
              <w:rPr>
                <w:rFonts w:ascii="Arial" w:hAnsi="Arial" w:cs="Arial"/>
                <w:sz w:val="20"/>
                <w:szCs w:val="20"/>
              </w:rPr>
              <w:t xml:space="preserve">154 </w:t>
            </w:r>
          </w:p>
        </w:tc>
      </w:tr>
      <w:tr w:rsidR="006475B6" w:rsidRPr="006475B6" w14:paraId="6E1A738E" w14:textId="77777777" w:rsidTr="00166977">
        <w:trPr>
          <w:trHeight w:val="421"/>
        </w:trPr>
        <w:tc>
          <w:tcPr>
            <w:tcW w:w="4248" w:type="dxa"/>
          </w:tcPr>
          <w:p w14:paraId="59134E5D" w14:textId="77777777" w:rsidR="006475B6" w:rsidRPr="006475B6" w:rsidRDefault="006475B6" w:rsidP="00166977">
            <w:pPr>
              <w:spacing w:line="360" w:lineRule="auto"/>
              <w:contextualSpacing/>
              <w:jc w:val="both"/>
              <w:rPr>
                <w:rFonts w:ascii="Arial" w:hAnsi="Arial" w:cs="Arial"/>
                <w:sz w:val="20"/>
                <w:szCs w:val="20"/>
              </w:rPr>
            </w:pPr>
            <w:r w:rsidRPr="006475B6">
              <w:rPr>
                <w:rFonts w:ascii="Arial" w:hAnsi="Arial" w:cs="Arial"/>
                <w:sz w:val="20"/>
                <w:szCs w:val="20"/>
              </w:rPr>
              <w:t xml:space="preserve">Available P (Olsen’s) (kg/ha)    </w:t>
            </w:r>
          </w:p>
        </w:tc>
        <w:tc>
          <w:tcPr>
            <w:tcW w:w="1984" w:type="dxa"/>
          </w:tcPr>
          <w:p w14:paraId="54B218BB" w14:textId="77777777" w:rsidR="006475B6" w:rsidRPr="006475B6" w:rsidRDefault="006475B6" w:rsidP="00166977">
            <w:pPr>
              <w:spacing w:line="360" w:lineRule="auto"/>
              <w:contextualSpacing/>
              <w:jc w:val="both"/>
              <w:rPr>
                <w:rFonts w:ascii="Arial" w:hAnsi="Arial" w:cs="Arial"/>
                <w:sz w:val="20"/>
                <w:szCs w:val="20"/>
              </w:rPr>
            </w:pPr>
            <w:r w:rsidRPr="006475B6">
              <w:rPr>
                <w:rFonts w:ascii="Arial" w:hAnsi="Arial" w:cs="Arial"/>
                <w:sz w:val="20"/>
                <w:szCs w:val="20"/>
              </w:rPr>
              <w:t xml:space="preserve">15.4 </w:t>
            </w:r>
          </w:p>
        </w:tc>
        <w:tc>
          <w:tcPr>
            <w:tcW w:w="1985" w:type="dxa"/>
          </w:tcPr>
          <w:p w14:paraId="4F6B9AB2" w14:textId="77777777" w:rsidR="006475B6" w:rsidRPr="006475B6" w:rsidRDefault="006475B6" w:rsidP="00166977">
            <w:pPr>
              <w:spacing w:line="360" w:lineRule="auto"/>
              <w:contextualSpacing/>
              <w:jc w:val="both"/>
              <w:rPr>
                <w:rFonts w:ascii="Arial" w:hAnsi="Arial" w:cs="Arial"/>
                <w:sz w:val="20"/>
                <w:szCs w:val="20"/>
              </w:rPr>
            </w:pPr>
            <w:r w:rsidRPr="006475B6">
              <w:rPr>
                <w:rFonts w:ascii="Arial" w:hAnsi="Arial" w:cs="Arial"/>
                <w:sz w:val="20"/>
                <w:szCs w:val="20"/>
              </w:rPr>
              <w:t xml:space="preserve">11.6 </w:t>
            </w:r>
          </w:p>
        </w:tc>
      </w:tr>
      <w:tr w:rsidR="006475B6" w:rsidRPr="006475B6" w14:paraId="5D9510A9" w14:textId="77777777" w:rsidTr="00166977">
        <w:trPr>
          <w:trHeight w:val="361"/>
        </w:trPr>
        <w:tc>
          <w:tcPr>
            <w:tcW w:w="4248" w:type="dxa"/>
          </w:tcPr>
          <w:p w14:paraId="07D00713" w14:textId="77777777" w:rsidR="006475B6" w:rsidRPr="006475B6" w:rsidRDefault="006475B6" w:rsidP="00166977">
            <w:pPr>
              <w:spacing w:line="360" w:lineRule="auto"/>
              <w:contextualSpacing/>
              <w:jc w:val="both"/>
              <w:rPr>
                <w:rFonts w:ascii="Arial" w:hAnsi="Arial" w:cs="Arial"/>
                <w:sz w:val="20"/>
                <w:szCs w:val="20"/>
              </w:rPr>
            </w:pPr>
            <w:r w:rsidRPr="006475B6">
              <w:rPr>
                <w:rFonts w:ascii="Arial" w:hAnsi="Arial" w:cs="Arial"/>
                <w:sz w:val="20"/>
                <w:szCs w:val="20"/>
              </w:rPr>
              <w:t>Available K (kg/ha)</w:t>
            </w:r>
          </w:p>
        </w:tc>
        <w:tc>
          <w:tcPr>
            <w:tcW w:w="1984" w:type="dxa"/>
          </w:tcPr>
          <w:p w14:paraId="52AC1A60" w14:textId="77777777" w:rsidR="006475B6" w:rsidRPr="006475B6" w:rsidRDefault="006475B6" w:rsidP="00166977">
            <w:pPr>
              <w:spacing w:line="360" w:lineRule="auto"/>
              <w:contextualSpacing/>
              <w:jc w:val="both"/>
              <w:rPr>
                <w:rFonts w:ascii="Arial" w:hAnsi="Arial" w:cs="Arial"/>
                <w:sz w:val="20"/>
                <w:szCs w:val="20"/>
              </w:rPr>
            </w:pPr>
            <w:r w:rsidRPr="006475B6">
              <w:rPr>
                <w:rFonts w:ascii="Arial" w:hAnsi="Arial" w:cs="Arial"/>
                <w:sz w:val="20"/>
                <w:szCs w:val="20"/>
              </w:rPr>
              <w:t xml:space="preserve">693 </w:t>
            </w:r>
          </w:p>
        </w:tc>
        <w:tc>
          <w:tcPr>
            <w:tcW w:w="1985" w:type="dxa"/>
          </w:tcPr>
          <w:p w14:paraId="2F7CB0BD" w14:textId="77777777" w:rsidR="006475B6" w:rsidRPr="006475B6" w:rsidRDefault="006475B6" w:rsidP="00166977">
            <w:pPr>
              <w:spacing w:line="360" w:lineRule="auto"/>
              <w:contextualSpacing/>
              <w:jc w:val="both"/>
              <w:rPr>
                <w:rFonts w:ascii="Arial" w:hAnsi="Arial" w:cs="Arial"/>
                <w:sz w:val="20"/>
                <w:szCs w:val="20"/>
              </w:rPr>
            </w:pPr>
            <w:r w:rsidRPr="006475B6">
              <w:rPr>
                <w:rFonts w:ascii="Arial" w:hAnsi="Arial" w:cs="Arial"/>
                <w:sz w:val="20"/>
                <w:szCs w:val="20"/>
              </w:rPr>
              <w:t xml:space="preserve">259 </w:t>
            </w:r>
          </w:p>
        </w:tc>
      </w:tr>
    </w:tbl>
    <w:p w14:paraId="3AAD009B" w14:textId="77777777" w:rsidR="006475B6" w:rsidRDefault="006475B6" w:rsidP="006475B6">
      <w:pPr>
        <w:pStyle w:val="Body"/>
        <w:rPr>
          <w:rFonts w:ascii="Arial" w:hAnsi="Arial" w:cs="Arial"/>
        </w:rPr>
      </w:pPr>
    </w:p>
    <w:p w14:paraId="19FD12A7" w14:textId="77777777" w:rsidR="006475B6" w:rsidRPr="006475B6" w:rsidRDefault="006475B6" w:rsidP="006475B6">
      <w:pPr>
        <w:pStyle w:val="Body"/>
        <w:rPr>
          <w:rFonts w:ascii="Arial" w:hAnsi="Arial" w:cs="Arial"/>
        </w:rPr>
      </w:pPr>
      <w:r w:rsidRPr="006475B6">
        <w:rPr>
          <w:rFonts w:ascii="Arial" w:hAnsi="Arial" w:cs="Arial"/>
        </w:rPr>
        <w:t xml:space="preserve">At each study site, a standardized plot of 100 m × 100 m (1 hectare) was established within the </w:t>
      </w:r>
      <w:proofErr w:type="spellStart"/>
      <w:r w:rsidRPr="006475B6">
        <w:rPr>
          <w:rFonts w:ascii="Arial" w:hAnsi="Arial" w:cs="Arial"/>
        </w:rPr>
        <w:t>arecanut</w:t>
      </w:r>
      <w:proofErr w:type="spellEnd"/>
      <w:r w:rsidRPr="006475B6">
        <w:rPr>
          <w:rFonts w:ascii="Arial" w:hAnsi="Arial" w:cs="Arial"/>
        </w:rPr>
        <w:t xml:space="preserve"> plantation to facilitate direct comparisons between the two sites. The plots were demarcated using measuring tapes, and their boundaries were marked with ropes.</w:t>
      </w:r>
    </w:p>
    <w:p w14:paraId="1CC14A11" w14:textId="77777777" w:rsidR="006475B6" w:rsidRPr="006475B6" w:rsidRDefault="006475B6" w:rsidP="006475B6">
      <w:pPr>
        <w:pStyle w:val="Body"/>
        <w:rPr>
          <w:rFonts w:ascii="Arial" w:hAnsi="Arial" w:cs="Arial"/>
        </w:rPr>
      </w:pPr>
      <w:r w:rsidRPr="006475B6">
        <w:rPr>
          <w:rFonts w:ascii="Arial" w:hAnsi="Arial" w:cs="Arial"/>
        </w:rPr>
        <w:t>Data collection was carried out using the quadrat method, a standard non-destructive sampling technique widely used in ecological studies. This method is particularly suitable for plantation and forest ecosystems where destructive sampling (e.g., cutting and weighing trees) is impractical due to ecologic</w:t>
      </w:r>
      <w:r>
        <w:rPr>
          <w:rFonts w:ascii="Arial" w:hAnsi="Arial" w:cs="Arial"/>
        </w:rPr>
        <w:t>al and economic considerations.</w:t>
      </w:r>
    </w:p>
    <w:p w14:paraId="3E4326E6" w14:textId="77777777" w:rsidR="006475B6" w:rsidRPr="006475B6" w:rsidRDefault="006475B6" w:rsidP="006475B6">
      <w:pPr>
        <w:pStyle w:val="Body"/>
        <w:rPr>
          <w:rFonts w:ascii="Arial" w:hAnsi="Arial" w:cs="Arial"/>
        </w:rPr>
      </w:pPr>
      <w:r w:rsidRPr="006475B6">
        <w:rPr>
          <w:rFonts w:ascii="Arial" w:hAnsi="Arial" w:cs="Arial"/>
        </w:rPr>
        <w:t xml:space="preserve">Within each 1-hectare plot, 25 quadrats of 20 m × 20 m dimensions were systematically laid out. All </w:t>
      </w:r>
      <w:proofErr w:type="spellStart"/>
      <w:r w:rsidRPr="006475B6">
        <w:rPr>
          <w:rFonts w:ascii="Arial" w:hAnsi="Arial" w:cs="Arial"/>
        </w:rPr>
        <w:t>arecanut</w:t>
      </w:r>
      <w:proofErr w:type="spellEnd"/>
      <w:r w:rsidRPr="006475B6">
        <w:rPr>
          <w:rFonts w:ascii="Arial" w:hAnsi="Arial" w:cs="Arial"/>
        </w:rPr>
        <w:t xml:space="preserve"> trees within each quadrat were identified and measured. For every tree, the girth at breast height (GBH) was measured at 1.3 meters above groun</w:t>
      </w:r>
      <w:r>
        <w:rPr>
          <w:rFonts w:ascii="Arial" w:hAnsi="Arial" w:cs="Arial"/>
        </w:rPr>
        <w:t>d level using a measuring tape.</w:t>
      </w:r>
    </w:p>
    <w:p w14:paraId="31380C4A" w14:textId="77777777" w:rsidR="006475B6" w:rsidRPr="006475B6" w:rsidRDefault="006475B6" w:rsidP="006475B6">
      <w:pPr>
        <w:pStyle w:val="Body"/>
        <w:rPr>
          <w:rFonts w:ascii="Arial" w:hAnsi="Arial" w:cs="Arial"/>
        </w:rPr>
      </w:pPr>
      <w:r w:rsidRPr="006475B6">
        <w:rPr>
          <w:rFonts w:ascii="Arial" w:hAnsi="Arial" w:cs="Arial"/>
        </w:rPr>
        <w:t>The tree density was calculated by recording the total number of trees across all 25 quadrats and extrapolating this</w:t>
      </w:r>
      <w:r>
        <w:rPr>
          <w:rFonts w:ascii="Arial" w:hAnsi="Arial" w:cs="Arial"/>
        </w:rPr>
        <w:t xml:space="preserve"> number to a per-hectare basis.</w:t>
      </w:r>
    </w:p>
    <w:p w14:paraId="4E3C3857" w14:textId="77777777" w:rsidR="006475B6" w:rsidRPr="006475B6" w:rsidRDefault="006475B6" w:rsidP="006475B6">
      <w:pPr>
        <w:pStyle w:val="Body"/>
        <w:rPr>
          <w:rFonts w:ascii="Arial" w:hAnsi="Arial" w:cs="Arial"/>
        </w:rPr>
      </w:pPr>
      <w:r w:rsidRPr="006475B6">
        <w:rPr>
          <w:rFonts w:ascii="Arial" w:hAnsi="Arial" w:cs="Arial"/>
        </w:rPr>
        <w:t xml:space="preserve">To estimate biomass, both above-ground biomass (AGB) and below-ground biomass (BGB) were calculated using standard allometric equations. The equations proposed by Brown et al. (1989) were used for AGB estimation, and those by </w:t>
      </w:r>
      <w:proofErr w:type="spellStart"/>
      <w:r w:rsidRPr="006475B6">
        <w:rPr>
          <w:rFonts w:ascii="Arial" w:hAnsi="Arial" w:cs="Arial"/>
        </w:rPr>
        <w:t>MacDicken</w:t>
      </w:r>
      <w:proofErr w:type="spellEnd"/>
      <w:r w:rsidRPr="006475B6">
        <w:rPr>
          <w:rFonts w:ascii="Arial" w:hAnsi="Arial" w:cs="Arial"/>
        </w:rPr>
        <w:t xml:space="preserve"> (1997) for BGB. The total biomass (TB) was o</w:t>
      </w:r>
      <w:r>
        <w:rPr>
          <w:rFonts w:ascii="Arial" w:hAnsi="Arial" w:cs="Arial"/>
        </w:rPr>
        <w:t>btained by summing AGB and BGB.</w:t>
      </w:r>
    </w:p>
    <w:p w14:paraId="774A4A0D" w14:textId="77777777" w:rsidR="006475B6" w:rsidRPr="006475B6" w:rsidRDefault="006475B6" w:rsidP="006475B6">
      <w:pPr>
        <w:pStyle w:val="Body"/>
        <w:rPr>
          <w:rFonts w:ascii="Arial" w:hAnsi="Arial" w:cs="Arial"/>
        </w:rPr>
      </w:pPr>
      <w:r w:rsidRPr="006475B6">
        <w:rPr>
          <w:rFonts w:ascii="Arial" w:hAnsi="Arial" w:cs="Arial"/>
        </w:rPr>
        <w:t>The total carbon stock (TC) of each tree was calculated as 50% of the total biomass, following the conversion factor proposed by Timilsina et al. (2014). The allometric equations used for biomass and carbon stock esti</w:t>
      </w:r>
      <w:r>
        <w:rPr>
          <w:rFonts w:ascii="Arial" w:hAnsi="Arial" w:cs="Arial"/>
        </w:rPr>
        <w:t>mation are provided in Table 2.</w:t>
      </w:r>
    </w:p>
    <w:p w14:paraId="7807DCDD" w14:textId="77777777" w:rsidR="006475B6" w:rsidRPr="006475B6" w:rsidRDefault="006475B6" w:rsidP="006475B6">
      <w:pPr>
        <w:pStyle w:val="Body"/>
        <w:rPr>
          <w:rFonts w:ascii="Arial" w:hAnsi="Arial" w:cs="Arial"/>
        </w:rPr>
      </w:pPr>
      <w:r w:rsidRPr="006475B6">
        <w:rPr>
          <w:rFonts w:ascii="Arial" w:hAnsi="Arial" w:cs="Arial"/>
        </w:rPr>
        <w:t xml:space="preserve">To determine whether there were statistically significant differences between the two study sites in terms of tree density, biomass, and carbon stock, an independent samples </w:t>
      </w:r>
      <w:r w:rsidRPr="00DD5770">
        <w:rPr>
          <w:rFonts w:ascii="Arial" w:hAnsi="Arial" w:cs="Arial"/>
          <w:i/>
        </w:rPr>
        <w:t>t</w:t>
      </w:r>
      <w:r w:rsidRPr="006475B6">
        <w:rPr>
          <w:rFonts w:ascii="Arial" w:hAnsi="Arial" w:cs="Arial"/>
        </w:rPr>
        <w:t>-test was conducted.</w:t>
      </w:r>
    </w:p>
    <w:p w14:paraId="60B10C22" w14:textId="77777777" w:rsidR="006475B6" w:rsidRPr="00B54E8A" w:rsidRDefault="006475B6" w:rsidP="00200436">
      <w:pPr>
        <w:pStyle w:val="Body"/>
        <w:jc w:val="left"/>
        <w:rPr>
          <w:rFonts w:ascii="Arial" w:hAnsi="Arial" w:cs="Arial"/>
          <w:b/>
        </w:rPr>
      </w:pPr>
      <w:r w:rsidRPr="00B54E8A">
        <w:rPr>
          <w:rFonts w:ascii="Arial" w:hAnsi="Arial" w:cs="Arial"/>
          <w:b/>
        </w:rPr>
        <w:t>Table 2. Allometric equations for estimation of biomass and carbon stock.</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4536"/>
        <w:gridCol w:w="2500"/>
      </w:tblGrid>
      <w:tr w:rsidR="006475B6" w:rsidRPr="006475B6" w14:paraId="27551313" w14:textId="77777777" w:rsidTr="00166977">
        <w:tc>
          <w:tcPr>
            <w:tcW w:w="1980" w:type="dxa"/>
            <w:tcBorders>
              <w:top w:val="single" w:sz="4" w:space="0" w:color="auto"/>
              <w:bottom w:val="single" w:sz="4" w:space="0" w:color="auto"/>
            </w:tcBorders>
          </w:tcPr>
          <w:p w14:paraId="032B6C51" w14:textId="77777777" w:rsidR="006475B6" w:rsidRPr="006475B6" w:rsidRDefault="006475B6" w:rsidP="00166977">
            <w:pPr>
              <w:spacing w:line="360" w:lineRule="auto"/>
              <w:contextualSpacing/>
              <w:rPr>
                <w:rFonts w:ascii="Arial" w:hAnsi="Arial" w:cs="Arial"/>
                <w:b/>
                <w:sz w:val="20"/>
                <w:szCs w:val="20"/>
              </w:rPr>
            </w:pPr>
            <w:r w:rsidRPr="006475B6">
              <w:rPr>
                <w:rFonts w:ascii="Arial" w:hAnsi="Arial" w:cs="Arial"/>
                <w:b/>
                <w:sz w:val="20"/>
                <w:szCs w:val="20"/>
              </w:rPr>
              <w:t>Parameter</w:t>
            </w:r>
          </w:p>
        </w:tc>
        <w:tc>
          <w:tcPr>
            <w:tcW w:w="4536" w:type="dxa"/>
            <w:tcBorders>
              <w:top w:val="single" w:sz="4" w:space="0" w:color="auto"/>
              <w:bottom w:val="single" w:sz="4" w:space="0" w:color="auto"/>
            </w:tcBorders>
          </w:tcPr>
          <w:p w14:paraId="33E70B7C" w14:textId="77777777" w:rsidR="006475B6" w:rsidRPr="006475B6" w:rsidRDefault="006475B6" w:rsidP="00166977">
            <w:pPr>
              <w:spacing w:line="360" w:lineRule="auto"/>
              <w:contextualSpacing/>
              <w:rPr>
                <w:rFonts w:ascii="Arial" w:hAnsi="Arial" w:cs="Arial"/>
                <w:b/>
                <w:sz w:val="20"/>
                <w:szCs w:val="20"/>
              </w:rPr>
            </w:pPr>
            <w:r w:rsidRPr="006475B6">
              <w:rPr>
                <w:rFonts w:ascii="Arial" w:hAnsi="Arial" w:cs="Arial"/>
                <w:b/>
                <w:sz w:val="20"/>
                <w:szCs w:val="20"/>
              </w:rPr>
              <w:t>Allometric equation</w:t>
            </w:r>
          </w:p>
        </w:tc>
        <w:tc>
          <w:tcPr>
            <w:tcW w:w="2500" w:type="dxa"/>
            <w:tcBorders>
              <w:top w:val="single" w:sz="4" w:space="0" w:color="auto"/>
              <w:bottom w:val="single" w:sz="4" w:space="0" w:color="auto"/>
            </w:tcBorders>
          </w:tcPr>
          <w:p w14:paraId="41B06665" w14:textId="77777777" w:rsidR="006475B6" w:rsidRPr="006475B6" w:rsidRDefault="006475B6" w:rsidP="00166977">
            <w:pPr>
              <w:spacing w:line="360" w:lineRule="auto"/>
              <w:contextualSpacing/>
              <w:rPr>
                <w:rFonts w:ascii="Arial" w:hAnsi="Arial" w:cs="Arial"/>
                <w:b/>
                <w:sz w:val="20"/>
                <w:szCs w:val="20"/>
              </w:rPr>
            </w:pPr>
            <w:r w:rsidRPr="006475B6">
              <w:rPr>
                <w:rFonts w:ascii="Arial" w:hAnsi="Arial" w:cs="Arial"/>
                <w:b/>
                <w:sz w:val="20"/>
                <w:szCs w:val="20"/>
              </w:rPr>
              <w:t>Reference</w:t>
            </w:r>
          </w:p>
        </w:tc>
      </w:tr>
      <w:tr w:rsidR="006475B6" w:rsidRPr="006475B6" w14:paraId="43952123" w14:textId="77777777" w:rsidTr="00166977">
        <w:tc>
          <w:tcPr>
            <w:tcW w:w="1980" w:type="dxa"/>
            <w:tcBorders>
              <w:top w:val="single" w:sz="4" w:space="0" w:color="auto"/>
            </w:tcBorders>
          </w:tcPr>
          <w:p w14:paraId="05C98657" w14:textId="77777777" w:rsidR="006475B6" w:rsidRPr="006475B6" w:rsidRDefault="006475B6" w:rsidP="00166977">
            <w:pPr>
              <w:spacing w:line="360" w:lineRule="auto"/>
              <w:contextualSpacing/>
              <w:rPr>
                <w:rFonts w:ascii="Arial" w:hAnsi="Arial" w:cs="Arial"/>
                <w:sz w:val="20"/>
                <w:szCs w:val="20"/>
              </w:rPr>
            </w:pPr>
            <w:r w:rsidRPr="006475B6">
              <w:rPr>
                <w:rFonts w:ascii="Arial" w:hAnsi="Arial" w:cs="Arial"/>
                <w:sz w:val="20"/>
                <w:szCs w:val="20"/>
              </w:rPr>
              <w:t>Above-ground biomass</w:t>
            </w:r>
          </w:p>
        </w:tc>
        <w:tc>
          <w:tcPr>
            <w:tcW w:w="4536" w:type="dxa"/>
            <w:tcBorders>
              <w:top w:val="single" w:sz="4" w:space="0" w:color="auto"/>
            </w:tcBorders>
          </w:tcPr>
          <w:p w14:paraId="1F336131" w14:textId="77777777" w:rsidR="006475B6" w:rsidRPr="006475B6" w:rsidRDefault="006475B6" w:rsidP="00166977">
            <w:pPr>
              <w:pStyle w:val="Default"/>
              <w:spacing w:line="360" w:lineRule="auto"/>
              <w:contextualSpacing/>
              <w:rPr>
                <w:rFonts w:ascii="Arial" w:hAnsi="Arial" w:cs="Arial"/>
                <w:bCs/>
                <w:color w:val="auto"/>
                <w:sz w:val="20"/>
                <w:szCs w:val="20"/>
              </w:rPr>
            </w:pPr>
            <w:r w:rsidRPr="006475B6">
              <w:rPr>
                <w:rFonts w:ascii="Arial" w:hAnsi="Arial" w:cs="Arial"/>
                <w:color w:val="auto"/>
                <w:sz w:val="20"/>
                <w:szCs w:val="20"/>
              </w:rPr>
              <w:t>AGB = 34.4703 – 8.0671D + 0.6589 D</w:t>
            </w:r>
            <w:r w:rsidRPr="006475B6">
              <w:rPr>
                <w:rFonts w:ascii="Arial" w:hAnsi="Arial" w:cs="Arial"/>
                <w:color w:val="auto"/>
                <w:sz w:val="20"/>
                <w:szCs w:val="20"/>
                <w:vertAlign w:val="superscript"/>
              </w:rPr>
              <w:t xml:space="preserve">2 </w:t>
            </w:r>
            <w:r w:rsidRPr="006475B6">
              <w:rPr>
                <w:rFonts w:ascii="Arial" w:hAnsi="Arial" w:cs="Arial"/>
                <w:color w:val="auto"/>
                <w:sz w:val="20"/>
                <w:szCs w:val="20"/>
              </w:rPr>
              <w:t xml:space="preserve">Where, D is diameter at breast height in cm </w:t>
            </w:r>
          </w:p>
          <w:p w14:paraId="11246760" w14:textId="77777777" w:rsidR="006475B6" w:rsidRPr="006475B6" w:rsidRDefault="006475B6" w:rsidP="00166977">
            <w:pPr>
              <w:spacing w:line="360" w:lineRule="auto"/>
              <w:contextualSpacing/>
              <w:rPr>
                <w:rFonts w:ascii="Arial" w:hAnsi="Arial" w:cs="Arial"/>
                <w:sz w:val="20"/>
                <w:szCs w:val="20"/>
              </w:rPr>
            </w:pPr>
          </w:p>
        </w:tc>
        <w:tc>
          <w:tcPr>
            <w:tcW w:w="2500" w:type="dxa"/>
            <w:tcBorders>
              <w:top w:val="single" w:sz="4" w:space="0" w:color="auto"/>
            </w:tcBorders>
          </w:tcPr>
          <w:p w14:paraId="3C9E87CC" w14:textId="77777777" w:rsidR="006475B6" w:rsidRPr="006475B6" w:rsidRDefault="006475B6" w:rsidP="00166977">
            <w:pPr>
              <w:pStyle w:val="Default"/>
              <w:spacing w:line="360" w:lineRule="auto"/>
              <w:contextualSpacing/>
              <w:rPr>
                <w:rFonts w:ascii="Arial" w:hAnsi="Arial" w:cs="Arial"/>
                <w:color w:val="auto"/>
                <w:sz w:val="20"/>
                <w:szCs w:val="20"/>
              </w:rPr>
            </w:pPr>
            <w:r w:rsidRPr="006475B6">
              <w:rPr>
                <w:rFonts w:ascii="Arial" w:hAnsi="Arial" w:cs="Arial"/>
                <w:color w:val="auto"/>
                <w:sz w:val="20"/>
                <w:szCs w:val="20"/>
              </w:rPr>
              <w:t>Brown et al., 1989</w:t>
            </w:r>
          </w:p>
          <w:p w14:paraId="28CC603F" w14:textId="77777777" w:rsidR="006475B6" w:rsidRPr="006475B6" w:rsidRDefault="006475B6" w:rsidP="00166977">
            <w:pPr>
              <w:spacing w:line="360" w:lineRule="auto"/>
              <w:contextualSpacing/>
              <w:rPr>
                <w:rFonts w:ascii="Arial" w:hAnsi="Arial" w:cs="Arial"/>
                <w:sz w:val="20"/>
                <w:szCs w:val="20"/>
              </w:rPr>
            </w:pPr>
          </w:p>
        </w:tc>
      </w:tr>
      <w:tr w:rsidR="006475B6" w:rsidRPr="006475B6" w14:paraId="25215752" w14:textId="77777777" w:rsidTr="00166977">
        <w:tc>
          <w:tcPr>
            <w:tcW w:w="1980" w:type="dxa"/>
          </w:tcPr>
          <w:p w14:paraId="4B2503CC" w14:textId="77777777" w:rsidR="006475B6" w:rsidRPr="006475B6" w:rsidRDefault="006475B6" w:rsidP="00166977">
            <w:pPr>
              <w:spacing w:line="360" w:lineRule="auto"/>
              <w:contextualSpacing/>
              <w:rPr>
                <w:rFonts w:ascii="Arial" w:hAnsi="Arial" w:cs="Arial"/>
                <w:sz w:val="20"/>
                <w:szCs w:val="20"/>
              </w:rPr>
            </w:pPr>
            <w:r w:rsidRPr="006475B6">
              <w:rPr>
                <w:rFonts w:ascii="Arial" w:hAnsi="Arial" w:cs="Arial"/>
                <w:sz w:val="20"/>
                <w:szCs w:val="20"/>
              </w:rPr>
              <w:t>Below-ground biomass</w:t>
            </w:r>
          </w:p>
        </w:tc>
        <w:tc>
          <w:tcPr>
            <w:tcW w:w="4536" w:type="dxa"/>
          </w:tcPr>
          <w:p w14:paraId="660F78E8" w14:textId="77777777" w:rsidR="006475B6" w:rsidRPr="006475B6" w:rsidRDefault="006475B6" w:rsidP="00166977">
            <w:pPr>
              <w:spacing w:line="360" w:lineRule="auto"/>
              <w:contextualSpacing/>
              <w:rPr>
                <w:rFonts w:ascii="Arial" w:hAnsi="Arial" w:cs="Arial"/>
                <w:sz w:val="20"/>
                <w:szCs w:val="20"/>
              </w:rPr>
            </w:pPr>
            <w:r w:rsidRPr="006475B6">
              <w:rPr>
                <w:rFonts w:ascii="Arial" w:hAnsi="Arial" w:cs="Arial"/>
                <w:sz w:val="20"/>
                <w:szCs w:val="20"/>
              </w:rPr>
              <w:t xml:space="preserve">BGB = AGB x (15/100) </w:t>
            </w:r>
          </w:p>
        </w:tc>
        <w:tc>
          <w:tcPr>
            <w:tcW w:w="2500" w:type="dxa"/>
          </w:tcPr>
          <w:p w14:paraId="7A9E4747" w14:textId="77777777" w:rsidR="006475B6" w:rsidRPr="006475B6" w:rsidRDefault="006475B6" w:rsidP="00166977">
            <w:pPr>
              <w:spacing w:line="360" w:lineRule="auto"/>
              <w:contextualSpacing/>
              <w:rPr>
                <w:rFonts w:ascii="Arial" w:hAnsi="Arial" w:cs="Arial"/>
                <w:sz w:val="20"/>
                <w:szCs w:val="20"/>
              </w:rPr>
            </w:pPr>
            <w:proofErr w:type="spellStart"/>
            <w:r w:rsidRPr="006475B6">
              <w:rPr>
                <w:rFonts w:ascii="Arial" w:hAnsi="Arial" w:cs="Arial"/>
                <w:sz w:val="20"/>
                <w:szCs w:val="20"/>
              </w:rPr>
              <w:t>MacDicken</w:t>
            </w:r>
            <w:proofErr w:type="spellEnd"/>
            <w:r w:rsidRPr="006475B6">
              <w:rPr>
                <w:rFonts w:ascii="Arial" w:hAnsi="Arial" w:cs="Arial"/>
                <w:sz w:val="20"/>
                <w:szCs w:val="20"/>
              </w:rPr>
              <w:t>, 1997</w:t>
            </w:r>
          </w:p>
        </w:tc>
      </w:tr>
      <w:tr w:rsidR="006475B6" w:rsidRPr="006475B6" w14:paraId="006AFD7C" w14:textId="77777777" w:rsidTr="00166977">
        <w:tc>
          <w:tcPr>
            <w:tcW w:w="1980" w:type="dxa"/>
          </w:tcPr>
          <w:p w14:paraId="0B1FA741" w14:textId="77777777" w:rsidR="006475B6" w:rsidRPr="006475B6" w:rsidRDefault="006475B6" w:rsidP="00166977">
            <w:pPr>
              <w:spacing w:line="360" w:lineRule="auto"/>
              <w:contextualSpacing/>
              <w:rPr>
                <w:rFonts w:ascii="Arial" w:hAnsi="Arial" w:cs="Arial"/>
                <w:sz w:val="20"/>
                <w:szCs w:val="20"/>
              </w:rPr>
            </w:pPr>
            <w:r w:rsidRPr="006475B6">
              <w:rPr>
                <w:rFonts w:ascii="Arial" w:hAnsi="Arial" w:cs="Arial"/>
                <w:sz w:val="20"/>
                <w:szCs w:val="20"/>
              </w:rPr>
              <w:t>Total biomass</w:t>
            </w:r>
          </w:p>
        </w:tc>
        <w:tc>
          <w:tcPr>
            <w:tcW w:w="4536" w:type="dxa"/>
          </w:tcPr>
          <w:p w14:paraId="58602082" w14:textId="77777777" w:rsidR="006475B6" w:rsidRPr="006475B6" w:rsidRDefault="006475B6" w:rsidP="00166977">
            <w:pPr>
              <w:spacing w:line="360" w:lineRule="auto"/>
              <w:contextualSpacing/>
              <w:rPr>
                <w:rFonts w:ascii="Arial" w:hAnsi="Arial" w:cs="Arial"/>
                <w:sz w:val="20"/>
                <w:szCs w:val="20"/>
              </w:rPr>
            </w:pPr>
            <w:r w:rsidRPr="006475B6">
              <w:rPr>
                <w:rFonts w:ascii="Arial" w:hAnsi="Arial" w:cs="Arial"/>
                <w:sz w:val="20"/>
                <w:szCs w:val="20"/>
              </w:rPr>
              <w:t xml:space="preserve">TB = AGB + BGB </w:t>
            </w:r>
          </w:p>
        </w:tc>
        <w:tc>
          <w:tcPr>
            <w:tcW w:w="2500" w:type="dxa"/>
          </w:tcPr>
          <w:p w14:paraId="7ACC0865" w14:textId="77777777" w:rsidR="006475B6" w:rsidRPr="006475B6" w:rsidRDefault="006475B6" w:rsidP="00166977">
            <w:pPr>
              <w:spacing w:line="360" w:lineRule="auto"/>
              <w:contextualSpacing/>
              <w:rPr>
                <w:rFonts w:ascii="Arial" w:hAnsi="Arial" w:cs="Arial"/>
                <w:sz w:val="20"/>
                <w:szCs w:val="20"/>
              </w:rPr>
            </w:pPr>
            <w:proofErr w:type="spellStart"/>
            <w:r w:rsidRPr="006475B6">
              <w:rPr>
                <w:rFonts w:ascii="Arial" w:hAnsi="Arial" w:cs="Arial"/>
                <w:sz w:val="20"/>
                <w:szCs w:val="20"/>
              </w:rPr>
              <w:t>Pragasan</w:t>
            </w:r>
            <w:proofErr w:type="spellEnd"/>
            <w:r w:rsidRPr="006475B6">
              <w:rPr>
                <w:rFonts w:ascii="Arial" w:hAnsi="Arial" w:cs="Arial"/>
                <w:sz w:val="20"/>
                <w:szCs w:val="20"/>
              </w:rPr>
              <w:t xml:space="preserve"> and </w:t>
            </w:r>
            <w:proofErr w:type="spellStart"/>
            <w:r w:rsidRPr="006475B6">
              <w:rPr>
                <w:rFonts w:ascii="Arial" w:hAnsi="Arial" w:cs="Arial"/>
                <w:sz w:val="20"/>
                <w:szCs w:val="20"/>
              </w:rPr>
              <w:t>Kalaiselvi</w:t>
            </w:r>
            <w:proofErr w:type="spellEnd"/>
            <w:r w:rsidRPr="006475B6">
              <w:rPr>
                <w:rFonts w:ascii="Arial" w:hAnsi="Arial" w:cs="Arial"/>
                <w:sz w:val="20"/>
                <w:szCs w:val="20"/>
              </w:rPr>
              <w:t>, 2024</w:t>
            </w:r>
          </w:p>
        </w:tc>
      </w:tr>
      <w:tr w:rsidR="006475B6" w:rsidRPr="006475B6" w14:paraId="2F7CFBC1" w14:textId="77777777" w:rsidTr="00166977">
        <w:tc>
          <w:tcPr>
            <w:tcW w:w="1980" w:type="dxa"/>
          </w:tcPr>
          <w:p w14:paraId="238B3C04" w14:textId="77777777" w:rsidR="006475B6" w:rsidRPr="006475B6" w:rsidRDefault="006475B6" w:rsidP="00166977">
            <w:pPr>
              <w:spacing w:line="360" w:lineRule="auto"/>
              <w:contextualSpacing/>
              <w:rPr>
                <w:rFonts w:ascii="Arial" w:hAnsi="Arial" w:cs="Arial"/>
                <w:sz w:val="20"/>
                <w:szCs w:val="20"/>
              </w:rPr>
            </w:pPr>
            <w:r w:rsidRPr="006475B6">
              <w:rPr>
                <w:rFonts w:ascii="Arial" w:hAnsi="Arial" w:cs="Arial"/>
                <w:sz w:val="20"/>
                <w:szCs w:val="20"/>
              </w:rPr>
              <w:t>Above-ground carbon stock</w:t>
            </w:r>
          </w:p>
        </w:tc>
        <w:tc>
          <w:tcPr>
            <w:tcW w:w="4536" w:type="dxa"/>
          </w:tcPr>
          <w:p w14:paraId="2F8A2140" w14:textId="77777777" w:rsidR="006475B6" w:rsidRPr="006475B6" w:rsidRDefault="006475B6" w:rsidP="00166977">
            <w:pPr>
              <w:pStyle w:val="Default"/>
              <w:spacing w:line="360" w:lineRule="auto"/>
              <w:contextualSpacing/>
              <w:rPr>
                <w:rFonts w:ascii="Arial" w:hAnsi="Arial" w:cs="Arial"/>
                <w:sz w:val="20"/>
                <w:szCs w:val="20"/>
              </w:rPr>
            </w:pPr>
            <w:r w:rsidRPr="006475B6">
              <w:rPr>
                <w:rFonts w:ascii="Arial" w:hAnsi="Arial" w:cs="Arial"/>
                <w:color w:val="auto"/>
                <w:sz w:val="20"/>
                <w:szCs w:val="20"/>
              </w:rPr>
              <w:t xml:space="preserve">AGC = AGB x (50/100) </w:t>
            </w:r>
          </w:p>
        </w:tc>
        <w:tc>
          <w:tcPr>
            <w:tcW w:w="2500" w:type="dxa"/>
          </w:tcPr>
          <w:p w14:paraId="612A5147" w14:textId="77777777" w:rsidR="006475B6" w:rsidRPr="006475B6" w:rsidRDefault="006475B6" w:rsidP="00166977">
            <w:pPr>
              <w:pStyle w:val="Default"/>
              <w:spacing w:line="360" w:lineRule="auto"/>
              <w:contextualSpacing/>
              <w:rPr>
                <w:rFonts w:ascii="Arial" w:hAnsi="Arial" w:cs="Arial"/>
                <w:color w:val="auto"/>
                <w:sz w:val="20"/>
                <w:szCs w:val="20"/>
              </w:rPr>
            </w:pPr>
            <w:r w:rsidRPr="006475B6">
              <w:rPr>
                <w:rFonts w:ascii="Arial" w:hAnsi="Arial" w:cs="Arial"/>
                <w:sz w:val="20"/>
                <w:szCs w:val="20"/>
              </w:rPr>
              <w:t xml:space="preserve">Timilsina </w:t>
            </w:r>
            <w:r w:rsidRPr="006475B6">
              <w:rPr>
                <w:rFonts w:ascii="Arial" w:hAnsi="Arial" w:cs="Arial"/>
                <w:i/>
                <w:sz w:val="20"/>
                <w:szCs w:val="20"/>
              </w:rPr>
              <w:t>et al.</w:t>
            </w:r>
            <w:r w:rsidRPr="006475B6">
              <w:rPr>
                <w:rFonts w:ascii="Arial" w:hAnsi="Arial" w:cs="Arial"/>
                <w:sz w:val="20"/>
                <w:szCs w:val="20"/>
              </w:rPr>
              <w:t>, 2014</w:t>
            </w:r>
          </w:p>
        </w:tc>
      </w:tr>
      <w:tr w:rsidR="006475B6" w:rsidRPr="006475B6" w14:paraId="25E11ED2" w14:textId="77777777" w:rsidTr="00166977">
        <w:tc>
          <w:tcPr>
            <w:tcW w:w="1980" w:type="dxa"/>
          </w:tcPr>
          <w:p w14:paraId="68D2ECEF" w14:textId="77777777" w:rsidR="006475B6" w:rsidRPr="006475B6" w:rsidRDefault="006475B6" w:rsidP="00166977">
            <w:pPr>
              <w:spacing w:line="360" w:lineRule="auto"/>
              <w:contextualSpacing/>
              <w:rPr>
                <w:rFonts w:ascii="Arial" w:hAnsi="Arial" w:cs="Arial"/>
                <w:sz w:val="20"/>
                <w:szCs w:val="20"/>
              </w:rPr>
            </w:pPr>
            <w:r w:rsidRPr="006475B6">
              <w:rPr>
                <w:rFonts w:ascii="Arial" w:hAnsi="Arial" w:cs="Arial"/>
                <w:sz w:val="20"/>
                <w:szCs w:val="20"/>
              </w:rPr>
              <w:t>Below-ground carbon stock</w:t>
            </w:r>
          </w:p>
        </w:tc>
        <w:tc>
          <w:tcPr>
            <w:tcW w:w="4536" w:type="dxa"/>
          </w:tcPr>
          <w:p w14:paraId="7ED87426" w14:textId="77777777" w:rsidR="006475B6" w:rsidRPr="006475B6" w:rsidRDefault="006475B6" w:rsidP="00166977">
            <w:pPr>
              <w:spacing w:line="360" w:lineRule="auto"/>
              <w:contextualSpacing/>
              <w:rPr>
                <w:rFonts w:ascii="Arial" w:hAnsi="Arial" w:cs="Arial"/>
                <w:sz w:val="20"/>
                <w:szCs w:val="20"/>
              </w:rPr>
            </w:pPr>
            <w:r w:rsidRPr="006475B6">
              <w:rPr>
                <w:rFonts w:ascii="Arial" w:hAnsi="Arial" w:cs="Arial"/>
                <w:sz w:val="20"/>
                <w:szCs w:val="20"/>
              </w:rPr>
              <w:t>BGC = BGB x (50/100)</w:t>
            </w:r>
          </w:p>
        </w:tc>
        <w:tc>
          <w:tcPr>
            <w:tcW w:w="2500" w:type="dxa"/>
          </w:tcPr>
          <w:p w14:paraId="50ECC226" w14:textId="77777777" w:rsidR="006475B6" w:rsidRPr="006475B6" w:rsidRDefault="006475B6" w:rsidP="00166977">
            <w:pPr>
              <w:spacing w:line="360" w:lineRule="auto"/>
              <w:contextualSpacing/>
              <w:rPr>
                <w:rFonts w:ascii="Arial" w:hAnsi="Arial" w:cs="Arial"/>
                <w:sz w:val="20"/>
                <w:szCs w:val="20"/>
              </w:rPr>
            </w:pPr>
            <w:r w:rsidRPr="006475B6">
              <w:rPr>
                <w:rFonts w:ascii="Arial" w:hAnsi="Arial" w:cs="Arial"/>
                <w:sz w:val="20"/>
                <w:szCs w:val="20"/>
              </w:rPr>
              <w:t>Timilsina et al., 2014</w:t>
            </w:r>
          </w:p>
        </w:tc>
      </w:tr>
      <w:tr w:rsidR="006475B6" w:rsidRPr="006475B6" w14:paraId="4889F963" w14:textId="77777777" w:rsidTr="00166977">
        <w:tc>
          <w:tcPr>
            <w:tcW w:w="1980" w:type="dxa"/>
          </w:tcPr>
          <w:p w14:paraId="48683129" w14:textId="77777777" w:rsidR="006475B6" w:rsidRPr="006475B6" w:rsidRDefault="006475B6" w:rsidP="00166977">
            <w:pPr>
              <w:spacing w:line="360" w:lineRule="auto"/>
              <w:contextualSpacing/>
              <w:rPr>
                <w:rFonts w:ascii="Arial" w:hAnsi="Arial" w:cs="Arial"/>
                <w:sz w:val="20"/>
                <w:szCs w:val="20"/>
              </w:rPr>
            </w:pPr>
            <w:r w:rsidRPr="006475B6">
              <w:rPr>
                <w:rFonts w:ascii="Arial" w:hAnsi="Arial" w:cs="Arial"/>
                <w:sz w:val="20"/>
                <w:szCs w:val="20"/>
              </w:rPr>
              <w:t>Total carbon stock</w:t>
            </w:r>
          </w:p>
        </w:tc>
        <w:tc>
          <w:tcPr>
            <w:tcW w:w="4536" w:type="dxa"/>
          </w:tcPr>
          <w:p w14:paraId="6032C7B0" w14:textId="77777777" w:rsidR="006475B6" w:rsidRPr="006475B6" w:rsidRDefault="006475B6" w:rsidP="00983DE4">
            <w:pPr>
              <w:spacing w:line="360" w:lineRule="auto"/>
              <w:contextualSpacing/>
              <w:rPr>
                <w:rFonts w:ascii="Arial" w:hAnsi="Arial" w:cs="Arial"/>
                <w:sz w:val="20"/>
                <w:szCs w:val="20"/>
              </w:rPr>
            </w:pPr>
            <w:r w:rsidRPr="006475B6">
              <w:rPr>
                <w:rFonts w:ascii="Arial" w:hAnsi="Arial" w:cs="Arial"/>
                <w:sz w:val="20"/>
                <w:szCs w:val="20"/>
              </w:rPr>
              <w:t>TC = BGB x (50/100)</w:t>
            </w:r>
          </w:p>
        </w:tc>
        <w:tc>
          <w:tcPr>
            <w:tcW w:w="2500" w:type="dxa"/>
          </w:tcPr>
          <w:p w14:paraId="172383F5" w14:textId="77777777" w:rsidR="006475B6" w:rsidRPr="006475B6" w:rsidRDefault="006475B6" w:rsidP="00166977">
            <w:pPr>
              <w:spacing w:line="360" w:lineRule="auto"/>
              <w:contextualSpacing/>
              <w:rPr>
                <w:rFonts w:ascii="Arial" w:hAnsi="Arial" w:cs="Arial"/>
                <w:sz w:val="20"/>
                <w:szCs w:val="20"/>
              </w:rPr>
            </w:pPr>
            <w:r w:rsidRPr="006475B6">
              <w:rPr>
                <w:rFonts w:ascii="Arial" w:hAnsi="Arial" w:cs="Arial"/>
                <w:sz w:val="20"/>
                <w:szCs w:val="20"/>
              </w:rPr>
              <w:t>Timilsina et al., 2014</w:t>
            </w:r>
          </w:p>
        </w:tc>
      </w:tr>
    </w:tbl>
    <w:p w14:paraId="70312B52" w14:textId="77777777" w:rsidR="006475B6" w:rsidRDefault="006475B6" w:rsidP="00441B6F">
      <w:pPr>
        <w:pStyle w:val="Body"/>
        <w:spacing w:after="0"/>
        <w:rPr>
          <w:rFonts w:ascii="Arial" w:eastAsia="Calibri" w:hAnsi="Arial" w:cs="Arial"/>
          <w:szCs w:val="22"/>
        </w:rPr>
      </w:pPr>
    </w:p>
    <w:p w14:paraId="2957D942" w14:textId="77777777" w:rsidR="00790ADA" w:rsidRPr="00FB3A86" w:rsidRDefault="00790ADA" w:rsidP="00441B6F">
      <w:pPr>
        <w:pStyle w:val="Body"/>
        <w:spacing w:after="0"/>
        <w:rPr>
          <w:rFonts w:ascii="Arial" w:hAnsi="Arial" w:cs="Arial"/>
        </w:rPr>
      </w:pPr>
    </w:p>
    <w:p w14:paraId="2A36852E"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w:t>
      </w:r>
    </w:p>
    <w:p w14:paraId="08A00523" w14:textId="77777777" w:rsidR="00790ADA" w:rsidRPr="00FB3A86" w:rsidRDefault="00790ADA" w:rsidP="00441B6F">
      <w:pPr>
        <w:pStyle w:val="Head1"/>
        <w:spacing w:after="0"/>
        <w:jc w:val="both"/>
        <w:rPr>
          <w:rFonts w:ascii="Arial" w:hAnsi="Arial" w:cs="Arial"/>
        </w:rPr>
      </w:pPr>
    </w:p>
    <w:p w14:paraId="7DF1D7DE" w14:textId="77777777" w:rsidR="006475B6" w:rsidRPr="006475B6" w:rsidRDefault="006475B6" w:rsidP="006475B6">
      <w:pPr>
        <w:pStyle w:val="Body"/>
        <w:rPr>
          <w:rFonts w:ascii="Arial" w:hAnsi="Arial" w:cs="Arial"/>
          <w:b/>
        </w:rPr>
      </w:pPr>
      <w:r w:rsidRPr="006475B6">
        <w:rPr>
          <w:rFonts w:ascii="Arial" w:hAnsi="Arial" w:cs="Arial"/>
          <w:b/>
        </w:rPr>
        <w:t>3.1 Tree Density</w:t>
      </w:r>
    </w:p>
    <w:p w14:paraId="41F35CC7" w14:textId="77777777" w:rsidR="006475B6" w:rsidRPr="006475B6" w:rsidRDefault="006475B6" w:rsidP="006475B6">
      <w:pPr>
        <w:pStyle w:val="Body"/>
        <w:rPr>
          <w:rFonts w:ascii="Arial" w:hAnsi="Arial" w:cs="Arial"/>
        </w:rPr>
      </w:pPr>
      <w:r w:rsidRPr="006475B6">
        <w:rPr>
          <w:rFonts w:ascii="Arial" w:hAnsi="Arial" w:cs="Arial"/>
        </w:rPr>
        <w:t xml:space="preserve">A total of 2,404 </w:t>
      </w:r>
      <w:proofErr w:type="spellStart"/>
      <w:r w:rsidRPr="006475B6">
        <w:rPr>
          <w:rFonts w:ascii="Arial" w:hAnsi="Arial" w:cs="Arial"/>
        </w:rPr>
        <w:t>arecanut</w:t>
      </w:r>
      <w:proofErr w:type="spellEnd"/>
      <w:r w:rsidRPr="006475B6">
        <w:rPr>
          <w:rFonts w:ascii="Arial" w:hAnsi="Arial" w:cs="Arial"/>
        </w:rPr>
        <w:t xml:space="preserve"> trees were recorded across 50 quadrats (covering a combined area of 2 hectares) from both study sites. Site 1 recorded a tree density of 1,376 trees per hectare, whereas Site 2 had a density of 1,028 trees per hectare. Similarly, the mean tree density per quadrat was higher in Site 1 than in Site 2, indicating a denser plantation at Site 1 (Figure 2).</w:t>
      </w:r>
      <w:r w:rsidR="00337651">
        <w:rPr>
          <w:rFonts w:ascii="Arial" w:hAnsi="Arial" w:cs="Arial"/>
        </w:rPr>
        <w:t xml:space="preserve"> </w:t>
      </w:r>
      <w:r w:rsidR="005E3068">
        <w:rPr>
          <w:rFonts w:ascii="Arial" w:hAnsi="Arial" w:cs="Arial"/>
        </w:rPr>
        <w:t xml:space="preserve">The </w:t>
      </w:r>
      <w:r w:rsidR="005E3068" w:rsidRPr="005E3068">
        <w:rPr>
          <w:rFonts w:ascii="Arial" w:hAnsi="Arial" w:cs="Arial"/>
          <w:i/>
        </w:rPr>
        <w:t>t</w:t>
      </w:r>
      <w:r w:rsidR="00337651">
        <w:rPr>
          <w:rFonts w:ascii="Arial" w:hAnsi="Arial" w:cs="Arial"/>
        </w:rPr>
        <w:t>-test showed that the tree density varied significantly between the two study sites (</w:t>
      </w:r>
      <w:proofErr w:type="gramStart"/>
      <w:r w:rsidR="00337651" w:rsidRPr="00337651">
        <w:rPr>
          <w:rFonts w:ascii="Arial" w:hAnsi="Arial" w:cs="Arial"/>
          <w:i/>
        </w:rPr>
        <w:t>t</w:t>
      </w:r>
      <w:r w:rsidR="00337651" w:rsidRPr="00337651">
        <w:rPr>
          <w:rFonts w:ascii="Arial" w:hAnsi="Arial" w:cs="Arial"/>
          <w:vertAlign w:val="subscript"/>
        </w:rPr>
        <w:t>(</w:t>
      </w:r>
      <w:proofErr w:type="gramEnd"/>
      <w:r w:rsidR="00337651" w:rsidRPr="00337651">
        <w:rPr>
          <w:rFonts w:ascii="Arial" w:hAnsi="Arial" w:cs="Arial"/>
          <w:vertAlign w:val="subscript"/>
        </w:rPr>
        <w:t>24)</w:t>
      </w:r>
      <w:r w:rsidR="00337651">
        <w:rPr>
          <w:rFonts w:ascii="Arial" w:hAnsi="Arial" w:cs="Arial"/>
        </w:rPr>
        <w:t xml:space="preserve"> = 5.256, p &lt; 0.0001).</w:t>
      </w:r>
    </w:p>
    <w:p w14:paraId="303B2552" w14:textId="77777777" w:rsidR="006475B6" w:rsidRPr="00B54E8A" w:rsidRDefault="00B54E8A" w:rsidP="006475B6">
      <w:pPr>
        <w:pStyle w:val="Body"/>
        <w:rPr>
          <w:rFonts w:ascii="Arial" w:hAnsi="Arial" w:cs="Arial"/>
          <w:b/>
        </w:rPr>
      </w:pPr>
      <w:r w:rsidRPr="00B54E8A">
        <w:rPr>
          <w:rFonts w:ascii="Arial" w:hAnsi="Arial" w:cs="Arial"/>
          <w:b/>
        </w:rPr>
        <w:t>3</w:t>
      </w:r>
      <w:r>
        <w:rPr>
          <w:rFonts w:ascii="Arial" w:hAnsi="Arial" w:cs="Arial"/>
          <w:b/>
        </w:rPr>
        <w:t>.</w:t>
      </w:r>
      <w:r w:rsidRPr="00B54E8A">
        <w:rPr>
          <w:rFonts w:ascii="Arial" w:hAnsi="Arial" w:cs="Arial"/>
          <w:b/>
        </w:rPr>
        <w:t xml:space="preserve">2. </w:t>
      </w:r>
      <w:r w:rsidR="006475B6" w:rsidRPr="00B54E8A">
        <w:rPr>
          <w:rFonts w:ascii="Arial" w:hAnsi="Arial" w:cs="Arial"/>
          <w:b/>
        </w:rPr>
        <w:t>Biomass Estimation</w:t>
      </w:r>
    </w:p>
    <w:p w14:paraId="68138B43" w14:textId="77777777" w:rsidR="006475B6" w:rsidRPr="006475B6" w:rsidRDefault="006475B6" w:rsidP="006475B6">
      <w:pPr>
        <w:pStyle w:val="Body"/>
        <w:rPr>
          <w:rFonts w:ascii="Arial" w:hAnsi="Arial" w:cs="Arial"/>
        </w:rPr>
      </w:pPr>
      <w:r w:rsidRPr="006475B6">
        <w:rPr>
          <w:rFonts w:ascii="Arial" w:hAnsi="Arial" w:cs="Arial"/>
        </w:rPr>
        <w:t xml:space="preserve">The mean AGB per quadrat was significantly higher in Site 1 (2.64 ± 0.83 </w:t>
      </w:r>
      <w:proofErr w:type="spellStart"/>
      <w:r w:rsidRPr="006475B6">
        <w:rPr>
          <w:rFonts w:ascii="Arial" w:hAnsi="Arial" w:cs="Arial"/>
        </w:rPr>
        <w:t>tonnes</w:t>
      </w:r>
      <w:proofErr w:type="spellEnd"/>
      <w:r w:rsidRPr="006475B6">
        <w:rPr>
          <w:rFonts w:ascii="Arial" w:hAnsi="Arial" w:cs="Arial"/>
        </w:rPr>
        <w:t xml:space="preserve">/quadrat) compared to Site 2 (1.40 ± 0.45 </w:t>
      </w:r>
      <w:proofErr w:type="spellStart"/>
      <w:r w:rsidRPr="006475B6">
        <w:rPr>
          <w:rFonts w:ascii="Arial" w:hAnsi="Arial" w:cs="Arial"/>
        </w:rPr>
        <w:t>tonnes</w:t>
      </w:r>
      <w:proofErr w:type="spellEnd"/>
      <w:r w:rsidRPr="006475B6">
        <w:rPr>
          <w:rFonts w:ascii="Arial" w:hAnsi="Arial" w:cs="Arial"/>
        </w:rPr>
        <w:t xml:space="preserve">/quadrat). AGB values ranged from 0.94 to 4.95 </w:t>
      </w:r>
      <w:proofErr w:type="spellStart"/>
      <w:r w:rsidRPr="006475B6">
        <w:rPr>
          <w:rFonts w:ascii="Arial" w:hAnsi="Arial" w:cs="Arial"/>
        </w:rPr>
        <w:t>tonnes</w:t>
      </w:r>
      <w:proofErr w:type="spellEnd"/>
      <w:r w:rsidRPr="006475B6">
        <w:rPr>
          <w:rFonts w:ascii="Arial" w:hAnsi="Arial" w:cs="Arial"/>
        </w:rPr>
        <w:t xml:space="preserve">/quadrat in Site 1, and from 0.57 to 2.44 </w:t>
      </w:r>
      <w:proofErr w:type="spellStart"/>
      <w:r w:rsidRPr="006475B6">
        <w:rPr>
          <w:rFonts w:ascii="Arial" w:hAnsi="Arial" w:cs="Arial"/>
        </w:rPr>
        <w:t>tonnes</w:t>
      </w:r>
      <w:proofErr w:type="spellEnd"/>
      <w:r w:rsidRPr="006475B6">
        <w:rPr>
          <w:rFonts w:ascii="Arial" w:hAnsi="Arial" w:cs="Arial"/>
        </w:rPr>
        <w:t>/quadrat in Site 2.</w:t>
      </w:r>
    </w:p>
    <w:p w14:paraId="50D26653" w14:textId="77777777" w:rsidR="006475B6" w:rsidRPr="006475B6" w:rsidRDefault="006475B6" w:rsidP="006475B6">
      <w:pPr>
        <w:pStyle w:val="Body"/>
        <w:rPr>
          <w:rFonts w:ascii="Arial" w:hAnsi="Arial" w:cs="Arial"/>
        </w:rPr>
      </w:pPr>
      <w:r w:rsidRPr="006475B6">
        <w:rPr>
          <w:rFonts w:ascii="Arial" w:hAnsi="Arial" w:cs="Arial"/>
        </w:rPr>
        <w:t xml:space="preserve">Similarly, the mean BGB per quadrat was 0.40 ± 0.12 </w:t>
      </w:r>
      <w:proofErr w:type="spellStart"/>
      <w:r w:rsidRPr="006475B6">
        <w:rPr>
          <w:rFonts w:ascii="Arial" w:hAnsi="Arial" w:cs="Arial"/>
        </w:rPr>
        <w:t>tonnes</w:t>
      </w:r>
      <w:proofErr w:type="spellEnd"/>
      <w:r w:rsidRPr="006475B6">
        <w:rPr>
          <w:rFonts w:ascii="Arial" w:hAnsi="Arial" w:cs="Arial"/>
        </w:rPr>
        <w:t xml:space="preserve"> for Site 1 and 0.21 ± 0.07 </w:t>
      </w:r>
      <w:proofErr w:type="spellStart"/>
      <w:r w:rsidRPr="006475B6">
        <w:rPr>
          <w:rFonts w:ascii="Arial" w:hAnsi="Arial" w:cs="Arial"/>
        </w:rPr>
        <w:t>tonnes</w:t>
      </w:r>
      <w:proofErr w:type="spellEnd"/>
      <w:r w:rsidRPr="006475B6">
        <w:rPr>
          <w:rFonts w:ascii="Arial" w:hAnsi="Arial" w:cs="Arial"/>
        </w:rPr>
        <w:t xml:space="preserve"> for Site 2. BGB values ranged from 0.14 to 0.74 </w:t>
      </w:r>
      <w:proofErr w:type="spellStart"/>
      <w:r w:rsidRPr="006475B6">
        <w:rPr>
          <w:rFonts w:ascii="Arial" w:hAnsi="Arial" w:cs="Arial"/>
        </w:rPr>
        <w:t>tonnes</w:t>
      </w:r>
      <w:proofErr w:type="spellEnd"/>
      <w:r w:rsidRPr="006475B6">
        <w:rPr>
          <w:rFonts w:ascii="Arial" w:hAnsi="Arial" w:cs="Arial"/>
        </w:rPr>
        <w:t xml:space="preserve">/quadrat at Site 1 and 0.09 to 0.37 </w:t>
      </w:r>
      <w:proofErr w:type="spellStart"/>
      <w:r w:rsidRPr="006475B6">
        <w:rPr>
          <w:rFonts w:ascii="Arial" w:hAnsi="Arial" w:cs="Arial"/>
        </w:rPr>
        <w:t>tonnes</w:t>
      </w:r>
      <w:proofErr w:type="spellEnd"/>
      <w:r w:rsidRPr="006475B6">
        <w:rPr>
          <w:rFonts w:ascii="Arial" w:hAnsi="Arial" w:cs="Arial"/>
        </w:rPr>
        <w:t>/quadrat at Site 2.</w:t>
      </w:r>
    </w:p>
    <w:p w14:paraId="32AC67F4" w14:textId="77777777" w:rsidR="005E3068" w:rsidRDefault="006475B6" w:rsidP="006475B6">
      <w:pPr>
        <w:pStyle w:val="Body"/>
        <w:rPr>
          <w:rFonts w:ascii="Arial" w:hAnsi="Arial" w:cs="Arial"/>
        </w:rPr>
      </w:pPr>
      <w:r w:rsidRPr="006475B6">
        <w:rPr>
          <w:rFonts w:ascii="Arial" w:hAnsi="Arial" w:cs="Arial"/>
        </w:rPr>
        <w:t xml:space="preserve">The TB calculated as the sum of AGB and BGB, averaged 3.04 ± 0.95 </w:t>
      </w:r>
      <w:proofErr w:type="spellStart"/>
      <w:r w:rsidRPr="006475B6">
        <w:rPr>
          <w:rFonts w:ascii="Arial" w:hAnsi="Arial" w:cs="Arial"/>
        </w:rPr>
        <w:t>tonnes</w:t>
      </w:r>
      <w:proofErr w:type="spellEnd"/>
      <w:r w:rsidRPr="006475B6">
        <w:rPr>
          <w:rFonts w:ascii="Arial" w:hAnsi="Arial" w:cs="Arial"/>
        </w:rPr>
        <w:t xml:space="preserve">/quadrat for Site 1 and 1.61 ± 0.52 </w:t>
      </w:r>
      <w:proofErr w:type="spellStart"/>
      <w:r w:rsidRPr="006475B6">
        <w:rPr>
          <w:rFonts w:ascii="Arial" w:hAnsi="Arial" w:cs="Arial"/>
        </w:rPr>
        <w:t>tonnes</w:t>
      </w:r>
      <w:proofErr w:type="spellEnd"/>
      <w:r w:rsidRPr="006475B6">
        <w:rPr>
          <w:rFonts w:ascii="Arial" w:hAnsi="Arial" w:cs="Arial"/>
        </w:rPr>
        <w:t xml:space="preserve">/quadrat for Site 2. The TB values ranged from 1.08 to 5.69 </w:t>
      </w:r>
      <w:proofErr w:type="spellStart"/>
      <w:r w:rsidRPr="006475B6">
        <w:rPr>
          <w:rFonts w:ascii="Arial" w:hAnsi="Arial" w:cs="Arial"/>
        </w:rPr>
        <w:t>tonnes</w:t>
      </w:r>
      <w:proofErr w:type="spellEnd"/>
      <w:r w:rsidRPr="006475B6">
        <w:rPr>
          <w:rFonts w:ascii="Arial" w:hAnsi="Arial" w:cs="Arial"/>
        </w:rPr>
        <w:t xml:space="preserve">/quadrat at Site 1 and 0.65 to 2.81 </w:t>
      </w:r>
      <w:proofErr w:type="spellStart"/>
      <w:r w:rsidRPr="006475B6">
        <w:rPr>
          <w:rFonts w:ascii="Arial" w:hAnsi="Arial" w:cs="Arial"/>
        </w:rPr>
        <w:t>tonnes</w:t>
      </w:r>
      <w:proofErr w:type="spellEnd"/>
      <w:r w:rsidRPr="006475B6">
        <w:rPr>
          <w:rFonts w:ascii="Arial" w:hAnsi="Arial" w:cs="Arial"/>
        </w:rPr>
        <w:t>/quadrat at Site 2.</w:t>
      </w:r>
      <w:r w:rsidR="00337651">
        <w:rPr>
          <w:rFonts w:ascii="Arial" w:hAnsi="Arial" w:cs="Arial"/>
        </w:rPr>
        <w:t xml:space="preserve"> </w:t>
      </w:r>
      <w:r w:rsidR="00DD5770">
        <w:rPr>
          <w:rFonts w:ascii="Arial" w:hAnsi="Arial" w:cs="Arial"/>
        </w:rPr>
        <w:t xml:space="preserve">Further, the </w:t>
      </w:r>
      <w:r w:rsidR="00DD5770" w:rsidRPr="00DD5770">
        <w:rPr>
          <w:rFonts w:ascii="Arial" w:hAnsi="Arial" w:cs="Arial"/>
          <w:i/>
        </w:rPr>
        <w:t>t</w:t>
      </w:r>
      <w:r w:rsidR="00337651">
        <w:rPr>
          <w:rFonts w:ascii="Arial" w:hAnsi="Arial" w:cs="Arial"/>
        </w:rPr>
        <w:t xml:space="preserve">-test </w:t>
      </w:r>
      <w:r w:rsidR="00DD5770">
        <w:rPr>
          <w:rFonts w:ascii="Arial" w:hAnsi="Arial" w:cs="Arial"/>
        </w:rPr>
        <w:t xml:space="preserve">revealed </w:t>
      </w:r>
      <w:r w:rsidR="00337651">
        <w:rPr>
          <w:rFonts w:ascii="Arial" w:hAnsi="Arial" w:cs="Arial"/>
        </w:rPr>
        <w:t>that the TB varied significantly between the two study sites (</w:t>
      </w:r>
      <w:proofErr w:type="gramStart"/>
      <w:r w:rsidR="00337651" w:rsidRPr="00337651">
        <w:rPr>
          <w:rFonts w:ascii="Arial" w:hAnsi="Arial" w:cs="Arial"/>
          <w:i/>
        </w:rPr>
        <w:t>t</w:t>
      </w:r>
      <w:r w:rsidR="00337651" w:rsidRPr="00337651">
        <w:rPr>
          <w:rFonts w:ascii="Arial" w:hAnsi="Arial" w:cs="Arial"/>
          <w:vertAlign w:val="subscript"/>
        </w:rPr>
        <w:t>(</w:t>
      </w:r>
      <w:proofErr w:type="gramEnd"/>
      <w:r w:rsidR="00337651" w:rsidRPr="00337651">
        <w:rPr>
          <w:rFonts w:ascii="Arial" w:hAnsi="Arial" w:cs="Arial"/>
          <w:vertAlign w:val="subscript"/>
        </w:rPr>
        <w:t>24)</w:t>
      </w:r>
      <w:r w:rsidR="00337651">
        <w:rPr>
          <w:rFonts w:ascii="Arial" w:hAnsi="Arial" w:cs="Arial"/>
        </w:rPr>
        <w:t xml:space="preserve"> = </w:t>
      </w:r>
      <w:r w:rsidR="00DD5770">
        <w:rPr>
          <w:rFonts w:ascii="Arial" w:hAnsi="Arial" w:cs="Arial"/>
        </w:rPr>
        <w:t>7.331</w:t>
      </w:r>
      <w:r w:rsidR="00337651">
        <w:rPr>
          <w:rFonts w:ascii="Arial" w:hAnsi="Arial" w:cs="Arial"/>
        </w:rPr>
        <w:t>, p &lt; 0.0001).</w:t>
      </w:r>
    </w:p>
    <w:p w14:paraId="1B1CC167" w14:textId="77777777" w:rsidR="003A08E6" w:rsidRPr="006475B6" w:rsidRDefault="003A08E6" w:rsidP="006475B6">
      <w:pPr>
        <w:pStyle w:val="Body"/>
        <w:rPr>
          <w:rFonts w:ascii="Arial" w:hAnsi="Arial" w:cs="Arial"/>
        </w:rPr>
      </w:pPr>
    </w:p>
    <w:p w14:paraId="39344404" w14:textId="77777777" w:rsidR="006475B6" w:rsidRPr="006475B6" w:rsidRDefault="00133B5E" w:rsidP="00200436">
      <w:pPr>
        <w:pStyle w:val="Body"/>
        <w:jc w:val="center"/>
        <w:rPr>
          <w:rFonts w:ascii="Arial" w:hAnsi="Arial" w:cs="Arial"/>
        </w:rPr>
      </w:pPr>
      <w:r w:rsidRPr="00F63EE6">
        <w:rPr>
          <w:rFonts w:ascii="Times New Roman" w:hAnsi="Times New Roman"/>
          <w:noProof/>
          <w:sz w:val="24"/>
          <w:szCs w:val="24"/>
          <w:lang w:val="en-IN" w:eastAsia="en-IN"/>
        </w:rPr>
        <w:drawing>
          <wp:inline distT="0" distB="0" distL="0" distR="0" wp14:anchorId="1B19AEF1" wp14:editId="435902C1">
            <wp:extent cx="5212080" cy="3072621"/>
            <wp:effectExtent l="0" t="0" r="0" b="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5221EC1" w14:textId="77777777" w:rsidR="006475B6" w:rsidRPr="00B54E8A" w:rsidRDefault="006475B6" w:rsidP="00B54E8A">
      <w:pPr>
        <w:pStyle w:val="Body"/>
        <w:jc w:val="center"/>
        <w:rPr>
          <w:rFonts w:ascii="Arial" w:hAnsi="Arial" w:cs="Arial"/>
          <w:b/>
        </w:rPr>
      </w:pPr>
      <w:r w:rsidRPr="00B54E8A">
        <w:rPr>
          <w:rFonts w:ascii="Arial" w:hAnsi="Arial" w:cs="Arial"/>
          <w:b/>
        </w:rPr>
        <w:t xml:space="preserve">Figure 2. The density of </w:t>
      </w:r>
      <w:proofErr w:type="spellStart"/>
      <w:r w:rsidRPr="00B54E8A">
        <w:rPr>
          <w:rFonts w:ascii="Arial" w:hAnsi="Arial" w:cs="Arial"/>
          <w:b/>
        </w:rPr>
        <w:t>arecanut</w:t>
      </w:r>
      <w:proofErr w:type="spellEnd"/>
      <w:r w:rsidRPr="00B54E8A">
        <w:rPr>
          <w:rFonts w:ascii="Arial" w:hAnsi="Arial" w:cs="Arial"/>
          <w:b/>
        </w:rPr>
        <w:t xml:space="preserve"> trees in the two study sites.</w:t>
      </w:r>
    </w:p>
    <w:p w14:paraId="290288AA" w14:textId="77777777" w:rsidR="006475B6" w:rsidRPr="006475B6" w:rsidRDefault="006475B6" w:rsidP="006475B6">
      <w:pPr>
        <w:pStyle w:val="Body"/>
        <w:rPr>
          <w:rFonts w:ascii="Arial" w:hAnsi="Arial" w:cs="Arial"/>
        </w:rPr>
      </w:pPr>
    </w:p>
    <w:p w14:paraId="61419E39" w14:textId="77777777" w:rsidR="006475B6" w:rsidRPr="00B54E8A" w:rsidRDefault="00B54E8A" w:rsidP="006475B6">
      <w:pPr>
        <w:pStyle w:val="Body"/>
        <w:rPr>
          <w:rFonts w:ascii="Arial" w:hAnsi="Arial" w:cs="Arial"/>
          <w:b/>
        </w:rPr>
      </w:pPr>
      <w:r w:rsidRPr="00B54E8A">
        <w:rPr>
          <w:rFonts w:ascii="Arial" w:hAnsi="Arial" w:cs="Arial"/>
          <w:b/>
        </w:rPr>
        <w:t xml:space="preserve">3.3. </w:t>
      </w:r>
      <w:r w:rsidR="006475B6" w:rsidRPr="00B54E8A">
        <w:rPr>
          <w:rFonts w:ascii="Arial" w:hAnsi="Arial" w:cs="Arial"/>
          <w:b/>
        </w:rPr>
        <w:t>Carbon Stock</w:t>
      </w:r>
    </w:p>
    <w:p w14:paraId="2D5FE0F3" w14:textId="77777777" w:rsidR="00DD5770" w:rsidRDefault="006475B6" w:rsidP="006475B6">
      <w:pPr>
        <w:pStyle w:val="Body"/>
        <w:rPr>
          <w:rFonts w:ascii="Arial" w:hAnsi="Arial" w:cs="Arial"/>
        </w:rPr>
      </w:pPr>
      <w:r w:rsidRPr="006475B6">
        <w:rPr>
          <w:rFonts w:ascii="Arial" w:hAnsi="Arial" w:cs="Arial"/>
        </w:rPr>
        <w:t>Carbon stock values were derived from the corresponding biomass measurements. At Site 1, the mean AGC, BGC</w:t>
      </w:r>
      <w:r w:rsidR="005E3068">
        <w:rPr>
          <w:rFonts w:ascii="Arial" w:hAnsi="Arial" w:cs="Arial"/>
        </w:rPr>
        <w:t xml:space="preserve">, and </w:t>
      </w:r>
      <w:r w:rsidRPr="006475B6">
        <w:rPr>
          <w:rFonts w:ascii="Arial" w:hAnsi="Arial" w:cs="Arial"/>
        </w:rPr>
        <w:t xml:space="preserve">TC were 1.32 ± 0.41 </w:t>
      </w:r>
      <w:proofErr w:type="spellStart"/>
      <w:r w:rsidRPr="006475B6">
        <w:rPr>
          <w:rFonts w:ascii="Arial" w:hAnsi="Arial" w:cs="Arial"/>
        </w:rPr>
        <w:t>tonnes</w:t>
      </w:r>
      <w:proofErr w:type="spellEnd"/>
      <w:r w:rsidRPr="006475B6">
        <w:rPr>
          <w:rFonts w:ascii="Arial" w:hAnsi="Arial" w:cs="Arial"/>
        </w:rPr>
        <w:t xml:space="preserve">/quadrat, 0.20 ± 0.06 </w:t>
      </w:r>
      <w:proofErr w:type="spellStart"/>
      <w:r w:rsidRPr="006475B6">
        <w:rPr>
          <w:rFonts w:ascii="Arial" w:hAnsi="Arial" w:cs="Arial"/>
        </w:rPr>
        <w:t>tonnes</w:t>
      </w:r>
      <w:proofErr w:type="spellEnd"/>
      <w:r w:rsidRPr="006475B6">
        <w:rPr>
          <w:rFonts w:ascii="Arial" w:hAnsi="Arial" w:cs="Arial"/>
        </w:rPr>
        <w:t xml:space="preserve">/quadrat, and 1.52 ± 0.48 </w:t>
      </w:r>
      <w:proofErr w:type="spellStart"/>
      <w:r w:rsidRPr="006475B6">
        <w:rPr>
          <w:rFonts w:ascii="Arial" w:hAnsi="Arial" w:cs="Arial"/>
        </w:rPr>
        <w:t>tonnes</w:t>
      </w:r>
      <w:proofErr w:type="spellEnd"/>
      <w:r w:rsidRPr="006475B6">
        <w:rPr>
          <w:rFonts w:ascii="Arial" w:hAnsi="Arial" w:cs="Arial"/>
        </w:rPr>
        <w:t>/quadrat, respectively (Figure 3).</w:t>
      </w:r>
      <w:r w:rsidR="005E3068">
        <w:rPr>
          <w:rFonts w:ascii="Arial" w:hAnsi="Arial" w:cs="Arial"/>
        </w:rPr>
        <w:t xml:space="preserve"> </w:t>
      </w:r>
      <w:r w:rsidRPr="006475B6">
        <w:rPr>
          <w:rFonts w:ascii="Arial" w:hAnsi="Arial" w:cs="Arial"/>
        </w:rPr>
        <w:lastRenderedPageBreak/>
        <w:t xml:space="preserve">The AGC values ranged from 0.47 to 2.47 </w:t>
      </w:r>
      <w:proofErr w:type="spellStart"/>
      <w:r w:rsidRPr="006475B6">
        <w:rPr>
          <w:rFonts w:ascii="Arial" w:hAnsi="Arial" w:cs="Arial"/>
        </w:rPr>
        <w:t>tonnes</w:t>
      </w:r>
      <w:proofErr w:type="spellEnd"/>
      <w:r w:rsidRPr="006475B6">
        <w:rPr>
          <w:rFonts w:ascii="Arial" w:hAnsi="Arial" w:cs="Arial"/>
        </w:rPr>
        <w:t xml:space="preserve">/quadrat, BGC from 0.07 to 0.37 </w:t>
      </w:r>
      <w:proofErr w:type="spellStart"/>
      <w:r w:rsidRPr="006475B6">
        <w:rPr>
          <w:rFonts w:ascii="Arial" w:hAnsi="Arial" w:cs="Arial"/>
        </w:rPr>
        <w:t>tonnes</w:t>
      </w:r>
      <w:proofErr w:type="spellEnd"/>
      <w:r w:rsidRPr="006475B6">
        <w:rPr>
          <w:rFonts w:ascii="Arial" w:hAnsi="Arial" w:cs="Arial"/>
        </w:rPr>
        <w:t xml:space="preserve">/quadrat, and TC from 0.54 to 2.84 </w:t>
      </w:r>
      <w:proofErr w:type="spellStart"/>
      <w:r w:rsidRPr="006475B6">
        <w:rPr>
          <w:rFonts w:ascii="Arial" w:hAnsi="Arial" w:cs="Arial"/>
        </w:rPr>
        <w:t>tonnes</w:t>
      </w:r>
      <w:proofErr w:type="spellEnd"/>
      <w:r w:rsidRPr="006475B6">
        <w:rPr>
          <w:rFonts w:ascii="Arial" w:hAnsi="Arial" w:cs="Arial"/>
        </w:rPr>
        <w:t>/quadrat.</w:t>
      </w:r>
      <w:r w:rsidR="005E3068">
        <w:rPr>
          <w:rFonts w:ascii="Arial" w:hAnsi="Arial" w:cs="Arial"/>
        </w:rPr>
        <w:t xml:space="preserve"> </w:t>
      </w:r>
      <w:r w:rsidR="00DD5770">
        <w:rPr>
          <w:rFonts w:ascii="Arial" w:hAnsi="Arial" w:cs="Arial"/>
        </w:rPr>
        <w:t xml:space="preserve"> </w:t>
      </w:r>
    </w:p>
    <w:p w14:paraId="5245A7DD" w14:textId="77777777" w:rsidR="006475B6" w:rsidRPr="006475B6" w:rsidRDefault="006475B6" w:rsidP="006475B6">
      <w:pPr>
        <w:pStyle w:val="Body"/>
        <w:rPr>
          <w:rFonts w:ascii="Arial" w:hAnsi="Arial" w:cs="Arial"/>
        </w:rPr>
      </w:pPr>
      <w:r w:rsidRPr="006475B6">
        <w:rPr>
          <w:rFonts w:ascii="Arial" w:hAnsi="Arial" w:cs="Arial"/>
        </w:rPr>
        <w:t xml:space="preserve">At Site 2, the mean AGC, BGC, and TC were 0.70 ± 0.22 </w:t>
      </w:r>
      <w:proofErr w:type="spellStart"/>
      <w:r w:rsidRPr="006475B6">
        <w:rPr>
          <w:rFonts w:ascii="Arial" w:hAnsi="Arial" w:cs="Arial"/>
        </w:rPr>
        <w:t>tonnes</w:t>
      </w:r>
      <w:proofErr w:type="spellEnd"/>
      <w:r w:rsidRPr="006475B6">
        <w:rPr>
          <w:rFonts w:ascii="Arial" w:hAnsi="Arial" w:cs="Arial"/>
        </w:rPr>
        <w:t xml:space="preserve">/quadrat, 0.10 ± 0.03 </w:t>
      </w:r>
      <w:proofErr w:type="spellStart"/>
      <w:r w:rsidRPr="006475B6">
        <w:rPr>
          <w:rFonts w:ascii="Arial" w:hAnsi="Arial" w:cs="Arial"/>
        </w:rPr>
        <w:t>tonnes</w:t>
      </w:r>
      <w:proofErr w:type="spellEnd"/>
      <w:r w:rsidRPr="006475B6">
        <w:rPr>
          <w:rFonts w:ascii="Arial" w:hAnsi="Arial" w:cs="Arial"/>
        </w:rPr>
        <w:t xml:space="preserve">/quadrat, and 0.80 ± 0.26 </w:t>
      </w:r>
      <w:proofErr w:type="spellStart"/>
      <w:r w:rsidRPr="006475B6">
        <w:rPr>
          <w:rFonts w:ascii="Arial" w:hAnsi="Arial" w:cs="Arial"/>
        </w:rPr>
        <w:t>tonnes</w:t>
      </w:r>
      <w:proofErr w:type="spellEnd"/>
      <w:r w:rsidRPr="006475B6">
        <w:rPr>
          <w:rFonts w:ascii="Arial" w:hAnsi="Arial" w:cs="Arial"/>
        </w:rPr>
        <w:t xml:space="preserve">/quadrat, respectively (Figure 4). AGC values ranged from 0.28 to 1.22 </w:t>
      </w:r>
      <w:proofErr w:type="spellStart"/>
      <w:r w:rsidRPr="006475B6">
        <w:rPr>
          <w:rFonts w:ascii="Arial" w:hAnsi="Arial" w:cs="Arial"/>
        </w:rPr>
        <w:t>tonnes</w:t>
      </w:r>
      <w:proofErr w:type="spellEnd"/>
      <w:r w:rsidRPr="006475B6">
        <w:rPr>
          <w:rFonts w:ascii="Arial" w:hAnsi="Arial" w:cs="Arial"/>
        </w:rPr>
        <w:t xml:space="preserve">/quadrat, BGC from 0.04 to 0.18 </w:t>
      </w:r>
      <w:proofErr w:type="spellStart"/>
      <w:r w:rsidRPr="006475B6">
        <w:rPr>
          <w:rFonts w:ascii="Arial" w:hAnsi="Arial" w:cs="Arial"/>
        </w:rPr>
        <w:t>tonnes</w:t>
      </w:r>
      <w:proofErr w:type="spellEnd"/>
      <w:r w:rsidRPr="006475B6">
        <w:rPr>
          <w:rFonts w:ascii="Arial" w:hAnsi="Arial" w:cs="Arial"/>
        </w:rPr>
        <w:t xml:space="preserve">/quadrat, and TC from 0.33 to 1.40 </w:t>
      </w:r>
      <w:proofErr w:type="spellStart"/>
      <w:r w:rsidRPr="006475B6">
        <w:rPr>
          <w:rFonts w:ascii="Arial" w:hAnsi="Arial" w:cs="Arial"/>
        </w:rPr>
        <w:t>tonnes</w:t>
      </w:r>
      <w:proofErr w:type="spellEnd"/>
      <w:r w:rsidRPr="006475B6">
        <w:rPr>
          <w:rFonts w:ascii="Arial" w:hAnsi="Arial" w:cs="Arial"/>
        </w:rPr>
        <w:t>/quadrat.</w:t>
      </w:r>
      <w:r w:rsidR="005E3068">
        <w:rPr>
          <w:rFonts w:ascii="Arial" w:hAnsi="Arial" w:cs="Arial"/>
        </w:rPr>
        <w:t xml:space="preserve"> </w:t>
      </w:r>
    </w:p>
    <w:p w14:paraId="55459E1A" w14:textId="77777777" w:rsidR="006475B6" w:rsidRDefault="005E3068" w:rsidP="006475B6">
      <w:pPr>
        <w:pStyle w:val="Body"/>
        <w:rPr>
          <w:rFonts w:ascii="Arial" w:hAnsi="Arial" w:cs="Arial"/>
        </w:rPr>
      </w:pPr>
      <w:r>
        <w:rPr>
          <w:rFonts w:ascii="Arial" w:hAnsi="Arial" w:cs="Arial"/>
        </w:rPr>
        <w:t xml:space="preserve">A significant difference in TC of </w:t>
      </w:r>
      <w:proofErr w:type="spellStart"/>
      <w:r>
        <w:rPr>
          <w:rFonts w:ascii="Arial" w:hAnsi="Arial" w:cs="Arial"/>
        </w:rPr>
        <w:t>arecanut</w:t>
      </w:r>
      <w:proofErr w:type="spellEnd"/>
      <w:r>
        <w:rPr>
          <w:rFonts w:ascii="Arial" w:hAnsi="Arial" w:cs="Arial"/>
        </w:rPr>
        <w:t xml:space="preserve"> trees was obtained between the two sites (</w:t>
      </w:r>
      <w:r w:rsidRPr="005E3068">
        <w:rPr>
          <w:rFonts w:ascii="Arial" w:hAnsi="Arial" w:cs="Arial"/>
          <w:i/>
        </w:rPr>
        <w:t>t</w:t>
      </w:r>
      <w:r>
        <w:rPr>
          <w:rFonts w:ascii="Arial" w:hAnsi="Arial" w:cs="Arial"/>
        </w:rPr>
        <w:t xml:space="preserve">-test: </w:t>
      </w:r>
      <w:proofErr w:type="gramStart"/>
      <w:r w:rsidRPr="00337651">
        <w:rPr>
          <w:rFonts w:ascii="Arial" w:hAnsi="Arial" w:cs="Arial"/>
          <w:i/>
        </w:rPr>
        <w:t>t</w:t>
      </w:r>
      <w:r w:rsidRPr="00337651">
        <w:rPr>
          <w:rFonts w:ascii="Arial" w:hAnsi="Arial" w:cs="Arial"/>
          <w:vertAlign w:val="subscript"/>
        </w:rPr>
        <w:t>(</w:t>
      </w:r>
      <w:proofErr w:type="gramEnd"/>
      <w:r w:rsidRPr="00337651">
        <w:rPr>
          <w:rFonts w:ascii="Arial" w:hAnsi="Arial" w:cs="Arial"/>
          <w:vertAlign w:val="subscript"/>
        </w:rPr>
        <w:t>24)</w:t>
      </w:r>
      <w:r>
        <w:rPr>
          <w:rFonts w:ascii="Arial" w:hAnsi="Arial" w:cs="Arial"/>
        </w:rPr>
        <w:t xml:space="preserve"> = 7.331, p &lt; 0.0001), similar to that of TB. </w:t>
      </w:r>
      <w:r w:rsidR="006475B6" w:rsidRPr="006475B6">
        <w:rPr>
          <w:rFonts w:ascii="Arial" w:hAnsi="Arial" w:cs="Arial"/>
        </w:rPr>
        <w:t>Across both sites, AGC was the dominant component, accounting for approx</w:t>
      </w:r>
      <w:r>
        <w:rPr>
          <w:rFonts w:ascii="Arial" w:hAnsi="Arial" w:cs="Arial"/>
        </w:rPr>
        <w:t xml:space="preserve">imately 85% of the </w:t>
      </w:r>
      <w:r w:rsidR="006475B6" w:rsidRPr="006475B6">
        <w:rPr>
          <w:rFonts w:ascii="Arial" w:hAnsi="Arial" w:cs="Arial"/>
        </w:rPr>
        <w:t>TC. While the contribution of BGC was comparatively smaller, it still plays a critical role in long-term carbon storage and highlights the ecological significance of root systems in overall carbon sequestration.</w:t>
      </w:r>
    </w:p>
    <w:p w14:paraId="6ACF3CF6" w14:textId="77777777" w:rsidR="003A08E6" w:rsidRPr="006475B6" w:rsidRDefault="003A08E6" w:rsidP="006475B6">
      <w:pPr>
        <w:pStyle w:val="Body"/>
        <w:rPr>
          <w:rFonts w:ascii="Arial" w:hAnsi="Arial" w:cs="Arial"/>
        </w:rPr>
      </w:pPr>
    </w:p>
    <w:p w14:paraId="2B628A53" w14:textId="77777777" w:rsidR="00133B5E" w:rsidRDefault="00133B5E" w:rsidP="00200436">
      <w:pPr>
        <w:pStyle w:val="Body"/>
        <w:jc w:val="center"/>
        <w:rPr>
          <w:rFonts w:ascii="Arial" w:hAnsi="Arial" w:cs="Arial"/>
        </w:rPr>
      </w:pPr>
      <w:r w:rsidRPr="00F63EE6">
        <w:rPr>
          <w:rFonts w:ascii="Times New Roman" w:hAnsi="Times New Roman"/>
          <w:noProof/>
          <w:sz w:val="24"/>
          <w:szCs w:val="24"/>
          <w:lang w:val="en-IN" w:eastAsia="en-IN"/>
        </w:rPr>
        <w:drawing>
          <wp:inline distT="0" distB="0" distL="0" distR="0" wp14:anchorId="48CB9096" wp14:editId="4476A89A">
            <wp:extent cx="5212080" cy="3412740"/>
            <wp:effectExtent l="0" t="0" r="0" b="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E616DC9" w14:textId="77777777" w:rsidR="006475B6" w:rsidRPr="00B54E8A" w:rsidRDefault="006475B6" w:rsidP="00B54E8A">
      <w:pPr>
        <w:pStyle w:val="Body"/>
        <w:jc w:val="center"/>
        <w:rPr>
          <w:rFonts w:ascii="Arial" w:hAnsi="Arial" w:cs="Arial"/>
          <w:b/>
        </w:rPr>
      </w:pPr>
      <w:r w:rsidRPr="00B54E8A">
        <w:rPr>
          <w:rFonts w:ascii="Arial" w:hAnsi="Arial" w:cs="Arial"/>
          <w:b/>
        </w:rPr>
        <w:t xml:space="preserve">Figure 3. Distribution of carbon stock for </w:t>
      </w:r>
      <w:proofErr w:type="spellStart"/>
      <w:r w:rsidRPr="00B54E8A">
        <w:rPr>
          <w:rFonts w:ascii="Arial" w:hAnsi="Arial" w:cs="Arial"/>
          <w:b/>
        </w:rPr>
        <w:t>arecanut</w:t>
      </w:r>
      <w:proofErr w:type="spellEnd"/>
      <w:r w:rsidRPr="00B54E8A">
        <w:rPr>
          <w:rFonts w:ascii="Arial" w:hAnsi="Arial" w:cs="Arial"/>
          <w:b/>
        </w:rPr>
        <w:t xml:space="preserve"> trees at Site 1.</w:t>
      </w:r>
    </w:p>
    <w:p w14:paraId="7ABDBDD7" w14:textId="77777777" w:rsidR="00133B5E" w:rsidRDefault="00133B5E" w:rsidP="006475B6">
      <w:pPr>
        <w:pStyle w:val="Body"/>
        <w:rPr>
          <w:rFonts w:ascii="Arial" w:hAnsi="Arial" w:cs="Arial"/>
        </w:rPr>
      </w:pPr>
    </w:p>
    <w:p w14:paraId="5C28CAD4" w14:textId="77777777" w:rsidR="00133B5E" w:rsidRDefault="00133B5E" w:rsidP="00200436">
      <w:pPr>
        <w:pStyle w:val="Body"/>
        <w:jc w:val="center"/>
        <w:rPr>
          <w:rFonts w:ascii="Arial" w:hAnsi="Arial" w:cs="Arial"/>
        </w:rPr>
      </w:pPr>
      <w:r w:rsidRPr="00F63EE6">
        <w:rPr>
          <w:rFonts w:ascii="Times New Roman" w:hAnsi="Times New Roman"/>
          <w:noProof/>
          <w:sz w:val="24"/>
          <w:szCs w:val="24"/>
          <w:lang w:val="en-IN" w:eastAsia="en-IN"/>
        </w:rPr>
        <w:lastRenderedPageBreak/>
        <w:drawing>
          <wp:inline distT="0" distB="0" distL="0" distR="0" wp14:anchorId="172EFB2F" wp14:editId="0066E862">
            <wp:extent cx="5212080" cy="3354418"/>
            <wp:effectExtent l="0" t="0" r="0" b="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3FA0C3F" w14:textId="77777777" w:rsidR="006475B6" w:rsidRDefault="006475B6" w:rsidP="00B54E8A">
      <w:pPr>
        <w:pStyle w:val="Body"/>
        <w:jc w:val="center"/>
        <w:rPr>
          <w:rFonts w:ascii="Arial" w:hAnsi="Arial" w:cs="Arial"/>
          <w:b/>
        </w:rPr>
      </w:pPr>
      <w:r w:rsidRPr="00B54E8A">
        <w:rPr>
          <w:rFonts w:ascii="Arial" w:hAnsi="Arial" w:cs="Arial"/>
          <w:b/>
        </w:rPr>
        <w:t xml:space="preserve">Figure 4. Distribution of carbon stock for </w:t>
      </w:r>
      <w:proofErr w:type="spellStart"/>
      <w:r w:rsidRPr="00B54E8A">
        <w:rPr>
          <w:rFonts w:ascii="Arial" w:hAnsi="Arial" w:cs="Arial"/>
          <w:b/>
        </w:rPr>
        <w:t>arecanut</w:t>
      </w:r>
      <w:proofErr w:type="spellEnd"/>
      <w:r w:rsidRPr="00B54E8A">
        <w:rPr>
          <w:rFonts w:ascii="Arial" w:hAnsi="Arial" w:cs="Arial"/>
          <w:b/>
        </w:rPr>
        <w:t xml:space="preserve"> trees at Site 2.</w:t>
      </w:r>
    </w:p>
    <w:p w14:paraId="4AB48F93" w14:textId="77777777" w:rsidR="003A08E6" w:rsidRPr="00B54E8A" w:rsidRDefault="003A08E6" w:rsidP="00B54E8A">
      <w:pPr>
        <w:pStyle w:val="Body"/>
        <w:jc w:val="center"/>
        <w:rPr>
          <w:rFonts w:ascii="Arial" w:hAnsi="Arial" w:cs="Arial"/>
          <w:b/>
        </w:rPr>
      </w:pPr>
    </w:p>
    <w:p w14:paraId="0BF4C735" w14:textId="77777777" w:rsidR="006475B6" w:rsidRDefault="006475B6" w:rsidP="00133B5E">
      <w:pPr>
        <w:pStyle w:val="Head1"/>
        <w:jc w:val="both"/>
        <w:rPr>
          <w:rFonts w:ascii="Arial" w:hAnsi="Arial" w:cs="Arial"/>
        </w:rPr>
      </w:pPr>
      <w:r>
        <w:rPr>
          <w:rFonts w:ascii="Arial" w:hAnsi="Arial" w:cs="Arial"/>
        </w:rPr>
        <w:t>4. discussion</w:t>
      </w:r>
    </w:p>
    <w:p w14:paraId="488AF6B3" w14:textId="77777777" w:rsidR="006475B6" w:rsidRDefault="006475B6" w:rsidP="00133B5E">
      <w:pPr>
        <w:pStyle w:val="Body"/>
        <w:rPr>
          <w:rFonts w:ascii="Arial" w:hAnsi="Arial" w:cs="Arial"/>
        </w:rPr>
      </w:pPr>
      <w:r w:rsidRPr="006475B6">
        <w:rPr>
          <w:rFonts w:ascii="Arial" w:hAnsi="Arial" w:cs="Arial"/>
        </w:rPr>
        <w:t xml:space="preserve">In this study, Site 1 consistently outperformed Site 2 in both biomass and carbon stock (measured in </w:t>
      </w:r>
      <w:proofErr w:type="spellStart"/>
      <w:r w:rsidRPr="006475B6">
        <w:rPr>
          <w:rFonts w:ascii="Arial" w:hAnsi="Arial" w:cs="Arial"/>
        </w:rPr>
        <w:t>tonnes</w:t>
      </w:r>
      <w:proofErr w:type="spellEnd"/>
      <w:r w:rsidRPr="006475B6">
        <w:rPr>
          <w:rFonts w:ascii="Arial" w:hAnsi="Arial" w:cs="Arial"/>
        </w:rPr>
        <w:t xml:space="preserve"> per quadrat). This difference is likely influenced by the higher tree density at Site 1 (1,376 trees/ha), which is approximately 14% greater than that of Site 2 (1,028 trees/ha). Greater tree density generally results in higher cumulative biomass, and consequently, enhanced carbon storage.</w:t>
      </w:r>
      <w:r w:rsidR="00200436">
        <w:rPr>
          <w:rFonts w:ascii="Arial" w:hAnsi="Arial" w:cs="Arial"/>
        </w:rPr>
        <w:t xml:space="preserve"> Figures 5 and 6, reveals that the density of trees had positive relation with total carbon stock in both the study sites.</w:t>
      </w:r>
    </w:p>
    <w:p w14:paraId="1626FE95" w14:textId="77777777" w:rsidR="00200436" w:rsidRDefault="00200436" w:rsidP="00200436">
      <w:pPr>
        <w:pStyle w:val="Body"/>
        <w:jc w:val="center"/>
        <w:rPr>
          <w:rFonts w:ascii="Arial" w:hAnsi="Arial" w:cs="Arial"/>
        </w:rPr>
      </w:pPr>
      <w:r>
        <w:rPr>
          <w:noProof/>
          <w:lang w:val="en-IN" w:eastAsia="en-IN"/>
        </w:rPr>
        <w:drawing>
          <wp:inline distT="0" distB="0" distL="0" distR="0" wp14:anchorId="06EDB4D2" wp14:editId="683E9F20">
            <wp:extent cx="4572000" cy="27432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1014D87" w14:textId="77777777" w:rsidR="00200436" w:rsidRDefault="00200436" w:rsidP="00200436">
      <w:pPr>
        <w:pStyle w:val="Body"/>
        <w:jc w:val="center"/>
        <w:rPr>
          <w:rFonts w:ascii="Arial" w:hAnsi="Arial" w:cs="Arial"/>
          <w:b/>
        </w:rPr>
      </w:pPr>
      <w:r w:rsidRPr="00B54E8A">
        <w:rPr>
          <w:rFonts w:ascii="Arial" w:hAnsi="Arial" w:cs="Arial"/>
          <w:b/>
        </w:rPr>
        <w:t xml:space="preserve">Figure </w:t>
      </w:r>
      <w:r>
        <w:rPr>
          <w:rFonts w:ascii="Arial" w:hAnsi="Arial" w:cs="Arial"/>
          <w:b/>
        </w:rPr>
        <w:t>5</w:t>
      </w:r>
      <w:r w:rsidRPr="00B54E8A">
        <w:rPr>
          <w:rFonts w:ascii="Arial" w:hAnsi="Arial" w:cs="Arial"/>
          <w:b/>
        </w:rPr>
        <w:t xml:space="preserve">. </w:t>
      </w:r>
      <w:r>
        <w:rPr>
          <w:rFonts w:ascii="Arial" w:hAnsi="Arial" w:cs="Arial"/>
          <w:b/>
        </w:rPr>
        <w:t xml:space="preserve">Relationship between tree density and total carbon stock at </w:t>
      </w:r>
      <w:r w:rsidRPr="00B54E8A">
        <w:rPr>
          <w:rFonts w:ascii="Arial" w:hAnsi="Arial" w:cs="Arial"/>
          <w:b/>
        </w:rPr>
        <w:t xml:space="preserve">Site </w:t>
      </w:r>
      <w:r>
        <w:rPr>
          <w:rFonts w:ascii="Arial" w:hAnsi="Arial" w:cs="Arial"/>
          <w:b/>
        </w:rPr>
        <w:t>1</w:t>
      </w:r>
      <w:r w:rsidRPr="00B54E8A">
        <w:rPr>
          <w:rFonts w:ascii="Arial" w:hAnsi="Arial" w:cs="Arial"/>
          <w:b/>
        </w:rPr>
        <w:t>.</w:t>
      </w:r>
    </w:p>
    <w:p w14:paraId="5A08251C" w14:textId="77777777" w:rsidR="00200436" w:rsidRDefault="00200436" w:rsidP="00133B5E">
      <w:pPr>
        <w:pStyle w:val="Body"/>
        <w:rPr>
          <w:rFonts w:ascii="Arial" w:hAnsi="Arial" w:cs="Arial"/>
        </w:rPr>
      </w:pPr>
    </w:p>
    <w:p w14:paraId="058480C3" w14:textId="77777777" w:rsidR="00200436" w:rsidRDefault="00200436" w:rsidP="00133B5E">
      <w:pPr>
        <w:pStyle w:val="Body"/>
        <w:rPr>
          <w:rFonts w:ascii="Arial" w:hAnsi="Arial" w:cs="Arial"/>
        </w:rPr>
      </w:pPr>
    </w:p>
    <w:p w14:paraId="474C674C" w14:textId="77777777" w:rsidR="00200436" w:rsidRDefault="00200436" w:rsidP="00200436">
      <w:pPr>
        <w:pStyle w:val="Body"/>
        <w:jc w:val="center"/>
        <w:rPr>
          <w:rFonts w:ascii="Arial" w:hAnsi="Arial" w:cs="Arial"/>
          <w:b/>
        </w:rPr>
      </w:pPr>
      <w:r>
        <w:rPr>
          <w:noProof/>
          <w:lang w:val="en-IN" w:eastAsia="en-IN"/>
        </w:rPr>
        <w:drawing>
          <wp:inline distT="0" distB="0" distL="0" distR="0" wp14:anchorId="456B77BD" wp14:editId="46DD7882">
            <wp:extent cx="4591050" cy="27432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592399C3" w14:textId="77777777" w:rsidR="00200436" w:rsidRDefault="00200436" w:rsidP="00200436">
      <w:pPr>
        <w:pStyle w:val="Body"/>
        <w:jc w:val="center"/>
        <w:rPr>
          <w:rFonts w:ascii="Arial" w:hAnsi="Arial" w:cs="Arial"/>
          <w:b/>
        </w:rPr>
      </w:pPr>
      <w:r w:rsidRPr="00B54E8A">
        <w:rPr>
          <w:rFonts w:ascii="Arial" w:hAnsi="Arial" w:cs="Arial"/>
          <w:b/>
        </w:rPr>
        <w:t xml:space="preserve">Figure </w:t>
      </w:r>
      <w:r>
        <w:rPr>
          <w:rFonts w:ascii="Arial" w:hAnsi="Arial" w:cs="Arial"/>
          <w:b/>
        </w:rPr>
        <w:t>6</w:t>
      </w:r>
      <w:r w:rsidRPr="00B54E8A">
        <w:rPr>
          <w:rFonts w:ascii="Arial" w:hAnsi="Arial" w:cs="Arial"/>
          <w:b/>
        </w:rPr>
        <w:t xml:space="preserve">. </w:t>
      </w:r>
      <w:r>
        <w:rPr>
          <w:rFonts w:ascii="Arial" w:hAnsi="Arial" w:cs="Arial"/>
          <w:b/>
        </w:rPr>
        <w:t xml:space="preserve">Relationship between tree density and total carbon stock at </w:t>
      </w:r>
      <w:r w:rsidRPr="00B54E8A">
        <w:rPr>
          <w:rFonts w:ascii="Arial" w:hAnsi="Arial" w:cs="Arial"/>
          <w:b/>
        </w:rPr>
        <w:t xml:space="preserve">Site </w:t>
      </w:r>
      <w:r>
        <w:rPr>
          <w:rFonts w:ascii="Arial" w:hAnsi="Arial" w:cs="Arial"/>
          <w:b/>
        </w:rPr>
        <w:t>2</w:t>
      </w:r>
      <w:r w:rsidRPr="00B54E8A">
        <w:rPr>
          <w:rFonts w:ascii="Arial" w:hAnsi="Arial" w:cs="Arial"/>
          <w:b/>
        </w:rPr>
        <w:t>.</w:t>
      </w:r>
    </w:p>
    <w:p w14:paraId="45CEAECC" w14:textId="77777777" w:rsidR="00200436" w:rsidRPr="006475B6" w:rsidRDefault="00200436" w:rsidP="00133B5E">
      <w:pPr>
        <w:pStyle w:val="Body"/>
        <w:rPr>
          <w:rFonts w:ascii="Arial" w:hAnsi="Arial" w:cs="Arial"/>
        </w:rPr>
      </w:pPr>
    </w:p>
    <w:p w14:paraId="2514A399" w14:textId="77777777" w:rsidR="006475B6" w:rsidRPr="006475B6" w:rsidRDefault="006475B6" w:rsidP="006475B6">
      <w:pPr>
        <w:pStyle w:val="Body"/>
        <w:rPr>
          <w:rFonts w:ascii="Arial" w:hAnsi="Arial" w:cs="Arial"/>
        </w:rPr>
      </w:pPr>
      <w:r w:rsidRPr="006475B6">
        <w:rPr>
          <w:rFonts w:ascii="Arial" w:hAnsi="Arial" w:cs="Arial"/>
        </w:rPr>
        <w:t>Soil characteristics also appear to play a role. Site 1 exhibited significantly higher potassium content (693 kg/ha), which may have enhanced plant metabolic processes, microbial activity, and organic matter decomposition</w:t>
      </w:r>
      <w:r w:rsidR="003A08E6">
        <w:rPr>
          <w:rFonts w:ascii="Arial" w:hAnsi="Arial" w:cs="Arial"/>
        </w:rPr>
        <w:t xml:space="preserve"> </w:t>
      </w:r>
      <w:r w:rsidRPr="006475B6">
        <w:rPr>
          <w:rFonts w:ascii="Arial" w:hAnsi="Arial" w:cs="Arial"/>
        </w:rPr>
        <w:t>factors that contribute to increased biomass and carbon sequestration. In addition, better management practices</w:t>
      </w:r>
      <w:r w:rsidR="003A08E6">
        <w:rPr>
          <w:rFonts w:ascii="Arial" w:hAnsi="Arial" w:cs="Arial"/>
        </w:rPr>
        <w:t xml:space="preserve"> </w:t>
      </w:r>
      <w:r w:rsidRPr="006475B6">
        <w:rPr>
          <w:rFonts w:ascii="Arial" w:hAnsi="Arial" w:cs="Arial"/>
        </w:rPr>
        <w:t>such as regular irrigation, fertilization, and timely maintenance</w:t>
      </w:r>
      <w:r w:rsidR="003A08E6">
        <w:rPr>
          <w:rFonts w:ascii="Arial" w:hAnsi="Arial" w:cs="Arial"/>
        </w:rPr>
        <w:t xml:space="preserve"> </w:t>
      </w:r>
      <w:r w:rsidRPr="006475B6">
        <w:rPr>
          <w:rFonts w:ascii="Arial" w:hAnsi="Arial" w:cs="Arial"/>
        </w:rPr>
        <w:t>could further explain Site 1's superior performance.</w:t>
      </w:r>
    </w:p>
    <w:p w14:paraId="23D4F61B" w14:textId="77777777" w:rsidR="006475B6" w:rsidRPr="006475B6" w:rsidRDefault="006475B6" w:rsidP="006475B6">
      <w:pPr>
        <w:pStyle w:val="Body"/>
        <w:rPr>
          <w:rFonts w:ascii="Arial" w:hAnsi="Arial" w:cs="Arial"/>
        </w:rPr>
      </w:pPr>
      <w:r w:rsidRPr="006475B6">
        <w:rPr>
          <w:rFonts w:ascii="Arial" w:hAnsi="Arial" w:cs="Arial"/>
        </w:rPr>
        <w:t xml:space="preserve">The mean TC per quadrat at Site 1 (1.52 ± 0.48 </w:t>
      </w:r>
      <w:proofErr w:type="spellStart"/>
      <w:r w:rsidRPr="006475B6">
        <w:rPr>
          <w:rFonts w:ascii="Arial" w:hAnsi="Arial" w:cs="Arial"/>
        </w:rPr>
        <w:t>tonnes</w:t>
      </w:r>
      <w:proofErr w:type="spellEnd"/>
      <w:r w:rsidRPr="006475B6">
        <w:rPr>
          <w:rFonts w:ascii="Arial" w:hAnsi="Arial" w:cs="Arial"/>
        </w:rPr>
        <w:t xml:space="preserve">) was nearly double that of Site 2 (0.80 ± 0.26 </w:t>
      </w:r>
      <w:proofErr w:type="spellStart"/>
      <w:r w:rsidRPr="006475B6">
        <w:rPr>
          <w:rFonts w:ascii="Arial" w:hAnsi="Arial" w:cs="Arial"/>
        </w:rPr>
        <w:t>tonnes</w:t>
      </w:r>
      <w:proofErr w:type="spellEnd"/>
      <w:r w:rsidRPr="006475B6">
        <w:rPr>
          <w:rFonts w:ascii="Arial" w:hAnsi="Arial" w:cs="Arial"/>
        </w:rPr>
        <w:t xml:space="preserve">), demonstrating how local agronomic conditions and plantation management can significantly influence carbon sink potential. These findings reinforce the idea that </w:t>
      </w:r>
      <w:proofErr w:type="spellStart"/>
      <w:r w:rsidRPr="006475B6">
        <w:rPr>
          <w:rFonts w:ascii="Arial" w:hAnsi="Arial" w:cs="Arial"/>
        </w:rPr>
        <w:t>arecanut</w:t>
      </w:r>
      <w:proofErr w:type="spellEnd"/>
      <w:r w:rsidRPr="006475B6">
        <w:rPr>
          <w:rFonts w:ascii="Arial" w:hAnsi="Arial" w:cs="Arial"/>
        </w:rPr>
        <w:t xml:space="preserve"> plantations, when well-managed, can function as effective carbon sinks.</w:t>
      </w:r>
    </w:p>
    <w:p w14:paraId="3BF23543" w14:textId="77777777" w:rsidR="006475B6" w:rsidRPr="006475B6" w:rsidRDefault="006475B6" w:rsidP="006475B6">
      <w:pPr>
        <w:pStyle w:val="Body"/>
        <w:rPr>
          <w:rFonts w:ascii="Arial" w:hAnsi="Arial" w:cs="Arial"/>
        </w:rPr>
      </w:pPr>
      <w:r w:rsidRPr="006475B6">
        <w:rPr>
          <w:rFonts w:ascii="Arial" w:hAnsi="Arial" w:cs="Arial"/>
        </w:rPr>
        <w:t>Previous studies in agroforestry systems have shown that plantation crops can exhibit moderate to high carbon sequestration potential, depending on species, spacing,</w:t>
      </w:r>
      <w:r w:rsidR="00E31852">
        <w:rPr>
          <w:rFonts w:ascii="Arial" w:hAnsi="Arial" w:cs="Arial"/>
        </w:rPr>
        <w:t xml:space="preserve"> and cultural practices (Kumar and</w:t>
      </w:r>
      <w:r w:rsidRPr="006475B6">
        <w:rPr>
          <w:rFonts w:ascii="Arial" w:hAnsi="Arial" w:cs="Arial"/>
        </w:rPr>
        <w:t xml:space="preserve"> </w:t>
      </w:r>
      <w:proofErr w:type="spellStart"/>
      <w:r w:rsidRPr="006475B6">
        <w:rPr>
          <w:rFonts w:ascii="Arial" w:hAnsi="Arial" w:cs="Arial"/>
        </w:rPr>
        <w:t>Kunhamu</w:t>
      </w:r>
      <w:proofErr w:type="spellEnd"/>
      <w:r w:rsidRPr="006475B6">
        <w:rPr>
          <w:rFonts w:ascii="Arial" w:hAnsi="Arial" w:cs="Arial"/>
        </w:rPr>
        <w:t xml:space="preserve">, 2021). The factors influencing this potential include tree maturity, climate, soil fertility, and stem density (Brahma et al. 2018). While there is limited literature specifically focusing on </w:t>
      </w:r>
      <w:proofErr w:type="spellStart"/>
      <w:r w:rsidRPr="006475B6">
        <w:rPr>
          <w:rFonts w:ascii="Arial" w:hAnsi="Arial" w:cs="Arial"/>
        </w:rPr>
        <w:t>arecanut</w:t>
      </w:r>
      <w:proofErr w:type="spellEnd"/>
      <w:r w:rsidRPr="006475B6">
        <w:rPr>
          <w:rFonts w:ascii="Arial" w:hAnsi="Arial" w:cs="Arial"/>
        </w:rPr>
        <w:t xml:space="preserve"> (</w:t>
      </w:r>
      <w:r w:rsidRPr="00E31852">
        <w:rPr>
          <w:rFonts w:ascii="Arial" w:hAnsi="Arial" w:cs="Arial"/>
          <w:i/>
        </w:rPr>
        <w:t>Areca catechu</w:t>
      </w:r>
      <w:r w:rsidRPr="006475B6">
        <w:rPr>
          <w:rFonts w:ascii="Arial" w:hAnsi="Arial" w:cs="Arial"/>
        </w:rPr>
        <w:t xml:space="preserve"> L.), early research suggests it holds considerable promise, especially in dense monoculture or mixed plantation systems (Sujatha </w:t>
      </w:r>
      <w:r w:rsidR="00E31852">
        <w:rPr>
          <w:rFonts w:ascii="Arial" w:hAnsi="Arial" w:cs="Arial"/>
        </w:rPr>
        <w:t>and</w:t>
      </w:r>
      <w:r w:rsidRPr="006475B6">
        <w:rPr>
          <w:rFonts w:ascii="Arial" w:hAnsi="Arial" w:cs="Arial"/>
        </w:rPr>
        <w:t xml:space="preserve"> Bhat, 2015).</w:t>
      </w:r>
    </w:p>
    <w:p w14:paraId="55F221CE" w14:textId="77777777" w:rsidR="006475B6" w:rsidRPr="006475B6" w:rsidRDefault="006475B6" w:rsidP="006475B6">
      <w:pPr>
        <w:pStyle w:val="Body"/>
        <w:rPr>
          <w:rFonts w:ascii="Arial" w:hAnsi="Arial" w:cs="Arial"/>
        </w:rPr>
      </w:pPr>
      <w:r w:rsidRPr="006475B6">
        <w:rPr>
          <w:rFonts w:ascii="Arial" w:hAnsi="Arial" w:cs="Arial"/>
        </w:rPr>
        <w:t xml:space="preserve">According to Singh and Karun (2022), </w:t>
      </w:r>
      <w:proofErr w:type="spellStart"/>
      <w:r w:rsidRPr="006475B6">
        <w:rPr>
          <w:rFonts w:ascii="Arial" w:hAnsi="Arial" w:cs="Arial"/>
        </w:rPr>
        <w:t>arecanut</w:t>
      </w:r>
      <w:proofErr w:type="spellEnd"/>
      <w:r w:rsidRPr="006475B6">
        <w:rPr>
          <w:rFonts w:ascii="Arial" w:hAnsi="Arial" w:cs="Arial"/>
        </w:rPr>
        <w:t xml:space="preserve"> plantations are capable of sequestering approximately 7 </w:t>
      </w:r>
      <w:proofErr w:type="spellStart"/>
      <w:r w:rsidRPr="006475B6">
        <w:rPr>
          <w:rFonts w:ascii="Arial" w:hAnsi="Arial" w:cs="Arial"/>
        </w:rPr>
        <w:t>tonnes</w:t>
      </w:r>
      <w:proofErr w:type="spellEnd"/>
      <w:r w:rsidRPr="006475B6">
        <w:rPr>
          <w:rFonts w:ascii="Arial" w:hAnsi="Arial" w:cs="Arial"/>
        </w:rPr>
        <w:t xml:space="preserve"> of CO</w:t>
      </w:r>
      <w:r w:rsidRPr="006475B6">
        <w:rPr>
          <w:rFonts w:ascii="Cambria Math" w:hAnsi="Cambria Math" w:cs="Cambria Math"/>
        </w:rPr>
        <w:t>₂</w:t>
      </w:r>
      <w:r w:rsidRPr="006475B6">
        <w:rPr>
          <w:rFonts w:ascii="Arial" w:hAnsi="Arial" w:cs="Arial"/>
        </w:rPr>
        <w:t xml:space="preserve"> per hectare per year, positioning them as viable long-term carbon sinks given their average lifespan of 60 to 70 years (Hebbar et al., 2024). This longevity enhances their value as a sustainable land-use option for both ecological and economic benefits.</w:t>
      </w:r>
    </w:p>
    <w:p w14:paraId="4507CD34" w14:textId="77777777" w:rsidR="006475B6" w:rsidRPr="006475B6" w:rsidRDefault="006475B6" w:rsidP="006475B6">
      <w:pPr>
        <w:pStyle w:val="Body"/>
        <w:rPr>
          <w:rFonts w:ascii="Arial" w:hAnsi="Arial" w:cs="Arial"/>
        </w:rPr>
      </w:pPr>
      <w:r w:rsidRPr="006475B6">
        <w:rPr>
          <w:rFonts w:ascii="Arial" w:hAnsi="Arial" w:cs="Arial"/>
        </w:rPr>
        <w:t>The study employed non-destructive quadrat sampling, a widely accepted method in ecological and forestry research (</w:t>
      </w:r>
      <w:proofErr w:type="spellStart"/>
      <w:r w:rsidRPr="006475B6">
        <w:rPr>
          <w:rFonts w:ascii="Arial" w:hAnsi="Arial" w:cs="Arial"/>
        </w:rPr>
        <w:t>Pragasan</w:t>
      </w:r>
      <w:proofErr w:type="spellEnd"/>
      <w:r w:rsidRPr="006475B6">
        <w:rPr>
          <w:rFonts w:ascii="Arial" w:hAnsi="Arial" w:cs="Arial"/>
        </w:rPr>
        <w:t xml:space="preserve"> </w:t>
      </w:r>
      <w:r w:rsidR="00E31852">
        <w:rPr>
          <w:rFonts w:ascii="Arial" w:hAnsi="Arial" w:cs="Arial"/>
        </w:rPr>
        <w:t>and</w:t>
      </w:r>
      <w:r w:rsidRPr="006475B6">
        <w:rPr>
          <w:rFonts w:ascii="Arial" w:hAnsi="Arial" w:cs="Arial"/>
        </w:rPr>
        <w:t xml:space="preserve"> Karthick, 2013; Brown et al., 1989). While destructive sampling remains the most accurate technique, it is impractical in commercial plantations. Thus, using allometric equations to estimate above-ground and below-ground biomass offers a reliable alternative, especially in tropical regions where such equations are well-established (e.g., Chave et al., 2005; </w:t>
      </w:r>
      <w:proofErr w:type="spellStart"/>
      <w:r w:rsidRPr="006475B6">
        <w:rPr>
          <w:rFonts w:ascii="Arial" w:hAnsi="Arial" w:cs="Arial"/>
        </w:rPr>
        <w:t>MacDicken</w:t>
      </w:r>
      <w:proofErr w:type="spellEnd"/>
      <w:r w:rsidRPr="006475B6">
        <w:rPr>
          <w:rFonts w:ascii="Arial" w:hAnsi="Arial" w:cs="Arial"/>
        </w:rPr>
        <w:t xml:space="preserve">, </w:t>
      </w:r>
      <w:r w:rsidR="003A08E6">
        <w:rPr>
          <w:rFonts w:ascii="Arial" w:hAnsi="Arial" w:cs="Arial"/>
        </w:rPr>
        <w:t xml:space="preserve">1997). For </w:t>
      </w:r>
      <w:r w:rsidRPr="006475B6">
        <w:rPr>
          <w:rFonts w:ascii="Arial" w:hAnsi="Arial" w:cs="Arial"/>
        </w:rPr>
        <w:t>BGB, which is challenging to measure directly, a default ratio of 15% of AGB was applied as per standard practice (</w:t>
      </w:r>
      <w:proofErr w:type="spellStart"/>
      <w:r w:rsidRPr="006475B6">
        <w:rPr>
          <w:rFonts w:ascii="Arial" w:hAnsi="Arial" w:cs="Arial"/>
        </w:rPr>
        <w:t>Pragasan</w:t>
      </w:r>
      <w:proofErr w:type="spellEnd"/>
      <w:r w:rsidRPr="006475B6">
        <w:rPr>
          <w:rFonts w:ascii="Arial" w:hAnsi="Arial" w:cs="Arial"/>
        </w:rPr>
        <w:t xml:space="preserve"> et al., 2025).</w:t>
      </w:r>
    </w:p>
    <w:p w14:paraId="575816E9" w14:textId="77777777" w:rsidR="006475B6" w:rsidRPr="006475B6" w:rsidRDefault="006475B6" w:rsidP="006475B6">
      <w:pPr>
        <w:pStyle w:val="Body"/>
        <w:rPr>
          <w:rFonts w:ascii="Arial" w:hAnsi="Arial" w:cs="Arial"/>
        </w:rPr>
      </w:pPr>
      <w:r w:rsidRPr="006475B6">
        <w:rPr>
          <w:rFonts w:ascii="Arial" w:hAnsi="Arial" w:cs="Arial"/>
        </w:rPr>
        <w:t xml:space="preserve">International frameworks such as the UNFCCC and IPCC have emphasized land-based mitigation strategies, including agroforestry and perennial plantations, as effective means for sequestering carbon (UNFCCC, 1997; IPCC, 2007). Under programs like REDD+, such systems are recognized not only for their carbon storage potential but also for co-benefits like biodiversity enhancement, erosion control, microclimate regulation, and rural livelihood support (Gosnell et al., 2022). However, crops like </w:t>
      </w:r>
      <w:proofErr w:type="spellStart"/>
      <w:r w:rsidRPr="006475B6">
        <w:rPr>
          <w:rFonts w:ascii="Arial" w:hAnsi="Arial" w:cs="Arial"/>
        </w:rPr>
        <w:t>arecanut</w:t>
      </w:r>
      <w:proofErr w:type="spellEnd"/>
      <w:r w:rsidRPr="006475B6">
        <w:rPr>
          <w:rFonts w:ascii="Arial" w:hAnsi="Arial" w:cs="Arial"/>
        </w:rPr>
        <w:t xml:space="preserve"> remain underrepresented in national and global carbon accounting models.</w:t>
      </w:r>
    </w:p>
    <w:p w14:paraId="6973CC5F" w14:textId="77777777" w:rsidR="006475B6" w:rsidRPr="006475B6" w:rsidRDefault="006475B6" w:rsidP="006475B6">
      <w:pPr>
        <w:pStyle w:val="Body"/>
        <w:rPr>
          <w:rFonts w:ascii="Arial" w:hAnsi="Arial" w:cs="Arial"/>
        </w:rPr>
      </w:pPr>
      <w:r w:rsidRPr="006475B6">
        <w:rPr>
          <w:rFonts w:ascii="Arial" w:hAnsi="Arial" w:cs="Arial"/>
        </w:rPr>
        <w:lastRenderedPageBreak/>
        <w:t xml:space="preserve">We advocate for the broader inclusion of </w:t>
      </w:r>
      <w:proofErr w:type="spellStart"/>
      <w:r w:rsidRPr="006475B6">
        <w:rPr>
          <w:rFonts w:ascii="Arial" w:hAnsi="Arial" w:cs="Arial"/>
        </w:rPr>
        <w:t>arecanut</w:t>
      </w:r>
      <w:proofErr w:type="spellEnd"/>
      <w:r w:rsidRPr="006475B6">
        <w:rPr>
          <w:rFonts w:ascii="Arial" w:hAnsi="Arial" w:cs="Arial"/>
        </w:rPr>
        <w:t>-based agroforestry systems in carbon sequestration strategies, particularly in degraded or marginal lands. These systems offer a cost-effective and scalable solution for enhancing ecological stability while supporting local economies (</w:t>
      </w:r>
      <w:proofErr w:type="spellStart"/>
      <w:r w:rsidRPr="006475B6">
        <w:rPr>
          <w:rFonts w:ascii="Arial" w:hAnsi="Arial" w:cs="Arial"/>
        </w:rPr>
        <w:t>Newaj</w:t>
      </w:r>
      <w:proofErr w:type="spellEnd"/>
      <w:r w:rsidRPr="006475B6">
        <w:rPr>
          <w:rFonts w:ascii="Arial" w:hAnsi="Arial" w:cs="Arial"/>
        </w:rPr>
        <w:t xml:space="preserve"> et al., 2021).</w:t>
      </w:r>
    </w:p>
    <w:p w14:paraId="1A744FA6" w14:textId="77777777" w:rsidR="006475B6" w:rsidRPr="006475B6" w:rsidRDefault="00166977" w:rsidP="00166977">
      <w:pPr>
        <w:pStyle w:val="Head1"/>
        <w:jc w:val="both"/>
        <w:rPr>
          <w:rFonts w:ascii="Arial" w:hAnsi="Arial" w:cs="Arial"/>
        </w:rPr>
      </w:pPr>
      <w:r>
        <w:rPr>
          <w:rFonts w:ascii="Arial" w:hAnsi="Arial" w:cs="Arial"/>
        </w:rPr>
        <w:t>5. CONCLUSION</w:t>
      </w:r>
    </w:p>
    <w:p w14:paraId="7B2065CC" w14:textId="77777777" w:rsidR="006475B6" w:rsidRPr="006475B6" w:rsidRDefault="006475B6" w:rsidP="00166977">
      <w:pPr>
        <w:pStyle w:val="Body"/>
        <w:rPr>
          <w:rFonts w:ascii="Arial" w:hAnsi="Arial" w:cs="Arial"/>
        </w:rPr>
      </w:pPr>
      <w:r w:rsidRPr="006475B6">
        <w:rPr>
          <w:rFonts w:ascii="Arial" w:hAnsi="Arial" w:cs="Arial"/>
        </w:rPr>
        <w:t xml:space="preserve">This study evaluated the biomass and carbon stock potential of </w:t>
      </w:r>
      <w:proofErr w:type="spellStart"/>
      <w:r w:rsidRPr="006475B6">
        <w:rPr>
          <w:rFonts w:ascii="Arial" w:hAnsi="Arial" w:cs="Arial"/>
        </w:rPr>
        <w:t>arecanut</w:t>
      </w:r>
      <w:proofErr w:type="spellEnd"/>
      <w:r w:rsidRPr="006475B6">
        <w:rPr>
          <w:rFonts w:ascii="Arial" w:hAnsi="Arial" w:cs="Arial"/>
        </w:rPr>
        <w:t xml:space="preserve"> (</w:t>
      </w:r>
      <w:r w:rsidRPr="003A08E6">
        <w:rPr>
          <w:rFonts w:ascii="Arial" w:hAnsi="Arial" w:cs="Arial"/>
          <w:i/>
        </w:rPr>
        <w:t>Areca catec</w:t>
      </w:r>
      <w:r w:rsidR="00B54E8A" w:rsidRPr="003A08E6">
        <w:rPr>
          <w:rFonts w:ascii="Arial" w:hAnsi="Arial" w:cs="Arial"/>
          <w:i/>
        </w:rPr>
        <w:t>hu</w:t>
      </w:r>
      <w:r w:rsidR="00B54E8A">
        <w:rPr>
          <w:rFonts w:ascii="Arial" w:hAnsi="Arial" w:cs="Arial"/>
        </w:rPr>
        <w:t xml:space="preserve"> L.) plantations at two sites, </w:t>
      </w:r>
      <w:proofErr w:type="spellStart"/>
      <w:r w:rsidRPr="006475B6">
        <w:rPr>
          <w:rFonts w:ascii="Arial" w:hAnsi="Arial" w:cs="Arial"/>
        </w:rPr>
        <w:t>Onappalayam</w:t>
      </w:r>
      <w:proofErr w:type="spellEnd"/>
      <w:r w:rsidRPr="006475B6">
        <w:rPr>
          <w:rFonts w:ascii="Arial" w:hAnsi="Arial" w:cs="Arial"/>
        </w:rPr>
        <w:t xml:space="preserve"> (Site 1) and </w:t>
      </w:r>
      <w:proofErr w:type="spellStart"/>
      <w:r w:rsidRPr="006475B6">
        <w:rPr>
          <w:rFonts w:ascii="Arial" w:hAnsi="Arial" w:cs="Arial"/>
        </w:rPr>
        <w:t>Vedapatti</w:t>
      </w:r>
      <w:proofErr w:type="spellEnd"/>
      <w:r w:rsidRPr="006475B6">
        <w:rPr>
          <w:rFonts w:ascii="Arial" w:hAnsi="Arial" w:cs="Arial"/>
        </w:rPr>
        <w:t xml:space="preserve"> (Site 2)</w:t>
      </w:r>
      <w:r w:rsidR="00B54E8A">
        <w:rPr>
          <w:rFonts w:ascii="Arial" w:hAnsi="Arial" w:cs="Arial"/>
        </w:rPr>
        <w:t xml:space="preserve">, </w:t>
      </w:r>
      <w:r w:rsidRPr="006475B6">
        <w:rPr>
          <w:rFonts w:ascii="Arial" w:hAnsi="Arial" w:cs="Arial"/>
        </w:rPr>
        <w:t xml:space="preserve">in the Coimbatore district of Tamil Nadu, India. The findings revealed that Site 1 exhibited significantly higher above-ground biomass (2.64 </w:t>
      </w:r>
      <w:proofErr w:type="spellStart"/>
      <w:r w:rsidRPr="006475B6">
        <w:rPr>
          <w:rFonts w:ascii="Arial" w:hAnsi="Arial" w:cs="Arial"/>
        </w:rPr>
        <w:t>tonnes</w:t>
      </w:r>
      <w:proofErr w:type="spellEnd"/>
      <w:r w:rsidRPr="006475B6">
        <w:rPr>
          <w:rFonts w:ascii="Arial" w:hAnsi="Arial" w:cs="Arial"/>
        </w:rPr>
        <w:t xml:space="preserve"> per quadrat) and below-ground biomass (0.40 </w:t>
      </w:r>
      <w:proofErr w:type="spellStart"/>
      <w:r w:rsidRPr="006475B6">
        <w:rPr>
          <w:rFonts w:ascii="Arial" w:hAnsi="Arial" w:cs="Arial"/>
        </w:rPr>
        <w:t>tonnes</w:t>
      </w:r>
      <w:proofErr w:type="spellEnd"/>
      <w:r w:rsidRPr="006475B6">
        <w:rPr>
          <w:rFonts w:ascii="Arial" w:hAnsi="Arial" w:cs="Arial"/>
        </w:rPr>
        <w:t xml:space="preserve"> per quadrat) compared to Site 2, which recorded 1.40 and 0.21 </w:t>
      </w:r>
      <w:proofErr w:type="spellStart"/>
      <w:r w:rsidRPr="006475B6">
        <w:rPr>
          <w:rFonts w:ascii="Arial" w:hAnsi="Arial" w:cs="Arial"/>
        </w:rPr>
        <w:t>tonnes</w:t>
      </w:r>
      <w:proofErr w:type="spellEnd"/>
      <w:r w:rsidRPr="006475B6">
        <w:rPr>
          <w:rFonts w:ascii="Arial" w:hAnsi="Arial" w:cs="Arial"/>
        </w:rPr>
        <w:t xml:space="preserve"> per quadrat, respectively. Consequently, the total biomass at Site 1 (3.04 ± 0.95 </w:t>
      </w:r>
      <w:proofErr w:type="spellStart"/>
      <w:r w:rsidRPr="006475B6">
        <w:rPr>
          <w:rFonts w:ascii="Arial" w:hAnsi="Arial" w:cs="Arial"/>
        </w:rPr>
        <w:t>tonnes</w:t>
      </w:r>
      <w:proofErr w:type="spellEnd"/>
      <w:r w:rsidRPr="006475B6">
        <w:rPr>
          <w:rFonts w:ascii="Arial" w:hAnsi="Arial" w:cs="Arial"/>
        </w:rPr>
        <w:t xml:space="preserve"> per quadrat) was almost double that of Site 2 (1.61 ± 0.52 </w:t>
      </w:r>
      <w:proofErr w:type="spellStart"/>
      <w:r w:rsidRPr="006475B6">
        <w:rPr>
          <w:rFonts w:ascii="Arial" w:hAnsi="Arial" w:cs="Arial"/>
        </w:rPr>
        <w:t>tonnes</w:t>
      </w:r>
      <w:proofErr w:type="spellEnd"/>
      <w:r w:rsidRPr="006475B6">
        <w:rPr>
          <w:rFonts w:ascii="Arial" w:hAnsi="Arial" w:cs="Arial"/>
        </w:rPr>
        <w:t xml:space="preserve"> per quadrat). A similar trend was observed in carbon stock values. The above-ground carbon stock and below-ground carbon stock at Site 1 were 1.32 and 0.20 </w:t>
      </w:r>
      <w:proofErr w:type="spellStart"/>
      <w:r w:rsidRPr="006475B6">
        <w:rPr>
          <w:rFonts w:ascii="Arial" w:hAnsi="Arial" w:cs="Arial"/>
        </w:rPr>
        <w:t>tonnes</w:t>
      </w:r>
      <w:proofErr w:type="spellEnd"/>
      <w:r w:rsidRPr="006475B6">
        <w:rPr>
          <w:rFonts w:ascii="Arial" w:hAnsi="Arial" w:cs="Arial"/>
        </w:rPr>
        <w:t xml:space="preserve"> per quadrat, while Site 2 recorded 0.70 and 0.10 </w:t>
      </w:r>
      <w:proofErr w:type="spellStart"/>
      <w:r w:rsidRPr="006475B6">
        <w:rPr>
          <w:rFonts w:ascii="Arial" w:hAnsi="Arial" w:cs="Arial"/>
        </w:rPr>
        <w:t>tonnes</w:t>
      </w:r>
      <w:proofErr w:type="spellEnd"/>
      <w:r w:rsidRPr="006475B6">
        <w:rPr>
          <w:rFonts w:ascii="Arial" w:hAnsi="Arial" w:cs="Arial"/>
        </w:rPr>
        <w:t xml:space="preserve"> per quadrat, respectively. Total carbon stock was estimated at 1.52 ± 0.48 </w:t>
      </w:r>
      <w:proofErr w:type="spellStart"/>
      <w:r w:rsidRPr="006475B6">
        <w:rPr>
          <w:rFonts w:ascii="Arial" w:hAnsi="Arial" w:cs="Arial"/>
        </w:rPr>
        <w:t>tonnes</w:t>
      </w:r>
      <w:proofErr w:type="spellEnd"/>
      <w:r w:rsidRPr="006475B6">
        <w:rPr>
          <w:rFonts w:ascii="Arial" w:hAnsi="Arial" w:cs="Arial"/>
        </w:rPr>
        <w:t xml:space="preserve"> per quadrat at Site 1 and 0.80 ± 0.26 </w:t>
      </w:r>
      <w:proofErr w:type="spellStart"/>
      <w:r w:rsidRPr="006475B6">
        <w:rPr>
          <w:rFonts w:ascii="Arial" w:hAnsi="Arial" w:cs="Arial"/>
        </w:rPr>
        <w:t>tonnes</w:t>
      </w:r>
      <w:proofErr w:type="spellEnd"/>
      <w:r w:rsidRPr="006475B6">
        <w:rPr>
          <w:rFonts w:ascii="Arial" w:hAnsi="Arial" w:cs="Arial"/>
        </w:rPr>
        <w:t xml:space="preserve"> per quadrat at Site 2.</w:t>
      </w:r>
    </w:p>
    <w:p w14:paraId="24EE42CA" w14:textId="77777777" w:rsidR="006475B6" w:rsidRPr="006475B6" w:rsidRDefault="006475B6" w:rsidP="006475B6">
      <w:pPr>
        <w:pStyle w:val="Body"/>
        <w:rPr>
          <w:rFonts w:ascii="Arial" w:hAnsi="Arial" w:cs="Arial"/>
        </w:rPr>
      </w:pPr>
      <w:r w:rsidRPr="006475B6">
        <w:rPr>
          <w:rFonts w:ascii="Arial" w:hAnsi="Arial" w:cs="Arial"/>
        </w:rPr>
        <w:t xml:space="preserve">These results demonstrate that </w:t>
      </w:r>
      <w:proofErr w:type="spellStart"/>
      <w:r w:rsidRPr="006475B6">
        <w:rPr>
          <w:rFonts w:ascii="Arial" w:hAnsi="Arial" w:cs="Arial"/>
        </w:rPr>
        <w:t>arecanut</w:t>
      </w:r>
      <w:proofErr w:type="spellEnd"/>
      <w:r w:rsidRPr="006475B6">
        <w:rPr>
          <w:rFonts w:ascii="Arial" w:hAnsi="Arial" w:cs="Arial"/>
        </w:rPr>
        <w:t xml:space="preserve"> plantations, though primarily cultivated for commercial nut production, also serve as important carbon sinks. The observed differences in biomass and carbon stock between the two sites highlight the influence of tree density, soil fertility, and management practices on carbon sequestration potential. Site 1, with its higher tree density and greater nutrient availability</w:t>
      </w:r>
      <w:r w:rsidR="003A08E6">
        <w:rPr>
          <w:rFonts w:ascii="Arial" w:hAnsi="Arial" w:cs="Arial"/>
        </w:rPr>
        <w:t xml:space="preserve"> </w:t>
      </w:r>
      <w:r w:rsidRPr="006475B6">
        <w:rPr>
          <w:rFonts w:ascii="Arial" w:hAnsi="Arial" w:cs="Arial"/>
        </w:rPr>
        <w:t>particularly potassium</w:t>
      </w:r>
      <w:r w:rsidR="003A08E6">
        <w:rPr>
          <w:rFonts w:ascii="Arial" w:hAnsi="Arial" w:cs="Arial"/>
        </w:rPr>
        <w:t xml:space="preserve"> </w:t>
      </w:r>
      <w:r w:rsidRPr="006475B6">
        <w:rPr>
          <w:rFonts w:ascii="Arial" w:hAnsi="Arial" w:cs="Arial"/>
        </w:rPr>
        <w:t>demonstrated significantly higher carbon storage capacity.</w:t>
      </w:r>
    </w:p>
    <w:p w14:paraId="638506A3" w14:textId="77777777" w:rsidR="006475B6" w:rsidRPr="006475B6" w:rsidRDefault="006475B6" w:rsidP="006475B6">
      <w:pPr>
        <w:pStyle w:val="Body"/>
        <w:rPr>
          <w:rFonts w:ascii="Arial" w:hAnsi="Arial" w:cs="Arial"/>
        </w:rPr>
      </w:pPr>
      <w:r w:rsidRPr="006475B6">
        <w:rPr>
          <w:rFonts w:ascii="Arial" w:hAnsi="Arial" w:cs="Arial"/>
        </w:rPr>
        <w:t xml:space="preserve">As global concerns about climate change grow, it becomes increasingly important to recognize the role of agricultural and plantation systems in climate mitigation strategies. This study underscores the contribution of </w:t>
      </w:r>
      <w:proofErr w:type="spellStart"/>
      <w:r w:rsidRPr="006475B6">
        <w:rPr>
          <w:rFonts w:ascii="Arial" w:hAnsi="Arial" w:cs="Arial"/>
        </w:rPr>
        <w:t>arecanut</w:t>
      </w:r>
      <w:proofErr w:type="spellEnd"/>
      <w:r w:rsidRPr="006475B6">
        <w:rPr>
          <w:rFonts w:ascii="Arial" w:hAnsi="Arial" w:cs="Arial"/>
        </w:rPr>
        <w:t xml:space="preserve"> plantations to carbon sequestration and advocates for their integration into broader agroforestry systems. When managed sustainably, these plantations offer multiple benefits: they not only absorb atmospheric carbon but also improve soil quality, and provide steady income to farmers.</w:t>
      </w:r>
    </w:p>
    <w:p w14:paraId="015C9175" w14:textId="77777777" w:rsidR="006475B6" w:rsidRDefault="006475B6" w:rsidP="006475B6">
      <w:pPr>
        <w:pStyle w:val="Body"/>
        <w:spacing w:after="0"/>
        <w:rPr>
          <w:rFonts w:ascii="Arial" w:hAnsi="Arial" w:cs="Arial"/>
        </w:rPr>
      </w:pPr>
      <w:r w:rsidRPr="006475B6">
        <w:rPr>
          <w:rFonts w:ascii="Arial" w:hAnsi="Arial" w:cs="Arial"/>
        </w:rPr>
        <w:t xml:space="preserve">Although the scope of this study was limited to two plantation sites, it offers a valuable foundation for future research into the ecological functions of tropical plantation crops. It also highlights the need to include such crops in national and global carbon accounting frameworks. As the world moves toward ambitious climate targets, tapping into the potential of underrepresented land-use systems like </w:t>
      </w:r>
      <w:proofErr w:type="spellStart"/>
      <w:r w:rsidRPr="006475B6">
        <w:rPr>
          <w:rFonts w:ascii="Arial" w:hAnsi="Arial" w:cs="Arial"/>
        </w:rPr>
        <w:t>arecanut</w:t>
      </w:r>
      <w:proofErr w:type="spellEnd"/>
      <w:r w:rsidRPr="006475B6">
        <w:rPr>
          <w:rFonts w:ascii="Arial" w:hAnsi="Arial" w:cs="Arial"/>
        </w:rPr>
        <w:t xml:space="preserve"> cultivation could play a significant role in achieving long-term sustainability and environmental resilience.</w:t>
      </w:r>
    </w:p>
    <w:p w14:paraId="1AE1C3F5" w14:textId="77777777" w:rsidR="00860000" w:rsidRDefault="00860000" w:rsidP="00441B6F">
      <w:pPr>
        <w:pStyle w:val="ReferHead"/>
        <w:spacing w:after="0"/>
        <w:jc w:val="both"/>
        <w:rPr>
          <w:rFonts w:ascii="Arial" w:hAnsi="Arial" w:cs="Arial"/>
        </w:rPr>
      </w:pPr>
    </w:p>
    <w:p w14:paraId="62273EB5"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169D8225" w14:textId="77777777" w:rsidR="00790ADA" w:rsidRPr="008D6AD9" w:rsidRDefault="00790ADA" w:rsidP="00441B6F">
      <w:pPr>
        <w:pStyle w:val="ReferHead"/>
        <w:spacing w:after="0"/>
        <w:jc w:val="both"/>
        <w:rPr>
          <w:rFonts w:ascii="Arial" w:hAnsi="Arial" w:cs="Arial"/>
          <w:sz w:val="20"/>
        </w:rPr>
      </w:pPr>
    </w:p>
    <w:p w14:paraId="3396777F" w14:textId="77777777" w:rsidR="009967A5" w:rsidRPr="009967A5" w:rsidRDefault="009967A5" w:rsidP="009967A5">
      <w:pPr>
        <w:pStyle w:val="ListParagraph"/>
        <w:numPr>
          <w:ilvl w:val="0"/>
          <w:numId w:val="32"/>
        </w:numPr>
        <w:ind w:left="851" w:hanging="567"/>
        <w:jc w:val="both"/>
        <w:rPr>
          <w:rFonts w:ascii="Arial" w:hAnsi="Arial" w:cs="Arial"/>
        </w:rPr>
      </w:pPr>
      <w:r w:rsidRPr="009967A5">
        <w:rPr>
          <w:rFonts w:ascii="Arial" w:hAnsi="Arial" w:cs="Arial"/>
        </w:rPr>
        <w:t>Brahma, B., Nath, A. J., Sileshi, G. W., &amp; Das, A. K. (2018). Estimating biomass stocks and potential loss of biomass carbon through clear-felling of rubber plantations. Biomass and Bioenergy, 115, 88-96.</w:t>
      </w:r>
    </w:p>
    <w:p w14:paraId="2E730380" w14:textId="77777777" w:rsidR="009967A5" w:rsidRPr="009967A5" w:rsidRDefault="009967A5" w:rsidP="009967A5">
      <w:pPr>
        <w:pStyle w:val="ListParagraph"/>
        <w:numPr>
          <w:ilvl w:val="0"/>
          <w:numId w:val="32"/>
        </w:numPr>
        <w:ind w:left="851" w:hanging="567"/>
        <w:jc w:val="both"/>
        <w:rPr>
          <w:rFonts w:ascii="Arial" w:hAnsi="Arial" w:cs="Arial"/>
        </w:rPr>
      </w:pPr>
      <w:r w:rsidRPr="009967A5">
        <w:rPr>
          <w:rFonts w:ascii="Arial" w:hAnsi="Arial" w:cs="Arial"/>
        </w:rPr>
        <w:t>Brown, S. (2002). Measuring carbon in forests: current status and future challenges. Environmental pollution, 116(3), 363-372.</w:t>
      </w:r>
    </w:p>
    <w:p w14:paraId="0D5A2077" w14:textId="77777777" w:rsidR="009967A5" w:rsidRPr="009967A5" w:rsidRDefault="009967A5" w:rsidP="009967A5">
      <w:pPr>
        <w:pStyle w:val="ListParagraph"/>
        <w:numPr>
          <w:ilvl w:val="0"/>
          <w:numId w:val="32"/>
        </w:numPr>
        <w:ind w:left="851" w:hanging="567"/>
        <w:jc w:val="both"/>
        <w:rPr>
          <w:rFonts w:ascii="Arial" w:hAnsi="Arial" w:cs="Arial"/>
        </w:rPr>
      </w:pPr>
      <w:r w:rsidRPr="009967A5">
        <w:rPr>
          <w:rFonts w:ascii="Arial" w:hAnsi="Arial" w:cs="Arial"/>
        </w:rPr>
        <w:t xml:space="preserve">Brown, S., &amp; Lugo, A. E. (1982). The storage and production of organic matter in tropical forests and their role in the global carbon cycle. </w:t>
      </w:r>
      <w:proofErr w:type="spellStart"/>
      <w:r w:rsidRPr="009967A5">
        <w:rPr>
          <w:rFonts w:ascii="Arial" w:hAnsi="Arial" w:cs="Arial"/>
        </w:rPr>
        <w:t>Biotropica</w:t>
      </w:r>
      <w:proofErr w:type="spellEnd"/>
      <w:r w:rsidRPr="009967A5">
        <w:rPr>
          <w:rFonts w:ascii="Arial" w:hAnsi="Arial" w:cs="Arial"/>
        </w:rPr>
        <w:t>, 161-187.</w:t>
      </w:r>
    </w:p>
    <w:p w14:paraId="559C3C56" w14:textId="77777777" w:rsidR="009967A5" w:rsidRPr="009967A5" w:rsidRDefault="009967A5" w:rsidP="009967A5">
      <w:pPr>
        <w:pStyle w:val="ListParagraph"/>
        <w:numPr>
          <w:ilvl w:val="0"/>
          <w:numId w:val="32"/>
        </w:numPr>
        <w:ind w:left="851" w:hanging="567"/>
        <w:jc w:val="both"/>
        <w:rPr>
          <w:rFonts w:ascii="Arial" w:hAnsi="Arial" w:cs="Arial"/>
        </w:rPr>
      </w:pPr>
      <w:r w:rsidRPr="009967A5">
        <w:rPr>
          <w:rFonts w:ascii="Arial" w:hAnsi="Arial" w:cs="Arial"/>
        </w:rPr>
        <w:t>Brown, S., Gillespie, A. J., &amp; Lugo, A. E. (1989). Biomass estimation methods for tropical forests with applications to forest inventory data. Forest Science, 35(4), 881-902.</w:t>
      </w:r>
    </w:p>
    <w:p w14:paraId="65C3978A" w14:textId="77777777" w:rsidR="009967A5" w:rsidRPr="009967A5" w:rsidRDefault="009967A5" w:rsidP="009967A5">
      <w:pPr>
        <w:pStyle w:val="ListParagraph"/>
        <w:numPr>
          <w:ilvl w:val="0"/>
          <w:numId w:val="32"/>
        </w:numPr>
        <w:ind w:left="851" w:hanging="567"/>
        <w:jc w:val="both"/>
        <w:rPr>
          <w:rFonts w:ascii="Arial" w:hAnsi="Arial" w:cs="Arial"/>
        </w:rPr>
      </w:pPr>
      <w:r w:rsidRPr="009967A5">
        <w:rPr>
          <w:rFonts w:ascii="Arial" w:hAnsi="Arial" w:cs="Arial"/>
        </w:rPr>
        <w:t xml:space="preserve">Chave, J., </w:t>
      </w:r>
      <w:proofErr w:type="spellStart"/>
      <w:r w:rsidRPr="009967A5">
        <w:rPr>
          <w:rFonts w:ascii="Arial" w:hAnsi="Arial" w:cs="Arial"/>
        </w:rPr>
        <w:t>Andalo</w:t>
      </w:r>
      <w:proofErr w:type="spellEnd"/>
      <w:r w:rsidRPr="009967A5">
        <w:rPr>
          <w:rFonts w:ascii="Arial" w:hAnsi="Arial" w:cs="Arial"/>
        </w:rPr>
        <w:t xml:space="preserve">, C., Brown, S., Cairns, M. A., Chambers, J. Q., Eamus, D., ... &amp; </w:t>
      </w:r>
      <w:proofErr w:type="spellStart"/>
      <w:r w:rsidRPr="009967A5">
        <w:rPr>
          <w:rFonts w:ascii="Arial" w:hAnsi="Arial" w:cs="Arial"/>
        </w:rPr>
        <w:t>Yamakura</w:t>
      </w:r>
      <w:proofErr w:type="spellEnd"/>
      <w:r w:rsidRPr="009967A5">
        <w:rPr>
          <w:rFonts w:ascii="Arial" w:hAnsi="Arial" w:cs="Arial"/>
        </w:rPr>
        <w:t xml:space="preserve">, T. (2005). Tree allometry and improved estimation of carbon stocks and balance in tropical forests. </w:t>
      </w:r>
      <w:proofErr w:type="spellStart"/>
      <w:r w:rsidRPr="009967A5">
        <w:rPr>
          <w:rFonts w:ascii="Arial" w:hAnsi="Arial" w:cs="Arial"/>
        </w:rPr>
        <w:t>Oecologia</w:t>
      </w:r>
      <w:proofErr w:type="spellEnd"/>
      <w:r w:rsidRPr="009967A5">
        <w:rPr>
          <w:rFonts w:ascii="Arial" w:hAnsi="Arial" w:cs="Arial"/>
        </w:rPr>
        <w:t>, 145, 87-99.</w:t>
      </w:r>
    </w:p>
    <w:p w14:paraId="1B998358" w14:textId="77777777" w:rsidR="009967A5" w:rsidRPr="009967A5" w:rsidRDefault="009967A5" w:rsidP="009967A5">
      <w:pPr>
        <w:pStyle w:val="ListParagraph"/>
        <w:numPr>
          <w:ilvl w:val="0"/>
          <w:numId w:val="32"/>
        </w:numPr>
        <w:ind w:left="851" w:hanging="567"/>
        <w:jc w:val="both"/>
        <w:rPr>
          <w:rFonts w:ascii="Arial" w:hAnsi="Arial" w:cs="Arial"/>
        </w:rPr>
      </w:pPr>
      <w:r w:rsidRPr="009967A5">
        <w:rPr>
          <w:rFonts w:ascii="Arial" w:hAnsi="Arial" w:cs="Arial"/>
        </w:rPr>
        <w:t>Chen, X., Lin, B., 2021. Towards carbon neutrality by implementing carbon emissions trading scheme: Policy evaluation in China. Energy Policy 157, 112510.</w:t>
      </w:r>
    </w:p>
    <w:p w14:paraId="6B508442" w14:textId="77777777" w:rsidR="009967A5" w:rsidRPr="009967A5" w:rsidRDefault="009967A5" w:rsidP="009967A5">
      <w:pPr>
        <w:pStyle w:val="ListParagraph"/>
        <w:numPr>
          <w:ilvl w:val="0"/>
          <w:numId w:val="32"/>
        </w:numPr>
        <w:ind w:left="851" w:hanging="567"/>
        <w:jc w:val="both"/>
        <w:rPr>
          <w:rFonts w:ascii="Arial" w:hAnsi="Arial" w:cs="Arial"/>
        </w:rPr>
      </w:pPr>
      <w:r w:rsidRPr="009967A5">
        <w:rPr>
          <w:rFonts w:ascii="Arial" w:hAnsi="Arial" w:cs="Arial"/>
        </w:rPr>
        <w:t>Das, M., Nath, P. C., Sileshi, G. W., Pandey, R., Nath, A. J., &amp; Das, A. K. (2021). Biomass models for estimating carbon storage in Areca palm plantations. Environmental and Sustainability Indicators, 10, 100115.</w:t>
      </w:r>
    </w:p>
    <w:p w14:paraId="0AEEC826" w14:textId="77777777" w:rsidR="009967A5" w:rsidRPr="009967A5" w:rsidRDefault="009967A5" w:rsidP="009967A5">
      <w:pPr>
        <w:pStyle w:val="ListParagraph"/>
        <w:numPr>
          <w:ilvl w:val="0"/>
          <w:numId w:val="32"/>
        </w:numPr>
        <w:ind w:left="851" w:hanging="567"/>
        <w:jc w:val="both"/>
        <w:rPr>
          <w:rFonts w:ascii="Arial" w:hAnsi="Arial" w:cs="Arial"/>
        </w:rPr>
      </w:pPr>
      <w:r w:rsidRPr="009967A5">
        <w:rPr>
          <w:rFonts w:ascii="Arial" w:hAnsi="Arial" w:cs="Arial"/>
        </w:rPr>
        <w:lastRenderedPageBreak/>
        <w:t>Demie, G., Negash, M., Asrat, Z., &amp; Bohdan, L. (2024). Carbon stocks vary in reference to the models used, socioecological factors and agroforestry practices in Central Ethiopia. Agroforestry Systems, 98(6), 1905-1925.</w:t>
      </w:r>
    </w:p>
    <w:p w14:paraId="05810A23" w14:textId="77777777" w:rsidR="009967A5" w:rsidRPr="009967A5" w:rsidRDefault="009967A5" w:rsidP="009967A5">
      <w:pPr>
        <w:pStyle w:val="ListParagraph"/>
        <w:numPr>
          <w:ilvl w:val="0"/>
          <w:numId w:val="32"/>
        </w:numPr>
        <w:ind w:left="851" w:hanging="567"/>
        <w:jc w:val="both"/>
        <w:rPr>
          <w:rFonts w:ascii="Arial" w:hAnsi="Arial" w:cs="Arial"/>
        </w:rPr>
      </w:pPr>
      <w:r w:rsidRPr="009967A5">
        <w:rPr>
          <w:rFonts w:ascii="Arial" w:hAnsi="Arial" w:cs="Arial"/>
        </w:rPr>
        <w:t xml:space="preserve">Dissanayaka, D. M. N. S., Dissanayake, D. K. R. P. L., </w:t>
      </w:r>
      <w:proofErr w:type="spellStart"/>
      <w:r w:rsidRPr="009967A5">
        <w:rPr>
          <w:rFonts w:ascii="Arial" w:hAnsi="Arial" w:cs="Arial"/>
        </w:rPr>
        <w:t>Udumann</w:t>
      </w:r>
      <w:proofErr w:type="spellEnd"/>
      <w:r w:rsidR="00983DE4">
        <w:rPr>
          <w:rFonts w:ascii="Arial" w:hAnsi="Arial" w:cs="Arial"/>
        </w:rPr>
        <w:t xml:space="preserve">, S. S., </w:t>
      </w:r>
      <w:proofErr w:type="spellStart"/>
      <w:r w:rsidR="00983DE4">
        <w:rPr>
          <w:rFonts w:ascii="Arial" w:hAnsi="Arial" w:cs="Arial"/>
        </w:rPr>
        <w:t>Nuwarapaksha</w:t>
      </w:r>
      <w:proofErr w:type="spellEnd"/>
      <w:r w:rsidR="00983DE4">
        <w:rPr>
          <w:rFonts w:ascii="Arial" w:hAnsi="Arial" w:cs="Arial"/>
        </w:rPr>
        <w:t xml:space="preserve">, T. D., &amp; </w:t>
      </w:r>
      <w:r w:rsidRPr="009967A5">
        <w:rPr>
          <w:rFonts w:ascii="Arial" w:hAnsi="Arial" w:cs="Arial"/>
        </w:rPr>
        <w:t>Atapattu, A. J. (2023). Agroforestry—A key tool in the climate-smart agriculture context: A review on coconut cultivation in Sri Lanka. Frontiers in Agronomy, 5, 1162750.</w:t>
      </w:r>
    </w:p>
    <w:p w14:paraId="426E9A43" w14:textId="77777777" w:rsidR="009967A5" w:rsidRPr="009967A5" w:rsidRDefault="009967A5" w:rsidP="009967A5">
      <w:pPr>
        <w:pStyle w:val="ListParagraph"/>
        <w:numPr>
          <w:ilvl w:val="0"/>
          <w:numId w:val="32"/>
        </w:numPr>
        <w:ind w:left="851" w:hanging="567"/>
        <w:jc w:val="both"/>
        <w:rPr>
          <w:rFonts w:ascii="Arial" w:hAnsi="Arial" w:cs="Arial"/>
        </w:rPr>
      </w:pPr>
      <w:r w:rsidRPr="009967A5">
        <w:rPr>
          <w:rFonts w:ascii="Arial" w:hAnsi="Arial" w:cs="Arial"/>
        </w:rPr>
        <w:t xml:space="preserve">Dixon, R. K., Solomon, A. M., Brown, S., Houghton, R. A., </w:t>
      </w:r>
      <w:proofErr w:type="spellStart"/>
      <w:r w:rsidRPr="009967A5">
        <w:rPr>
          <w:rFonts w:ascii="Arial" w:hAnsi="Arial" w:cs="Arial"/>
        </w:rPr>
        <w:t>Trexier</w:t>
      </w:r>
      <w:proofErr w:type="spellEnd"/>
      <w:r w:rsidRPr="009967A5">
        <w:rPr>
          <w:rFonts w:ascii="Arial" w:hAnsi="Arial" w:cs="Arial"/>
        </w:rPr>
        <w:t>, M. C., &amp; Wisniewski, J. (1994). Carbon pools and flux of global forest ecosystems. Science, 263(5144), 185-190.</w:t>
      </w:r>
    </w:p>
    <w:p w14:paraId="2820C300" w14:textId="77777777" w:rsidR="009967A5" w:rsidRPr="009967A5" w:rsidRDefault="009967A5" w:rsidP="009967A5">
      <w:pPr>
        <w:pStyle w:val="ListParagraph"/>
        <w:numPr>
          <w:ilvl w:val="0"/>
          <w:numId w:val="32"/>
        </w:numPr>
        <w:ind w:left="851" w:hanging="567"/>
        <w:jc w:val="both"/>
        <w:rPr>
          <w:rFonts w:ascii="Arial" w:hAnsi="Arial" w:cs="Arial"/>
        </w:rPr>
      </w:pPr>
      <w:proofErr w:type="spellStart"/>
      <w:r w:rsidRPr="009967A5">
        <w:rPr>
          <w:rFonts w:ascii="Arial" w:hAnsi="Arial" w:cs="Arial"/>
        </w:rPr>
        <w:t>Filonchyk</w:t>
      </w:r>
      <w:proofErr w:type="spellEnd"/>
      <w:r w:rsidRPr="009967A5">
        <w:rPr>
          <w:rFonts w:ascii="Arial" w:hAnsi="Arial" w:cs="Arial"/>
        </w:rPr>
        <w:t xml:space="preserve">, M., Peterson, M. P., Zhang, L., </w:t>
      </w:r>
      <w:proofErr w:type="spellStart"/>
      <w:r w:rsidRPr="009967A5">
        <w:rPr>
          <w:rFonts w:ascii="Arial" w:hAnsi="Arial" w:cs="Arial"/>
        </w:rPr>
        <w:t>Hurynovich</w:t>
      </w:r>
      <w:proofErr w:type="spellEnd"/>
      <w:r w:rsidRPr="009967A5">
        <w:rPr>
          <w:rFonts w:ascii="Arial" w:hAnsi="Arial" w:cs="Arial"/>
        </w:rPr>
        <w:t>, V., &amp; He, Y. (2024). Greenhouse gases emissions and global climate change: Examining the influence of CO2, CH4, and N2O. Science of The Total Environment, 173359.</w:t>
      </w:r>
    </w:p>
    <w:p w14:paraId="0BE5957E" w14:textId="77777777" w:rsidR="009967A5" w:rsidRPr="009967A5" w:rsidRDefault="009967A5" w:rsidP="009967A5">
      <w:pPr>
        <w:pStyle w:val="ListParagraph"/>
        <w:numPr>
          <w:ilvl w:val="0"/>
          <w:numId w:val="32"/>
        </w:numPr>
        <w:ind w:left="851" w:hanging="567"/>
        <w:jc w:val="both"/>
        <w:rPr>
          <w:rFonts w:ascii="Arial" w:hAnsi="Arial" w:cs="Arial"/>
        </w:rPr>
      </w:pPr>
      <w:r w:rsidRPr="009967A5">
        <w:rPr>
          <w:rFonts w:ascii="Arial" w:hAnsi="Arial" w:cs="Arial"/>
        </w:rPr>
        <w:t>Ghale, B., Mitra, E., Sodhi, H. S., Verma, A. K., &amp; Kumar, S. (2022). Carbon sequestration potential of agroforestry systems and its potential in climate change mitigation. Water, Air, &amp; Soil Pollution, 233(7), 228.</w:t>
      </w:r>
    </w:p>
    <w:p w14:paraId="01A4C8FC" w14:textId="77777777" w:rsidR="009967A5" w:rsidRPr="009967A5" w:rsidRDefault="009967A5" w:rsidP="009967A5">
      <w:pPr>
        <w:pStyle w:val="ListParagraph"/>
        <w:numPr>
          <w:ilvl w:val="0"/>
          <w:numId w:val="32"/>
        </w:numPr>
        <w:ind w:left="851" w:hanging="567"/>
        <w:jc w:val="both"/>
        <w:rPr>
          <w:rFonts w:ascii="Arial" w:hAnsi="Arial" w:cs="Arial"/>
        </w:rPr>
      </w:pPr>
      <w:r w:rsidRPr="009967A5">
        <w:rPr>
          <w:rFonts w:ascii="Arial" w:hAnsi="Arial" w:cs="Arial"/>
        </w:rPr>
        <w:t xml:space="preserve">Gosnell, G., Dickson, R., Hu, J., Hird, T., &amp; </w:t>
      </w:r>
      <w:proofErr w:type="spellStart"/>
      <w:r w:rsidRPr="009967A5">
        <w:rPr>
          <w:rFonts w:ascii="Arial" w:hAnsi="Arial" w:cs="Arial"/>
        </w:rPr>
        <w:t>Basnak</w:t>
      </w:r>
      <w:proofErr w:type="spellEnd"/>
      <w:r w:rsidRPr="009967A5">
        <w:rPr>
          <w:rFonts w:ascii="Arial" w:hAnsi="Arial" w:cs="Arial"/>
        </w:rPr>
        <w:t>, M. (2022). The REDD+ framework for reducing deforestation and mitigating climate change: overview, evaluation, and cost-effectiveness. Rethink Priorities.</w:t>
      </w:r>
    </w:p>
    <w:p w14:paraId="29BF2698" w14:textId="77777777" w:rsidR="009967A5" w:rsidRPr="009967A5" w:rsidRDefault="009967A5" w:rsidP="009967A5">
      <w:pPr>
        <w:pStyle w:val="ListParagraph"/>
        <w:numPr>
          <w:ilvl w:val="0"/>
          <w:numId w:val="32"/>
        </w:numPr>
        <w:ind w:left="851" w:hanging="567"/>
        <w:jc w:val="both"/>
        <w:rPr>
          <w:rFonts w:ascii="Arial" w:hAnsi="Arial" w:cs="Arial"/>
        </w:rPr>
      </w:pPr>
      <w:proofErr w:type="spellStart"/>
      <w:r w:rsidRPr="009967A5">
        <w:rPr>
          <w:rFonts w:ascii="Arial" w:hAnsi="Arial" w:cs="Arial"/>
        </w:rPr>
        <w:t>Gunjal</w:t>
      </w:r>
      <w:proofErr w:type="spellEnd"/>
      <w:r w:rsidRPr="009967A5">
        <w:rPr>
          <w:rFonts w:ascii="Arial" w:hAnsi="Arial" w:cs="Arial"/>
        </w:rPr>
        <w:t xml:space="preserve">, S., </w:t>
      </w:r>
      <w:proofErr w:type="spellStart"/>
      <w:r w:rsidRPr="009967A5">
        <w:rPr>
          <w:rFonts w:ascii="Arial" w:hAnsi="Arial" w:cs="Arial"/>
        </w:rPr>
        <w:t>Pateel</w:t>
      </w:r>
      <w:proofErr w:type="spellEnd"/>
      <w:r w:rsidRPr="009967A5">
        <w:rPr>
          <w:rFonts w:ascii="Arial" w:hAnsi="Arial" w:cs="Arial"/>
        </w:rPr>
        <w:t>, D. G. S., Yang, Y. H., Doss, J. G., Bilal, S., Maling, T. H., ... &amp; Zain, R. B. M. (2020). An overview on betel quid and areca nut practice and control in selected Asian and South East Asian countries. Substance Use &amp; Misuse, 55(9), 1533-1544.</w:t>
      </w:r>
    </w:p>
    <w:p w14:paraId="25384DCB" w14:textId="77777777" w:rsidR="009967A5" w:rsidRPr="009967A5" w:rsidRDefault="009967A5" w:rsidP="009967A5">
      <w:pPr>
        <w:pStyle w:val="ListParagraph"/>
        <w:numPr>
          <w:ilvl w:val="0"/>
          <w:numId w:val="32"/>
        </w:numPr>
        <w:ind w:left="851" w:hanging="567"/>
        <w:jc w:val="both"/>
        <w:rPr>
          <w:rFonts w:ascii="Arial" w:hAnsi="Arial" w:cs="Arial"/>
        </w:rPr>
      </w:pPr>
      <w:r w:rsidRPr="009967A5">
        <w:rPr>
          <w:rFonts w:ascii="Arial" w:hAnsi="Arial" w:cs="Arial"/>
        </w:rPr>
        <w:t xml:space="preserve">Hebbar, K. B., Ramesh, S. V., &amp; Bhat, R. (2024). Predicting current and future climate suitability for </w:t>
      </w:r>
      <w:proofErr w:type="spellStart"/>
      <w:r w:rsidRPr="009967A5">
        <w:rPr>
          <w:rFonts w:ascii="Arial" w:hAnsi="Arial" w:cs="Arial"/>
        </w:rPr>
        <w:t>arecanut</w:t>
      </w:r>
      <w:proofErr w:type="spellEnd"/>
      <w:r w:rsidRPr="009967A5">
        <w:rPr>
          <w:rFonts w:ascii="Arial" w:hAnsi="Arial" w:cs="Arial"/>
        </w:rPr>
        <w:t xml:space="preserve"> (Areca catechu L.) in India using ensemble model. </w:t>
      </w:r>
      <w:proofErr w:type="spellStart"/>
      <w:r w:rsidRPr="009967A5">
        <w:rPr>
          <w:rFonts w:ascii="Arial" w:hAnsi="Arial" w:cs="Arial"/>
        </w:rPr>
        <w:t>Heliyon</w:t>
      </w:r>
      <w:proofErr w:type="spellEnd"/>
      <w:r w:rsidRPr="009967A5">
        <w:rPr>
          <w:rFonts w:ascii="Arial" w:hAnsi="Arial" w:cs="Arial"/>
        </w:rPr>
        <w:t>, 10(4).</w:t>
      </w:r>
    </w:p>
    <w:p w14:paraId="7C0D290A" w14:textId="77777777" w:rsidR="009967A5" w:rsidRPr="009967A5" w:rsidRDefault="009967A5" w:rsidP="009967A5">
      <w:pPr>
        <w:pStyle w:val="ListParagraph"/>
        <w:numPr>
          <w:ilvl w:val="0"/>
          <w:numId w:val="32"/>
        </w:numPr>
        <w:ind w:left="851" w:hanging="567"/>
        <w:jc w:val="both"/>
        <w:rPr>
          <w:rFonts w:ascii="Arial" w:hAnsi="Arial" w:cs="Arial"/>
        </w:rPr>
      </w:pPr>
      <w:r w:rsidRPr="009967A5">
        <w:rPr>
          <w:rFonts w:ascii="Arial" w:hAnsi="Arial" w:cs="Arial"/>
        </w:rPr>
        <w:t>IPCC. (2007). Climate Change 2007 – Impacts, Adaptation and Vulnerability. Contribution of Working Group II to the Fourth Assessment Report of the IPCC. Intergovernmental Panel on Climate Change, Geneva.</w:t>
      </w:r>
    </w:p>
    <w:p w14:paraId="1FEC6759" w14:textId="77777777" w:rsidR="009967A5" w:rsidRPr="009967A5" w:rsidRDefault="009967A5" w:rsidP="009967A5">
      <w:pPr>
        <w:pStyle w:val="ListParagraph"/>
        <w:numPr>
          <w:ilvl w:val="0"/>
          <w:numId w:val="32"/>
        </w:numPr>
        <w:ind w:left="851" w:hanging="567"/>
        <w:jc w:val="both"/>
        <w:rPr>
          <w:rFonts w:ascii="Arial" w:hAnsi="Arial" w:cs="Arial"/>
        </w:rPr>
      </w:pPr>
      <w:r w:rsidRPr="009967A5">
        <w:rPr>
          <w:rFonts w:ascii="Arial" w:hAnsi="Arial" w:cs="Arial"/>
        </w:rPr>
        <w:t>Jindal, R., Swallow, B., &amp; Kerr, J. (2008). Forestry</w:t>
      </w:r>
      <w:r w:rsidRPr="009967A5">
        <w:rPr>
          <w:rFonts w:ascii="Cambria Math" w:hAnsi="Cambria Math" w:cs="Cambria Math"/>
        </w:rPr>
        <w:t>‐</w:t>
      </w:r>
      <w:r w:rsidRPr="009967A5">
        <w:rPr>
          <w:rFonts w:ascii="Arial" w:hAnsi="Arial" w:cs="Arial"/>
        </w:rPr>
        <w:t>based carbon sequestration projects in Africa: Potential benefits and challenges. In Natural resources forum (Vol. 32, No. 2, pp. 116-130). Oxford, UK: Blackwell Publishing Ltd.</w:t>
      </w:r>
    </w:p>
    <w:p w14:paraId="4B458332" w14:textId="77777777" w:rsidR="009967A5" w:rsidRPr="009967A5" w:rsidRDefault="009967A5" w:rsidP="009967A5">
      <w:pPr>
        <w:pStyle w:val="ListParagraph"/>
        <w:numPr>
          <w:ilvl w:val="0"/>
          <w:numId w:val="32"/>
        </w:numPr>
        <w:ind w:left="851" w:hanging="567"/>
        <w:jc w:val="both"/>
        <w:rPr>
          <w:rFonts w:ascii="Arial" w:hAnsi="Arial" w:cs="Arial"/>
        </w:rPr>
      </w:pPr>
      <w:r w:rsidRPr="009967A5">
        <w:rPr>
          <w:rFonts w:ascii="Arial" w:hAnsi="Arial" w:cs="Arial"/>
        </w:rPr>
        <w:t xml:space="preserve">Jose, C. T., </w:t>
      </w:r>
      <w:proofErr w:type="spellStart"/>
      <w:r w:rsidRPr="009967A5">
        <w:rPr>
          <w:rFonts w:ascii="Arial" w:hAnsi="Arial" w:cs="Arial"/>
        </w:rPr>
        <w:t>Thamban</w:t>
      </w:r>
      <w:proofErr w:type="spellEnd"/>
      <w:r w:rsidRPr="009967A5">
        <w:rPr>
          <w:rFonts w:ascii="Arial" w:hAnsi="Arial" w:cs="Arial"/>
        </w:rPr>
        <w:t xml:space="preserve">, C., &amp; </w:t>
      </w:r>
      <w:proofErr w:type="spellStart"/>
      <w:r w:rsidRPr="009967A5">
        <w:rPr>
          <w:rFonts w:ascii="Arial" w:hAnsi="Arial" w:cs="Arial"/>
        </w:rPr>
        <w:t>Jayasekhar</w:t>
      </w:r>
      <w:proofErr w:type="spellEnd"/>
      <w:r w:rsidRPr="009967A5">
        <w:rPr>
          <w:rFonts w:ascii="Arial" w:hAnsi="Arial" w:cs="Arial"/>
        </w:rPr>
        <w:t xml:space="preserve">, S. (2011). Transfer of technology in </w:t>
      </w:r>
      <w:proofErr w:type="spellStart"/>
      <w:r w:rsidRPr="009967A5">
        <w:rPr>
          <w:rFonts w:ascii="Arial" w:hAnsi="Arial" w:cs="Arial"/>
        </w:rPr>
        <w:t>arecanut</w:t>
      </w:r>
      <w:proofErr w:type="spellEnd"/>
      <w:r w:rsidRPr="009967A5">
        <w:rPr>
          <w:rFonts w:ascii="Arial" w:hAnsi="Arial" w:cs="Arial"/>
        </w:rPr>
        <w:t xml:space="preserve"> based cropping systems. </w:t>
      </w:r>
      <w:proofErr w:type="spellStart"/>
      <w:r w:rsidRPr="009967A5">
        <w:rPr>
          <w:rFonts w:ascii="Arial" w:hAnsi="Arial" w:cs="Arial"/>
        </w:rPr>
        <w:t>Arecanut</w:t>
      </w:r>
      <w:proofErr w:type="spellEnd"/>
      <w:r w:rsidRPr="009967A5">
        <w:rPr>
          <w:rFonts w:ascii="Arial" w:hAnsi="Arial" w:cs="Arial"/>
        </w:rPr>
        <w:t xml:space="preserve"> based Cropping/Farming Systems, 127-36.</w:t>
      </w:r>
    </w:p>
    <w:p w14:paraId="44C6E20A" w14:textId="77777777" w:rsidR="009967A5" w:rsidRPr="009967A5" w:rsidRDefault="009967A5" w:rsidP="009967A5">
      <w:pPr>
        <w:pStyle w:val="ListParagraph"/>
        <w:numPr>
          <w:ilvl w:val="0"/>
          <w:numId w:val="32"/>
        </w:numPr>
        <w:ind w:left="851" w:hanging="567"/>
        <w:jc w:val="both"/>
        <w:rPr>
          <w:rFonts w:ascii="Arial" w:hAnsi="Arial" w:cs="Arial"/>
        </w:rPr>
      </w:pPr>
      <w:r w:rsidRPr="009967A5">
        <w:rPr>
          <w:rFonts w:ascii="Arial" w:hAnsi="Arial" w:cs="Arial"/>
        </w:rPr>
        <w:t>Khalid, H., Zin, Z. Z., &amp; Anderson, J. M. (1999). Quantification of oil palm biomass and nutrient value in a mature plantation. I. Above-ground biomass. Journal of Oil Palm Research, 11(1), 23-32.</w:t>
      </w:r>
    </w:p>
    <w:p w14:paraId="1CDA8169" w14:textId="77777777" w:rsidR="009967A5" w:rsidRPr="009967A5" w:rsidRDefault="009967A5" w:rsidP="009967A5">
      <w:pPr>
        <w:pStyle w:val="ListParagraph"/>
        <w:numPr>
          <w:ilvl w:val="0"/>
          <w:numId w:val="32"/>
        </w:numPr>
        <w:ind w:left="851" w:hanging="567"/>
        <w:jc w:val="both"/>
        <w:rPr>
          <w:rFonts w:ascii="Arial" w:hAnsi="Arial" w:cs="Arial"/>
        </w:rPr>
      </w:pPr>
      <w:r w:rsidRPr="009967A5">
        <w:rPr>
          <w:rFonts w:ascii="Arial" w:hAnsi="Arial" w:cs="Arial"/>
        </w:rPr>
        <w:t xml:space="preserve">Kumar, B. M., &amp; </w:t>
      </w:r>
      <w:proofErr w:type="spellStart"/>
      <w:r w:rsidRPr="009967A5">
        <w:rPr>
          <w:rFonts w:ascii="Arial" w:hAnsi="Arial" w:cs="Arial"/>
        </w:rPr>
        <w:t>Kunhamu</w:t>
      </w:r>
      <w:proofErr w:type="spellEnd"/>
      <w:r w:rsidRPr="009967A5">
        <w:rPr>
          <w:rFonts w:ascii="Arial" w:hAnsi="Arial" w:cs="Arial"/>
        </w:rPr>
        <w:t>, T. K. (2021). Carbon sequestration potential of agroforestry systems in India: a synthesis. In Agroforestry and Ecosystem Services (pp. 389-430). Cham: Springer International Publishing.</w:t>
      </w:r>
    </w:p>
    <w:p w14:paraId="05A36294" w14:textId="77777777" w:rsidR="009967A5" w:rsidRPr="009967A5" w:rsidRDefault="009967A5" w:rsidP="009967A5">
      <w:pPr>
        <w:pStyle w:val="ListParagraph"/>
        <w:numPr>
          <w:ilvl w:val="0"/>
          <w:numId w:val="32"/>
        </w:numPr>
        <w:ind w:left="851" w:hanging="567"/>
        <w:jc w:val="both"/>
        <w:rPr>
          <w:rFonts w:ascii="Arial" w:hAnsi="Arial" w:cs="Arial"/>
        </w:rPr>
      </w:pPr>
      <w:r w:rsidRPr="009967A5">
        <w:rPr>
          <w:rFonts w:ascii="Arial" w:hAnsi="Arial" w:cs="Arial"/>
        </w:rPr>
        <w:t>Kumar, S. N., &amp; Aggarwal, P. K. (2013). Climate change and coconut plantations in India: Impacts and potential adaptation gains. Agricultural Systems, 117, 45-54.</w:t>
      </w:r>
    </w:p>
    <w:p w14:paraId="68097B8A" w14:textId="77777777" w:rsidR="009967A5" w:rsidRPr="009967A5" w:rsidRDefault="009967A5" w:rsidP="009967A5">
      <w:pPr>
        <w:pStyle w:val="ListParagraph"/>
        <w:numPr>
          <w:ilvl w:val="0"/>
          <w:numId w:val="32"/>
        </w:numPr>
        <w:ind w:left="851" w:hanging="567"/>
        <w:jc w:val="both"/>
        <w:rPr>
          <w:rFonts w:ascii="Arial" w:hAnsi="Arial" w:cs="Arial"/>
        </w:rPr>
      </w:pPr>
      <w:proofErr w:type="spellStart"/>
      <w:r w:rsidRPr="009967A5">
        <w:rPr>
          <w:rFonts w:ascii="Arial" w:hAnsi="Arial" w:cs="Arial"/>
        </w:rPr>
        <w:t>MacDicken</w:t>
      </w:r>
      <w:proofErr w:type="spellEnd"/>
      <w:r w:rsidRPr="009967A5">
        <w:rPr>
          <w:rFonts w:ascii="Arial" w:hAnsi="Arial" w:cs="Arial"/>
        </w:rPr>
        <w:t>, K. G. (1997). A guide to monitoring carbon storage in forestry and agroforestry projects.</w:t>
      </w:r>
    </w:p>
    <w:p w14:paraId="4ED54AAD" w14:textId="77777777" w:rsidR="009967A5" w:rsidRPr="009967A5" w:rsidRDefault="009967A5" w:rsidP="009967A5">
      <w:pPr>
        <w:pStyle w:val="ListParagraph"/>
        <w:numPr>
          <w:ilvl w:val="0"/>
          <w:numId w:val="32"/>
        </w:numPr>
        <w:ind w:left="851" w:hanging="567"/>
        <w:jc w:val="both"/>
        <w:rPr>
          <w:rFonts w:ascii="Arial" w:hAnsi="Arial" w:cs="Arial"/>
        </w:rPr>
      </w:pPr>
      <w:r w:rsidRPr="009967A5">
        <w:rPr>
          <w:rFonts w:ascii="Arial" w:hAnsi="Arial" w:cs="Arial"/>
        </w:rPr>
        <w:t xml:space="preserve">Manjunath, B., Ouellet-Plamondon, C. M., Das, B. B., Rao, S., </w:t>
      </w:r>
      <w:proofErr w:type="spellStart"/>
      <w:r w:rsidRPr="009967A5">
        <w:rPr>
          <w:rFonts w:ascii="Arial" w:hAnsi="Arial" w:cs="Arial"/>
        </w:rPr>
        <w:t>Bhojaraju</w:t>
      </w:r>
      <w:proofErr w:type="spellEnd"/>
      <w:r w:rsidRPr="009967A5">
        <w:rPr>
          <w:rFonts w:ascii="Arial" w:hAnsi="Arial" w:cs="Arial"/>
        </w:rPr>
        <w:t>, C., &amp; Rao, M. (2024). Areca nut husk biochar as a sustainable carbonaceous filler for cement: Pyrolysis temperature and its effect on characterization, strength, and hydration. Industrial Crops and Products, 222, 119883.</w:t>
      </w:r>
    </w:p>
    <w:p w14:paraId="679EBE1D" w14:textId="77777777" w:rsidR="009967A5" w:rsidRPr="009967A5" w:rsidRDefault="009967A5" w:rsidP="009967A5">
      <w:pPr>
        <w:pStyle w:val="ListParagraph"/>
        <w:numPr>
          <w:ilvl w:val="0"/>
          <w:numId w:val="32"/>
        </w:numPr>
        <w:ind w:left="851" w:hanging="567"/>
        <w:jc w:val="both"/>
        <w:rPr>
          <w:rFonts w:ascii="Arial" w:hAnsi="Arial" w:cs="Arial"/>
        </w:rPr>
      </w:pPr>
      <w:r w:rsidRPr="009967A5">
        <w:rPr>
          <w:rFonts w:ascii="Arial" w:hAnsi="Arial" w:cs="Arial"/>
        </w:rPr>
        <w:t xml:space="preserve">McRoberts, R. E., </w:t>
      </w:r>
      <w:proofErr w:type="spellStart"/>
      <w:r w:rsidRPr="009967A5">
        <w:rPr>
          <w:rFonts w:ascii="Arial" w:hAnsi="Arial" w:cs="Arial"/>
        </w:rPr>
        <w:t>Næsset</w:t>
      </w:r>
      <w:proofErr w:type="spellEnd"/>
      <w:r w:rsidRPr="009967A5">
        <w:rPr>
          <w:rFonts w:ascii="Arial" w:hAnsi="Arial" w:cs="Arial"/>
        </w:rPr>
        <w:t xml:space="preserve">, E., &amp; </w:t>
      </w:r>
      <w:proofErr w:type="spellStart"/>
      <w:r w:rsidRPr="009967A5">
        <w:rPr>
          <w:rFonts w:ascii="Arial" w:hAnsi="Arial" w:cs="Arial"/>
        </w:rPr>
        <w:t>Gobakken</w:t>
      </w:r>
      <w:proofErr w:type="spellEnd"/>
      <w:r w:rsidRPr="009967A5">
        <w:rPr>
          <w:rFonts w:ascii="Arial" w:hAnsi="Arial" w:cs="Arial"/>
        </w:rPr>
        <w:t>, T. (2018). Comparing the stock-change and gain–loss approaches for estimating forest carbon emissions for the aboveground biomass pool. Canadian Journal of Forest Research, 48(12), 1535-1542.</w:t>
      </w:r>
    </w:p>
    <w:p w14:paraId="4FF0549F" w14:textId="77777777" w:rsidR="009967A5" w:rsidRPr="009967A5" w:rsidRDefault="009967A5" w:rsidP="009967A5">
      <w:pPr>
        <w:pStyle w:val="ListParagraph"/>
        <w:numPr>
          <w:ilvl w:val="0"/>
          <w:numId w:val="32"/>
        </w:numPr>
        <w:ind w:left="851" w:hanging="567"/>
        <w:jc w:val="both"/>
        <w:rPr>
          <w:rFonts w:ascii="Arial" w:hAnsi="Arial" w:cs="Arial"/>
        </w:rPr>
      </w:pPr>
      <w:r w:rsidRPr="009967A5">
        <w:rPr>
          <w:rFonts w:ascii="Arial" w:hAnsi="Arial" w:cs="Arial"/>
        </w:rPr>
        <w:t>Mohanraj, V., Velusamy, R., Prabakaran, K., &amp; Beaulah, A. (2021). Analysis on knowledge level of recommended plant protection technologies in areca nut (Areca catechu) cultivation in Salem district of Tamil Nadu. Journal of Applied and Natural Science, 13(SI), 105.</w:t>
      </w:r>
    </w:p>
    <w:p w14:paraId="51EB3BCA" w14:textId="77777777" w:rsidR="009967A5" w:rsidRPr="009967A5" w:rsidRDefault="009967A5" w:rsidP="009967A5">
      <w:pPr>
        <w:pStyle w:val="ListParagraph"/>
        <w:numPr>
          <w:ilvl w:val="0"/>
          <w:numId w:val="32"/>
        </w:numPr>
        <w:ind w:left="851" w:hanging="567"/>
        <w:jc w:val="both"/>
        <w:rPr>
          <w:rFonts w:ascii="Arial" w:hAnsi="Arial" w:cs="Arial"/>
        </w:rPr>
      </w:pPr>
      <w:r w:rsidRPr="009967A5">
        <w:rPr>
          <w:rFonts w:ascii="Arial" w:hAnsi="Arial" w:cs="Arial"/>
        </w:rPr>
        <w:lastRenderedPageBreak/>
        <w:t xml:space="preserve">Nair, K. P., &amp; Nair, K. P. (2021). Technological advancements in coconut, </w:t>
      </w:r>
      <w:proofErr w:type="spellStart"/>
      <w:r w:rsidRPr="009967A5">
        <w:rPr>
          <w:rFonts w:ascii="Arial" w:hAnsi="Arial" w:cs="Arial"/>
        </w:rPr>
        <w:t>arecanut</w:t>
      </w:r>
      <w:proofErr w:type="spellEnd"/>
      <w:r w:rsidRPr="009967A5">
        <w:rPr>
          <w:rFonts w:ascii="Arial" w:hAnsi="Arial" w:cs="Arial"/>
        </w:rPr>
        <w:t xml:space="preserve"> and cocoa research: A century of service to the global farming community by the Central Plantation Crops Research Institute, Kasaragod, Kerala State, India. Tree Crops: Harvesting Cash from the World's Important Cash Crops, 377-536.</w:t>
      </w:r>
    </w:p>
    <w:p w14:paraId="4861A107" w14:textId="77777777" w:rsidR="009967A5" w:rsidRPr="009967A5" w:rsidRDefault="009967A5" w:rsidP="009967A5">
      <w:pPr>
        <w:pStyle w:val="ListParagraph"/>
        <w:numPr>
          <w:ilvl w:val="0"/>
          <w:numId w:val="32"/>
        </w:numPr>
        <w:ind w:left="851" w:hanging="567"/>
        <w:jc w:val="both"/>
        <w:rPr>
          <w:rFonts w:ascii="Arial" w:hAnsi="Arial" w:cs="Arial"/>
        </w:rPr>
      </w:pPr>
      <w:r w:rsidRPr="009967A5">
        <w:rPr>
          <w:rFonts w:ascii="Arial" w:hAnsi="Arial" w:cs="Arial"/>
        </w:rPr>
        <w:t>Nair, P. R., Mohan Kumar, B., &amp; Naresh Kumar, S. (2018). Climate change, carbon sequestration, and coconut-based ecosystems. The Coconut Palm (Cocos nucifera L.)-Research and Development Perspectives, 779-799.</w:t>
      </w:r>
    </w:p>
    <w:p w14:paraId="646B71EB" w14:textId="77777777" w:rsidR="009967A5" w:rsidRPr="009967A5" w:rsidRDefault="009967A5" w:rsidP="009967A5">
      <w:pPr>
        <w:pStyle w:val="ListParagraph"/>
        <w:numPr>
          <w:ilvl w:val="0"/>
          <w:numId w:val="32"/>
        </w:numPr>
        <w:ind w:left="851" w:hanging="567"/>
        <w:jc w:val="both"/>
        <w:rPr>
          <w:rFonts w:ascii="Arial" w:hAnsi="Arial" w:cs="Arial"/>
        </w:rPr>
      </w:pPr>
      <w:proofErr w:type="spellStart"/>
      <w:r w:rsidRPr="009967A5">
        <w:rPr>
          <w:rFonts w:ascii="Arial" w:hAnsi="Arial" w:cs="Arial"/>
        </w:rPr>
        <w:t>Newaj</w:t>
      </w:r>
      <w:proofErr w:type="spellEnd"/>
      <w:r w:rsidRPr="009967A5">
        <w:rPr>
          <w:rFonts w:ascii="Arial" w:hAnsi="Arial" w:cs="Arial"/>
        </w:rPr>
        <w:t>, R., Chaturvedi, O. P., Kumar, D., Chavan, S. B., Rajawat, B. S., &amp; Yadav, D. K. (2021). Carbon sequestration potential of agroforestry systems for rehabilitating degraded lands of India. Agroforestry for Degraded Landscapes: Recent Advances and Emerging Challenges-Vol. 2, 319-348.</w:t>
      </w:r>
    </w:p>
    <w:p w14:paraId="08FE1F30" w14:textId="77777777" w:rsidR="009967A5" w:rsidRPr="009967A5" w:rsidRDefault="009967A5" w:rsidP="009967A5">
      <w:pPr>
        <w:pStyle w:val="ListParagraph"/>
        <w:numPr>
          <w:ilvl w:val="0"/>
          <w:numId w:val="32"/>
        </w:numPr>
        <w:ind w:left="851" w:hanging="567"/>
        <w:jc w:val="both"/>
        <w:rPr>
          <w:rFonts w:ascii="Arial" w:hAnsi="Arial" w:cs="Arial"/>
        </w:rPr>
      </w:pPr>
      <w:r w:rsidRPr="009967A5">
        <w:rPr>
          <w:rFonts w:ascii="Arial" w:hAnsi="Arial" w:cs="Arial"/>
        </w:rPr>
        <w:t>Niles, J. O., Brown, S., Pretty, J., Ball, A. S., &amp; Fay, J. (2002). Potential carbon mitigation and income in developing countries from changes in use and management of agricultural and forest lands. Philosophical Transactions of the Royal Society of London. Series A: Mathematical, Physical and Engineering Sciences, 360(1797), 1621-1639.</w:t>
      </w:r>
    </w:p>
    <w:p w14:paraId="17FF2D9C" w14:textId="77777777" w:rsidR="009967A5" w:rsidRPr="009967A5" w:rsidRDefault="009967A5" w:rsidP="009967A5">
      <w:pPr>
        <w:pStyle w:val="ListParagraph"/>
        <w:numPr>
          <w:ilvl w:val="0"/>
          <w:numId w:val="32"/>
        </w:numPr>
        <w:ind w:left="851" w:hanging="567"/>
        <w:jc w:val="both"/>
        <w:rPr>
          <w:rFonts w:ascii="Arial" w:hAnsi="Arial" w:cs="Arial"/>
        </w:rPr>
      </w:pPr>
      <w:r w:rsidRPr="009967A5">
        <w:rPr>
          <w:rFonts w:ascii="Arial" w:hAnsi="Arial" w:cs="Arial"/>
        </w:rPr>
        <w:t>Paterson, R. R. M., &amp; Lima, N. (2018). Climate change affecting oil palm agronomy, and oil palm cultivation increasing climate change, require amelioration. Ecology and evolution, 8(1), 452-461.</w:t>
      </w:r>
    </w:p>
    <w:p w14:paraId="338583DA" w14:textId="77777777" w:rsidR="009967A5" w:rsidRPr="009967A5" w:rsidRDefault="009967A5" w:rsidP="009967A5">
      <w:pPr>
        <w:pStyle w:val="ListParagraph"/>
        <w:numPr>
          <w:ilvl w:val="0"/>
          <w:numId w:val="32"/>
        </w:numPr>
        <w:ind w:left="851" w:hanging="567"/>
        <w:jc w:val="both"/>
        <w:rPr>
          <w:rFonts w:ascii="Arial" w:hAnsi="Arial" w:cs="Arial"/>
        </w:rPr>
      </w:pPr>
      <w:proofErr w:type="spellStart"/>
      <w:r w:rsidRPr="009967A5">
        <w:rPr>
          <w:rFonts w:ascii="Arial" w:hAnsi="Arial" w:cs="Arial"/>
        </w:rPr>
        <w:t>Pragasan</w:t>
      </w:r>
      <w:proofErr w:type="spellEnd"/>
      <w:r w:rsidRPr="009967A5">
        <w:rPr>
          <w:rFonts w:ascii="Arial" w:hAnsi="Arial" w:cs="Arial"/>
        </w:rPr>
        <w:t xml:space="preserve">, L. A. (2014). Carbon stock assessment in the vegetation of the </w:t>
      </w:r>
      <w:proofErr w:type="spellStart"/>
      <w:r w:rsidRPr="009967A5">
        <w:rPr>
          <w:rFonts w:ascii="Arial" w:hAnsi="Arial" w:cs="Arial"/>
        </w:rPr>
        <w:t>Chitteri</w:t>
      </w:r>
      <w:proofErr w:type="spellEnd"/>
      <w:r w:rsidRPr="009967A5">
        <w:rPr>
          <w:rFonts w:ascii="Arial" w:hAnsi="Arial" w:cs="Arial"/>
        </w:rPr>
        <w:t xml:space="preserve"> Reserve Forest of the Eastern Ghats in India based on non-destructive method using tree inventory data. J. Earth Sci. Clim. Change S, 11, 001.</w:t>
      </w:r>
    </w:p>
    <w:p w14:paraId="2420154B" w14:textId="77777777" w:rsidR="009967A5" w:rsidRPr="009967A5" w:rsidRDefault="009967A5" w:rsidP="009967A5">
      <w:pPr>
        <w:pStyle w:val="ListParagraph"/>
        <w:numPr>
          <w:ilvl w:val="0"/>
          <w:numId w:val="32"/>
        </w:numPr>
        <w:ind w:left="851" w:hanging="567"/>
        <w:jc w:val="both"/>
        <w:rPr>
          <w:rFonts w:ascii="Arial" w:hAnsi="Arial" w:cs="Arial"/>
        </w:rPr>
      </w:pPr>
      <w:proofErr w:type="spellStart"/>
      <w:r w:rsidRPr="009967A5">
        <w:rPr>
          <w:rFonts w:ascii="Arial" w:hAnsi="Arial" w:cs="Arial"/>
        </w:rPr>
        <w:t>Pragasan</w:t>
      </w:r>
      <w:proofErr w:type="spellEnd"/>
      <w:r w:rsidRPr="009967A5">
        <w:rPr>
          <w:rFonts w:ascii="Arial" w:hAnsi="Arial" w:cs="Arial"/>
        </w:rPr>
        <w:t xml:space="preserve">, L. A. (2015). Assessment of tree carbon stock in the </w:t>
      </w:r>
      <w:proofErr w:type="spellStart"/>
      <w:r w:rsidRPr="009967A5">
        <w:rPr>
          <w:rFonts w:ascii="Arial" w:hAnsi="Arial" w:cs="Arial"/>
        </w:rPr>
        <w:t>Kalrayan</w:t>
      </w:r>
      <w:proofErr w:type="spellEnd"/>
      <w:r w:rsidRPr="009967A5">
        <w:rPr>
          <w:rFonts w:ascii="Arial" w:hAnsi="Arial" w:cs="Arial"/>
        </w:rPr>
        <w:t xml:space="preserve"> hills of the Eastern Ghats, India. </w:t>
      </w:r>
      <w:proofErr w:type="spellStart"/>
      <w:r w:rsidRPr="009967A5">
        <w:rPr>
          <w:rFonts w:ascii="Arial" w:hAnsi="Arial" w:cs="Arial"/>
        </w:rPr>
        <w:t>Walailak</w:t>
      </w:r>
      <w:proofErr w:type="spellEnd"/>
      <w:r w:rsidRPr="009967A5">
        <w:rPr>
          <w:rFonts w:ascii="Arial" w:hAnsi="Arial" w:cs="Arial"/>
        </w:rPr>
        <w:t xml:space="preserve"> Journal of Science and Technology (WJST), 12(8), 659-670.</w:t>
      </w:r>
    </w:p>
    <w:p w14:paraId="7DDDA294" w14:textId="77777777" w:rsidR="009967A5" w:rsidRPr="009967A5" w:rsidRDefault="009967A5" w:rsidP="009967A5">
      <w:pPr>
        <w:pStyle w:val="ListParagraph"/>
        <w:numPr>
          <w:ilvl w:val="0"/>
          <w:numId w:val="32"/>
        </w:numPr>
        <w:ind w:left="851" w:hanging="567"/>
        <w:jc w:val="both"/>
        <w:rPr>
          <w:rFonts w:ascii="Arial" w:hAnsi="Arial" w:cs="Arial"/>
        </w:rPr>
      </w:pPr>
      <w:proofErr w:type="spellStart"/>
      <w:r w:rsidRPr="009967A5">
        <w:rPr>
          <w:rFonts w:ascii="Arial" w:hAnsi="Arial" w:cs="Arial"/>
        </w:rPr>
        <w:t>Pragasan</w:t>
      </w:r>
      <w:proofErr w:type="spellEnd"/>
      <w:r w:rsidRPr="009967A5">
        <w:rPr>
          <w:rFonts w:ascii="Arial" w:hAnsi="Arial" w:cs="Arial"/>
        </w:rPr>
        <w:t>, L. A., &amp; Kalaiselvi, M. (2024). Carbon stock potential of coconut plantations in university campus: A case study from Coimbatore, India. Asian Journal of Research in Agriculture and Forestry, 10(2), 140-146.</w:t>
      </w:r>
    </w:p>
    <w:p w14:paraId="3AB2FAC8" w14:textId="77777777" w:rsidR="009967A5" w:rsidRPr="009967A5" w:rsidRDefault="009967A5" w:rsidP="009967A5">
      <w:pPr>
        <w:pStyle w:val="ListParagraph"/>
        <w:numPr>
          <w:ilvl w:val="0"/>
          <w:numId w:val="32"/>
        </w:numPr>
        <w:ind w:left="851" w:hanging="567"/>
        <w:jc w:val="both"/>
        <w:rPr>
          <w:rFonts w:ascii="Arial" w:hAnsi="Arial" w:cs="Arial"/>
        </w:rPr>
      </w:pPr>
      <w:proofErr w:type="spellStart"/>
      <w:r w:rsidRPr="009967A5">
        <w:rPr>
          <w:rFonts w:ascii="Arial" w:hAnsi="Arial" w:cs="Arial"/>
        </w:rPr>
        <w:t>Pragasan</w:t>
      </w:r>
      <w:proofErr w:type="spellEnd"/>
      <w:r w:rsidRPr="009967A5">
        <w:rPr>
          <w:rFonts w:ascii="Arial" w:hAnsi="Arial" w:cs="Arial"/>
        </w:rPr>
        <w:t>, L. A., &amp; Karthick, A. (2013). Carbon stock sequestered by tree plantations in university campus at Coimbatore, India. International Journal of Environmental Sciences, 3(5), 1700-1710.</w:t>
      </w:r>
    </w:p>
    <w:p w14:paraId="7F4B9D99" w14:textId="77777777" w:rsidR="009967A5" w:rsidRPr="009967A5" w:rsidRDefault="009967A5" w:rsidP="009967A5">
      <w:pPr>
        <w:pStyle w:val="ListParagraph"/>
        <w:numPr>
          <w:ilvl w:val="0"/>
          <w:numId w:val="32"/>
        </w:numPr>
        <w:ind w:left="851" w:hanging="567"/>
        <w:jc w:val="both"/>
        <w:rPr>
          <w:rFonts w:ascii="Arial" w:hAnsi="Arial" w:cs="Arial"/>
        </w:rPr>
      </w:pPr>
      <w:proofErr w:type="spellStart"/>
      <w:r w:rsidRPr="009967A5">
        <w:rPr>
          <w:rFonts w:ascii="Arial" w:hAnsi="Arial" w:cs="Arial"/>
        </w:rPr>
        <w:t>Pragasan</w:t>
      </w:r>
      <w:proofErr w:type="spellEnd"/>
      <w:r w:rsidRPr="009967A5">
        <w:rPr>
          <w:rFonts w:ascii="Arial" w:hAnsi="Arial" w:cs="Arial"/>
        </w:rPr>
        <w:t>, L. A., Kumar, K. M., &amp; Karthika, T. A. (2025). Tree carbon stock dynamics of riparian forests from the Western Ghats, India. Ecological Frontiers. DOI:  http://dx.doi.org/10.1016/j.ecofro.2025.02.002.</w:t>
      </w:r>
    </w:p>
    <w:p w14:paraId="12E9F9B6" w14:textId="77777777" w:rsidR="009967A5" w:rsidRPr="009967A5" w:rsidRDefault="009967A5" w:rsidP="009967A5">
      <w:pPr>
        <w:pStyle w:val="ListParagraph"/>
        <w:numPr>
          <w:ilvl w:val="0"/>
          <w:numId w:val="32"/>
        </w:numPr>
        <w:ind w:left="851" w:hanging="567"/>
        <w:jc w:val="both"/>
        <w:rPr>
          <w:rFonts w:ascii="Arial" w:hAnsi="Arial" w:cs="Arial"/>
        </w:rPr>
      </w:pPr>
      <w:r w:rsidRPr="009967A5">
        <w:rPr>
          <w:rFonts w:ascii="Arial" w:hAnsi="Arial" w:cs="Arial"/>
        </w:rPr>
        <w:t xml:space="preserve">Segura, M., &amp; </w:t>
      </w:r>
      <w:proofErr w:type="spellStart"/>
      <w:r w:rsidRPr="009967A5">
        <w:rPr>
          <w:rFonts w:ascii="Arial" w:hAnsi="Arial" w:cs="Arial"/>
        </w:rPr>
        <w:t>Kanninen</w:t>
      </w:r>
      <w:proofErr w:type="spellEnd"/>
      <w:r w:rsidRPr="009967A5">
        <w:rPr>
          <w:rFonts w:ascii="Arial" w:hAnsi="Arial" w:cs="Arial"/>
        </w:rPr>
        <w:t xml:space="preserve">, M. (2005). Allometric models for tree volume and total aboveground biomass in a tropical humid forest in Costa Rica 1. </w:t>
      </w:r>
      <w:proofErr w:type="spellStart"/>
      <w:r w:rsidRPr="009967A5">
        <w:rPr>
          <w:rFonts w:ascii="Arial" w:hAnsi="Arial" w:cs="Arial"/>
        </w:rPr>
        <w:t>Biotropica</w:t>
      </w:r>
      <w:proofErr w:type="spellEnd"/>
      <w:r w:rsidRPr="009967A5">
        <w:rPr>
          <w:rFonts w:ascii="Arial" w:hAnsi="Arial" w:cs="Arial"/>
        </w:rPr>
        <w:t>: The Journal of Biology and Conservation, 37(1), 2-8.</w:t>
      </w:r>
    </w:p>
    <w:p w14:paraId="351D69CC" w14:textId="77777777" w:rsidR="009967A5" w:rsidRPr="009967A5" w:rsidRDefault="009967A5" w:rsidP="009967A5">
      <w:pPr>
        <w:pStyle w:val="ListParagraph"/>
        <w:numPr>
          <w:ilvl w:val="0"/>
          <w:numId w:val="32"/>
        </w:numPr>
        <w:ind w:left="851" w:hanging="567"/>
        <w:jc w:val="both"/>
        <w:rPr>
          <w:rFonts w:ascii="Arial" w:hAnsi="Arial" w:cs="Arial"/>
        </w:rPr>
      </w:pPr>
      <w:r w:rsidRPr="009967A5">
        <w:rPr>
          <w:rFonts w:ascii="Arial" w:hAnsi="Arial" w:cs="Arial"/>
        </w:rPr>
        <w:t xml:space="preserve">Singh, A. K., &amp; Karun, A. (2022). Research perspectives on Coconut, </w:t>
      </w:r>
      <w:proofErr w:type="spellStart"/>
      <w:r w:rsidRPr="009967A5">
        <w:rPr>
          <w:rFonts w:ascii="Arial" w:hAnsi="Arial" w:cs="Arial"/>
        </w:rPr>
        <w:t>Arecanut</w:t>
      </w:r>
      <w:proofErr w:type="spellEnd"/>
      <w:r w:rsidRPr="009967A5">
        <w:rPr>
          <w:rFonts w:ascii="Arial" w:hAnsi="Arial" w:cs="Arial"/>
        </w:rPr>
        <w:t xml:space="preserve"> and Cocoa. Indian Horticulture, 67(6), 05-11.</w:t>
      </w:r>
    </w:p>
    <w:p w14:paraId="4470972B" w14:textId="77777777" w:rsidR="009967A5" w:rsidRPr="009967A5" w:rsidRDefault="009967A5" w:rsidP="009967A5">
      <w:pPr>
        <w:pStyle w:val="ListParagraph"/>
        <w:numPr>
          <w:ilvl w:val="0"/>
          <w:numId w:val="32"/>
        </w:numPr>
        <w:ind w:left="851" w:hanging="567"/>
        <w:jc w:val="both"/>
        <w:rPr>
          <w:rFonts w:ascii="Arial" w:hAnsi="Arial" w:cs="Arial"/>
        </w:rPr>
      </w:pPr>
      <w:r w:rsidRPr="009967A5">
        <w:rPr>
          <w:rFonts w:ascii="Arial" w:hAnsi="Arial" w:cs="Arial"/>
        </w:rPr>
        <w:t xml:space="preserve">Sujatha, S., &amp; Bhat, R. (2015). Resource use and benefits of mixed farming approach in </w:t>
      </w:r>
      <w:proofErr w:type="spellStart"/>
      <w:r w:rsidRPr="009967A5">
        <w:rPr>
          <w:rFonts w:ascii="Arial" w:hAnsi="Arial" w:cs="Arial"/>
        </w:rPr>
        <w:t>arecanut</w:t>
      </w:r>
      <w:proofErr w:type="spellEnd"/>
      <w:r w:rsidRPr="009967A5">
        <w:rPr>
          <w:rFonts w:ascii="Arial" w:hAnsi="Arial" w:cs="Arial"/>
        </w:rPr>
        <w:t xml:space="preserve"> ecosystem in India. Agricultural Systems, 141, 126-137.</w:t>
      </w:r>
    </w:p>
    <w:p w14:paraId="2E642137" w14:textId="77777777" w:rsidR="009967A5" w:rsidRPr="009967A5" w:rsidRDefault="009967A5" w:rsidP="009967A5">
      <w:pPr>
        <w:pStyle w:val="ListParagraph"/>
        <w:numPr>
          <w:ilvl w:val="0"/>
          <w:numId w:val="32"/>
        </w:numPr>
        <w:ind w:left="851" w:hanging="567"/>
        <w:jc w:val="both"/>
        <w:rPr>
          <w:rFonts w:ascii="Arial" w:hAnsi="Arial" w:cs="Arial"/>
        </w:rPr>
      </w:pPr>
      <w:r w:rsidRPr="009967A5">
        <w:rPr>
          <w:rFonts w:ascii="Arial" w:hAnsi="Arial" w:cs="Arial"/>
        </w:rPr>
        <w:t xml:space="preserve">Timilsina, N., Escobedo, F. J., </w:t>
      </w:r>
      <w:proofErr w:type="spellStart"/>
      <w:r w:rsidRPr="009967A5">
        <w:rPr>
          <w:rFonts w:ascii="Arial" w:hAnsi="Arial" w:cs="Arial"/>
        </w:rPr>
        <w:t>Staudhammer</w:t>
      </w:r>
      <w:proofErr w:type="spellEnd"/>
      <w:r w:rsidRPr="009967A5">
        <w:rPr>
          <w:rFonts w:ascii="Arial" w:hAnsi="Arial" w:cs="Arial"/>
        </w:rPr>
        <w:t>, C. L., &amp; Brandeis, T. (2014). Analyzing the causal factors of carbon stores in a subtropical urban forest. Ecological Complexity, 20, 23-32.</w:t>
      </w:r>
    </w:p>
    <w:p w14:paraId="525B1797" w14:textId="77777777" w:rsidR="009967A5" w:rsidRPr="009967A5" w:rsidRDefault="009967A5" w:rsidP="009967A5">
      <w:pPr>
        <w:pStyle w:val="ListParagraph"/>
        <w:numPr>
          <w:ilvl w:val="0"/>
          <w:numId w:val="32"/>
        </w:numPr>
        <w:ind w:left="851" w:hanging="567"/>
        <w:jc w:val="both"/>
        <w:rPr>
          <w:rFonts w:ascii="Arial" w:hAnsi="Arial" w:cs="Arial"/>
        </w:rPr>
      </w:pPr>
      <w:r w:rsidRPr="009967A5">
        <w:rPr>
          <w:rFonts w:ascii="Arial" w:hAnsi="Arial" w:cs="Arial"/>
        </w:rPr>
        <w:t xml:space="preserve">UNFCCC. (1997). The Kyoto Protocol to the convention on climate change. United Nations Framework Convention on Climate Change. </w:t>
      </w:r>
    </w:p>
    <w:p w14:paraId="0BA4E92E" w14:textId="77777777" w:rsidR="00B01FCD" w:rsidRDefault="00B01FCD" w:rsidP="00441B6F">
      <w:pPr>
        <w:pStyle w:val="Appendix"/>
        <w:spacing w:after="0"/>
        <w:jc w:val="both"/>
        <w:rPr>
          <w:rFonts w:ascii="Arial" w:hAnsi="Arial" w:cs="Arial"/>
          <w:b w:val="0"/>
          <w:sz w:val="20"/>
        </w:rPr>
      </w:pPr>
    </w:p>
    <w:p w14:paraId="50923DB6" w14:textId="77777777" w:rsidR="008D6AD9" w:rsidRPr="008D6AD9" w:rsidRDefault="008D6AD9" w:rsidP="00441B6F">
      <w:pPr>
        <w:pStyle w:val="Appendix"/>
        <w:spacing w:after="0"/>
        <w:jc w:val="both"/>
        <w:rPr>
          <w:rFonts w:ascii="Arial" w:hAnsi="Arial" w:cs="Arial"/>
          <w:b w:val="0"/>
          <w:sz w:val="20"/>
        </w:rPr>
      </w:pPr>
    </w:p>
    <w:sectPr w:rsidR="008D6AD9" w:rsidRPr="008D6AD9" w:rsidSect="00A41FA8">
      <w:headerReference w:type="even" r:id="rId20"/>
      <w:headerReference w:type="default" r:id="rId21"/>
      <w:footerReference w:type="default" r:id="rId22"/>
      <w:headerReference w:type="first" r:id="rId23"/>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89CD61" w14:textId="77777777" w:rsidR="00307035" w:rsidRDefault="00307035" w:rsidP="00C37E61">
      <w:r>
        <w:separator/>
      </w:r>
    </w:p>
  </w:endnote>
  <w:endnote w:type="continuationSeparator" w:id="0">
    <w:p w14:paraId="38C094AA" w14:textId="77777777" w:rsidR="00307035" w:rsidRDefault="00307035"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4B5CBD" w14:textId="77777777" w:rsidR="00A2205D" w:rsidRDefault="00A220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1AD80" w14:textId="77777777" w:rsidR="00A2205D" w:rsidRDefault="00A220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3D756" w14:textId="77777777" w:rsidR="00166977" w:rsidRDefault="00166977">
    <w:pPr>
      <w:pStyle w:val="Footer"/>
      <w:rPr>
        <w:rFonts w:ascii="Arial" w:hAnsi="Arial" w:cs="Arial"/>
        <w:sz w:val="16"/>
      </w:rPr>
    </w:pPr>
  </w:p>
  <w:p w14:paraId="07E8C0EF" w14:textId="77777777" w:rsidR="00166977" w:rsidRDefault="00166977" w:rsidP="009E048A">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073E3744" w14:textId="77777777" w:rsidR="00166977" w:rsidRDefault="00166977">
    <w:pPr>
      <w:pStyle w:val="Footer"/>
      <w:rPr>
        <w:rFonts w:ascii="Arial" w:hAnsi="Arial" w:cs="Arial"/>
        <w:sz w:val="16"/>
      </w:rPr>
    </w:pPr>
  </w:p>
  <w:p w14:paraId="78DAE625" w14:textId="77777777" w:rsidR="00166977" w:rsidRPr="009E048A" w:rsidRDefault="00166977">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5935E6" w14:textId="77777777" w:rsidR="00166977" w:rsidRPr="00C37E61" w:rsidRDefault="00166977"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D8059F" w14:textId="77777777" w:rsidR="00307035" w:rsidRDefault="00307035" w:rsidP="00C37E61">
      <w:r>
        <w:separator/>
      </w:r>
    </w:p>
  </w:footnote>
  <w:footnote w:type="continuationSeparator" w:id="0">
    <w:p w14:paraId="1DD777AA" w14:textId="77777777" w:rsidR="00307035" w:rsidRDefault="00307035"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DB4B68" w14:textId="37C5834B" w:rsidR="00A2205D" w:rsidRDefault="00A2205D">
    <w:pPr>
      <w:pStyle w:val="Header"/>
    </w:pPr>
    <w:r>
      <w:rPr>
        <w:noProof/>
      </w:rPr>
      <w:pict w14:anchorId="1BFF9A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8327594" o:spid="_x0000_s2050"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460701" w14:textId="433712E8" w:rsidR="00A2205D" w:rsidRDefault="00A2205D">
    <w:pPr>
      <w:pStyle w:val="Header"/>
    </w:pPr>
    <w:r>
      <w:rPr>
        <w:noProof/>
      </w:rPr>
      <w:pict w14:anchorId="5D87F1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8327595" o:spid="_x0000_s2051"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4840CB" w14:textId="554EABF6" w:rsidR="00166977" w:rsidRPr="00296529" w:rsidRDefault="00A2205D" w:rsidP="00296529">
    <w:pPr>
      <w:ind w:left="2160"/>
      <w:jc w:val="center"/>
      <w:rPr>
        <w:rFonts w:ascii="Times New Roman" w:eastAsia="Calibri" w:hAnsi="Times New Roman"/>
        <w:i/>
        <w:sz w:val="18"/>
        <w:szCs w:val="22"/>
      </w:rPr>
    </w:pPr>
    <w:r>
      <w:rPr>
        <w:noProof/>
      </w:rPr>
      <w:pict w14:anchorId="667C9A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8327593" o:spid="_x0000_s2049"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01EA66F2" w14:textId="77777777" w:rsidR="00166977" w:rsidRPr="00296529" w:rsidRDefault="00166977"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187BF210" w14:textId="77777777" w:rsidR="00166977" w:rsidRPr="00296529" w:rsidRDefault="00166977" w:rsidP="00296529">
    <w:pPr>
      <w:jc w:val="center"/>
      <w:rPr>
        <w:rFonts w:ascii="Times New Roman" w:eastAsia="Calibri" w:hAnsi="Times New Roman"/>
        <w:i/>
        <w:sz w:val="18"/>
        <w:szCs w:val="22"/>
      </w:rPr>
    </w:pPr>
    <w:r>
      <w:rPr>
        <w:rFonts w:ascii="Times New Roman" w:eastAsia="Calibri" w:hAnsi="Times New Roman"/>
        <w:i/>
        <w:sz w:val="18"/>
        <w:szCs w:val="22"/>
      </w:rPr>
      <w:t>.</w:t>
    </w:r>
  </w:p>
  <w:p w14:paraId="6602005E" w14:textId="77777777" w:rsidR="00166977" w:rsidRPr="00296529" w:rsidRDefault="00166977"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75D4FB99" w14:textId="77777777" w:rsidR="00166977" w:rsidRDefault="00166977"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06C51A8A" w14:textId="77777777" w:rsidR="00166977" w:rsidRDefault="00166977"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5297E0A5" w14:textId="77777777" w:rsidR="00166977" w:rsidRDefault="00166977">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B3316C" w14:textId="6BAC292E" w:rsidR="00A2205D" w:rsidRDefault="00A2205D">
    <w:pPr>
      <w:pStyle w:val="Header"/>
    </w:pPr>
    <w:r>
      <w:rPr>
        <w:noProof/>
      </w:rPr>
      <w:pict w14:anchorId="1A8B43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8327597" o:spid="_x0000_s2053"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8B579C" w14:textId="7C096813" w:rsidR="00A2205D" w:rsidRDefault="00A2205D">
    <w:pPr>
      <w:pStyle w:val="Header"/>
    </w:pPr>
    <w:r>
      <w:rPr>
        <w:noProof/>
      </w:rPr>
      <w:pict w14:anchorId="4BB1B8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8327598" o:spid="_x0000_s2054"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79200A" w14:textId="364E7A84" w:rsidR="00A2205D" w:rsidRDefault="00A2205D">
    <w:pPr>
      <w:pStyle w:val="Header"/>
    </w:pPr>
    <w:r>
      <w:rPr>
        <w:noProof/>
      </w:rPr>
      <w:pict w14:anchorId="38692F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8327596" o:spid="_x0000_s2052"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AD08D6"/>
    <w:multiLevelType w:val="hybridMultilevel"/>
    <w:tmpl w:val="649C4784"/>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75D7CEA"/>
    <w:multiLevelType w:val="hybridMultilevel"/>
    <w:tmpl w:val="CBD2AC2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8"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2"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4"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6"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7"/>
  </w:num>
  <w:num w:numId="3">
    <w:abstractNumId w:val="25"/>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7"/>
  </w:num>
  <w:num w:numId="10">
    <w:abstractNumId w:val="2"/>
  </w:num>
  <w:num w:numId="11">
    <w:abstractNumId w:val="20"/>
  </w:num>
  <w:num w:numId="12">
    <w:abstractNumId w:val="3"/>
  </w:num>
  <w:num w:numId="13">
    <w:abstractNumId w:val="19"/>
  </w:num>
  <w:num w:numId="14">
    <w:abstractNumId w:val="8"/>
  </w:num>
  <w:num w:numId="15">
    <w:abstractNumId w:val="23"/>
  </w:num>
  <w:num w:numId="16">
    <w:abstractNumId w:val="5"/>
  </w:num>
  <w:num w:numId="17">
    <w:abstractNumId w:val="24"/>
  </w:num>
  <w:num w:numId="18">
    <w:abstractNumId w:val="15"/>
  </w:num>
  <w:num w:numId="19">
    <w:abstractNumId w:val="30"/>
  </w:num>
  <w:num w:numId="20">
    <w:abstractNumId w:val="11"/>
  </w:num>
  <w:num w:numId="21">
    <w:abstractNumId w:val="9"/>
  </w:num>
  <w:num w:numId="22">
    <w:abstractNumId w:val="14"/>
  </w:num>
  <w:num w:numId="23">
    <w:abstractNumId w:val="21"/>
  </w:num>
  <w:num w:numId="24">
    <w:abstractNumId w:val="28"/>
  </w:num>
  <w:num w:numId="25">
    <w:abstractNumId w:val="4"/>
  </w:num>
  <w:num w:numId="26">
    <w:abstractNumId w:val="18"/>
  </w:num>
  <w:num w:numId="27">
    <w:abstractNumId w:val="22"/>
  </w:num>
  <w:num w:numId="28">
    <w:abstractNumId w:val="29"/>
  </w:num>
  <w:num w:numId="29">
    <w:abstractNumId w:val="26"/>
  </w:num>
  <w:num w:numId="30">
    <w:abstractNumId w:val="10"/>
  </w:num>
  <w:num w:numId="31">
    <w:abstractNumId w:val="16"/>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124C5"/>
    <w:rsid w:val="00030174"/>
    <w:rsid w:val="0004579C"/>
    <w:rsid w:val="000A47FA"/>
    <w:rsid w:val="000A65D3"/>
    <w:rsid w:val="000B1E33"/>
    <w:rsid w:val="000D689F"/>
    <w:rsid w:val="000E7B7B"/>
    <w:rsid w:val="000E7D62"/>
    <w:rsid w:val="00103357"/>
    <w:rsid w:val="00123C9F"/>
    <w:rsid w:val="00126190"/>
    <w:rsid w:val="00130F17"/>
    <w:rsid w:val="001320BF"/>
    <w:rsid w:val="00133B5E"/>
    <w:rsid w:val="00163BC4"/>
    <w:rsid w:val="00166977"/>
    <w:rsid w:val="00177BDC"/>
    <w:rsid w:val="00191062"/>
    <w:rsid w:val="00192B72"/>
    <w:rsid w:val="001A29D8"/>
    <w:rsid w:val="001A5CAA"/>
    <w:rsid w:val="001B0427"/>
    <w:rsid w:val="001D3A51"/>
    <w:rsid w:val="001E10D2"/>
    <w:rsid w:val="001E25B4"/>
    <w:rsid w:val="001E44FE"/>
    <w:rsid w:val="00200436"/>
    <w:rsid w:val="00200595"/>
    <w:rsid w:val="00204835"/>
    <w:rsid w:val="002213ED"/>
    <w:rsid w:val="00231920"/>
    <w:rsid w:val="0023195C"/>
    <w:rsid w:val="0024282C"/>
    <w:rsid w:val="002460DC"/>
    <w:rsid w:val="00250985"/>
    <w:rsid w:val="002556F6"/>
    <w:rsid w:val="00283105"/>
    <w:rsid w:val="00284C4C"/>
    <w:rsid w:val="00287E68"/>
    <w:rsid w:val="00296529"/>
    <w:rsid w:val="002B27FB"/>
    <w:rsid w:val="002B685A"/>
    <w:rsid w:val="002C57D2"/>
    <w:rsid w:val="002E0D56"/>
    <w:rsid w:val="00307035"/>
    <w:rsid w:val="00315186"/>
    <w:rsid w:val="0033343E"/>
    <w:rsid w:val="00337651"/>
    <w:rsid w:val="003512C2"/>
    <w:rsid w:val="00371FB6"/>
    <w:rsid w:val="003763C1"/>
    <w:rsid w:val="00376BBE"/>
    <w:rsid w:val="0039224F"/>
    <w:rsid w:val="003A08E6"/>
    <w:rsid w:val="003A43A4"/>
    <w:rsid w:val="003A7E18"/>
    <w:rsid w:val="003C4C86"/>
    <w:rsid w:val="003C6258"/>
    <w:rsid w:val="003E2904"/>
    <w:rsid w:val="00401927"/>
    <w:rsid w:val="0041027F"/>
    <w:rsid w:val="00412475"/>
    <w:rsid w:val="00423789"/>
    <w:rsid w:val="004346CB"/>
    <w:rsid w:val="00440F43"/>
    <w:rsid w:val="00441B6F"/>
    <w:rsid w:val="00446221"/>
    <w:rsid w:val="00450E62"/>
    <w:rsid w:val="004539DB"/>
    <w:rsid w:val="00471A80"/>
    <w:rsid w:val="00490639"/>
    <w:rsid w:val="004D305E"/>
    <w:rsid w:val="004D4277"/>
    <w:rsid w:val="00502516"/>
    <w:rsid w:val="00505F06"/>
    <w:rsid w:val="00506828"/>
    <w:rsid w:val="00510120"/>
    <w:rsid w:val="0053056E"/>
    <w:rsid w:val="00553898"/>
    <w:rsid w:val="00554FDA"/>
    <w:rsid w:val="005C784C"/>
    <w:rsid w:val="005D17F6"/>
    <w:rsid w:val="005E3068"/>
    <w:rsid w:val="005E5539"/>
    <w:rsid w:val="00602BF5"/>
    <w:rsid w:val="00617FDD"/>
    <w:rsid w:val="00633614"/>
    <w:rsid w:val="00633F68"/>
    <w:rsid w:val="00636EB2"/>
    <w:rsid w:val="006375B8"/>
    <w:rsid w:val="006475B6"/>
    <w:rsid w:val="0066510A"/>
    <w:rsid w:val="00673F9F"/>
    <w:rsid w:val="00686953"/>
    <w:rsid w:val="00687DEA"/>
    <w:rsid w:val="00687E67"/>
    <w:rsid w:val="006967F7"/>
    <w:rsid w:val="006A250C"/>
    <w:rsid w:val="006B21D3"/>
    <w:rsid w:val="006B57D0"/>
    <w:rsid w:val="006D30FF"/>
    <w:rsid w:val="006D6940"/>
    <w:rsid w:val="006F0C95"/>
    <w:rsid w:val="006F11EC"/>
    <w:rsid w:val="0070082C"/>
    <w:rsid w:val="007369E6"/>
    <w:rsid w:val="00746E59"/>
    <w:rsid w:val="00754C9A"/>
    <w:rsid w:val="0075599A"/>
    <w:rsid w:val="00761D52"/>
    <w:rsid w:val="0077749E"/>
    <w:rsid w:val="00790ADA"/>
    <w:rsid w:val="007D2288"/>
    <w:rsid w:val="007E088F"/>
    <w:rsid w:val="007F7B32"/>
    <w:rsid w:val="00804BC2"/>
    <w:rsid w:val="0081431A"/>
    <w:rsid w:val="0083216F"/>
    <w:rsid w:val="00860000"/>
    <w:rsid w:val="00863BD3"/>
    <w:rsid w:val="008641ED"/>
    <w:rsid w:val="00866D66"/>
    <w:rsid w:val="008671C6"/>
    <w:rsid w:val="00875803"/>
    <w:rsid w:val="00884C12"/>
    <w:rsid w:val="008B459E"/>
    <w:rsid w:val="008D6AD9"/>
    <w:rsid w:val="008E13AE"/>
    <w:rsid w:val="008E1506"/>
    <w:rsid w:val="008E710C"/>
    <w:rsid w:val="008F69D6"/>
    <w:rsid w:val="00902823"/>
    <w:rsid w:val="00915CA6"/>
    <w:rsid w:val="0092776B"/>
    <w:rsid w:val="00927834"/>
    <w:rsid w:val="009500A6"/>
    <w:rsid w:val="00957C18"/>
    <w:rsid w:val="009641E3"/>
    <w:rsid w:val="009659BA"/>
    <w:rsid w:val="00983040"/>
    <w:rsid w:val="00983DE4"/>
    <w:rsid w:val="00985268"/>
    <w:rsid w:val="009967A5"/>
    <w:rsid w:val="009B3FB9"/>
    <w:rsid w:val="009C2465"/>
    <w:rsid w:val="009C6156"/>
    <w:rsid w:val="009D35A0"/>
    <w:rsid w:val="009D605F"/>
    <w:rsid w:val="009D736E"/>
    <w:rsid w:val="009D7EB7"/>
    <w:rsid w:val="009E048A"/>
    <w:rsid w:val="009E08E9"/>
    <w:rsid w:val="009E3DB9"/>
    <w:rsid w:val="009E6E35"/>
    <w:rsid w:val="009F0EDA"/>
    <w:rsid w:val="00A03B96"/>
    <w:rsid w:val="00A05B19"/>
    <w:rsid w:val="00A1134E"/>
    <w:rsid w:val="00A2205D"/>
    <w:rsid w:val="00A24E7E"/>
    <w:rsid w:val="00A258C3"/>
    <w:rsid w:val="00A347C0"/>
    <w:rsid w:val="00A41FA8"/>
    <w:rsid w:val="00A51431"/>
    <w:rsid w:val="00A539AD"/>
    <w:rsid w:val="00A94063"/>
    <w:rsid w:val="00AA6219"/>
    <w:rsid w:val="00AA74E0"/>
    <w:rsid w:val="00AB703F"/>
    <w:rsid w:val="00AC6BB8"/>
    <w:rsid w:val="00AE008F"/>
    <w:rsid w:val="00B01FCD"/>
    <w:rsid w:val="00B1776C"/>
    <w:rsid w:val="00B52583"/>
    <w:rsid w:val="00B52896"/>
    <w:rsid w:val="00B54E8A"/>
    <w:rsid w:val="00B65616"/>
    <w:rsid w:val="00B95236"/>
    <w:rsid w:val="00B96BD9"/>
    <w:rsid w:val="00BA1B01"/>
    <w:rsid w:val="00BA2641"/>
    <w:rsid w:val="00BB37AA"/>
    <w:rsid w:val="00BC53A0"/>
    <w:rsid w:val="00BD313F"/>
    <w:rsid w:val="00BE62AD"/>
    <w:rsid w:val="00BF121F"/>
    <w:rsid w:val="00BF1F80"/>
    <w:rsid w:val="00C166EF"/>
    <w:rsid w:val="00C17EB0"/>
    <w:rsid w:val="00C27F5F"/>
    <w:rsid w:val="00C30A0F"/>
    <w:rsid w:val="00C37E61"/>
    <w:rsid w:val="00C453F1"/>
    <w:rsid w:val="00C70F1B"/>
    <w:rsid w:val="00C71A47"/>
    <w:rsid w:val="00C7464C"/>
    <w:rsid w:val="00C85588"/>
    <w:rsid w:val="00CC4DAB"/>
    <w:rsid w:val="00CD6755"/>
    <w:rsid w:val="00CD6856"/>
    <w:rsid w:val="00CE0089"/>
    <w:rsid w:val="00CE793C"/>
    <w:rsid w:val="00CF193C"/>
    <w:rsid w:val="00D173F1"/>
    <w:rsid w:val="00D74CB0"/>
    <w:rsid w:val="00D8295D"/>
    <w:rsid w:val="00DC2A65"/>
    <w:rsid w:val="00DD5770"/>
    <w:rsid w:val="00DE15F0"/>
    <w:rsid w:val="00DE5663"/>
    <w:rsid w:val="00DE78AA"/>
    <w:rsid w:val="00E053D0"/>
    <w:rsid w:val="00E15994"/>
    <w:rsid w:val="00E20584"/>
    <w:rsid w:val="00E3114E"/>
    <w:rsid w:val="00E31852"/>
    <w:rsid w:val="00E31A70"/>
    <w:rsid w:val="00E35B02"/>
    <w:rsid w:val="00E65D92"/>
    <w:rsid w:val="00E66496"/>
    <w:rsid w:val="00E66B35"/>
    <w:rsid w:val="00E66E10"/>
    <w:rsid w:val="00E769F6"/>
    <w:rsid w:val="00E8407C"/>
    <w:rsid w:val="00E84F3C"/>
    <w:rsid w:val="00EA012C"/>
    <w:rsid w:val="00EC6A55"/>
    <w:rsid w:val="00ED0288"/>
    <w:rsid w:val="00EE52CB"/>
    <w:rsid w:val="00EF581D"/>
    <w:rsid w:val="00EF7FD8"/>
    <w:rsid w:val="00F06F59"/>
    <w:rsid w:val="00F17988"/>
    <w:rsid w:val="00F469F0"/>
    <w:rsid w:val="00F53273"/>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72CEEEBB"/>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customStyle="1" w:styleId="Default">
    <w:name w:val="Default"/>
    <w:rsid w:val="006475B6"/>
    <w:pPr>
      <w:autoSpaceDE w:val="0"/>
      <w:autoSpaceDN w:val="0"/>
      <w:adjustRightInd w:val="0"/>
    </w:pPr>
    <w:rPr>
      <w:rFonts w:eastAsiaTheme="minorEastAsia"/>
      <w:color w:val="000000"/>
      <w:sz w:val="24"/>
      <w:szCs w:val="24"/>
      <w:lang w:val="en-IN" w:eastAsia="en-IN"/>
    </w:rPr>
  </w:style>
  <w:style w:type="paragraph" w:styleId="ListParagraph">
    <w:name w:val="List Paragraph"/>
    <w:basedOn w:val="Normal"/>
    <w:uiPriority w:val="34"/>
    <w:qFormat/>
    <w:rsid w:val="008D6AD9"/>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hart" Target="charts/chart4.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hart" Target="charts/chart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header" Target="header6.xml"/><Relationship Id="rId10" Type="http://schemas.openxmlformats.org/officeDocument/2006/relationships/footer" Target="footer1.xml"/><Relationship Id="rId19" Type="http://schemas.openxmlformats.org/officeDocument/2006/relationships/chart" Target="charts/chart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F:\3.M.Sc\1.M.Sc.%20Projects\2025-2\2.Sidharth%20Madhu_23ENVA20\Data\Analysi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F:\3.M.Sc\1.M.Sc.%20Projects\2025-2\2.Sidharth%20Madhu_23ENVA20\Data\Analysi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F:\3.M.Sc\1.M.Sc.%20Projects\2025-2\2.Sidharth%20Madhu_23ENVA20\Data\Analysi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F:\8.PUBLICATIONS\1.PAPER%20WORK\1.WRITING\1.Arecanut%20carbon\Data\Analysis.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F:\8.PUBLICATIONS\1.PAPER%20WORK\1.WRITING\1.Arecanut%20carbon\Data\Analysis.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1" vertOverflow="ellipsis" vert="horz" wrap="square" anchor="ctr" anchorCtr="1"/>
          <a:lstStyle/>
          <a:p>
            <a:pPr>
              <a:defRPr sz="192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IN"/>
              <a:t>Density </a:t>
            </a:r>
          </a:p>
        </c:rich>
      </c:tx>
      <c:layout>
        <c:manualLayout>
          <c:xMode val="edge"/>
          <c:yMode val="edge"/>
          <c:x val="0.46493024375232955"/>
          <c:y val="2.5227231306398132E-2"/>
        </c:manualLayout>
      </c:layout>
      <c:overlay val="0"/>
      <c:spPr>
        <a:noFill/>
        <a:ln>
          <a:noFill/>
        </a:ln>
        <a:effectLst/>
      </c:spPr>
      <c:txPr>
        <a:bodyPr rot="0" spcFirstLastPara="1" vertOverflow="ellipsis" vert="horz" wrap="square" anchor="ctr" anchorCtr="1"/>
        <a:lstStyle/>
        <a:p>
          <a:pPr>
            <a:defRPr sz="192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0.23620166996669276"/>
          <c:y val="0.1417139718636915"/>
          <c:w val="0.74772988902702953"/>
          <c:h val="0.72712873478661388"/>
        </c:manualLayout>
      </c:layout>
      <c:barChart>
        <c:barDir val="col"/>
        <c:grouping val="clustered"/>
        <c:varyColors val="0"/>
        <c:ser>
          <c:idx val="0"/>
          <c:order val="0"/>
          <c:tx>
            <c:strRef>
              <c:f>Den!$D$5</c:f>
              <c:strCache>
                <c:ptCount val="1"/>
                <c:pt idx="0">
                  <c:v>Density</c:v>
                </c:pt>
              </c:strCache>
            </c:strRef>
          </c:tx>
          <c:spPr>
            <a:solidFill>
              <a:schemeClr val="accent2"/>
            </a:solidFill>
            <a:ln>
              <a:solidFill>
                <a:schemeClr val="tx1"/>
              </a:solidFill>
            </a:ln>
            <a:effectLst/>
          </c:spPr>
          <c:invertIfNegative val="0"/>
          <c:errBars>
            <c:errBarType val="both"/>
            <c:errValType val="cust"/>
            <c:noEndCap val="0"/>
            <c:plus>
              <c:numRef>
                <c:f>Den!$E$6:$F$6</c:f>
                <c:numCache>
                  <c:formatCode>General</c:formatCode>
                  <c:ptCount val="2"/>
                  <c:pt idx="0">
                    <c:v>12.853274550349687</c:v>
                  </c:pt>
                  <c:pt idx="1">
                    <c:v>9.4177138060854944</c:v>
                  </c:pt>
                </c:numCache>
              </c:numRef>
            </c:plus>
            <c:minus>
              <c:numRef>
                <c:f>Den!$E$6:$F$6</c:f>
                <c:numCache>
                  <c:formatCode>General</c:formatCode>
                  <c:ptCount val="2"/>
                  <c:pt idx="0">
                    <c:v>12.853274550349687</c:v>
                  </c:pt>
                  <c:pt idx="1">
                    <c:v>9.4177138060854944</c:v>
                  </c:pt>
                </c:numCache>
              </c:numRef>
            </c:minus>
            <c:spPr>
              <a:noFill/>
              <a:ln w="25400" cap="flat" cmpd="sng" algn="ctr">
                <a:solidFill>
                  <a:schemeClr val="tx1">
                    <a:lumMod val="65000"/>
                    <a:lumOff val="35000"/>
                  </a:schemeClr>
                </a:solidFill>
                <a:round/>
              </a:ln>
              <a:effectLst/>
            </c:spPr>
          </c:errBars>
          <c:cat>
            <c:strRef>
              <c:f>Den!$E$4:$F$4</c:f>
              <c:strCache>
                <c:ptCount val="2"/>
                <c:pt idx="0">
                  <c:v>Site 1</c:v>
                </c:pt>
                <c:pt idx="1">
                  <c:v>Site 2</c:v>
                </c:pt>
              </c:strCache>
            </c:strRef>
          </c:cat>
          <c:val>
            <c:numRef>
              <c:f>Den!$E$5:$F$5</c:f>
              <c:numCache>
                <c:formatCode>0.00</c:formatCode>
                <c:ptCount val="2"/>
                <c:pt idx="0">
                  <c:v>55.04</c:v>
                </c:pt>
                <c:pt idx="1">
                  <c:v>41.12</c:v>
                </c:pt>
              </c:numCache>
            </c:numRef>
          </c:val>
          <c:extLst>
            <c:ext xmlns:c16="http://schemas.microsoft.com/office/drawing/2014/chart" uri="{C3380CC4-5D6E-409C-BE32-E72D297353CC}">
              <c16:uniqueId val="{00000000-5855-4D2B-BDF2-BB82EB06DE28}"/>
            </c:ext>
          </c:extLst>
        </c:ser>
        <c:dLbls>
          <c:showLegendKey val="0"/>
          <c:showVal val="0"/>
          <c:showCatName val="0"/>
          <c:showSerName val="0"/>
          <c:showPercent val="0"/>
          <c:showBubbleSize val="0"/>
        </c:dLbls>
        <c:gapWidth val="219"/>
        <c:overlap val="-27"/>
        <c:axId val="370815992"/>
        <c:axId val="370811072"/>
      </c:barChart>
      <c:catAx>
        <c:axId val="370815992"/>
        <c:scaling>
          <c:orientation val="minMax"/>
        </c:scaling>
        <c:delete val="0"/>
        <c:axPos val="b"/>
        <c:numFmt formatCode="General" sourceLinked="1"/>
        <c:majorTickMark val="none"/>
        <c:minorTickMark val="none"/>
        <c:tickLblPos val="nextTo"/>
        <c:spPr>
          <a:noFill/>
          <a:ln w="12700" cap="flat" cmpd="sng" algn="ctr">
            <a:solidFill>
              <a:schemeClr val="tx1"/>
            </a:solidFill>
            <a:round/>
          </a:ln>
          <a:effectLst/>
        </c:spPr>
        <c:txPr>
          <a:bodyPr rot="-60000000" spcFirstLastPara="1" vertOverflow="ellipsis" vert="horz" wrap="square" anchor="ctr" anchorCtr="1"/>
          <a:lstStyle/>
          <a:p>
            <a:pPr>
              <a:defRPr sz="16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370811072"/>
        <c:crosses val="autoZero"/>
        <c:auto val="1"/>
        <c:lblAlgn val="ctr"/>
        <c:lblOffset val="100"/>
        <c:noMultiLvlLbl val="0"/>
      </c:catAx>
      <c:valAx>
        <c:axId val="37081107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6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a:t>Density</a:t>
                </a:r>
              </a:p>
              <a:p>
                <a:pPr>
                  <a:defRPr/>
                </a:pPr>
                <a:r>
                  <a:rPr lang="en-IN"/>
                  <a:t> (no of trees per quadrat)</a:t>
                </a:r>
              </a:p>
            </c:rich>
          </c:tx>
          <c:layout>
            <c:manualLayout>
              <c:xMode val="edge"/>
              <c:yMode val="edge"/>
              <c:x val="2.0588709306073576E-3"/>
              <c:y val="0.21221627991002984"/>
            </c:manualLayout>
          </c:layout>
          <c:overlay val="0"/>
          <c:spPr>
            <a:noFill/>
            <a:ln>
              <a:noFill/>
            </a:ln>
            <a:effectLst/>
          </c:spPr>
          <c:txPr>
            <a:bodyPr rot="-5400000" spcFirstLastPara="1" vertOverflow="ellipsis" vert="horz" wrap="square" anchor="ctr" anchorCtr="1"/>
            <a:lstStyle/>
            <a:p>
              <a:pPr>
                <a:defRPr sz="16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0.00" sourceLinked="1"/>
        <c:majorTickMark val="none"/>
        <c:minorTickMark val="none"/>
        <c:tickLblPos val="nextTo"/>
        <c:spPr>
          <a:noFill/>
          <a:ln w="12700">
            <a:solidFill>
              <a:schemeClr val="tx1"/>
            </a:solidFill>
          </a:ln>
          <a:effectLst/>
        </c:spPr>
        <c:txPr>
          <a:bodyPr rot="-60000000" spcFirstLastPara="1" vertOverflow="ellipsis" vert="horz" wrap="square" anchor="ctr" anchorCtr="1"/>
          <a:lstStyle/>
          <a:p>
            <a:pPr>
              <a:defRPr sz="16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370815992"/>
        <c:crosses val="autoZero"/>
        <c:crossBetween val="between"/>
      </c:valAx>
      <c:spPr>
        <a:noFill/>
        <a:ln w="12700">
          <a:solidFill>
            <a:schemeClr val="tx1"/>
          </a:solidFill>
        </a:ln>
        <a:effectLst/>
      </c:spPr>
    </c:plotArea>
    <c:plotVisOnly val="1"/>
    <c:dispBlanksAs val="gap"/>
    <c:showDLblsOverMax val="0"/>
  </c:chart>
  <c:spPr>
    <a:solidFill>
      <a:schemeClr val="bg1"/>
    </a:solidFill>
    <a:ln w="25400" cap="flat" cmpd="sng" algn="ctr">
      <a:solidFill>
        <a:schemeClr val="tx1"/>
      </a:solidFill>
      <a:round/>
    </a:ln>
    <a:effectLst/>
  </c:spPr>
  <c:txPr>
    <a:bodyPr/>
    <a:lstStyle/>
    <a:p>
      <a:pPr>
        <a:defRPr sz="160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92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IN"/>
              <a:t>Carbon Stock</a:t>
            </a:r>
          </a:p>
        </c:rich>
      </c:tx>
      <c:layout>
        <c:manualLayout>
          <c:xMode val="edge"/>
          <c:yMode val="edge"/>
          <c:x val="0.38731010560576346"/>
          <c:y val="3.0582469365277538E-2"/>
        </c:manualLayout>
      </c:layout>
      <c:overlay val="0"/>
      <c:spPr>
        <a:noFill/>
        <a:ln>
          <a:noFill/>
        </a:ln>
        <a:effectLst/>
      </c:spPr>
      <c:txPr>
        <a:bodyPr rot="0" spcFirstLastPara="1" vertOverflow="ellipsis" vert="horz" wrap="square" anchor="ctr" anchorCtr="1"/>
        <a:lstStyle/>
        <a:p>
          <a:pPr>
            <a:defRPr sz="192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0.21793449064480974"/>
          <c:y val="0.13026083983548103"/>
          <c:w val="0.75845439824407912"/>
          <c:h val="0.74009682983069047"/>
        </c:manualLayout>
      </c:layout>
      <c:barChart>
        <c:barDir val="col"/>
        <c:grouping val="clustered"/>
        <c:varyColors val="0"/>
        <c:ser>
          <c:idx val="0"/>
          <c:order val="0"/>
          <c:spPr>
            <a:solidFill>
              <a:srgbClr val="00B0F0"/>
            </a:solidFill>
            <a:ln>
              <a:solidFill>
                <a:schemeClr val="tx1"/>
              </a:solidFill>
            </a:ln>
            <a:effectLst/>
          </c:spPr>
          <c:invertIfNegative val="0"/>
          <c:errBars>
            <c:errBarType val="both"/>
            <c:errValType val="cust"/>
            <c:noEndCap val="0"/>
            <c:plus>
              <c:numRef>
                <c:f>' Bio &amp; C P1'!$M$4:$O$4</c:f>
                <c:numCache>
                  <c:formatCode>General</c:formatCode>
                  <c:ptCount val="3"/>
                  <c:pt idx="0">
                    <c:v>0.44959012678943089</c:v>
                  </c:pt>
                  <c:pt idx="1">
                    <c:v>6.7438519018414564E-2</c:v>
                  </c:pt>
                  <c:pt idx="2">
                    <c:v>0.51702864580784369</c:v>
                  </c:pt>
                </c:numCache>
              </c:numRef>
            </c:plus>
            <c:minus>
              <c:numRef>
                <c:f>' Bio &amp; C P1'!$M$4:$O$4</c:f>
                <c:numCache>
                  <c:formatCode>General</c:formatCode>
                  <c:ptCount val="3"/>
                  <c:pt idx="0">
                    <c:v>0.44959012678943089</c:v>
                  </c:pt>
                  <c:pt idx="1">
                    <c:v>6.7438519018414564E-2</c:v>
                  </c:pt>
                  <c:pt idx="2">
                    <c:v>0.51702864580784369</c:v>
                  </c:pt>
                </c:numCache>
              </c:numRef>
            </c:minus>
            <c:spPr>
              <a:noFill/>
              <a:ln w="12700" cap="flat" cmpd="sng" algn="ctr">
                <a:solidFill>
                  <a:schemeClr val="tx1"/>
                </a:solidFill>
                <a:round/>
              </a:ln>
              <a:effectLst/>
            </c:spPr>
          </c:errBars>
          <c:cat>
            <c:strRef>
              <c:f>' Bio &amp; C P1'!$M$2:$O$2</c:f>
              <c:strCache>
                <c:ptCount val="3"/>
                <c:pt idx="0">
                  <c:v>AGC</c:v>
                </c:pt>
                <c:pt idx="1">
                  <c:v>BGC</c:v>
                </c:pt>
                <c:pt idx="2">
                  <c:v>TC</c:v>
                </c:pt>
              </c:strCache>
            </c:strRef>
          </c:cat>
          <c:val>
            <c:numRef>
              <c:f>' Bio &amp; C P1'!$M$3:$O$3</c:f>
              <c:numCache>
                <c:formatCode>0.00</c:formatCode>
                <c:ptCount val="3"/>
                <c:pt idx="0">
                  <c:v>1.3977879896873759</c:v>
                </c:pt>
                <c:pt idx="1">
                  <c:v>0.20966819845310639</c:v>
                </c:pt>
                <c:pt idx="2">
                  <c:v>1.6074561881404827</c:v>
                </c:pt>
              </c:numCache>
            </c:numRef>
          </c:val>
          <c:extLst>
            <c:ext xmlns:c16="http://schemas.microsoft.com/office/drawing/2014/chart" uri="{C3380CC4-5D6E-409C-BE32-E72D297353CC}">
              <c16:uniqueId val="{00000000-B4AE-49A9-8E45-A14FB8DD1233}"/>
            </c:ext>
          </c:extLst>
        </c:ser>
        <c:dLbls>
          <c:showLegendKey val="0"/>
          <c:showVal val="0"/>
          <c:showCatName val="0"/>
          <c:showSerName val="0"/>
          <c:showPercent val="0"/>
          <c:showBubbleSize val="0"/>
        </c:dLbls>
        <c:gapWidth val="219"/>
        <c:overlap val="-27"/>
        <c:axId val="373973888"/>
        <c:axId val="373974544"/>
      </c:barChart>
      <c:catAx>
        <c:axId val="373973888"/>
        <c:scaling>
          <c:orientation val="minMax"/>
        </c:scaling>
        <c:delete val="0"/>
        <c:axPos val="b"/>
        <c:numFmt formatCode="General" sourceLinked="1"/>
        <c:majorTickMark val="none"/>
        <c:minorTickMark val="none"/>
        <c:tickLblPos val="nextTo"/>
        <c:spPr>
          <a:noFill/>
          <a:ln w="12700" cap="flat" cmpd="sng" algn="ctr">
            <a:solidFill>
              <a:schemeClr val="tx1"/>
            </a:solidFill>
            <a:round/>
          </a:ln>
          <a:effectLst/>
        </c:spPr>
        <c:txPr>
          <a:bodyPr rot="-60000000" spcFirstLastPara="1" vertOverflow="ellipsis" vert="horz" wrap="square" anchor="ctr" anchorCtr="1"/>
          <a:lstStyle/>
          <a:p>
            <a:pPr>
              <a:defRPr sz="16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373974544"/>
        <c:crosses val="autoZero"/>
        <c:auto val="1"/>
        <c:lblAlgn val="ctr"/>
        <c:lblOffset val="100"/>
        <c:noMultiLvlLbl val="0"/>
      </c:catAx>
      <c:valAx>
        <c:axId val="37397454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6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a:t>Carbon</a:t>
                </a:r>
                <a:r>
                  <a:rPr lang="en-IN" baseline="0"/>
                  <a:t> stock</a:t>
                </a:r>
                <a:r>
                  <a:rPr lang="en-IN"/>
                  <a:t> (± S.D.) </a:t>
                </a:r>
              </a:p>
              <a:p>
                <a:pPr>
                  <a:defRPr/>
                </a:pPr>
                <a:r>
                  <a:rPr lang="en-IN"/>
                  <a:t>(tonne/quadrat)</a:t>
                </a:r>
              </a:p>
            </c:rich>
          </c:tx>
          <c:layout>
            <c:manualLayout>
              <c:xMode val="edge"/>
              <c:yMode val="edge"/>
              <c:x val="1.0732250314489549E-2"/>
              <c:y val="0.21756584995403494"/>
            </c:manualLayout>
          </c:layout>
          <c:overlay val="0"/>
          <c:spPr>
            <a:noFill/>
            <a:ln>
              <a:noFill/>
            </a:ln>
            <a:effectLst/>
          </c:spPr>
          <c:txPr>
            <a:bodyPr rot="-5400000" spcFirstLastPara="1" vertOverflow="ellipsis" vert="horz" wrap="square" anchor="ctr" anchorCtr="1"/>
            <a:lstStyle/>
            <a:p>
              <a:pPr>
                <a:defRPr sz="16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0.00" sourceLinked="1"/>
        <c:majorTickMark val="none"/>
        <c:minorTickMark val="none"/>
        <c:tickLblPos val="nextTo"/>
        <c:spPr>
          <a:noFill/>
          <a:ln w="12700">
            <a:solidFill>
              <a:schemeClr val="tx1"/>
            </a:solidFill>
          </a:ln>
          <a:effectLst/>
        </c:spPr>
        <c:txPr>
          <a:bodyPr rot="-60000000" spcFirstLastPara="1" vertOverflow="ellipsis" vert="horz" wrap="square" anchor="ctr" anchorCtr="1"/>
          <a:lstStyle/>
          <a:p>
            <a:pPr>
              <a:defRPr sz="16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373973888"/>
        <c:crosses val="autoZero"/>
        <c:crossBetween val="between"/>
      </c:valAx>
      <c:spPr>
        <a:noFill/>
        <a:ln>
          <a:solidFill>
            <a:schemeClr val="tx1"/>
          </a:solidFill>
        </a:ln>
        <a:effectLst/>
      </c:spPr>
    </c:plotArea>
    <c:plotVisOnly val="1"/>
    <c:dispBlanksAs val="gap"/>
    <c:showDLblsOverMax val="0"/>
  </c:chart>
  <c:spPr>
    <a:solidFill>
      <a:schemeClr val="bg1"/>
    </a:solidFill>
    <a:ln w="25400" cap="flat" cmpd="sng" algn="ctr">
      <a:solidFill>
        <a:schemeClr val="tx1"/>
      </a:solidFill>
      <a:round/>
    </a:ln>
    <a:effectLst/>
  </c:spPr>
  <c:txPr>
    <a:bodyPr/>
    <a:lstStyle/>
    <a:p>
      <a:pPr>
        <a:defRPr sz="1600" b="1">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92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IN"/>
              <a:t>Carbon Stock</a:t>
            </a:r>
          </a:p>
        </c:rich>
      </c:tx>
      <c:layout>
        <c:manualLayout>
          <c:xMode val="edge"/>
          <c:yMode val="edge"/>
          <c:x val="0.38731010560576346"/>
          <c:y val="3.0582469365277538E-2"/>
        </c:manualLayout>
      </c:layout>
      <c:overlay val="0"/>
      <c:spPr>
        <a:noFill/>
        <a:ln>
          <a:noFill/>
        </a:ln>
        <a:effectLst/>
      </c:spPr>
      <c:txPr>
        <a:bodyPr rot="0" spcFirstLastPara="1" vertOverflow="ellipsis" vert="horz" wrap="square" anchor="ctr" anchorCtr="1"/>
        <a:lstStyle/>
        <a:p>
          <a:pPr>
            <a:defRPr sz="192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0.21549784347132048"/>
          <c:y val="0.13026083983548103"/>
          <c:w val="0.76089104541756836"/>
          <c:h val="0.74009682983069047"/>
        </c:manualLayout>
      </c:layout>
      <c:barChart>
        <c:barDir val="col"/>
        <c:grouping val="clustered"/>
        <c:varyColors val="0"/>
        <c:ser>
          <c:idx val="0"/>
          <c:order val="0"/>
          <c:spPr>
            <a:solidFill>
              <a:srgbClr val="00B0F0"/>
            </a:solidFill>
            <a:ln>
              <a:solidFill>
                <a:schemeClr val="tx1"/>
              </a:solidFill>
            </a:ln>
            <a:effectLst/>
          </c:spPr>
          <c:invertIfNegative val="0"/>
          <c:errBars>
            <c:errBarType val="both"/>
            <c:errValType val="cust"/>
            <c:noEndCap val="0"/>
            <c:plus>
              <c:numRef>
                <c:f>'Bio&amp;C P2'!$M$4:$O$4</c:f>
                <c:numCache>
                  <c:formatCode>General</c:formatCode>
                  <c:ptCount val="3"/>
                  <c:pt idx="0">
                    <c:v>0.22479506339471544</c:v>
                  </c:pt>
                  <c:pt idx="1">
                    <c:v>3.3719259509207282E-2</c:v>
                  </c:pt>
                  <c:pt idx="2">
                    <c:v>0.25851432290392184</c:v>
                  </c:pt>
                </c:numCache>
              </c:numRef>
            </c:plus>
            <c:minus>
              <c:numRef>
                <c:f>'Bio&amp;C P2'!$M$4:$O$4</c:f>
                <c:numCache>
                  <c:formatCode>General</c:formatCode>
                  <c:ptCount val="3"/>
                  <c:pt idx="0">
                    <c:v>0.22479506339471544</c:v>
                  </c:pt>
                  <c:pt idx="1">
                    <c:v>3.3719259509207282E-2</c:v>
                  </c:pt>
                  <c:pt idx="2">
                    <c:v>0.25851432290392184</c:v>
                  </c:pt>
                </c:numCache>
              </c:numRef>
            </c:minus>
            <c:spPr>
              <a:noFill/>
              <a:ln w="12700" cap="flat" cmpd="sng" algn="ctr">
                <a:solidFill>
                  <a:schemeClr val="tx1"/>
                </a:solidFill>
                <a:round/>
              </a:ln>
              <a:effectLst/>
            </c:spPr>
          </c:errBars>
          <c:cat>
            <c:strRef>
              <c:f>'Bio&amp;C P2'!$M$2:$O$2</c:f>
              <c:strCache>
                <c:ptCount val="3"/>
                <c:pt idx="0">
                  <c:v>AGC</c:v>
                </c:pt>
                <c:pt idx="1">
                  <c:v>BGC</c:v>
                </c:pt>
                <c:pt idx="2">
                  <c:v>TC</c:v>
                </c:pt>
              </c:strCache>
            </c:strRef>
          </c:cat>
          <c:val>
            <c:numRef>
              <c:f>'Bio&amp;C P2'!$M$3:$O$3</c:f>
              <c:numCache>
                <c:formatCode>0.00</c:formatCode>
                <c:ptCount val="3"/>
                <c:pt idx="0">
                  <c:v>0.69889399484368797</c:v>
                </c:pt>
                <c:pt idx="1">
                  <c:v>0.10483409922655319</c:v>
                </c:pt>
                <c:pt idx="2">
                  <c:v>0.80372809407024137</c:v>
                </c:pt>
              </c:numCache>
            </c:numRef>
          </c:val>
          <c:extLst>
            <c:ext xmlns:c16="http://schemas.microsoft.com/office/drawing/2014/chart" uri="{C3380CC4-5D6E-409C-BE32-E72D297353CC}">
              <c16:uniqueId val="{00000000-4CBE-48F2-BA52-CAEDDF790013}"/>
            </c:ext>
          </c:extLst>
        </c:ser>
        <c:dLbls>
          <c:showLegendKey val="0"/>
          <c:showVal val="0"/>
          <c:showCatName val="0"/>
          <c:showSerName val="0"/>
          <c:showPercent val="0"/>
          <c:showBubbleSize val="0"/>
        </c:dLbls>
        <c:gapWidth val="219"/>
        <c:overlap val="-27"/>
        <c:axId val="373973888"/>
        <c:axId val="373974544"/>
      </c:barChart>
      <c:catAx>
        <c:axId val="373973888"/>
        <c:scaling>
          <c:orientation val="minMax"/>
        </c:scaling>
        <c:delete val="0"/>
        <c:axPos val="b"/>
        <c:numFmt formatCode="General" sourceLinked="1"/>
        <c:majorTickMark val="none"/>
        <c:minorTickMark val="none"/>
        <c:tickLblPos val="nextTo"/>
        <c:spPr>
          <a:noFill/>
          <a:ln w="12700" cap="flat" cmpd="sng" algn="ctr">
            <a:solidFill>
              <a:schemeClr val="tx1"/>
            </a:solidFill>
            <a:round/>
          </a:ln>
          <a:effectLst/>
        </c:spPr>
        <c:txPr>
          <a:bodyPr rot="-60000000" spcFirstLastPara="1" vertOverflow="ellipsis" vert="horz" wrap="square" anchor="ctr" anchorCtr="1"/>
          <a:lstStyle/>
          <a:p>
            <a:pPr>
              <a:defRPr sz="16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373974544"/>
        <c:crosses val="autoZero"/>
        <c:auto val="1"/>
        <c:lblAlgn val="ctr"/>
        <c:lblOffset val="100"/>
        <c:noMultiLvlLbl val="0"/>
      </c:catAx>
      <c:valAx>
        <c:axId val="37397454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6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a:t>Carbon</a:t>
                </a:r>
                <a:r>
                  <a:rPr lang="en-IN" baseline="0"/>
                  <a:t> stock</a:t>
                </a:r>
                <a:r>
                  <a:rPr lang="en-IN"/>
                  <a:t> (± S.D.) </a:t>
                </a:r>
              </a:p>
              <a:p>
                <a:pPr>
                  <a:defRPr/>
                </a:pPr>
                <a:r>
                  <a:rPr lang="en-IN"/>
                  <a:t>(tonne/quadrat)</a:t>
                </a:r>
              </a:p>
            </c:rich>
          </c:tx>
          <c:layout>
            <c:manualLayout>
              <c:xMode val="edge"/>
              <c:yMode val="edge"/>
              <c:x val="1.0732250314489549E-2"/>
              <c:y val="0.23692884920629542"/>
            </c:manualLayout>
          </c:layout>
          <c:overlay val="0"/>
          <c:spPr>
            <a:noFill/>
            <a:ln>
              <a:noFill/>
            </a:ln>
            <a:effectLst/>
          </c:spPr>
          <c:txPr>
            <a:bodyPr rot="-5400000" spcFirstLastPara="1" vertOverflow="ellipsis" vert="horz" wrap="square" anchor="ctr" anchorCtr="1"/>
            <a:lstStyle/>
            <a:p>
              <a:pPr>
                <a:defRPr sz="16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0.00" sourceLinked="1"/>
        <c:majorTickMark val="none"/>
        <c:minorTickMark val="none"/>
        <c:tickLblPos val="nextTo"/>
        <c:spPr>
          <a:noFill/>
          <a:ln w="12700">
            <a:solidFill>
              <a:schemeClr val="tx1"/>
            </a:solidFill>
          </a:ln>
          <a:effectLst/>
        </c:spPr>
        <c:txPr>
          <a:bodyPr rot="-60000000" spcFirstLastPara="1" vertOverflow="ellipsis" vert="horz" wrap="square" anchor="ctr" anchorCtr="1"/>
          <a:lstStyle/>
          <a:p>
            <a:pPr>
              <a:defRPr sz="16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373973888"/>
        <c:crosses val="autoZero"/>
        <c:crossBetween val="between"/>
      </c:valAx>
      <c:spPr>
        <a:noFill/>
        <a:ln>
          <a:solidFill>
            <a:schemeClr val="tx1"/>
          </a:solidFill>
        </a:ln>
        <a:effectLst/>
      </c:spPr>
    </c:plotArea>
    <c:plotVisOnly val="1"/>
    <c:dispBlanksAs val="gap"/>
    <c:showDLblsOverMax val="0"/>
  </c:chart>
  <c:spPr>
    <a:solidFill>
      <a:schemeClr val="bg1"/>
    </a:solidFill>
    <a:ln w="25400" cap="flat" cmpd="sng" algn="ctr">
      <a:solidFill>
        <a:schemeClr val="tx1"/>
      </a:solidFill>
      <a:round/>
    </a:ln>
    <a:effectLst/>
  </c:spPr>
  <c:txPr>
    <a:bodyPr/>
    <a:lstStyle/>
    <a:p>
      <a:pPr>
        <a:defRPr sz="1600" b="1">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solidFill>
                <a:latin typeface="Arial" panose="020B0604020202020204" pitchFamily="34" charset="0"/>
                <a:ea typeface="+mn-ea"/>
                <a:cs typeface="Arial" panose="020B0604020202020204" pitchFamily="34" charset="0"/>
              </a:defRPr>
            </a:pPr>
            <a:r>
              <a:rPr lang="en-US"/>
              <a:t>Density vs Total carbon stock</a:t>
            </a:r>
          </a:p>
        </c:rich>
      </c:tx>
      <c:overlay val="0"/>
      <c:spPr>
        <a:noFill/>
        <a:ln>
          <a:noFill/>
        </a:ln>
        <a:effectLst/>
      </c:spPr>
      <c:txPr>
        <a:bodyPr rot="0" spcFirstLastPara="1" vertOverflow="ellipsis" vert="horz" wrap="square" anchor="ctr" anchorCtr="1"/>
        <a:lstStyle/>
        <a:p>
          <a:pPr>
            <a:defRPr sz="1200" b="1" i="0" u="none" strike="noStrike" kern="1200" spc="0" baseline="0">
              <a:solidFill>
                <a:schemeClr val="tx1"/>
              </a:solidFill>
              <a:latin typeface="Arial" panose="020B0604020202020204" pitchFamily="34" charset="0"/>
              <a:ea typeface="+mn-ea"/>
              <a:cs typeface="Arial" panose="020B0604020202020204" pitchFamily="34" charset="0"/>
            </a:defRPr>
          </a:pPr>
          <a:endParaRPr lang="en-US"/>
        </a:p>
      </c:txPr>
    </c:title>
    <c:autoTitleDeleted val="0"/>
    <c:plotArea>
      <c:layout>
        <c:manualLayout>
          <c:layoutTarget val="inner"/>
          <c:xMode val="edge"/>
          <c:yMode val="edge"/>
          <c:x val="0.17779396325459318"/>
          <c:y val="0.15650481189851267"/>
          <c:w val="0.78237270341207354"/>
          <c:h val="0.63881124234470688"/>
        </c:manualLayout>
      </c:layout>
      <c:scatterChart>
        <c:scatterStyle val="lineMarker"/>
        <c:varyColors val="0"/>
        <c:ser>
          <c:idx val="0"/>
          <c:order val="0"/>
          <c:tx>
            <c:strRef>
              <c:f>RegDvC!$B$2</c:f>
              <c:strCache>
                <c:ptCount val="1"/>
                <c:pt idx="0">
                  <c:v>Total carbon stock (in tonne)</c:v>
                </c:pt>
              </c:strCache>
            </c:strRef>
          </c:tx>
          <c:spPr>
            <a:ln w="25400" cap="rnd">
              <a:noFill/>
              <a:round/>
            </a:ln>
            <a:effectLst/>
          </c:spPr>
          <c:marker>
            <c:symbol val="circle"/>
            <c:size val="5"/>
            <c:spPr>
              <a:solidFill>
                <a:schemeClr val="tx1"/>
              </a:solidFill>
              <a:ln w="9525">
                <a:solidFill>
                  <a:schemeClr val="tx1"/>
                </a:solidFill>
              </a:ln>
              <a:effectLst/>
            </c:spPr>
          </c:marker>
          <c:trendline>
            <c:spPr>
              <a:ln w="19050" cap="rnd">
                <a:solidFill>
                  <a:schemeClr val="accent1"/>
                </a:solidFill>
                <a:prstDash val="sysDot"/>
              </a:ln>
              <a:effectLst/>
            </c:spPr>
            <c:trendlineType val="linear"/>
            <c:dispRSqr val="0"/>
            <c:dispEq val="0"/>
          </c:trendline>
          <c:trendline>
            <c:spPr>
              <a:ln w="19050" cap="rnd">
                <a:solidFill>
                  <a:schemeClr val="tx1"/>
                </a:solidFill>
                <a:prstDash val="sysDot"/>
              </a:ln>
              <a:effectLst/>
            </c:spPr>
            <c:trendlineType val="linear"/>
            <c:dispRSqr val="1"/>
            <c:dispEq val="1"/>
            <c:trendlineLbl>
              <c:layout>
                <c:manualLayout>
                  <c:x val="-0.11614238845144358"/>
                  <c:y val="-1.4305555555555556E-2"/>
                </c:manualLayout>
              </c:layout>
              <c:numFmt formatCode="General" sourceLinked="0"/>
              <c:spPr>
                <a:noFill/>
                <a:ln>
                  <a:noFill/>
                </a:ln>
                <a:effectLst/>
              </c:spPr>
              <c:txPr>
                <a:bodyPr rot="0" spcFirstLastPara="1" vertOverflow="ellipsis" vert="horz" wrap="square" anchor="ctr" anchorCtr="1"/>
                <a:lstStyle/>
                <a:p>
                  <a:pPr>
                    <a:defRPr sz="1000" b="1"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rendlineLbl>
          </c:trendline>
          <c:xVal>
            <c:numRef>
              <c:f>RegDvC!$A$3:$A$27</c:f>
              <c:numCache>
                <c:formatCode>General</c:formatCode>
                <c:ptCount val="25"/>
                <c:pt idx="0">
                  <c:v>75</c:v>
                </c:pt>
                <c:pt idx="1">
                  <c:v>63</c:v>
                </c:pt>
                <c:pt idx="2">
                  <c:v>58</c:v>
                </c:pt>
                <c:pt idx="3">
                  <c:v>66</c:v>
                </c:pt>
                <c:pt idx="4">
                  <c:v>89</c:v>
                </c:pt>
                <c:pt idx="5">
                  <c:v>64</c:v>
                </c:pt>
                <c:pt idx="6">
                  <c:v>58</c:v>
                </c:pt>
                <c:pt idx="7">
                  <c:v>48</c:v>
                </c:pt>
                <c:pt idx="8">
                  <c:v>37</c:v>
                </c:pt>
                <c:pt idx="9">
                  <c:v>69</c:v>
                </c:pt>
                <c:pt idx="10">
                  <c:v>62</c:v>
                </c:pt>
                <c:pt idx="11">
                  <c:v>46</c:v>
                </c:pt>
                <c:pt idx="12">
                  <c:v>42</c:v>
                </c:pt>
                <c:pt idx="13">
                  <c:v>61</c:v>
                </c:pt>
                <c:pt idx="14">
                  <c:v>46</c:v>
                </c:pt>
                <c:pt idx="15">
                  <c:v>62</c:v>
                </c:pt>
                <c:pt idx="16">
                  <c:v>27</c:v>
                </c:pt>
                <c:pt idx="17">
                  <c:v>51</c:v>
                </c:pt>
                <c:pt idx="18">
                  <c:v>53</c:v>
                </c:pt>
                <c:pt idx="19">
                  <c:v>49</c:v>
                </c:pt>
                <c:pt idx="20">
                  <c:v>45</c:v>
                </c:pt>
                <c:pt idx="21">
                  <c:v>57</c:v>
                </c:pt>
                <c:pt idx="22">
                  <c:v>50</c:v>
                </c:pt>
                <c:pt idx="23">
                  <c:v>44</c:v>
                </c:pt>
                <c:pt idx="24">
                  <c:v>54</c:v>
                </c:pt>
              </c:numCache>
            </c:numRef>
          </c:xVal>
          <c:yVal>
            <c:numRef>
              <c:f>RegDvC!$B$3:$B$27</c:f>
              <c:numCache>
                <c:formatCode>General</c:formatCode>
                <c:ptCount val="25"/>
                <c:pt idx="0">
                  <c:v>2.3313667484689597</c:v>
                </c:pt>
                <c:pt idx="1">
                  <c:v>1.8917448548119766</c:v>
                </c:pt>
                <c:pt idx="2">
                  <c:v>1.6028831588020802</c:v>
                </c:pt>
                <c:pt idx="3">
                  <c:v>1.8897939296871527</c:v>
                </c:pt>
                <c:pt idx="4">
                  <c:v>2.8435803599023792</c:v>
                </c:pt>
                <c:pt idx="5">
                  <c:v>1.5970901360880101</c:v>
                </c:pt>
                <c:pt idx="6">
                  <c:v>1.5548681289927451</c:v>
                </c:pt>
                <c:pt idx="7">
                  <c:v>1.1316694575562396</c:v>
                </c:pt>
                <c:pt idx="8">
                  <c:v>0.73163360847578374</c:v>
                </c:pt>
                <c:pt idx="9">
                  <c:v>1.8900386468000425</c:v>
                </c:pt>
                <c:pt idx="10">
                  <c:v>1.8180508022155415</c:v>
                </c:pt>
                <c:pt idx="11">
                  <c:v>1.2203361251417173</c:v>
                </c:pt>
                <c:pt idx="12">
                  <c:v>1.0569790935778491</c:v>
                </c:pt>
                <c:pt idx="13">
                  <c:v>1.816317002425367</c:v>
                </c:pt>
                <c:pt idx="14">
                  <c:v>1.393838621382524</c:v>
                </c:pt>
                <c:pt idx="15">
                  <c:v>1.5353699901894082</c:v>
                </c:pt>
                <c:pt idx="16">
                  <c:v>0.54028573549432923</c:v>
                </c:pt>
                <c:pt idx="17">
                  <c:v>1.3988092871333935</c:v>
                </c:pt>
                <c:pt idx="18">
                  <c:v>1.5233269203320017</c:v>
                </c:pt>
                <c:pt idx="19">
                  <c:v>1.3755614699646097</c:v>
                </c:pt>
                <c:pt idx="20">
                  <c:v>1.2328316349806401</c:v>
                </c:pt>
                <c:pt idx="21">
                  <c:v>1.7374808094692351</c:v>
                </c:pt>
                <c:pt idx="22">
                  <c:v>1.3688052918663018</c:v>
                </c:pt>
                <c:pt idx="23">
                  <c:v>1.0961582266394418</c:v>
                </c:pt>
                <c:pt idx="24">
                  <c:v>1.3844707356186625</c:v>
                </c:pt>
              </c:numCache>
            </c:numRef>
          </c:yVal>
          <c:smooth val="0"/>
          <c:extLst>
            <c:ext xmlns:c16="http://schemas.microsoft.com/office/drawing/2014/chart" uri="{C3380CC4-5D6E-409C-BE32-E72D297353CC}">
              <c16:uniqueId val="{00000000-4B95-40FA-AE71-2E0A067AD080}"/>
            </c:ext>
          </c:extLst>
        </c:ser>
        <c:dLbls>
          <c:showLegendKey val="0"/>
          <c:showVal val="0"/>
          <c:showCatName val="0"/>
          <c:showSerName val="0"/>
          <c:showPercent val="0"/>
          <c:showBubbleSize val="0"/>
        </c:dLbls>
        <c:axId val="406972808"/>
        <c:axId val="406974448"/>
      </c:scatterChart>
      <c:valAx>
        <c:axId val="406972808"/>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1" i="0" u="none" strike="noStrike" kern="1200" baseline="0">
                    <a:solidFill>
                      <a:schemeClr val="tx1"/>
                    </a:solidFill>
                    <a:latin typeface="Arial" panose="020B0604020202020204" pitchFamily="34" charset="0"/>
                    <a:ea typeface="+mn-ea"/>
                    <a:cs typeface="Arial" panose="020B0604020202020204" pitchFamily="34" charset="0"/>
                  </a:defRPr>
                </a:pPr>
                <a:r>
                  <a:rPr lang="en-IN"/>
                  <a:t>Density (number of trees/quadrat)</a:t>
                </a:r>
              </a:p>
            </c:rich>
          </c:tx>
          <c:overlay val="0"/>
          <c:spPr>
            <a:noFill/>
            <a:ln>
              <a:noFill/>
            </a:ln>
            <a:effectLst/>
          </c:spPr>
          <c:txPr>
            <a:bodyPr rot="0" spcFirstLastPara="1" vertOverflow="ellipsis" vert="horz" wrap="square" anchor="ctr" anchorCtr="1"/>
            <a:lstStyle/>
            <a:p>
              <a:pPr>
                <a:defRPr sz="1000" b="1"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12700" cap="flat" cmpd="sng" algn="ctr">
            <a:solidFill>
              <a:schemeClr val="tx1"/>
            </a:solidFill>
            <a:round/>
          </a:ln>
          <a:effectLst/>
        </c:spPr>
        <c:txPr>
          <a:bodyPr rot="-60000000" spcFirstLastPara="1" vertOverflow="ellipsis" vert="horz" wrap="square" anchor="ctr" anchorCtr="1"/>
          <a:lstStyle/>
          <a:p>
            <a:pPr>
              <a:defRPr sz="1000" b="1"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406974448"/>
        <c:crosses val="autoZero"/>
        <c:crossBetween val="midCat"/>
      </c:valAx>
      <c:valAx>
        <c:axId val="40697444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chemeClr val="tx1"/>
                    </a:solidFill>
                    <a:latin typeface="Arial" panose="020B0604020202020204" pitchFamily="34" charset="0"/>
                    <a:ea typeface="+mn-ea"/>
                    <a:cs typeface="Arial" panose="020B0604020202020204" pitchFamily="34" charset="0"/>
                  </a:defRPr>
                </a:pPr>
                <a:r>
                  <a:rPr lang="en-IN"/>
                  <a:t>Total carbon stock </a:t>
                </a:r>
              </a:p>
              <a:p>
                <a:pPr>
                  <a:defRPr/>
                </a:pPr>
                <a:r>
                  <a:rPr lang="en-IN"/>
                  <a:t>(tonne/quadrat)</a:t>
                </a:r>
              </a:p>
            </c:rich>
          </c:tx>
          <c:layout>
            <c:manualLayout>
              <c:xMode val="edge"/>
              <c:yMode val="edge"/>
              <c:x val="2.5000000000000001E-2"/>
              <c:y val="0.2515817293671625"/>
            </c:manualLayout>
          </c:layout>
          <c:overlay val="0"/>
          <c:spPr>
            <a:noFill/>
            <a:ln>
              <a:noFill/>
            </a:ln>
            <a:effectLst/>
          </c:spPr>
          <c:txPr>
            <a:bodyPr rot="-5400000" spcFirstLastPara="1" vertOverflow="ellipsis" vert="horz" wrap="square" anchor="ctr" anchorCtr="1"/>
            <a:lstStyle/>
            <a:p>
              <a:pPr>
                <a:defRPr sz="1000" b="1"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12700" cap="flat" cmpd="sng" algn="ctr">
            <a:solidFill>
              <a:schemeClr val="tx1"/>
            </a:solidFill>
            <a:round/>
          </a:ln>
          <a:effectLst/>
        </c:spPr>
        <c:txPr>
          <a:bodyPr rot="-60000000" spcFirstLastPara="1" vertOverflow="ellipsis" vert="horz" wrap="square" anchor="ctr" anchorCtr="1"/>
          <a:lstStyle/>
          <a:p>
            <a:pPr>
              <a:defRPr sz="1000" b="1"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406972808"/>
        <c:crosses val="autoZero"/>
        <c:crossBetween val="midCat"/>
      </c:valAx>
      <c:spPr>
        <a:noFill/>
        <a:ln w="12700">
          <a:solidFill>
            <a:schemeClr val="tx1"/>
          </a:solidFill>
        </a:ln>
        <a:effectLst/>
      </c:spPr>
    </c:plotArea>
    <c:plotVisOnly val="1"/>
    <c:dispBlanksAs val="gap"/>
    <c:showDLblsOverMax val="0"/>
  </c:chart>
  <c:spPr>
    <a:solidFill>
      <a:schemeClr val="bg1"/>
    </a:solidFill>
    <a:ln w="19050" cap="flat" cmpd="sng" algn="ctr">
      <a:solidFill>
        <a:schemeClr val="tx1"/>
      </a:solidFill>
      <a:round/>
    </a:ln>
    <a:effectLst/>
  </c:spPr>
  <c:txPr>
    <a:bodyPr/>
    <a:lstStyle/>
    <a:p>
      <a:pPr>
        <a:defRPr sz="1000" b="1">
          <a:solidFill>
            <a:schemeClr val="tx1"/>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solidFill>
                <a:latin typeface="Arial" panose="020B0604020202020204" pitchFamily="34" charset="0"/>
                <a:ea typeface="+mn-ea"/>
                <a:cs typeface="Arial" panose="020B0604020202020204" pitchFamily="34" charset="0"/>
              </a:defRPr>
            </a:pPr>
            <a:r>
              <a:rPr lang="en-US"/>
              <a:t>Density vs Total carbon stock</a:t>
            </a:r>
          </a:p>
        </c:rich>
      </c:tx>
      <c:overlay val="0"/>
      <c:spPr>
        <a:noFill/>
        <a:ln>
          <a:noFill/>
        </a:ln>
        <a:effectLst/>
      </c:spPr>
      <c:txPr>
        <a:bodyPr rot="0" spcFirstLastPara="1" vertOverflow="ellipsis" vert="horz" wrap="square" anchor="ctr" anchorCtr="1"/>
        <a:lstStyle/>
        <a:p>
          <a:pPr>
            <a:defRPr sz="1200" b="1" i="0" u="none" strike="noStrike" kern="1200" spc="0" baseline="0">
              <a:solidFill>
                <a:schemeClr val="tx1"/>
              </a:solidFill>
              <a:latin typeface="Arial" panose="020B0604020202020204" pitchFamily="34" charset="0"/>
              <a:ea typeface="+mn-ea"/>
              <a:cs typeface="Arial" panose="020B0604020202020204" pitchFamily="34" charset="0"/>
            </a:defRPr>
          </a:pPr>
          <a:endParaRPr lang="en-US"/>
        </a:p>
      </c:txPr>
    </c:title>
    <c:autoTitleDeleted val="0"/>
    <c:plotArea>
      <c:layout>
        <c:manualLayout>
          <c:layoutTarget val="inner"/>
          <c:xMode val="edge"/>
          <c:yMode val="edge"/>
          <c:x val="0.17779396325459318"/>
          <c:y val="0.15650481189851267"/>
          <c:w val="0.78237270341207354"/>
          <c:h val="0.63881124234470688"/>
        </c:manualLayout>
      </c:layout>
      <c:scatterChart>
        <c:scatterStyle val="lineMarker"/>
        <c:varyColors val="0"/>
        <c:ser>
          <c:idx val="0"/>
          <c:order val="0"/>
          <c:tx>
            <c:strRef>
              <c:f>RegDvC!$F$2</c:f>
              <c:strCache>
                <c:ptCount val="1"/>
                <c:pt idx="0">
                  <c:v>Total carbon stock (in tonne)</c:v>
                </c:pt>
              </c:strCache>
            </c:strRef>
          </c:tx>
          <c:spPr>
            <a:ln w="25400" cap="rnd">
              <a:noFill/>
              <a:round/>
            </a:ln>
            <a:effectLst/>
          </c:spPr>
          <c:marker>
            <c:symbol val="circle"/>
            <c:size val="5"/>
            <c:spPr>
              <a:solidFill>
                <a:schemeClr val="tx1"/>
              </a:solidFill>
              <a:ln w="9525">
                <a:solidFill>
                  <a:schemeClr val="tx1"/>
                </a:solidFill>
              </a:ln>
              <a:effectLst/>
            </c:spPr>
          </c:marker>
          <c:trendline>
            <c:spPr>
              <a:ln w="19050" cap="rnd">
                <a:solidFill>
                  <a:schemeClr val="accent1"/>
                </a:solidFill>
                <a:prstDash val="sysDot"/>
              </a:ln>
              <a:effectLst/>
            </c:spPr>
            <c:trendlineType val="linear"/>
            <c:dispRSqr val="0"/>
            <c:dispEq val="0"/>
          </c:trendline>
          <c:trendline>
            <c:spPr>
              <a:ln w="19050" cap="rnd">
                <a:solidFill>
                  <a:schemeClr val="tx1"/>
                </a:solidFill>
                <a:prstDash val="sysDot"/>
              </a:ln>
              <a:effectLst/>
            </c:spPr>
            <c:trendlineType val="linear"/>
            <c:dispRSqr val="1"/>
            <c:dispEq val="1"/>
            <c:trendlineLbl>
              <c:layout>
                <c:manualLayout>
                  <c:x val="-0.11614238845144358"/>
                  <c:y val="-1.4305555555555556E-2"/>
                </c:manualLayout>
              </c:layout>
              <c:numFmt formatCode="General" sourceLinked="0"/>
              <c:spPr>
                <a:noFill/>
                <a:ln>
                  <a:noFill/>
                </a:ln>
                <a:effectLst/>
              </c:spPr>
              <c:txPr>
                <a:bodyPr rot="0" spcFirstLastPara="1" vertOverflow="ellipsis" vert="horz" wrap="square" anchor="ctr" anchorCtr="1"/>
                <a:lstStyle/>
                <a:p>
                  <a:pPr>
                    <a:defRPr sz="1000" b="1"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rendlineLbl>
          </c:trendline>
          <c:xVal>
            <c:numRef>
              <c:f>RegDvC!$E$3:$E$27</c:f>
              <c:numCache>
                <c:formatCode>General</c:formatCode>
                <c:ptCount val="25"/>
                <c:pt idx="0">
                  <c:v>49</c:v>
                </c:pt>
                <c:pt idx="1">
                  <c:v>43</c:v>
                </c:pt>
                <c:pt idx="2">
                  <c:v>33</c:v>
                </c:pt>
                <c:pt idx="3">
                  <c:v>41</c:v>
                </c:pt>
                <c:pt idx="4">
                  <c:v>50</c:v>
                </c:pt>
                <c:pt idx="5">
                  <c:v>48</c:v>
                </c:pt>
                <c:pt idx="6">
                  <c:v>42</c:v>
                </c:pt>
                <c:pt idx="7">
                  <c:v>37</c:v>
                </c:pt>
                <c:pt idx="8">
                  <c:v>45</c:v>
                </c:pt>
                <c:pt idx="9">
                  <c:v>47</c:v>
                </c:pt>
                <c:pt idx="10">
                  <c:v>53</c:v>
                </c:pt>
                <c:pt idx="11">
                  <c:v>30</c:v>
                </c:pt>
                <c:pt idx="12">
                  <c:v>27</c:v>
                </c:pt>
                <c:pt idx="13">
                  <c:v>48</c:v>
                </c:pt>
                <c:pt idx="14">
                  <c:v>21</c:v>
                </c:pt>
                <c:pt idx="15">
                  <c:v>65</c:v>
                </c:pt>
                <c:pt idx="16">
                  <c:v>50</c:v>
                </c:pt>
                <c:pt idx="17">
                  <c:v>42</c:v>
                </c:pt>
                <c:pt idx="18">
                  <c:v>38</c:v>
                </c:pt>
                <c:pt idx="19">
                  <c:v>44</c:v>
                </c:pt>
                <c:pt idx="20">
                  <c:v>38</c:v>
                </c:pt>
                <c:pt idx="21">
                  <c:v>32</c:v>
                </c:pt>
                <c:pt idx="22">
                  <c:v>33</c:v>
                </c:pt>
                <c:pt idx="23">
                  <c:v>38</c:v>
                </c:pt>
                <c:pt idx="24">
                  <c:v>34</c:v>
                </c:pt>
              </c:numCache>
            </c:numRef>
          </c:xVal>
          <c:yVal>
            <c:numRef>
              <c:f>RegDvC!$F$3:$F$27</c:f>
              <c:numCache>
                <c:formatCode>General</c:formatCode>
                <c:ptCount val="25"/>
                <c:pt idx="0">
                  <c:v>0.95591391204471221</c:v>
                </c:pt>
                <c:pt idx="1">
                  <c:v>0.76888519855391357</c:v>
                </c:pt>
                <c:pt idx="2">
                  <c:v>0.48677435734017394</c:v>
                </c:pt>
                <c:pt idx="3">
                  <c:v>0.54264369824734682</c:v>
                </c:pt>
                <c:pt idx="4">
                  <c:v>1.1962327910496253</c:v>
                </c:pt>
                <c:pt idx="5">
                  <c:v>1.0128672803073107</c:v>
                </c:pt>
                <c:pt idx="6">
                  <c:v>0.71574423513790042</c:v>
                </c:pt>
                <c:pt idx="7">
                  <c:v>0.84370126019367986</c:v>
                </c:pt>
                <c:pt idx="8">
                  <c:v>1.012714362221905</c:v>
                </c:pt>
                <c:pt idx="9">
                  <c:v>1.0356037658755715</c:v>
                </c:pt>
                <c:pt idx="10">
                  <c:v>1.1492848391703989</c:v>
                </c:pt>
                <c:pt idx="11">
                  <c:v>0.63841444538571557</c:v>
                </c:pt>
                <c:pt idx="12">
                  <c:v>0.44957485495528887</c:v>
                </c:pt>
                <c:pt idx="13">
                  <c:v>0.9465795495981425</c:v>
                </c:pt>
                <c:pt idx="14">
                  <c:v>0.32623985220984619</c:v>
                </c:pt>
                <c:pt idx="15">
                  <c:v>1.4029933504229173</c:v>
                </c:pt>
                <c:pt idx="16">
                  <c:v>1.0701190565478833</c:v>
                </c:pt>
                <c:pt idx="17">
                  <c:v>0.76758443904771989</c:v>
                </c:pt>
                <c:pt idx="18">
                  <c:v>0.79354564144684514</c:v>
                </c:pt>
                <c:pt idx="19">
                  <c:v>0.76535722222670421</c:v>
                </c:pt>
                <c:pt idx="20">
                  <c:v>0.7393649431091055</c:v>
                </c:pt>
                <c:pt idx="21">
                  <c:v>0.58460366802817254</c:v>
                </c:pt>
                <c:pt idx="22">
                  <c:v>0.59737321651292974</c:v>
                </c:pt>
                <c:pt idx="23">
                  <c:v>0.70885914118349447</c:v>
                </c:pt>
                <c:pt idx="24">
                  <c:v>0.58222727093872617</c:v>
                </c:pt>
              </c:numCache>
            </c:numRef>
          </c:yVal>
          <c:smooth val="0"/>
          <c:extLst>
            <c:ext xmlns:c16="http://schemas.microsoft.com/office/drawing/2014/chart" uri="{C3380CC4-5D6E-409C-BE32-E72D297353CC}">
              <c16:uniqueId val="{00000000-2DCB-444A-8F6B-B59094E4C5DF}"/>
            </c:ext>
          </c:extLst>
        </c:ser>
        <c:dLbls>
          <c:showLegendKey val="0"/>
          <c:showVal val="0"/>
          <c:showCatName val="0"/>
          <c:showSerName val="0"/>
          <c:showPercent val="0"/>
          <c:showBubbleSize val="0"/>
        </c:dLbls>
        <c:axId val="406972808"/>
        <c:axId val="406974448"/>
      </c:scatterChart>
      <c:valAx>
        <c:axId val="406972808"/>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1" i="0" u="none" strike="noStrike" kern="1200" baseline="0">
                    <a:solidFill>
                      <a:schemeClr val="tx1"/>
                    </a:solidFill>
                    <a:latin typeface="Arial" panose="020B0604020202020204" pitchFamily="34" charset="0"/>
                    <a:ea typeface="+mn-ea"/>
                    <a:cs typeface="Arial" panose="020B0604020202020204" pitchFamily="34" charset="0"/>
                  </a:defRPr>
                </a:pPr>
                <a:r>
                  <a:rPr lang="en-IN"/>
                  <a:t>Density (number of trees/quadrat)</a:t>
                </a:r>
              </a:p>
            </c:rich>
          </c:tx>
          <c:overlay val="0"/>
          <c:spPr>
            <a:noFill/>
            <a:ln>
              <a:noFill/>
            </a:ln>
            <a:effectLst/>
          </c:spPr>
          <c:txPr>
            <a:bodyPr rot="0" spcFirstLastPara="1" vertOverflow="ellipsis" vert="horz" wrap="square" anchor="ctr" anchorCtr="1"/>
            <a:lstStyle/>
            <a:p>
              <a:pPr>
                <a:defRPr sz="1000" b="1"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12700" cap="flat" cmpd="sng" algn="ctr">
            <a:solidFill>
              <a:schemeClr val="tx1"/>
            </a:solidFill>
            <a:round/>
          </a:ln>
          <a:effectLst/>
        </c:spPr>
        <c:txPr>
          <a:bodyPr rot="-60000000" spcFirstLastPara="1" vertOverflow="ellipsis" vert="horz" wrap="square" anchor="ctr" anchorCtr="1"/>
          <a:lstStyle/>
          <a:p>
            <a:pPr>
              <a:defRPr sz="1000" b="1"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406974448"/>
        <c:crosses val="autoZero"/>
        <c:crossBetween val="midCat"/>
      </c:valAx>
      <c:valAx>
        <c:axId val="40697444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chemeClr val="tx1"/>
                    </a:solidFill>
                    <a:latin typeface="Arial" panose="020B0604020202020204" pitchFamily="34" charset="0"/>
                    <a:ea typeface="+mn-ea"/>
                    <a:cs typeface="Arial" panose="020B0604020202020204" pitchFamily="34" charset="0"/>
                  </a:defRPr>
                </a:pPr>
                <a:r>
                  <a:rPr lang="en-IN"/>
                  <a:t>Total carbon stock </a:t>
                </a:r>
              </a:p>
              <a:p>
                <a:pPr>
                  <a:defRPr/>
                </a:pPr>
                <a:r>
                  <a:rPr lang="en-IN"/>
                  <a:t>(tonne/quadrat)</a:t>
                </a:r>
              </a:p>
            </c:rich>
          </c:tx>
          <c:layout>
            <c:manualLayout>
              <c:xMode val="edge"/>
              <c:yMode val="edge"/>
              <c:x val="2.5000000000000001E-2"/>
              <c:y val="0.2515817293671625"/>
            </c:manualLayout>
          </c:layout>
          <c:overlay val="0"/>
          <c:spPr>
            <a:noFill/>
            <a:ln>
              <a:noFill/>
            </a:ln>
            <a:effectLst/>
          </c:spPr>
          <c:txPr>
            <a:bodyPr rot="-5400000" spcFirstLastPara="1" vertOverflow="ellipsis" vert="horz" wrap="square" anchor="ctr" anchorCtr="1"/>
            <a:lstStyle/>
            <a:p>
              <a:pPr>
                <a:defRPr sz="1000" b="1"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12700" cap="flat" cmpd="sng" algn="ctr">
            <a:solidFill>
              <a:schemeClr val="tx1"/>
            </a:solidFill>
            <a:round/>
          </a:ln>
          <a:effectLst/>
        </c:spPr>
        <c:txPr>
          <a:bodyPr rot="-60000000" spcFirstLastPara="1" vertOverflow="ellipsis" vert="horz" wrap="square" anchor="ctr" anchorCtr="1"/>
          <a:lstStyle/>
          <a:p>
            <a:pPr>
              <a:defRPr sz="1000" b="1"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406972808"/>
        <c:crosses val="autoZero"/>
        <c:crossBetween val="midCat"/>
      </c:valAx>
      <c:spPr>
        <a:noFill/>
        <a:ln w="12700">
          <a:solidFill>
            <a:schemeClr val="tx1"/>
          </a:solidFill>
        </a:ln>
        <a:effectLst/>
      </c:spPr>
    </c:plotArea>
    <c:plotVisOnly val="1"/>
    <c:dispBlanksAs val="gap"/>
    <c:showDLblsOverMax val="0"/>
  </c:chart>
  <c:spPr>
    <a:solidFill>
      <a:schemeClr val="bg1"/>
    </a:solidFill>
    <a:ln w="19050" cap="flat" cmpd="sng" algn="ctr">
      <a:solidFill>
        <a:schemeClr val="tx1"/>
      </a:solidFill>
      <a:round/>
    </a:ln>
    <a:effectLst/>
  </c:spPr>
  <c:txPr>
    <a:bodyPr/>
    <a:lstStyle/>
    <a:p>
      <a:pPr>
        <a:defRPr sz="1000" b="1">
          <a:solidFill>
            <a:schemeClr val="tx1"/>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5">
  <a:schemeClr val="accent2"/>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EE0B6D-1C2C-4B7F-9E89-A6A55116F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195</TotalTime>
  <Pages>11</Pages>
  <Words>4267</Words>
  <Characters>24324</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28534</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26</cp:revision>
  <cp:lastPrinted>1999-07-06T11:00:00Z</cp:lastPrinted>
  <dcterms:created xsi:type="dcterms:W3CDTF">2014-10-25T14:34:00Z</dcterms:created>
  <dcterms:modified xsi:type="dcterms:W3CDTF">2025-06-23T07:29:00Z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0b50d1c7-9b0e-47d0-98be-f090ad7ced2f</vt:lpwstr>
  </property>
</Properties>
</file>