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8A85" w14:textId="77777777" w:rsidR="0040197C" w:rsidRDefault="0040197C" w:rsidP="00206769">
      <w:pPr>
        <w:jc w:val="center"/>
        <w:rPr>
          <w:rFonts w:ascii="Arial" w:hAnsi="Arial" w:cs="Arial"/>
          <w:b/>
          <w:sz w:val="36"/>
          <w:szCs w:val="36"/>
        </w:rPr>
      </w:pPr>
      <w:bookmarkStart w:id="0" w:name="_Hlk201707975"/>
      <w:r w:rsidRPr="0040197C">
        <w:rPr>
          <w:rFonts w:ascii="Arial" w:hAnsi="Arial" w:cs="Arial"/>
          <w:b/>
          <w:sz w:val="36"/>
          <w:szCs w:val="36"/>
        </w:rPr>
        <w:t xml:space="preserve">Original Research Article </w:t>
      </w:r>
    </w:p>
    <w:p w14:paraId="3FF81ACC" w14:textId="77777777" w:rsidR="0040197C" w:rsidRDefault="0040197C" w:rsidP="00206769">
      <w:pPr>
        <w:jc w:val="center"/>
        <w:rPr>
          <w:rFonts w:ascii="Arial" w:hAnsi="Arial" w:cs="Arial"/>
          <w:b/>
          <w:sz w:val="36"/>
          <w:szCs w:val="36"/>
        </w:rPr>
      </w:pPr>
    </w:p>
    <w:p w14:paraId="5FC6FC45" w14:textId="6A3CF7B7" w:rsidR="00206769" w:rsidRDefault="007C2657" w:rsidP="00206769">
      <w:pPr>
        <w:jc w:val="center"/>
        <w:rPr>
          <w:rFonts w:ascii="Arial" w:hAnsi="Arial" w:cs="Arial"/>
          <w:b/>
          <w:sz w:val="36"/>
          <w:szCs w:val="36"/>
        </w:rPr>
      </w:pPr>
      <w:r>
        <w:rPr>
          <w:rFonts w:ascii="Arial" w:hAnsi="Arial" w:cs="Arial"/>
          <w:b/>
          <w:sz w:val="36"/>
          <w:szCs w:val="36"/>
        </w:rPr>
        <w:t xml:space="preserve">Prevalence, </w:t>
      </w:r>
      <w:r w:rsidR="00206769" w:rsidRPr="003D317A">
        <w:rPr>
          <w:rFonts w:ascii="Arial" w:hAnsi="Arial" w:cs="Arial"/>
          <w:b/>
          <w:sz w:val="36"/>
          <w:szCs w:val="36"/>
        </w:rPr>
        <w:t xml:space="preserve">Molecular Characterization </w:t>
      </w:r>
      <w:proofErr w:type="gramStart"/>
      <w:r w:rsidR="003A78F8">
        <w:rPr>
          <w:rFonts w:ascii="Arial" w:hAnsi="Arial" w:cs="Arial"/>
          <w:b/>
          <w:sz w:val="36"/>
          <w:szCs w:val="36"/>
        </w:rPr>
        <w:t>And</w:t>
      </w:r>
      <w:proofErr w:type="gramEnd"/>
      <w:r w:rsidR="003A78F8">
        <w:rPr>
          <w:rFonts w:ascii="Arial" w:hAnsi="Arial" w:cs="Arial"/>
          <w:b/>
          <w:sz w:val="36"/>
          <w:szCs w:val="36"/>
        </w:rPr>
        <w:t xml:space="preserve"> Antibiotic Susceptibility Pattern </w:t>
      </w:r>
      <w:r w:rsidR="00206769" w:rsidRPr="003D317A">
        <w:rPr>
          <w:rFonts w:ascii="Arial" w:hAnsi="Arial" w:cs="Arial"/>
          <w:b/>
          <w:sz w:val="36"/>
          <w:szCs w:val="36"/>
        </w:rPr>
        <w:t xml:space="preserve">of Enteropathogenic Escherichia coli (EPEC) Strains Associated with Pediatric </w:t>
      </w:r>
      <w:proofErr w:type="spellStart"/>
      <w:r w:rsidR="00206769" w:rsidRPr="003D317A">
        <w:rPr>
          <w:rFonts w:ascii="Arial" w:hAnsi="Arial" w:cs="Arial"/>
          <w:b/>
          <w:sz w:val="36"/>
          <w:szCs w:val="36"/>
        </w:rPr>
        <w:t>Diarrhoea</w:t>
      </w:r>
      <w:proofErr w:type="spellEnd"/>
      <w:r w:rsidR="00206769" w:rsidRPr="003D317A">
        <w:rPr>
          <w:rFonts w:ascii="Arial" w:hAnsi="Arial" w:cs="Arial"/>
          <w:b/>
          <w:sz w:val="36"/>
          <w:szCs w:val="36"/>
        </w:rPr>
        <w:t xml:space="preserve"> in Abuja, Nigeria</w:t>
      </w:r>
    </w:p>
    <w:p w14:paraId="59A151B7" w14:textId="77777777" w:rsidR="00320FA7" w:rsidRPr="003D317A" w:rsidRDefault="00320FA7" w:rsidP="00206769">
      <w:pPr>
        <w:jc w:val="center"/>
        <w:rPr>
          <w:rFonts w:ascii="Arial" w:hAnsi="Arial" w:cs="Arial"/>
          <w:b/>
          <w:sz w:val="36"/>
          <w:szCs w:val="36"/>
        </w:rPr>
      </w:pPr>
    </w:p>
    <w:bookmarkEnd w:id="0"/>
    <w:p w14:paraId="072649F3" w14:textId="52657CB0" w:rsidR="00486FEA" w:rsidRPr="00486FEA" w:rsidRDefault="00486FEA" w:rsidP="00486FEA">
      <w:pPr>
        <w:jc w:val="both"/>
        <w:rPr>
          <w:rFonts w:ascii="Arial" w:hAnsi="Arial" w:cs="Arial"/>
          <w:b/>
          <w:sz w:val="20"/>
          <w:szCs w:val="20"/>
        </w:rPr>
      </w:pPr>
      <w:r w:rsidRPr="00486FEA">
        <w:rPr>
          <w:rFonts w:ascii="Arial" w:hAnsi="Arial" w:cs="Arial"/>
          <w:b/>
          <w:sz w:val="20"/>
          <w:szCs w:val="20"/>
        </w:rPr>
        <w:t>ABSTRACT</w:t>
      </w:r>
      <w:bookmarkStart w:id="1" w:name="_GoBack"/>
      <w:bookmarkEnd w:id="1"/>
    </w:p>
    <w:p w14:paraId="62EF95F0"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Aims:</w:t>
      </w:r>
    </w:p>
    <w:p w14:paraId="1C580DE7"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To determine the prevalence, molecular characteristics, and antibiotic susceptibility pattern of Enteropathogenic Escherichia coli (EPEC) strains isolated from children under five years of age presenting with acute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in Abuja, Nigeria, and to evaluate the utility of combining serotyping with molecular diagnostics in EPEC identification.</w:t>
      </w:r>
    </w:p>
    <w:p w14:paraId="791B9EB2"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Study Design:</w:t>
      </w:r>
    </w:p>
    <w:p w14:paraId="33A3F93E"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Cross-sectional descriptive study.</w:t>
      </w:r>
    </w:p>
    <w:p w14:paraId="1B28AC72"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Place and Duration of Study:</w:t>
      </w:r>
    </w:p>
    <w:p w14:paraId="026C4E7C" w14:textId="4398CF83" w:rsidR="00486FEA" w:rsidRPr="00486FEA" w:rsidRDefault="00486FEA" w:rsidP="00486FEA">
      <w:pPr>
        <w:jc w:val="both"/>
        <w:rPr>
          <w:rFonts w:ascii="Arial" w:hAnsi="Arial" w:cs="Arial"/>
          <w:bCs/>
          <w:sz w:val="20"/>
          <w:szCs w:val="20"/>
        </w:rPr>
      </w:pPr>
      <w:r>
        <w:rPr>
          <w:rFonts w:ascii="Arial" w:hAnsi="Arial" w:cs="Arial"/>
          <w:bCs/>
          <w:sz w:val="20"/>
          <w:szCs w:val="20"/>
        </w:rPr>
        <w:t>Abuja Municipal Area Council (AMAC)</w:t>
      </w:r>
      <w:r w:rsidRPr="00486FEA">
        <w:rPr>
          <w:rFonts w:ascii="Arial" w:hAnsi="Arial" w:cs="Arial"/>
          <w:bCs/>
          <w:sz w:val="20"/>
          <w:szCs w:val="20"/>
        </w:rPr>
        <w:t>,</w:t>
      </w:r>
      <w:r>
        <w:rPr>
          <w:rFonts w:ascii="Arial" w:hAnsi="Arial" w:cs="Arial"/>
          <w:bCs/>
          <w:sz w:val="20"/>
          <w:szCs w:val="20"/>
        </w:rPr>
        <w:t xml:space="preserve"> Federal Capital Territory, Abuja, Nigeria. </w:t>
      </w:r>
      <w:proofErr w:type="spellStart"/>
      <w:r>
        <w:rPr>
          <w:rFonts w:ascii="Arial" w:hAnsi="Arial" w:cs="Arial"/>
          <w:bCs/>
          <w:sz w:val="20"/>
          <w:szCs w:val="20"/>
        </w:rPr>
        <w:t>Garki</w:t>
      </w:r>
      <w:proofErr w:type="spellEnd"/>
      <w:r>
        <w:rPr>
          <w:rFonts w:ascii="Arial" w:hAnsi="Arial" w:cs="Arial"/>
          <w:bCs/>
          <w:sz w:val="20"/>
          <w:szCs w:val="20"/>
        </w:rPr>
        <w:t xml:space="preserve"> Hospital, Federal Medical Center, Abuja and National Hospital, Abuja</w:t>
      </w:r>
      <w:r w:rsidRPr="00486FEA">
        <w:rPr>
          <w:rFonts w:ascii="Arial" w:hAnsi="Arial" w:cs="Arial"/>
          <w:bCs/>
          <w:sz w:val="20"/>
          <w:szCs w:val="20"/>
        </w:rPr>
        <w:t xml:space="preserve"> between March 2022 and February 2023.</w:t>
      </w:r>
    </w:p>
    <w:p w14:paraId="2903E9E6" w14:textId="77777777" w:rsidR="00486FEA" w:rsidRPr="00486FEA" w:rsidRDefault="00486FEA" w:rsidP="00486FEA">
      <w:pPr>
        <w:jc w:val="both"/>
        <w:rPr>
          <w:rFonts w:ascii="Arial" w:hAnsi="Arial" w:cs="Arial"/>
          <w:b/>
          <w:sz w:val="20"/>
          <w:szCs w:val="20"/>
        </w:rPr>
      </w:pPr>
      <w:r w:rsidRPr="00486FEA">
        <w:rPr>
          <w:rFonts w:ascii="Arial" w:hAnsi="Arial" w:cs="Arial"/>
          <w:b/>
          <w:sz w:val="20"/>
          <w:szCs w:val="20"/>
        </w:rPr>
        <w:t>Methodology:</w:t>
      </w:r>
    </w:p>
    <w:p w14:paraId="1630E503"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A total of 200 </w:t>
      </w:r>
      <w:proofErr w:type="spellStart"/>
      <w:r w:rsidRPr="00486FEA">
        <w:rPr>
          <w:rFonts w:ascii="Arial" w:hAnsi="Arial" w:cs="Arial"/>
          <w:bCs/>
          <w:sz w:val="20"/>
          <w:szCs w:val="20"/>
        </w:rPr>
        <w:t>faecal</w:t>
      </w:r>
      <w:proofErr w:type="spellEnd"/>
      <w:r w:rsidRPr="00486FEA">
        <w:rPr>
          <w:rFonts w:ascii="Arial" w:hAnsi="Arial" w:cs="Arial"/>
          <w:bCs/>
          <w:sz w:val="20"/>
          <w:szCs w:val="20"/>
        </w:rPr>
        <w:t xml:space="preserve"> samples were collected from pediatric patients (aged &lt;5 years) with acute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E. coli was isolated using standard biochemical techniques. Confirmed isolates were serotyped with polyvalent and monovalent EPEC antisera. Molecular identification of the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(intimin) and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(bundle-forming pilus) virulence genes was carried out using polymerase chain reaction (PCR). Isolates were classified as typical EPEC (positive for both genes) or atypical EPEC (positive for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only). Antimicrobial susceptibility testing was performed using the disc diffusion method for commonly used antibiotics.</w:t>
      </w:r>
    </w:p>
    <w:p w14:paraId="46B99C8A"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Results</w:t>
      </w:r>
      <w:r w:rsidRPr="00486FEA">
        <w:rPr>
          <w:rFonts w:ascii="Arial" w:hAnsi="Arial" w:cs="Arial"/>
          <w:bCs/>
          <w:sz w:val="20"/>
          <w:szCs w:val="20"/>
        </w:rPr>
        <w:t>:</w:t>
      </w:r>
    </w:p>
    <w:p w14:paraId="59B7449B"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t xml:space="preserve">Of the 200 stool samples analyzed, 19 (9.5%) were confirmed as EPEC. The most frequently detected serotype was O55:K59 (B5). Molecular analysis revealed that 5 isolates (26.3%) were positive for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and 1 (5.2%) for </w:t>
      </w:r>
      <w:proofErr w:type="spellStart"/>
      <w:r w:rsidRPr="00486FEA">
        <w:rPr>
          <w:rFonts w:ascii="Arial" w:hAnsi="Arial" w:cs="Arial"/>
          <w:bCs/>
          <w:sz w:val="20"/>
          <w:szCs w:val="20"/>
        </w:rPr>
        <w:t>eaeA</w:t>
      </w:r>
      <w:proofErr w:type="spellEnd"/>
      <w:r w:rsidRPr="00486FEA">
        <w:rPr>
          <w:rFonts w:ascii="Arial" w:hAnsi="Arial" w:cs="Arial"/>
          <w:bCs/>
          <w:sz w:val="20"/>
          <w:szCs w:val="20"/>
        </w:rPr>
        <w:t>, indicating a predominance of atypical EPEC strains. The remaining isolates lacked both virulence genes, suggesting the limitations of serotyping alone. Antimicrobial susceptibility testing showed 100% resistance to ampicillin, with high resistance to trimethoprim (89.5%) and tetracycline (84.2%). Ciprofloxacin, ceftazidime, and ceftriaxone exhibited the highest effectiveness. Multidrug resistance was observed in 26.3% of isolates.</w:t>
      </w:r>
    </w:p>
    <w:p w14:paraId="4CE2041B"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Conclusion</w:t>
      </w:r>
      <w:r w:rsidRPr="00486FEA">
        <w:rPr>
          <w:rFonts w:ascii="Arial" w:hAnsi="Arial" w:cs="Arial"/>
          <w:bCs/>
          <w:sz w:val="20"/>
          <w:szCs w:val="20"/>
        </w:rPr>
        <w:t>:</w:t>
      </w:r>
    </w:p>
    <w:p w14:paraId="15C4547B" w14:textId="77777777" w:rsidR="00486FEA" w:rsidRPr="00486FEA" w:rsidRDefault="00486FEA" w:rsidP="00486FEA">
      <w:pPr>
        <w:jc w:val="both"/>
        <w:rPr>
          <w:rFonts w:ascii="Arial" w:hAnsi="Arial" w:cs="Arial"/>
          <w:bCs/>
          <w:sz w:val="20"/>
          <w:szCs w:val="20"/>
        </w:rPr>
      </w:pPr>
      <w:r w:rsidRPr="00486FEA">
        <w:rPr>
          <w:rFonts w:ascii="Arial" w:hAnsi="Arial" w:cs="Arial"/>
          <w:bCs/>
          <w:sz w:val="20"/>
          <w:szCs w:val="20"/>
        </w:rPr>
        <w:lastRenderedPageBreak/>
        <w:t xml:space="preserve">Atypical EPEC strains are more prevalent than typical EPEC in children with </w:t>
      </w:r>
      <w:proofErr w:type="spellStart"/>
      <w:r w:rsidRPr="00486FEA">
        <w:rPr>
          <w:rFonts w:ascii="Arial" w:hAnsi="Arial" w:cs="Arial"/>
          <w:bCs/>
          <w:sz w:val="20"/>
          <w:szCs w:val="20"/>
        </w:rPr>
        <w:t>diarrhoea</w:t>
      </w:r>
      <w:proofErr w:type="spellEnd"/>
      <w:r w:rsidRPr="00486FEA">
        <w:rPr>
          <w:rFonts w:ascii="Arial" w:hAnsi="Arial" w:cs="Arial"/>
          <w:bCs/>
          <w:sz w:val="20"/>
          <w:szCs w:val="20"/>
        </w:rPr>
        <w:t xml:space="preserve"> in Abuja. Combining molecular diagnostics with serotyping enhances detection accuracy. The high rate of antibiotic resistance, including multidrug resistance, underscores the need for routine surveillance to guide effective treatment and public health interventions.</w:t>
      </w:r>
    </w:p>
    <w:p w14:paraId="4B0DF3C1" w14:textId="77777777" w:rsidR="00486FEA" w:rsidRPr="00486FEA" w:rsidRDefault="00486FEA" w:rsidP="00486FEA">
      <w:pPr>
        <w:jc w:val="both"/>
        <w:rPr>
          <w:rFonts w:ascii="Arial" w:hAnsi="Arial" w:cs="Arial"/>
          <w:bCs/>
          <w:sz w:val="20"/>
          <w:szCs w:val="20"/>
        </w:rPr>
      </w:pPr>
      <w:r w:rsidRPr="00486FEA">
        <w:rPr>
          <w:rFonts w:ascii="Arial" w:hAnsi="Arial" w:cs="Arial"/>
          <w:b/>
          <w:sz w:val="20"/>
          <w:szCs w:val="20"/>
        </w:rPr>
        <w:t>Keywords</w:t>
      </w:r>
      <w:r w:rsidRPr="00486FEA">
        <w:rPr>
          <w:rFonts w:ascii="Arial" w:hAnsi="Arial" w:cs="Arial"/>
          <w:bCs/>
          <w:sz w:val="20"/>
          <w:szCs w:val="20"/>
        </w:rPr>
        <w:t xml:space="preserve">: Enteropathogenic E. coli (EPEC), Virulence genes, </w:t>
      </w:r>
      <w:proofErr w:type="spellStart"/>
      <w:r w:rsidRPr="00486FEA">
        <w:rPr>
          <w:rFonts w:ascii="Arial" w:hAnsi="Arial" w:cs="Arial"/>
          <w:bCs/>
          <w:sz w:val="20"/>
          <w:szCs w:val="20"/>
        </w:rPr>
        <w:t>eaeA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bfpA</w:t>
      </w:r>
      <w:proofErr w:type="spellEnd"/>
      <w:r w:rsidRPr="00486FEA">
        <w:rPr>
          <w:rFonts w:ascii="Arial" w:hAnsi="Arial" w:cs="Arial"/>
          <w:bCs/>
          <w:sz w:val="20"/>
          <w:szCs w:val="20"/>
        </w:rPr>
        <w:t xml:space="preserve">, </w:t>
      </w:r>
      <w:proofErr w:type="spellStart"/>
      <w:r w:rsidRPr="00486FEA">
        <w:rPr>
          <w:rFonts w:ascii="Arial" w:hAnsi="Arial" w:cs="Arial"/>
          <w:bCs/>
          <w:sz w:val="20"/>
          <w:szCs w:val="20"/>
        </w:rPr>
        <w:t>Diarrhoea</w:t>
      </w:r>
      <w:proofErr w:type="spellEnd"/>
      <w:r w:rsidRPr="00486FEA">
        <w:rPr>
          <w:rFonts w:ascii="Arial" w:hAnsi="Arial" w:cs="Arial"/>
          <w:bCs/>
          <w:sz w:val="20"/>
          <w:szCs w:val="20"/>
        </w:rPr>
        <w:t>, Molecular diagnostics, Antibiotic resistance, Nigeria, Children under five</w:t>
      </w:r>
    </w:p>
    <w:p w14:paraId="25292EC4" w14:textId="1C8FC55F" w:rsidR="00031C93" w:rsidRPr="003D317A" w:rsidRDefault="00031C93" w:rsidP="00031C93">
      <w:pPr>
        <w:jc w:val="both"/>
        <w:rPr>
          <w:rFonts w:ascii="Arial" w:hAnsi="Arial" w:cs="Arial"/>
        </w:rPr>
      </w:pPr>
    </w:p>
    <w:p w14:paraId="37F3D604"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1. Introduction</w:t>
      </w:r>
    </w:p>
    <w:p w14:paraId="206635DD" w14:textId="77777777" w:rsidR="00031C93" w:rsidRPr="003D317A" w:rsidRDefault="00031C93" w:rsidP="00031C93">
      <w:pPr>
        <w:jc w:val="both"/>
        <w:rPr>
          <w:rFonts w:ascii="Arial" w:hAnsi="Arial" w:cs="Arial"/>
          <w:sz w:val="20"/>
          <w:szCs w:val="20"/>
        </w:rPr>
      </w:pP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disease remains a leading cause of morbidity and mortality among children under five years of age, particularly in low- and middle-income countries (LMICs) such as Nigeria. The United Nations Children’s Fund (UNICEF, 2020) reports that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is responsible for approximately 8% of global childhood deaths, resulting in an estimated 480,000 fatalities annually, despite the availability of effective treatment interventions. Among the various etiological agents, Enteropathogenic </w:t>
      </w:r>
      <w:r w:rsidRPr="003D317A">
        <w:rPr>
          <w:rFonts w:ascii="Arial" w:hAnsi="Arial" w:cs="Arial"/>
          <w:i/>
          <w:iCs/>
          <w:sz w:val="20"/>
          <w:szCs w:val="20"/>
        </w:rPr>
        <w:t>Escherichia coli</w:t>
      </w:r>
      <w:r w:rsidRPr="003D317A">
        <w:rPr>
          <w:rFonts w:ascii="Arial" w:hAnsi="Arial" w:cs="Arial"/>
          <w:sz w:val="20"/>
          <w:szCs w:val="20"/>
        </w:rPr>
        <w:t xml:space="preserve"> (EPEC) has been consistently implicated in </w:t>
      </w:r>
      <w:proofErr w:type="spellStart"/>
      <w:r w:rsidRPr="003D317A">
        <w:rPr>
          <w:rFonts w:ascii="Arial" w:hAnsi="Arial" w:cs="Arial"/>
          <w:sz w:val="20"/>
          <w:szCs w:val="20"/>
        </w:rPr>
        <w:t>paediatric</w:t>
      </w:r>
      <w:proofErr w:type="spellEnd"/>
      <w:r w:rsidRPr="003D317A">
        <w:rPr>
          <w:rFonts w:ascii="Arial" w:hAnsi="Arial" w:cs="Arial"/>
          <w:sz w:val="20"/>
          <w:szCs w:val="20"/>
        </w:rPr>
        <w:t xml:space="preserve"> </w:t>
      </w:r>
      <w:proofErr w:type="spellStart"/>
      <w:r w:rsidRPr="003D317A">
        <w:rPr>
          <w:rFonts w:ascii="Arial" w:hAnsi="Arial" w:cs="Arial"/>
          <w:sz w:val="20"/>
          <w:szCs w:val="20"/>
        </w:rPr>
        <w:t>diarrhoea</w:t>
      </w:r>
      <w:proofErr w:type="spellEnd"/>
      <w:r w:rsidRPr="003D317A">
        <w:rPr>
          <w:rFonts w:ascii="Arial" w:hAnsi="Arial" w:cs="Arial"/>
          <w:sz w:val="20"/>
          <w:szCs w:val="20"/>
        </w:rPr>
        <w:t>, particularly in settings marked by inadequate sanitation, limited access to clean water, and suboptimal hygiene practices (</w:t>
      </w:r>
      <w:proofErr w:type="spellStart"/>
      <w:r w:rsidRPr="003D317A">
        <w:rPr>
          <w:rFonts w:ascii="Arial" w:hAnsi="Arial" w:cs="Arial"/>
          <w:sz w:val="20"/>
          <w:szCs w:val="20"/>
        </w:rPr>
        <w:t>Akinlabi</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2023).</w:t>
      </w:r>
    </w:p>
    <w:p w14:paraId="0C2D340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EPEC represents a non-toxigenic pathotype of </w:t>
      </w:r>
      <w:r w:rsidRPr="003D317A">
        <w:rPr>
          <w:rFonts w:ascii="Arial" w:hAnsi="Arial" w:cs="Arial"/>
          <w:i/>
          <w:iCs/>
          <w:sz w:val="20"/>
          <w:szCs w:val="20"/>
        </w:rPr>
        <w:t>E. coli</w:t>
      </w:r>
      <w:r w:rsidRPr="003D317A">
        <w:rPr>
          <w:rFonts w:ascii="Arial" w:hAnsi="Arial" w:cs="Arial"/>
          <w:sz w:val="20"/>
          <w:szCs w:val="20"/>
        </w:rPr>
        <w:t xml:space="preserve"> characterized by its ability to induce attaching and effacing (A/E) lesions on the intestinal epithelium. These lesions result from the intimate adherence of the bacterium to the mucosal surface, leading to the effacement of microvilli and subsequent disruption of nutrient absorption, which manifests clinically as watery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The pathogenicity of EPEC is closely associated with several virulence determinants, most notably the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gene encoding intimin—a key adherence protein—and the locus of enterocyte effacement (LEE), a pathogenicity island that encodes a type III secretion system (Smith </w:t>
      </w:r>
      <w:r w:rsidRPr="003D317A">
        <w:rPr>
          <w:rFonts w:ascii="Arial" w:hAnsi="Arial" w:cs="Arial"/>
          <w:i/>
          <w:iCs/>
          <w:sz w:val="20"/>
          <w:szCs w:val="20"/>
        </w:rPr>
        <w:t>et al.,</w:t>
      </w:r>
      <w:r w:rsidRPr="003D317A">
        <w:rPr>
          <w:rFonts w:ascii="Arial" w:hAnsi="Arial" w:cs="Arial"/>
          <w:sz w:val="20"/>
          <w:szCs w:val="20"/>
        </w:rPr>
        <w:t xml:space="preserve"> 2021). This secretion apparatus enables the direct translocation of bacterial effector proteins into host enterocytes, triggering cytoskeletal rearrangements that culminate in lesion formation.</w:t>
      </w:r>
    </w:p>
    <w:p w14:paraId="3D31DB1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Two subtypes of EPEC have been identified based on their genetic profiles: typical EPEC (</w:t>
      </w:r>
      <w:proofErr w:type="spellStart"/>
      <w:r w:rsidRPr="003D317A">
        <w:rPr>
          <w:rFonts w:ascii="Arial" w:hAnsi="Arial" w:cs="Arial"/>
          <w:sz w:val="20"/>
          <w:szCs w:val="20"/>
        </w:rPr>
        <w:t>tEPEC</w:t>
      </w:r>
      <w:proofErr w:type="spellEnd"/>
      <w:r w:rsidRPr="003D317A">
        <w:rPr>
          <w:rFonts w:ascii="Arial" w:hAnsi="Arial" w:cs="Arial"/>
          <w:sz w:val="20"/>
          <w:szCs w:val="20"/>
        </w:rPr>
        <w:t xml:space="preserve">), which </w:t>
      </w:r>
      <w:proofErr w:type="spellStart"/>
      <w:r w:rsidRPr="003D317A">
        <w:rPr>
          <w:rFonts w:ascii="Arial" w:hAnsi="Arial" w:cs="Arial"/>
          <w:sz w:val="20"/>
          <w:szCs w:val="20"/>
        </w:rPr>
        <w:t>harbours</w:t>
      </w:r>
      <w:proofErr w:type="spellEnd"/>
      <w:r w:rsidRPr="003D317A">
        <w:rPr>
          <w:rFonts w:ascii="Arial" w:hAnsi="Arial" w:cs="Arial"/>
          <w:sz w:val="20"/>
          <w:szCs w:val="20"/>
        </w:rPr>
        <w:t xml:space="preserve"> both the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genes (the latter encoding the bundle-forming pilus), and atypical EPEC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which lacks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but retains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Atypical strains have increasingly been recognized as emerging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pathogens, especially in developing countries, and their epidemiological and clinical significance warrants further investigation.</w:t>
      </w:r>
    </w:p>
    <w:p w14:paraId="3CAEE66F" w14:textId="7DD07A04"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Accurate detection of EPEC is essential for both clinical diagnosis and epidemiological monitoring. While traditional culture-based methods such as growth on MacConkey agar and biochemical identification remain useful for isolating </w:t>
      </w:r>
      <w:r w:rsidRPr="003D317A">
        <w:rPr>
          <w:rFonts w:ascii="Arial" w:hAnsi="Arial" w:cs="Arial"/>
          <w:i/>
          <w:iCs/>
          <w:sz w:val="20"/>
          <w:szCs w:val="20"/>
        </w:rPr>
        <w:t>E. coli</w:t>
      </w:r>
      <w:r w:rsidRPr="003D317A">
        <w:rPr>
          <w:rFonts w:ascii="Arial" w:hAnsi="Arial" w:cs="Arial"/>
          <w:sz w:val="20"/>
          <w:szCs w:val="20"/>
        </w:rPr>
        <w:t xml:space="preserve">, they are insufficient for differentiating EPEC from other diarrhoeagenic </w:t>
      </w:r>
      <w:r w:rsidRPr="003D317A">
        <w:rPr>
          <w:rFonts w:ascii="Arial" w:hAnsi="Arial" w:cs="Arial"/>
          <w:i/>
          <w:iCs/>
          <w:sz w:val="20"/>
          <w:szCs w:val="20"/>
        </w:rPr>
        <w:t>E. coli</w:t>
      </w:r>
      <w:r w:rsidRPr="003D317A">
        <w:rPr>
          <w:rFonts w:ascii="Arial" w:hAnsi="Arial" w:cs="Arial"/>
          <w:sz w:val="20"/>
          <w:szCs w:val="20"/>
        </w:rPr>
        <w:t xml:space="preserve"> pathotypes. Molecular approaches, particularly PCR targeting </w:t>
      </w:r>
      <w:proofErr w:type="spellStart"/>
      <w:r w:rsidRPr="003D317A">
        <w:rPr>
          <w:rFonts w:ascii="Arial" w:hAnsi="Arial" w:cs="Arial"/>
          <w:i/>
          <w:iCs/>
          <w:sz w:val="20"/>
          <w:szCs w:val="20"/>
        </w:rPr>
        <w:t>eae</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have emerged as the diagnostic gold standard due to their sensitivity and specificity. Complementary techniques, including enzyme-linked immunosorbent assays (ELISA) and immunofluorescence microscopy, are also employed for the identification of EPEC-specific antigens in clinical specimens (</w:t>
      </w:r>
      <w:proofErr w:type="spellStart"/>
      <w:r w:rsidRPr="003D317A">
        <w:rPr>
          <w:rFonts w:ascii="Arial" w:hAnsi="Arial" w:cs="Arial"/>
          <w:sz w:val="20"/>
          <w:szCs w:val="20"/>
        </w:rPr>
        <w:t>Odetoyin</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2023).</w:t>
      </w:r>
    </w:p>
    <w:p w14:paraId="1CCB0B7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In light of the ongoing burden of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disease and the need for precise pathogen identification, this study aimed to determine the prevalence of EPEC among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Abuja, Nigeria, and to characterize their virulence gene profiles using molecular techniques.</w:t>
      </w:r>
    </w:p>
    <w:p w14:paraId="173F72D5"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 Materials and Methods</w:t>
      </w:r>
    </w:p>
    <w:p w14:paraId="78250A0D"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2.1 Study Design and Setting</w:t>
      </w:r>
    </w:p>
    <w:p w14:paraId="3FFF8929" w14:textId="20D1F25C" w:rsidR="00031C93" w:rsidRPr="003D317A" w:rsidRDefault="00031C93" w:rsidP="00031C93">
      <w:pPr>
        <w:jc w:val="both"/>
        <w:rPr>
          <w:rFonts w:ascii="Arial" w:hAnsi="Arial" w:cs="Arial"/>
          <w:sz w:val="20"/>
          <w:szCs w:val="20"/>
        </w:rPr>
      </w:pPr>
      <w:r w:rsidRPr="003D317A">
        <w:rPr>
          <w:rFonts w:ascii="Arial" w:hAnsi="Arial" w:cs="Arial"/>
          <w:sz w:val="20"/>
          <w:szCs w:val="20"/>
        </w:rPr>
        <w:lastRenderedPageBreak/>
        <w:t xml:space="preserve">A cross-sectional descriptive study was conducted among children under five years of age presenting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at selected health facilities within the Abuja Municipal Area Council (AMAC), Federal Capital Territory, Nigeria. The primary objective was to determine the prevalence</w:t>
      </w:r>
      <w:r w:rsidR="00486FEA">
        <w:rPr>
          <w:rFonts w:ascii="Arial" w:hAnsi="Arial" w:cs="Arial"/>
          <w:sz w:val="20"/>
          <w:szCs w:val="20"/>
        </w:rPr>
        <w:t>,</w:t>
      </w:r>
      <w:r w:rsidRPr="003D317A">
        <w:rPr>
          <w:rFonts w:ascii="Arial" w:hAnsi="Arial" w:cs="Arial"/>
          <w:sz w:val="20"/>
          <w:szCs w:val="20"/>
        </w:rPr>
        <w:t xml:space="preserve"> molecular characteristics</w:t>
      </w:r>
      <w:r w:rsidR="00486FEA">
        <w:rPr>
          <w:rFonts w:ascii="Arial" w:hAnsi="Arial" w:cs="Arial"/>
          <w:sz w:val="20"/>
          <w:szCs w:val="20"/>
        </w:rPr>
        <w:t xml:space="preserve"> and antibiotic susceptibility pattern</w:t>
      </w:r>
      <w:r w:rsidRPr="003D317A">
        <w:rPr>
          <w:rFonts w:ascii="Arial" w:hAnsi="Arial" w:cs="Arial"/>
          <w:sz w:val="20"/>
          <w:szCs w:val="20"/>
        </w:rPr>
        <w:t xml:space="preserve"> of typical and atypical </w:t>
      </w:r>
      <w:r w:rsidRPr="003D317A">
        <w:rPr>
          <w:rFonts w:ascii="Arial" w:hAnsi="Arial" w:cs="Arial"/>
          <w:i/>
          <w:iCs/>
          <w:sz w:val="20"/>
          <w:szCs w:val="20"/>
        </w:rPr>
        <w:t>Enteropathogenic Escherichia coli</w:t>
      </w:r>
      <w:r w:rsidRPr="003D317A">
        <w:rPr>
          <w:rFonts w:ascii="Arial" w:hAnsi="Arial" w:cs="Arial"/>
          <w:sz w:val="20"/>
          <w:szCs w:val="20"/>
        </w:rPr>
        <w:t xml:space="preserve"> (EPEC) strains in this population.</w:t>
      </w:r>
    </w:p>
    <w:p w14:paraId="493DCE39"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2.2 Ethical Considerations</w:t>
      </w:r>
    </w:p>
    <w:p w14:paraId="24AE3210" w14:textId="77777777" w:rsidR="0094428C" w:rsidRPr="00FF0F8B" w:rsidRDefault="0094428C" w:rsidP="0094428C">
      <w:pPr>
        <w:jc w:val="both"/>
        <w:rPr>
          <w:rFonts w:ascii="Arial" w:hAnsi="Arial" w:cs="Arial"/>
          <w:sz w:val="20"/>
          <w:szCs w:val="20"/>
        </w:rPr>
      </w:pPr>
      <w:r w:rsidRPr="00FF0F8B">
        <w:rPr>
          <w:rFonts w:ascii="Arial" w:hAnsi="Arial" w:cs="Arial"/>
          <w:sz w:val="20"/>
          <w:szCs w:val="20"/>
        </w:rPr>
        <w:t xml:space="preserve">Ethical approval for the study was obtained from </w:t>
      </w:r>
      <w:r w:rsidRPr="00A61734">
        <w:rPr>
          <w:rFonts w:ascii="Arial" w:hAnsi="Arial" w:cs="Arial"/>
          <w:sz w:val="20"/>
          <w:szCs w:val="20"/>
        </w:rPr>
        <w:t>the Health Research Ethical Committee (HREC) at the Federal Ministry of Health, Abuja</w:t>
      </w:r>
      <w:r>
        <w:rPr>
          <w:rFonts w:ascii="Arial" w:hAnsi="Arial" w:cs="Arial"/>
          <w:sz w:val="20"/>
          <w:szCs w:val="20"/>
        </w:rPr>
        <w:t xml:space="preserve"> with approval number – FHREC/2023/01/221/01/221/01-11-23</w:t>
      </w:r>
      <w:r w:rsidRPr="00FF0F8B">
        <w:rPr>
          <w:rFonts w:ascii="Arial" w:hAnsi="Arial" w:cs="Arial"/>
          <w:sz w:val="20"/>
          <w:szCs w:val="20"/>
        </w:rPr>
        <w:t>. Additionally, administrative permission was secured from the management of each participating health facility. Written informed consent was obtained from caregivers before the commencement of data and sample collection. Participants' confidentiality and the anonymity of their data were ensured throughout the research process.</w:t>
      </w:r>
    </w:p>
    <w:p w14:paraId="749AF02C"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2.3 Sample Size Determination</w:t>
      </w:r>
    </w:p>
    <w:p w14:paraId="76FCCAA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The sample size was calculated using the prevalence rate of diarrhoeagenic </w:t>
      </w:r>
      <w:r w:rsidRPr="003D317A">
        <w:rPr>
          <w:rFonts w:ascii="Arial" w:hAnsi="Arial" w:cs="Arial"/>
          <w:i/>
          <w:iCs/>
          <w:sz w:val="20"/>
          <w:szCs w:val="20"/>
        </w:rPr>
        <w:t>Escherichia coli</w:t>
      </w:r>
      <w:r w:rsidRPr="003D317A">
        <w:rPr>
          <w:rFonts w:ascii="Arial" w:hAnsi="Arial" w:cs="Arial"/>
          <w:sz w:val="20"/>
          <w:szCs w:val="20"/>
        </w:rPr>
        <w:t xml:space="preserve"> (15%) previously reported among children under five in Gwagwalada, Abuja (Adebola </w:t>
      </w:r>
      <w:r w:rsidRPr="003D317A">
        <w:rPr>
          <w:rFonts w:ascii="Arial" w:hAnsi="Arial" w:cs="Arial"/>
          <w:i/>
          <w:iCs/>
          <w:sz w:val="20"/>
          <w:szCs w:val="20"/>
        </w:rPr>
        <w:t>et al.,</w:t>
      </w:r>
      <w:r w:rsidRPr="003D317A">
        <w:rPr>
          <w:rFonts w:ascii="Arial" w:hAnsi="Arial" w:cs="Arial"/>
          <w:sz w:val="20"/>
          <w:szCs w:val="20"/>
        </w:rPr>
        <w:t xml:space="preserve"> 2014). Employing the standard formula for sample size estimation in cross-sectional studies described by Daniel (1999), a minimum of 200 samples was determined sufficient at a 95% confidence level and a 5% margin of error.</w:t>
      </w:r>
    </w:p>
    <w:p w14:paraId="5AF786D7"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2.4 Sample Collection and Transport</w:t>
      </w:r>
    </w:p>
    <w:p w14:paraId="64FCD10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Stool specimens were collected aseptically from children aged 0–59 months presenting with acute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at participating hospitals. Following ethical clearance and parental consent, each sample was obtained in sterile, leak-proof stool containers, appropriately labeled with the patient's identification code, age, sex, and collection date. The samples were immediately transported on ice to the microbiology laboratory and stored at −20°C until processing.</w:t>
      </w:r>
    </w:p>
    <w:p w14:paraId="51EBDB19"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2.5 Bacterial Isolation and Identification</w:t>
      </w:r>
    </w:p>
    <w:p w14:paraId="60413AF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Initial isolation of </w:t>
      </w:r>
      <w:r w:rsidRPr="003D317A">
        <w:rPr>
          <w:rFonts w:ascii="Arial" w:hAnsi="Arial" w:cs="Arial"/>
          <w:i/>
          <w:iCs/>
          <w:sz w:val="20"/>
          <w:szCs w:val="20"/>
        </w:rPr>
        <w:t>E. coli</w:t>
      </w:r>
      <w:r w:rsidRPr="003D317A">
        <w:rPr>
          <w:rFonts w:ascii="Arial" w:hAnsi="Arial" w:cs="Arial"/>
          <w:sz w:val="20"/>
          <w:szCs w:val="20"/>
        </w:rPr>
        <w:t xml:space="preserve"> was carried out by culturing each stool sample on MacConkey agar (</w:t>
      </w:r>
      <w:proofErr w:type="spellStart"/>
      <w:r w:rsidRPr="003D317A">
        <w:rPr>
          <w:rFonts w:ascii="Arial" w:hAnsi="Arial" w:cs="Arial"/>
          <w:sz w:val="20"/>
          <w:szCs w:val="20"/>
        </w:rPr>
        <w:t>Oxoid</w:t>
      </w:r>
      <w:proofErr w:type="spellEnd"/>
      <w:r w:rsidRPr="003D317A">
        <w:rPr>
          <w:rFonts w:ascii="Arial" w:hAnsi="Arial" w:cs="Arial"/>
          <w:sz w:val="20"/>
          <w:szCs w:val="20"/>
        </w:rPr>
        <w:t xml:space="preserve">, UK), followed by incubation at 37°C for 24 hours. Pink colonies indicative of lactose fermentation </w:t>
      </w:r>
      <w:proofErr w:type="gramStart"/>
      <w:r w:rsidRPr="003D317A">
        <w:rPr>
          <w:rFonts w:ascii="Arial" w:hAnsi="Arial" w:cs="Arial"/>
          <w:sz w:val="20"/>
          <w:szCs w:val="20"/>
        </w:rPr>
        <w:t>were</w:t>
      </w:r>
      <w:proofErr w:type="gramEnd"/>
      <w:r w:rsidRPr="003D317A">
        <w:rPr>
          <w:rFonts w:ascii="Arial" w:hAnsi="Arial" w:cs="Arial"/>
          <w:sz w:val="20"/>
          <w:szCs w:val="20"/>
        </w:rPr>
        <w:t xml:space="preserve"> </w:t>
      </w:r>
      <w:proofErr w:type="spellStart"/>
      <w:r w:rsidRPr="003D317A">
        <w:rPr>
          <w:rFonts w:ascii="Arial" w:hAnsi="Arial" w:cs="Arial"/>
          <w:sz w:val="20"/>
          <w:szCs w:val="20"/>
        </w:rPr>
        <w:t>subcultured</w:t>
      </w:r>
      <w:proofErr w:type="spellEnd"/>
      <w:r w:rsidRPr="003D317A">
        <w:rPr>
          <w:rFonts w:ascii="Arial" w:hAnsi="Arial" w:cs="Arial"/>
          <w:sz w:val="20"/>
          <w:szCs w:val="20"/>
        </w:rPr>
        <w:t xml:space="preserve"> onto Eosin Methylene Blue (EMB) agar and re-incubated under identical conditions to confirm the presence of </w:t>
      </w:r>
      <w:r w:rsidRPr="003D317A">
        <w:rPr>
          <w:rFonts w:ascii="Arial" w:hAnsi="Arial" w:cs="Arial"/>
          <w:i/>
          <w:iCs/>
          <w:sz w:val="20"/>
          <w:szCs w:val="20"/>
        </w:rPr>
        <w:t>E. coli</w:t>
      </w:r>
      <w:r w:rsidRPr="003D317A">
        <w:rPr>
          <w:rFonts w:ascii="Arial" w:hAnsi="Arial" w:cs="Arial"/>
          <w:sz w:val="20"/>
          <w:szCs w:val="20"/>
        </w:rPr>
        <w:t xml:space="preserve"> through the observation of characteristic green metallic sheen colonies. Presumptive </w:t>
      </w:r>
      <w:r w:rsidRPr="003D317A">
        <w:rPr>
          <w:rFonts w:ascii="Arial" w:hAnsi="Arial" w:cs="Arial"/>
          <w:i/>
          <w:iCs/>
          <w:sz w:val="20"/>
          <w:szCs w:val="20"/>
        </w:rPr>
        <w:t>E. coli</w:t>
      </w:r>
      <w:r w:rsidRPr="003D317A">
        <w:rPr>
          <w:rFonts w:ascii="Arial" w:hAnsi="Arial" w:cs="Arial"/>
          <w:sz w:val="20"/>
          <w:szCs w:val="20"/>
        </w:rPr>
        <w:t xml:space="preserve"> isolates were subjected to a series of standard biochemical tests, including indole, methyl red, Voges–Proskauer, citrate utilization, and triple sugar iron (TSI) reactions, to confirm their identity.</w:t>
      </w:r>
    </w:p>
    <w:p w14:paraId="417F798F"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2.6 Serological Identification of EPEC</w:t>
      </w:r>
    </w:p>
    <w:p w14:paraId="52673166" w14:textId="5F0D7AC5"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Biochemically confirmed </w:t>
      </w:r>
      <w:r w:rsidRPr="003D317A">
        <w:rPr>
          <w:rFonts w:ascii="Arial" w:hAnsi="Arial" w:cs="Arial"/>
          <w:i/>
          <w:iCs/>
          <w:sz w:val="20"/>
          <w:szCs w:val="20"/>
        </w:rPr>
        <w:t>E. coli</w:t>
      </w:r>
      <w:r w:rsidRPr="003D317A">
        <w:rPr>
          <w:rFonts w:ascii="Arial" w:hAnsi="Arial" w:cs="Arial"/>
          <w:sz w:val="20"/>
          <w:szCs w:val="20"/>
        </w:rPr>
        <w:t xml:space="preserve"> isolates were serotyped using slide agglutination with commercial polyvalent and monovalent </w:t>
      </w:r>
      <w:proofErr w:type="gramStart"/>
      <w:r w:rsidRPr="003D317A">
        <w:rPr>
          <w:rFonts w:ascii="Arial" w:hAnsi="Arial" w:cs="Arial"/>
          <w:sz w:val="20"/>
          <w:szCs w:val="20"/>
        </w:rPr>
        <w:t>O:K</w:t>
      </w:r>
      <w:proofErr w:type="gramEnd"/>
      <w:r w:rsidRPr="003D317A">
        <w:rPr>
          <w:rFonts w:ascii="Arial" w:hAnsi="Arial" w:cs="Arial"/>
          <w:sz w:val="20"/>
          <w:szCs w:val="20"/>
        </w:rPr>
        <w:t xml:space="preserve"> antisera (Guangdong </w:t>
      </w:r>
      <w:proofErr w:type="spellStart"/>
      <w:r w:rsidRPr="003D317A">
        <w:rPr>
          <w:rFonts w:ascii="Arial" w:hAnsi="Arial" w:cs="Arial"/>
          <w:sz w:val="20"/>
          <w:szCs w:val="20"/>
        </w:rPr>
        <w:t>Huankai</w:t>
      </w:r>
      <w:proofErr w:type="spellEnd"/>
      <w:r w:rsidRPr="003D317A">
        <w:rPr>
          <w:rFonts w:ascii="Arial" w:hAnsi="Arial" w:cs="Arial"/>
          <w:sz w:val="20"/>
          <w:szCs w:val="20"/>
        </w:rPr>
        <w:t xml:space="preserve"> Microbial Sci. &amp; Tech. Co. Ltd., China), according to the manufacturer's instructions. Initial screening was conducted with polyvalent O antisera specific for EPEC strains. Isolates testing positive were subsequently subjected to serotyping using monovalent antisera targeting the following serotypes: </w:t>
      </w:r>
      <w:r w:rsidR="00DD35E4" w:rsidRPr="003D317A">
        <w:rPr>
          <w:rFonts w:ascii="Arial" w:hAnsi="Arial" w:cs="Arial"/>
          <w:sz w:val="20"/>
          <w:szCs w:val="20"/>
        </w:rPr>
        <w:t xml:space="preserve">O55:K59(B5), </w:t>
      </w:r>
      <w:r w:rsidRPr="003D317A">
        <w:rPr>
          <w:rFonts w:ascii="Arial" w:hAnsi="Arial" w:cs="Arial"/>
          <w:sz w:val="20"/>
          <w:szCs w:val="20"/>
        </w:rPr>
        <w:t xml:space="preserve">O26:K60(B6), </w:t>
      </w:r>
      <w:r w:rsidR="00DD35E4" w:rsidRPr="003D317A">
        <w:rPr>
          <w:rFonts w:ascii="Arial" w:hAnsi="Arial" w:cs="Arial"/>
          <w:sz w:val="20"/>
          <w:szCs w:val="20"/>
        </w:rPr>
        <w:t xml:space="preserve">O127:K63(B8), </w:t>
      </w:r>
      <w:r w:rsidRPr="003D317A">
        <w:rPr>
          <w:rFonts w:ascii="Arial" w:hAnsi="Arial" w:cs="Arial"/>
          <w:sz w:val="20"/>
          <w:szCs w:val="20"/>
        </w:rPr>
        <w:t xml:space="preserve">O111:K58(B4), O126:K71(B16), </w:t>
      </w:r>
      <w:r w:rsidR="00DD35E4" w:rsidRPr="003D317A">
        <w:rPr>
          <w:rFonts w:ascii="Arial" w:hAnsi="Arial" w:cs="Arial"/>
          <w:sz w:val="20"/>
          <w:szCs w:val="20"/>
        </w:rPr>
        <w:t xml:space="preserve">O119:K69(B14), </w:t>
      </w:r>
      <w:r w:rsidRPr="003D317A">
        <w:rPr>
          <w:rFonts w:ascii="Arial" w:hAnsi="Arial" w:cs="Arial"/>
          <w:sz w:val="20"/>
          <w:szCs w:val="20"/>
        </w:rPr>
        <w:t xml:space="preserve">O86:K61(B7), O114:K90(B), O125:K70(B15), O128:K67(B12), </w:t>
      </w:r>
      <w:r w:rsidR="00DD35E4" w:rsidRPr="003D317A">
        <w:rPr>
          <w:rFonts w:ascii="Arial" w:hAnsi="Arial" w:cs="Arial"/>
          <w:sz w:val="20"/>
          <w:szCs w:val="20"/>
        </w:rPr>
        <w:t>O18c:K77(B21</w:t>
      </w:r>
      <w:r w:rsidRPr="003D317A">
        <w:rPr>
          <w:rFonts w:ascii="Arial" w:hAnsi="Arial" w:cs="Arial"/>
          <w:sz w:val="20"/>
          <w:szCs w:val="20"/>
        </w:rPr>
        <w:t xml:space="preserve">), O112:K66(B11), </w:t>
      </w:r>
      <w:r w:rsidR="00DD35E4" w:rsidRPr="003D317A">
        <w:rPr>
          <w:rFonts w:ascii="Arial" w:hAnsi="Arial" w:cs="Arial"/>
          <w:sz w:val="20"/>
          <w:szCs w:val="20"/>
        </w:rPr>
        <w:t xml:space="preserve">O142:K86(B), </w:t>
      </w:r>
      <w:r w:rsidRPr="003D317A">
        <w:rPr>
          <w:rFonts w:ascii="Arial" w:hAnsi="Arial" w:cs="Arial"/>
          <w:sz w:val="20"/>
          <w:szCs w:val="20"/>
        </w:rPr>
        <w:t>O124:K72(B17), and</w:t>
      </w:r>
      <w:r w:rsidR="00DD35E4" w:rsidRPr="00DD35E4">
        <w:rPr>
          <w:rFonts w:ascii="Arial" w:hAnsi="Arial" w:cs="Arial"/>
          <w:sz w:val="20"/>
          <w:szCs w:val="20"/>
        </w:rPr>
        <w:t xml:space="preserve"> </w:t>
      </w:r>
      <w:r w:rsidR="00DD35E4" w:rsidRPr="003D317A">
        <w:rPr>
          <w:rFonts w:ascii="Arial" w:hAnsi="Arial" w:cs="Arial"/>
          <w:sz w:val="20"/>
          <w:szCs w:val="20"/>
        </w:rPr>
        <w:t>O44:K74(L</w:t>
      </w:r>
      <w:r w:rsidRPr="003D317A">
        <w:rPr>
          <w:rFonts w:ascii="Arial" w:hAnsi="Arial" w:cs="Arial"/>
          <w:sz w:val="20"/>
          <w:szCs w:val="20"/>
        </w:rPr>
        <w:t>).</w:t>
      </w:r>
    </w:p>
    <w:p w14:paraId="5BDEF6B6"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2.7 Molecular Detection of EPEC Virulence Genes</w:t>
      </w:r>
    </w:p>
    <w:p w14:paraId="13AB8A19" w14:textId="77777777" w:rsidR="00031C93" w:rsidRDefault="00031C93" w:rsidP="00031C93">
      <w:pPr>
        <w:jc w:val="both"/>
        <w:rPr>
          <w:rFonts w:ascii="Arial" w:hAnsi="Arial" w:cs="Arial"/>
          <w:sz w:val="20"/>
          <w:szCs w:val="20"/>
        </w:rPr>
      </w:pPr>
      <w:r w:rsidRPr="003D317A">
        <w:rPr>
          <w:rFonts w:ascii="Arial" w:hAnsi="Arial" w:cs="Arial"/>
          <w:sz w:val="20"/>
          <w:szCs w:val="20"/>
        </w:rPr>
        <w:lastRenderedPageBreak/>
        <w:t xml:space="preserve">Confirmed EPEC isolates were subjected to molecular analysis using polymerase chain reaction (PCR) to detect two key virulence-associated genes: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(encoding intimin)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(encoding bundle-forming pilus). Genomic DNA was extracted using the </w:t>
      </w:r>
      <w:proofErr w:type="spellStart"/>
      <w:r w:rsidRPr="003D317A">
        <w:rPr>
          <w:rFonts w:ascii="Arial" w:hAnsi="Arial" w:cs="Arial"/>
          <w:sz w:val="20"/>
          <w:szCs w:val="20"/>
        </w:rPr>
        <w:t>Zymo</w:t>
      </w:r>
      <w:proofErr w:type="spellEnd"/>
      <w:r w:rsidRPr="003D317A">
        <w:rPr>
          <w:rFonts w:ascii="Arial" w:hAnsi="Arial" w:cs="Arial"/>
          <w:sz w:val="20"/>
          <w:szCs w:val="20"/>
        </w:rPr>
        <w:t xml:space="preserve"> Research Quick-DNA™ Miniprep Kit, following the manufacturer’s protocol. Primer sequences specific for each target gene and corresponding cycling conditions are detailed in </w:t>
      </w:r>
      <w:r w:rsidRPr="003D317A">
        <w:rPr>
          <w:rFonts w:ascii="Arial" w:hAnsi="Arial" w:cs="Arial"/>
          <w:b/>
          <w:bCs/>
          <w:sz w:val="20"/>
          <w:szCs w:val="20"/>
        </w:rPr>
        <w:t>Table 1</w:t>
      </w:r>
      <w:r w:rsidRPr="003D317A">
        <w:rPr>
          <w:rFonts w:ascii="Arial" w:hAnsi="Arial" w:cs="Arial"/>
          <w:sz w:val="20"/>
          <w:szCs w:val="20"/>
        </w:rPr>
        <w:t>.</w:t>
      </w:r>
    </w:p>
    <w:p w14:paraId="36DD9CBA" w14:textId="382C90DD"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1: Primer Sequences and PCR Conditions for Detection of EPEC Virulence Genes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0"/>
        <w:gridCol w:w="3082"/>
        <w:gridCol w:w="1485"/>
        <w:gridCol w:w="993"/>
        <w:gridCol w:w="1384"/>
        <w:gridCol w:w="1486"/>
      </w:tblGrid>
      <w:tr w:rsidR="00031C93" w:rsidRPr="003D317A" w14:paraId="6C63CD7D" w14:textId="77777777" w:rsidTr="00031C93">
        <w:trPr>
          <w:tblHeader/>
          <w:tblCellSpacing w:w="15" w:type="dxa"/>
        </w:trPr>
        <w:tc>
          <w:tcPr>
            <w:tcW w:w="0" w:type="auto"/>
            <w:tcBorders>
              <w:top w:val="single" w:sz="4" w:space="0" w:color="auto"/>
              <w:bottom w:val="single" w:sz="4" w:space="0" w:color="auto"/>
            </w:tcBorders>
            <w:vAlign w:val="center"/>
            <w:hideMark/>
          </w:tcPr>
          <w:p w14:paraId="6ED25586"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Target Gene</w:t>
            </w:r>
          </w:p>
        </w:tc>
        <w:tc>
          <w:tcPr>
            <w:tcW w:w="0" w:type="auto"/>
            <w:tcBorders>
              <w:top w:val="single" w:sz="4" w:space="0" w:color="auto"/>
              <w:bottom w:val="single" w:sz="4" w:space="0" w:color="auto"/>
            </w:tcBorders>
            <w:vAlign w:val="center"/>
            <w:hideMark/>
          </w:tcPr>
          <w:p w14:paraId="1627DA3D"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Primer Sequence (5’–3’)</w:t>
            </w:r>
          </w:p>
        </w:tc>
        <w:tc>
          <w:tcPr>
            <w:tcW w:w="0" w:type="auto"/>
            <w:tcBorders>
              <w:top w:val="single" w:sz="4" w:space="0" w:color="auto"/>
              <w:bottom w:val="single" w:sz="4" w:space="0" w:color="auto"/>
            </w:tcBorders>
            <w:vAlign w:val="center"/>
            <w:hideMark/>
          </w:tcPr>
          <w:p w14:paraId="11EC00A6"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Annealing Temp (°C)</w:t>
            </w:r>
          </w:p>
        </w:tc>
        <w:tc>
          <w:tcPr>
            <w:tcW w:w="0" w:type="auto"/>
            <w:tcBorders>
              <w:top w:val="single" w:sz="4" w:space="0" w:color="auto"/>
              <w:bottom w:val="single" w:sz="4" w:space="0" w:color="auto"/>
            </w:tcBorders>
            <w:vAlign w:val="center"/>
            <w:hideMark/>
          </w:tcPr>
          <w:p w14:paraId="25E19368"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No. of Cycles</w:t>
            </w:r>
          </w:p>
        </w:tc>
        <w:tc>
          <w:tcPr>
            <w:tcW w:w="0" w:type="auto"/>
            <w:tcBorders>
              <w:top w:val="single" w:sz="4" w:space="0" w:color="auto"/>
              <w:bottom w:val="single" w:sz="4" w:space="0" w:color="auto"/>
            </w:tcBorders>
            <w:vAlign w:val="center"/>
            <w:hideMark/>
          </w:tcPr>
          <w:p w14:paraId="59E0D1F9"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Amplicon Size (bp)</w:t>
            </w:r>
          </w:p>
        </w:tc>
        <w:tc>
          <w:tcPr>
            <w:tcW w:w="0" w:type="auto"/>
            <w:tcBorders>
              <w:top w:val="single" w:sz="4" w:space="0" w:color="auto"/>
              <w:bottom w:val="single" w:sz="4" w:space="0" w:color="auto"/>
            </w:tcBorders>
            <w:vAlign w:val="center"/>
            <w:hideMark/>
          </w:tcPr>
          <w:p w14:paraId="20E42B74"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Reference</w:t>
            </w:r>
          </w:p>
        </w:tc>
      </w:tr>
      <w:tr w:rsidR="00031C93" w:rsidRPr="003D317A" w14:paraId="08FB88A7" w14:textId="77777777" w:rsidTr="00031C93">
        <w:trPr>
          <w:tblCellSpacing w:w="15" w:type="dxa"/>
        </w:trPr>
        <w:tc>
          <w:tcPr>
            <w:tcW w:w="0" w:type="auto"/>
            <w:vAlign w:val="center"/>
            <w:hideMark/>
          </w:tcPr>
          <w:p w14:paraId="4BCF3822" w14:textId="77777777" w:rsidR="00031C93" w:rsidRPr="003D317A" w:rsidRDefault="00031C93" w:rsidP="00031C93">
            <w:pPr>
              <w:jc w:val="both"/>
              <w:rPr>
                <w:rFonts w:ascii="Arial" w:hAnsi="Arial" w:cs="Arial"/>
                <w:sz w:val="20"/>
                <w:szCs w:val="20"/>
              </w:rPr>
            </w:pPr>
            <w:proofErr w:type="spellStart"/>
            <w:r w:rsidRPr="003D317A">
              <w:rPr>
                <w:rFonts w:ascii="Arial" w:hAnsi="Arial" w:cs="Arial"/>
                <w:i/>
                <w:iCs/>
                <w:sz w:val="20"/>
                <w:szCs w:val="20"/>
              </w:rPr>
              <w:t>eaeA</w:t>
            </w:r>
            <w:proofErr w:type="spellEnd"/>
          </w:p>
        </w:tc>
        <w:tc>
          <w:tcPr>
            <w:tcW w:w="0" w:type="auto"/>
            <w:vAlign w:val="center"/>
            <w:hideMark/>
          </w:tcPr>
          <w:p w14:paraId="67A956C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F: CATTATGGAACGGCAGAGGT </w:t>
            </w:r>
            <w:r w:rsidRPr="003D317A">
              <w:rPr>
                <w:rFonts w:ascii="Arial" w:hAnsi="Arial" w:cs="Arial"/>
                <w:sz w:val="20"/>
                <w:szCs w:val="20"/>
              </w:rPr>
              <w:br/>
              <w:t>R: ATCTTCTGCGTACTGCGTTCA</w:t>
            </w:r>
          </w:p>
        </w:tc>
        <w:tc>
          <w:tcPr>
            <w:tcW w:w="0" w:type="auto"/>
            <w:vAlign w:val="center"/>
            <w:hideMark/>
          </w:tcPr>
          <w:p w14:paraId="6672F5B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55 (1 min)</w:t>
            </w:r>
          </w:p>
        </w:tc>
        <w:tc>
          <w:tcPr>
            <w:tcW w:w="0" w:type="auto"/>
            <w:vAlign w:val="center"/>
            <w:hideMark/>
          </w:tcPr>
          <w:p w14:paraId="634A77F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35</w:t>
            </w:r>
          </w:p>
        </w:tc>
        <w:tc>
          <w:tcPr>
            <w:tcW w:w="0" w:type="auto"/>
            <w:vAlign w:val="center"/>
            <w:hideMark/>
          </w:tcPr>
          <w:p w14:paraId="3AE9989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790</w:t>
            </w:r>
          </w:p>
        </w:tc>
        <w:tc>
          <w:tcPr>
            <w:tcW w:w="0" w:type="auto"/>
            <w:vAlign w:val="center"/>
            <w:hideMark/>
          </w:tcPr>
          <w:p w14:paraId="2E90EDB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Beaudry </w:t>
            </w:r>
            <w:r w:rsidRPr="003D317A">
              <w:rPr>
                <w:rFonts w:ascii="Arial" w:hAnsi="Arial" w:cs="Arial"/>
                <w:i/>
                <w:iCs/>
                <w:sz w:val="20"/>
                <w:szCs w:val="20"/>
              </w:rPr>
              <w:t>et al.,</w:t>
            </w:r>
            <w:r w:rsidRPr="003D317A">
              <w:rPr>
                <w:rFonts w:ascii="Arial" w:hAnsi="Arial" w:cs="Arial"/>
                <w:sz w:val="20"/>
                <w:szCs w:val="20"/>
              </w:rPr>
              <w:t xml:space="preserve"> 1996</w:t>
            </w:r>
          </w:p>
        </w:tc>
      </w:tr>
      <w:tr w:rsidR="00031C93" w:rsidRPr="003D317A" w14:paraId="38A00C71" w14:textId="77777777" w:rsidTr="00031C93">
        <w:trPr>
          <w:tblCellSpacing w:w="15" w:type="dxa"/>
        </w:trPr>
        <w:tc>
          <w:tcPr>
            <w:tcW w:w="0" w:type="auto"/>
            <w:tcBorders>
              <w:bottom w:val="single" w:sz="4" w:space="0" w:color="auto"/>
            </w:tcBorders>
            <w:vAlign w:val="center"/>
            <w:hideMark/>
          </w:tcPr>
          <w:p w14:paraId="34B630FB" w14:textId="77777777" w:rsidR="00031C93" w:rsidRPr="003D317A" w:rsidRDefault="00031C93" w:rsidP="00031C93">
            <w:pPr>
              <w:jc w:val="both"/>
              <w:rPr>
                <w:rFonts w:ascii="Arial" w:hAnsi="Arial" w:cs="Arial"/>
                <w:sz w:val="20"/>
                <w:szCs w:val="20"/>
              </w:rPr>
            </w:pPr>
            <w:proofErr w:type="spellStart"/>
            <w:r w:rsidRPr="003D317A">
              <w:rPr>
                <w:rFonts w:ascii="Arial" w:hAnsi="Arial" w:cs="Arial"/>
                <w:i/>
                <w:iCs/>
                <w:sz w:val="20"/>
                <w:szCs w:val="20"/>
              </w:rPr>
              <w:t>bfpA</w:t>
            </w:r>
            <w:proofErr w:type="spellEnd"/>
          </w:p>
        </w:tc>
        <w:tc>
          <w:tcPr>
            <w:tcW w:w="0" w:type="auto"/>
            <w:tcBorders>
              <w:bottom w:val="single" w:sz="4" w:space="0" w:color="auto"/>
            </w:tcBorders>
            <w:vAlign w:val="center"/>
            <w:hideMark/>
          </w:tcPr>
          <w:p w14:paraId="4C81DD8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F: AATGGTGCTTGCGCTTGCTCG </w:t>
            </w:r>
            <w:r w:rsidRPr="003D317A">
              <w:rPr>
                <w:rFonts w:ascii="Arial" w:hAnsi="Arial" w:cs="Arial"/>
                <w:sz w:val="20"/>
                <w:szCs w:val="20"/>
              </w:rPr>
              <w:br/>
              <w:t>R: GCCGCTTTATCCAACCTGGTA</w:t>
            </w:r>
          </w:p>
        </w:tc>
        <w:tc>
          <w:tcPr>
            <w:tcW w:w="0" w:type="auto"/>
            <w:tcBorders>
              <w:bottom w:val="single" w:sz="4" w:space="0" w:color="auto"/>
            </w:tcBorders>
            <w:vAlign w:val="center"/>
            <w:hideMark/>
          </w:tcPr>
          <w:p w14:paraId="2D1B934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60 (1 min)</w:t>
            </w:r>
          </w:p>
        </w:tc>
        <w:tc>
          <w:tcPr>
            <w:tcW w:w="0" w:type="auto"/>
            <w:tcBorders>
              <w:bottom w:val="single" w:sz="4" w:space="0" w:color="auto"/>
            </w:tcBorders>
            <w:vAlign w:val="center"/>
            <w:hideMark/>
          </w:tcPr>
          <w:p w14:paraId="15EDD67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30</w:t>
            </w:r>
          </w:p>
        </w:tc>
        <w:tc>
          <w:tcPr>
            <w:tcW w:w="0" w:type="auto"/>
            <w:tcBorders>
              <w:bottom w:val="single" w:sz="4" w:space="0" w:color="auto"/>
            </w:tcBorders>
            <w:vAlign w:val="center"/>
            <w:hideMark/>
          </w:tcPr>
          <w:p w14:paraId="6049A4F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326</w:t>
            </w:r>
          </w:p>
        </w:tc>
        <w:tc>
          <w:tcPr>
            <w:tcW w:w="0" w:type="auto"/>
            <w:tcBorders>
              <w:bottom w:val="single" w:sz="4" w:space="0" w:color="auto"/>
            </w:tcBorders>
            <w:vAlign w:val="center"/>
            <w:hideMark/>
          </w:tcPr>
          <w:p w14:paraId="044A7CBD" w14:textId="77777777" w:rsidR="00031C93" w:rsidRPr="003D317A" w:rsidRDefault="00031C93" w:rsidP="00031C93">
            <w:pPr>
              <w:jc w:val="both"/>
              <w:rPr>
                <w:rFonts w:ascii="Arial" w:hAnsi="Arial" w:cs="Arial"/>
                <w:sz w:val="20"/>
                <w:szCs w:val="20"/>
              </w:rPr>
            </w:pPr>
            <w:proofErr w:type="spellStart"/>
            <w:r w:rsidRPr="003D317A">
              <w:rPr>
                <w:rFonts w:ascii="Arial" w:hAnsi="Arial" w:cs="Arial"/>
                <w:sz w:val="20"/>
                <w:szCs w:val="20"/>
              </w:rPr>
              <w:t>Gunzburg</w:t>
            </w:r>
            <w:proofErr w:type="spellEnd"/>
            <w:r w:rsidRPr="003D317A">
              <w:rPr>
                <w:rFonts w:ascii="Arial" w:hAnsi="Arial" w:cs="Arial"/>
                <w:sz w:val="20"/>
                <w:szCs w:val="20"/>
              </w:rPr>
              <w:t xml:space="preserve"> </w:t>
            </w:r>
            <w:r w:rsidRPr="003D317A">
              <w:rPr>
                <w:rFonts w:ascii="Arial" w:hAnsi="Arial" w:cs="Arial"/>
                <w:i/>
                <w:iCs/>
                <w:sz w:val="20"/>
                <w:szCs w:val="20"/>
              </w:rPr>
              <w:t xml:space="preserve">et al., </w:t>
            </w:r>
            <w:r w:rsidRPr="003D317A">
              <w:rPr>
                <w:rFonts w:ascii="Arial" w:hAnsi="Arial" w:cs="Arial"/>
                <w:sz w:val="20"/>
                <w:szCs w:val="20"/>
              </w:rPr>
              <w:t>1995</w:t>
            </w:r>
          </w:p>
        </w:tc>
      </w:tr>
    </w:tbl>
    <w:p w14:paraId="18B689D8" w14:textId="77777777" w:rsidR="00DD35E4" w:rsidRPr="00DD35E4" w:rsidRDefault="00DD35E4" w:rsidP="00DD35E4">
      <w:pPr>
        <w:pStyle w:val="Heading3"/>
        <w:jc w:val="both"/>
        <w:rPr>
          <w:rFonts w:ascii="Arial" w:hAnsi="Arial" w:cs="Arial"/>
          <w:color w:val="auto"/>
          <w:sz w:val="20"/>
          <w:szCs w:val="20"/>
        </w:rPr>
      </w:pPr>
      <w:r w:rsidRPr="00DD35E4">
        <w:rPr>
          <w:rFonts w:ascii="Arial" w:hAnsi="Arial" w:cs="Arial"/>
          <w:color w:val="auto"/>
          <w:sz w:val="20"/>
          <w:szCs w:val="20"/>
        </w:rPr>
        <w:t>Polymerase Chain Reaction (PCR) assays were conducted in a total reaction volume of 50 µL. Each reaction mixture contained 25 µL of 2X PCR Master Mix (</w:t>
      </w:r>
      <w:proofErr w:type="spellStart"/>
      <w:r w:rsidRPr="00DD35E4">
        <w:rPr>
          <w:rFonts w:ascii="Arial" w:hAnsi="Arial" w:cs="Arial"/>
          <w:color w:val="auto"/>
          <w:sz w:val="20"/>
          <w:szCs w:val="20"/>
        </w:rPr>
        <w:t>Inqaba</w:t>
      </w:r>
      <w:proofErr w:type="spellEnd"/>
      <w:r w:rsidRPr="00DD35E4">
        <w:rPr>
          <w:rFonts w:ascii="Arial" w:hAnsi="Arial" w:cs="Arial"/>
          <w:color w:val="auto"/>
          <w:sz w:val="20"/>
          <w:szCs w:val="20"/>
        </w:rPr>
        <w:t xml:space="preserve"> </w:t>
      </w:r>
      <w:proofErr w:type="spellStart"/>
      <w:r w:rsidRPr="00DD35E4">
        <w:rPr>
          <w:rFonts w:ascii="Arial" w:hAnsi="Arial" w:cs="Arial"/>
          <w:color w:val="auto"/>
          <w:sz w:val="20"/>
          <w:szCs w:val="20"/>
        </w:rPr>
        <w:t>Biotec</w:t>
      </w:r>
      <w:proofErr w:type="spellEnd"/>
      <w:r w:rsidRPr="00DD35E4">
        <w:rPr>
          <w:rFonts w:ascii="Arial" w:hAnsi="Arial" w:cs="Arial"/>
          <w:color w:val="auto"/>
          <w:sz w:val="20"/>
          <w:szCs w:val="20"/>
        </w:rPr>
        <w:t xml:space="preserve"> West Africa Ltd., 2024), 2 µL each of the forward and reverse primers, 2 µL of extracted DNA template, and 21 µL of nuclease-free water. The thermal cycling conditions began with an initial denaturation step at 94°C for 5 minutes. This was followed by repeated cycles of denaturation, primer annealing, and strand extension as outlined in Table 1. A final extension was carried out at 57°C for 7 minutes, after which the samples were held at 4°C.</w:t>
      </w:r>
    </w:p>
    <w:p w14:paraId="2DD2DBAB" w14:textId="77777777" w:rsidR="00DD35E4" w:rsidRPr="00DD35E4" w:rsidRDefault="00DD35E4" w:rsidP="00DD35E4">
      <w:pPr>
        <w:pStyle w:val="Heading3"/>
        <w:jc w:val="both"/>
        <w:rPr>
          <w:rFonts w:ascii="Arial" w:hAnsi="Arial" w:cs="Arial"/>
          <w:color w:val="auto"/>
          <w:sz w:val="20"/>
          <w:szCs w:val="20"/>
        </w:rPr>
      </w:pPr>
      <w:r w:rsidRPr="00DD35E4">
        <w:rPr>
          <w:rFonts w:ascii="Arial" w:hAnsi="Arial" w:cs="Arial"/>
          <w:color w:val="auto"/>
          <w:sz w:val="20"/>
          <w:szCs w:val="20"/>
        </w:rPr>
        <w:t xml:space="preserve">The PCR products were separated by electrophoresis using a 1.5% agarose gel prepared with ethidium bromide. The gel was run at 100 mV for 60 minutes, and a </w:t>
      </w:r>
      <w:proofErr w:type="gramStart"/>
      <w:r w:rsidRPr="00DD35E4">
        <w:rPr>
          <w:rFonts w:ascii="Arial" w:hAnsi="Arial" w:cs="Arial"/>
          <w:color w:val="auto"/>
          <w:sz w:val="20"/>
          <w:szCs w:val="20"/>
        </w:rPr>
        <w:t>100 base</w:t>
      </w:r>
      <w:proofErr w:type="gramEnd"/>
      <w:r w:rsidRPr="00DD35E4">
        <w:rPr>
          <w:rFonts w:ascii="Arial" w:hAnsi="Arial" w:cs="Arial"/>
          <w:color w:val="auto"/>
          <w:sz w:val="20"/>
          <w:szCs w:val="20"/>
        </w:rPr>
        <w:t xml:space="preserve"> pair (bp) DNA ladder was used as a molecular size standard. DNA bands were visualized under ultraviolet (UV) light using a transilluminator.</w:t>
      </w:r>
    </w:p>
    <w:p w14:paraId="20010C21" w14:textId="77777777" w:rsidR="00777423" w:rsidRPr="00486FEA" w:rsidRDefault="00777423" w:rsidP="00777423">
      <w:pPr>
        <w:pStyle w:val="Heading3"/>
        <w:rPr>
          <w:rFonts w:ascii="Arial" w:eastAsia="Times New Roman" w:hAnsi="Arial" w:cs="Arial"/>
          <w:b/>
          <w:bCs/>
          <w:color w:val="auto"/>
          <w:sz w:val="22"/>
          <w:szCs w:val="22"/>
        </w:rPr>
      </w:pPr>
      <w:r w:rsidRPr="00486FEA">
        <w:rPr>
          <w:rFonts w:ascii="Arial" w:hAnsi="Arial" w:cs="Arial"/>
          <w:b/>
          <w:bCs/>
          <w:color w:val="auto"/>
          <w:sz w:val="22"/>
          <w:szCs w:val="22"/>
        </w:rPr>
        <w:t xml:space="preserve">2.8 </w:t>
      </w:r>
      <w:r w:rsidRPr="00486FEA">
        <w:rPr>
          <w:rFonts w:ascii="Arial" w:eastAsia="Times New Roman" w:hAnsi="Arial" w:cs="Arial"/>
          <w:b/>
          <w:bCs/>
          <w:color w:val="auto"/>
          <w:sz w:val="22"/>
          <w:szCs w:val="22"/>
        </w:rPr>
        <w:t>Antibiotic Susceptibility Test</w:t>
      </w:r>
    </w:p>
    <w:p w14:paraId="633B188A" w14:textId="77777777" w:rsidR="00777423" w:rsidRPr="00486FEA" w:rsidRDefault="00777423" w:rsidP="00DD35E4">
      <w:pPr>
        <w:spacing w:line="276" w:lineRule="auto"/>
        <w:jc w:val="both"/>
        <w:rPr>
          <w:rFonts w:ascii="Arial" w:hAnsi="Arial" w:cs="Arial"/>
          <w:sz w:val="20"/>
          <w:szCs w:val="20"/>
        </w:rPr>
      </w:pPr>
      <w:r w:rsidRPr="00486FEA">
        <w:rPr>
          <w:rFonts w:ascii="Arial" w:hAnsi="Arial" w:cs="Arial"/>
          <w:sz w:val="20"/>
          <w:szCs w:val="20"/>
        </w:rPr>
        <w:t xml:space="preserve">Susceptibility of isolated EPEC strains to different antibiotics was determined by Kirby- Bauer disc diffusion technique as specified by the Clinical and Laboratory Standard Institute (CLSI, 2017). The antibiotic discs used in this study were Amoxicillin- clavulanate (20/10µg), </w:t>
      </w:r>
      <w:proofErr w:type="spellStart"/>
      <w:r w:rsidRPr="00486FEA">
        <w:rPr>
          <w:rFonts w:ascii="Arial" w:hAnsi="Arial" w:cs="Arial"/>
          <w:sz w:val="20"/>
          <w:szCs w:val="20"/>
        </w:rPr>
        <w:t>ceftriazone</w:t>
      </w:r>
      <w:proofErr w:type="spellEnd"/>
      <w:r w:rsidRPr="00486FEA">
        <w:rPr>
          <w:rFonts w:ascii="Arial" w:hAnsi="Arial" w:cs="Arial"/>
          <w:sz w:val="20"/>
          <w:szCs w:val="20"/>
        </w:rPr>
        <w:t xml:space="preserve"> (30µg), ceftazidime (30µg), gentamycin (10µg), tetracycline (30µg), ciprofloxacin (5µg), ampicillin (10µg), trimethoprim (5µg).</w:t>
      </w:r>
    </w:p>
    <w:p w14:paraId="31979A23" w14:textId="77777777" w:rsidR="00777423" w:rsidRPr="003D317A" w:rsidRDefault="00777423" w:rsidP="00031C93">
      <w:pPr>
        <w:jc w:val="both"/>
        <w:rPr>
          <w:rFonts w:ascii="Arial" w:hAnsi="Arial" w:cs="Arial"/>
          <w:sz w:val="20"/>
          <w:szCs w:val="20"/>
        </w:rPr>
      </w:pPr>
    </w:p>
    <w:p w14:paraId="48EB966C" w14:textId="1380256A"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 </w:t>
      </w:r>
      <w:r w:rsidR="0094428C" w:rsidRPr="003D317A">
        <w:rPr>
          <w:rFonts w:ascii="Arial" w:hAnsi="Arial" w:cs="Arial"/>
          <w:b/>
          <w:bCs/>
          <w:sz w:val="22"/>
          <w:szCs w:val="22"/>
        </w:rPr>
        <w:t>RESULTS</w:t>
      </w:r>
      <w:r w:rsidR="0094428C">
        <w:rPr>
          <w:rFonts w:ascii="Arial" w:hAnsi="Arial" w:cs="Arial"/>
          <w:b/>
          <w:bCs/>
          <w:sz w:val="22"/>
          <w:szCs w:val="22"/>
        </w:rPr>
        <w:t xml:space="preserve"> AND DISCUSSION</w:t>
      </w:r>
    </w:p>
    <w:p w14:paraId="10F697A3" w14:textId="77777777"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3.1 Prevalence of </w:t>
      </w:r>
      <w:r w:rsidRPr="003D317A">
        <w:rPr>
          <w:rFonts w:ascii="Arial" w:hAnsi="Arial" w:cs="Arial"/>
          <w:b/>
          <w:bCs/>
          <w:i/>
          <w:iCs/>
          <w:sz w:val="22"/>
          <w:szCs w:val="22"/>
        </w:rPr>
        <w:t>Escherichia coli</w:t>
      </w:r>
      <w:r w:rsidRPr="003D317A">
        <w:rPr>
          <w:rFonts w:ascii="Arial" w:hAnsi="Arial" w:cs="Arial"/>
          <w:b/>
          <w:bCs/>
          <w:sz w:val="22"/>
          <w:szCs w:val="22"/>
        </w:rPr>
        <w:t xml:space="preserve"> Among Study Participants</w:t>
      </w:r>
    </w:p>
    <w:p w14:paraId="5F23F8F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Out of the 200 stool samples collected from children under five years presenting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64 isolates (32%) were confirmed as pure cultures of </w:t>
      </w:r>
      <w:r w:rsidRPr="003D317A">
        <w:rPr>
          <w:rFonts w:ascii="Arial" w:hAnsi="Arial" w:cs="Arial"/>
          <w:i/>
          <w:iCs/>
          <w:sz w:val="20"/>
          <w:szCs w:val="20"/>
        </w:rPr>
        <w:t>Escherichia coli</w:t>
      </w:r>
      <w:r w:rsidRPr="003D317A">
        <w:rPr>
          <w:rFonts w:ascii="Arial" w:hAnsi="Arial" w:cs="Arial"/>
          <w:sz w:val="20"/>
          <w:szCs w:val="20"/>
        </w:rPr>
        <w:t xml:space="preserve"> based on colony morphology and biochemical characteristics.</w:t>
      </w:r>
    </w:p>
    <w:p w14:paraId="6AC527F4" w14:textId="50454053" w:rsidR="00476789" w:rsidRDefault="00476789" w:rsidP="00031C93">
      <w:pPr>
        <w:jc w:val="both"/>
        <w:rPr>
          <w:rFonts w:ascii="Arial" w:hAnsi="Arial" w:cs="Arial"/>
          <w:sz w:val="20"/>
          <w:szCs w:val="20"/>
        </w:rPr>
      </w:pPr>
      <w:r w:rsidRPr="003D317A">
        <w:rPr>
          <w:rFonts w:ascii="Arial" w:hAnsi="Arial" w:cs="Arial"/>
          <w:noProof/>
          <w:sz w:val="20"/>
          <w:szCs w:val="20"/>
        </w:rPr>
        <w:lastRenderedPageBreak/>
        <w:drawing>
          <wp:inline distT="0" distB="0" distL="0" distR="0" wp14:anchorId="0BC17D55" wp14:editId="7B5D9C94">
            <wp:extent cx="3181350" cy="2076450"/>
            <wp:effectExtent l="0" t="0" r="0" b="0"/>
            <wp:docPr id="8236379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4A86C27" w14:textId="77777777" w:rsidR="0094428C" w:rsidRDefault="0094428C" w:rsidP="00031C93">
      <w:pPr>
        <w:jc w:val="both"/>
        <w:rPr>
          <w:rFonts w:ascii="Arial" w:hAnsi="Arial" w:cs="Arial"/>
          <w:sz w:val="20"/>
          <w:szCs w:val="20"/>
        </w:rPr>
      </w:pPr>
    </w:p>
    <w:p w14:paraId="30445A76" w14:textId="77777777" w:rsidR="0094428C" w:rsidRPr="003D317A" w:rsidRDefault="0094428C" w:rsidP="00031C93">
      <w:pPr>
        <w:jc w:val="both"/>
        <w:rPr>
          <w:rFonts w:ascii="Arial" w:hAnsi="Arial" w:cs="Arial"/>
          <w:sz w:val="20"/>
          <w:szCs w:val="20"/>
        </w:rPr>
      </w:pPr>
    </w:p>
    <w:p w14:paraId="02140BA2" w14:textId="271833D3"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 xml:space="preserve">3.2 Identification of Enteropathogenic </w:t>
      </w:r>
      <w:r w:rsidRPr="003D317A">
        <w:rPr>
          <w:rFonts w:ascii="Arial" w:hAnsi="Arial" w:cs="Arial"/>
          <w:b/>
          <w:bCs/>
          <w:i/>
          <w:iCs/>
          <w:sz w:val="22"/>
          <w:szCs w:val="22"/>
        </w:rPr>
        <w:t>Escherichia coli</w:t>
      </w:r>
      <w:r w:rsidRPr="003D317A">
        <w:rPr>
          <w:rFonts w:ascii="Arial" w:hAnsi="Arial" w:cs="Arial"/>
          <w:b/>
          <w:bCs/>
          <w:sz w:val="22"/>
          <w:szCs w:val="22"/>
        </w:rPr>
        <w:t xml:space="preserve"> (EPEC) via Serotyping</w:t>
      </w:r>
    </w:p>
    <w:p w14:paraId="560EF3C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Among the 64 </w:t>
      </w:r>
      <w:r w:rsidRPr="003D317A">
        <w:rPr>
          <w:rFonts w:ascii="Arial" w:hAnsi="Arial" w:cs="Arial"/>
          <w:i/>
          <w:iCs/>
          <w:sz w:val="20"/>
          <w:szCs w:val="20"/>
        </w:rPr>
        <w:t>E. coli</w:t>
      </w:r>
      <w:r w:rsidRPr="003D317A">
        <w:rPr>
          <w:rFonts w:ascii="Arial" w:hAnsi="Arial" w:cs="Arial"/>
          <w:sz w:val="20"/>
          <w:szCs w:val="20"/>
        </w:rPr>
        <w:t xml:space="preserve"> isolates, 19 strains (29.7%) were identified as belonging to classical EPEC serogroups using serological agglutination assays (Table 2). The most frequently detected serogroup was O55:K59 (31.5%), followed by O44:K74 (21.0%), O114:K90 (15.8%), and O128:K67 (10.5%). Less frequently observed serotypes included O86:K61, O111:K58, O125:K70, and O126:K71, each contributing 5.3% to the total. No isolates belonging to O26:K60, O119:K69, O127</w:t>
      </w:r>
      <w:proofErr w:type="gramStart"/>
      <w:r w:rsidRPr="003D317A">
        <w:rPr>
          <w:rFonts w:ascii="Arial" w:hAnsi="Arial" w:cs="Arial"/>
          <w:sz w:val="20"/>
          <w:szCs w:val="20"/>
        </w:rPr>
        <w:t>a:K</w:t>
      </w:r>
      <w:proofErr w:type="gramEnd"/>
      <w:r w:rsidRPr="003D317A">
        <w:rPr>
          <w:rFonts w:ascii="Arial" w:hAnsi="Arial" w:cs="Arial"/>
          <w:sz w:val="20"/>
          <w:szCs w:val="20"/>
        </w:rPr>
        <w:t>63, or O142:K86 were identified.</w:t>
      </w:r>
    </w:p>
    <w:p w14:paraId="7F67A1FB" w14:textId="77777777" w:rsidR="00031C93" w:rsidRPr="003D317A" w:rsidRDefault="00031C93" w:rsidP="00031C93">
      <w:pPr>
        <w:jc w:val="both"/>
        <w:rPr>
          <w:rFonts w:ascii="Arial" w:hAnsi="Arial" w:cs="Arial"/>
          <w:b/>
          <w:bCs/>
          <w:sz w:val="20"/>
          <w:szCs w:val="20"/>
        </w:rPr>
      </w:pPr>
    </w:p>
    <w:p w14:paraId="16AB26C3" w14:textId="7E1B7BC1"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2: Distribution of EPEC O-Serotypes Among Positive Isolates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1861"/>
        <w:gridCol w:w="1520"/>
      </w:tblGrid>
      <w:tr w:rsidR="00031C93" w:rsidRPr="003D317A" w14:paraId="5A5F4EF1" w14:textId="77777777" w:rsidTr="00031C93">
        <w:trPr>
          <w:tblHeader/>
          <w:tblCellSpacing w:w="15" w:type="dxa"/>
        </w:trPr>
        <w:tc>
          <w:tcPr>
            <w:tcW w:w="0" w:type="auto"/>
            <w:tcBorders>
              <w:top w:val="single" w:sz="4" w:space="0" w:color="auto"/>
              <w:bottom w:val="single" w:sz="4" w:space="0" w:color="auto"/>
            </w:tcBorders>
            <w:vAlign w:val="center"/>
            <w:hideMark/>
          </w:tcPr>
          <w:p w14:paraId="3EFACEEC"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Serotype</w:t>
            </w:r>
          </w:p>
        </w:tc>
        <w:tc>
          <w:tcPr>
            <w:tcW w:w="0" w:type="auto"/>
            <w:tcBorders>
              <w:top w:val="single" w:sz="4" w:space="0" w:color="auto"/>
              <w:bottom w:val="single" w:sz="4" w:space="0" w:color="auto"/>
            </w:tcBorders>
            <w:vAlign w:val="center"/>
            <w:hideMark/>
          </w:tcPr>
          <w:p w14:paraId="36E10389"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Number of Isolates</w:t>
            </w:r>
          </w:p>
        </w:tc>
        <w:tc>
          <w:tcPr>
            <w:tcW w:w="0" w:type="auto"/>
            <w:tcBorders>
              <w:top w:val="single" w:sz="4" w:space="0" w:color="auto"/>
              <w:bottom w:val="single" w:sz="4" w:space="0" w:color="auto"/>
            </w:tcBorders>
            <w:vAlign w:val="center"/>
            <w:hideMark/>
          </w:tcPr>
          <w:p w14:paraId="71516367"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Percentage (%)</w:t>
            </w:r>
          </w:p>
        </w:tc>
      </w:tr>
      <w:tr w:rsidR="00031C93" w:rsidRPr="003D317A" w14:paraId="2AA3871C" w14:textId="77777777" w:rsidTr="00031C93">
        <w:trPr>
          <w:tblCellSpacing w:w="15" w:type="dxa"/>
        </w:trPr>
        <w:tc>
          <w:tcPr>
            <w:tcW w:w="0" w:type="auto"/>
            <w:vAlign w:val="center"/>
            <w:hideMark/>
          </w:tcPr>
          <w:p w14:paraId="15645C6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O55:K59</w:t>
            </w:r>
          </w:p>
        </w:tc>
        <w:tc>
          <w:tcPr>
            <w:tcW w:w="0" w:type="auto"/>
            <w:vAlign w:val="center"/>
            <w:hideMark/>
          </w:tcPr>
          <w:p w14:paraId="4638AD2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w:t>
            </w:r>
          </w:p>
        </w:tc>
        <w:tc>
          <w:tcPr>
            <w:tcW w:w="0" w:type="auto"/>
            <w:vAlign w:val="center"/>
            <w:hideMark/>
          </w:tcPr>
          <w:p w14:paraId="0756DE8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31.5</w:t>
            </w:r>
          </w:p>
        </w:tc>
      </w:tr>
      <w:tr w:rsidR="00031C93" w:rsidRPr="003D317A" w14:paraId="694B7B3A" w14:textId="77777777" w:rsidTr="00031C93">
        <w:trPr>
          <w:tblCellSpacing w:w="15" w:type="dxa"/>
        </w:trPr>
        <w:tc>
          <w:tcPr>
            <w:tcW w:w="0" w:type="auto"/>
            <w:vAlign w:val="center"/>
            <w:hideMark/>
          </w:tcPr>
          <w:p w14:paraId="5E82FB2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O26:K60</w:t>
            </w:r>
          </w:p>
        </w:tc>
        <w:tc>
          <w:tcPr>
            <w:tcW w:w="0" w:type="auto"/>
            <w:vAlign w:val="center"/>
            <w:hideMark/>
          </w:tcPr>
          <w:p w14:paraId="61E94FD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4EA9F5E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7883B641" w14:textId="77777777" w:rsidTr="00031C93">
        <w:trPr>
          <w:tblCellSpacing w:w="15" w:type="dxa"/>
        </w:trPr>
        <w:tc>
          <w:tcPr>
            <w:tcW w:w="0" w:type="auto"/>
            <w:vAlign w:val="center"/>
            <w:hideMark/>
          </w:tcPr>
          <w:p w14:paraId="0FC357E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O44:K74</w:t>
            </w:r>
          </w:p>
        </w:tc>
        <w:tc>
          <w:tcPr>
            <w:tcW w:w="0" w:type="auto"/>
            <w:vAlign w:val="center"/>
            <w:hideMark/>
          </w:tcPr>
          <w:p w14:paraId="540F3D96"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4</w:t>
            </w:r>
          </w:p>
        </w:tc>
        <w:tc>
          <w:tcPr>
            <w:tcW w:w="0" w:type="auto"/>
            <w:vAlign w:val="center"/>
            <w:hideMark/>
          </w:tcPr>
          <w:p w14:paraId="67BA7E1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21.0</w:t>
            </w:r>
          </w:p>
        </w:tc>
      </w:tr>
      <w:tr w:rsidR="00031C93" w:rsidRPr="003D317A" w14:paraId="601A4F98" w14:textId="77777777" w:rsidTr="00031C93">
        <w:trPr>
          <w:tblCellSpacing w:w="15" w:type="dxa"/>
        </w:trPr>
        <w:tc>
          <w:tcPr>
            <w:tcW w:w="0" w:type="auto"/>
            <w:vAlign w:val="center"/>
            <w:hideMark/>
          </w:tcPr>
          <w:p w14:paraId="6FF3D88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O86:K61</w:t>
            </w:r>
          </w:p>
        </w:tc>
        <w:tc>
          <w:tcPr>
            <w:tcW w:w="0" w:type="auto"/>
            <w:vAlign w:val="center"/>
            <w:hideMark/>
          </w:tcPr>
          <w:p w14:paraId="78C6385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676D1DB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0EB3B63D" w14:textId="77777777" w:rsidTr="00031C93">
        <w:trPr>
          <w:tblCellSpacing w:w="15" w:type="dxa"/>
        </w:trPr>
        <w:tc>
          <w:tcPr>
            <w:tcW w:w="0" w:type="auto"/>
            <w:vAlign w:val="center"/>
            <w:hideMark/>
          </w:tcPr>
          <w:p w14:paraId="6C6C710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O125:K70</w:t>
            </w:r>
          </w:p>
        </w:tc>
        <w:tc>
          <w:tcPr>
            <w:tcW w:w="0" w:type="auto"/>
            <w:vAlign w:val="center"/>
            <w:hideMark/>
          </w:tcPr>
          <w:p w14:paraId="173A031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2794B36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5C5C5FC8" w14:textId="77777777" w:rsidTr="00031C93">
        <w:trPr>
          <w:tblCellSpacing w:w="15" w:type="dxa"/>
        </w:trPr>
        <w:tc>
          <w:tcPr>
            <w:tcW w:w="0" w:type="auto"/>
            <w:vAlign w:val="center"/>
            <w:hideMark/>
          </w:tcPr>
          <w:p w14:paraId="1F62F5A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O114:K90</w:t>
            </w:r>
          </w:p>
        </w:tc>
        <w:tc>
          <w:tcPr>
            <w:tcW w:w="0" w:type="auto"/>
            <w:vAlign w:val="center"/>
            <w:hideMark/>
          </w:tcPr>
          <w:p w14:paraId="32763FE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w:t>
            </w:r>
          </w:p>
        </w:tc>
        <w:tc>
          <w:tcPr>
            <w:tcW w:w="0" w:type="auto"/>
            <w:vAlign w:val="center"/>
            <w:hideMark/>
          </w:tcPr>
          <w:p w14:paraId="7D7DC0D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15.8</w:t>
            </w:r>
          </w:p>
        </w:tc>
      </w:tr>
      <w:tr w:rsidR="00031C93" w:rsidRPr="003D317A" w14:paraId="635BA0DA" w14:textId="77777777" w:rsidTr="00031C93">
        <w:trPr>
          <w:tblCellSpacing w:w="15" w:type="dxa"/>
        </w:trPr>
        <w:tc>
          <w:tcPr>
            <w:tcW w:w="0" w:type="auto"/>
            <w:vAlign w:val="center"/>
            <w:hideMark/>
          </w:tcPr>
          <w:p w14:paraId="5ED36DC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O111:K58</w:t>
            </w:r>
          </w:p>
        </w:tc>
        <w:tc>
          <w:tcPr>
            <w:tcW w:w="0" w:type="auto"/>
            <w:vAlign w:val="center"/>
            <w:hideMark/>
          </w:tcPr>
          <w:p w14:paraId="702710E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25C0752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75A01446" w14:textId="77777777" w:rsidTr="00031C93">
        <w:trPr>
          <w:tblCellSpacing w:w="15" w:type="dxa"/>
        </w:trPr>
        <w:tc>
          <w:tcPr>
            <w:tcW w:w="0" w:type="auto"/>
            <w:vAlign w:val="center"/>
            <w:hideMark/>
          </w:tcPr>
          <w:p w14:paraId="4D36A7C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O126:K71</w:t>
            </w:r>
          </w:p>
        </w:tc>
        <w:tc>
          <w:tcPr>
            <w:tcW w:w="0" w:type="auto"/>
            <w:vAlign w:val="center"/>
            <w:hideMark/>
          </w:tcPr>
          <w:p w14:paraId="44D0772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0C7813E6"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5.3</w:t>
            </w:r>
          </w:p>
        </w:tc>
      </w:tr>
      <w:tr w:rsidR="00031C93" w:rsidRPr="003D317A" w14:paraId="5B1D7C4C" w14:textId="77777777" w:rsidTr="00031C93">
        <w:trPr>
          <w:tblCellSpacing w:w="15" w:type="dxa"/>
        </w:trPr>
        <w:tc>
          <w:tcPr>
            <w:tcW w:w="0" w:type="auto"/>
            <w:vAlign w:val="center"/>
            <w:hideMark/>
          </w:tcPr>
          <w:p w14:paraId="1936CAB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O119:K69</w:t>
            </w:r>
          </w:p>
        </w:tc>
        <w:tc>
          <w:tcPr>
            <w:tcW w:w="0" w:type="auto"/>
            <w:vAlign w:val="center"/>
            <w:hideMark/>
          </w:tcPr>
          <w:p w14:paraId="660B05D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4FED3BD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0E97C965" w14:textId="77777777" w:rsidTr="00031C93">
        <w:trPr>
          <w:tblCellSpacing w:w="15" w:type="dxa"/>
        </w:trPr>
        <w:tc>
          <w:tcPr>
            <w:tcW w:w="0" w:type="auto"/>
            <w:vAlign w:val="center"/>
            <w:hideMark/>
          </w:tcPr>
          <w:p w14:paraId="15365D9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O127</w:t>
            </w:r>
            <w:proofErr w:type="gramStart"/>
            <w:r w:rsidRPr="003D317A">
              <w:rPr>
                <w:rFonts w:ascii="Arial" w:hAnsi="Arial" w:cs="Arial"/>
                <w:sz w:val="20"/>
                <w:szCs w:val="20"/>
              </w:rPr>
              <w:t>a:K</w:t>
            </w:r>
            <w:proofErr w:type="gramEnd"/>
            <w:r w:rsidRPr="003D317A">
              <w:rPr>
                <w:rFonts w:ascii="Arial" w:hAnsi="Arial" w:cs="Arial"/>
                <w:sz w:val="20"/>
                <w:szCs w:val="20"/>
              </w:rPr>
              <w:t>63</w:t>
            </w:r>
          </w:p>
        </w:tc>
        <w:tc>
          <w:tcPr>
            <w:tcW w:w="0" w:type="auto"/>
            <w:vAlign w:val="center"/>
            <w:hideMark/>
          </w:tcPr>
          <w:p w14:paraId="61B1CFA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7D7863C0"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5F53B55B" w14:textId="77777777" w:rsidTr="00031C93">
        <w:trPr>
          <w:tblCellSpacing w:w="15" w:type="dxa"/>
        </w:trPr>
        <w:tc>
          <w:tcPr>
            <w:tcW w:w="0" w:type="auto"/>
            <w:vAlign w:val="center"/>
            <w:hideMark/>
          </w:tcPr>
          <w:p w14:paraId="7015D8E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lastRenderedPageBreak/>
              <w:t>O128:K67</w:t>
            </w:r>
          </w:p>
        </w:tc>
        <w:tc>
          <w:tcPr>
            <w:tcW w:w="0" w:type="auto"/>
            <w:vAlign w:val="center"/>
            <w:hideMark/>
          </w:tcPr>
          <w:p w14:paraId="112F962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w:t>
            </w:r>
          </w:p>
        </w:tc>
        <w:tc>
          <w:tcPr>
            <w:tcW w:w="0" w:type="auto"/>
            <w:vAlign w:val="center"/>
            <w:hideMark/>
          </w:tcPr>
          <w:p w14:paraId="69A0F7E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10.5</w:t>
            </w:r>
          </w:p>
        </w:tc>
      </w:tr>
      <w:tr w:rsidR="00031C93" w:rsidRPr="003D317A" w14:paraId="7707293D" w14:textId="77777777" w:rsidTr="00031C93">
        <w:trPr>
          <w:tblCellSpacing w:w="15" w:type="dxa"/>
        </w:trPr>
        <w:tc>
          <w:tcPr>
            <w:tcW w:w="0" w:type="auto"/>
            <w:vAlign w:val="center"/>
            <w:hideMark/>
          </w:tcPr>
          <w:p w14:paraId="29614CB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O142:K86</w:t>
            </w:r>
          </w:p>
        </w:tc>
        <w:tc>
          <w:tcPr>
            <w:tcW w:w="0" w:type="auto"/>
            <w:vAlign w:val="center"/>
            <w:hideMark/>
          </w:tcPr>
          <w:p w14:paraId="14C9989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w:t>
            </w:r>
          </w:p>
        </w:tc>
        <w:tc>
          <w:tcPr>
            <w:tcW w:w="0" w:type="auto"/>
            <w:vAlign w:val="center"/>
            <w:hideMark/>
          </w:tcPr>
          <w:p w14:paraId="14F0DAD0"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0.0</w:t>
            </w:r>
          </w:p>
        </w:tc>
      </w:tr>
      <w:tr w:rsidR="00031C93" w:rsidRPr="003D317A" w14:paraId="066A63F1" w14:textId="77777777" w:rsidTr="00031C93">
        <w:trPr>
          <w:tblCellSpacing w:w="15" w:type="dxa"/>
        </w:trPr>
        <w:tc>
          <w:tcPr>
            <w:tcW w:w="0" w:type="auto"/>
            <w:tcBorders>
              <w:bottom w:val="single" w:sz="4" w:space="0" w:color="auto"/>
            </w:tcBorders>
            <w:vAlign w:val="center"/>
            <w:hideMark/>
          </w:tcPr>
          <w:p w14:paraId="68C5F488"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Total</w:t>
            </w:r>
          </w:p>
        </w:tc>
        <w:tc>
          <w:tcPr>
            <w:tcW w:w="0" w:type="auto"/>
            <w:tcBorders>
              <w:bottom w:val="single" w:sz="4" w:space="0" w:color="auto"/>
            </w:tcBorders>
            <w:vAlign w:val="center"/>
            <w:hideMark/>
          </w:tcPr>
          <w:p w14:paraId="0D42EA7D"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19</w:t>
            </w:r>
          </w:p>
        </w:tc>
        <w:tc>
          <w:tcPr>
            <w:tcW w:w="0" w:type="auto"/>
            <w:tcBorders>
              <w:bottom w:val="single" w:sz="4" w:space="0" w:color="auto"/>
            </w:tcBorders>
            <w:vAlign w:val="center"/>
            <w:hideMark/>
          </w:tcPr>
          <w:p w14:paraId="5B2A7229" w14:textId="77777777" w:rsidR="00031C93" w:rsidRPr="003D317A" w:rsidRDefault="00031C93" w:rsidP="00031C93">
            <w:pPr>
              <w:jc w:val="both"/>
              <w:rPr>
                <w:rFonts w:ascii="Arial" w:hAnsi="Arial" w:cs="Arial"/>
                <w:sz w:val="20"/>
                <w:szCs w:val="20"/>
              </w:rPr>
            </w:pPr>
            <w:r w:rsidRPr="003D317A">
              <w:rPr>
                <w:rFonts w:ascii="Arial" w:hAnsi="Arial" w:cs="Arial"/>
                <w:b/>
                <w:bCs/>
                <w:sz w:val="20"/>
                <w:szCs w:val="20"/>
              </w:rPr>
              <w:t>100.0</w:t>
            </w:r>
          </w:p>
        </w:tc>
      </w:tr>
    </w:tbl>
    <w:p w14:paraId="770A29FE" w14:textId="77777777" w:rsidR="00031C93" w:rsidRPr="003D317A" w:rsidRDefault="00031C93" w:rsidP="00031C93">
      <w:pPr>
        <w:jc w:val="both"/>
        <w:rPr>
          <w:rFonts w:ascii="Arial" w:hAnsi="Arial" w:cs="Arial"/>
          <w:b/>
          <w:bCs/>
          <w:sz w:val="20"/>
          <w:szCs w:val="20"/>
        </w:rPr>
      </w:pPr>
    </w:p>
    <w:p w14:paraId="3A88CE3F" w14:textId="76D29E8F" w:rsidR="00031C93" w:rsidRPr="003D317A" w:rsidRDefault="00031C93" w:rsidP="00031C93">
      <w:pPr>
        <w:jc w:val="both"/>
        <w:rPr>
          <w:rFonts w:ascii="Arial" w:hAnsi="Arial" w:cs="Arial"/>
          <w:b/>
          <w:bCs/>
          <w:sz w:val="22"/>
          <w:szCs w:val="22"/>
        </w:rPr>
      </w:pPr>
      <w:r w:rsidRPr="003D317A">
        <w:rPr>
          <w:rFonts w:ascii="Arial" w:hAnsi="Arial" w:cs="Arial"/>
          <w:b/>
          <w:bCs/>
          <w:sz w:val="22"/>
          <w:szCs w:val="22"/>
        </w:rPr>
        <w:t>3.3 Molecular Detection of EPEC Virulence Genes</w:t>
      </w:r>
    </w:p>
    <w:p w14:paraId="2D5D1B7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Of the 19 EPEC isolates, 10 were randomly selected for molecular analysis using PCR to determine the presence of two key virulence genes: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(intimin) and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(bundle-forming pilus). Among these, five isolates were positive for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alone, and only one isolate harbored both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bfpA</w:t>
      </w:r>
      <w:proofErr w:type="spellEnd"/>
      <w:r w:rsidRPr="003D317A">
        <w:rPr>
          <w:rFonts w:ascii="Arial" w:hAnsi="Arial" w:cs="Arial"/>
          <w:sz w:val="20"/>
          <w:szCs w:val="20"/>
        </w:rPr>
        <w:t>, identifying it as a typical EPEC strain. Four isolates tested negative for both genes (Table 3).</w:t>
      </w:r>
    </w:p>
    <w:p w14:paraId="67F41A4B" w14:textId="3EC18FC8"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Table 3: Distribution of EPEC Virulence Genes and Classification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
        <w:gridCol w:w="539"/>
        <w:gridCol w:w="516"/>
        <w:gridCol w:w="1895"/>
      </w:tblGrid>
      <w:tr w:rsidR="00031C93" w:rsidRPr="003D317A" w14:paraId="5577CF99" w14:textId="77777777" w:rsidTr="00031C93">
        <w:trPr>
          <w:tblHeader/>
          <w:tblCellSpacing w:w="15" w:type="dxa"/>
        </w:trPr>
        <w:tc>
          <w:tcPr>
            <w:tcW w:w="0" w:type="auto"/>
            <w:tcBorders>
              <w:top w:val="single" w:sz="4" w:space="0" w:color="auto"/>
              <w:bottom w:val="single" w:sz="4" w:space="0" w:color="auto"/>
            </w:tcBorders>
            <w:vAlign w:val="center"/>
            <w:hideMark/>
          </w:tcPr>
          <w:p w14:paraId="1AA19C92"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Isolate No.</w:t>
            </w:r>
          </w:p>
        </w:tc>
        <w:tc>
          <w:tcPr>
            <w:tcW w:w="0" w:type="auto"/>
            <w:tcBorders>
              <w:top w:val="single" w:sz="4" w:space="0" w:color="auto"/>
              <w:bottom w:val="single" w:sz="4" w:space="0" w:color="auto"/>
            </w:tcBorders>
            <w:vAlign w:val="center"/>
            <w:hideMark/>
          </w:tcPr>
          <w:p w14:paraId="4500410A" w14:textId="77777777" w:rsidR="00031C93" w:rsidRPr="003D317A" w:rsidRDefault="00031C93" w:rsidP="00031C93">
            <w:pPr>
              <w:jc w:val="both"/>
              <w:rPr>
                <w:rFonts w:ascii="Arial" w:hAnsi="Arial" w:cs="Arial"/>
                <w:b/>
                <w:bCs/>
                <w:sz w:val="20"/>
                <w:szCs w:val="20"/>
              </w:rPr>
            </w:pPr>
            <w:proofErr w:type="spellStart"/>
            <w:r w:rsidRPr="003D317A">
              <w:rPr>
                <w:rFonts w:ascii="Arial" w:hAnsi="Arial" w:cs="Arial"/>
                <w:b/>
                <w:bCs/>
                <w:i/>
                <w:iCs/>
                <w:sz w:val="20"/>
                <w:szCs w:val="20"/>
              </w:rPr>
              <w:t>eaeA</w:t>
            </w:r>
            <w:proofErr w:type="spellEnd"/>
          </w:p>
        </w:tc>
        <w:tc>
          <w:tcPr>
            <w:tcW w:w="0" w:type="auto"/>
            <w:tcBorders>
              <w:top w:val="single" w:sz="4" w:space="0" w:color="auto"/>
              <w:bottom w:val="single" w:sz="4" w:space="0" w:color="auto"/>
            </w:tcBorders>
            <w:vAlign w:val="center"/>
            <w:hideMark/>
          </w:tcPr>
          <w:p w14:paraId="35CBF8B8" w14:textId="77777777" w:rsidR="00031C93" w:rsidRPr="003D317A" w:rsidRDefault="00031C93" w:rsidP="00031C93">
            <w:pPr>
              <w:jc w:val="both"/>
              <w:rPr>
                <w:rFonts w:ascii="Arial" w:hAnsi="Arial" w:cs="Arial"/>
                <w:b/>
                <w:bCs/>
                <w:sz w:val="20"/>
                <w:szCs w:val="20"/>
              </w:rPr>
            </w:pPr>
            <w:proofErr w:type="spellStart"/>
            <w:r w:rsidRPr="003D317A">
              <w:rPr>
                <w:rFonts w:ascii="Arial" w:hAnsi="Arial" w:cs="Arial"/>
                <w:b/>
                <w:bCs/>
                <w:i/>
                <w:iCs/>
                <w:sz w:val="20"/>
                <w:szCs w:val="20"/>
              </w:rPr>
              <w:t>bfpA</w:t>
            </w:r>
            <w:proofErr w:type="spellEnd"/>
          </w:p>
        </w:tc>
        <w:tc>
          <w:tcPr>
            <w:tcW w:w="0" w:type="auto"/>
            <w:tcBorders>
              <w:top w:val="single" w:sz="4" w:space="0" w:color="auto"/>
              <w:bottom w:val="single" w:sz="4" w:space="0" w:color="auto"/>
            </w:tcBorders>
            <w:vAlign w:val="center"/>
            <w:hideMark/>
          </w:tcPr>
          <w:p w14:paraId="6D118DBF" w14:textId="77777777" w:rsidR="00031C93" w:rsidRPr="003D317A" w:rsidRDefault="00031C93" w:rsidP="00031C93">
            <w:pPr>
              <w:jc w:val="both"/>
              <w:rPr>
                <w:rFonts w:ascii="Arial" w:hAnsi="Arial" w:cs="Arial"/>
                <w:b/>
                <w:bCs/>
                <w:sz w:val="20"/>
                <w:szCs w:val="20"/>
              </w:rPr>
            </w:pPr>
            <w:r w:rsidRPr="003D317A">
              <w:rPr>
                <w:rFonts w:ascii="Arial" w:hAnsi="Arial" w:cs="Arial"/>
                <w:b/>
                <w:bCs/>
                <w:sz w:val="20"/>
                <w:szCs w:val="20"/>
              </w:rPr>
              <w:t>Virulence Category</w:t>
            </w:r>
          </w:p>
        </w:tc>
      </w:tr>
      <w:tr w:rsidR="00031C93" w:rsidRPr="003D317A" w14:paraId="013EAB2E" w14:textId="77777777" w:rsidTr="00031C93">
        <w:trPr>
          <w:tblCellSpacing w:w="15" w:type="dxa"/>
        </w:trPr>
        <w:tc>
          <w:tcPr>
            <w:tcW w:w="0" w:type="auto"/>
            <w:vAlign w:val="center"/>
            <w:hideMark/>
          </w:tcPr>
          <w:p w14:paraId="7063FA1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w:t>
            </w:r>
          </w:p>
        </w:tc>
        <w:tc>
          <w:tcPr>
            <w:tcW w:w="0" w:type="auto"/>
            <w:vAlign w:val="center"/>
            <w:hideMark/>
          </w:tcPr>
          <w:p w14:paraId="467F536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DB0404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D9DFEA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Typical EPEC</w:t>
            </w:r>
          </w:p>
        </w:tc>
      </w:tr>
      <w:tr w:rsidR="00031C93" w:rsidRPr="003D317A" w14:paraId="7A092C9F" w14:textId="77777777" w:rsidTr="00031C93">
        <w:trPr>
          <w:tblCellSpacing w:w="15" w:type="dxa"/>
        </w:trPr>
        <w:tc>
          <w:tcPr>
            <w:tcW w:w="0" w:type="auto"/>
            <w:vAlign w:val="center"/>
            <w:hideMark/>
          </w:tcPr>
          <w:p w14:paraId="5C39AFC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2</w:t>
            </w:r>
          </w:p>
        </w:tc>
        <w:tc>
          <w:tcPr>
            <w:tcW w:w="0" w:type="auto"/>
            <w:vAlign w:val="center"/>
            <w:hideMark/>
          </w:tcPr>
          <w:p w14:paraId="2C18EAE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2F8E9D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23017A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6C7F8D48" w14:textId="77777777" w:rsidTr="00031C93">
        <w:trPr>
          <w:tblCellSpacing w:w="15" w:type="dxa"/>
        </w:trPr>
        <w:tc>
          <w:tcPr>
            <w:tcW w:w="0" w:type="auto"/>
            <w:vAlign w:val="center"/>
            <w:hideMark/>
          </w:tcPr>
          <w:p w14:paraId="4D01DBB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3</w:t>
            </w:r>
          </w:p>
        </w:tc>
        <w:tc>
          <w:tcPr>
            <w:tcW w:w="0" w:type="auto"/>
            <w:vAlign w:val="center"/>
            <w:hideMark/>
          </w:tcPr>
          <w:p w14:paraId="5B57541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04221A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411734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32B7A904" w14:textId="77777777" w:rsidTr="00031C93">
        <w:trPr>
          <w:tblCellSpacing w:w="15" w:type="dxa"/>
        </w:trPr>
        <w:tc>
          <w:tcPr>
            <w:tcW w:w="0" w:type="auto"/>
            <w:vAlign w:val="center"/>
            <w:hideMark/>
          </w:tcPr>
          <w:p w14:paraId="745BE8F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4</w:t>
            </w:r>
          </w:p>
        </w:tc>
        <w:tc>
          <w:tcPr>
            <w:tcW w:w="0" w:type="auto"/>
            <w:vAlign w:val="center"/>
            <w:hideMark/>
          </w:tcPr>
          <w:p w14:paraId="0505DFB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4D63628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78C82EC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62D5BB36" w14:textId="77777777" w:rsidTr="00031C93">
        <w:trPr>
          <w:tblCellSpacing w:w="15" w:type="dxa"/>
        </w:trPr>
        <w:tc>
          <w:tcPr>
            <w:tcW w:w="0" w:type="auto"/>
            <w:vAlign w:val="center"/>
            <w:hideMark/>
          </w:tcPr>
          <w:p w14:paraId="4ADBC9C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5</w:t>
            </w:r>
          </w:p>
        </w:tc>
        <w:tc>
          <w:tcPr>
            <w:tcW w:w="0" w:type="auto"/>
            <w:vAlign w:val="center"/>
            <w:hideMark/>
          </w:tcPr>
          <w:p w14:paraId="6CD7E001"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0B97FF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76F45C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48E32518" w14:textId="77777777" w:rsidTr="00031C93">
        <w:trPr>
          <w:tblCellSpacing w:w="15" w:type="dxa"/>
        </w:trPr>
        <w:tc>
          <w:tcPr>
            <w:tcW w:w="0" w:type="auto"/>
            <w:vAlign w:val="center"/>
            <w:hideMark/>
          </w:tcPr>
          <w:p w14:paraId="3C7BFC7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6</w:t>
            </w:r>
          </w:p>
        </w:tc>
        <w:tc>
          <w:tcPr>
            <w:tcW w:w="0" w:type="auto"/>
            <w:vAlign w:val="center"/>
            <w:hideMark/>
          </w:tcPr>
          <w:p w14:paraId="7B91C9C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22F7DCD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9E031C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2BD8DFC4" w14:textId="77777777" w:rsidTr="00031C93">
        <w:trPr>
          <w:tblCellSpacing w:w="15" w:type="dxa"/>
        </w:trPr>
        <w:tc>
          <w:tcPr>
            <w:tcW w:w="0" w:type="auto"/>
            <w:vAlign w:val="center"/>
            <w:hideMark/>
          </w:tcPr>
          <w:p w14:paraId="4D12D63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7</w:t>
            </w:r>
          </w:p>
        </w:tc>
        <w:tc>
          <w:tcPr>
            <w:tcW w:w="0" w:type="auto"/>
            <w:vAlign w:val="center"/>
            <w:hideMark/>
          </w:tcPr>
          <w:p w14:paraId="66B10DA4"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31652A9D"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1120A14E"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62052CF3" w14:textId="77777777" w:rsidTr="00031C93">
        <w:trPr>
          <w:tblCellSpacing w:w="15" w:type="dxa"/>
        </w:trPr>
        <w:tc>
          <w:tcPr>
            <w:tcW w:w="0" w:type="auto"/>
            <w:vAlign w:val="center"/>
            <w:hideMark/>
          </w:tcPr>
          <w:p w14:paraId="3A0D1F0C"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8</w:t>
            </w:r>
          </w:p>
        </w:tc>
        <w:tc>
          <w:tcPr>
            <w:tcW w:w="0" w:type="auto"/>
            <w:vAlign w:val="center"/>
            <w:hideMark/>
          </w:tcPr>
          <w:p w14:paraId="246CD5B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7E4FBCD2"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540BC15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Negative</w:t>
            </w:r>
          </w:p>
        </w:tc>
      </w:tr>
      <w:tr w:rsidR="00031C93" w:rsidRPr="003D317A" w14:paraId="735D9EBA" w14:textId="77777777" w:rsidTr="00031C93">
        <w:trPr>
          <w:tblCellSpacing w:w="15" w:type="dxa"/>
        </w:trPr>
        <w:tc>
          <w:tcPr>
            <w:tcW w:w="0" w:type="auto"/>
            <w:vAlign w:val="center"/>
            <w:hideMark/>
          </w:tcPr>
          <w:p w14:paraId="7B9A5A4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9</w:t>
            </w:r>
          </w:p>
        </w:tc>
        <w:tc>
          <w:tcPr>
            <w:tcW w:w="0" w:type="auto"/>
            <w:vAlign w:val="center"/>
            <w:hideMark/>
          </w:tcPr>
          <w:p w14:paraId="6B85C36F"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5A76659"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vAlign w:val="center"/>
            <w:hideMark/>
          </w:tcPr>
          <w:p w14:paraId="020E22E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r w:rsidR="00031C93" w:rsidRPr="003D317A" w14:paraId="4199D092" w14:textId="77777777" w:rsidTr="00031C93">
        <w:trPr>
          <w:tblCellSpacing w:w="15" w:type="dxa"/>
        </w:trPr>
        <w:tc>
          <w:tcPr>
            <w:tcW w:w="0" w:type="auto"/>
            <w:tcBorders>
              <w:bottom w:val="single" w:sz="4" w:space="0" w:color="auto"/>
            </w:tcBorders>
            <w:vAlign w:val="center"/>
            <w:hideMark/>
          </w:tcPr>
          <w:p w14:paraId="699F493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10</w:t>
            </w:r>
          </w:p>
        </w:tc>
        <w:tc>
          <w:tcPr>
            <w:tcW w:w="0" w:type="auto"/>
            <w:tcBorders>
              <w:bottom w:val="single" w:sz="4" w:space="0" w:color="auto"/>
            </w:tcBorders>
            <w:vAlign w:val="center"/>
            <w:hideMark/>
          </w:tcPr>
          <w:p w14:paraId="1EC8DFA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tcBorders>
              <w:bottom w:val="single" w:sz="4" w:space="0" w:color="auto"/>
            </w:tcBorders>
            <w:vAlign w:val="center"/>
            <w:hideMark/>
          </w:tcPr>
          <w:p w14:paraId="1B39029B"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w:t>
            </w:r>
          </w:p>
        </w:tc>
        <w:tc>
          <w:tcPr>
            <w:tcW w:w="0" w:type="auto"/>
            <w:tcBorders>
              <w:bottom w:val="single" w:sz="4" w:space="0" w:color="auto"/>
            </w:tcBorders>
            <w:vAlign w:val="center"/>
            <w:hideMark/>
          </w:tcPr>
          <w:p w14:paraId="7525AE3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Atypical EPEC</w:t>
            </w:r>
          </w:p>
        </w:tc>
      </w:tr>
    </w:tbl>
    <w:p w14:paraId="44E3414A" w14:textId="77777777" w:rsidR="00031C93" w:rsidRPr="003D317A" w:rsidRDefault="00031C93" w:rsidP="00031C93">
      <w:pPr>
        <w:jc w:val="both"/>
        <w:rPr>
          <w:rFonts w:ascii="Arial" w:hAnsi="Arial" w:cs="Arial"/>
          <w:sz w:val="20"/>
          <w:szCs w:val="20"/>
        </w:rPr>
      </w:pPr>
      <w:r w:rsidRPr="003D317A">
        <w:rPr>
          <w:rFonts w:ascii="Arial" w:hAnsi="Arial" w:cs="Arial"/>
          <w:i/>
          <w:iCs/>
          <w:sz w:val="20"/>
          <w:szCs w:val="20"/>
        </w:rPr>
        <w:t>Key: + = gene detected; – = gene not detected</w:t>
      </w:r>
    </w:p>
    <w:p w14:paraId="5D4C7BF6" w14:textId="5665D42E" w:rsidR="00031C93" w:rsidRDefault="00031C93" w:rsidP="00031C93">
      <w:pPr>
        <w:jc w:val="both"/>
        <w:rPr>
          <w:rFonts w:ascii="Arial" w:hAnsi="Arial" w:cs="Arial"/>
          <w:sz w:val="20"/>
          <w:szCs w:val="20"/>
        </w:rPr>
      </w:pPr>
    </w:p>
    <w:p w14:paraId="5EE47130" w14:textId="35189BAB" w:rsidR="003A78F8" w:rsidRPr="003A78F8" w:rsidRDefault="003A78F8" w:rsidP="003A78F8">
      <w:pPr>
        <w:jc w:val="both"/>
        <w:rPr>
          <w:rFonts w:ascii="Arial" w:hAnsi="Arial" w:cs="Arial"/>
          <w:b/>
          <w:bCs/>
          <w:sz w:val="22"/>
          <w:szCs w:val="22"/>
        </w:rPr>
      </w:pPr>
      <w:r w:rsidRPr="003A78F8">
        <w:rPr>
          <w:rFonts w:ascii="Arial" w:hAnsi="Arial" w:cs="Arial"/>
          <w:b/>
          <w:bCs/>
          <w:sz w:val="22"/>
          <w:szCs w:val="22"/>
        </w:rPr>
        <w:t>3.4 Antimicrobial Susceptibility Pattern of EPEC Strains</w:t>
      </w:r>
    </w:p>
    <w:p w14:paraId="7CD7289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A total of nineteen (19) </w:t>
      </w:r>
      <w:r w:rsidRPr="003A78F8">
        <w:rPr>
          <w:rFonts w:ascii="Arial" w:hAnsi="Arial" w:cs="Arial"/>
          <w:i/>
          <w:iCs/>
          <w:sz w:val="20"/>
          <w:szCs w:val="20"/>
        </w:rPr>
        <w:t>Enteropathogenic Escherichia coli</w:t>
      </w:r>
      <w:r w:rsidRPr="003A78F8">
        <w:rPr>
          <w:rFonts w:ascii="Arial" w:hAnsi="Arial" w:cs="Arial"/>
          <w:sz w:val="20"/>
          <w:szCs w:val="20"/>
        </w:rPr>
        <w:t xml:space="preserve"> (EPEC) strains isolated from children with </w:t>
      </w:r>
      <w:proofErr w:type="spellStart"/>
      <w:r w:rsidRPr="003A78F8">
        <w:rPr>
          <w:rFonts w:ascii="Arial" w:hAnsi="Arial" w:cs="Arial"/>
          <w:sz w:val="20"/>
          <w:szCs w:val="20"/>
        </w:rPr>
        <w:t>diarrhoea</w:t>
      </w:r>
      <w:proofErr w:type="spellEnd"/>
      <w:r w:rsidRPr="003A78F8">
        <w:rPr>
          <w:rFonts w:ascii="Arial" w:hAnsi="Arial" w:cs="Arial"/>
          <w:sz w:val="20"/>
          <w:szCs w:val="20"/>
        </w:rPr>
        <w:t xml:space="preserve"> were subjected to antimicrobial susceptibility testing to determine their resistance profiles. The results are presented in Table 4. The isolates exhibited variable susceptibility to the panel of antibiotics tested. Ciprofloxacin showed the highest activity against the EPEC isolates, with 17 (89.5%) strains being sensitive. This was closely followed by ceftazidime and ceftriaxone, with susceptibility rates of 79.0% and </w:t>
      </w:r>
      <w:r w:rsidRPr="003A78F8">
        <w:rPr>
          <w:rFonts w:ascii="Arial" w:hAnsi="Arial" w:cs="Arial"/>
          <w:sz w:val="20"/>
          <w:szCs w:val="20"/>
        </w:rPr>
        <w:lastRenderedPageBreak/>
        <w:t>73.7%, respectively. Moderate sensitivity was also observed with gentamicin and amoxicillin-clavulanate (68.4%).</w:t>
      </w:r>
    </w:p>
    <w:p w14:paraId="653DD14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Conversely, the highest resistance rates were observed with ampicillin, to which all 19 isolates (100%) were resistant. High resistance was also recorded against trimethoprim (89.5%) and tetracycline (84.2%). These findings are consistent with earlier studies in Nigeria and other parts of Africa, which have reported increasing resistance to older, commonly used antibiotics such as ampicillin and tetracycline among diarrhoeagenic </w:t>
      </w:r>
      <w:r w:rsidRPr="003A78F8">
        <w:rPr>
          <w:rFonts w:ascii="Arial" w:hAnsi="Arial" w:cs="Arial"/>
          <w:i/>
          <w:iCs/>
          <w:sz w:val="20"/>
          <w:szCs w:val="20"/>
        </w:rPr>
        <w:t>E. coli</w:t>
      </w:r>
      <w:r w:rsidRPr="003A78F8">
        <w:rPr>
          <w:rFonts w:ascii="Arial" w:hAnsi="Arial" w:cs="Arial"/>
          <w:sz w:val="20"/>
          <w:szCs w:val="20"/>
        </w:rPr>
        <w:t xml:space="preserve"> strains (</w:t>
      </w:r>
      <w:proofErr w:type="spellStart"/>
      <w:r w:rsidRPr="003A78F8">
        <w:rPr>
          <w:rFonts w:ascii="Arial" w:hAnsi="Arial" w:cs="Arial"/>
          <w:sz w:val="20"/>
          <w:szCs w:val="20"/>
        </w:rPr>
        <w:t>Odetoyin</w:t>
      </w:r>
      <w:proofErr w:type="spellEnd"/>
      <w:r w:rsidRPr="003A78F8">
        <w:rPr>
          <w:rFonts w:ascii="Arial" w:hAnsi="Arial" w:cs="Arial"/>
          <w:sz w:val="20"/>
          <w:szCs w:val="20"/>
        </w:rPr>
        <w:t xml:space="preserve"> et al., 2020; Okeke et al., 2015).</w:t>
      </w:r>
    </w:p>
    <w:p w14:paraId="0F9233CA"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Multidrug resistance (MDR), defined as resistance to at least three classes of antibiotics, was observed in 5 (26.3%) of the isolates. This poses a significant therapeutic challenge and underscores the importance of continuous surveillance and prudent use of antibiotics in clinical settings. The observed resistance pattern may be attributed to the widespread and often unregulated use of antibiotics in both hospital and community settings in Nigeria (</w:t>
      </w:r>
      <w:proofErr w:type="spellStart"/>
      <w:r w:rsidRPr="003A78F8">
        <w:rPr>
          <w:rFonts w:ascii="Arial" w:hAnsi="Arial" w:cs="Arial"/>
          <w:sz w:val="20"/>
          <w:szCs w:val="20"/>
        </w:rPr>
        <w:t>Aibinu</w:t>
      </w:r>
      <w:proofErr w:type="spellEnd"/>
      <w:r w:rsidRPr="003A78F8">
        <w:rPr>
          <w:rFonts w:ascii="Arial" w:hAnsi="Arial" w:cs="Arial"/>
          <w:sz w:val="20"/>
          <w:szCs w:val="20"/>
        </w:rPr>
        <w:t xml:space="preserve"> et al., 2007).</w:t>
      </w:r>
    </w:p>
    <w:p w14:paraId="100B181B" w14:textId="05EA8A8F" w:rsidR="003A78F8" w:rsidRPr="003A78F8" w:rsidRDefault="003A78F8" w:rsidP="003A78F8">
      <w:pPr>
        <w:jc w:val="both"/>
        <w:rPr>
          <w:rFonts w:ascii="Arial" w:hAnsi="Arial" w:cs="Arial"/>
          <w:sz w:val="20"/>
          <w:szCs w:val="20"/>
        </w:rPr>
      </w:pPr>
      <w:r w:rsidRPr="003A78F8">
        <w:rPr>
          <w:rFonts w:ascii="Arial" w:hAnsi="Arial" w:cs="Arial"/>
          <w:sz w:val="20"/>
          <w:szCs w:val="20"/>
        </w:rPr>
        <w:t>These results highlight the need for region-specific antibiotic stewardship and routine monitoring of antimicrobial resistance in enteric pathogens, especially among vulnerable populations such as children.</w:t>
      </w:r>
    </w:p>
    <w:p w14:paraId="14A88C6B"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Table 4: Antibiotic Susceptibility Pattern of EPEC Strains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3"/>
        <w:gridCol w:w="1483"/>
        <w:gridCol w:w="1520"/>
      </w:tblGrid>
      <w:tr w:rsidR="003A78F8" w:rsidRPr="003A78F8" w14:paraId="78A94E59" w14:textId="77777777" w:rsidTr="003A78F8">
        <w:trPr>
          <w:tblHeader/>
          <w:tblCellSpacing w:w="15" w:type="dxa"/>
        </w:trPr>
        <w:tc>
          <w:tcPr>
            <w:tcW w:w="0" w:type="auto"/>
            <w:tcBorders>
              <w:top w:val="single" w:sz="4" w:space="0" w:color="auto"/>
              <w:bottom w:val="single" w:sz="4" w:space="0" w:color="auto"/>
            </w:tcBorders>
            <w:vAlign w:val="center"/>
            <w:hideMark/>
          </w:tcPr>
          <w:p w14:paraId="211F98B9"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Antimicrobial Agent</w:t>
            </w:r>
          </w:p>
        </w:tc>
        <w:tc>
          <w:tcPr>
            <w:tcW w:w="0" w:type="auto"/>
            <w:tcBorders>
              <w:top w:val="single" w:sz="4" w:space="0" w:color="auto"/>
              <w:bottom w:val="single" w:sz="4" w:space="0" w:color="auto"/>
            </w:tcBorders>
            <w:vAlign w:val="center"/>
            <w:hideMark/>
          </w:tcPr>
          <w:p w14:paraId="5432BF5B"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Sensitive n (%)</w:t>
            </w:r>
          </w:p>
        </w:tc>
        <w:tc>
          <w:tcPr>
            <w:tcW w:w="0" w:type="auto"/>
            <w:tcBorders>
              <w:top w:val="single" w:sz="4" w:space="0" w:color="auto"/>
              <w:bottom w:val="single" w:sz="4" w:space="0" w:color="auto"/>
            </w:tcBorders>
            <w:vAlign w:val="center"/>
            <w:hideMark/>
          </w:tcPr>
          <w:p w14:paraId="39E3F135" w14:textId="77777777" w:rsidR="003A78F8" w:rsidRPr="003A78F8" w:rsidRDefault="003A78F8" w:rsidP="003A78F8">
            <w:pPr>
              <w:jc w:val="both"/>
              <w:rPr>
                <w:rFonts w:ascii="Arial" w:hAnsi="Arial" w:cs="Arial"/>
                <w:b/>
                <w:bCs/>
                <w:sz w:val="20"/>
                <w:szCs w:val="20"/>
              </w:rPr>
            </w:pPr>
            <w:r w:rsidRPr="003A78F8">
              <w:rPr>
                <w:rFonts w:ascii="Arial" w:hAnsi="Arial" w:cs="Arial"/>
                <w:b/>
                <w:bCs/>
                <w:sz w:val="20"/>
                <w:szCs w:val="20"/>
              </w:rPr>
              <w:t>Resistant n (%)</w:t>
            </w:r>
          </w:p>
        </w:tc>
      </w:tr>
      <w:tr w:rsidR="003A78F8" w:rsidRPr="003A78F8" w14:paraId="36598453" w14:textId="77777777" w:rsidTr="003A78F8">
        <w:trPr>
          <w:tblCellSpacing w:w="15" w:type="dxa"/>
        </w:trPr>
        <w:tc>
          <w:tcPr>
            <w:tcW w:w="0" w:type="auto"/>
            <w:vAlign w:val="center"/>
            <w:hideMark/>
          </w:tcPr>
          <w:p w14:paraId="122FB33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Ampicillin</w:t>
            </w:r>
          </w:p>
        </w:tc>
        <w:tc>
          <w:tcPr>
            <w:tcW w:w="0" w:type="auto"/>
            <w:vAlign w:val="center"/>
            <w:hideMark/>
          </w:tcPr>
          <w:p w14:paraId="4AFAA9EE"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0 (0.0%)</w:t>
            </w:r>
          </w:p>
        </w:tc>
        <w:tc>
          <w:tcPr>
            <w:tcW w:w="0" w:type="auto"/>
            <w:vAlign w:val="center"/>
            <w:hideMark/>
          </w:tcPr>
          <w:p w14:paraId="0D55F9B6"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19 (100.0%)</w:t>
            </w:r>
          </w:p>
        </w:tc>
      </w:tr>
      <w:tr w:rsidR="003A78F8" w:rsidRPr="003A78F8" w14:paraId="5C0AB9F3" w14:textId="77777777" w:rsidTr="003A78F8">
        <w:trPr>
          <w:tblCellSpacing w:w="15" w:type="dxa"/>
        </w:trPr>
        <w:tc>
          <w:tcPr>
            <w:tcW w:w="0" w:type="auto"/>
            <w:vAlign w:val="center"/>
            <w:hideMark/>
          </w:tcPr>
          <w:p w14:paraId="23362963"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Amoxicillin-Clavulanate</w:t>
            </w:r>
          </w:p>
        </w:tc>
        <w:tc>
          <w:tcPr>
            <w:tcW w:w="0" w:type="auto"/>
            <w:vAlign w:val="center"/>
            <w:hideMark/>
          </w:tcPr>
          <w:p w14:paraId="6FDE8E82"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13 (68.4%)</w:t>
            </w:r>
          </w:p>
        </w:tc>
        <w:tc>
          <w:tcPr>
            <w:tcW w:w="0" w:type="auto"/>
            <w:vAlign w:val="center"/>
            <w:hideMark/>
          </w:tcPr>
          <w:p w14:paraId="480DFF5F"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6 (31.6%)</w:t>
            </w:r>
          </w:p>
        </w:tc>
      </w:tr>
      <w:tr w:rsidR="003A78F8" w:rsidRPr="003A78F8" w14:paraId="12EF9221" w14:textId="77777777" w:rsidTr="003A78F8">
        <w:trPr>
          <w:tblCellSpacing w:w="15" w:type="dxa"/>
        </w:trPr>
        <w:tc>
          <w:tcPr>
            <w:tcW w:w="0" w:type="auto"/>
            <w:vAlign w:val="center"/>
            <w:hideMark/>
          </w:tcPr>
          <w:p w14:paraId="228C8256"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Ceftriaxone</w:t>
            </w:r>
          </w:p>
        </w:tc>
        <w:tc>
          <w:tcPr>
            <w:tcW w:w="0" w:type="auto"/>
            <w:vAlign w:val="center"/>
            <w:hideMark/>
          </w:tcPr>
          <w:p w14:paraId="0370D5AB"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14 (73.7%)</w:t>
            </w:r>
          </w:p>
        </w:tc>
        <w:tc>
          <w:tcPr>
            <w:tcW w:w="0" w:type="auto"/>
            <w:vAlign w:val="center"/>
            <w:hideMark/>
          </w:tcPr>
          <w:p w14:paraId="1AC1ABF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5 (26.3%)</w:t>
            </w:r>
          </w:p>
        </w:tc>
      </w:tr>
      <w:tr w:rsidR="003A78F8" w:rsidRPr="003A78F8" w14:paraId="765E7468" w14:textId="77777777" w:rsidTr="003A78F8">
        <w:trPr>
          <w:tblCellSpacing w:w="15" w:type="dxa"/>
        </w:trPr>
        <w:tc>
          <w:tcPr>
            <w:tcW w:w="0" w:type="auto"/>
            <w:vAlign w:val="center"/>
            <w:hideMark/>
          </w:tcPr>
          <w:p w14:paraId="0BC5BC94"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Gentamycin</w:t>
            </w:r>
          </w:p>
        </w:tc>
        <w:tc>
          <w:tcPr>
            <w:tcW w:w="0" w:type="auto"/>
            <w:vAlign w:val="center"/>
            <w:hideMark/>
          </w:tcPr>
          <w:p w14:paraId="3BE0434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13 (68.4%)</w:t>
            </w:r>
          </w:p>
        </w:tc>
        <w:tc>
          <w:tcPr>
            <w:tcW w:w="0" w:type="auto"/>
            <w:vAlign w:val="center"/>
            <w:hideMark/>
          </w:tcPr>
          <w:p w14:paraId="25818F2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6 (31.6%)</w:t>
            </w:r>
          </w:p>
        </w:tc>
      </w:tr>
      <w:tr w:rsidR="003A78F8" w:rsidRPr="003A78F8" w14:paraId="4911547E" w14:textId="77777777" w:rsidTr="003A78F8">
        <w:trPr>
          <w:tblCellSpacing w:w="15" w:type="dxa"/>
        </w:trPr>
        <w:tc>
          <w:tcPr>
            <w:tcW w:w="0" w:type="auto"/>
            <w:vAlign w:val="center"/>
            <w:hideMark/>
          </w:tcPr>
          <w:p w14:paraId="20A4A96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Tetracycline</w:t>
            </w:r>
          </w:p>
        </w:tc>
        <w:tc>
          <w:tcPr>
            <w:tcW w:w="0" w:type="auto"/>
            <w:vAlign w:val="center"/>
            <w:hideMark/>
          </w:tcPr>
          <w:p w14:paraId="680486F3"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3 (15.8%)</w:t>
            </w:r>
          </w:p>
        </w:tc>
        <w:tc>
          <w:tcPr>
            <w:tcW w:w="0" w:type="auto"/>
            <w:vAlign w:val="center"/>
            <w:hideMark/>
          </w:tcPr>
          <w:p w14:paraId="10B9F5A4"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16 (84.2%)</w:t>
            </w:r>
          </w:p>
        </w:tc>
      </w:tr>
      <w:tr w:rsidR="003A78F8" w:rsidRPr="003A78F8" w14:paraId="60796B61" w14:textId="77777777" w:rsidTr="003A78F8">
        <w:trPr>
          <w:tblCellSpacing w:w="15" w:type="dxa"/>
        </w:trPr>
        <w:tc>
          <w:tcPr>
            <w:tcW w:w="0" w:type="auto"/>
            <w:vAlign w:val="center"/>
            <w:hideMark/>
          </w:tcPr>
          <w:p w14:paraId="38E33D4A"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Ciprofloxacin</w:t>
            </w:r>
          </w:p>
        </w:tc>
        <w:tc>
          <w:tcPr>
            <w:tcW w:w="0" w:type="auto"/>
            <w:vAlign w:val="center"/>
            <w:hideMark/>
          </w:tcPr>
          <w:p w14:paraId="00B31FB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17 (89.5%)</w:t>
            </w:r>
          </w:p>
        </w:tc>
        <w:tc>
          <w:tcPr>
            <w:tcW w:w="0" w:type="auto"/>
            <w:vAlign w:val="center"/>
            <w:hideMark/>
          </w:tcPr>
          <w:p w14:paraId="72D4958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2 (10.5%)</w:t>
            </w:r>
          </w:p>
        </w:tc>
      </w:tr>
      <w:tr w:rsidR="003A78F8" w:rsidRPr="003A78F8" w14:paraId="0104771A" w14:textId="77777777" w:rsidTr="003A78F8">
        <w:trPr>
          <w:tblCellSpacing w:w="15" w:type="dxa"/>
        </w:trPr>
        <w:tc>
          <w:tcPr>
            <w:tcW w:w="0" w:type="auto"/>
            <w:vAlign w:val="center"/>
            <w:hideMark/>
          </w:tcPr>
          <w:p w14:paraId="2D19600D"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Ceftazidime</w:t>
            </w:r>
          </w:p>
        </w:tc>
        <w:tc>
          <w:tcPr>
            <w:tcW w:w="0" w:type="auto"/>
            <w:vAlign w:val="center"/>
            <w:hideMark/>
          </w:tcPr>
          <w:p w14:paraId="41869735"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15 (79.0%)</w:t>
            </w:r>
          </w:p>
        </w:tc>
        <w:tc>
          <w:tcPr>
            <w:tcW w:w="0" w:type="auto"/>
            <w:vAlign w:val="center"/>
            <w:hideMark/>
          </w:tcPr>
          <w:p w14:paraId="6363A6D7"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4 (21.0%)</w:t>
            </w:r>
          </w:p>
        </w:tc>
      </w:tr>
      <w:tr w:rsidR="003A78F8" w:rsidRPr="003A78F8" w14:paraId="609E3279" w14:textId="77777777" w:rsidTr="003A78F8">
        <w:trPr>
          <w:tblCellSpacing w:w="15" w:type="dxa"/>
        </w:trPr>
        <w:tc>
          <w:tcPr>
            <w:tcW w:w="0" w:type="auto"/>
            <w:tcBorders>
              <w:bottom w:val="single" w:sz="4" w:space="0" w:color="auto"/>
            </w:tcBorders>
            <w:vAlign w:val="center"/>
            <w:hideMark/>
          </w:tcPr>
          <w:p w14:paraId="2359D0A0"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Trimethoprim</w:t>
            </w:r>
          </w:p>
        </w:tc>
        <w:tc>
          <w:tcPr>
            <w:tcW w:w="0" w:type="auto"/>
            <w:tcBorders>
              <w:bottom w:val="single" w:sz="4" w:space="0" w:color="auto"/>
            </w:tcBorders>
            <w:vAlign w:val="center"/>
            <w:hideMark/>
          </w:tcPr>
          <w:p w14:paraId="47A55C19"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2 (10.5%)</w:t>
            </w:r>
          </w:p>
        </w:tc>
        <w:tc>
          <w:tcPr>
            <w:tcW w:w="0" w:type="auto"/>
            <w:tcBorders>
              <w:bottom w:val="single" w:sz="4" w:space="0" w:color="auto"/>
            </w:tcBorders>
            <w:vAlign w:val="center"/>
            <w:hideMark/>
          </w:tcPr>
          <w:p w14:paraId="2DCB057C"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17 (89.5%)</w:t>
            </w:r>
          </w:p>
        </w:tc>
      </w:tr>
    </w:tbl>
    <w:p w14:paraId="3003304A" w14:textId="77777777" w:rsidR="003A78F8" w:rsidRPr="003A78F8" w:rsidRDefault="003A78F8" w:rsidP="003A78F8">
      <w:pPr>
        <w:jc w:val="both"/>
        <w:rPr>
          <w:rFonts w:ascii="Arial" w:hAnsi="Arial" w:cs="Arial"/>
          <w:sz w:val="20"/>
          <w:szCs w:val="20"/>
        </w:rPr>
      </w:pPr>
      <w:r w:rsidRPr="003A78F8">
        <w:rPr>
          <w:rFonts w:ascii="Arial" w:hAnsi="Arial" w:cs="Arial"/>
          <w:b/>
          <w:bCs/>
          <w:sz w:val="20"/>
          <w:szCs w:val="20"/>
        </w:rPr>
        <w:t>Key:</w:t>
      </w:r>
      <w:r w:rsidRPr="003A78F8">
        <w:rPr>
          <w:rFonts w:ascii="Arial" w:hAnsi="Arial" w:cs="Arial"/>
          <w:sz w:val="20"/>
          <w:szCs w:val="20"/>
        </w:rPr>
        <w:t xml:space="preserve"> S – Sensitive, R – Resistant</w:t>
      </w:r>
    </w:p>
    <w:p w14:paraId="36042A56" w14:textId="77777777" w:rsidR="003A78F8" w:rsidRPr="003D317A" w:rsidRDefault="003A78F8" w:rsidP="00031C93">
      <w:pPr>
        <w:jc w:val="both"/>
        <w:rPr>
          <w:rFonts w:ascii="Arial" w:hAnsi="Arial" w:cs="Arial"/>
          <w:sz w:val="20"/>
          <w:szCs w:val="20"/>
        </w:rPr>
      </w:pPr>
    </w:p>
    <w:p w14:paraId="5A3C8287" w14:textId="56C2A077" w:rsidR="00031C93" w:rsidRPr="003D317A" w:rsidRDefault="003D317A" w:rsidP="00031C93">
      <w:pPr>
        <w:jc w:val="both"/>
        <w:rPr>
          <w:rFonts w:ascii="Arial" w:hAnsi="Arial" w:cs="Arial"/>
          <w:b/>
          <w:bCs/>
          <w:sz w:val="22"/>
          <w:szCs w:val="22"/>
        </w:rPr>
      </w:pPr>
      <w:r>
        <w:rPr>
          <w:rFonts w:ascii="Arial" w:hAnsi="Arial" w:cs="Arial"/>
          <w:b/>
          <w:bCs/>
          <w:sz w:val="22"/>
          <w:szCs w:val="22"/>
        </w:rPr>
        <w:t>3.</w:t>
      </w:r>
      <w:r w:rsidR="003A78F8">
        <w:rPr>
          <w:rFonts w:ascii="Arial" w:hAnsi="Arial" w:cs="Arial"/>
          <w:b/>
          <w:bCs/>
          <w:sz w:val="22"/>
          <w:szCs w:val="22"/>
        </w:rPr>
        <w:t>5</w:t>
      </w:r>
      <w:r w:rsidR="00031C93" w:rsidRPr="003D317A">
        <w:rPr>
          <w:rFonts w:ascii="Arial" w:hAnsi="Arial" w:cs="Arial"/>
          <w:b/>
          <w:bCs/>
          <w:sz w:val="22"/>
          <w:szCs w:val="22"/>
        </w:rPr>
        <w:t>. Discussion</w:t>
      </w:r>
    </w:p>
    <w:p w14:paraId="5E68600A"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Understanding the etiological agents of childhood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is critical for designing targeted public health interventions and advancing vaccine development. This study identified </w:t>
      </w:r>
      <w:r w:rsidRPr="003D317A">
        <w:rPr>
          <w:rFonts w:ascii="Arial" w:hAnsi="Arial" w:cs="Arial"/>
          <w:i/>
          <w:iCs/>
          <w:sz w:val="20"/>
          <w:szCs w:val="20"/>
        </w:rPr>
        <w:t>Enteropathogenic Escherichia coli</w:t>
      </w:r>
      <w:r w:rsidRPr="003D317A">
        <w:rPr>
          <w:rFonts w:ascii="Arial" w:hAnsi="Arial" w:cs="Arial"/>
          <w:sz w:val="20"/>
          <w:szCs w:val="20"/>
        </w:rPr>
        <w:t xml:space="preserve"> (EPEC) as a contributing agent to </w:t>
      </w:r>
      <w:proofErr w:type="spellStart"/>
      <w:r w:rsidRPr="003D317A">
        <w:rPr>
          <w:rFonts w:ascii="Arial" w:hAnsi="Arial" w:cs="Arial"/>
          <w:sz w:val="20"/>
          <w:szCs w:val="20"/>
        </w:rPr>
        <w:t>paediatric</w:t>
      </w:r>
      <w:proofErr w:type="spellEnd"/>
      <w:r w:rsidRPr="003D317A">
        <w:rPr>
          <w:rFonts w:ascii="Arial" w:hAnsi="Arial" w:cs="Arial"/>
          <w:sz w:val="20"/>
          <w:szCs w:val="20"/>
        </w:rPr>
        <w:t xml:space="preserv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Abuja, Nigeria, with a prevalence rate of 9.5%. These findings align with earlier studies in the region that have also documented EPEC as a significant diarrhoeagenic pathotype in children (</w:t>
      </w:r>
      <w:proofErr w:type="spellStart"/>
      <w:r w:rsidRPr="003D317A">
        <w:rPr>
          <w:rFonts w:ascii="Arial" w:hAnsi="Arial" w:cs="Arial"/>
          <w:sz w:val="20"/>
          <w:szCs w:val="20"/>
        </w:rPr>
        <w:t>Akinlabi</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2023; Abba &amp; </w:t>
      </w:r>
      <w:proofErr w:type="spellStart"/>
      <w:r w:rsidRPr="003D317A">
        <w:rPr>
          <w:rFonts w:ascii="Arial" w:hAnsi="Arial" w:cs="Arial"/>
          <w:sz w:val="20"/>
          <w:szCs w:val="20"/>
        </w:rPr>
        <w:t>Dutsinma</w:t>
      </w:r>
      <w:proofErr w:type="spellEnd"/>
      <w:r w:rsidRPr="003D317A">
        <w:rPr>
          <w:rFonts w:ascii="Arial" w:hAnsi="Arial" w:cs="Arial"/>
          <w:sz w:val="20"/>
          <w:szCs w:val="20"/>
        </w:rPr>
        <w:t>, 2021).</w:t>
      </w:r>
    </w:p>
    <w:p w14:paraId="65394828"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Serological analysis in this study confirmed the presence of eight serogroups among the 12 O-serotypes recognized by the World Health Organization (WHO) as classical EPEC strains (</w:t>
      </w:r>
      <w:proofErr w:type="spellStart"/>
      <w:r w:rsidRPr="003D317A">
        <w:rPr>
          <w:rFonts w:ascii="Arial" w:hAnsi="Arial" w:cs="Arial"/>
          <w:sz w:val="20"/>
          <w:szCs w:val="20"/>
        </w:rPr>
        <w:t>Trabulsi</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2002). The dominant serogroup identified was O55:K59, which accounted for 31.5% of the EPEC isolates. This </w:t>
      </w:r>
      <w:r w:rsidRPr="003D317A">
        <w:rPr>
          <w:rFonts w:ascii="Arial" w:hAnsi="Arial" w:cs="Arial"/>
          <w:sz w:val="20"/>
          <w:szCs w:val="20"/>
        </w:rPr>
        <w:lastRenderedPageBreak/>
        <w:t xml:space="preserve">observation corroborates earlier findings that have reported a high frequency of this serotype in sub-Saharan Africa (Gomes </w:t>
      </w:r>
      <w:r w:rsidRPr="003D317A">
        <w:rPr>
          <w:rFonts w:ascii="Arial" w:hAnsi="Arial" w:cs="Arial"/>
          <w:i/>
          <w:iCs/>
          <w:sz w:val="20"/>
          <w:szCs w:val="20"/>
        </w:rPr>
        <w:t>et al.,</w:t>
      </w:r>
      <w:r w:rsidRPr="003D317A">
        <w:rPr>
          <w:rFonts w:ascii="Arial" w:hAnsi="Arial" w:cs="Arial"/>
          <w:sz w:val="20"/>
          <w:szCs w:val="20"/>
        </w:rPr>
        <w:t xml:space="preserve"> 2016).</w:t>
      </w:r>
    </w:p>
    <w:p w14:paraId="61920F47"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Molecular characterization of the virulence genes revealed a predominance of atypical EPEC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strains, defined by the presence of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in the absence of </w:t>
      </w:r>
      <w:proofErr w:type="spellStart"/>
      <w:r w:rsidRPr="003D317A">
        <w:rPr>
          <w:rFonts w:ascii="Arial" w:hAnsi="Arial" w:cs="Arial"/>
          <w:i/>
          <w:iCs/>
          <w:sz w:val="20"/>
          <w:szCs w:val="20"/>
        </w:rPr>
        <w:t>eaeA</w:t>
      </w:r>
      <w:proofErr w:type="spellEnd"/>
      <w:r w:rsidRPr="003D317A">
        <w:rPr>
          <w:rFonts w:ascii="Arial" w:hAnsi="Arial" w:cs="Arial"/>
          <w:sz w:val="20"/>
          <w:szCs w:val="20"/>
        </w:rPr>
        <w:t xml:space="preserve">. Five out of the ten tested isolates exhibited this gene pattern, while only one isolate possessed both </w:t>
      </w:r>
      <w:proofErr w:type="spellStart"/>
      <w:r w:rsidRPr="003D317A">
        <w:rPr>
          <w:rFonts w:ascii="Arial" w:hAnsi="Arial" w:cs="Arial"/>
          <w:i/>
          <w:iCs/>
          <w:sz w:val="20"/>
          <w:szCs w:val="20"/>
        </w:rPr>
        <w:t>bfpA</w:t>
      </w:r>
      <w:proofErr w:type="spellEnd"/>
      <w:r w:rsidRPr="003D317A">
        <w:rPr>
          <w:rFonts w:ascii="Arial" w:hAnsi="Arial" w:cs="Arial"/>
          <w:sz w:val="20"/>
          <w:szCs w:val="20"/>
        </w:rPr>
        <w:t xml:space="preserve"> and </w:t>
      </w:r>
      <w:proofErr w:type="spellStart"/>
      <w:r w:rsidRPr="003D317A">
        <w:rPr>
          <w:rFonts w:ascii="Arial" w:hAnsi="Arial" w:cs="Arial"/>
          <w:i/>
          <w:iCs/>
          <w:sz w:val="20"/>
          <w:szCs w:val="20"/>
        </w:rPr>
        <w:t>eaeA</w:t>
      </w:r>
      <w:proofErr w:type="spellEnd"/>
      <w:r w:rsidRPr="003D317A">
        <w:rPr>
          <w:rFonts w:ascii="Arial" w:hAnsi="Arial" w:cs="Arial"/>
          <w:sz w:val="20"/>
          <w:szCs w:val="20"/>
        </w:rPr>
        <w:t>, qualifying it as a typical EPEC (</w:t>
      </w:r>
      <w:proofErr w:type="spellStart"/>
      <w:r w:rsidRPr="003D317A">
        <w:rPr>
          <w:rFonts w:ascii="Arial" w:hAnsi="Arial" w:cs="Arial"/>
          <w:sz w:val="20"/>
          <w:szCs w:val="20"/>
        </w:rPr>
        <w:t>tEPEC</w:t>
      </w:r>
      <w:proofErr w:type="spellEnd"/>
      <w:r w:rsidRPr="003D317A">
        <w:rPr>
          <w:rFonts w:ascii="Arial" w:hAnsi="Arial" w:cs="Arial"/>
          <w:sz w:val="20"/>
          <w:szCs w:val="20"/>
        </w:rPr>
        <w:t xml:space="preserve">). These results suggest that atypical EPEC strains may now be more prevalent than their typical counterparts in this region—an emerging trend that has been observed both in Nigeria and internationally (Okeke </w:t>
      </w:r>
      <w:r w:rsidRPr="003D317A">
        <w:rPr>
          <w:rFonts w:ascii="Arial" w:hAnsi="Arial" w:cs="Arial"/>
          <w:i/>
          <w:iCs/>
          <w:sz w:val="20"/>
          <w:szCs w:val="20"/>
        </w:rPr>
        <w:t>et al.,</w:t>
      </w:r>
      <w:r w:rsidRPr="003D317A">
        <w:rPr>
          <w:rFonts w:ascii="Arial" w:hAnsi="Arial" w:cs="Arial"/>
          <w:sz w:val="20"/>
          <w:szCs w:val="20"/>
        </w:rPr>
        <w:t xml:space="preserve"> 2016; Mwanga </w:t>
      </w:r>
      <w:r w:rsidRPr="003D317A">
        <w:rPr>
          <w:rFonts w:ascii="Arial" w:hAnsi="Arial" w:cs="Arial"/>
          <w:i/>
          <w:iCs/>
          <w:sz w:val="20"/>
          <w:szCs w:val="20"/>
        </w:rPr>
        <w:t>et al.,</w:t>
      </w:r>
      <w:r w:rsidRPr="003D317A">
        <w:rPr>
          <w:rFonts w:ascii="Arial" w:hAnsi="Arial" w:cs="Arial"/>
          <w:sz w:val="20"/>
          <w:szCs w:val="20"/>
        </w:rPr>
        <w:t xml:space="preserve"> 2019; </w:t>
      </w:r>
      <w:proofErr w:type="spellStart"/>
      <w:r w:rsidRPr="003D317A">
        <w:rPr>
          <w:rFonts w:ascii="Arial" w:hAnsi="Arial" w:cs="Arial"/>
          <w:sz w:val="20"/>
          <w:szCs w:val="20"/>
        </w:rPr>
        <w:t>Snehaa</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2021).</w:t>
      </w:r>
    </w:p>
    <w:p w14:paraId="3B611473"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The increasing detection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has significant epidemiological implications. Though the pathogenic role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remains less clearly defined, multiple studies have implicated them in acute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episodes, especially among young children (</w:t>
      </w:r>
      <w:proofErr w:type="spellStart"/>
      <w:r w:rsidRPr="003D317A">
        <w:rPr>
          <w:rFonts w:ascii="Arial" w:hAnsi="Arial" w:cs="Arial"/>
          <w:sz w:val="20"/>
          <w:szCs w:val="20"/>
        </w:rPr>
        <w:t>Mandomando</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2019; </w:t>
      </w:r>
      <w:proofErr w:type="spellStart"/>
      <w:r w:rsidRPr="003D317A">
        <w:rPr>
          <w:rFonts w:ascii="Arial" w:hAnsi="Arial" w:cs="Arial"/>
          <w:sz w:val="20"/>
          <w:szCs w:val="20"/>
        </w:rPr>
        <w:t>Olarinmoye</w:t>
      </w:r>
      <w:proofErr w:type="spellEnd"/>
      <w:r w:rsidRPr="003D317A">
        <w:rPr>
          <w:rFonts w:ascii="Arial" w:hAnsi="Arial" w:cs="Arial"/>
          <w:sz w:val="20"/>
          <w:szCs w:val="20"/>
        </w:rPr>
        <w:t xml:space="preserve"> </w:t>
      </w:r>
      <w:r w:rsidRPr="003D317A">
        <w:rPr>
          <w:rFonts w:ascii="Arial" w:hAnsi="Arial" w:cs="Arial"/>
          <w:i/>
          <w:iCs/>
          <w:sz w:val="20"/>
          <w:szCs w:val="20"/>
        </w:rPr>
        <w:t>et al.,</w:t>
      </w:r>
      <w:r w:rsidRPr="003D317A">
        <w:rPr>
          <w:rFonts w:ascii="Arial" w:hAnsi="Arial" w:cs="Arial"/>
          <w:sz w:val="20"/>
          <w:szCs w:val="20"/>
        </w:rPr>
        <w:t xml:space="preserve"> 2018). Their apparent rise may reflect evolutionary adaptations allowing these strains to persist in new ecological niches and host environments, potentially leading to altered virulence gene profiles, such as the absence of </w:t>
      </w:r>
      <w:proofErr w:type="spellStart"/>
      <w:r w:rsidRPr="003D317A">
        <w:rPr>
          <w:rFonts w:ascii="Arial" w:hAnsi="Arial" w:cs="Arial"/>
          <w:i/>
          <w:iCs/>
          <w:sz w:val="20"/>
          <w:szCs w:val="20"/>
        </w:rPr>
        <w:t>eaeA</w:t>
      </w:r>
      <w:proofErr w:type="spellEnd"/>
      <w:r w:rsidRPr="003D317A">
        <w:rPr>
          <w:rFonts w:ascii="Arial" w:hAnsi="Arial" w:cs="Arial"/>
          <w:sz w:val="20"/>
          <w:szCs w:val="20"/>
        </w:rPr>
        <w:t>.</w:t>
      </w:r>
    </w:p>
    <w:p w14:paraId="165A4AB5" w14:textId="77777777" w:rsidR="00031C93" w:rsidRPr="003D317A" w:rsidRDefault="00031C93" w:rsidP="00031C93">
      <w:pPr>
        <w:jc w:val="both"/>
        <w:rPr>
          <w:rFonts w:ascii="Arial" w:hAnsi="Arial" w:cs="Arial"/>
          <w:sz w:val="20"/>
          <w:szCs w:val="20"/>
        </w:rPr>
      </w:pPr>
      <w:r w:rsidRPr="003D317A">
        <w:rPr>
          <w:rFonts w:ascii="Arial" w:hAnsi="Arial" w:cs="Arial"/>
          <w:sz w:val="20"/>
          <w:szCs w:val="20"/>
        </w:rPr>
        <w:t xml:space="preserve">Geographical variation in EPEC prevalence and genetic diversity underscores the need for continued regional surveillance. The findings in this study support the growing body of evidence highlighting the dominance of </w:t>
      </w:r>
      <w:proofErr w:type="spellStart"/>
      <w:r w:rsidRPr="003D317A">
        <w:rPr>
          <w:rFonts w:ascii="Arial" w:hAnsi="Arial" w:cs="Arial"/>
          <w:sz w:val="20"/>
          <w:szCs w:val="20"/>
        </w:rPr>
        <w:t>aEPEC</w:t>
      </w:r>
      <w:proofErr w:type="spellEnd"/>
      <w:r w:rsidRPr="003D317A">
        <w:rPr>
          <w:rFonts w:ascii="Arial" w:hAnsi="Arial" w:cs="Arial"/>
          <w:sz w:val="20"/>
          <w:szCs w:val="20"/>
        </w:rPr>
        <w:t xml:space="preserve"> in </w:t>
      </w:r>
      <w:proofErr w:type="spellStart"/>
      <w:r w:rsidRPr="003D317A">
        <w:rPr>
          <w:rFonts w:ascii="Arial" w:hAnsi="Arial" w:cs="Arial"/>
          <w:sz w:val="20"/>
          <w:szCs w:val="20"/>
        </w:rPr>
        <w:t>diarrhoeal</w:t>
      </w:r>
      <w:proofErr w:type="spellEnd"/>
      <w:r w:rsidRPr="003D317A">
        <w:rPr>
          <w:rFonts w:ascii="Arial" w:hAnsi="Arial" w:cs="Arial"/>
          <w:sz w:val="20"/>
          <w:szCs w:val="20"/>
        </w:rPr>
        <w:t xml:space="preserve"> infections, which may be due to either underreporting of </w:t>
      </w:r>
      <w:proofErr w:type="spellStart"/>
      <w:r w:rsidRPr="003D317A">
        <w:rPr>
          <w:rFonts w:ascii="Arial" w:hAnsi="Arial" w:cs="Arial"/>
          <w:i/>
          <w:iCs/>
          <w:sz w:val="20"/>
          <w:szCs w:val="20"/>
        </w:rPr>
        <w:t>eaeA</w:t>
      </w:r>
      <w:proofErr w:type="spellEnd"/>
      <w:r w:rsidRPr="003D317A">
        <w:rPr>
          <w:rFonts w:ascii="Arial" w:hAnsi="Arial" w:cs="Arial"/>
          <w:sz w:val="20"/>
          <w:szCs w:val="20"/>
        </w:rPr>
        <w:t>-negative strains or genuine shifts in circulating genotypes.</w:t>
      </w:r>
    </w:p>
    <w:p w14:paraId="20F0CDCF" w14:textId="04C00AAA" w:rsidR="00031C93" w:rsidRPr="003D317A" w:rsidRDefault="00031C93" w:rsidP="00031C93">
      <w:pPr>
        <w:jc w:val="both"/>
        <w:rPr>
          <w:rFonts w:ascii="Arial" w:hAnsi="Arial" w:cs="Arial"/>
          <w:sz w:val="20"/>
          <w:szCs w:val="20"/>
        </w:rPr>
      </w:pPr>
    </w:p>
    <w:p w14:paraId="59F1CBEC" w14:textId="77777777" w:rsidR="003A78F8" w:rsidRPr="003A78F8" w:rsidRDefault="003D317A" w:rsidP="003A78F8">
      <w:pPr>
        <w:jc w:val="both"/>
        <w:rPr>
          <w:rFonts w:ascii="Arial" w:hAnsi="Arial" w:cs="Arial"/>
          <w:b/>
          <w:bCs/>
          <w:sz w:val="22"/>
          <w:szCs w:val="22"/>
        </w:rPr>
      </w:pPr>
      <w:r w:rsidRPr="003D317A">
        <w:rPr>
          <w:rFonts w:ascii="Arial" w:hAnsi="Arial" w:cs="Arial"/>
          <w:b/>
          <w:bCs/>
          <w:sz w:val="22"/>
          <w:szCs w:val="22"/>
        </w:rPr>
        <w:t>4</w:t>
      </w:r>
      <w:r w:rsidR="00031C93" w:rsidRPr="003D317A">
        <w:rPr>
          <w:rFonts w:ascii="Arial" w:hAnsi="Arial" w:cs="Arial"/>
          <w:b/>
          <w:bCs/>
          <w:sz w:val="22"/>
          <w:szCs w:val="22"/>
        </w:rPr>
        <w:t xml:space="preserve">. </w:t>
      </w:r>
      <w:r w:rsidR="003A78F8" w:rsidRPr="003A78F8">
        <w:rPr>
          <w:rFonts w:ascii="Arial" w:hAnsi="Arial" w:cs="Arial"/>
          <w:b/>
          <w:bCs/>
          <w:sz w:val="22"/>
          <w:szCs w:val="22"/>
        </w:rPr>
        <w:t>Conclusion</w:t>
      </w:r>
    </w:p>
    <w:p w14:paraId="2C28FB98"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This study demonstrates that </w:t>
      </w:r>
      <w:r w:rsidRPr="003A78F8">
        <w:rPr>
          <w:rFonts w:ascii="Arial" w:hAnsi="Arial" w:cs="Arial"/>
          <w:i/>
          <w:iCs/>
          <w:sz w:val="20"/>
          <w:szCs w:val="20"/>
        </w:rPr>
        <w:t>Enteropathogenic Escherichia coli</w:t>
      </w:r>
      <w:r w:rsidRPr="003A78F8">
        <w:rPr>
          <w:rFonts w:ascii="Arial" w:hAnsi="Arial" w:cs="Arial"/>
          <w:sz w:val="20"/>
          <w:szCs w:val="20"/>
        </w:rPr>
        <w:t xml:space="preserve"> (EPEC) continues to play a significant role in </w:t>
      </w:r>
      <w:proofErr w:type="spellStart"/>
      <w:r w:rsidRPr="003A78F8">
        <w:rPr>
          <w:rFonts w:ascii="Arial" w:hAnsi="Arial" w:cs="Arial"/>
          <w:sz w:val="20"/>
          <w:szCs w:val="20"/>
        </w:rPr>
        <w:t>paediatric</w:t>
      </w:r>
      <w:proofErr w:type="spellEnd"/>
      <w:r w:rsidRPr="003A78F8">
        <w:rPr>
          <w:rFonts w:ascii="Arial" w:hAnsi="Arial" w:cs="Arial"/>
          <w:sz w:val="20"/>
          <w:szCs w:val="20"/>
        </w:rPr>
        <w:t xml:space="preserve"> </w:t>
      </w:r>
      <w:proofErr w:type="spellStart"/>
      <w:r w:rsidRPr="003A78F8">
        <w:rPr>
          <w:rFonts w:ascii="Arial" w:hAnsi="Arial" w:cs="Arial"/>
          <w:sz w:val="20"/>
          <w:szCs w:val="20"/>
        </w:rPr>
        <w:t>diarrhoeal</w:t>
      </w:r>
      <w:proofErr w:type="spellEnd"/>
      <w:r w:rsidRPr="003A78F8">
        <w:rPr>
          <w:rFonts w:ascii="Arial" w:hAnsi="Arial" w:cs="Arial"/>
          <w:sz w:val="20"/>
          <w:szCs w:val="20"/>
        </w:rPr>
        <w:t xml:space="preserve"> disease in Abuja, Nigeria. The overall prevalence of EPEC among </w:t>
      </w:r>
      <w:proofErr w:type="spellStart"/>
      <w:r w:rsidRPr="003A78F8">
        <w:rPr>
          <w:rFonts w:ascii="Arial" w:hAnsi="Arial" w:cs="Arial"/>
          <w:sz w:val="20"/>
          <w:szCs w:val="20"/>
        </w:rPr>
        <w:t>diarrhoeic</w:t>
      </w:r>
      <w:proofErr w:type="spellEnd"/>
      <w:r w:rsidRPr="003A78F8">
        <w:rPr>
          <w:rFonts w:ascii="Arial" w:hAnsi="Arial" w:cs="Arial"/>
          <w:sz w:val="20"/>
          <w:szCs w:val="20"/>
        </w:rPr>
        <w:t xml:space="preserve"> children under five years was 9.5%, with serogroup O55:K59 (B5) being the most prevalent. Molecular analysis revealed a higher occurrence of atypical EPEC strains (26.3%) compared to typical EPEC (5.2%), highlighting the emerging role of atypical variants in childhood </w:t>
      </w:r>
      <w:proofErr w:type="spellStart"/>
      <w:r w:rsidRPr="003A78F8">
        <w:rPr>
          <w:rFonts w:ascii="Arial" w:hAnsi="Arial" w:cs="Arial"/>
          <w:sz w:val="20"/>
          <w:szCs w:val="20"/>
        </w:rPr>
        <w:t>diarrhoea</w:t>
      </w:r>
      <w:proofErr w:type="spellEnd"/>
      <w:r w:rsidRPr="003A78F8">
        <w:rPr>
          <w:rFonts w:ascii="Arial" w:hAnsi="Arial" w:cs="Arial"/>
          <w:sz w:val="20"/>
          <w:szCs w:val="20"/>
        </w:rPr>
        <w:t>. These findings underscore the need for diagnostic approaches that combine classical serotyping with molecular methods for accurate identification and characterization of EPEC strains.</w:t>
      </w:r>
    </w:p>
    <w:p w14:paraId="3B48CE69" w14:textId="77777777" w:rsidR="003A78F8" w:rsidRPr="003A78F8" w:rsidRDefault="003A78F8" w:rsidP="003A78F8">
      <w:pPr>
        <w:jc w:val="both"/>
        <w:rPr>
          <w:rFonts w:ascii="Arial" w:hAnsi="Arial" w:cs="Arial"/>
          <w:sz w:val="20"/>
          <w:szCs w:val="20"/>
        </w:rPr>
      </w:pPr>
      <w:r w:rsidRPr="003A78F8">
        <w:rPr>
          <w:rFonts w:ascii="Arial" w:hAnsi="Arial" w:cs="Arial"/>
          <w:sz w:val="20"/>
          <w:szCs w:val="20"/>
        </w:rPr>
        <w:t xml:space="preserve">In addition, antimicrobial susceptibility testing revealed a concerning resistance profile. All EPEC isolates showed 100% resistance to ampicillin, with high resistance also observed against trimethoprim (89.5%) and tetracycline (84.2%). Although ciprofloxacin (89.5%), ceftazidime (79.0%), and ceftriaxone (73.7%) demonstrated relatively high effectiveness, the detection of multidrug resistance (MDR) in 26.3% of isolates raises significant public health concerns. This level of resistance suggests the potential for treatment failure with commonly prescribed antibiotics and highlights the urgent need for rational antibiotic use, particularly in </w:t>
      </w:r>
      <w:proofErr w:type="spellStart"/>
      <w:r w:rsidRPr="003A78F8">
        <w:rPr>
          <w:rFonts w:ascii="Arial" w:hAnsi="Arial" w:cs="Arial"/>
          <w:sz w:val="20"/>
          <w:szCs w:val="20"/>
        </w:rPr>
        <w:t>paediatric</w:t>
      </w:r>
      <w:proofErr w:type="spellEnd"/>
      <w:r w:rsidRPr="003A78F8">
        <w:rPr>
          <w:rFonts w:ascii="Arial" w:hAnsi="Arial" w:cs="Arial"/>
          <w:sz w:val="20"/>
          <w:szCs w:val="20"/>
        </w:rPr>
        <w:t xml:space="preserve"> populations.</w:t>
      </w:r>
    </w:p>
    <w:p w14:paraId="732363F7" w14:textId="77777777" w:rsidR="003A78F8" w:rsidRDefault="003A78F8" w:rsidP="003A78F8">
      <w:pPr>
        <w:jc w:val="both"/>
        <w:rPr>
          <w:rFonts w:ascii="Arial" w:hAnsi="Arial" w:cs="Arial"/>
          <w:sz w:val="20"/>
          <w:szCs w:val="20"/>
        </w:rPr>
      </w:pPr>
      <w:r w:rsidRPr="003A78F8">
        <w:rPr>
          <w:rFonts w:ascii="Arial" w:hAnsi="Arial" w:cs="Arial"/>
          <w:sz w:val="20"/>
          <w:szCs w:val="20"/>
        </w:rPr>
        <w:t xml:space="preserve">Overall, the study emphasizes the critical importance of continued epidemiological surveillance, molecular profiling, and antimicrobial resistance monitoring of EPEC strains. These measures are essential to inform public health strategies, guide empirical treatment protocols, and improve clinical outcomes in children suffering from </w:t>
      </w:r>
      <w:proofErr w:type="spellStart"/>
      <w:r w:rsidRPr="003A78F8">
        <w:rPr>
          <w:rFonts w:ascii="Arial" w:hAnsi="Arial" w:cs="Arial"/>
          <w:sz w:val="20"/>
          <w:szCs w:val="20"/>
        </w:rPr>
        <w:t>diarrhoeal</w:t>
      </w:r>
      <w:proofErr w:type="spellEnd"/>
      <w:r w:rsidRPr="003A78F8">
        <w:rPr>
          <w:rFonts w:ascii="Arial" w:hAnsi="Arial" w:cs="Arial"/>
          <w:sz w:val="20"/>
          <w:szCs w:val="20"/>
        </w:rPr>
        <w:t xml:space="preserve"> diseases in Nigeria and other resource-limited settings.</w:t>
      </w:r>
    </w:p>
    <w:p w14:paraId="7AADCA6C" w14:textId="77777777" w:rsidR="00461D87" w:rsidRPr="00FF0F8B" w:rsidRDefault="00461D87" w:rsidP="00461D87">
      <w:pPr>
        <w:jc w:val="both"/>
        <w:rPr>
          <w:rFonts w:ascii="Arial" w:hAnsi="Arial" w:cs="Arial"/>
          <w:sz w:val="22"/>
          <w:szCs w:val="22"/>
        </w:rPr>
      </w:pPr>
      <w:r w:rsidRPr="00FF0F8B">
        <w:rPr>
          <w:rFonts w:ascii="Arial" w:hAnsi="Arial" w:cs="Arial"/>
          <w:b/>
          <w:bCs/>
          <w:sz w:val="22"/>
          <w:szCs w:val="22"/>
        </w:rPr>
        <w:t>ETHICAL APPROVAL</w:t>
      </w:r>
    </w:p>
    <w:p w14:paraId="783B9BA0" w14:textId="77777777" w:rsidR="00461D87" w:rsidRDefault="00461D87" w:rsidP="00461D87">
      <w:pPr>
        <w:jc w:val="both"/>
        <w:rPr>
          <w:rFonts w:ascii="Arial" w:hAnsi="Arial" w:cs="Arial"/>
          <w:sz w:val="20"/>
          <w:szCs w:val="20"/>
        </w:rPr>
      </w:pPr>
      <w:r w:rsidRPr="00FF0F8B">
        <w:rPr>
          <w:rFonts w:ascii="Arial" w:hAnsi="Arial" w:cs="Arial"/>
          <w:sz w:val="20"/>
          <w:szCs w:val="20"/>
        </w:rPr>
        <w:t xml:space="preserve">Ethical approval for the study was obtained from </w:t>
      </w:r>
      <w:r w:rsidRPr="00A61734">
        <w:rPr>
          <w:rFonts w:ascii="Arial" w:hAnsi="Arial" w:cs="Arial"/>
          <w:sz w:val="20"/>
          <w:szCs w:val="20"/>
        </w:rPr>
        <w:t>the Health Research Ethical Committee (HREC) at the Federal Ministry of Health, Abuja</w:t>
      </w:r>
      <w:r>
        <w:rPr>
          <w:rFonts w:ascii="Arial" w:hAnsi="Arial" w:cs="Arial"/>
          <w:sz w:val="20"/>
          <w:szCs w:val="20"/>
        </w:rPr>
        <w:t xml:space="preserve"> with approval number – FHREC/2023/01/221/01/221/01-11-23</w:t>
      </w:r>
      <w:r w:rsidRPr="00FF0F8B">
        <w:rPr>
          <w:rFonts w:ascii="Arial" w:hAnsi="Arial" w:cs="Arial"/>
          <w:sz w:val="20"/>
          <w:szCs w:val="20"/>
        </w:rPr>
        <w:t xml:space="preserve">. </w:t>
      </w:r>
    </w:p>
    <w:p w14:paraId="21CE35D9" w14:textId="77777777" w:rsidR="00461D87" w:rsidRDefault="00461D87" w:rsidP="00461D87">
      <w:pPr>
        <w:jc w:val="both"/>
        <w:rPr>
          <w:rFonts w:ascii="Arial" w:hAnsi="Arial" w:cs="Arial"/>
          <w:b/>
          <w:bCs/>
          <w:sz w:val="22"/>
          <w:szCs w:val="22"/>
        </w:rPr>
      </w:pPr>
    </w:p>
    <w:p w14:paraId="4BD216A8" w14:textId="77777777" w:rsidR="003A78F8" w:rsidRDefault="003A78F8" w:rsidP="005A3490">
      <w:pPr>
        <w:spacing w:line="480" w:lineRule="auto"/>
        <w:jc w:val="center"/>
        <w:rPr>
          <w:rFonts w:ascii="Arial" w:hAnsi="Arial" w:cs="Arial"/>
          <w:b/>
          <w:bCs/>
          <w:sz w:val="20"/>
          <w:szCs w:val="20"/>
        </w:rPr>
      </w:pPr>
    </w:p>
    <w:p w14:paraId="5A838950" w14:textId="125B18C6" w:rsidR="005A3490" w:rsidRPr="003D317A" w:rsidRDefault="005A3490" w:rsidP="005A3490">
      <w:pPr>
        <w:spacing w:line="480" w:lineRule="auto"/>
        <w:jc w:val="center"/>
        <w:rPr>
          <w:rFonts w:ascii="Arial" w:hAnsi="Arial" w:cs="Arial"/>
          <w:sz w:val="20"/>
          <w:szCs w:val="20"/>
        </w:rPr>
      </w:pPr>
      <w:r w:rsidRPr="003D317A">
        <w:rPr>
          <w:rFonts w:ascii="Arial" w:hAnsi="Arial" w:cs="Arial"/>
          <w:b/>
          <w:bCs/>
          <w:sz w:val="20"/>
          <w:szCs w:val="20"/>
        </w:rPr>
        <w:t>REFERENCES</w:t>
      </w:r>
    </w:p>
    <w:p w14:paraId="0337B2FC"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Abba, A.I. &amp; </w:t>
      </w:r>
      <w:proofErr w:type="spellStart"/>
      <w:r w:rsidRPr="003D317A">
        <w:rPr>
          <w:rFonts w:ascii="Arial" w:hAnsi="Arial" w:cs="Arial"/>
          <w:sz w:val="20"/>
          <w:szCs w:val="20"/>
        </w:rPr>
        <w:t>Dutsinma</w:t>
      </w:r>
      <w:proofErr w:type="spellEnd"/>
      <w:r w:rsidRPr="003D317A">
        <w:rPr>
          <w:rFonts w:ascii="Arial" w:hAnsi="Arial" w:cs="Arial"/>
          <w:sz w:val="20"/>
          <w:szCs w:val="20"/>
        </w:rPr>
        <w:t xml:space="preserve">, U.A. (2021). Detection of Enteropathogenic </w:t>
      </w:r>
      <w:r w:rsidRPr="003D317A">
        <w:rPr>
          <w:rFonts w:ascii="Arial" w:hAnsi="Arial" w:cs="Arial"/>
          <w:i/>
          <w:iCs/>
          <w:sz w:val="20"/>
          <w:szCs w:val="20"/>
        </w:rPr>
        <w:t>Escherichia coli</w:t>
      </w:r>
      <w:r w:rsidRPr="003D317A">
        <w:rPr>
          <w:rFonts w:ascii="Arial" w:hAnsi="Arial" w:cs="Arial"/>
          <w:sz w:val="20"/>
          <w:szCs w:val="20"/>
        </w:rPr>
        <w:t xml:space="preserve"> among Children under Five Years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Kano, Nigeria. </w:t>
      </w:r>
      <w:r w:rsidRPr="003D317A">
        <w:rPr>
          <w:rFonts w:ascii="Arial" w:hAnsi="Arial" w:cs="Arial"/>
          <w:i/>
          <w:iCs/>
          <w:sz w:val="20"/>
          <w:szCs w:val="20"/>
        </w:rPr>
        <w:t>Nigerian Journal of Microbiology</w:t>
      </w:r>
      <w:r w:rsidRPr="003D317A">
        <w:rPr>
          <w:rFonts w:ascii="Arial" w:hAnsi="Arial" w:cs="Arial"/>
          <w:sz w:val="20"/>
          <w:szCs w:val="20"/>
        </w:rPr>
        <w:t xml:space="preserve">, 35(2): - 5895 – 5905. </w:t>
      </w:r>
    </w:p>
    <w:p w14:paraId="0ADA16C3"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Adebola, O., </w:t>
      </w:r>
      <w:proofErr w:type="spellStart"/>
      <w:r w:rsidRPr="003D317A">
        <w:rPr>
          <w:rFonts w:ascii="Arial" w:hAnsi="Arial" w:cs="Arial"/>
          <w:sz w:val="20"/>
          <w:szCs w:val="20"/>
        </w:rPr>
        <w:t>Oluwatoyin</w:t>
      </w:r>
      <w:proofErr w:type="spellEnd"/>
      <w:r w:rsidRPr="003D317A">
        <w:rPr>
          <w:rFonts w:ascii="Arial" w:hAnsi="Arial" w:cs="Arial"/>
          <w:sz w:val="20"/>
          <w:szCs w:val="20"/>
        </w:rPr>
        <w:t xml:space="preserve">, I. and Adebayo, L. (2014). A study of the prevalence of </w:t>
      </w:r>
      <w:proofErr w:type="spellStart"/>
      <w:r w:rsidRPr="003D317A">
        <w:rPr>
          <w:rFonts w:ascii="Arial" w:hAnsi="Arial" w:cs="Arial"/>
          <w:sz w:val="20"/>
          <w:szCs w:val="20"/>
        </w:rPr>
        <w:t>diarrhoeagenicEscherichia</w:t>
      </w:r>
      <w:proofErr w:type="spellEnd"/>
      <w:r w:rsidRPr="003D317A">
        <w:rPr>
          <w:rFonts w:ascii="Arial" w:hAnsi="Arial" w:cs="Arial"/>
          <w:sz w:val="20"/>
          <w:szCs w:val="20"/>
        </w:rPr>
        <w:t xml:space="preserve"> coli in children from Gwagwalada, Federal Capital Territory, Nigeria. Pan African Medical Journal 17,146</w:t>
      </w:r>
    </w:p>
    <w:p w14:paraId="6BA7E692" w14:textId="77777777" w:rsidR="005A3490" w:rsidRPr="003D317A" w:rsidRDefault="005A3490"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Akinlabi</w:t>
      </w:r>
      <w:proofErr w:type="spellEnd"/>
      <w:r w:rsidRPr="003D317A">
        <w:rPr>
          <w:rFonts w:ascii="Arial" w:hAnsi="Arial" w:cs="Arial"/>
          <w:sz w:val="20"/>
          <w:szCs w:val="20"/>
        </w:rPr>
        <w:t xml:space="preserve">, O.C., </w:t>
      </w:r>
      <w:proofErr w:type="spellStart"/>
      <w:r w:rsidRPr="003D317A">
        <w:rPr>
          <w:rFonts w:ascii="Arial" w:hAnsi="Arial" w:cs="Arial"/>
          <w:sz w:val="20"/>
          <w:szCs w:val="20"/>
        </w:rPr>
        <w:t>Nwoko</w:t>
      </w:r>
      <w:proofErr w:type="spellEnd"/>
      <w:r w:rsidRPr="003D317A">
        <w:rPr>
          <w:rFonts w:ascii="Arial" w:hAnsi="Arial" w:cs="Arial"/>
          <w:sz w:val="20"/>
          <w:szCs w:val="20"/>
        </w:rPr>
        <w:t xml:space="preserve">, E.Q., Dada, R.A., </w:t>
      </w:r>
      <w:proofErr w:type="spellStart"/>
      <w:r w:rsidRPr="003D317A">
        <w:rPr>
          <w:rFonts w:ascii="Arial" w:hAnsi="Arial" w:cs="Arial"/>
          <w:sz w:val="20"/>
          <w:szCs w:val="20"/>
        </w:rPr>
        <w:t>Ekpo</w:t>
      </w:r>
      <w:proofErr w:type="spellEnd"/>
      <w:r w:rsidRPr="003D317A">
        <w:rPr>
          <w:rFonts w:ascii="Arial" w:hAnsi="Arial" w:cs="Arial"/>
          <w:sz w:val="20"/>
          <w:szCs w:val="20"/>
        </w:rPr>
        <w:t xml:space="preserve">, S., </w:t>
      </w:r>
      <w:proofErr w:type="spellStart"/>
      <w:r w:rsidRPr="003D317A">
        <w:rPr>
          <w:rFonts w:ascii="Arial" w:hAnsi="Arial" w:cs="Arial"/>
          <w:sz w:val="20"/>
          <w:szCs w:val="20"/>
        </w:rPr>
        <w:t>Omotuyi</w:t>
      </w:r>
      <w:proofErr w:type="spellEnd"/>
      <w:r w:rsidRPr="003D317A">
        <w:rPr>
          <w:rFonts w:ascii="Arial" w:hAnsi="Arial" w:cs="Arial"/>
          <w:sz w:val="20"/>
          <w:szCs w:val="20"/>
        </w:rPr>
        <w:t xml:space="preserve">, A., </w:t>
      </w:r>
      <w:proofErr w:type="spellStart"/>
      <w:r w:rsidRPr="003D317A">
        <w:rPr>
          <w:rFonts w:ascii="Arial" w:hAnsi="Arial" w:cs="Arial"/>
          <w:sz w:val="20"/>
          <w:szCs w:val="20"/>
        </w:rPr>
        <w:t>Adepoju</w:t>
      </w:r>
      <w:proofErr w:type="spellEnd"/>
      <w:r w:rsidRPr="003D317A">
        <w:rPr>
          <w:rFonts w:ascii="Arial" w:hAnsi="Arial" w:cs="Arial"/>
          <w:sz w:val="20"/>
          <w:szCs w:val="20"/>
        </w:rPr>
        <w:t xml:space="preserve">, A., Popoola, O., Dougan, G., Thomson, N.R., Okeke, I.N. (2023). Epidemiology and risk factors for diarrhoeagenic </w:t>
      </w:r>
      <w:r w:rsidRPr="003D317A">
        <w:rPr>
          <w:rFonts w:ascii="Arial" w:hAnsi="Arial" w:cs="Arial"/>
          <w:i/>
          <w:iCs/>
          <w:sz w:val="20"/>
          <w:szCs w:val="20"/>
        </w:rPr>
        <w:t>Escherichia coli</w:t>
      </w:r>
      <w:r w:rsidRPr="003D317A">
        <w:rPr>
          <w:rFonts w:ascii="Arial" w:hAnsi="Arial" w:cs="Arial"/>
          <w:sz w:val="20"/>
          <w:szCs w:val="20"/>
        </w:rPr>
        <w:t xml:space="preserve"> carriage among children in northern Ibadan, Nigeria. </w:t>
      </w:r>
      <w:proofErr w:type="spellStart"/>
      <w:r w:rsidRPr="003D317A">
        <w:rPr>
          <w:rFonts w:ascii="Arial" w:hAnsi="Arial" w:cs="Arial"/>
          <w:sz w:val="20"/>
          <w:szCs w:val="20"/>
        </w:rPr>
        <w:t>medRxiv</w:t>
      </w:r>
      <w:proofErr w:type="spellEnd"/>
      <w:r w:rsidRPr="003D317A">
        <w:rPr>
          <w:rFonts w:ascii="Arial" w:hAnsi="Arial" w:cs="Arial"/>
          <w:sz w:val="20"/>
          <w:szCs w:val="20"/>
        </w:rPr>
        <w:t>.  </w:t>
      </w:r>
    </w:p>
    <w:p w14:paraId="2345548F"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Beaudry, M., Zhu, C., Fairbrother, J. M. and </w:t>
      </w:r>
      <w:proofErr w:type="spellStart"/>
      <w:r w:rsidRPr="003D317A">
        <w:rPr>
          <w:rFonts w:ascii="Arial" w:hAnsi="Arial" w:cs="Arial"/>
          <w:sz w:val="20"/>
          <w:szCs w:val="20"/>
        </w:rPr>
        <w:t>Harel</w:t>
      </w:r>
      <w:proofErr w:type="spellEnd"/>
      <w:r w:rsidRPr="003D317A">
        <w:rPr>
          <w:rFonts w:ascii="Arial" w:hAnsi="Arial" w:cs="Arial"/>
          <w:sz w:val="20"/>
          <w:szCs w:val="20"/>
        </w:rPr>
        <w:t>, J. (1996). Genotypic and phenotypic characterization of Escherichia coli isolates from dogs manifesting attaching and effacing lesions. Journal of Clinical Microbiology 34: 144-148.</w:t>
      </w:r>
    </w:p>
    <w:p w14:paraId="35C9C14D"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Daniel, WW. (1999). Biostatistics: A foundation for analysis in the health sciences 7th edition, New York: John Wiley &amp; Sons</w:t>
      </w:r>
    </w:p>
    <w:p w14:paraId="1809682A"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Gomes T. A., Elias W. P., </w:t>
      </w:r>
      <w:proofErr w:type="spellStart"/>
      <w:r w:rsidRPr="003D317A">
        <w:rPr>
          <w:rFonts w:ascii="Arial" w:hAnsi="Arial" w:cs="Arial"/>
          <w:sz w:val="20"/>
          <w:szCs w:val="20"/>
        </w:rPr>
        <w:t>Scaletsky</w:t>
      </w:r>
      <w:proofErr w:type="spellEnd"/>
      <w:r w:rsidRPr="003D317A">
        <w:rPr>
          <w:rFonts w:ascii="Arial" w:hAnsi="Arial" w:cs="Arial"/>
          <w:sz w:val="20"/>
          <w:szCs w:val="20"/>
        </w:rPr>
        <w:t xml:space="preserve"> I. C., </w:t>
      </w:r>
      <w:proofErr w:type="spellStart"/>
      <w:r w:rsidRPr="003D317A">
        <w:rPr>
          <w:rFonts w:ascii="Arial" w:hAnsi="Arial" w:cs="Arial"/>
          <w:sz w:val="20"/>
          <w:szCs w:val="20"/>
        </w:rPr>
        <w:t>Guth</w:t>
      </w:r>
      <w:proofErr w:type="spellEnd"/>
      <w:r w:rsidRPr="003D317A">
        <w:rPr>
          <w:rFonts w:ascii="Arial" w:hAnsi="Arial" w:cs="Arial"/>
          <w:sz w:val="20"/>
          <w:szCs w:val="20"/>
        </w:rPr>
        <w:t xml:space="preserve"> B. E., Rodrigues J. F., Piazza R. M., Ferreira L. C., Martinez M. B. (2016). Diarrheagenic </w:t>
      </w:r>
      <w:r w:rsidRPr="003D317A">
        <w:rPr>
          <w:rFonts w:ascii="Arial" w:hAnsi="Arial" w:cs="Arial"/>
          <w:i/>
          <w:iCs/>
          <w:sz w:val="20"/>
          <w:szCs w:val="20"/>
        </w:rPr>
        <w:t>Escherichia coli</w:t>
      </w:r>
      <w:r w:rsidRPr="003D317A">
        <w:rPr>
          <w:rFonts w:ascii="Arial" w:hAnsi="Arial" w:cs="Arial"/>
          <w:sz w:val="20"/>
          <w:szCs w:val="20"/>
        </w:rPr>
        <w:t xml:space="preserve">. </w:t>
      </w:r>
      <w:r w:rsidRPr="003D317A">
        <w:rPr>
          <w:rFonts w:ascii="Arial" w:hAnsi="Arial" w:cs="Arial"/>
          <w:i/>
          <w:iCs/>
          <w:sz w:val="20"/>
          <w:szCs w:val="20"/>
        </w:rPr>
        <w:t>Brazil Journal of Microbiology</w:t>
      </w:r>
      <w:r w:rsidRPr="003D317A">
        <w:rPr>
          <w:rFonts w:ascii="Arial" w:hAnsi="Arial" w:cs="Arial"/>
          <w:sz w:val="20"/>
          <w:szCs w:val="20"/>
        </w:rPr>
        <w:t xml:space="preserve">. 47:3–30. </w:t>
      </w:r>
      <w:proofErr w:type="spellStart"/>
      <w:r w:rsidRPr="003D317A">
        <w:rPr>
          <w:rFonts w:ascii="Arial" w:hAnsi="Arial" w:cs="Arial"/>
          <w:sz w:val="20"/>
          <w:szCs w:val="20"/>
        </w:rPr>
        <w:t>doi</w:t>
      </w:r>
      <w:proofErr w:type="spellEnd"/>
      <w:r w:rsidRPr="003D317A">
        <w:rPr>
          <w:rFonts w:ascii="Arial" w:hAnsi="Arial" w:cs="Arial"/>
          <w:sz w:val="20"/>
          <w:szCs w:val="20"/>
        </w:rPr>
        <w:t>: 10.1016/j.bjm.2016.10.015</w:t>
      </w:r>
    </w:p>
    <w:p w14:paraId="3BEDC7C8" w14:textId="77777777" w:rsidR="005A3490" w:rsidRPr="003D317A" w:rsidRDefault="005A3490"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Mandomando</w:t>
      </w:r>
      <w:proofErr w:type="spellEnd"/>
      <w:r w:rsidRPr="003D317A">
        <w:rPr>
          <w:rFonts w:ascii="Arial" w:hAnsi="Arial" w:cs="Arial"/>
          <w:sz w:val="20"/>
          <w:szCs w:val="20"/>
        </w:rPr>
        <w:t xml:space="preserve">, I., </w:t>
      </w:r>
      <w:proofErr w:type="spellStart"/>
      <w:r w:rsidRPr="003D317A">
        <w:rPr>
          <w:rFonts w:ascii="Arial" w:hAnsi="Arial" w:cs="Arial"/>
          <w:sz w:val="20"/>
          <w:szCs w:val="20"/>
        </w:rPr>
        <w:t>Macete</w:t>
      </w:r>
      <w:proofErr w:type="spellEnd"/>
      <w:r w:rsidRPr="003D317A">
        <w:rPr>
          <w:rFonts w:ascii="Arial" w:hAnsi="Arial" w:cs="Arial"/>
          <w:sz w:val="20"/>
          <w:szCs w:val="20"/>
        </w:rPr>
        <w:t xml:space="preserve">, E., &amp; </w:t>
      </w:r>
      <w:proofErr w:type="spellStart"/>
      <w:r w:rsidRPr="003D317A">
        <w:rPr>
          <w:rFonts w:ascii="Arial" w:hAnsi="Arial" w:cs="Arial"/>
          <w:sz w:val="20"/>
          <w:szCs w:val="20"/>
        </w:rPr>
        <w:t>Vubil</w:t>
      </w:r>
      <w:proofErr w:type="spellEnd"/>
      <w:r w:rsidRPr="003D317A">
        <w:rPr>
          <w:rFonts w:ascii="Arial" w:hAnsi="Arial" w:cs="Arial"/>
          <w:sz w:val="20"/>
          <w:szCs w:val="20"/>
        </w:rPr>
        <w:t xml:space="preserve">, A. (2019).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Mozambique. </w:t>
      </w:r>
      <w:r w:rsidRPr="003D317A">
        <w:rPr>
          <w:rFonts w:ascii="Arial" w:hAnsi="Arial" w:cs="Arial"/>
          <w:i/>
          <w:iCs/>
          <w:sz w:val="20"/>
          <w:szCs w:val="20"/>
        </w:rPr>
        <w:t>Journal of Infectious Diseases</w:t>
      </w:r>
      <w:r w:rsidRPr="003D317A">
        <w:rPr>
          <w:rFonts w:ascii="Arial" w:hAnsi="Arial" w:cs="Arial"/>
          <w:sz w:val="20"/>
          <w:szCs w:val="20"/>
        </w:rPr>
        <w:t>, 220(3), 434-442. </w:t>
      </w:r>
    </w:p>
    <w:p w14:paraId="2C162A29"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Mwanga, M. K., </w:t>
      </w:r>
      <w:proofErr w:type="spellStart"/>
      <w:r w:rsidRPr="003D317A">
        <w:rPr>
          <w:rFonts w:ascii="Arial" w:hAnsi="Arial" w:cs="Arial"/>
          <w:sz w:val="20"/>
          <w:szCs w:val="20"/>
        </w:rPr>
        <w:t>Mmbaga</w:t>
      </w:r>
      <w:proofErr w:type="spellEnd"/>
      <w:r w:rsidRPr="003D317A">
        <w:rPr>
          <w:rFonts w:ascii="Arial" w:hAnsi="Arial" w:cs="Arial"/>
          <w:sz w:val="20"/>
          <w:szCs w:val="20"/>
        </w:rPr>
        <w:t xml:space="preserve">, B. T., &amp; </w:t>
      </w:r>
      <w:proofErr w:type="spellStart"/>
      <w:r w:rsidRPr="003D317A">
        <w:rPr>
          <w:rFonts w:ascii="Arial" w:hAnsi="Arial" w:cs="Arial"/>
          <w:sz w:val="20"/>
          <w:szCs w:val="20"/>
        </w:rPr>
        <w:t>Mwakalinga</w:t>
      </w:r>
      <w:proofErr w:type="spellEnd"/>
      <w:r w:rsidRPr="003D317A">
        <w:rPr>
          <w:rFonts w:ascii="Arial" w:hAnsi="Arial" w:cs="Arial"/>
          <w:sz w:val="20"/>
          <w:szCs w:val="20"/>
        </w:rPr>
        <w:t xml:space="preserve">, S. B. (2019).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Tanzania. </w:t>
      </w:r>
      <w:r w:rsidRPr="003D317A">
        <w:rPr>
          <w:rFonts w:ascii="Arial" w:hAnsi="Arial" w:cs="Arial"/>
          <w:i/>
          <w:iCs/>
          <w:sz w:val="20"/>
          <w:szCs w:val="20"/>
        </w:rPr>
        <w:t>Journal of Tropical Pediatrics</w:t>
      </w:r>
      <w:r w:rsidRPr="003D317A">
        <w:rPr>
          <w:rFonts w:ascii="Arial" w:hAnsi="Arial" w:cs="Arial"/>
          <w:sz w:val="20"/>
          <w:szCs w:val="20"/>
        </w:rPr>
        <w:t>, 65(3), 249-256.</w:t>
      </w:r>
    </w:p>
    <w:p w14:paraId="695C2CF3"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Okeke, I. N., </w:t>
      </w:r>
      <w:proofErr w:type="spellStart"/>
      <w:r w:rsidRPr="003D317A">
        <w:rPr>
          <w:rFonts w:ascii="Arial" w:hAnsi="Arial" w:cs="Arial"/>
          <w:sz w:val="20"/>
          <w:szCs w:val="20"/>
        </w:rPr>
        <w:t>Aboderin</w:t>
      </w:r>
      <w:proofErr w:type="spellEnd"/>
      <w:r w:rsidRPr="003D317A">
        <w:rPr>
          <w:rFonts w:ascii="Arial" w:hAnsi="Arial" w:cs="Arial"/>
          <w:sz w:val="20"/>
          <w:szCs w:val="20"/>
        </w:rPr>
        <w:t xml:space="preserve">, A. O., &amp; Olowe, O. A. (2016).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Nigeria. Journal of Infectious Diseases, 213(12), 1941-1948.</w:t>
      </w:r>
    </w:p>
    <w:p w14:paraId="1035601D" w14:textId="77777777" w:rsidR="005A3490" w:rsidRPr="003D317A" w:rsidRDefault="005A3490"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Olarinmoye</w:t>
      </w:r>
      <w:proofErr w:type="spellEnd"/>
      <w:r w:rsidRPr="003D317A">
        <w:rPr>
          <w:rFonts w:ascii="Arial" w:hAnsi="Arial" w:cs="Arial"/>
          <w:sz w:val="20"/>
          <w:szCs w:val="20"/>
        </w:rPr>
        <w:t xml:space="preserve">, A. O., </w:t>
      </w:r>
      <w:proofErr w:type="spellStart"/>
      <w:r w:rsidRPr="003D317A">
        <w:rPr>
          <w:rFonts w:ascii="Arial" w:hAnsi="Arial" w:cs="Arial"/>
          <w:sz w:val="20"/>
          <w:szCs w:val="20"/>
        </w:rPr>
        <w:t>Olonitola</w:t>
      </w:r>
      <w:proofErr w:type="spellEnd"/>
      <w:r w:rsidRPr="003D317A">
        <w:rPr>
          <w:rFonts w:ascii="Arial" w:hAnsi="Arial" w:cs="Arial"/>
          <w:sz w:val="20"/>
          <w:szCs w:val="20"/>
        </w:rPr>
        <w:t xml:space="preserve">, O. S., &amp; </w:t>
      </w:r>
      <w:proofErr w:type="spellStart"/>
      <w:r w:rsidRPr="003D317A">
        <w:rPr>
          <w:rFonts w:ascii="Arial" w:hAnsi="Arial" w:cs="Arial"/>
          <w:sz w:val="20"/>
          <w:szCs w:val="20"/>
        </w:rPr>
        <w:t>Adefioye</w:t>
      </w:r>
      <w:proofErr w:type="spellEnd"/>
      <w:r w:rsidRPr="003D317A">
        <w:rPr>
          <w:rFonts w:ascii="Arial" w:hAnsi="Arial" w:cs="Arial"/>
          <w:sz w:val="20"/>
          <w:szCs w:val="20"/>
        </w:rPr>
        <w:t xml:space="preserve">, O. J. (2018). Prevalence of enteropathogenic </w:t>
      </w:r>
      <w:r w:rsidRPr="003D317A">
        <w:rPr>
          <w:rFonts w:ascii="Arial" w:hAnsi="Arial" w:cs="Arial"/>
          <w:i/>
          <w:iCs/>
          <w:sz w:val="20"/>
          <w:szCs w:val="20"/>
        </w:rPr>
        <w:t>Escherichia coli</w:t>
      </w:r>
      <w:r w:rsidRPr="003D317A">
        <w:rPr>
          <w:rFonts w:ascii="Arial" w:hAnsi="Arial" w:cs="Arial"/>
          <w:sz w:val="20"/>
          <w:szCs w:val="20"/>
        </w:rPr>
        <w:t xml:space="preserve"> (EPEC) in children with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in Lagos, Nigeria. </w:t>
      </w:r>
      <w:r w:rsidRPr="003D317A">
        <w:rPr>
          <w:rFonts w:ascii="Arial" w:hAnsi="Arial" w:cs="Arial"/>
          <w:i/>
          <w:iCs/>
          <w:sz w:val="20"/>
          <w:szCs w:val="20"/>
        </w:rPr>
        <w:t>Journal of Medical Laboratory Science</w:t>
      </w:r>
      <w:r w:rsidRPr="003D317A">
        <w:rPr>
          <w:rFonts w:ascii="Arial" w:hAnsi="Arial" w:cs="Arial"/>
          <w:sz w:val="20"/>
          <w:szCs w:val="20"/>
        </w:rPr>
        <w:t xml:space="preserve">, 25(2), 1-8. </w:t>
      </w:r>
    </w:p>
    <w:p w14:paraId="6AB4F959" w14:textId="77777777" w:rsidR="005A3490" w:rsidRPr="003D317A" w:rsidRDefault="005A3490" w:rsidP="003A0224">
      <w:pPr>
        <w:spacing w:after="0" w:line="240" w:lineRule="auto"/>
        <w:ind w:left="1440" w:hanging="1440"/>
        <w:jc w:val="both"/>
        <w:rPr>
          <w:rFonts w:ascii="Arial" w:hAnsi="Arial" w:cs="Arial"/>
          <w:sz w:val="20"/>
          <w:szCs w:val="20"/>
        </w:rPr>
      </w:pPr>
      <w:r w:rsidRPr="003D317A">
        <w:rPr>
          <w:rFonts w:ascii="Arial" w:hAnsi="Arial" w:cs="Arial"/>
          <w:sz w:val="20"/>
          <w:szCs w:val="20"/>
        </w:rPr>
        <w:t xml:space="preserve">Smith, J. L., et al. (2021). Enteropathogenic Escherichia coli: A review of the literature. </w:t>
      </w:r>
      <w:r w:rsidRPr="003D317A">
        <w:rPr>
          <w:rFonts w:ascii="Arial" w:hAnsi="Arial" w:cs="Arial"/>
          <w:i/>
          <w:iCs/>
          <w:sz w:val="20"/>
          <w:szCs w:val="20"/>
        </w:rPr>
        <w:t>Journal of Infectious Diseases</w:t>
      </w:r>
      <w:r w:rsidRPr="003D317A">
        <w:rPr>
          <w:rFonts w:ascii="Arial" w:hAnsi="Arial" w:cs="Arial"/>
          <w:sz w:val="20"/>
          <w:szCs w:val="20"/>
        </w:rPr>
        <w:t>, 223(12), 2149-2158.</w:t>
      </w:r>
    </w:p>
    <w:p w14:paraId="3BCEA9BE" w14:textId="77777777" w:rsidR="005A3490" w:rsidRPr="003D317A" w:rsidRDefault="005A3490" w:rsidP="003A0224">
      <w:pPr>
        <w:spacing w:after="0" w:line="240" w:lineRule="auto"/>
        <w:ind w:left="1440" w:hanging="1440"/>
        <w:jc w:val="both"/>
        <w:rPr>
          <w:rFonts w:ascii="Arial" w:eastAsia="Times New Roman" w:hAnsi="Arial" w:cs="Arial"/>
          <w:color w:val="222222"/>
          <w:kern w:val="0"/>
          <w:sz w:val="20"/>
          <w:szCs w:val="20"/>
          <w14:ligatures w14:val="none"/>
        </w:rPr>
      </w:pPr>
      <w:proofErr w:type="spellStart"/>
      <w:r w:rsidRPr="003D317A">
        <w:rPr>
          <w:rFonts w:ascii="Arial" w:hAnsi="Arial" w:cs="Arial"/>
          <w:sz w:val="20"/>
          <w:szCs w:val="20"/>
        </w:rPr>
        <w:t>Snehaa</w:t>
      </w:r>
      <w:proofErr w:type="spellEnd"/>
      <w:r w:rsidRPr="003D317A">
        <w:rPr>
          <w:rFonts w:ascii="Arial" w:hAnsi="Arial" w:cs="Arial"/>
          <w:sz w:val="20"/>
          <w:szCs w:val="20"/>
        </w:rPr>
        <w:t xml:space="preserve">, K., Singh, T., Dar, S. A., Haque, S., Ramachandran, V. G., </w:t>
      </w:r>
      <w:proofErr w:type="spellStart"/>
      <w:r w:rsidRPr="003D317A">
        <w:rPr>
          <w:rFonts w:ascii="Arial" w:hAnsi="Arial" w:cs="Arial"/>
          <w:sz w:val="20"/>
          <w:szCs w:val="20"/>
        </w:rPr>
        <w:t>Saha</w:t>
      </w:r>
      <w:proofErr w:type="spellEnd"/>
      <w:r w:rsidRPr="003D317A">
        <w:rPr>
          <w:rFonts w:ascii="Arial" w:hAnsi="Arial" w:cs="Arial"/>
          <w:sz w:val="20"/>
          <w:szCs w:val="20"/>
        </w:rPr>
        <w:t xml:space="preserve">, R., Shah, D., &amp; Das, S. (2021). Typical and atypical enteropathogenic. </w:t>
      </w:r>
      <w:r w:rsidRPr="003D317A">
        <w:rPr>
          <w:rFonts w:ascii="Arial" w:hAnsi="Arial" w:cs="Arial"/>
          <w:i/>
          <w:iCs/>
          <w:sz w:val="20"/>
          <w:szCs w:val="20"/>
        </w:rPr>
        <w:t>Escherichia coli</w:t>
      </w:r>
      <w:r w:rsidRPr="003D317A">
        <w:rPr>
          <w:rFonts w:ascii="Arial" w:hAnsi="Arial" w:cs="Arial"/>
          <w:sz w:val="20"/>
          <w:szCs w:val="20"/>
        </w:rPr>
        <w:t xml:space="preserve"> in children with acute </w:t>
      </w:r>
      <w:proofErr w:type="spellStart"/>
      <w:r w:rsidRPr="003D317A">
        <w:rPr>
          <w:rFonts w:ascii="Arial" w:hAnsi="Arial" w:cs="Arial"/>
          <w:sz w:val="20"/>
          <w:szCs w:val="20"/>
        </w:rPr>
        <w:t>diarrhoea</w:t>
      </w:r>
      <w:proofErr w:type="spellEnd"/>
      <w:r w:rsidRPr="003D317A">
        <w:rPr>
          <w:rFonts w:ascii="Arial" w:hAnsi="Arial" w:cs="Arial"/>
          <w:sz w:val="20"/>
          <w:szCs w:val="20"/>
        </w:rPr>
        <w:t xml:space="preserve">: Changing trend in East Delhi. </w:t>
      </w:r>
      <w:r w:rsidRPr="003D317A">
        <w:rPr>
          <w:rFonts w:ascii="Arial" w:hAnsi="Arial" w:cs="Arial"/>
          <w:i/>
          <w:iCs/>
          <w:sz w:val="20"/>
          <w:szCs w:val="20"/>
        </w:rPr>
        <w:t>Biochemical Journal. 44</w:t>
      </w:r>
      <w:r w:rsidRPr="003D317A">
        <w:rPr>
          <w:rFonts w:ascii="Arial" w:hAnsi="Arial" w:cs="Arial"/>
          <w:sz w:val="20"/>
          <w:szCs w:val="20"/>
        </w:rPr>
        <w:t>(4), 471–478.</w:t>
      </w:r>
      <w:r w:rsidRPr="003D317A">
        <w:rPr>
          <w:rFonts w:ascii="Arial" w:eastAsia="Times New Roman" w:hAnsi="Arial" w:cs="Arial"/>
          <w:color w:val="222222"/>
          <w:kern w:val="0"/>
          <w:sz w:val="20"/>
          <w:szCs w:val="20"/>
          <w14:ligatures w14:val="none"/>
        </w:rPr>
        <w:t xml:space="preserve"> </w:t>
      </w:r>
    </w:p>
    <w:p w14:paraId="0252B2C5" w14:textId="77777777" w:rsidR="005A3490" w:rsidRPr="003D317A" w:rsidRDefault="005A3490" w:rsidP="003A0224">
      <w:pPr>
        <w:spacing w:after="0" w:line="240" w:lineRule="auto"/>
        <w:ind w:left="1440" w:hanging="1440"/>
        <w:jc w:val="both"/>
        <w:rPr>
          <w:rFonts w:ascii="Arial" w:hAnsi="Arial" w:cs="Arial"/>
          <w:sz w:val="20"/>
          <w:szCs w:val="20"/>
        </w:rPr>
      </w:pPr>
      <w:proofErr w:type="spellStart"/>
      <w:r w:rsidRPr="003D317A">
        <w:rPr>
          <w:rFonts w:ascii="Arial" w:hAnsi="Arial" w:cs="Arial"/>
          <w:sz w:val="20"/>
          <w:szCs w:val="20"/>
        </w:rPr>
        <w:t>Trabulsi</w:t>
      </w:r>
      <w:proofErr w:type="spellEnd"/>
      <w:r w:rsidRPr="003D317A">
        <w:rPr>
          <w:rFonts w:ascii="Arial" w:hAnsi="Arial" w:cs="Arial"/>
          <w:sz w:val="20"/>
          <w:szCs w:val="20"/>
        </w:rPr>
        <w:t xml:space="preserve">, L. R., Keller, R., &amp; </w:t>
      </w:r>
      <w:proofErr w:type="spellStart"/>
      <w:r w:rsidRPr="003D317A">
        <w:rPr>
          <w:rFonts w:ascii="Arial" w:hAnsi="Arial" w:cs="Arial"/>
          <w:sz w:val="20"/>
          <w:szCs w:val="20"/>
        </w:rPr>
        <w:t>Tardelli</w:t>
      </w:r>
      <w:proofErr w:type="spellEnd"/>
      <w:r w:rsidRPr="003D317A">
        <w:rPr>
          <w:rFonts w:ascii="Arial" w:hAnsi="Arial" w:cs="Arial"/>
          <w:sz w:val="20"/>
          <w:szCs w:val="20"/>
        </w:rPr>
        <w:t xml:space="preserve"> Gomes, T. A. (2002). Typical and atypical enteropathogenic </w:t>
      </w:r>
      <w:r w:rsidRPr="003D317A">
        <w:rPr>
          <w:rFonts w:ascii="Arial" w:hAnsi="Arial" w:cs="Arial"/>
          <w:i/>
          <w:iCs/>
          <w:sz w:val="20"/>
          <w:szCs w:val="20"/>
        </w:rPr>
        <w:t>Escherichia coli</w:t>
      </w:r>
      <w:r w:rsidRPr="003D317A">
        <w:rPr>
          <w:rFonts w:ascii="Arial" w:hAnsi="Arial" w:cs="Arial"/>
          <w:sz w:val="20"/>
          <w:szCs w:val="20"/>
        </w:rPr>
        <w:t xml:space="preserve">. </w:t>
      </w:r>
      <w:r w:rsidRPr="003D317A">
        <w:rPr>
          <w:rFonts w:ascii="Arial" w:hAnsi="Arial" w:cs="Arial"/>
          <w:i/>
          <w:iCs/>
          <w:sz w:val="20"/>
          <w:szCs w:val="20"/>
        </w:rPr>
        <w:t>Emerging Infectious Diseases</w:t>
      </w:r>
      <w:r w:rsidRPr="003D317A">
        <w:rPr>
          <w:rFonts w:ascii="Arial" w:hAnsi="Arial" w:cs="Arial"/>
          <w:sz w:val="20"/>
          <w:szCs w:val="20"/>
        </w:rPr>
        <w:t>, 8(5), 508-513.</w:t>
      </w:r>
    </w:p>
    <w:p w14:paraId="39A0F3C0" w14:textId="77777777" w:rsidR="005A3490" w:rsidRPr="003D317A" w:rsidRDefault="005A3490" w:rsidP="003A0224">
      <w:pPr>
        <w:spacing w:after="0" w:line="240" w:lineRule="auto"/>
        <w:ind w:left="1440" w:hanging="1440"/>
        <w:jc w:val="both"/>
        <w:rPr>
          <w:rFonts w:ascii="Arial" w:eastAsia="Times New Roman" w:hAnsi="Arial" w:cs="Arial"/>
          <w:color w:val="222222"/>
          <w:kern w:val="0"/>
          <w:sz w:val="20"/>
          <w:szCs w:val="20"/>
          <w14:ligatures w14:val="none"/>
        </w:rPr>
      </w:pPr>
      <w:r w:rsidRPr="003D317A">
        <w:rPr>
          <w:rFonts w:ascii="Arial" w:hAnsi="Arial" w:cs="Arial"/>
          <w:sz w:val="20"/>
          <w:szCs w:val="20"/>
        </w:rPr>
        <w:t>UNICEF. (2020). Under five mortality. Available at http://data.unicef.org/topic/child-survival/under-five-mortality/</w:t>
      </w:r>
      <w:r w:rsidRPr="003D317A">
        <w:rPr>
          <w:rFonts w:ascii="Arial" w:eastAsia="Times New Roman" w:hAnsi="Arial" w:cs="Arial"/>
          <w:color w:val="222222"/>
          <w:kern w:val="0"/>
          <w:sz w:val="20"/>
          <w:szCs w:val="20"/>
          <w14:ligatures w14:val="none"/>
        </w:rPr>
        <w:t xml:space="preserve"> </w:t>
      </w:r>
    </w:p>
    <w:p w14:paraId="6DBBD912" w14:textId="77777777" w:rsidR="005A3490" w:rsidRDefault="005A3490" w:rsidP="00031C93">
      <w:pPr>
        <w:jc w:val="both"/>
        <w:rPr>
          <w:rFonts w:ascii="Arial" w:hAnsi="Arial" w:cs="Arial"/>
          <w:sz w:val="20"/>
          <w:szCs w:val="20"/>
        </w:rPr>
      </w:pPr>
    </w:p>
    <w:p w14:paraId="4A2CB0C3" w14:textId="77777777" w:rsidR="00777423" w:rsidRDefault="00777423" w:rsidP="00031C93">
      <w:pPr>
        <w:jc w:val="both"/>
        <w:rPr>
          <w:rFonts w:ascii="Arial" w:hAnsi="Arial" w:cs="Arial"/>
          <w:sz w:val="20"/>
          <w:szCs w:val="20"/>
        </w:rPr>
      </w:pPr>
    </w:p>
    <w:p w14:paraId="416F9269" w14:textId="77777777" w:rsidR="00777423" w:rsidRDefault="00777423" w:rsidP="00031C93">
      <w:pPr>
        <w:jc w:val="both"/>
        <w:rPr>
          <w:rFonts w:ascii="Arial" w:hAnsi="Arial" w:cs="Arial"/>
          <w:sz w:val="20"/>
          <w:szCs w:val="20"/>
        </w:rPr>
      </w:pPr>
    </w:p>
    <w:p w14:paraId="0EACB133" w14:textId="77777777" w:rsidR="00777423" w:rsidRDefault="00777423" w:rsidP="00777423">
      <w:pPr>
        <w:jc w:val="both"/>
        <w:rPr>
          <w:rFonts w:ascii="Arial" w:hAnsi="Arial" w:cs="Arial"/>
          <w:b/>
          <w:bCs/>
          <w:sz w:val="22"/>
          <w:szCs w:val="22"/>
        </w:rPr>
      </w:pPr>
    </w:p>
    <w:p w14:paraId="0B76F583" w14:textId="77777777" w:rsidR="00777423" w:rsidRDefault="00777423" w:rsidP="00777423">
      <w:pPr>
        <w:jc w:val="both"/>
        <w:rPr>
          <w:rFonts w:ascii="Arial" w:hAnsi="Arial" w:cs="Arial"/>
          <w:b/>
          <w:bCs/>
          <w:sz w:val="22"/>
          <w:szCs w:val="22"/>
        </w:rPr>
      </w:pPr>
    </w:p>
    <w:p w14:paraId="5F5D8B3C" w14:textId="77777777" w:rsidR="00777423" w:rsidRDefault="00777423" w:rsidP="00777423">
      <w:pPr>
        <w:jc w:val="both"/>
        <w:rPr>
          <w:rFonts w:ascii="Arial" w:hAnsi="Arial" w:cs="Arial"/>
          <w:b/>
          <w:bCs/>
          <w:sz w:val="22"/>
          <w:szCs w:val="22"/>
        </w:rPr>
      </w:pPr>
    </w:p>
    <w:p w14:paraId="5981C9AC" w14:textId="77777777" w:rsidR="00777423" w:rsidRDefault="00777423" w:rsidP="00777423">
      <w:pPr>
        <w:jc w:val="both"/>
        <w:rPr>
          <w:rFonts w:ascii="Arial" w:hAnsi="Arial" w:cs="Arial"/>
          <w:b/>
          <w:bCs/>
          <w:sz w:val="22"/>
          <w:szCs w:val="22"/>
        </w:rPr>
      </w:pPr>
    </w:p>
    <w:p w14:paraId="45C25514" w14:textId="77777777" w:rsidR="00777423" w:rsidRDefault="00777423" w:rsidP="00777423">
      <w:pPr>
        <w:jc w:val="both"/>
        <w:rPr>
          <w:rFonts w:ascii="Arial" w:hAnsi="Arial" w:cs="Arial"/>
          <w:b/>
          <w:bCs/>
          <w:sz w:val="22"/>
          <w:szCs w:val="22"/>
        </w:rPr>
      </w:pPr>
    </w:p>
    <w:p w14:paraId="74FC5CDB" w14:textId="77777777" w:rsidR="00777423" w:rsidRDefault="00777423" w:rsidP="00777423">
      <w:pPr>
        <w:jc w:val="both"/>
        <w:rPr>
          <w:rFonts w:ascii="Arial" w:hAnsi="Arial" w:cs="Arial"/>
          <w:b/>
          <w:bCs/>
          <w:sz w:val="22"/>
          <w:szCs w:val="22"/>
        </w:rPr>
      </w:pPr>
    </w:p>
    <w:p w14:paraId="6149EA61" w14:textId="77777777" w:rsidR="00777423" w:rsidRPr="003D317A" w:rsidRDefault="00777423" w:rsidP="00031C93">
      <w:pPr>
        <w:jc w:val="both"/>
        <w:rPr>
          <w:rFonts w:ascii="Arial" w:hAnsi="Arial" w:cs="Arial"/>
          <w:sz w:val="20"/>
          <w:szCs w:val="20"/>
        </w:rPr>
      </w:pPr>
    </w:p>
    <w:sectPr w:rsidR="00777423" w:rsidRPr="003D31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1AD9" w14:textId="77777777" w:rsidR="00EE2D0A" w:rsidRDefault="00EE2D0A" w:rsidP="00633300">
      <w:pPr>
        <w:spacing w:after="0" w:line="240" w:lineRule="auto"/>
      </w:pPr>
      <w:r>
        <w:separator/>
      </w:r>
    </w:p>
  </w:endnote>
  <w:endnote w:type="continuationSeparator" w:id="0">
    <w:p w14:paraId="3645CADF" w14:textId="77777777" w:rsidR="00EE2D0A" w:rsidRDefault="00EE2D0A" w:rsidP="0063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34F2" w14:textId="77777777" w:rsidR="00633300" w:rsidRDefault="0063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8FDE" w14:textId="77777777" w:rsidR="00633300" w:rsidRDefault="00633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C26F" w14:textId="77777777" w:rsidR="00633300" w:rsidRDefault="0063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52948" w14:textId="77777777" w:rsidR="00EE2D0A" w:rsidRDefault="00EE2D0A" w:rsidP="00633300">
      <w:pPr>
        <w:spacing w:after="0" w:line="240" w:lineRule="auto"/>
      </w:pPr>
      <w:r>
        <w:separator/>
      </w:r>
    </w:p>
  </w:footnote>
  <w:footnote w:type="continuationSeparator" w:id="0">
    <w:p w14:paraId="1FA3B295" w14:textId="77777777" w:rsidR="00EE2D0A" w:rsidRDefault="00EE2D0A" w:rsidP="0063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258D" w14:textId="5D8D057C" w:rsidR="00633300" w:rsidRDefault="00633300">
    <w:pPr>
      <w:pStyle w:val="Header"/>
    </w:pPr>
    <w:r>
      <w:rPr>
        <w:noProof/>
      </w:rPr>
      <w:pict w14:anchorId="69F7A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9CD0" w14:textId="0F62758F" w:rsidR="00633300" w:rsidRDefault="00633300">
    <w:pPr>
      <w:pStyle w:val="Header"/>
    </w:pPr>
    <w:r>
      <w:rPr>
        <w:noProof/>
      </w:rPr>
      <w:pict w14:anchorId="1B07A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FB52" w14:textId="3263D237" w:rsidR="00633300" w:rsidRDefault="00633300">
    <w:pPr>
      <w:pStyle w:val="Header"/>
    </w:pPr>
    <w:r>
      <w:rPr>
        <w:noProof/>
      </w:rPr>
      <w:pict w14:anchorId="219A2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61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93"/>
    <w:rsid w:val="00031C93"/>
    <w:rsid w:val="000E307B"/>
    <w:rsid w:val="0016634D"/>
    <w:rsid w:val="001C679C"/>
    <w:rsid w:val="00206769"/>
    <w:rsid w:val="00245CBA"/>
    <w:rsid w:val="002573E9"/>
    <w:rsid w:val="002C6B1C"/>
    <w:rsid w:val="00320FA7"/>
    <w:rsid w:val="003A0224"/>
    <w:rsid w:val="003A78F8"/>
    <w:rsid w:val="003D317A"/>
    <w:rsid w:val="0040197C"/>
    <w:rsid w:val="00461D87"/>
    <w:rsid w:val="00476789"/>
    <w:rsid w:val="00486FEA"/>
    <w:rsid w:val="00522BFF"/>
    <w:rsid w:val="005A3490"/>
    <w:rsid w:val="00633300"/>
    <w:rsid w:val="006C2063"/>
    <w:rsid w:val="00777423"/>
    <w:rsid w:val="007C2657"/>
    <w:rsid w:val="0094428C"/>
    <w:rsid w:val="00960ACE"/>
    <w:rsid w:val="00AB16F1"/>
    <w:rsid w:val="00B768A4"/>
    <w:rsid w:val="00D051F2"/>
    <w:rsid w:val="00D51736"/>
    <w:rsid w:val="00DD35E4"/>
    <w:rsid w:val="00DF71FC"/>
    <w:rsid w:val="00E72D8A"/>
    <w:rsid w:val="00EE2D0A"/>
    <w:rsid w:val="00F2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F04E9D"/>
  <w15:chartTrackingRefBased/>
  <w15:docId w15:val="{721D3507-2036-4EC6-96C9-F1EA4D8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31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1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1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1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31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C93"/>
    <w:rPr>
      <w:rFonts w:eastAsiaTheme="majorEastAsia" w:cstheme="majorBidi"/>
      <w:color w:val="272727" w:themeColor="text1" w:themeTint="D8"/>
    </w:rPr>
  </w:style>
  <w:style w:type="paragraph" w:styleId="Title">
    <w:name w:val="Title"/>
    <w:basedOn w:val="Normal"/>
    <w:next w:val="Normal"/>
    <w:link w:val="TitleChar"/>
    <w:uiPriority w:val="10"/>
    <w:qFormat/>
    <w:rsid w:val="00031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C93"/>
    <w:pPr>
      <w:spacing w:before="160"/>
      <w:jc w:val="center"/>
    </w:pPr>
    <w:rPr>
      <w:i/>
      <w:iCs/>
      <w:color w:val="404040" w:themeColor="text1" w:themeTint="BF"/>
    </w:rPr>
  </w:style>
  <w:style w:type="character" w:customStyle="1" w:styleId="QuoteChar">
    <w:name w:val="Quote Char"/>
    <w:basedOn w:val="DefaultParagraphFont"/>
    <w:link w:val="Quote"/>
    <w:uiPriority w:val="29"/>
    <w:rsid w:val="00031C93"/>
    <w:rPr>
      <w:i/>
      <w:iCs/>
      <w:color w:val="404040" w:themeColor="text1" w:themeTint="BF"/>
    </w:rPr>
  </w:style>
  <w:style w:type="paragraph" w:styleId="ListParagraph">
    <w:name w:val="List Paragraph"/>
    <w:basedOn w:val="Normal"/>
    <w:uiPriority w:val="34"/>
    <w:qFormat/>
    <w:rsid w:val="00031C93"/>
    <w:pPr>
      <w:ind w:left="720"/>
      <w:contextualSpacing/>
    </w:pPr>
  </w:style>
  <w:style w:type="character" w:styleId="IntenseEmphasis">
    <w:name w:val="Intense Emphasis"/>
    <w:basedOn w:val="DefaultParagraphFont"/>
    <w:uiPriority w:val="21"/>
    <w:qFormat/>
    <w:rsid w:val="00031C93"/>
    <w:rPr>
      <w:i/>
      <w:iCs/>
      <w:color w:val="2F5496" w:themeColor="accent1" w:themeShade="BF"/>
    </w:rPr>
  </w:style>
  <w:style w:type="paragraph" w:styleId="IntenseQuote">
    <w:name w:val="Intense Quote"/>
    <w:basedOn w:val="Normal"/>
    <w:next w:val="Normal"/>
    <w:link w:val="IntenseQuoteChar"/>
    <w:uiPriority w:val="30"/>
    <w:qFormat/>
    <w:rsid w:val="00031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1C93"/>
    <w:rPr>
      <w:i/>
      <w:iCs/>
      <w:color w:val="2F5496" w:themeColor="accent1" w:themeShade="BF"/>
    </w:rPr>
  </w:style>
  <w:style w:type="character" w:styleId="IntenseReference">
    <w:name w:val="Intense Reference"/>
    <w:basedOn w:val="DefaultParagraphFont"/>
    <w:uiPriority w:val="32"/>
    <w:qFormat/>
    <w:rsid w:val="00031C93"/>
    <w:rPr>
      <w:b/>
      <w:bCs/>
      <w:smallCaps/>
      <w:color w:val="2F5496" w:themeColor="accent1" w:themeShade="BF"/>
      <w:spacing w:val="5"/>
    </w:rPr>
  </w:style>
  <w:style w:type="character" w:styleId="Hyperlink">
    <w:name w:val="Hyperlink"/>
    <w:basedOn w:val="DefaultParagraphFont"/>
    <w:uiPriority w:val="99"/>
    <w:unhideWhenUsed/>
    <w:rsid w:val="00960ACE"/>
    <w:rPr>
      <w:color w:val="0563C1" w:themeColor="hyperlink"/>
      <w:u w:val="single"/>
    </w:rPr>
  </w:style>
  <w:style w:type="character" w:styleId="UnresolvedMention">
    <w:name w:val="Unresolved Mention"/>
    <w:basedOn w:val="DefaultParagraphFont"/>
    <w:uiPriority w:val="99"/>
    <w:semiHidden/>
    <w:unhideWhenUsed/>
    <w:rsid w:val="00960ACE"/>
    <w:rPr>
      <w:color w:val="605E5C"/>
      <w:shd w:val="clear" w:color="auto" w:fill="E1DFDD"/>
    </w:rPr>
  </w:style>
  <w:style w:type="paragraph" w:styleId="Header">
    <w:name w:val="header"/>
    <w:basedOn w:val="Normal"/>
    <w:link w:val="HeaderChar"/>
    <w:uiPriority w:val="99"/>
    <w:unhideWhenUsed/>
    <w:rsid w:val="0063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300"/>
  </w:style>
  <w:style w:type="paragraph" w:styleId="Footer">
    <w:name w:val="footer"/>
    <w:basedOn w:val="Normal"/>
    <w:link w:val="FooterChar"/>
    <w:uiPriority w:val="99"/>
    <w:unhideWhenUsed/>
    <w:rsid w:val="0063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7791">
      <w:bodyDiv w:val="1"/>
      <w:marLeft w:val="0"/>
      <w:marRight w:val="0"/>
      <w:marTop w:val="0"/>
      <w:marBottom w:val="0"/>
      <w:divBdr>
        <w:top w:val="none" w:sz="0" w:space="0" w:color="auto"/>
        <w:left w:val="none" w:sz="0" w:space="0" w:color="auto"/>
        <w:bottom w:val="none" w:sz="0" w:space="0" w:color="auto"/>
        <w:right w:val="none" w:sz="0" w:space="0" w:color="auto"/>
      </w:divBdr>
      <w:divsChild>
        <w:div w:id="1258707651">
          <w:marLeft w:val="0"/>
          <w:marRight w:val="0"/>
          <w:marTop w:val="0"/>
          <w:marBottom w:val="0"/>
          <w:divBdr>
            <w:top w:val="none" w:sz="0" w:space="0" w:color="auto"/>
            <w:left w:val="none" w:sz="0" w:space="0" w:color="auto"/>
            <w:bottom w:val="none" w:sz="0" w:space="0" w:color="auto"/>
            <w:right w:val="none" w:sz="0" w:space="0" w:color="auto"/>
          </w:divBdr>
          <w:divsChild>
            <w:div w:id="5962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2660">
      <w:bodyDiv w:val="1"/>
      <w:marLeft w:val="0"/>
      <w:marRight w:val="0"/>
      <w:marTop w:val="0"/>
      <w:marBottom w:val="0"/>
      <w:divBdr>
        <w:top w:val="none" w:sz="0" w:space="0" w:color="auto"/>
        <w:left w:val="none" w:sz="0" w:space="0" w:color="auto"/>
        <w:bottom w:val="none" w:sz="0" w:space="0" w:color="auto"/>
        <w:right w:val="none" w:sz="0" w:space="0" w:color="auto"/>
      </w:divBdr>
    </w:div>
    <w:div w:id="219900163">
      <w:bodyDiv w:val="1"/>
      <w:marLeft w:val="0"/>
      <w:marRight w:val="0"/>
      <w:marTop w:val="0"/>
      <w:marBottom w:val="0"/>
      <w:divBdr>
        <w:top w:val="none" w:sz="0" w:space="0" w:color="auto"/>
        <w:left w:val="none" w:sz="0" w:space="0" w:color="auto"/>
        <w:bottom w:val="none" w:sz="0" w:space="0" w:color="auto"/>
        <w:right w:val="none" w:sz="0" w:space="0" w:color="auto"/>
      </w:divBdr>
    </w:div>
    <w:div w:id="487477019">
      <w:bodyDiv w:val="1"/>
      <w:marLeft w:val="0"/>
      <w:marRight w:val="0"/>
      <w:marTop w:val="0"/>
      <w:marBottom w:val="0"/>
      <w:divBdr>
        <w:top w:val="none" w:sz="0" w:space="0" w:color="auto"/>
        <w:left w:val="none" w:sz="0" w:space="0" w:color="auto"/>
        <w:bottom w:val="none" w:sz="0" w:space="0" w:color="auto"/>
        <w:right w:val="none" w:sz="0" w:space="0" w:color="auto"/>
      </w:divBdr>
    </w:div>
    <w:div w:id="527565122">
      <w:bodyDiv w:val="1"/>
      <w:marLeft w:val="0"/>
      <w:marRight w:val="0"/>
      <w:marTop w:val="0"/>
      <w:marBottom w:val="0"/>
      <w:divBdr>
        <w:top w:val="none" w:sz="0" w:space="0" w:color="auto"/>
        <w:left w:val="none" w:sz="0" w:space="0" w:color="auto"/>
        <w:bottom w:val="none" w:sz="0" w:space="0" w:color="auto"/>
        <w:right w:val="none" w:sz="0" w:space="0" w:color="auto"/>
      </w:divBdr>
    </w:div>
    <w:div w:id="776874460">
      <w:bodyDiv w:val="1"/>
      <w:marLeft w:val="0"/>
      <w:marRight w:val="0"/>
      <w:marTop w:val="0"/>
      <w:marBottom w:val="0"/>
      <w:divBdr>
        <w:top w:val="none" w:sz="0" w:space="0" w:color="auto"/>
        <w:left w:val="none" w:sz="0" w:space="0" w:color="auto"/>
        <w:bottom w:val="none" w:sz="0" w:space="0" w:color="auto"/>
        <w:right w:val="none" w:sz="0" w:space="0" w:color="auto"/>
      </w:divBdr>
    </w:div>
    <w:div w:id="930117067">
      <w:bodyDiv w:val="1"/>
      <w:marLeft w:val="0"/>
      <w:marRight w:val="0"/>
      <w:marTop w:val="0"/>
      <w:marBottom w:val="0"/>
      <w:divBdr>
        <w:top w:val="none" w:sz="0" w:space="0" w:color="auto"/>
        <w:left w:val="none" w:sz="0" w:space="0" w:color="auto"/>
        <w:bottom w:val="none" w:sz="0" w:space="0" w:color="auto"/>
        <w:right w:val="none" w:sz="0" w:space="0" w:color="auto"/>
      </w:divBdr>
      <w:divsChild>
        <w:div w:id="1614705437">
          <w:marLeft w:val="0"/>
          <w:marRight w:val="0"/>
          <w:marTop w:val="0"/>
          <w:marBottom w:val="0"/>
          <w:divBdr>
            <w:top w:val="none" w:sz="0" w:space="0" w:color="auto"/>
            <w:left w:val="none" w:sz="0" w:space="0" w:color="auto"/>
            <w:bottom w:val="none" w:sz="0" w:space="0" w:color="auto"/>
            <w:right w:val="none" w:sz="0" w:space="0" w:color="auto"/>
          </w:divBdr>
          <w:divsChild>
            <w:div w:id="12281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6247">
      <w:bodyDiv w:val="1"/>
      <w:marLeft w:val="0"/>
      <w:marRight w:val="0"/>
      <w:marTop w:val="0"/>
      <w:marBottom w:val="0"/>
      <w:divBdr>
        <w:top w:val="none" w:sz="0" w:space="0" w:color="auto"/>
        <w:left w:val="none" w:sz="0" w:space="0" w:color="auto"/>
        <w:bottom w:val="none" w:sz="0" w:space="0" w:color="auto"/>
        <w:right w:val="none" w:sz="0" w:space="0" w:color="auto"/>
      </w:divBdr>
    </w:div>
    <w:div w:id="993140274">
      <w:bodyDiv w:val="1"/>
      <w:marLeft w:val="0"/>
      <w:marRight w:val="0"/>
      <w:marTop w:val="0"/>
      <w:marBottom w:val="0"/>
      <w:divBdr>
        <w:top w:val="none" w:sz="0" w:space="0" w:color="auto"/>
        <w:left w:val="none" w:sz="0" w:space="0" w:color="auto"/>
        <w:bottom w:val="none" w:sz="0" w:space="0" w:color="auto"/>
        <w:right w:val="none" w:sz="0" w:space="0" w:color="auto"/>
      </w:divBdr>
      <w:divsChild>
        <w:div w:id="1461655382">
          <w:marLeft w:val="0"/>
          <w:marRight w:val="0"/>
          <w:marTop w:val="0"/>
          <w:marBottom w:val="0"/>
          <w:divBdr>
            <w:top w:val="none" w:sz="0" w:space="0" w:color="auto"/>
            <w:left w:val="none" w:sz="0" w:space="0" w:color="auto"/>
            <w:bottom w:val="none" w:sz="0" w:space="0" w:color="auto"/>
            <w:right w:val="none" w:sz="0" w:space="0" w:color="auto"/>
          </w:divBdr>
          <w:divsChild>
            <w:div w:id="122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987">
      <w:bodyDiv w:val="1"/>
      <w:marLeft w:val="0"/>
      <w:marRight w:val="0"/>
      <w:marTop w:val="0"/>
      <w:marBottom w:val="0"/>
      <w:divBdr>
        <w:top w:val="none" w:sz="0" w:space="0" w:color="auto"/>
        <w:left w:val="none" w:sz="0" w:space="0" w:color="auto"/>
        <w:bottom w:val="none" w:sz="0" w:space="0" w:color="auto"/>
        <w:right w:val="none" w:sz="0" w:space="0" w:color="auto"/>
      </w:divBdr>
    </w:div>
    <w:div w:id="1212496632">
      <w:bodyDiv w:val="1"/>
      <w:marLeft w:val="0"/>
      <w:marRight w:val="0"/>
      <w:marTop w:val="0"/>
      <w:marBottom w:val="0"/>
      <w:divBdr>
        <w:top w:val="none" w:sz="0" w:space="0" w:color="auto"/>
        <w:left w:val="none" w:sz="0" w:space="0" w:color="auto"/>
        <w:bottom w:val="none" w:sz="0" w:space="0" w:color="auto"/>
        <w:right w:val="none" w:sz="0" w:space="0" w:color="auto"/>
      </w:divBdr>
      <w:divsChild>
        <w:div w:id="1829515932">
          <w:marLeft w:val="0"/>
          <w:marRight w:val="0"/>
          <w:marTop w:val="0"/>
          <w:marBottom w:val="0"/>
          <w:divBdr>
            <w:top w:val="none" w:sz="0" w:space="0" w:color="auto"/>
            <w:left w:val="none" w:sz="0" w:space="0" w:color="auto"/>
            <w:bottom w:val="none" w:sz="0" w:space="0" w:color="auto"/>
            <w:right w:val="none" w:sz="0" w:space="0" w:color="auto"/>
          </w:divBdr>
          <w:divsChild>
            <w:div w:id="677385420">
              <w:marLeft w:val="0"/>
              <w:marRight w:val="0"/>
              <w:marTop w:val="0"/>
              <w:marBottom w:val="0"/>
              <w:divBdr>
                <w:top w:val="none" w:sz="0" w:space="0" w:color="auto"/>
                <w:left w:val="none" w:sz="0" w:space="0" w:color="auto"/>
                <w:bottom w:val="none" w:sz="0" w:space="0" w:color="auto"/>
                <w:right w:val="none" w:sz="0" w:space="0" w:color="auto"/>
              </w:divBdr>
            </w:div>
          </w:divsChild>
        </w:div>
        <w:div w:id="1216356249">
          <w:marLeft w:val="0"/>
          <w:marRight w:val="0"/>
          <w:marTop w:val="0"/>
          <w:marBottom w:val="0"/>
          <w:divBdr>
            <w:top w:val="none" w:sz="0" w:space="0" w:color="auto"/>
            <w:left w:val="none" w:sz="0" w:space="0" w:color="auto"/>
            <w:bottom w:val="none" w:sz="0" w:space="0" w:color="auto"/>
            <w:right w:val="none" w:sz="0" w:space="0" w:color="auto"/>
          </w:divBdr>
          <w:divsChild>
            <w:div w:id="8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4651">
      <w:bodyDiv w:val="1"/>
      <w:marLeft w:val="0"/>
      <w:marRight w:val="0"/>
      <w:marTop w:val="0"/>
      <w:marBottom w:val="0"/>
      <w:divBdr>
        <w:top w:val="none" w:sz="0" w:space="0" w:color="auto"/>
        <w:left w:val="none" w:sz="0" w:space="0" w:color="auto"/>
        <w:bottom w:val="none" w:sz="0" w:space="0" w:color="auto"/>
        <w:right w:val="none" w:sz="0" w:space="0" w:color="auto"/>
      </w:divBdr>
    </w:div>
    <w:div w:id="1490824865">
      <w:bodyDiv w:val="1"/>
      <w:marLeft w:val="0"/>
      <w:marRight w:val="0"/>
      <w:marTop w:val="0"/>
      <w:marBottom w:val="0"/>
      <w:divBdr>
        <w:top w:val="none" w:sz="0" w:space="0" w:color="auto"/>
        <w:left w:val="none" w:sz="0" w:space="0" w:color="auto"/>
        <w:bottom w:val="none" w:sz="0" w:space="0" w:color="auto"/>
        <w:right w:val="none" w:sz="0" w:space="0" w:color="auto"/>
      </w:divBdr>
    </w:div>
    <w:div w:id="1499078103">
      <w:bodyDiv w:val="1"/>
      <w:marLeft w:val="0"/>
      <w:marRight w:val="0"/>
      <w:marTop w:val="0"/>
      <w:marBottom w:val="0"/>
      <w:divBdr>
        <w:top w:val="none" w:sz="0" w:space="0" w:color="auto"/>
        <w:left w:val="none" w:sz="0" w:space="0" w:color="auto"/>
        <w:bottom w:val="none" w:sz="0" w:space="0" w:color="auto"/>
        <w:right w:val="none" w:sz="0" w:space="0" w:color="auto"/>
      </w:divBdr>
    </w:div>
    <w:div w:id="1516922994">
      <w:bodyDiv w:val="1"/>
      <w:marLeft w:val="0"/>
      <w:marRight w:val="0"/>
      <w:marTop w:val="0"/>
      <w:marBottom w:val="0"/>
      <w:divBdr>
        <w:top w:val="none" w:sz="0" w:space="0" w:color="auto"/>
        <w:left w:val="none" w:sz="0" w:space="0" w:color="auto"/>
        <w:bottom w:val="none" w:sz="0" w:space="0" w:color="auto"/>
        <w:right w:val="none" w:sz="0" w:space="0" w:color="auto"/>
      </w:divBdr>
    </w:div>
    <w:div w:id="1546525780">
      <w:bodyDiv w:val="1"/>
      <w:marLeft w:val="0"/>
      <w:marRight w:val="0"/>
      <w:marTop w:val="0"/>
      <w:marBottom w:val="0"/>
      <w:divBdr>
        <w:top w:val="none" w:sz="0" w:space="0" w:color="auto"/>
        <w:left w:val="none" w:sz="0" w:space="0" w:color="auto"/>
        <w:bottom w:val="none" w:sz="0" w:space="0" w:color="auto"/>
        <w:right w:val="none" w:sz="0" w:space="0" w:color="auto"/>
      </w:divBdr>
    </w:div>
    <w:div w:id="1676683124">
      <w:bodyDiv w:val="1"/>
      <w:marLeft w:val="0"/>
      <w:marRight w:val="0"/>
      <w:marTop w:val="0"/>
      <w:marBottom w:val="0"/>
      <w:divBdr>
        <w:top w:val="none" w:sz="0" w:space="0" w:color="auto"/>
        <w:left w:val="none" w:sz="0" w:space="0" w:color="auto"/>
        <w:bottom w:val="none" w:sz="0" w:space="0" w:color="auto"/>
        <w:right w:val="none" w:sz="0" w:space="0" w:color="auto"/>
      </w:divBdr>
    </w:div>
    <w:div w:id="1713383890">
      <w:bodyDiv w:val="1"/>
      <w:marLeft w:val="0"/>
      <w:marRight w:val="0"/>
      <w:marTop w:val="0"/>
      <w:marBottom w:val="0"/>
      <w:divBdr>
        <w:top w:val="none" w:sz="0" w:space="0" w:color="auto"/>
        <w:left w:val="none" w:sz="0" w:space="0" w:color="auto"/>
        <w:bottom w:val="none" w:sz="0" w:space="0" w:color="auto"/>
        <w:right w:val="none" w:sz="0" w:space="0" w:color="auto"/>
      </w:divBdr>
    </w:div>
    <w:div w:id="1734233234">
      <w:bodyDiv w:val="1"/>
      <w:marLeft w:val="0"/>
      <w:marRight w:val="0"/>
      <w:marTop w:val="0"/>
      <w:marBottom w:val="0"/>
      <w:divBdr>
        <w:top w:val="none" w:sz="0" w:space="0" w:color="auto"/>
        <w:left w:val="none" w:sz="0" w:space="0" w:color="auto"/>
        <w:bottom w:val="none" w:sz="0" w:space="0" w:color="auto"/>
        <w:right w:val="none" w:sz="0" w:space="0" w:color="auto"/>
      </w:divBdr>
      <w:divsChild>
        <w:div w:id="1736851013">
          <w:marLeft w:val="0"/>
          <w:marRight w:val="0"/>
          <w:marTop w:val="0"/>
          <w:marBottom w:val="0"/>
          <w:divBdr>
            <w:top w:val="none" w:sz="0" w:space="0" w:color="auto"/>
            <w:left w:val="none" w:sz="0" w:space="0" w:color="auto"/>
            <w:bottom w:val="none" w:sz="0" w:space="0" w:color="auto"/>
            <w:right w:val="none" w:sz="0" w:space="0" w:color="auto"/>
          </w:divBdr>
          <w:divsChild>
            <w:div w:id="6860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43">
      <w:bodyDiv w:val="1"/>
      <w:marLeft w:val="0"/>
      <w:marRight w:val="0"/>
      <w:marTop w:val="0"/>
      <w:marBottom w:val="0"/>
      <w:divBdr>
        <w:top w:val="none" w:sz="0" w:space="0" w:color="auto"/>
        <w:left w:val="none" w:sz="0" w:space="0" w:color="auto"/>
        <w:bottom w:val="none" w:sz="0" w:space="0" w:color="auto"/>
        <w:right w:val="none" w:sz="0" w:space="0" w:color="auto"/>
      </w:divBdr>
      <w:divsChild>
        <w:div w:id="776102180">
          <w:marLeft w:val="0"/>
          <w:marRight w:val="0"/>
          <w:marTop w:val="0"/>
          <w:marBottom w:val="0"/>
          <w:divBdr>
            <w:top w:val="none" w:sz="0" w:space="0" w:color="auto"/>
            <w:left w:val="none" w:sz="0" w:space="0" w:color="auto"/>
            <w:bottom w:val="none" w:sz="0" w:space="0" w:color="auto"/>
            <w:right w:val="none" w:sz="0" w:space="0" w:color="auto"/>
          </w:divBdr>
          <w:divsChild>
            <w:div w:id="1885436330">
              <w:marLeft w:val="0"/>
              <w:marRight w:val="0"/>
              <w:marTop w:val="0"/>
              <w:marBottom w:val="0"/>
              <w:divBdr>
                <w:top w:val="none" w:sz="0" w:space="0" w:color="auto"/>
                <w:left w:val="none" w:sz="0" w:space="0" w:color="auto"/>
                <w:bottom w:val="none" w:sz="0" w:space="0" w:color="auto"/>
                <w:right w:val="none" w:sz="0" w:space="0" w:color="auto"/>
              </w:divBdr>
            </w:div>
          </w:divsChild>
        </w:div>
        <w:div w:id="2038460660">
          <w:marLeft w:val="0"/>
          <w:marRight w:val="0"/>
          <w:marTop w:val="0"/>
          <w:marBottom w:val="0"/>
          <w:divBdr>
            <w:top w:val="none" w:sz="0" w:space="0" w:color="auto"/>
            <w:left w:val="none" w:sz="0" w:space="0" w:color="auto"/>
            <w:bottom w:val="none" w:sz="0" w:space="0" w:color="auto"/>
            <w:right w:val="none" w:sz="0" w:space="0" w:color="auto"/>
          </w:divBdr>
          <w:divsChild>
            <w:div w:id="7563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547">
      <w:bodyDiv w:val="1"/>
      <w:marLeft w:val="0"/>
      <w:marRight w:val="0"/>
      <w:marTop w:val="0"/>
      <w:marBottom w:val="0"/>
      <w:divBdr>
        <w:top w:val="none" w:sz="0" w:space="0" w:color="auto"/>
        <w:left w:val="none" w:sz="0" w:space="0" w:color="auto"/>
        <w:bottom w:val="none" w:sz="0" w:space="0" w:color="auto"/>
        <w:right w:val="none" w:sz="0" w:space="0" w:color="auto"/>
      </w:divBdr>
    </w:div>
    <w:div w:id="1867939239">
      <w:bodyDiv w:val="1"/>
      <w:marLeft w:val="0"/>
      <w:marRight w:val="0"/>
      <w:marTop w:val="0"/>
      <w:marBottom w:val="0"/>
      <w:divBdr>
        <w:top w:val="none" w:sz="0" w:space="0" w:color="auto"/>
        <w:left w:val="none" w:sz="0" w:space="0" w:color="auto"/>
        <w:bottom w:val="none" w:sz="0" w:space="0" w:color="auto"/>
        <w:right w:val="none" w:sz="0" w:space="0" w:color="auto"/>
      </w:divBdr>
    </w:div>
    <w:div w:id="2054040960">
      <w:bodyDiv w:val="1"/>
      <w:marLeft w:val="0"/>
      <w:marRight w:val="0"/>
      <w:marTop w:val="0"/>
      <w:marBottom w:val="0"/>
      <w:divBdr>
        <w:top w:val="none" w:sz="0" w:space="0" w:color="auto"/>
        <w:left w:val="none" w:sz="0" w:space="0" w:color="auto"/>
        <w:bottom w:val="none" w:sz="0" w:space="0" w:color="auto"/>
        <w:right w:val="none" w:sz="0" w:space="0" w:color="auto"/>
      </w:divBdr>
    </w:div>
    <w:div w:id="20931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1200" cap="none">
                <a:latin typeface="Times New Roman" panose="02020603050405020304" pitchFamily="18" charset="0"/>
                <a:cs typeface="Times New Roman" panose="02020603050405020304" pitchFamily="18" charset="0"/>
              </a:rPr>
              <a:t>Fig 1-Prevalence of </a:t>
            </a:r>
            <a:r>
              <a:rPr lang="en-US" sz="1200" i="1" cap="none">
                <a:latin typeface="Times New Roman" panose="02020603050405020304" pitchFamily="18" charset="0"/>
                <a:cs typeface="Times New Roman" panose="02020603050405020304" pitchFamily="18" charset="0"/>
              </a:rPr>
              <a:t>Escherichia coli </a:t>
            </a:r>
            <a:r>
              <a:rPr lang="en-US" sz="1200" cap="none">
                <a:latin typeface="Times New Roman" panose="02020603050405020304" pitchFamily="18" charset="0"/>
                <a:cs typeface="Times New Roman" panose="02020603050405020304" pitchFamily="18" charset="0"/>
              </a:rPr>
              <a:t>Among Study Participants</a:t>
            </a:r>
          </a:p>
        </c:rich>
      </c:tx>
      <c:layout>
        <c:manualLayout>
          <c:xMode val="edge"/>
          <c:yMode val="edge"/>
          <c:x val="0.13598283747465698"/>
          <c:y val="3.5714320113655516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Prevalence of Escherichia coli Among Study Participants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F1C-4911-B037-6B168E074A5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F1C-4911-B037-6B168E074A5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F1C-4911-B037-6B168E074A5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F1C-4911-B037-6B168E074A5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Positive</c:v>
                </c:pt>
                <c:pt idx="1">
                  <c:v>Negative</c:v>
                </c:pt>
              </c:strCache>
            </c:strRef>
          </c:cat>
          <c:val>
            <c:numRef>
              <c:f>Sheet1!$B$2:$B$5</c:f>
              <c:numCache>
                <c:formatCode>General</c:formatCode>
                <c:ptCount val="4"/>
                <c:pt idx="0">
                  <c:v>64</c:v>
                </c:pt>
                <c:pt idx="1">
                  <c:v>136</c:v>
                </c:pt>
              </c:numCache>
            </c:numRef>
          </c:val>
          <c:extLst>
            <c:ext xmlns:c16="http://schemas.microsoft.com/office/drawing/2014/chart" uri="{C3380CC4-5D6E-409C-BE32-E72D297353CC}">
              <c16:uniqueId val="{00000000-89E5-465B-865F-B599C8381E6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14</cp:revision>
  <dcterms:created xsi:type="dcterms:W3CDTF">2025-06-25T00:52:00Z</dcterms:created>
  <dcterms:modified xsi:type="dcterms:W3CDTF">2025-06-25T10:08:00Z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870afee5-0c80-47f2-975f-c049edda14e3</vt:lpwstr>
  </property>
</Properties>
</file>