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0F7B" w14:textId="2A4E1B96" w:rsidR="00754C9A" w:rsidRDefault="005C7268" w:rsidP="00441B6F">
      <w:pPr>
        <w:pStyle w:val="Title"/>
        <w:spacing w:after="0"/>
        <w:jc w:val="both"/>
        <w:rPr>
          <w:rFonts w:ascii="Arial" w:hAnsi="Arial" w:cs="Arial"/>
        </w:rPr>
      </w:pPr>
      <w:r w:rsidRPr="005C7268">
        <w:rPr>
          <w:rFonts w:ascii="Arial" w:hAnsi="Arial" w:cs="Arial"/>
        </w:rPr>
        <w:t>Case report</w:t>
      </w:r>
    </w:p>
    <w:p w14:paraId="49AD95FC" w14:textId="77777777" w:rsidR="00705BE3" w:rsidRDefault="00705BE3" w:rsidP="00705BE3">
      <w:pPr>
        <w:pStyle w:val="Heading1"/>
        <w:spacing w:line="256" w:lineRule="auto"/>
        <w:ind w:right="1528"/>
        <w:jc w:val="both"/>
      </w:pPr>
      <w:r>
        <w:t>Phenotype-genotype</w:t>
      </w:r>
      <w:r>
        <w:rPr>
          <w:spacing w:val="-8"/>
        </w:rPr>
        <w:t xml:space="preserve"> </w:t>
      </w:r>
      <w:r>
        <w:t>correlation</w:t>
      </w:r>
      <w:r>
        <w:rPr>
          <w:spacing w:val="-7"/>
        </w:rPr>
        <w:t xml:space="preserve"> </w:t>
      </w:r>
      <w:r>
        <w:t>in</w:t>
      </w:r>
      <w:r>
        <w:rPr>
          <w:spacing w:val="-5"/>
        </w:rPr>
        <w:t xml:space="preserve"> </w:t>
      </w:r>
      <w:r>
        <w:t>a</w:t>
      </w:r>
      <w:r>
        <w:rPr>
          <w:spacing w:val="-7"/>
        </w:rPr>
        <w:t xml:space="preserve"> </w:t>
      </w:r>
      <w:r>
        <w:t>case</w:t>
      </w:r>
      <w:r>
        <w:rPr>
          <w:spacing w:val="-7"/>
        </w:rPr>
        <w:t xml:space="preserve"> </w:t>
      </w:r>
      <w:r>
        <w:t>of</w:t>
      </w:r>
      <w:r>
        <w:rPr>
          <w:spacing w:val="-7"/>
        </w:rPr>
        <w:t xml:space="preserve"> </w:t>
      </w:r>
      <w:r>
        <w:t>infantile</w:t>
      </w:r>
      <w:r>
        <w:rPr>
          <w:spacing w:val="-7"/>
        </w:rPr>
        <w:t xml:space="preserve"> </w:t>
      </w:r>
      <w:r>
        <w:t>hypotonia</w:t>
      </w:r>
      <w:r>
        <w:rPr>
          <w:spacing w:val="-7"/>
        </w:rPr>
        <w:t xml:space="preserve"> </w:t>
      </w:r>
      <w:r>
        <w:t>and</w:t>
      </w:r>
      <w:r>
        <w:rPr>
          <w:spacing w:val="-7"/>
        </w:rPr>
        <w:t xml:space="preserve"> </w:t>
      </w:r>
      <w:r>
        <w:t>epilepsy:</w:t>
      </w:r>
      <w:r>
        <w:rPr>
          <w:spacing w:val="-5"/>
        </w:rPr>
        <w:t xml:space="preserve"> </w:t>
      </w:r>
      <w:r>
        <w:t>study</w:t>
      </w:r>
      <w:r>
        <w:rPr>
          <w:spacing w:val="-7"/>
        </w:rPr>
        <w:t xml:space="preserve"> </w:t>
      </w:r>
      <w:r>
        <w:t>of</w:t>
      </w:r>
      <w:r>
        <w:rPr>
          <w:spacing w:val="-7"/>
        </w:rPr>
        <w:t xml:space="preserve"> </w:t>
      </w:r>
      <w:r>
        <w:t>the clinical significance of two variants of uncertain significance in HIVEP2 and LINGO1</w:t>
      </w:r>
    </w:p>
    <w:p w14:paraId="235FB625" w14:textId="77777777" w:rsidR="00A258C3" w:rsidRPr="00790ADA" w:rsidRDefault="00A258C3" w:rsidP="00441B6F">
      <w:pPr>
        <w:pStyle w:val="Author"/>
        <w:spacing w:line="240" w:lineRule="auto"/>
        <w:jc w:val="both"/>
        <w:rPr>
          <w:rFonts w:ascii="Arial" w:hAnsi="Arial" w:cs="Arial"/>
          <w:sz w:val="36"/>
        </w:rPr>
      </w:pPr>
    </w:p>
    <w:p w14:paraId="069854C0" w14:textId="77777777" w:rsidR="00B01FCD" w:rsidRPr="00FB3A86" w:rsidRDefault="009E5214" w:rsidP="00441B6F">
      <w:pPr>
        <w:pStyle w:val="Copyright"/>
        <w:spacing w:after="0" w:line="240" w:lineRule="auto"/>
        <w:jc w:val="both"/>
        <w:rPr>
          <w:rFonts w:ascii="Arial" w:hAnsi="Arial" w:cs="Arial"/>
        </w:rPr>
        <w:sectPr w:rsidR="00B01FCD" w:rsidRPr="00FB3A86" w:rsidSect="009671D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0F6BC2" wp14:editId="6EA5CE9C">
                <wp:extent cx="5303520" cy="635"/>
                <wp:effectExtent l="0" t="12700" r="5080" b="12065"/>
                <wp:docPr id="18592977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7BEA7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p>
    <w:p w14:paraId="1CF80505" w14:textId="77777777" w:rsidR="0085621F" w:rsidRDefault="0085621F" w:rsidP="00441B6F">
      <w:pPr>
        <w:pStyle w:val="AbstHead"/>
        <w:spacing w:after="0"/>
        <w:jc w:val="both"/>
        <w:rPr>
          <w:rFonts w:ascii="Arial" w:hAnsi="Arial" w:cs="Arial"/>
        </w:rPr>
      </w:pPr>
    </w:p>
    <w:p w14:paraId="71E55E4A" w14:textId="77777777" w:rsidR="0085621F"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5F360C" w14:textId="77777777" w:rsidR="00790ADA" w:rsidRPr="00FB3A86" w:rsidRDefault="00790ADA" w:rsidP="00441B6F">
      <w:pPr>
        <w:pStyle w:val="AbstHead"/>
        <w:spacing w:after="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296529" w:rsidRPr="001E44FE" w14:paraId="7C2593DB" w14:textId="77777777" w:rsidTr="004850AD">
        <w:trPr>
          <w:trHeight w:val="4072"/>
        </w:trPr>
        <w:tc>
          <w:tcPr>
            <w:tcW w:w="8209" w:type="dxa"/>
            <w:shd w:val="clear" w:color="auto" w:fill="F2F2F2"/>
          </w:tcPr>
          <w:p w14:paraId="6AA912E5" w14:textId="73C2CB90" w:rsidR="00705BE3" w:rsidRPr="00C8781B" w:rsidRDefault="00BC4C9B" w:rsidP="00C01ED0">
            <w:pPr>
              <w:pStyle w:val="BodyText"/>
              <w:spacing w:before="159" w:line="259" w:lineRule="auto"/>
              <w:ind w:right="794"/>
              <w:jc w:val="both"/>
              <w:rPr>
                <w:rFonts w:ascii="Arial" w:hAnsi="Arial" w:cs="Arial"/>
                <w:caps/>
                <w:sz w:val="22"/>
                <w:szCs w:val="22"/>
              </w:rPr>
            </w:pPr>
            <w:r w:rsidRPr="00C8781B">
              <w:rPr>
                <w:rFonts w:ascii="Arial" w:hAnsi="Arial" w:cs="Arial"/>
                <w:sz w:val="22"/>
                <w:szCs w:val="22"/>
              </w:rPr>
              <w:t>G</w:t>
            </w:r>
            <w:r w:rsidR="00097A59" w:rsidRPr="00C8781B">
              <w:rPr>
                <w:rFonts w:ascii="Arial" w:hAnsi="Arial" w:cs="Arial"/>
                <w:sz w:val="22"/>
                <w:szCs w:val="22"/>
              </w:rPr>
              <w:t>enetic causes of neurodevelopmental disorders are frequent and complex</w:t>
            </w:r>
            <w:r w:rsidR="00705BE3" w:rsidRPr="00C8781B">
              <w:rPr>
                <w:rFonts w:ascii="Arial" w:hAnsi="Arial" w:cs="Arial"/>
                <w:caps/>
                <w:sz w:val="22"/>
                <w:szCs w:val="22"/>
              </w:rPr>
              <w:t xml:space="preserve">. </w:t>
            </w:r>
            <w:r w:rsidRPr="00C8781B">
              <w:rPr>
                <w:rFonts w:ascii="Arial" w:hAnsi="Arial" w:cs="Arial"/>
                <w:sz w:val="22"/>
                <w:szCs w:val="22"/>
              </w:rPr>
              <w:t>We Report T</w:t>
            </w:r>
            <w:r w:rsidR="00402380" w:rsidRPr="00C8781B">
              <w:rPr>
                <w:rFonts w:ascii="Arial" w:hAnsi="Arial" w:cs="Arial"/>
                <w:sz w:val="22"/>
                <w:szCs w:val="22"/>
              </w:rPr>
              <w:t>he case of a 10-month-old infant followed for psychomotor delay, severe hypotonia, spastic movements of the lower limbs, and complex focal epilepsy</w:t>
            </w:r>
            <w:r w:rsidR="00705BE3" w:rsidRPr="00C8781B">
              <w:rPr>
                <w:rFonts w:ascii="Arial" w:hAnsi="Arial" w:cs="Arial"/>
                <w:caps/>
                <w:sz w:val="22"/>
                <w:szCs w:val="22"/>
              </w:rPr>
              <w:t xml:space="preserve">. </w:t>
            </w:r>
            <w:r w:rsidR="00E30B55" w:rsidRPr="00C8781B">
              <w:rPr>
                <w:rFonts w:ascii="Arial" w:hAnsi="Arial" w:cs="Arial"/>
                <w:caps/>
                <w:sz w:val="22"/>
                <w:szCs w:val="22"/>
              </w:rPr>
              <w:t>W</w:t>
            </w:r>
            <w:r w:rsidRPr="00C8781B">
              <w:rPr>
                <w:rFonts w:ascii="Arial" w:hAnsi="Arial" w:cs="Arial"/>
                <w:sz w:val="22"/>
                <w:szCs w:val="22"/>
              </w:rPr>
              <w:t xml:space="preserve">hole-exome sequencing revealed rare variants in the </w:t>
            </w:r>
            <w:r w:rsidR="00705BE3" w:rsidRPr="00C8781B">
              <w:rPr>
                <w:rFonts w:ascii="Arial" w:hAnsi="Arial" w:cs="Arial"/>
                <w:caps/>
                <w:sz w:val="22"/>
                <w:szCs w:val="22"/>
              </w:rPr>
              <w:t xml:space="preserve">HIVEP2 (NM_006734.3: c.6528_6539del; p. (Gly2177_Gln2180del)) </w:t>
            </w:r>
            <w:r w:rsidRPr="00C8781B">
              <w:rPr>
                <w:rFonts w:ascii="Arial" w:hAnsi="Arial" w:cs="Arial"/>
                <w:sz w:val="22"/>
                <w:szCs w:val="22"/>
              </w:rPr>
              <w:t>and</w:t>
            </w:r>
            <w:r w:rsidR="00705BE3" w:rsidRPr="00C8781B">
              <w:rPr>
                <w:rFonts w:ascii="Arial" w:hAnsi="Arial" w:cs="Arial"/>
                <w:caps/>
                <w:sz w:val="22"/>
                <w:szCs w:val="22"/>
              </w:rPr>
              <w:t xml:space="preserve"> LINGO1 (NM_032808.5: c.829G&gt;A; P. (Ala277Thr)) </w:t>
            </w:r>
            <w:r w:rsidRPr="00C8781B">
              <w:rPr>
                <w:rFonts w:ascii="Arial" w:hAnsi="Arial" w:cs="Arial"/>
                <w:sz w:val="22"/>
                <w:szCs w:val="22"/>
              </w:rPr>
              <w:t xml:space="preserve">genes, classified as two variants of uncertain significance. </w:t>
            </w:r>
            <w:r w:rsidR="00E025FC">
              <w:rPr>
                <w:rFonts w:ascii="Arial" w:hAnsi="Arial" w:cs="Arial"/>
                <w:sz w:val="22"/>
                <w:szCs w:val="22"/>
              </w:rPr>
              <w:t>O</w:t>
            </w:r>
            <w:r w:rsidRPr="00C8781B">
              <w:rPr>
                <w:rFonts w:ascii="Arial" w:hAnsi="Arial" w:cs="Arial"/>
                <w:sz w:val="22"/>
                <w:szCs w:val="22"/>
              </w:rPr>
              <w:t xml:space="preserve">ur observation finds a correlation between the patient's clinical presentation and genetic findings and proposes to expand the phenotypic spectrum associated with mutations in </w:t>
            </w:r>
            <w:r w:rsidR="00705BE3" w:rsidRPr="00C8781B">
              <w:rPr>
                <w:rFonts w:ascii="Arial" w:hAnsi="Arial" w:cs="Arial"/>
                <w:caps/>
                <w:sz w:val="22"/>
                <w:szCs w:val="22"/>
              </w:rPr>
              <w:t xml:space="preserve">HIVEP2 </w:t>
            </w:r>
            <w:r w:rsidR="00F36768" w:rsidRPr="00C8781B">
              <w:rPr>
                <w:rFonts w:ascii="Arial" w:hAnsi="Arial" w:cs="Arial"/>
                <w:sz w:val="22"/>
                <w:szCs w:val="22"/>
              </w:rPr>
              <w:t xml:space="preserve">and </w:t>
            </w:r>
            <w:r w:rsidR="00705BE3" w:rsidRPr="00C8781B">
              <w:rPr>
                <w:rFonts w:ascii="Arial" w:hAnsi="Arial" w:cs="Arial"/>
                <w:caps/>
                <w:sz w:val="22"/>
                <w:szCs w:val="22"/>
              </w:rPr>
              <w:t xml:space="preserve">LINGO1 </w:t>
            </w:r>
            <w:r w:rsidRPr="00C8781B">
              <w:rPr>
                <w:rFonts w:ascii="Arial" w:hAnsi="Arial" w:cs="Arial"/>
                <w:sz w:val="22"/>
                <w:szCs w:val="22"/>
              </w:rPr>
              <w:t>genes</w:t>
            </w:r>
            <w:r w:rsidR="00705BE3" w:rsidRPr="00C8781B">
              <w:rPr>
                <w:rFonts w:ascii="Arial" w:hAnsi="Arial" w:cs="Arial"/>
                <w:caps/>
                <w:sz w:val="22"/>
                <w:szCs w:val="22"/>
              </w:rPr>
              <w:t xml:space="preserve">. </w:t>
            </w:r>
            <w:r w:rsidRPr="00C8781B">
              <w:rPr>
                <w:rFonts w:ascii="Arial" w:hAnsi="Arial" w:cs="Arial"/>
                <w:caps/>
                <w:sz w:val="22"/>
                <w:szCs w:val="22"/>
              </w:rPr>
              <w:t>I</w:t>
            </w:r>
            <w:r w:rsidRPr="00C8781B">
              <w:rPr>
                <w:rFonts w:ascii="Arial" w:hAnsi="Arial" w:cs="Arial"/>
                <w:sz w:val="22"/>
                <w:szCs w:val="22"/>
              </w:rPr>
              <w:t>t also illustrates their possible convergence in the genesis of severe neurodevelopmental disorders</w:t>
            </w:r>
            <w:r w:rsidR="00705BE3" w:rsidRPr="00C8781B">
              <w:rPr>
                <w:rFonts w:ascii="Arial" w:hAnsi="Arial" w:cs="Arial"/>
                <w:caps/>
                <w:sz w:val="22"/>
                <w:szCs w:val="22"/>
              </w:rPr>
              <w:t xml:space="preserve">. </w:t>
            </w:r>
            <w:r w:rsidR="00F36768" w:rsidRPr="00C8781B">
              <w:rPr>
                <w:rFonts w:ascii="Arial" w:hAnsi="Arial" w:cs="Arial"/>
                <w:caps/>
                <w:sz w:val="22"/>
                <w:szCs w:val="22"/>
              </w:rPr>
              <w:t>W</w:t>
            </w:r>
            <w:r w:rsidR="00F36768" w:rsidRPr="00C8781B">
              <w:rPr>
                <w:rFonts w:ascii="Arial" w:hAnsi="Arial" w:cs="Arial"/>
                <w:sz w:val="22"/>
                <w:szCs w:val="22"/>
              </w:rPr>
              <w:t xml:space="preserve">e emphasize the importance of multidisciplinary care in managing severe neurodevelopmental disorders, the potential synergistic effect of mutations in distinct genes involved in neurodevelopmental pathways, and a reflection on the challenges related to </w:t>
            </w:r>
            <w:proofErr w:type="spellStart"/>
            <w:r w:rsidR="00F36768" w:rsidRPr="00C8781B">
              <w:rPr>
                <w:rFonts w:ascii="Arial" w:hAnsi="Arial" w:cs="Arial"/>
                <w:sz w:val="22"/>
                <w:szCs w:val="22"/>
              </w:rPr>
              <w:t>vus</w:t>
            </w:r>
            <w:proofErr w:type="spellEnd"/>
            <w:r w:rsidR="00F36768" w:rsidRPr="00C8781B">
              <w:rPr>
                <w:rFonts w:ascii="Arial" w:hAnsi="Arial" w:cs="Arial"/>
                <w:sz w:val="22"/>
                <w:szCs w:val="22"/>
              </w:rPr>
              <w:t xml:space="preserve"> interpretation, especially when multiple genes are associated</w:t>
            </w:r>
            <w:r w:rsidR="00705BE3" w:rsidRPr="00C8781B">
              <w:rPr>
                <w:rFonts w:ascii="Arial" w:hAnsi="Arial" w:cs="Arial"/>
                <w:caps/>
                <w:sz w:val="22"/>
                <w:szCs w:val="22"/>
              </w:rPr>
              <w:t>.</w:t>
            </w:r>
          </w:p>
          <w:p w14:paraId="7346BF4B" w14:textId="77777777" w:rsidR="00505F06" w:rsidRPr="00BA1B01" w:rsidRDefault="00505F06" w:rsidP="00441B6F">
            <w:pPr>
              <w:pStyle w:val="Body"/>
              <w:spacing w:after="0"/>
              <w:rPr>
                <w:rFonts w:ascii="Arial" w:eastAsia="Calibri" w:hAnsi="Arial" w:cs="Arial"/>
                <w:szCs w:val="22"/>
              </w:rPr>
            </w:pPr>
          </w:p>
        </w:tc>
      </w:tr>
    </w:tbl>
    <w:p w14:paraId="48A64340" w14:textId="77777777" w:rsidR="00636EB2" w:rsidRDefault="00636EB2" w:rsidP="00441B6F">
      <w:pPr>
        <w:pStyle w:val="Body"/>
        <w:spacing w:after="0"/>
        <w:rPr>
          <w:rFonts w:ascii="Arial" w:hAnsi="Arial" w:cs="Arial"/>
          <w:i/>
        </w:rPr>
      </w:pPr>
    </w:p>
    <w:p w14:paraId="2D6ED07C" w14:textId="77777777" w:rsidR="009E5214" w:rsidRPr="009E5214" w:rsidRDefault="009E5214" w:rsidP="009E5214">
      <w:pPr>
        <w:pStyle w:val="BodyText"/>
        <w:spacing w:before="159" w:line="259" w:lineRule="auto"/>
        <w:ind w:right="794"/>
        <w:jc w:val="both"/>
        <w:rPr>
          <w:rFonts w:ascii="Arial" w:hAnsi="Arial" w:cs="Arial"/>
          <w:i/>
          <w:iCs/>
        </w:rPr>
      </w:pPr>
      <w:r w:rsidRPr="009E5214">
        <w:rPr>
          <w:rFonts w:ascii="Arial" w:hAnsi="Arial" w:cs="Arial"/>
          <w:b/>
          <w:bCs/>
          <w:i/>
          <w:iCs/>
        </w:rPr>
        <w:t>Keywords:</w:t>
      </w:r>
      <w:r w:rsidRPr="009E5214">
        <w:rPr>
          <w:rFonts w:ascii="Arial" w:hAnsi="Arial" w:cs="Arial"/>
          <w:i/>
          <w:iCs/>
        </w:rPr>
        <w:t xml:space="preserve"> neurodevelopmental disorder, hypotonia, epilepsy, HIVEP2, LINGO1, VUS, genetics</w:t>
      </w:r>
    </w:p>
    <w:p w14:paraId="0F40DD8C" w14:textId="77777777" w:rsidR="0024282C" w:rsidRPr="00B840C9" w:rsidRDefault="0024282C" w:rsidP="00441B6F">
      <w:pPr>
        <w:pStyle w:val="Body"/>
        <w:spacing w:after="0"/>
        <w:rPr>
          <w:rFonts w:ascii="Arial" w:hAnsi="Arial" w:cs="Arial"/>
          <w:i/>
          <w:sz w:val="18"/>
          <w:lang w:val="es-ES"/>
        </w:rPr>
      </w:pPr>
    </w:p>
    <w:p w14:paraId="467FF5B0" w14:textId="77777777" w:rsidR="00505F06" w:rsidRPr="00A24E7E" w:rsidRDefault="00505F06" w:rsidP="00441B6F">
      <w:pPr>
        <w:pStyle w:val="Body"/>
        <w:spacing w:after="0"/>
        <w:rPr>
          <w:rFonts w:ascii="Arial" w:hAnsi="Arial" w:cs="Arial"/>
          <w:i/>
        </w:rPr>
      </w:pPr>
    </w:p>
    <w:p w14:paraId="360132C3" w14:textId="77777777" w:rsidR="007F7B32" w:rsidRDefault="00902823" w:rsidP="009E5214">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0523CD" w14:textId="77777777" w:rsidR="009E5214" w:rsidRDefault="009E5214" w:rsidP="009E5214">
      <w:pPr>
        <w:pStyle w:val="BodyText"/>
        <w:spacing w:before="159" w:line="259" w:lineRule="auto"/>
        <w:ind w:right="794"/>
        <w:jc w:val="both"/>
        <w:rPr>
          <w:rFonts w:ascii="Arial" w:hAnsi="Arial" w:cs="Arial"/>
        </w:rPr>
      </w:pPr>
      <w:r w:rsidRPr="009E5214">
        <w:rPr>
          <w:rFonts w:ascii="Arial" w:hAnsi="Arial" w:cs="Arial"/>
        </w:rPr>
        <w:t xml:space="preserve">Hypotonia and infantile epilepsy of genetic origin are common neurodevelopmental disorders in neuropediatric, posing diagnostic and therapeutic challenges. Variants in HIVEP2 and LINGO1 genes are described as responsible for neurodevelopmental disorders. HIVEP2 is responsible for hypotonia, movement disorders, cerebral palsy, language delay, epilepsy, microcephaly, autism spectrum disorder, and intellectual disability 1. LINGO1 is associated with motor delay, severe intellectual disability, spastic hypertonia, language delay, microcephaly, epilepsy, and global developmental delay2. Whole-exome sequencing of our patient revealed variants of </w:t>
      </w:r>
      <w:r w:rsidRPr="009E5214">
        <w:rPr>
          <w:rFonts w:ascii="Arial" w:hAnsi="Arial" w:cs="Arial"/>
        </w:rPr>
        <w:lastRenderedPageBreak/>
        <w:t>uncertain significance in these two genes. Many mutations are classified as variants of uncertain significance (VUS) because the evidence available at the time of their discovery is insufficient to establish their involvement in the disease3. Result interpretation is difficult when the patient's phenotype corresponds to described mutations, complicating genetic counseling. The objective of our work is to highlight a potential correlation between very rare mutations affecting the HIVEP2 and LINGO1 genes classified as VUS and the phenotype of our infant. We also suggest the synergistic effect of these mutations in the severity of our patient's clinical presentation. For this purpose, we performed a clinical evaluation, including a complete neurological examination, magnetic resonance brain imaging, waking and sleeping EEG, and metabolic assessment.</w:t>
      </w:r>
    </w:p>
    <w:p w14:paraId="4B3B5BD2" w14:textId="77777777" w:rsidR="00B840C9" w:rsidRDefault="00B840C9" w:rsidP="009E5214">
      <w:pPr>
        <w:pStyle w:val="BodyText"/>
        <w:spacing w:before="159" w:line="259" w:lineRule="auto"/>
        <w:ind w:right="794"/>
        <w:jc w:val="both"/>
        <w:rPr>
          <w:rFonts w:ascii="Arial" w:hAnsi="Arial" w:cs="Arial"/>
        </w:rPr>
      </w:pPr>
    </w:p>
    <w:p w14:paraId="3F3E53CB" w14:textId="77777777" w:rsidR="00B840C9" w:rsidRDefault="00B840C9" w:rsidP="00B840C9">
      <w:pPr>
        <w:pStyle w:val="BodyText"/>
        <w:spacing w:before="159" w:line="259" w:lineRule="auto"/>
        <w:ind w:right="794"/>
        <w:rPr>
          <w:rFonts w:ascii="Arial" w:hAnsi="Arial" w:cs="Arial"/>
          <w:b/>
          <w:bCs/>
          <w:sz w:val="22"/>
          <w:szCs w:val="22"/>
        </w:rPr>
      </w:pPr>
      <w:r w:rsidRPr="00B840C9">
        <w:rPr>
          <w:rFonts w:ascii="Arial" w:hAnsi="Arial" w:cs="Arial"/>
          <w:b/>
          <w:bCs/>
          <w:sz w:val="22"/>
          <w:szCs w:val="22"/>
        </w:rPr>
        <w:t>2. CASE PRESENTATION</w:t>
      </w:r>
    </w:p>
    <w:p w14:paraId="552157AE" w14:textId="77777777" w:rsidR="00B840C9" w:rsidRPr="00124411" w:rsidRDefault="00B840C9" w:rsidP="00124411">
      <w:pPr>
        <w:pStyle w:val="BodyText"/>
        <w:spacing w:before="159" w:line="259" w:lineRule="auto"/>
        <w:ind w:right="794"/>
        <w:jc w:val="both"/>
        <w:rPr>
          <w:rFonts w:ascii="Arial" w:hAnsi="Arial" w:cs="Arial"/>
        </w:rPr>
      </w:pPr>
      <w:r w:rsidRPr="00124411">
        <w:rPr>
          <w:rFonts w:ascii="Arial" w:hAnsi="Arial" w:cs="Arial"/>
        </w:rPr>
        <w:t>A 10-month-old male infant, born on 07/15/2022, is being followed for psychomotor delay, hypotonia, epilepsy, and spastic limb movements. He was born to non-consanguineous parents, with a 32-year-old mother who had a history of three pregnancies, including one stillborn female. He has a healthy 5-year-old brother.</w:t>
      </w:r>
    </w:p>
    <w:p w14:paraId="7B2D8C3E" w14:textId="77777777" w:rsidR="007C2BFD" w:rsidRDefault="007C2BFD" w:rsidP="007C2BFD">
      <w:pPr>
        <w:pStyle w:val="BodyText"/>
        <w:spacing w:before="159" w:line="259" w:lineRule="auto"/>
        <w:ind w:right="794"/>
        <w:rPr>
          <w:rFonts w:ascii="Arial" w:hAnsi="Arial" w:cs="Arial"/>
        </w:rPr>
      </w:pPr>
      <w:r w:rsidRPr="007C2BFD">
        <w:rPr>
          <w:rFonts w:ascii="Arial" w:hAnsi="Arial" w:cs="Arial"/>
          <w:b/>
          <w:caps/>
          <w:sz w:val="22"/>
          <w:szCs w:val="22"/>
        </w:rPr>
        <w:t xml:space="preserve">2.1 </w:t>
      </w:r>
      <w:r w:rsidR="00B840C9" w:rsidRPr="007C2BFD">
        <w:rPr>
          <w:rFonts w:ascii="Arial" w:hAnsi="Arial" w:cs="Arial"/>
          <w:b/>
          <w:bCs/>
          <w:sz w:val="22"/>
          <w:szCs w:val="22"/>
        </w:rPr>
        <w:t>Clinical History:</w:t>
      </w:r>
      <w:r w:rsidR="00B840C9" w:rsidRPr="00124411">
        <w:rPr>
          <w:rFonts w:ascii="Arial" w:hAnsi="Arial" w:cs="Arial"/>
        </w:rPr>
        <w:t xml:space="preserve"> </w:t>
      </w:r>
    </w:p>
    <w:p w14:paraId="1D6A2528" w14:textId="77777777" w:rsidR="00B840C9" w:rsidRPr="00124411" w:rsidRDefault="00B840C9" w:rsidP="007C2BFD">
      <w:pPr>
        <w:pStyle w:val="BodyText"/>
        <w:spacing w:before="159" w:line="259" w:lineRule="auto"/>
        <w:ind w:right="794"/>
        <w:jc w:val="both"/>
        <w:rPr>
          <w:rFonts w:ascii="Arial" w:hAnsi="Arial" w:cs="Arial"/>
        </w:rPr>
      </w:pPr>
      <w:r w:rsidRPr="00124411">
        <w:rPr>
          <w:rFonts w:ascii="Arial" w:hAnsi="Arial" w:cs="Arial"/>
        </w:rPr>
        <w:t>Birth occurred at 34 weeks of gestation via cesarean section following premature rupture of membranes, with a birth weight of 1900g (intrauterine growth restriction). At 2 months of age, the infant was hospitalized for cyanotic episodes, revealing an interatrial communication. Chronic postprandial vomiting appeared at 4 months. At 5 months, psychomotor regression was recorded with loss of head control and grasping ability.</w:t>
      </w:r>
    </w:p>
    <w:p w14:paraId="0C20221D" w14:textId="77777777" w:rsidR="00B840C9" w:rsidRPr="00124411" w:rsidRDefault="00B840C9" w:rsidP="00124411">
      <w:pPr>
        <w:pStyle w:val="BodyText"/>
        <w:spacing w:before="159" w:line="259" w:lineRule="auto"/>
        <w:ind w:right="794"/>
        <w:jc w:val="both"/>
        <w:rPr>
          <w:rFonts w:ascii="Arial" w:hAnsi="Arial" w:cs="Arial"/>
        </w:rPr>
      </w:pPr>
      <w:r w:rsidRPr="00124411">
        <w:rPr>
          <w:rFonts w:ascii="Arial" w:hAnsi="Arial" w:cs="Arial"/>
        </w:rPr>
        <w:t xml:space="preserve">The clinical course was marked by initially </w:t>
      </w:r>
      <w:proofErr w:type="spellStart"/>
      <w:r w:rsidRPr="00124411">
        <w:rPr>
          <w:rFonts w:ascii="Arial" w:hAnsi="Arial" w:cs="Arial"/>
        </w:rPr>
        <w:t>pharmacosensitive</w:t>
      </w:r>
      <w:proofErr w:type="spellEnd"/>
      <w:r w:rsidRPr="00124411">
        <w:rPr>
          <w:rFonts w:ascii="Arial" w:hAnsi="Arial" w:cs="Arial"/>
        </w:rPr>
        <w:t xml:space="preserve"> epilepsy. Treatment began with sodium valproate, and the subsequent addition of carbamazepine led to significant improvement, notably reducing seizure frequency from 1-2 per week to 2 per 3 months, and their duration from 5 minutes to less than 1 minute. Persistent axial hypotonia was noted, with several admissions to intensive care for post-infectious febrile respiratory distress, though mechanical ventilation was not required.</w:t>
      </w:r>
    </w:p>
    <w:p w14:paraId="47C956F3" w14:textId="77777777" w:rsidR="00B840C9" w:rsidRPr="00124411" w:rsidRDefault="00B840C9" w:rsidP="00124411">
      <w:pPr>
        <w:pStyle w:val="BodyText"/>
        <w:spacing w:before="159" w:line="259" w:lineRule="auto"/>
        <w:ind w:right="794"/>
        <w:jc w:val="both"/>
        <w:rPr>
          <w:rFonts w:ascii="Arial" w:hAnsi="Arial" w:cs="Arial"/>
        </w:rPr>
      </w:pPr>
      <w:r w:rsidRPr="00124411">
        <w:rPr>
          <w:rFonts w:ascii="Arial" w:hAnsi="Arial" w:cs="Arial"/>
        </w:rPr>
        <w:t xml:space="preserve">Psychomotor development has remained stagnant </w:t>
      </w:r>
      <w:proofErr w:type="gramStart"/>
      <w:r w:rsidRPr="00124411">
        <w:rPr>
          <w:rFonts w:ascii="Arial" w:hAnsi="Arial" w:cs="Arial"/>
        </w:rPr>
        <w:t>since</w:t>
      </w:r>
      <w:proofErr w:type="gramEnd"/>
      <w:r w:rsidRPr="00124411">
        <w:rPr>
          <w:rFonts w:ascii="Arial" w:hAnsi="Arial" w:cs="Arial"/>
        </w:rPr>
        <w:t xml:space="preserve"> 2 months of age: absence of head control, unachieved sitting position, absence of grasping, and language delay (monosyllabic).</w:t>
      </w:r>
    </w:p>
    <w:p w14:paraId="12198CC2" w14:textId="77777777" w:rsidR="007C2BFD" w:rsidRPr="007C2BFD" w:rsidRDefault="007C2BFD" w:rsidP="007C2BFD">
      <w:pPr>
        <w:pStyle w:val="BodyText"/>
        <w:spacing w:before="159" w:line="259" w:lineRule="auto"/>
        <w:ind w:right="794"/>
        <w:rPr>
          <w:rFonts w:ascii="Arial" w:hAnsi="Arial" w:cs="Arial"/>
          <w:sz w:val="22"/>
          <w:szCs w:val="22"/>
        </w:rPr>
      </w:pPr>
      <w:r w:rsidRPr="007C2BFD">
        <w:rPr>
          <w:rFonts w:ascii="Arial" w:hAnsi="Arial" w:cs="Arial"/>
          <w:b/>
          <w:caps/>
          <w:sz w:val="22"/>
          <w:szCs w:val="22"/>
        </w:rPr>
        <w:t xml:space="preserve">2.2 </w:t>
      </w:r>
      <w:r w:rsidR="00B840C9" w:rsidRPr="007C2BFD">
        <w:rPr>
          <w:rFonts w:ascii="Arial" w:hAnsi="Arial" w:cs="Arial"/>
          <w:b/>
          <w:bCs/>
          <w:sz w:val="22"/>
          <w:szCs w:val="22"/>
        </w:rPr>
        <w:t xml:space="preserve">Clinical </w:t>
      </w:r>
      <w:r w:rsidRPr="007C2BFD">
        <w:rPr>
          <w:rFonts w:ascii="Arial" w:hAnsi="Arial" w:cs="Arial"/>
          <w:b/>
          <w:bCs/>
          <w:sz w:val="22"/>
          <w:szCs w:val="22"/>
        </w:rPr>
        <w:t>Examination</w:t>
      </w:r>
      <w:r w:rsidRPr="007C2BFD">
        <w:rPr>
          <w:rFonts w:ascii="Arial" w:hAnsi="Arial" w:cs="Arial"/>
          <w:sz w:val="22"/>
          <w:szCs w:val="22"/>
        </w:rPr>
        <w:t xml:space="preserve">: </w:t>
      </w:r>
    </w:p>
    <w:p w14:paraId="7939B834" w14:textId="77777777" w:rsidR="007C2BFD" w:rsidRDefault="00ED4823" w:rsidP="007C2BFD">
      <w:pPr>
        <w:pStyle w:val="BodyText"/>
        <w:spacing w:before="159" w:line="259" w:lineRule="auto"/>
        <w:ind w:right="794"/>
        <w:jc w:val="both"/>
        <w:rPr>
          <w:rFonts w:ascii="Arial" w:hAnsi="Arial" w:cs="Arial"/>
        </w:rPr>
      </w:pPr>
      <w:r w:rsidRPr="007C2BFD">
        <w:rPr>
          <w:rFonts w:ascii="Arial" w:hAnsi="Arial" w:cs="Arial"/>
          <w:b/>
          <w:bCs/>
          <w:noProof/>
          <w:sz w:val="22"/>
          <w:szCs w:val="22"/>
        </w:rPr>
        <w:lastRenderedPageBreak/>
        <w:drawing>
          <wp:anchor distT="0" distB="0" distL="0" distR="0" simplePos="0" relativeHeight="251656192" behindDoc="1" locked="0" layoutInCell="1" allowOverlap="1" wp14:anchorId="69F42E68" wp14:editId="57A52FCF">
            <wp:simplePos x="0" y="0"/>
            <wp:positionH relativeFrom="page">
              <wp:posOffset>1242060</wp:posOffset>
            </wp:positionH>
            <wp:positionV relativeFrom="paragraph">
              <wp:posOffset>1055077</wp:posOffset>
            </wp:positionV>
            <wp:extent cx="4700905" cy="2752725"/>
            <wp:effectExtent l="0" t="0" r="0" b="0"/>
            <wp:wrapTopAndBottom/>
            <wp:docPr id="2059502830" name="Image 205950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4700905" cy="2752725"/>
                    </a:xfrm>
                    <a:prstGeom prst="rect">
                      <a:avLst/>
                    </a:prstGeom>
                  </pic:spPr>
                </pic:pic>
              </a:graphicData>
            </a:graphic>
            <wp14:sizeRelH relativeFrom="margin">
              <wp14:pctWidth>0</wp14:pctWidth>
            </wp14:sizeRelH>
            <wp14:sizeRelV relativeFrom="margin">
              <wp14:pctHeight>0</wp14:pctHeight>
            </wp14:sizeRelV>
          </wp:anchor>
        </w:drawing>
      </w:r>
      <w:r w:rsidR="007C2BFD">
        <w:rPr>
          <w:rFonts w:ascii="Arial" w:hAnsi="Arial" w:cs="Arial"/>
        </w:rPr>
        <w:t>A</w:t>
      </w:r>
      <w:r w:rsidR="00B840C9" w:rsidRPr="007C2BFD">
        <w:rPr>
          <w:rFonts w:ascii="Arial" w:hAnsi="Arial" w:cs="Arial"/>
        </w:rPr>
        <w:t>t 10 Months</w:t>
      </w:r>
      <w:r w:rsidR="007C2BFD">
        <w:rPr>
          <w:rFonts w:ascii="Arial" w:hAnsi="Arial" w:cs="Arial"/>
        </w:rPr>
        <w:t xml:space="preserve"> e</w:t>
      </w:r>
      <w:r w:rsidR="00B840C9" w:rsidRPr="00124411">
        <w:rPr>
          <w:rFonts w:ascii="Arial" w:hAnsi="Arial" w:cs="Arial"/>
        </w:rPr>
        <w:t>xamination revealed axial hypotonia (</w:t>
      </w:r>
      <w:r w:rsidR="00B840C9" w:rsidRPr="00942047">
        <w:rPr>
          <w:rFonts w:ascii="Arial" w:hAnsi="Arial" w:cs="Arial"/>
          <w:b/>
          <w:bCs/>
        </w:rPr>
        <w:t>Figure 1</w:t>
      </w:r>
      <w:r w:rsidR="00B840C9" w:rsidRPr="00124411">
        <w:rPr>
          <w:rFonts w:ascii="Arial" w:hAnsi="Arial" w:cs="Arial"/>
        </w:rPr>
        <w:t xml:space="preserve">), spastic movements of the upper limbs, good visual contact, absence of ptosis, macroglossia or lingual fasciculations, present osteotendinous reflexes, systolic murmur, weight &lt; -3 SD, height at-1SD, head circumference at -1 SD, and absence of hepatosplenomegaly </w:t>
      </w:r>
      <w:r w:rsidR="007C2BFD" w:rsidRPr="00124411">
        <w:rPr>
          <w:rFonts w:ascii="Arial" w:hAnsi="Arial" w:cs="Arial"/>
        </w:rPr>
        <w:t>and achromic patches.</w:t>
      </w:r>
    </w:p>
    <w:p w14:paraId="365C98E7" w14:textId="77777777" w:rsidR="007C2BFD" w:rsidRPr="007C2BFD" w:rsidRDefault="007C2BFD" w:rsidP="00124411">
      <w:pPr>
        <w:pStyle w:val="BodyText"/>
        <w:spacing w:before="159" w:line="259" w:lineRule="auto"/>
        <w:ind w:right="794"/>
        <w:jc w:val="both"/>
        <w:rPr>
          <w:rFonts w:ascii="Arial" w:hAnsi="Arial" w:cs="Arial"/>
        </w:rPr>
      </w:pPr>
    </w:p>
    <w:p w14:paraId="1962B30E" w14:textId="77777777" w:rsidR="00B840C9" w:rsidRPr="006D2791" w:rsidRDefault="00B840C9" w:rsidP="00124411">
      <w:pPr>
        <w:pStyle w:val="BodyText"/>
        <w:spacing w:before="159" w:line="259" w:lineRule="auto"/>
        <w:ind w:right="794"/>
        <w:jc w:val="both"/>
        <w:rPr>
          <w:rFonts w:ascii="Arial" w:hAnsi="Arial" w:cs="Arial"/>
          <w:i/>
          <w:iCs/>
          <w:sz w:val="18"/>
          <w:szCs w:val="18"/>
        </w:rPr>
      </w:pPr>
      <w:r w:rsidRPr="00124411">
        <w:rPr>
          <w:rFonts w:ascii="Arial" w:hAnsi="Arial" w:cs="Arial"/>
          <w:b/>
          <w:bCs/>
          <w:i/>
          <w:iCs/>
        </w:rPr>
        <w:t>Figure 1.</w:t>
      </w:r>
      <w:r w:rsidRPr="00124411">
        <w:rPr>
          <w:rFonts w:ascii="Arial" w:hAnsi="Arial" w:cs="Arial"/>
          <w:i/>
          <w:iCs/>
        </w:rPr>
        <w:t xml:space="preserve"> </w:t>
      </w:r>
      <w:r w:rsidRPr="006D2791">
        <w:rPr>
          <w:rFonts w:ascii="Arial" w:hAnsi="Arial" w:cs="Arial"/>
          <w:i/>
          <w:iCs/>
          <w:sz w:val="18"/>
          <w:szCs w:val="18"/>
        </w:rPr>
        <w:t>Severe Axial Hypotonia in a 10-Month-Old Infant with HIVEP2 and LINGO1 Variants Clinical photograph demonstrating severe axial hypotonia (anterior view). Note: (A) marked head lag with inability to maintain head control (white arrow); (B) significant truncal weakness evidenced by poor postural control (black arrow); (C) characteristic limb positioning. Scale bar = 10 cm. Parental written consent was obtained for publication of this image.</w:t>
      </w:r>
    </w:p>
    <w:p w14:paraId="7A7BF174" w14:textId="77777777" w:rsidR="00B840C9" w:rsidRPr="00A63A48" w:rsidRDefault="00B840C9" w:rsidP="00B840C9">
      <w:pPr>
        <w:pStyle w:val="BodyText"/>
        <w:spacing w:before="159" w:line="259" w:lineRule="auto"/>
        <w:ind w:left="850" w:right="794"/>
        <w:rPr>
          <w:i/>
          <w:iCs/>
        </w:rPr>
      </w:pPr>
    </w:p>
    <w:p w14:paraId="7FEAF961" w14:textId="77777777" w:rsidR="007C2BFD" w:rsidRPr="007C2BFD" w:rsidRDefault="007C2BFD" w:rsidP="007C2BFD">
      <w:pPr>
        <w:pStyle w:val="BodyText"/>
        <w:spacing w:before="159" w:line="259" w:lineRule="auto"/>
        <w:ind w:right="794"/>
        <w:rPr>
          <w:rFonts w:ascii="Arial" w:hAnsi="Arial" w:cs="Arial"/>
          <w:sz w:val="22"/>
          <w:szCs w:val="22"/>
        </w:rPr>
      </w:pPr>
      <w:r w:rsidRPr="007C2BFD">
        <w:rPr>
          <w:rFonts w:ascii="Arial" w:hAnsi="Arial" w:cs="Arial"/>
          <w:b/>
          <w:caps/>
          <w:sz w:val="22"/>
          <w:szCs w:val="22"/>
        </w:rPr>
        <w:t xml:space="preserve">2.3 </w:t>
      </w:r>
      <w:r w:rsidR="00B840C9" w:rsidRPr="007C2BFD">
        <w:rPr>
          <w:rFonts w:ascii="Arial" w:hAnsi="Arial" w:cs="Arial"/>
          <w:b/>
          <w:bCs/>
          <w:sz w:val="22"/>
          <w:szCs w:val="22"/>
        </w:rPr>
        <w:t>Paraclinical Examinations:</w:t>
      </w:r>
      <w:r w:rsidR="00B840C9" w:rsidRPr="007C2BFD">
        <w:rPr>
          <w:rFonts w:ascii="Arial" w:hAnsi="Arial" w:cs="Arial"/>
          <w:sz w:val="22"/>
          <w:szCs w:val="22"/>
        </w:rPr>
        <w:t xml:space="preserve"> </w:t>
      </w:r>
    </w:p>
    <w:p w14:paraId="746E0362" w14:textId="77777777" w:rsidR="00B840C9" w:rsidRPr="00124411" w:rsidRDefault="00B840C9" w:rsidP="007C2BFD">
      <w:pPr>
        <w:pStyle w:val="BodyText"/>
        <w:spacing w:before="159" w:line="259" w:lineRule="auto"/>
        <w:ind w:right="794"/>
        <w:jc w:val="both"/>
        <w:rPr>
          <w:rFonts w:ascii="Arial" w:hAnsi="Arial" w:cs="Arial"/>
        </w:rPr>
      </w:pPr>
      <w:r w:rsidRPr="00124411">
        <w:rPr>
          <w:rFonts w:ascii="Arial" w:hAnsi="Arial" w:cs="Arial"/>
        </w:rPr>
        <w:t>Cerebral MRI was normal. EEG showed paroxysmal abnormalities suggestive of complex focal epilepsy (</w:t>
      </w:r>
      <w:r w:rsidRPr="007C2BFD">
        <w:rPr>
          <w:rFonts w:ascii="Arial" w:hAnsi="Arial" w:cs="Arial"/>
          <w:b/>
          <w:bCs/>
        </w:rPr>
        <w:t>Figure 2</w:t>
      </w:r>
      <w:r w:rsidRPr="00124411">
        <w:rPr>
          <w:rFonts w:ascii="Arial" w:hAnsi="Arial" w:cs="Arial"/>
        </w:rPr>
        <w:t xml:space="preserve">). Metabolic workup (lactate, ammonia, amino acid profile, and CPK) was normal Ophthalmological examination was normal Echocardiography revealed a left-to-right shunt interatrial communication of 14 </w:t>
      </w:r>
      <w:proofErr w:type="spellStart"/>
      <w:r w:rsidRPr="00124411">
        <w:rPr>
          <w:rFonts w:ascii="Arial" w:hAnsi="Arial" w:cs="Arial"/>
        </w:rPr>
        <w:t>mm.s</w:t>
      </w:r>
      <w:proofErr w:type="spellEnd"/>
      <w:r w:rsidRPr="00124411">
        <w:rPr>
          <w:rFonts w:ascii="Arial" w:hAnsi="Arial" w:cs="Arial"/>
        </w:rPr>
        <w:t xml:space="preserve">. </w:t>
      </w:r>
    </w:p>
    <w:p w14:paraId="3B84BE43" w14:textId="77777777" w:rsidR="00B840C9" w:rsidRDefault="00B840C9" w:rsidP="007C2BFD">
      <w:pPr>
        <w:pStyle w:val="BodyText"/>
        <w:spacing w:before="159" w:line="259" w:lineRule="auto"/>
        <w:ind w:right="794"/>
        <w:jc w:val="both"/>
      </w:pPr>
      <w:r w:rsidRPr="007942B2">
        <w:rPr>
          <w:noProof/>
        </w:rPr>
        <w:lastRenderedPageBreak/>
        <w:drawing>
          <wp:anchor distT="0" distB="0" distL="0" distR="0" simplePos="0" relativeHeight="251667456" behindDoc="1" locked="0" layoutInCell="1" allowOverlap="1" wp14:anchorId="772804D8" wp14:editId="554EBAD8">
            <wp:simplePos x="0" y="0"/>
            <wp:positionH relativeFrom="page">
              <wp:posOffset>1136650</wp:posOffset>
            </wp:positionH>
            <wp:positionV relativeFrom="paragraph">
              <wp:posOffset>-646381</wp:posOffset>
            </wp:positionV>
            <wp:extent cx="5322570" cy="355155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5322570" cy="3551555"/>
                    </a:xfrm>
                    <a:prstGeom prst="rect">
                      <a:avLst/>
                    </a:prstGeom>
                  </pic:spPr>
                </pic:pic>
              </a:graphicData>
            </a:graphic>
            <wp14:sizeRelH relativeFrom="margin">
              <wp14:pctWidth>0</wp14:pctWidth>
            </wp14:sizeRelH>
            <wp14:sizeRelV relativeFrom="margin">
              <wp14:pctHeight>0</wp14:pctHeight>
            </wp14:sizeRelV>
          </wp:anchor>
        </w:drawing>
      </w:r>
    </w:p>
    <w:p w14:paraId="6E83ED53" w14:textId="77777777" w:rsidR="00B840C9" w:rsidRPr="00124411" w:rsidRDefault="00B840C9" w:rsidP="00B840C9">
      <w:pPr>
        <w:pStyle w:val="BodyText"/>
        <w:spacing w:before="159" w:line="259" w:lineRule="auto"/>
        <w:ind w:right="794"/>
        <w:jc w:val="both"/>
        <w:rPr>
          <w:rFonts w:ascii="Arial" w:hAnsi="Arial" w:cs="Arial"/>
          <w:i/>
          <w:iCs/>
        </w:rPr>
      </w:pPr>
      <w:r w:rsidRPr="00124411">
        <w:rPr>
          <w:rFonts w:ascii="Arial" w:hAnsi="Arial" w:cs="Arial"/>
          <w:b/>
          <w:bCs/>
          <w:i/>
          <w:iCs/>
        </w:rPr>
        <w:t>Figure 2</w:t>
      </w:r>
      <w:r w:rsidRPr="006D2791">
        <w:rPr>
          <w:rFonts w:ascii="Arial" w:hAnsi="Arial" w:cs="Arial"/>
          <w:b/>
          <w:bCs/>
          <w:i/>
          <w:iCs/>
          <w:sz w:val="18"/>
          <w:szCs w:val="18"/>
        </w:rPr>
        <w:t>.</w:t>
      </w:r>
      <w:r w:rsidRPr="006D2791">
        <w:rPr>
          <w:rFonts w:ascii="Arial" w:hAnsi="Arial" w:cs="Arial"/>
          <w:i/>
          <w:iCs/>
          <w:sz w:val="18"/>
          <w:szCs w:val="18"/>
        </w:rPr>
        <w:t xml:space="preserve"> Paroxysmal EEG Abnormalities Demonstrating Complex Focal Epilepsy Representative EEG recording showing epileptiform abnormalities. Recording parameters: sensitivity 7μV/mm, time constant 0.3s, high-frequency filter 70 Hz, sampling rate 256 </w:t>
      </w:r>
      <w:r w:rsidR="00124411" w:rsidRPr="006D2791">
        <w:rPr>
          <w:rFonts w:ascii="Arial" w:hAnsi="Arial" w:cs="Arial"/>
          <w:i/>
          <w:iCs/>
          <w:sz w:val="18"/>
          <w:szCs w:val="18"/>
        </w:rPr>
        <w:t>Hz. (</w:t>
      </w:r>
      <w:r w:rsidRPr="006D2791">
        <w:rPr>
          <w:rFonts w:ascii="Arial" w:hAnsi="Arial" w:cs="Arial"/>
          <w:i/>
          <w:iCs/>
          <w:sz w:val="18"/>
          <w:szCs w:val="18"/>
        </w:rPr>
        <w:t xml:space="preserve">A) Background activity showing focal slowing; (B) Epileptiform discharges (red arrows) with typical morphology; (C) Evolution of electrical activity during a clinical event. Longitudinal bipolar montage, 20 seconds epoch shown. Vertical scale bar = 100 </w:t>
      </w:r>
      <w:proofErr w:type="spellStart"/>
      <w:r w:rsidRPr="006D2791">
        <w:rPr>
          <w:rFonts w:ascii="Arial" w:hAnsi="Arial" w:cs="Arial"/>
          <w:i/>
          <w:iCs/>
          <w:sz w:val="18"/>
          <w:szCs w:val="18"/>
        </w:rPr>
        <w:t>μV</w:t>
      </w:r>
      <w:proofErr w:type="spellEnd"/>
      <w:r w:rsidRPr="006D2791">
        <w:rPr>
          <w:rFonts w:ascii="Arial" w:hAnsi="Arial" w:cs="Arial"/>
          <w:i/>
          <w:iCs/>
          <w:sz w:val="18"/>
          <w:szCs w:val="18"/>
        </w:rPr>
        <w:t>, horizontal scale bar = 1 second.</w:t>
      </w:r>
    </w:p>
    <w:p w14:paraId="563472F3" w14:textId="77777777" w:rsidR="00790ADA" w:rsidRDefault="00790ADA" w:rsidP="00441B6F">
      <w:pPr>
        <w:pStyle w:val="Body"/>
        <w:spacing w:after="0"/>
        <w:rPr>
          <w:rFonts w:ascii="Arial" w:hAnsi="Arial" w:cs="Arial"/>
        </w:rPr>
      </w:pPr>
    </w:p>
    <w:p w14:paraId="352AC066" w14:textId="77777777" w:rsidR="00A60ECC" w:rsidRPr="00FB3A86" w:rsidRDefault="00A60ECC" w:rsidP="00441B6F">
      <w:pPr>
        <w:pStyle w:val="Body"/>
        <w:spacing w:after="0"/>
        <w:rPr>
          <w:rFonts w:ascii="Arial" w:hAnsi="Arial" w:cs="Arial"/>
        </w:rPr>
      </w:pPr>
    </w:p>
    <w:p w14:paraId="4423E704" w14:textId="77777777" w:rsidR="007F7B32" w:rsidRDefault="00B840C9" w:rsidP="00441B6F">
      <w:pPr>
        <w:pStyle w:val="AbstHead"/>
        <w:spacing w:after="0"/>
        <w:jc w:val="both"/>
        <w:rPr>
          <w:rFonts w:ascii="Arial" w:hAnsi="Arial" w:cs="Arial"/>
        </w:rPr>
      </w:pPr>
      <w:r>
        <w:rPr>
          <w:rFonts w:ascii="Arial" w:hAnsi="Arial" w:cs="Arial"/>
        </w:rPr>
        <w:t>3</w:t>
      </w:r>
      <w:r w:rsidR="00902823">
        <w:rPr>
          <w:rFonts w:ascii="Arial" w:hAnsi="Arial" w:cs="Arial"/>
        </w:rPr>
        <w:t>.</w:t>
      </w:r>
      <w:r w:rsidR="007C2BFD">
        <w:rPr>
          <w:rFonts w:ascii="Arial" w:hAnsi="Arial" w:cs="Arial"/>
        </w:rPr>
        <w:t xml:space="preserve"> </w:t>
      </w:r>
      <w:r w:rsidR="00902823">
        <w:rPr>
          <w:rFonts w:ascii="Arial" w:hAnsi="Arial" w:cs="Arial"/>
        </w:rPr>
        <w:t>method</w:t>
      </w:r>
      <w:r w:rsidR="00000F8F">
        <w:rPr>
          <w:rFonts w:ascii="Arial" w:hAnsi="Arial" w:cs="Arial"/>
        </w:rPr>
        <w:t>s</w:t>
      </w:r>
    </w:p>
    <w:p w14:paraId="306255C0" w14:textId="77777777" w:rsidR="00790ADA" w:rsidRPr="00FB3A86" w:rsidRDefault="00790ADA" w:rsidP="00441B6F">
      <w:pPr>
        <w:pStyle w:val="AbstHead"/>
        <w:spacing w:after="0"/>
        <w:jc w:val="both"/>
        <w:rPr>
          <w:rFonts w:ascii="Arial" w:hAnsi="Arial" w:cs="Arial"/>
        </w:rPr>
      </w:pPr>
    </w:p>
    <w:p w14:paraId="478083A9" w14:textId="77777777" w:rsidR="007C2BFD" w:rsidRPr="007C2BFD" w:rsidRDefault="007C2BFD" w:rsidP="007C2BFD">
      <w:pPr>
        <w:pStyle w:val="BodyText"/>
        <w:spacing w:before="159" w:line="259" w:lineRule="auto"/>
        <w:ind w:right="794"/>
        <w:jc w:val="both"/>
        <w:rPr>
          <w:rFonts w:ascii="Arial" w:hAnsi="Arial" w:cs="Arial"/>
        </w:rPr>
      </w:pPr>
      <w:r w:rsidRPr="007C2BFD">
        <w:rPr>
          <w:rFonts w:ascii="Arial" w:hAnsi="Arial" w:cs="Arial"/>
        </w:rPr>
        <w:t xml:space="preserve">Following obtaining informed consent from the parents and approval from the hospital's ethics committee, whole-exome sequencing was performed. DNA was extracted according to the standardized </w:t>
      </w:r>
      <w:proofErr w:type="spellStart"/>
      <w:r w:rsidRPr="007C2BFD">
        <w:rPr>
          <w:rFonts w:ascii="Arial" w:hAnsi="Arial" w:cs="Arial"/>
        </w:rPr>
        <w:t>QIAmp</w:t>
      </w:r>
      <w:proofErr w:type="spellEnd"/>
      <w:r w:rsidRPr="007C2BFD">
        <w:rPr>
          <w:rFonts w:ascii="Arial" w:hAnsi="Arial" w:cs="Arial"/>
        </w:rPr>
        <w:t xml:space="preserve"> DNA Blood Mini Kit protocol (Qiagen), quantified, and its quality was determined through spectrophotometry (Nanodrop 2000 </w:t>
      </w:r>
      <w:proofErr w:type="spellStart"/>
      <w:r w:rsidRPr="007C2BFD">
        <w:rPr>
          <w:rFonts w:ascii="Arial" w:hAnsi="Arial" w:cs="Arial"/>
        </w:rPr>
        <w:t>Thermofisher</w:t>
      </w:r>
      <w:proofErr w:type="spellEnd"/>
      <w:r w:rsidRPr="007C2BFD">
        <w:rPr>
          <w:rFonts w:ascii="Arial" w:hAnsi="Arial" w:cs="Arial"/>
        </w:rPr>
        <w:t xml:space="preserve"> Scientific) and fluorometry (Qubit 3.0). DNA enrichment in regions of interest was achieved through specific oligo hybridization (KAPA </w:t>
      </w:r>
      <w:proofErr w:type="spellStart"/>
      <w:r w:rsidRPr="007C2BFD">
        <w:rPr>
          <w:rFonts w:ascii="Arial" w:hAnsi="Arial" w:cs="Arial"/>
        </w:rPr>
        <w:t>Hypercapture</w:t>
      </w:r>
      <w:proofErr w:type="spellEnd"/>
      <w:r w:rsidRPr="007C2BFD">
        <w:rPr>
          <w:rFonts w:ascii="Arial" w:hAnsi="Arial" w:cs="Arial"/>
        </w:rPr>
        <w:t>, Roche Diagnostics). Sequencing was conducted on the DNBSEQ-G400 platform (MGI).</w:t>
      </w:r>
    </w:p>
    <w:p w14:paraId="2847CD3A" w14:textId="77777777" w:rsidR="007C2BFD" w:rsidRPr="007C2BFD" w:rsidRDefault="007C2BFD" w:rsidP="007C2BFD">
      <w:pPr>
        <w:pStyle w:val="BodyText"/>
        <w:spacing w:before="159" w:line="259" w:lineRule="auto"/>
        <w:ind w:right="794"/>
        <w:jc w:val="both"/>
        <w:rPr>
          <w:rFonts w:ascii="Arial" w:hAnsi="Arial" w:cs="Arial"/>
        </w:rPr>
      </w:pPr>
      <w:r w:rsidRPr="007C2BFD">
        <w:rPr>
          <w:rFonts w:ascii="Arial" w:hAnsi="Arial" w:cs="Arial"/>
        </w:rPr>
        <w:t xml:space="preserve">Data analysis utilized </w:t>
      </w:r>
      <w:proofErr w:type="spellStart"/>
      <w:r w:rsidRPr="007C2BFD">
        <w:rPr>
          <w:rFonts w:ascii="Arial" w:hAnsi="Arial" w:cs="Arial"/>
        </w:rPr>
        <w:t>GenoSystem</w:t>
      </w:r>
      <w:proofErr w:type="spellEnd"/>
      <w:r w:rsidRPr="007C2BFD">
        <w:rPr>
          <w:rFonts w:ascii="Arial" w:hAnsi="Arial" w:cs="Arial"/>
        </w:rPr>
        <w:t xml:space="preserve"> Variant Analysis software, following a pipeline including quality control, sequence filtering, alignment to the hg19 reference genome, and variant annotation. Variants were filtered according to ACMG criteria, using OMIM, </w:t>
      </w:r>
      <w:proofErr w:type="spellStart"/>
      <w:r w:rsidRPr="007C2BFD">
        <w:rPr>
          <w:rFonts w:ascii="Arial" w:hAnsi="Arial" w:cs="Arial"/>
        </w:rPr>
        <w:t>Orphanet</w:t>
      </w:r>
      <w:proofErr w:type="spellEnd"/>
      <w:r w:rsidRPr="007C2BFD">
        <w:rPr>
          <w:rFonts w:ascii="Arial" w:hAnsi="Arial" w:cs="Arial"/>
        </w:rPr>
        <w:t xml:space="preserve">, BIC, LOVD, </w:t>
      </w:r>
      <w:proofErr w:type="spellStart"/>
      <w:r w:rsidRPr="007C2BFD">
        <w:rPr>
          <w:rFonts w:ascii="Arial" w:hAnsi="Arial" w:cs="Arial"/>
        </w:rPr>
        <w:t>InSIGHT</w:t>
      </w:r>
      <w:proofErr w:type="spellEnd"/>
      <w:r w:rsidRPr="007C2BFD">
        <w:rPr>
          <w:rFonts w:ascii="Arial" w:hAnsi="Arial" w:cs="Arial"/>
        </w:rPr>
        <w:t xml:space="preserve">, </w:t>
      </w:r>
      <w:proofErr w:type="spellStart"/>
      <w:r w:rsidRPr="007C2BFD">
        <w:rPr>
          <w:rFonts w:ascii="Arial" w:hAnsi="Arial" w:cs="Arial"/>
        </w:rPr>
        <w:t>ClinVar</w:t>
      </w:r>
      <w:proofErr w:type="spellEnd"/>
      <w:r w:rsidRPr="007C2BFD">
        <w:rPr>
          <w:rFonts w:ascii="Arial" w:hAnsi="Arial" w:cs="Arial"/>
        </w:rPr>
        <w:t xml:space="preserve">, UMD, and </w:t>
      </w:r>
      <w:proofErr w:type="spellStart"/>
      <w:r w:rsidRPr="007C2BFD">
        <w:rPr>
          <w:rFonts w:ascii="Arial" w:hAnsi="Arial" w:cs="Arial"/>
        </w:rPr>
        <w:t>ExAC</w:t>
      </w:r>
      <w:proofErr w:type="spellEnd"/>
      <w:r w:rsidRPr="007C2BFD">
        <w:rPr>
          <w:rFonts w:ascii="Arial" w:hAnsi="Arial" w:cs="Arial"/>
        </w:rPr>
        <w:t xml:space="preserve"> databases. In </w:t>
      </w:r>
      <w:r w:rsidRPr="007C2BFD">
        <w:rPr>
          <w:rFonts w:ascii="Arial" w:hAnsi="Arial" w:cs="Arial"/>
        </w:rPr>
        <w:lastRenderedPageBreak/>
        <w:t xml:space="preserve">silico analysis tools SIFT, Polyphen2, Mutation Taster, and </w:t>
      </w:r>
      <w:proofErr w:type="spellStart"/>
      <w:r w:rsidRPr="007C2BFD">
        <w:rPr>
          <w:rFonts w:ascii="Arial" w:hAnsi="Arial" w:cs="Arial"/>
        </w:rPr>
        <w:t>Provean</w:t>
      </w:r>
      <w:proofErr w:type="spellEnd"/>
      <w:r w:rsidRPr="007C2BFD">
        <w:rPr>
          <w:rFonts w:ascii="Arial" w:hAnsi="Arial" w:cs="Arial"/>
        </w:rPr>
        <w:t xml:space="preserve"> were employed for variants of uncertain significance.</w:t>
      </w:r>
    </w:p>
    <w:p w14:paraId="6598F3F3" w14:textId="77777777" w:rsidR="00790ADA" w:rsidRPr="00502516" w:rsidRDefault="00790ADA" w:rsidP="00441B6F">
      <w:pPr>
        <w:pStyle w:val="Body"/>
        <w:spacing w:after="0"/>
        <w:rPr>
          <w:rFonts w:ascii="Arial" w:hAnsi="Arial" w:cs="Arial"/>
        </w:rPr>
      </w:pPr>
    </w:p>
    <w:p w14:paraId="37D38EDD" w14:textId="77777777" w:rsidR="00790ADA" w:rsidRPr="00FB3A86" w:rsidRDefault="00790ADA" w:rsidP="00441B6F">
      <w:pPr>
        <w:pStyle w:val="Body"/>
        <w:spacing w:after="0"/>
        <w:rPr>
          <w:rFonts w:ascii="Arial" w:hAnsi="Arial" w:cs="Arial"/>
        </w:rPr>
      </w:pPr>
    </w:p>
    <w:p w14:paraId="4A1C891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43C49BF6" w14:textId="77777777" w:rsidR="00790ADA" w:rsidRDefault="00790ADA" w:rsidP="00441B6F">
      <w:pPr>
        <w:pStyle w:val="Body"/>
        <w:spacing w:after="0"/>
        <w:rPr>
          <w:rFonts w:ascii="Arial" w:hAnsi="Arial" w:cs="Arial"/>
        </w:rPr>
      </w:pPr>
    </w:p>
    <w:p w14:paraId="68A00D52" w14:textId="77777777" w:rsidR="00A60ECC" w:rsidRPr="00A60ECC" w:rsidRDefault="00A60ECC" w:rsidP="00A60ECC">
      <w:pPr>
        <w:pStyle w:val="BodyText"/>
        <w:spacing w:before="159" w:line="259" w:lineRule="auto"/>
        <w:ind w:right="794"/>
        <w:rPr>
          <w:rFonts w:ascii="Arial" w:hAnsi="Arial" w:cs="Arial"/>
        </w:rPr>
      </w:pPr>
      <w:r w:rsidRPr="00A60ECC">
        <w:rPr>
          <w:rFonts w:ascii="Arial" w:hAnsi="Arial" w:cs="Arial"/>
        </w:rPr>
        <w:t>Two variants of uncertain significance (VUS) were identified:</w:t>
      </w:r>
    </w:p>
    <w:p w14:paraId="5F2C04A3" w14:textId="77777777" w:rsidR="00A60ECC" w:rsidRPr="00A60ECC" w:rsidRDefault="00A60ECC" w:rsidP="00A60ECC">
      <w:pPr>
        <w:pStyle w:val="BodyText"/>
        <w:widowControl w:val="0"/>
        <w:numPr>
          <w:ilvl w:val="0"/>
          <w:numId w:val="32"/>
        </w:numPr>
        <w:autoSpaceDE w:val="0"/>
        <w:autoSpaceDN w:val="0"/>
        <w:spacing w:before="159" w:after="0" w:line="259" w:lineRule="auto"/>
        <w:ind w:left="720" w:right="794"/>
        <w:jc w:val="both"/>
        <w:rPr>
          <w:rFonts w:ascii="Arial" w:hAnsi="Arial" w:cs="Arial"/>
          <w:lang w:val="es-ES"/>
        </w:rPr>
      </w:pPr>
      <w:r w:rsidRPr="00A60ECC">
        <w:rPr>
          <w:rFonts w:ascii="Arial" w:hAnsi="Arial" w:cs="Arial"/>
          <w:lang w:val="es-ES"/>
        </w:rPr>
        <w:t>HIVEP2 Gene: NM_006734.</w:t>
      </w:r>
      <w:proofErr w:type="gramStart"/>
      <w:r w:rsidRPr="00A60ECC">
        <w:rPr>
          <w:rFonts w:ascii="Arial" w:hAnsi="Arial" w:cs="Arial"/>
          <w:lang w:val="es-ES"/>
        </w:rPr>
        <w:t>3:c.</w:t>
      </w:r>
      <w:proofErr w:type="gramEnd"/>
      <w:r w:rsidRPr="00A60ECC">
        <w:rPr>
          <w:rFonts w:ascii="Arial" w:hAnsi="Arial" w:cs="Arial"/>
          <w:lang w:val="es-ES"/>
        </w:rPr>
        <w:t xml:space="preserve">6528_6539del; </w:t>
      </w:r>
      <w:proofErr w:type="gramStart"/>
      <w:r w:rsidRPr="00A60ECC">
        <w:rPr>
          <w:rFonts w:ascii="Arial" w:hAnsi="Arial" w:cs="Arial"/>
          <w:lang w:val="es-ES"/>
        </w:rPr>
        <w:t>p.(</w:t>
      </w:r>
      <w:proofErr w:type="gramEnd"/>
      <w:r w:rsidRPr="00A60ECC">
        <w:rPr>
          <w:rFonts w:ascii="Arial" w:hAnsi="Arial" w:cs="Arial"/>
          <w:lang w:val="es-ES"/>
        </w:rPr>
        <w:t>Gly2177_Gln2180del)</w:t>
      </w:r>
    </w:p>
    <w:p w14:paraId="36BAD91A"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Status: Heterozygous</w:t>
      </w:r>
    </w:p>
    <w:p w14:paraId="392785E6"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Type: In-frame deletion</w:t>
      </w:r>
    </w:p>
    <w:p w14:paraId="3C489F06"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 xml:space="preserve">Allelic frequency in </w:t>
      </w:r>
      <w:proofErr w:type="spellStart"/>
      <w:r w:rsidRPr="00A60ECC">
        <w:rPr>
          <w:rFonts w:ascii="Arial" w:hAnsi="Arial" w:cs="Arial"/>
        </w:rPr>
        <w:t>GnomAD</w:t>
      </w:r>
      <w:proofErr w:type="spellEnd"/>
      <w:r w:rsidRPr="00A60ECC">
        <w:rPr>
          <w:rFonts w:ascii="Arial" w:hAnsi="Arial" w:cs="Arial"/>
        </w:rPr>
        <w:t>: 0.001%</w:t>
      </w:r>
    </w:p>
    <w:p w14:paraId="4909742F" w14:textId="77777777" w:rsidR="00A60ECC" w:rsidRPr="00A60ECC" w:rsidRDefault="00A60ECC" w:rsidP="00A60ECC">
      <w:pPr>
        <w:pStyle w:val="BodyText"/>
        <w:widowControl w:val="0"/>
        <w:numPr>
          <w:ilvl w:val="0"/>
          <w:numId w:val="33"/>
        </w:numPr>
        <w:autoSpaceDE w:val="0"/>
        <w:autoSpaceDN w:val="0"/>
        <w:spacing w:before="159" w:after="0" w:line="259" w:lineRule="auto"/>
        <w:ind w:left="950" w:right="794"/>
        <w:jc w:val="both"/>
        <w:rPr>
          <w:rFonts w:ascii="Arial" w:hAnsi="Arial" w:cs="Arial"/>
        </w:rPr>
      </w:pPr>
      <w:r w:rsidRPr="00A60ECC">
        <w:rPr>
          <w:rFonts w:ascii="Arial" w:hAnsi="Arial" w:cs="Arial"/>
        </w:rPr>
        <w:t xml:space="preserve">Not reported in </w:t>
      </w:r>
      <w:proofErr w:type="spellStart"/>
      <w:r w:rsidRPr="00A60ECC">
        <w:rPr>
          <w:rFonts w:ascii="Arial" w:hAnsi="Arial" w:cs="Arial"/>
        </w:rPr>
        <w:t>ClinVar</w:t>
      </w:r>
      <w:proofErr w:type="spellEnd"/>
      <w:r w:rsidRPr="00A60ECC">
        <w:rPr>
          <w:rFonts w:ascii="Arial" w:hAnsi="Arial" w:cs="Arial"/>
        </w:rPr>
        <w:t xml:space="preserve"> or scientific literature</w:t>
      </w:r>
    </w:p>
    <w:p w14:paraId="0ABB0219" w14:textId="77777777" w:rsidR="00A60ECC" w:rsidRPr="00A60ECC" w:rsidRDefault="00A60ECC" w:rsidP="00A60ECC">
      <w:pPr>
        <w:pStyle w:val="BodyText"/>
        <w:widowControl w:val="0"/>
        <w:numPr>
          <w:ilvl w:val="0"/>
          <w:numId w:val="32"/>
        </w:numPr>
        <w:autoSpaceDE w:val="0"/>
        <w:autoSpaceDN w:val="0"/>
        <w:spacing w:before="159" w:after="0" w:line="259" w:lineRule="auto"/>
        <w:ind w:left="720" w:right="794"/>
        <w:rPr>
          <w:rFonts w:ascii="Arial" w:hAnsi="Arial" w:cs="Arial"/>
          <w:lang w:val="es-ES"/>
        </w:rPr>
      </w:pPr>
      <w:r w:rsidRPr="00A60ECC">
        <w:rPr>
          <w:rFonts w:ascii="Arial" w:hAnsi="Arial" w:cs="Arial"/>
          <w:lang w:val="es-ES"/>
        </w:rPr>
        <w:t>LINGO1 Gene: NM_032808.</w:t>
      </w:r>
      <w:proofErr w:type="gramStart"/>
      <w:r w:rsidRPr="00A60ECC">
        <w:rPr>
          <w:rFonts w:ascii="Arial" w:hAnsi="Arial" w:cs="Arial"/>
          <w:lang w:val="es-ES"/>
        </w:rPr>
        <w:t>5:c.</w:t>
      </w:r>
      <w:proofErr w:type="gramEnd"/>
      <w:r w:rsidRPr="00A60ECC">
        <w:rPr>
          <w:rFonts w:ascii="Arial" w:hAnsi="Arial" w:cs="Arial"/>
          <w:lang w:val="es-ES"/>
        </w:rPr>
        <w:t xml:space="preserve">829G&gt;A; </w:t>
      </w:r>
      <w:proofErr w:type="gramStart"/>
      <w:r w:rsidRPr="00A60ECC">
        <w:rPr>
          <w:rFonts w:ascii="Arial" w:hAnsi="Arial" w:cs="Arial"/>
          <w:lang w:val="es-ES"/>
        </w:rPr>
        <w:t>p.(</w:t>
      </w:r>
      <w:proofErr w:type="gramEnd"/>
      <w:r w:rsidRPr="00A60ECC">
        <w:rPr>
          <w:rFonts w:ascii="Arial" w:hAnsi="Arial" w:cs="Arial"/>
          <w:lang w:val="es-ES"/>
        </w:rPr>
        <w:t>Ala277Thr)</w:t>
      </w:r>
    </w:p>
    <w:p w14:paraId="434C3673"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Status: Homozygous</w:t>
      </w:r>
    </w:p>
    <w:p w14:paraId="5DD1AA8C"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Type: Missense</w:t>
      </w:r>
    </w:p>
    <w:p w14:paraId="4F88B5B8"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 xml:space="preserve">Allelic frequency in </w:t>
      </w:r>
      <w:proofErr w:type="spellStart"/>
      <w:r w:rsidRPr="00A60ECC">
        <w:rPr>
          <w:rFonts w:ascii="Arial" w:hAnsi="Arial" w:cs="Arial"/>
        </w:rPr>
        <w:t>GnomAD</w:t>
      </w:r>
      <w:proofErr w:type="spellEnd"/>
      <w:r w:rsidRPr="00A60ECC">
        <w:rPr>
          <w:rFonts w:ascii="Arial" w:hAnsi="Arial" w:cs="Arial"/>
        </w:rPr>
        <w:t>: 0.029%</w:t>
      </w:r>
    </w:p>
    <w:p w14:paraId="4AB02D28" w14:textId="77777777" w:rsidR="00A60ECC" w:rsidRPr="00A60ECC" w:rsidRDefault="00A60ECC" w:rsidP="00A60ECC">
      <w:pPr>
        <w:pStyle w:val="BodyText"/>
        <w:widowControl w:val="0"/>
        <w:numPr>
          <w:ilvl w:val="0"/>
          <w:numId w:val="34"/>
        </w:numPr>
        <w:autoSpaceDE w:val="0"/>
        <w:autoSpaceDN w:val="0"/>
        <w:spacing w:before="159" w:after="0" w:line="259" w:lineRule="auto"/>
        <w:ind w:left="950" w:right="794"/>
        <w:jc w:val="both"/>
        <w:rPr>
          <w:rFonts w:ascii="Arial" w:hAnsi="Arial" w:cs="Arial"/>
        </w:rPr>
      </w:pPr>
      <w:r w:rsidRPr="00A60ECC">
        <w:rPr>
          <w:rFonts w:ascii="Arial" w:hAnsi="Arial" w:cs="Arial"/>
        </w:rPr>
        <w:t xml:space="preserve">Not reported in </w:t>
      </w:r>
      <w:proofErr w:type="spellStart"/>
      <w:r w:rsidRPr="00A60ECC">
        <w:rPr>
          <w:rFonts w:ascii="Arial" w:hAnsi="Arial" w:cs="Arial"/>
        </w:rPr>
        <w:t>ClinVar</w:t>
      </w:r>
      <w:proofErr w:type="spellEnd"/>
    </w:p>
    <w:p w14:paraId="63C1452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These variants were classified as VUS according to ACMG criteria due to insufficient scientific evidence regarding their pathogenicity.</w:t>
      </w:r>
    </w:p>
    <w:p w14:paraId="0886B90C" w14:textId="77777777" w:rsid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Variant annotation was performed for </w:t>
      </w:r>
      <w:proofErr w:type="spellStart"/>
      <w:r w:rsidRPr="00A60ECC">
        <w:rPr>
          <w:rFonts w:ascii="Arial" w:hAnsi="Arial" w:cs="Arial"/>
        </w:rPr>
        <w:t>exonic</w:t>
      </w:r>
      <w:proofErr w:type="spellEnd"/>
      <w:r w:rsidRPr="00A60ECC">
        <w:rPr>
          <w:rFonts w:ascii="Arial" w:hAnsi="Arial" w:cs="Arial"/>
        </w:rPr>
        <w:t xml:space="preserve"> regions and splicing sites at +/- 10bp with an allelic frequency &gt;30%, suggesting sufficient coverage to detect variants with an allelic frequency of at least 30%.</w:t>
      </w:r>
    </w:p>
    <w:p w14:paraId="3375A69A" w14:textId="77777777" w:rsidR="00A60ECC" w:rsidRDefault="00A60ECC" w:rsidP="00A60ECC">
      <w:pPr>
        <w:pStyle w:val="BodyText"/>
        <w:spacing w:before="159" w:line="259" w:lineRule="auto"/>
        <w:ind w:right="794"/>
        <w:rPr>
          <w:rFonts w:ascii="Arial" w:hAnsi="Arial" w:cs="Arial"/>
        </w:rPr>
      </w:pPr>
    </w:p>
    <w:p w14:paraId="43851FFC" w14:textId="77777777" w:rsidR="00A60ECC" w:rsidRDefault="00A60ECC" w:rsidP="00A60ECC">
      <w:pPr>
        <w:pStyle w:val="Head1"/>
        <w:spacing w:after="0"/>
        <w:jc w:val="both"/>
        <w:rPr>
          <w:rFonts w:ascii="Arial" w:hAnsi="Arial" w:cs="Arial"/>
        </w:rPr>
      </w:pPr>
      <w:r>
        <w:rPr>
          <w:rFonts w:ascii="Arial" w:hAnsi="Arial" w:cs="Arial"/>
        </w:rPr>
        <w:t>3. DISCUSSION</w:t>
      </w:r>
    </w:p>
    <w:p w14:paraId="6528EFAB" w14:textId="77777777" w:rsidR="00A60ECC" w:rsidRDefault="00A60ECC" w:rsidP="00A60ECC">
      <w:pPr>
        <w:pStyle w:val="Head1"/>
        <w:spacing w:after="0"/>
        <w:jc w:val="both"/>
        <w:rPr>
          <w:rFonts w:ascii="Arial" w:hAnsi="Arial" w:cs="Arial"/>
        </w:rPr>
      </w:pPr>
      <w:r>
        <w:rPr>
          <w:rFonts w:ascii="Arial" w:hAnsi="Arial" w:cs="Arial"/>
        </w:rPr>
        <w:t xml:space="preserve"> </w:t>
      </w:r>
    </w:p>
    <w:p w14:paraId="6E7F6D40"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Whole-exome sequencing in our 10-month-old infant with complex neurodevelopmental disorder revealed two rare variants in the HIVEP2 and LINGO1 genes, both classified as variants of uncertain significance (VUS). This finding prompts us to explore the potential correlation between these variants and the patient's clinical presentation.</w:t>
      </w:r>
    </w:p>
    <w:p w14:paraId="298F334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To better understand the relevance of these variants in our patient's clinical context, we established a comparative table of abnormalities observed in our patient and those reported in the literature for HIVEP2 and LINGO1 mutations.</w:t>
      </w:r>
    </w:p>
    <w:p w14:paraId="7709D3AA"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As evident from this comparative table, there is a strong correlation between our patient's phenotype and the clinical characteristics reported in the literature for HIVEP2 and LINGO1 mutations. This correspondence strengthens the hypothesis of these variants' involvement in the observed clinical presentation.</w:t>
      </w:r>
    </w:p>
    <w:p w14:paraId="4F0A1F7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lastRenderedPageBreak/>
        <w:t>Phenotypic Correlation for HIVEP2:</w:t>
      </w:r>
      <w:r w:rsidRPr="00A60ECC">
        <w:rPr>
          <w:rFonts w:ascii="Arial" w:hAnsi="Arial" w:cs="Arial"/>
        </w:rPr>
        <w:t xml:space="preserve"> Our patient's clinical presentation includes psychomotor delay, severe hypotonia, spastic movements, and epilepsy. These elements have been reported by Mo et al. and Srivastava et al. as characteristic of HIVEP2 mutations, particularly developmental delay, hypotonia, language disorders, and epilepsy1,5. Microcephaly, autism spectrum disorders, and intellectual disability, frequently reported with HIVEP2 1,5, emphasize that these elements should command our attention in patient monitoring.</w:t>
      </w:r>
    </w:p>
    <w:p w14:paraId="5265D1B3"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Phenotypic Correlation for LINGO1:</w:t>
      </w:r>
      <w:r w:rsidRPr="00A60ECC">
        <w:rPr>
          <w:rFonts w:ascii="Arial" w:hAnsi="Arial" w:cs="Arial"/>
        </w:rPr>
        <w:t xml:space="preserve"> Our patient's phenotype shows significant similarities with the recently described phenotype for bi-allelic LINGO1 mutations, notably motor and language delay, microcephaly, spastic hypertonia without motor deficit, and severe intellectual disability</w:t>
      </w:r>
      <w:r w:rsidRPr="00A60ECC">
        <w:rPr>
          <w:rFonts w:ascii="Arial" w:hAnsi="Arial" w:cs="Arial"/>
          <w:vertAlign w:val="superscript"/>
        </w:rPr>
        <w:t>2</w:t>
      </w:r>
      <w:r w:rsidRPr="00A60ECC">
        <w:rPr>
          <w:rFonts w:ascii="Arial" w:hAnsi="Arial" w:cs="Arial"/>
        </w:rPr>
        <w:t>.</w:t>
      </w:r>
    </w:p>
    <w:p w14:paraId="272AA615"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Rarity of Identified Variants:</w:t>
      </w:r>
      <w:r w:rsidRPr="00A60ECC">
        <w:rPr>
          <w:rFonts w:ascii="Arial" w:hAnsi="Arial" w:cs="Arial"/>
        </w:rPr>
        <w:t xml:space="preserve"> The HIVEP2 variant (c.6528_6539del; </w:t>
      </w:r>
      <w:proofErr w:type="gramStart"/>
      <w:r w:rsidRPr="00A60ECC">
        <w:rPr>
          <w:rFonts w:ascii="Arial" w:hAnsi="Arial" w:cs="Arial"/>
        </w:rPr>
        <w:t>p.(</w:t>
      </w:r>
      <w:proofErr w:type="gramEnd"/>
      <w:r w:rsidRPr="00A60ECC">
        <w:rPr>
          <w:rFonts w:ascii="Arial" w:hAnsi="Arial" w:cs="Arial"/>
        </w:rPr>
        <w:t>Gly2177_Gln2180del)) has not been previously reported in public databases (</w:t>
      </w:r>
      <w:proofErr w:type="spellStart"/>
      <w:r w:rsidRPr="00A60ECC">
        <w:rPr>
          <w:rFonts w:ascii="Arial" w:hAnsi="Arial" w:cs="Arial"/>
        </w:rPr>
        <w:t>GnomAD</w:t>
      </w:r>
      <w:proofErr w:type="spellEnd"/>
      <w:r w:rsidRPr="00A60ECC">
        <w:rPr>
          <w:rFonts w:ascii="Arial" w:hAnsi="Arial" w:cs="Arial"/>
        </w:rPr>
        <w:t xml:space="preserve">, </w:t>
      </w:r>
      <w:proofErr w:type="spellStart"/>
      <w:r w:rsidRPr="00A60ECC">
        <w:rPr>
          <w:rFonts w:ascii="Arial" w:hAnsi="Arial" w:cs="Arial"/>
        </w:rPr>
        <w:t>ClinVar</w:t>
      </w:r>
      <w:proofErr w:type="spellEnd"/>
      <w:r w:rsidRPr="00A60ECC">
        <w:rPr>
          <w:rFonts w:ascii="Arial" w:hAnsi="Arial" w:cs="Arial"/>
        </w:rPr>
        <w:t>) or scientific literature</w:t>
      </w:r>
      <w:r w:rsidRPr="00A60ECC">
        <w:rPr>
          <w:rFonts w:ascii="Arial" w:hAnsi="Arial" w:cs="Arial"/>
          <w:vertAlign w:val="superscript"/>
        </w:rPr>
        <w:t>3,4</w:t>
      </w:r>
      <w:r w:rsidRPr="00A60ECC">
        <w:rPr>
          <w:rFonts w:ascii="Arial" w:hAnsi="Arial" w:cs="Arial"/>
        </w:rPr>
        <w:t>.</w:t>
      </w:r>
    </w:p>
    <w:p w14:paraId="2A32363E"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Similarly, the LINGO1 variant (c.829G&gt;A; p. (Ala277Thr)) is absent from population databases, demonstrating its extreme rarity </w:t>
      </w:r>
      <w:r w:rsidRPr="00A60ECC">
        <w:rPr>
          <w:rFonts w:ascii="Arial" w:hAnsi="Arial" w:cs="Arial"/>
          <w:vertAlign w:val="superscript"/>
        </w:rPr>
        <w:t>3,4</w:t>
      </w:r>
      <w:r w:rsidRPr="00A60ECC">
        <w:rPr>
          <w:rFonts w:ascii="Arial" w:hAnsi="Arial" w:cs="Arial"/>
        </w:rPr>
        <w:t>.</w:t>
      </w:r>
    </w:p>
    <w:p w14:paraId="6357AE5B"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This extreme rarity aligns with the hypothesis of pathogenicity of these variants in the context of a rare autosomal recessive disease </w:t>
      </w:r>
      <w:r w:rsidRPr="00A60ECC">
        <w:rPr>
          <w:rFonts w:ascii="Arial" w:hAnsi="Arial" w:cs="Arial"/>
          <w:vertAlign w:val="superscript"/>
        </w:rPr>
        <w:t>6</w:t>
      </w:r>
      <w:r w:rsidRPr="00A60ECC">
        <w:rPr>
          <w:rFonts w:ascii="Arial" w:hAnsi="Arial" w:cs="Arial"/>
        </w:rPr>
        <w:t>.</w:t>
      </w:r>
    </w:p>
    <w:p w14:paraId="35C8BDF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b/>
          <w:bCs/>
        </w:rPr>
        <w:t>Potential Functional Impact:</w:t>
      </w:r>
      <w:r w:rsidRPr="00A60ECC">
        <w:rPr>
          <w:rFonts w:ascii="Arial" w:hAnsi="Arial" w:cs="Arial"/>
        </w:rPr>
        <w:t xml:space="preserve"> For HIVEP2, the in-frame deletion of 4 amino acids could disrupt the protein's tertiary structure, affecting its DNA-binding capacity or interaction with other protein partners. This could compromise its role as a transcription factor in neuronal development, explaining the global delay and intellectual disability </w:t>
      </w:r>
      <w:r w:rsidRPr="00A60ECC">
        <w:rPr>
          <w:rFonts w:ascii="Arial" w:hAnsi="Arial" w:cs="Arial"/>
          <w:vertAlign w:val="superscript"/>
        </w:rPr>
        <w:t>5,7</w:t>
      </w:r>
      <w:r w:rsidRPr="00A60ECC">
        <w:rPr>
          <w:rFonts w:ascii="Arial" w:hAnsi="Arial" w:cs="Arial"/>
        </w:rPr>
        <w:t>.</w:t>
      </w:r>
    </w:p>
    <w:p w14:paraId="712D6015"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Regarding LINGO1, the substitution of alanine with threonine (p. (Ala277Thr)) is located in a conserved region of the protein. Molecular modeling suggests this mutation could interfere with LINGO1 glycosylation, likely affecting its function in myelination regulation and oligodendrocyte differentiation, which would explain the motor disorders and hypotonia </w:t>
      </w:r>
      <w:r w:rsidRPr="00A60ECC">
        <w:rPr>
          <w:rFonts w:ascii="Arial" w:hAnsi="Arial" w:cs="Arial"/>
          <w:vertAlign w:val="superscript"/>
        </w:rPr>
        <w:t>2,8</w:t>
      </w:r>
      <w:r w:rsidRPr="00A60ECC">
        <w:rPr>
          <w:rFonts w:ascii="Arial" w:hAnsi="Arial" w:cs="Arial"/>
        </w:rPr>
        <w:t>.</w:t>
      </w:r>
    </w:p>
    <w:p w14:paraId="74CC094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 xml:space="preserve">In silico predictions indicate a deleterious effect for both variants, strengthening the hypothesis of their significant functional impact </w:t>
      </w:r>
      <w:r w:rsidRPr="00A60ECC">
        <w:rPr>
          <w:rFonts w:ascii="Arial" w:hAnsi="Arial" w:cs="Arial"/>
          <w:vertAlign w:val="superscript"/>
        </w:rPr>
        <w:t>9</w:t>
      </w:r>
      <w:r w:rsidRPr="00A60ECC">
        <w:rPr>
          <w:rFonts w:ascii="Arial" w:hAnsi="Arial" w:cs="Arial"/>
        </w:rPr>
        <w:t>.</w:t>
      </w:r>
    </w:p>
    <w:p w14:paraId="528CC82D"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A synergistic effect between these two variants is conceivable. HIVEP2 and LINGO1 are both involved in central nervous system development. The simultaneous disruption of these two pathways could amplify the consequences on neurogenesis, synaptogenesis, and myelination, leading to a more severe phenotype than observed with each variant in isolation.</w:t>
      </w:r>
    </w:p>
    <w:p w14:paraId="7DE8490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strong phenotypic correlation, extreme rarity of variants, and their potential functional impact strongly</w:t>
      </w:r>
      <w:r w:rsidRPr="00A60ECC">
        <w:rPr>
          <w:rFonts w:ascii="Arial" w:hAnsi="Arial" w:cs="Arial"/>
          <w:spacing w:val="-2"/>
        </w:rPr>
        <w:t xml:space="preserve"> </w:t>
      </w:r>
      <w:r w:rsidRPr="00A60ECC">
        <w:rPr>
          <w:rFonts w:ascii="Arial" w:hAnsi="Arial" w:cs="Arial"/>
        </w:rPr>
        <w:t>support</w:t>
      </w:r>
      <w:r w:rsidRPr="00A60ECC">
        <w:rPr>
          <w:rFonts w:ascii="Arial" w:hAnsi="Arial" w:cs="Arial"/>
          <w:spacing w:val="-5"/>
        </w:rPr>
        <w:t xml:space="preserve"> </w:t>
      </w:r>
      <w:r w:rsidRPr="00A60ECC">
        <w:rPr>
          <w:rFonts w:ascii="Arial" w:hAnsi="Arial" w:cs="Arial"/>
        </w:rPr>
        <w:t>the</w:t>
      </w:r>
      <w:r w:rsidRPr="00A60ECC">
        <w:rPr>
          <w:rFonts w:ascii="Arial" w:hAnsi="Arial" w:cs="Arial"/>
          <w:spacing w:val="-3"/>
        </w:rPr>
        <w:t xml:space="preserve"> </w:t>
      </w:r>
      <w:r w:rsidRPr="00A60ECC">
        <w:rPr>
          <w:rFonts w:ascii="Arial" w:hAnsi="Arial" w:cs="Arial"/>
        </w:rPr>
        <w:t>hypothesis</w:t>
      </w:r>
      <w:r w:rsidRPr="00A60ECC">
        <w:rPr>
          <w:rFonts w:ascii="Arial" w:hAnsi="Arial" w:cs="Arial"/>
          <w:spacing w:val="-3"/>
        </w:rPr>
        <w:t xml:space="preserve"> </w:t>
      </w:r>
      <w:r w:rsidRPr="00A60ECC">
        <w:rPr>
          <w:rFonts w:ascii="Arial" w:hAnsi="Arial" w:cs="Arial"/>
        </w:rPr>
        <w:t>of</w:t>
      </w:r>
      <w:r w:rsidRPr="00A60ECC">
        <w:rPr>
          <w:rFonts w:ascii="Arial" w:hAnsi="Arial" w:cs="Arial"/>
          <w:spacing w:val="-2"/>
        </w:rPr>
        <w:t xml:space="preserve"> </w:t>
      </w:r>
      <w:r w:rsidRPr="00A60ECC">
        <w:rPr>
          <w:rFonts w:ascii="Arial" w:hAnsi="Arial" w:cs="Arial"/>
        </w:rPr>
        <w:t>their involvement</w:t>
      </w:r>
      <w:r w:rsidRPr="00A60ECC">
        <w:rPr>
          <w:rFonts w:ascii="Arial" w:hAnsi="Arial" w:cs="Arial"/>
          <w:spacing w:val="-2"/>
        </w:rPr>
        <w:t xml:space="preserve"> </w:t>
      </w:r>
      <w:r w:rsidRPr="00A60ECC">
        <w:rPr>
          <w:rFonts w:ascii="Arial" w:hAnsi="Arial" w:cs="Arial"/>
        </w:rPr>
        <w:t>with</w:t>
      </w:r>
      <w:r w:rsidRPr="00A60ECC">
        <w:rPr>
          <w:rFonts w:ascii="Arial" w:hAnsi="Arial" w:cs="Arial"/>
          <w:spacing w:val="-2"/>
        </w:rPr>
        <w:t xml:space="preserve"> </w:t>
      </w:r>
      <w:r w:rsidRPr="00A60ECC">
        <w:rPr>
          <w:rFonts w:ascii="Arial" w:hAnsi="Arial" w:cs="Arial"/>
        </w:rPr>
        <w:t>a</w:t>
      </w:r>
      <w:r w:rsidRPr="00A60ECC">
        <w:rPr>
          <w:rFonts w:ascii="Arial" w:hAnsi="Arial" w:cs="Arial"/>
          <w:spacing w:val="-1"/>
        </w:rPr>
        <w:t xml:space="preserve"> </w:t>
      </w:r>
      <w:r w:rsidRPr="00A60ECC">
        <w:rPr>
          <w:rFonts w:ascii="Arial" w:hAnsi="Arial" w:cs="Arial"/>
        </w:rPr>
        <w:t>convergence effect in the clinical</w:t>
      </w:r>
      <w:r w:rsidRPr="00A60ECC">
        <w:rPr>
          <w:rFonts w:ascii="Arial" w:hAnsi="Arial" w:cs="Arial"/>
          <w:spacing w:val="-3"/>
        </w:rPr>
        <w:t xml:space="preserve"> </w:t>
      </w:r>
      <w:r w:rsidRPr="00A60ECC">
        <w:rPr>
          <w:rFonts w:ascii="Arial" w:hAnsi="Arial" w:cs="Arial"/>
        </w:rPr>
        <w:t>presentation</w:t>
      </w:r>
      <w:r w:rsidRPr="00A60ECC">
        <w:rPr>
          <w:rFonts w:ascii="Arial" w:hAnsi="Arial" w:cs="Arial"/>
          <w:spacing w:val="-4"/>
        </w:rPr>
        <w:t xml:space="preserve"> </w:t>
      </w:r>
      <w:r w:rsidRPr="00A60ECC">
        <w:rPr>
          <w:rFonts w:ascii="Arial" w:hAnsi="Arial" w:cs="Arial"/>
        </w:rPr>
        <w:t>observed</w:t>
      </w:r>
      <w:r w:rsidRPr="00A60ECC">
        <w:rPr>
          <w:rFonts w:ascii="Arial" w:hAnsi="Arial" w:cs="Arial"/>
          <w:spacing w:val="-4"/>
        </w:rPr>
        <w:t xml:space="preserve"> </w:t>
      </w:r>
      <w:r w:rsidRPr="00A60ECC">
        <w:rPr>
          <w:rFonts w:ascii="Arial" w:hAnsi="Arial" w:cs="Arial"/>
        </w:rPr>
        <w:t>in</w:t>
      </w:r>
      <w:r w:rsidRPr="00A60ECC">
        <w:rPr>
          <w:rFonts w:ascii="Arial" w:hAnsi="Arial" w:cs="Arial"/>
          <w:spacing w:val="-5"/>
        </w:rPr>
        <w:t xml:space="preserve"> </w:t>
      </w:r>
      <w:r w:rsidRPr="00A60ECC">
        <w:rPr>
          <w:rFonts w:ascii="Arial" w:hAnsi="Arial" w:cs="Arial"/>
        </w:rPr>
        <w:t>our</w:t>
      </w:r>
      <w:r w:rsidRPr="00A60ECC">
        <w:rPr>
          <w:rFonts w:ascii="Arial" w:hAnsi="Arial" w:cs="Arial"/>
          <w:spacing w:val="-5"/>
        </w:rPr>
        <w:t xml:space="preserve"> </w:t>
      </w:r>
      <w:r w:rsidRPr="00A60ECC">
        <w:rPr>
          <w:rFonts w:ascii="Arial" w:hAnsi="Arial" w:cs="Arial"/>
        </w:rPr>
        <w:t>patient.</w:t>
      </w:r>
      <w:r w:rsidRPr="00A60ECC">
        <w:rPr>
          <w:rFonts w:ascii="Arial" w:hAnsi="Arial" w:cs="Arial"/>
          <w:spacing w:val="-6"/>
        </w:rPr>
        <w:t xml:space="preserve"> </w:t>
      </w:r>
      <w:r w:rsidRPr="00A60ECC">
        <w:rPr>
          <w:rFonts w:ascii="Arial" w:hAnsi="Arial" w:cs="Arial"/>
        </w:rPr>
        <w:t>These</w:t>
      </w:r>
      <w:r w:rsidRPr="00A60ECC">
        <w:rPr>
          <w:rFonts w:ascii="Arial" w:hAnsi="Arial" w:cs="Arial"/>
          <w:spacing w:val="-3"/>
        </w:rPr>
        <w:t xml:space="preserve"> </w:t>
      </w:r>
      <w:r w:rsidRPr="00A60ECC">
        <w:rPr>
          <w:rFonts w:ascii="Arial" w:hAnsi="Arial" w:cs="Arial"/>
        </w:rPr>
        <w:t>elements</w:t>
      </w:r>
      <w:r w:rsidRPr="00A60ECC">
        <w:rPr>
          <w:rFonts w:ascii="Arial" w:hAnsi="Arial" w:cs="Arial"/>
          <w:spacing w:val="-6"/>
        </w:rPr>
        <w:t xml:space="preserve"> </w:t>
      </w:r>
      <w:r w:rsidRPr="00A60ECC">
        <w:rPr>
          <w:rFonts w:ascii="Arial" w:hAnsi="Arial" w:cs="Arial"/>
        </w:rPr>
        <w:t>provide</w:t>
      </w:r>
      <w:r w:rsidRPr="00A60ECC">
        <w:rPr>
          <w:rFonts w:ascii="Arial" w:hAnsi="Arial" w:cs="Arial"/>
          <w:spacing w:val="-5"/>
        </w:rPr>
        <w:t xml:space="preserve"> </w:t>
      </w:r>
      <w:r w:rsidRPr="00A60ECC">
        <w:rPr>
          <w:rFonts w:ascii="Arial" w:hAnsi="Arial" w:cs="Arial"/>
        </w:rPr>
        <w:t>solid</w:t>
      </w:r>
      <w:r w:rsidRPr="00A60ECC">
        <w:rPr>
          <w:rFonts w:ascii="Arial" w:hAnsi="Arial" w:cs="Arial"/>
          <w:spacing w:val="-3"/>
        </w:rPr>
        <w:t xml:space="preserve"> </w:t>
      </w:r>
      <w:r w:rsidRPr="00A60ECC">
        <w:rPr>
          <w:rFonts w:ascii="Arial" w:hAnsi="Arial" w:cs="Arial"/>
        </w:rPr>
        <w:t>arguments</w:t>
      </w:r>
      <w:r w:rsidRPr="00A60ECC">
        <w:rPr>
          <w:rFonts w:ascii="Arial" w:hAnsi="Arial" w:cs="Arial"/>
          <w:spacing w:val="-8"/>
        </w:rPr>
        <w:t xml:space="preserve"> </w:t>
      </w:r>
      <w:r w:rsidRPr="00A60ECC">
        <w:rPr>
          <w:rFonts w:ascii="Arial" w:hAnsi="Arial" w:cs="Arial"/>
        </w:rPr>
        <w:t>for</w:t>
      </w:r>
      <w:r w:rsidRPr="00A60ECC">
        <w:rPr>
          <w:rFonts w:ascii="Arial" w:hAnsi="Arial" w:cs="Arial"/>
          <w:spacing w:val="-5"/>
        </w:rPr>
        <w:t xml:space="preserve"> </w:t>
      </w:r>
      <w:r w:rsidRPr="00A60ECC">
        <w:rPr>
          <w:rFonts w:ascii="Arial" w:hAnsi="Arial" w:cs="Arial"/>
        </w:rPr>
        <w:t>the pathogenicity of these variants, while highlighting the complexity of interpreting variants of uncertain significance in the context of neurodevelopmental disorders</w:t>
      </w:r>
      <w:r w:rsidRPr="00A60ECC">
        <w:rPr>
          <w:rFonts w:ascii="Arial" w:hAnsi="Arial" w:cs="Arial"/>
          <w:spacing w:val="-5"/>
        </w:rPr>
        <w:t xml:space="preserve"> </w:t>
      </w:r>
      <w:r w:rsidRPr="00A60ECC">
        <w:rPr>
          <w:rFonts w:ascii="Arial" w:hAnsi="Arial" w:cs="Arial"/>
          <w:vertAlign w:val="superscript"/>
        </w:rPr>
        <w:t>10</w:t>
      </w:r>
      <w:r w:rsidRPr="00A60ECC">
        <w:rPr>
          <w:rFonts w:ascii="Arial" w:hAnsi="Arial" w:cs="Arial"/>
        </w:rPr>
        <w:t>.</w:t>
      </w:r>
    </w:p>
    <w:p w14:paraId="534673D9"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lastRenderedPageBreak/>
        <w:t>The absence of functional data and the rarity of variants make pathogenicity assessment difficult. We suggest more functional studies to confirm the impact of these variants.</w:t>
      </w:r>
    </w:p>
    <w:p w14:paraId="50D731A9"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Patients carrying HIVEP2 or LINGO1 variants present variable phenotypes, making the establishment of clear genotype-phenotype correlations complicated. Detailed and standardized clinical description for each new case would improve understanding.</w:t>
      </w:r>
    </w:p>
    <w:p w14:paraId="6A98F476"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possibility of a combined effect of the two variants complicates interpretation. In silico modeling approaches or protein interaction studies could help evaluate this hypothesis.</w:t>
      </w:r>
    </w:p>
    <w:p w14:paraId="08E74B6E" w14:textId="77777777" w:rsidR="00A60ECC" w:rsidRPr="00A60ECC" w:rsidRDefault="00A60ECC" w:rsidP="00A60ECC">
      <w:pPr>
        <w:pStyle w:val="BodyText"/>
        <w:spacing w:before="159" w:line="259" w:lineRule="auto"/>
        <w:ind w:right="794"/>
        <w:jc w:val="both"/>
        <w:rPr>
          <w:rFonts w:ascii="Arial" w:hAnsi="Arial" w:cs="Arial"/>
        </w:rPr>
      </w:pPr>
      <w:r w:rsidRPr="00A60ECC">
        <w:rPr>
          <w:rFonts w:ascii="Arial" w:hAnsi="Arial" w:cs="Arial"/>
        </w:rPr>
        <w:t>The lack of data on the frequency of these variants in general and specific populations complicates pathogenicity assessment. Large-scale sequencing efforts in various populations are needed to refine our understanding of the genetic variability of these genes.</w:t>
      </w:r>
    </w:p>
    <w:p w14:paraId="2C457867" w14:textId="77777777" w:rsidR="00A60ECC" w:rsidRDefault="00A60ECC" w:rsidP="00441B6F">
      <w:pPr>
        <w:pStyle w:val="Body"/>
        <w:spacing w:after="0"/>
        <w:rPr>
          <w:rFonts w:ascii="Arial" w:hAnsi="Arial" w:cs="Arial"/>
        </w:rPr>
      </w:pPr>
    </w:p>
    <w:p w14:paraId="0028DF2A" w14:textId="77777777" w:rsidR="00A60ECC" w:rsidRPr="00080F6E" w:rsidRDefault="00A60ECC" w:rsidP="00A60ECC">
      <w:pPr>
        <w:pStyle w:val="BodyText"/>
        <w:spacing w:line="259" w:lineRule="auto"/>
        <w:ind w:left="28" w:right="34"/>
        <w:jc w:val="both"/>
        <w:rPr>
          <w:rFonts w:ascii="Arial" w:hAnsi="Arial" w:cs="Arial"/>
          <w:b/>
          <w:color w:val="000000"/>
        </w:rPr>
      </w:pPr>
      <w:r w:rsidRPr="00080F6E">
        <w:rPr>
          <w:rFonts w:ascii="Arial" w:hAnsi="Arial" w:cs="Arial"/>
          <w:b/>
          <w:color w:val="29251B"/>
          <w:spacing w:val="-6"/>
        </w:rPr>
        <w:t>Table</w:t>
      </w:r>
      <w:r w:rsidRPr="00080F6E">
        <w:rPr>
          <w:rFonts w:ascii="Arial" w:hAnsi="Arial" w:cs="Arial"/>
          <w:b/>
          <w:color w:val="29251B"/>
          <w:spacing w:val="-11"/>
        </w:rPr>
        <w:t xml:space="preserve"> </w:t>
      </w:r>
      <w:r w:rsidRPr="00080F6E">
        <w:rPr>
          <w:rFonts w:ascii="Arial" w:hAnsi="Arial" w:cs="Arial"/>
          <w:b/>
          <w:color w:val="29251B"/>
          <w:spacing w:val="-6"/>
        </w:rPr>
        <w:t>1.</w:t>
      </w:r>
      <w:r w:rsidRPr="00080F6E">
        <w:rPr>
          <w:rFonts w:ascii="Arial" w:hAnsi="Arial" w:cs="Arial"/>
          <w:b/>
          <w:color w:val="29251B"/>
          <w:spacing w:val="-7"/>
        </w:rPr>
        <w:t xml:space="preserve">     </w:t>
      </w:r>
      <w:r w:rsidRPr="00080F6E">
        <w:rPr>
          <w:rFonts w:ascii="Arial" w:hAnsi="Arial" w:cs="Arial"/>
          <w:b/>
          <w:color w:val="29251B"/>
          <w:spacing w:val="-6"/>
        </w:rPr>
        <w:t>Comparison</w:t>
      </w:r>
      <w:r w:rsidRPr="00080F6E">
        <w:rPr>
          <w:rFonts w:ascii="Arial" w:hAnsi="Arial" w:cs="Arial"/>
          <w:b/>
          <w:color w:val="29251B"/>
          <w:spacing w:val="-10"/>
        </w:rPr>
        <w:t xml:space="preserve"> </w:t>
      </w:r>
      <w:r w:rsidRPr="00080F6E">
        <w:rPr>
          <w:rFonts w:ascii="Arial" w:hAnsi="Arial" w:cs="Arial"/>
          <w:b/>
          <w:color w:val="29251B"/>
          <w:spacing w:val="-6"/>
        </w:rPr>
        <w:t>of</w:t>
      </w:r>
      <w:r w:rsidRPr="00080F6E">
        <w:rPr>
          <w:rFonts w:ascii="Arial" w:hAnsi="Arial" w:cs="Arial"/>
          <w:b/>
          <w:color w:val="29251B"/>
          <w:spacing w:val="-9"/>
        </w:rPr>
        <w:t xml:space="preserve"> </w:t>
      </w:r>
      <w:r w:rsidRPr="00080F6E">
        <w:rPr>
          <w:rFonts w:ascii="Arial" w:hAnsi="Arial" w:cs="Arial"/>
          <w:b/>
          <w:color w:val="29251B"/>
          <w:spacing w:val="-6"/>
        </w:rPr>
        <w:t>Clinical</w:t>
      </w:r>
      <w:r w:rsidRPr="00080F6E">
        <w:rPr>
          <w:rFonts w:ascii="Arial" w:hAnsi="Arial" w:cs="Arial"/>
          <w:b/>
          <w:color w:val="29251B"/>
          <w:spacing w:val="-9"/>
        </w:rPr>
        <w:t xml:space="preserve"> </w:t>
      </w:r>
      <w:r w:rsidRPr="00080F6E">
        <w:rPr>
          <w:rFonts w:ascii="Arial" w:hAnsi="Arial" w:cs="Arial"/>
          <w:b/>
          <w:color w:val="29251B"/>
          <w:spacing w:val="-6"/>
        </w:rPr>
        <w:t>Features</w:t>
      </w:r>
      <w:r w:rsidRPr="00080F6E">
        <w:rPr>
          <w:rFonts w:ascii="Arial" w:hAnsi="Arial" w:cs="Arial"/>
          <w:b/>
          <w:color w:val="29251B"/>
          <w:spacing w:val="-8"/>
        </w:rPr>
        <w:t xml:space="preserve"> </w:t>
      </w:r>
      <w:r w:rsidRPr="00080F6E">
        <w:rPr>
          <w:rFonts w:ascii="Arial" w:hAnsi="Arial" w:cs="Arial"/>
          <w:b/>
          <w:color w:val="29251B"/>
          <w:spacing w:val="-6"/>
        </w:rPr>
        <w:t>in</w:t>
      </w:r>
      <w:r w:rsidRPr="00080F6E">
        <w:rPr>
          <w:rFonts w:ascii="Arial" w:hAnsi="Arial" w:cs="Arial"/>
          <w:b/>
          <w:color w:val="29251B"/>
          <w:spacing w:val="-8"/>
        </w:rPr>
        <w:t xml:space="preserve"> </w:t>
      </w:r>
      <w:r w:rsidRPr="00080F6E">
        <w:rPr>
          <w:rFonts w:ascii="Arial" w:hAnsi="Arial" w:cs="Arial"/>
          <w:b/>
          <w:color w:val="29251B"/>
          <w:spacing w:val="-6"/>
        </w:rPr>
        <w:t>Our</w:t>
      </w:r>
      <w:r w:rsidRPr="00080F6E">
        <w:rPr>
          <w:rFonts w:ascii="Arial" w:hAnsi="Arial" w:cs="Arial"/>
          <w:b/>
          <w:color w:val="29251B"/>
          <w:spacing w:val="-10"/>
        </w:rPr>
        <w:t xml:space="preserve"> </w:t>
      </w:r>
      <w:r w:rsidRPr="00080F6E">
        <w:rPr>
          <w:rFonts w:ascii="Arial" w:hAnsi="Arial" w:cs="Arial"/>
          <w:b/>
          <w:color w:val="29251B"/>
          <w:spacing w:val="-6"/>
        </w:rPr>
        <w:t>Patient</w:t>
      </w:r>
      <w:r w:rsidRPr="00080F6E">
        <w:rPr>
          <w:rFonts w:ascii="Arial" w:hAnsi="Arial" w:cs="Arial"/>
          <w:b/>
          <w:color w:val="29251B"/>
          <w:spacing w:val="-9"/>
        </w:rPr>
        <w:t xml:space="preserve"> </w:t>
      </w:r>
      <w:r w:rsidRPr="00080F6E">
        <w:rPr>
          <w:rFonts w:ascii="Arial" w:hAnsi="Arial" w:cs="Arial"/>
          <w:b/>
          <w:color w:val="29251B"/>
          <w:spacing w:val="-6"/>
        </w:rPr>
        <w:t>with</w:t>
      </w:r>
      <w:r w:rsidRPr="00080F6E">
        <w:rPr>
          <w:rFonts w:ascii="Arial" w:hAnsi="Arial" w:cs="Arial"/>
          <w:b/>
          <w:color w:val="29251B"/>
          <w:spacing w:val="-10"/>
        </w:rPr>
        <w:t xml:space="preserve"> </w:t>
      </w:r>
      <w:r w:rsidRPr="00080F6E">
        <w:rPr>
          <w:rFonts w:ascii="Arial" w:hAnsi="Arial" w:cs="Arial"/>
          <w:b/>
          <w:color w:val="29251B"/>
          <w:spacing w:val="-6"/>
        </w:rPr>
        <w:t>HIVEP2</w:t>
      </w:r>
      <w:r w:rsidRPr="00080F6E">
        <w:rPr>
          <w:rFonts w:ascii="Arial" w:hAnsi="Arial" w:cs="Arial"/>
          <w:b/>
          <w:color w:val="29251B"/>
          <w:spacing w:val="-12"/>
        </w:rPr>
        <w:t xml:space="preserve"> </w:t>
      </w:r>
      <w:r w:rsidRPr="00080F6E">
        <w:rPr>
          <w:rFonts w:ascii="Arial" w:hAnsi="Arial" w:cs="Arial"/>
          <w:b/>
          <w:color w:val="29251B"/>
          <w:spacing w:val="-6"/>
        </w:rPr>
        <w:t>(n=17) and</w:t>
      </w:r>
      <w:r w:rsidRPr="00080F6E">
        <w:rPr>
          <w:rFonts w:ascii="Arial" w:hAnsi="Arial" w:cs="Arial"/>
          <w:b/>
          <w:color w:val="29251B"/>
          <w:spacing w:val="-7"/>
        </w:rPr>
        <w:t xml:space="preserve"> </w:t>
      </w:r>
      <w:r w:rsidRPr="00080F6E">
        <w:rPr>
          <w:rFonts w:ascii="Arial" w:hAnsi="Arial" w:cs="Arial"/>
          <w:b/>
          <w:color w:val="29251B"/>
          <w:spacing w:val="-6"/>
        </w:rPr>
        <w:t xml:space="preserve">LINGO1 </w:t>
      </w:r>
      <w:r w:rsidRPr="00080F6E">
        <w:rPr>
          <w:rFonts w:ascii="Arial" w:hAnsi="Arial" w:cs="Arial"/>
          <w:b/>
          <w:color w:val="29251B"/>
        </w:rPr>
        <w:t>(n=5) reported cases</w:t>
      </w:r>
    </w:p>
    <w:tbl>
      <w:tblPr>
        <w:tblStyle w:val="TableNormal1"/>
        <w:tblpPr w:leftFromText="141" w:rightFromText="141" w:vertAnchor="text" w:horzAnchor="margin" w:tblpXSpec="center" w:tblpY="244"/>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653"/>
        <w:gridCol w:w="1735"/>
        <w:gridCol w:w="1721"/>
        <w:gridCol w:w="2063"/>
      </w:tblGrid>
      <w:tr w:rsidR="00A60ECC" w:rsidRPr="00080F6E" w14:paraId="52D7FE69" w14:textId="77777777" w:rsidTr="00080F6E">
        <w:trPr>
          <w:trHeight w:val="477"/>
        </w:trPr>
        <w:tc>
          <w:tcPr>
            <w:tcW w:w="1848" w:type="dxa"/>
          </w:tcPr>
          <w:p w14:paraId="3B05F645" w14:textId="77777777" w:rsidR="00A60ECC" w:rsidRPr="00080F6E" w:rsidRDefault="00A60ECC" w:rsidP="008C0E2D">
            <w:pPr>
              <w:pStyle w:val="TableParagraph"/>
              <w:spacing w:before="153"/>
              <w:ind w:left="110"/>
              <w:rPr>
                <w:rFonts w:ascii="Arial" w:hAnsi="Arial" w:cs="Arial"/>
                <w:b/>
                <w:sz w:val="20"/>
                <w:szCs w:val="20"/>
              </w:rPr>
            </w:pPr>
            <w:r w:rsidRPr="00080F6E">
              <w:rPr>
                <w:rFonts w:ascii="Arial" w:hAnsi="Arial" w:cs="Arial"/>
                <w:b/>
                <w:sz w:val="20"/>
                <w:szCs w:val="20"/>
              </w:rPr>
              <w:t>Clinical</w:t>
            </w:r>
            <w:r w:rsidRPr="00080F6E">
              <w:rPr>
                <w:rFonts w:ascii="Arial" w:hAnsi="Arial" w:cs="Arial"/>
                <w:b/>
                <w:spacing w:val="1"/>
                <w:sz w:val="20"/>
                <w:szCs w:val="20"/>
              </w:rPr>
              <w:t xml:space="preserve"> </w:t>
            </w:r>
            <w:r w:rsidRPr="00080F6E">
              <w:rPr>
                <w:rFonts w:ascii="Arial" w:hAnsi="Arial" w:cs="Arial"/>
                <w:b/>
                <w:spacing w:val="-2"/>
                <w:sz w:val="20"/>
                <w:szCs w:val="20"/>
              </w:rPr>
              <w:t>Features</w:t>
            </w:r>
          </w:p>
        </w:tc>
        <w:tc>
          <w:tcPr>
            <w:tcW w:w="1653" w:type="dxa"/>
          </w:tcPr>
          <w:p w14:paraId="6EC58EC1" w14:textId="77777777" w:rsidR="00A60ECC" w:rsidRPr="00080F6E" w:rsidRDefault="00A60ECC" w:rsidP="008C0E2D">
            <w:pPr>
              <w:pStyle w:val="TableParagraph"/>
              <w:spacing w:before="153"/>
              <w:ind w:left="249"/>
              <w:rPr>
                <w:rFonts w:ascii="Arial" w:hAnsi="Arial" w:cs="Arial"/>
                <w:b/>
                <w:sz w:val="20"/>
                <w:szCs w:val="20"/>
              </w:rPr>
            </w:pPr>
            <w:r w:rsidRPr="00080F6E">
              <w:rPr>
                <w:rFonts w:ascii="Arial" w:hAnsi="Arial" w:cs="Arial"/>
                <w:b/>
                <w:sz w:val="20"/>
                <w:szCs w:val="20"/>
              </w:rPr>
              <w:t xml:space="preserve">Our </w:t>
            </w:r>
            <w:r w:rsidRPr="00080F6E">
              <w:rPr>
                <w:rFonts w:ascii="Arial" w:hAnsi="Arial" w:cs="Arial"/>
                <w:b/>
                <w:spacing w:val="-2"/>
                <w:sz w:val="20"/>
                <w:szCs w:val="20"/>
              </w:rPr>
              <w:t>Patient</w:t>
            </w:r>
          </w:p>
        </w:tc>
        <w:tc>
          <w:tcPr>
            <w:tcW w:w="1735" w:type="dxa"/>
          </w:tcPr>
          <w:p w14:paraId="2C027A99" w14:textId="77777777" w:rsidR="00A60ECC" w:rsidRPr="00080F6E" w:rsidRDefault="00A60ECC" w:rsidP="008C0E2D">
            <w:pPr>
              <w:pStyle w:val="TableParagraph"/>
              <w:spacing w:before="13"/>
              <w:ind w:left="407"/>
              <w:rPr>
                <w:rFonts w:ascii="Arial" w:hAnsi="Arial" w:cs="Arial"/>
                <w:b/>
                <w:sz w:val="20"/>
                <w:szCs w:val="20"/>
              </w:rPr>
            </w:pPr>
            <w:r w:rsidRPr="00080F6E">
              <w:rPr>
                <w:rFonts w:ascii="Arial" w:hAnsi="Arial" w:cs="Arial"/>
                <w:b/>
                <w:spacing w:val="-2"/>
                <w:sz w:val="20"/>
                <w:szCs w:val="20"/>
              </w:rPr>
              <w:t>HIVEP2</w:t>
            </w:r>
          </w:p>
          <w:p w14:paraId="76261C6A" w14:textId="77777777" w:rsidR="00A60ECC" w:rsidRPr="00080F6E" w:rsidRDefault="00A60ECC" w:rsidP="008C0E2D">
            <w:pPr>
              <w:pStyle w:val="TableParagraph"/>
              <w:spacing w:before="0" w:line="271" w:lineRule="exact"/>
              <w:ind w:left="313"/>
              <w:rPr>
                <w:rFonts w:ascii="Arial" w:hAnsi="Arial" w:cs="Arial"/>
                <w:b/>
                <w:sz w:val="20"/>
                <w:szCs w:val="20"/>
              </w:rPr>
            </w:pPr>
            <w:r w:rsidRPr="00080F6E">
              <w:rPr>
                <w:rFonts w:ascii="Arial" w:hAnsi="Arial" w:cs="Arial"/>
                <w:b/>
                <w:spacing w:val="-2"/>
                <w:sz w:val="20"/>
                <w:szCs w:val="20"/>
              </w:rPr>
              <w:t>Literature</w:t>
            </w:r>
          </w:p>
        </w:tc>
        <w:tc>
          <w:tcPr>
            <w:tcW w:w="1721" w:type="dxa"/>
          </w:tcPr>
          <w:p w14:paraId="2F1D10BC" w14:textId="77777777" w:rsidR="00A60ECC" w:rsidRPr="00080F6E" w:rsidRDefault="00A60ECC" w:rsidP="008C0E2D">
            <w:pPr>
              <w:pStyle w:val="TableParagraph"/>
              <w:spacing w:before="13"/>
              <w:ind w:left="378"/>
              <w:rPr>
                <w:rFonts w:ascii="Arial" w:hAnsi="Arial" w:cs="Arial"/>
                <w:b/>
                <w:sz w:val="20"/>
                <w:szCs w:val="20"/>
              </w:rPr>
            </w:pPr>
            <w:r w:rsidRPr="00080F6E">
              <w:rPr>
                <w:rFonts w:ascii="Arial" w:hAnsi="Arial" w:cs="Arial"/>
                <w:b/>
                <w:spacing w:val="-2"/>
                <w:sz w:val="20"/>
                <w:szCs w:val="20"/>
              </w:rPr>
              <w:t>LINGO1</w:t>
            </w:r>
          </w:p>
          <w:p w14:paraId="0917CA73" w14:textId="77777777" w:rsidR="00A60ECC" w:rsidRPr="00080F6E" w:rsidRDefault="00A60ECC" w:rsidP="008C0E2D">
            <w:pPr>
              <w:pStyle w:val="TableParagraph"/>
              <w:spacing w:before="0" w:line="271" w:lineRule="exact"/>
              <w:ind w:left="303"/>
              <w:rPr>
                <w:rFonts w:ascii="Arial" w:hAnsi="Arial" w:cs="Arial"/>
                <w:b/>
                <w:sz w:val="20"/>
                <w:szCs w:val="20"/>
              </w:rPr>
            </w:pPr>
            <w:r w:rsidRPr="00080F6E">
              <w:rPr>
                <w:rFonts w:ascii="Arial" w:hAnsi="Arial" w:cs="Arial"/>
                <w:b/>
                <w:spacing w:val="-2"/>
                <w:sz w:val="20"/>
                <w:szCs w:val="20"/>
              </w:rPr>
              <w:t>Literature</w:t>
            </w:r>
          </w:p>
        </w:tc>
        <w:tc>
          <w:tcPr>
            <w:tcW w:w="2063" w:type="dxa"/>
          </w:tcPr>
          <w:p w14:paraId="70BE628F" w14:textId="77777777" w:rsidR="00A60ECC" w:rsidRPr="00080F6E" w:rsidRDefault="00A60ECC" w:rsidP="008C0E2D">
            <w:pPr>
              <w:pStyle w:val="TableParagraph"/>
              <w:spacing w:before="153"/>
              <w:ind w:left="443"/>
              <w:rPr>
                <w:rFonts w:ascii="Arial" w:hAnsi="Arial" w:cs="Arial"/>
                <w:b/>
                <w:sz w:val="20"/>
                <w:szCs w:val="20"/>
              </w:rPr>
            </w:pPr>
            <w:r w:rsidRPr="00080F6E">
              <w:rPr>
                <w:rFonts w:ascii="Arial" w:hAnsi="Arial" w:cs="Arial"/>
                <w:b/>
                <w:spacing w:val="-2"/>
                <w:sz w:val="20"/>
                <w:szCs w:val="20"/>
              </w:rPr>
              <w:t>References</w:t>
            </w:r>
          </w:p>
        </w:tc>
      </w:tr>
      <w:tr w:rsidR="00A60ECC" w:rsidRPr="00080F6E" w14:paraId="7FCBD1C1" w14:textId="77777777" w:rsidTr="00080F6E">
        <w:trPr>
          <w:trHeight w:val="479"/>
        </w:trPr>
        <w:tc>
          <w:tcPr>
            <w:tcW w:w="1848" w:type="dxa"/>
          </w:tcPr>
          <w:p w14:paraId="4347E2BA"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Psychomotor</w:t>
            </w:r>
            <w:r w:rsidRPr="00080F6E">
              <w:rPr>
                <w:rFonts w:ascii="Arial" w:hAnsi="Arial" w:cs="Arial"/>
                <w:spacing w:val="-6"/>
                <w:sz w:val="20"/>
                <w:szCs w:val="20"/>
              </w:rPr>
              <w:t xml:space="preserve"> </w:t>
            </w:r>
            <w:r w:rsidRPr="00080F6E">
              <w:rPr>
                <w:rFonts w:ascii="Arial" w:hAnsi="Arial" w:cs="Arial"/>
                <w:spacing w:val="-4"/>
                <w:sz w:val="20"/>
                <w:szCs w:val="20"/>
              </w:rPr>
              <w:t>delay</w:t>
            </w:r>
          </w:p>
        </w:tc>
        <w:tc>
          <w:tcPr>
            <w:tcW w:w="1653" w:type="dxa"/>
          </w:tcPr>
          <w:p w14:paraId="37D1D895"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severe</w:t>
            </w:r>
          </w:p>
        </w:tc>
        <w:tc>
          <w:tcPr>
            <w:tcW w:w="1735" w:type="dxa"/>
          </w:tcPr>
          <w:p w14:paraId="086E8BE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13F999C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698D02A4" w14:textId="77777777" w:rsidR="00A60ECC" w:rsidRPr="00080F6E" w:rsidRDefault="00A60ECC" w:rsidP="008C0E2D">
            <w:pPr>
              <w:pStyle w:val="TableParagraph"/>
              <w:spacing w:before="11"/>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61AB32E1" w14:textId="77777777" w:rsidR="00A60ECC" w:rsidRPr="00080F6E" w:rsidRDefault="00A60ECC" w:rsidP="008C0E2D">
            <w:pPr>
              <w:pStyle w:val="TableParagraph"/>
              <w:spacing w:before="0"/>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CD149F0" w14:textId="77777777" w:rsidTr="00080F6E">
        <w:trPr>
          <w:trHeight w:val="479"/>
        </w:trPr>
        <w:tc>
          <w:tcPr>
            <w:tcW w:w="1848" w:type="dxa"/>
          </w:tcPr>
          <w:p w14:paraId="493AC828"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Hypotonia</w:t>
            </w:r>
          </w:p>
        </w:tc>
        <w:tc>
          <w:tcPr>
            <w:tcW w:w="1653" w:type="dxa"/>
          </w:tcPr>
          <w:p w14:paraId="6F1D87DC"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5"/>
                <w:sz w:val="20"/>
                <w:szCs w:val="20"/>
              </w:rPr>
              <w:t xml:space="preserve"> </w:t>
            </w:r>
            <w:r w:rsidRPr="00080F6E">
              <w:rPr>
                <w:rFonts w:ascii="Arial" w:hAnsi="Arial" w:cs="Arial"/>
                <w:spacing w:val="-2"/>
                <w:sz w:val="20"/>
                <w:szCs w:val="20"/>
              </w:rPr>
              <w:t>axial</w:t>
            </w:r>
          </w:p>
        </w:tc>
        <w:tc>
          <w:tcPr>
            <w:tcW w:w="1735" w:type="dxa"/>
          </w:tcPr>
          <w:p w14:paraId="5AF20140"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11/17 </w:t>
            </w:r>
            <w:r w:rsidRPr="00080F6E">
              <w:rPr>
                <w:rFonts w:ascii="Arial" w:hAnsi="Arial" w:cs="Arial"/>
                <w:spacing w:val="-2"/>
                <w:sz w:val="20"/>
                <w:szCs w:val="20"/>
              </w:rPr>
              <w:t>(65%)</w:t>
            </w:r>
          </w:p>
        </w:tc>
        <w:tc>
          <w:tcPr>
            <w:tcW w:w="1721" w:type="dxa"/>
          </w:tcPr>
          <w:p w14:paraId="1126D7AF"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1A2D097A"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6]</w:t>
            </w:r>
          </w:p>
        </w:tc>
      </w:tr>
      <w:tr w:rsidR="00A60ECC" w:rsidRPr="00080F6E" w14:paraId="1191DAD6" w14:textId="77777777" w:rsidTr="00080F6E">
        <w:trPr>
          <w:trHeight w:val="477"/>
        </w:trPr>
        <w:tc>
          <w:tcPr>
            <w:tcW w:w="1848" w:type="dxa"/>
          </w:tcPr>
          <w:p w14:paraId="140E5402"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Epilepsy</w:t>
            </w:r>
          </w:p>
        </w:tc>
        <w:tc>
          <w:tcPr>
            <w:tcW w:w="1653" w:type="dxa"/>
          </w:tcPr>
          <w:p w14:paraId="04B97FB6" w14:textId="77777777" w:rsidR="00A60ECC" w:rsidRPr="00080F6E" w:rsidRDefault="00A60ECC" w:rsidP="008C0E2D">
            <w:pPr>
              <w:pStyle w:val="TableParagraph"/>
              <w:spacing w:before="8" w:line="270" w:lineRule="atLeast"/>
              <w:ind w:left="16" w:right="33"/>
              <w:rPr>
                <w:rFonts w:ascii="Arial" w:hAnsi="Arial" w:cs="Arial"/>
                <w:sz w:val="20"/>
                <w:szCs w:val="20"/>
              </w:rPr>
            </w:pPr>
            <w:r w:rsidRPr="00080F6E">
              <w:rPr>
                <w:rFonts w:ascii="Arial" w:hAnsi="Arial" w:cs="Arial"/>
                <w:sz w:val="20"/>
                <w:szCs w:val="20"/>
              </w:rPr>
              <w:t>Present,</w:t>
            </w:r>
            <w:r w:rsidRPr="00080F6E">
              <w:rPr>
                <w:rFonts w:ascii="Arial" w:hAnsi="Arial" w:cs="Arial"/>
                <w:spacing w:val="-15"/>
                <w:sz w:val="20"/>
                <w:szCs w:val="20"/>
              </w:rPr>
              <w:t xml:space="preserve"> </w:t>
            </w:r>
            <w:r w:rsidRPr="00080F6E">
              <w:rPr>
                <w:rFonts w:ascii="Arial" w:hAnsi="Arial" w:cs="Arial"/>
                <w:sz w:val="20"/>
                <w:szCs w:val="20"/>
              </w:rPr>
              <w:t xml:space="preserve">complex </w:t>
            </w:r>
            <w:r w:rsidRPr="00080F6E">
              <w:rPr>
                <w:rFonts w:ascii="Arial" w:hAnsi="Arial" w:cs="Arial"/>
                <w:spacing w:val="-2"/>
                <w:sz w:val="20"/>
                <w:szCs w:val="20"/>
              </w:rPr>
              <w:t>focal</w:t>
            </w:r>
          </w:p>
        </w:tc>
        <w:tc>
          <w:tcPr>
            <w:tcW w:w="1735" w:type="dxa"/>
          </w:tcPr>
          <w:p w14:paraId="5B651852"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5/17 </w:t>
            </w:r>
            <w:r w:rsidRPr="00080F6E">
              <w:rPr>
                <w:rFonts w:ascii="Arial" w:hAnsi="Arial" w:cs="Arial"/>
                <w:spacing w:val="-2"/>
                <w:sz w:val="20"/>
                <w:szCs w:val="20"/>
              </w:rPr>
              <w:t>(29%)</w:t>
            </w:r>
          </w:p>
        </w:tc>
        <w:tc>
          <w:tcPr>
            <w:tcW w:w="1721" w:type="dxa"/>
          </w:tcPr>
          <w:p w14:paraId="5062EC43"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1/5 </w:t>
            </w:r>
            <w:r w:rsidRPr="00080F6E">
              <w:rPr>
                <w:rFonts w:ascii="Arial" w:hAnsi="Arial" w:cs="Arial"/>
                <w:spacing w:val="-2"/>
                <w:sz w:val="20"/>
                <w:szCs w:val="20"/>
              </w:rPr>
              <w:t>(20%)</w:t>
            </w:r>
          </w:p>
        </w:tc>
        <w:tc>
          <w:tcPr>
            <w:tcW w:w="2063" w:type="dxa"/>
          </w:tcPr>
          <w:p w14:paraId="7E0EA472" w14:textId="77777777" w:rsidR="00A60ECC" w:rsidRPr="00080F6E" w:rsidRDefault="00A60ECC" w:rsidP="008C0E2D">
            <w:pPr>
              <w:pStyle w:val="TableParagraph"/>
              <w:spacing w:before="8"/>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6];</w:t>
            </w:r>
          </w:p>
          <w:p w14:paraId="12C7AF04" w14:textId="77777777" w:rsidR="00A60ECC" w:rsidRPr="00080F6E" w:rsidRDefault="00A60ECC" w:rsidP="008C0E2D">
            <w:pPr>
              <w:pStyle w:val="TableParagraph"/>
              <w:spacing w:before="0"/>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5"/>
                <w:sz w:val="20"/>
                <w:szCs w:val="20"/>
              </w:rPr>
              <w:t>[2]</w:t>
            </w:r>
          </w:p>
        </w:tc>
      </w:tr>
      <w:tr w:rsidR="00A60ECC" w:rsidRPr="00080F6E" w14:paraId="621E790C" w14:textId="77777777" w:rsidTr="00080F6E">
        <w:trPr>
          <w:trHeight w:val="479"/>
        </w:trPr>
        <w:tc>
          <w:tcPr>
            <w:tcW w:w="1848" w:type="dxa"/>
          </w:tcPr>
          <w:p w14:paraId="238507EE"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Language</w:t>
            </w:r>
            <w:r w:rsidRPr="00080F6E">
              <w:rPr>
                <w:rFonts w:ascii="Arial" w:hAnsi="Arial" w:cs="Arial"/>
                <w:spacing w:val="-6"/>
                <w:sz w:val="20"/>
                <w:szCs w:val="20"/>
              </w:rPr>
              <w:t xml:space="preserve"> </w:t>
            </w:r>
            <w:r w:rsidRPr="00080F6E">
              <w:rPr>
                <w:rFonts w:ascii="Arial" w:hAnsi="Arial" w:cs="Arial"/>
                <w:spacing w:val="-2"/>
                <w:sz w:val="20"/>
                <w:szCs w:val="20"/>
              </w:rPr>
              <w:t>delay</w:t>
            </w:r>
          </w:p>
        </w:tc>
        <w:tc>
          <w:tcPr>
            <w:tcW w:w="1653" w:type="dxa"/>
          </w:tcPr>
          <w:p w14:paraId="418DF42D" w14:textId="77777777" w:rsidR="00A60ECC" w:rsidRPr="00080F6E" w:rsidRDefault="00A60ECC" w:rsidP="008C0E2D">
            <w:pPr>
              <w:pStyle w:val="TableParagraph"/>
              <w:spacing w:before="11" w:line="270" w:lineRule="atLeast"/>
              <w:ind w:left="16"/>
              <w:rPr>
                <w:rFonts w:ascii="Arial" w:hAnsi="Arial" w:cs="Arial"/>
                <w:sz w:val="20"/>
                <w:szCs w:val="20"/>
              </w:rPr>
            </w:pPr>
            <w:r w:rsidRPr="00080F6E">
              <w:rPr>
                <w:rFonts w:ascii="Arial" w:hAnsi="Arial" w:cs="Arial"/>
                <w:spacing w:val="-2"/>
                <w:sz w:val="20"/>
                <w:szCs w:val="20"/>
              </w:rPr>
              <w:t>Severe, monosyllabic</w:t>
            </w:r>
          </w:p>
        </w:tc>
        <w:tc>
          <w:tcPr>
            <w:tcW w:w="1735" w:type="dxa"/>
          </w:tcPr>
          <w:p w14:paraId="7DDD3D75"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2B8BACEA"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287546C7" w14:textId="77777777" w:rsidR="00A60ECC" w:rsidRPr="00080F6E" w:rsidRDefault="00A60ECC" w:rsidP="008C0E2D">
            <w:pPr>
              <w:pStyle w:val="TableParagraph"/>
              <w:spacing w:before="11"/>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36291BDB" w14:textId="77777777" w:rsidR="00A60ECC" w:rsidRPr="00080F6E" w:rsidRDefault="00A60ECC" w:rsidP="008C0E2D">
            <w:pPr>
              <w:pStyle w:val="TableParagraph"/>
              <w:spacing w:before="0"/>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18580D15" w14:textId="77777777" w:rsidTr="00080F6E">
        <w:trPr>
          <w:trHeight w:val="479"/>
        </w:trPr>
        <w:tc>
          <w:tcPr>
            <w:tcW w:w="1848" w:type="dxa"/>
          </w:tcPr>
          <w:p w14:paraId="4616AF0E"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z w:val="20"/>
                <w:szCs w:val="20"/>
              </w:rPr>
              <w:t>Limb</w:t>
            </w:r>
            <w:r w:rsidRPr="00080F6E">
              <w:rPr>
                <w:rFonts w:ascii="Arial" w:hAnsi="Arial" w:cs="Arial"/>
                <w:spacing w:val="-3"/>
                <w:sz w:val="20"/>
                <w:szCs w:val="20"/>
              </w:rPr>
              <w:t xml:space="preserve"> </w:t>
            </w:r>
            <w:r w:rsidRPr="00080F6E">
              <w:rPr>
                <w:rFonts w:ascii="Arial" w:hAnsi="Arial" w:cs="Arial"/>
                <w:spacing w:val="-2"/>
                <w:sz w:val="20"/>
                <w:szCs w:val="20"/>
              </w:rPr>
              <w:t>spasticity</w:t>
            </w:r>
          </w:p>
        </w:tc>
        <w:tc>
          <w:tcPr>
            <w:tcW w:w="1653" w:type="dxa"/>
          </w:tcPr>
          <w:p w14:paraId="6F4682ED" w14:textId="77777777" w:rsidR="00A60ECC" w:rsidRPr="00080F6E" w:rsidRDefault="00A60ECC" w:rsidP="008C0E2D">
            <w:pPr>
              <w:pStyle w:val="TableParagraph"/>
              <w:spacing w:before="8"/>
              <w:ind w:left="16" w:right="293"/>
              <w:rPr>
                <w:rFonts w:ascii="Arial" w:hAnsi="Arial" w:cs="Arial"/>
                <w:sz w:val="20"/>
                <w:szCs w:val="20"/>
              </w:rPr>
            </w:pPr>
            <w:r w:rsidRPr="00080F6E">
              <w:rPr>
                <w:rFonts w:ascii="Arial" w:hAnsi="Arial" w:cs="Arial"/>
                <w:sz w:val="20"/>
                <w:szCs w:val="20"/>
              </w:rPr>
              <w:t>Present</w:t>
            </w:r>
            <w:r w:rsidRPr="00080F6E">
              <w:rPr>
                <w:rFonts w:ascii="Arial" w:hAnsi="Arial" w:cs="Arial"/>
                <w:spacing w:val="-15"/>
                <w:sz w:val="20"/>
                <w:szCs w:val="20"/>
              </w:rPr>
              <w:t xml:space="preserve"> </w:t>
            </w:r>
            <w:r w:rsidRPr="00080F6E">
              <w:rPr>
                <w:rFonts w:ascii="Arial" w:hAnsi="Arial" w:cs="Arial"/>
                <w:sz w:val="20"/>
                <w:szCs w:val="20"/>
              </w:rPr>
              <w:t xml:space="preserve">(upper </w:t>
            </w:r>
            <w:r w:rsidRPr="00080F6E">
              <w:rPr>
                <w:rFonts w:ascii="Arial" w:hAnsi="Arial" w:cs="Arial"/>
                <w:spacing w:val="-2"/>
                <w:sz w:val="20"/>
                <w:szCs w:val="20"/>
              </w:rPr>
              <w:t>limbs)</w:t>
            </w:r>
          </w:p>
        </w:tc>
        <w:tc>
          <w:tcPr>
            <w:tcW w:w="1735" w:type="dxa"/>
          </w:tcPr>
          <w:p w14:paraId="7F19ABF0"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3/17 </w:t>
            </w:r>
            <w:r w:rsidRPr="00080F6E">
              <w:rPr>
                <w:rFonts w:ascii="Arial" w:hAnsi="Arial" w:cs="Arial"/>
                <w:spacing w:val="-2"/>
                <w:sz w:val="20"/>
                <w:szCs w:val="20"/>
              </w:rPr>
              <w:t>(18%)</w:t>
            </w:r>
          </w:p>
        </w:tc>
        <w:tc>
          <w:tcPr>
            <w:tcW w:w="1721" w:type="dxa"/>
          </w:tcPr>
          <w:p w14:paraId="16E6217B"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159F38F0"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5]</w:t>
            </w:r>
          </w:p>
        </w:tc>
      </w:tr>
      <w:tr w:rsidR="00A60ECC" w:rsidRPr="00080F6E" w14:paraId="527DBFA9" w14:textId="77777777" w:rsidTr="00080F6E">
        <w:trPr>
          <w:trHeight w:val="478"/>
        </w:trPr>
        <w:tc>
          <w:tcPr>
            <w:tcW w:w="1848" w:type="dxa"/>
          </w:tcPr>
          <w:p w14:paraId="04FA9375" w14:textId="77777777" w:rsidR="00A60ECC" w:rsidRPr="00080F6E" w:rsidRDefault="00A60ECC" w:rsidP="008C0E2D">
            <w:pPr>
              <w:pStyle w:val="TableParagraph"/>
              <w:spacing w:before="9" w:line="270" w:lineRule="atLeast"/>
              <w:ind w:left="14" w:right="840"/>
              <w:rPr>
                <w:rFonts w:ascii="Arial" w:hAnsi="Arial" w:cs="Arial"/>
                <w:sz w:val="20"/>
                <w:szCs w:val="20"/>
              </w:rPr>
            </w:pPr>
            <w:r w:rsidRPr="00080F6E">
              <w:rPr>
                <w:rFonts w:ascii="Arial" w:hAnsi="Arial" w:cs="Arial"/>
                <w:spacing w:val="-2"/>
                <w:sz w:val="20"/>
                <w:szCs w:val="20"/>
              </w:rPr>
              <w:t>Intellectual disability</w:t>
            </w:r>
          </w:p>
        </w:tc>
        <w:tc>
          <w:tcPr>
            <w:tcW w:w="1653" w:type="dxa"/>
          </w:tcPr>
          <w:p w14:paraId="1BF7A528" w14:textId="77777777" w:rsidR="00A60ECC" w:rsidRPr="00080F6E" w:rsidRDefault="00A60ECC" w:rsidP="008C0E2D">
            <w:pPr>
              <w:pStyle w:val="TableParagraph"/>
              <w:spacing w:before="146"/>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severe</w:t>
            </w:r>
          </w:p>
        </w:tc>
        <w:tc>
          <w:tcPr>
            <w:tcW w:w="1735" w:type="dxa"/>
          </w:tcPr>
          <w:p w14:paraId="0687A51C" w14:textId="77777777" w:rsidR="00A60ECC" w:rsidRPr="00080F6E" w:rsidRDefault="00A60ECC" w:rsidP="008C0E2D">
            <w:pPr>
              <w:pStyle w:val="TableParagraph"/>
              <w:spacing w:before="146"/>
              <w:ind w:left="15"/>
              <w:rPr>
                <w:rFonts w:ascii="Arial" w:hAnsi="Arial" w:cs="Arial"/>
                <w:sz w:val="20"/>
                <w:szCs w:val="20"/>
              </w:rPr>
            </w:pPr>
            <w:r w:rsidRPr="00080F6E">
              <w:rPr>
                <w:rFonts w:ascii="Arial" w:hAnsi="Arial" w:cs="Arial"/>
                <w:sz w:val="20"/>
                <w:szCs w:val="20"/>
              </w:rPr>
              <w:t xml:space="preserve">17/17 </w:t>
            </w:r>
            <w:r w:rsidRPr="00080F6E">
              <w:rPr>
                <w:rFonts w:ascii="Arial" w:hAnsi="Arial" w:cs="Arial"/>
                <w:spacing w:val="-2"/>
                <w:sz w:val="20"/>
                <w:szCs w:val="20"/>
              </w:rPr>
              <w:t>(100%)</w:t>
            </w:r>
          </w:p>
        </w:tc>
        <w:tc>
          <w:tcPr>
            <w:tcW w:w="1721" w:type="dxa"/>
          </w:tcPr>
          <w:p w14:paraId="1CD5D1C8" w14:textId="77777777" w:rsidR="00A60ECC" w:rsidRPr="00080F6E" w:rsidRDefault="00A60ECC" w:rsidP="008C0E2D">
            <w:pPr>
              <w:pStyle w:val="TableParagraph"/>
              <w:spacing w:before="146"/>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51DD9862" w14:textId="77777777" w:rsidR="00A60ECC" w:rsidRPr="00080F6E" w:rsidRDefault="00A60ECC" w:rsidP="008C0E2D">
            <w:pPr>
              <w:pStyle w:val="TableParagraph"/>
              <w:spacing w:before="9"/>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7];</w:t>
            </w:r>
          </w:p>
          <w:p w14:paraId="3D2BC051" w14:textId="77777777" w:rsidR="00A60ECC" w:rsidRPr="00080F6E" w:rsidRDefault="00A60ECC" w:rsidP="008C0E2D">
            <w:pPr>
              <w:pStyle w:val="TableParagraph"/>
              <w:spacing w:before="0"/>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ACDC8D4" w14:textId="77777777" w:rsidTr="00080F6E">
        <w:trPr>
          <w:trHeight w:val="479"/>
        </w:trPr>
        <w:tc>
          <w:tcPr>
            <w:tcW w:w="1848" w:type="dxa"/>
          </w:tcPr>
          <w:p w14:paraId="3D2EA73D" w14:textId="77777777" w:rsidR="00A60ECC" w:rsidRPr="00080F6E" w:rsidRDefault="00A60ECC" w:rsidP="008C0E2D">
            <w:pPr>
              <w:pStyle w:val="TableParagraph"/>
              <w:spacing w:before="147"/>
              <w:ind w:left="14"/>
              <w:rPr>
                <w:rFonts w:ascii="Arial" w:hAnsi="Arial" w:cs="Arial"/>
                <w:sz w:val="20"/>
                <w:szCs w:val="20"/>
              </w:rPr>
            </w:pPr>
            <w:r w:rsidRPr="00080F6E">
              <w:rPr>
                <w:rFonts w:ascii="Arial" w:hAnsi="Arial" w:cs="Arial"/>
                <w:spacing w:val="-2"/>
                <w:sz w:val="20"/>
                <w:szCs w:val="20"/>
              </w:rPr>
              <w:t>Microcephaly</w:t>
            </w:r>
          </w:p>
        </w:tc>
        <w:tc>
          <w:tcPr>
            <w:tcW w:w="1653" w:type="dxa"/>
          </w:tcPr>
          <w:p w14:paraId="41D297C4"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 xml:space="preserve">Not </w:t>
            </w:r>
            <w:r w:rsidRPr="00080F6E">
              <w:rPr>
                <w:rFonts w:ascii="Arial" w:hAnsi="Arial" w:cs="Arial"/>
                <w:spacing w:val="-2"/>
                <w:sz w:val="20"/>
                <w:szCs w:val="20"/>
              </w:rPr>
              <w:t>reported</w:t>
            </w:r>
          </w:p>
        </w:tc>
        <w:tc>
          <w:tcPr>
            <w:tcW w:w="1735" w:type="dxa"/>
          </w:tcPr>
          <w:p w14:paraId="4715146B"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1721" w:type="dxa"/>
          </w:tcPr>
          <w:p w14:paraId="0EBD1B06"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4/5 </w:t>
            </w:r>
            <w:r w:rsidRPr="00080F6E">
              <w:rPr>
                <w:rFonts w:ascii="Arial" w:hAnsi="Arial" w:cs="Arial"/>
                <w:spacing w:val="-2"/>
                <w:sz w:val="20"/>
                <w:szCs w:val="20"/>
              </w:rPr>
              <w:t>(80%)</w:t>
            </w:r>
          </w:p>
        </w:tc>
        <w:tc>
          <w:tcPr>
            <w:tcW w:w="2063" w:type="dxa"/>
          </w:tcPr>
          <w:p w14:paraId="07C279F8"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4EE0785B" w14:textId="77777777" w:rsidTr="00080F6E">
        <w:trPr>
          <w:trHeight w:val="479"/>
        </w:trPr>
        <w:tc>
          <w:tcPr>
            <w:tcW w:w="1848" w:type="dxa"/>
          </w:tcPr>
          <w:p w14:paraId="539E4D86" w14:textId="77777777" w:rsidR="00A60ECC" w:rsidRPr="00080F6E" w:rsidRDefault="00A60ECC" w:rsidP="008C0E2D">
            <w:pPr>
              <w:pStyle w:val="TableParagraph"/>
              <w:spacing w:before="8"/>
              <w:ind w:left="14" w:right="840"/>
              <w:rPr>
                <w:rFonts w:ascii="Arial" w:hAnsi="Arial" w:cs="Arial"/>
                <w:sz w:val="20"/>
                <w:szCs w:val="20"/>
              </w:rPr>
            </w:pPr>
            <w:r w:rsidRPr="00080F6E">
              <w:rPr>
                <w:rFonts w:ascii="Arial" w:hAnsi="Arial" w:cs="Arial"/>
                <w:spacing w:val="-2"/>
                <w:sz w:val="20"/>
                <w:szCs w:val="20"/>
              </w:rPr>
              <w:t>Aggressive behavior</w:t>
            </w:r>
          </w:p>
        </w:tc>
        <w:tc>
          <w:tcPr>
            <w:tcW w:w="1653" w:type="dxa"/>
          </w:tcPr>
          <w:p w14:paraId="7B10E5B8"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 xml:space="preserve">Not </w:t>
            </w:r>
            <w:r w:rsidRPr="00080F6E">
              <w:rPr>
                <w:rFonts w:ascii="Arial" w:hAnsi="Arial" w:cs="Arial"/>
                <w:spacing w:val="-2"/>
                <w:sz w:val="20"/>
                <w:szCs w:val="20"/>
              </w:rPr>
              <w:t>reported</w:t>
            </w:r>
          </w:p>
        </w:tc>
        <w:tc>
          <w:tcPr>
            <w:tcW w:w="1735" w:type="dxa"/>
          </w:tcPr>
          <w:p w14:paraId="5249AE17" w14:textId="77777777" w:rsidR="00A60ECC" w:rsidRPr="00080F6E" w:rsidRDefault="00A60ECC" w:rsidP="008C0E2D">
            <w:pPr>
              <w:pStyle w:val="TableParagraph"/>
              <w:spacing w:before="8"/>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1721" w:type="dxa"/>
          </w:tcPr>
          <w:p w14:paraId="6FA89812" w14:textId="77777777" w:rsidR="00A60ECC" w:rsidRPr="00080F6E" w:rsidRDefault="00A60ECC" w:rsidP="008C0E2D">
            <w:pPr>
              <w:pStyle w:val="TableParagraph"/>
              <w:spacing w:before="147"/>
              <w:ind w:left="15"/>
              <w:rPr>
                <w:rFonts w:ascii="Arial" w:hAnsi="Arial" w:cs="Arial"/>
                <w:sz w:val="20"/>
                <w:szCs w:val="20"/>
              </w:rPr>
            </w:pPr>
            <w:r w:rsidRPr="00080F6E">
              <w:rPr>
                <w:rFonts w:ascii="Arial" w:hAnsi="Arial" w:cs="Arial"/>
                <w:sz w:val="20"/>
                <w:szCs w:val="20"/>
              </w:rPr>
              <w:t xml:space="preserve">5/5 </w:t>
            </w:r>
            <w:r w:rsidRPr="00080F6E">
              <w:rPr>
                <w:rFonts w:ascii="Arial" w:hAnsi="Arial" w:cs="Arial"/>
                <w:spacing w:val="-2"/>
                <w:sz w:val="20"/>
                <w:szCs w:val="20"/>
              </w:rPr>
              <w:t>(100%)</w:t>
            </w:r>
          </w:p>
        </w:tc>
        <w:tc>
          <w:tcPr>
            <w:tcW w:w="2063" w:type="dxa"/>
          </w:tcPr>
          <w:p w14:paraId="31DEE413"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pacing w:val="-2"/>
                <w:sz w:val="20"/>
                <w:szCs w:val="20"/>
              </w:rPr>
              <w:t>[2,8]</w:t>
            </w:r>
          </w:p>
        </w:tc>
      </w:tr>
      <w:tr w:rsidR="00A60ECC" w:rsidRPr="00080F6E" w14:paraId="66607324" w14:textId="77777777" w:rsidTr="00080F6E">
        <w:trPr>
          <w:trHeight w:val="477"/>
        </w:trPr>
        <w:tc>
          <w:tcPr>
            <w:tcW w:w="1848" w:type="dxa"/>
          </w:tcPr>
          <w:p w14:paraId="14761187" w14:textId="77777777" w:rsidR="00A60ECC" w:rsidRPr="00080F6E" w:rsidRDefault="00A60ECC" w:rsidP="008C0E2D">
            <w:pPr>
              <w:pStyle w:val="TableParagraph"/>
              <w:spacing w:before="145"/>
              <w:ind w:left="14"/>
              <w:rPr>
                <w:rFonts w:ascii="Arial" w:hAnsi="Arial" w:cs="Arial"/>
                <w:sz w:val="20"/>
                <w:szCs w:val="20"/>
              </w:rPr>
            </w:pPr>
            <w:r w:rsidRPr="00080F6E">
              <w:rPr>
                <w:rFonts w:ascii="Arial" w:hAnsi="Arial" w:cs="Arial"/>
                <w:sz w:val="20"/>
                <w:szCs w:val="20"/>
              </w:rPr>
              <w:t>EEG</w:t>
            </w:r>
            <w:r w:rsidRPr="00080F6E">
              <w:rPr>
                <w:rFonts w:ascii="Arial" w:hAnsi="Arial" w:cs="Arial"/>
                <w:spacing w:val="-1"/>
                <w:sz w:val="20"/>
                <w:szCs w:val="20"/>
              </w:rPr>
              <w:t xml:space="preserve"> </w:t>
            </w:r>
            <w:r w:rsidRPr="00080F6E">
              <w:rPr>
                <w:rFonts w:ascii="Arial" w:hAnsi="Arial" w:cs="Arial"/>
                <w:spacing w:val="-2"/>
                <w:sz w:val="20"/>
                <w:szCs w:val="20"/>
              </w:rPr>
              <w:t>abnormalities</w:t>
            </w:r>
          </w:p>
        </w:tc>
        <w:tc>
          <w:tcPr>
            <w:tcW w:w="1653" w:type="dxa"/>
          </w:tcPr>
          <w:p w14:paraId="108B330D" w14:textId="77777777" w:rsidR="00A60ECC" w:rsidRPr="00080F6E" w:rsidRDefault="00A60ECC" w:rsidP="008C0E2D">
            <w:pPr>
              <w:pStyle w:val="TableParagraph"/>
              <w:spacing w:before="145"/>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4"/>
                <w:sz w:val="20"/>
                <w:szCs w:val="20"/>
              </w:rPr>
              <w:t>ESES</w:t>
            </w:r>
          </w:p>
        </w:tc>
        <w:tc>
          <w:tcPr>
            <w:tcW w:w="1735" w:type="dxa"/>
          </w:tcPr>
          <w:p w14:paraId="47322661" w14:textId="77777777" w:rsidR="00A60ECC" w:rsidRPr="00080F6E" w:rsidRDefault="00A60ECC" w:rsidP="008C0E2D">
            <w:pPr>
              <w:pStyle w:val="TableParagraph"/>
              <w:spacing w:before="8" w:line="270" w:lineRule="atLeast"/>
              <w:ind w:left="15" w:right="139"/>
              <w:rPr>
                <w:rFonts w:ascii="Arial" w:hAnsi="Arial" w:cs="Arial"/>
                <w:sz w:val="20"/>
                <w:szCs w:val="20"/>
              </w:rPr>
            </w:pPr>
            <w:r w:rsidRPr="00080F6E">
              <w:rPr>
                <w:rFonts w:ascii="Arial" w:hAnsi="Arial" w:cs="Arial"/>
                <w:sz w:val="20"/>
                <w:szCs w:val="20"/>
              </w:rPr>
              <w:t>Majority,</w:t>
            </w:r>
            <w:r w:rsidRPr="00080F6E">
              <w:rPr>
                <w:rFonts w:ascii="Arial" w:hAnsi="Arial" w:cs="Arial"/>
                <w:spacing w:val="-15"/>
                <w:sz w:val="20"/>
                <w:szCs w:val="20"/>
              </w:rPr>
              <w:t xml:space="preserve"> </w:t>
            </w:r>
            <w:r w:rsidRPr="00080F6E">
              <w:rPr>
                <w:rFonts w:ascii="Arial" w:hAnsi="Arial" w:cs="Arial"/>
                <w:sz w:val="20"/>
                <w:szCs w:val="20"/>
              </w:rPr>
              <w:t xml:space="preserve">ESES </w:t>
            </w:r>
            <w:r w:rsidRPr="00080F6E">
              <w:rPr>
                <w:rFonts w:ascii="Arial" w:hAnsi="Arial" w:cs="Arial"/>
                <w:spacing w:val="-2"/>
                <w:sz w:val="20"/>
                <w:szCs w:val="20"/>
              </w:rPr>
              <w:t>common</w:t>
            </w:r>
          </w:p>
        </w:tc>
        <w:tc>
          <w:tcPr>
            <w:tcW w:w="1721" w:type="dxa"/>
          </w:tcPr>
          <w:p w14:paraId="69F73AF7" w14:textId="77777777" w:rsidR="00A60ECC" w:rsidRPr="00080F6E" w:rsidRDefault="00A60ECC" w:rsidP="008C0E2D">
            <w:pPr>
              <w:pStyle w:val="TableParagraph"/>
              <w:spacing w:before="8"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4C9E0CDE" w14:textId="77777777" w:rsidR="00A60ECC" w:rsidRPr="00080F6E" w:rsidRDefault="00A60ECC" w:rsidP="008C0E2D">
            <w:pPr>
              <w:pStyle w:val="TableParagraph"/>
              <w:spacing w:before="145"/>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7]</w:t>
            </w:r>
          </w:p>
        </w:tc>
      </w:tr>
      <w:tr w:rsidR="00A60ECC" w:rsidRPr="00080F6E" w14:paraId="2FC3FF51" w14:textId="77777777" w:rsidTr="00080F6E">
        <w:trPr>
          <w:trHeight w:val="479"/>
        </w:trPr>
        <w:tc>
          <w:tcPr>
            <w:tcW w:w="1848" w:type="dxa"/>
          </w:tcPr>
          <w:p w14:paraId="1D2E2BC2" w14:textId="77777777" w:rsidR="00A60ECC" w:rsidRPr="00080F6E" w:rsidRDefault="00A60ECC" w:rsidP="008C0E2D">
            <w:pPr>
              <w:pStyle w:val="TableParagraph"/>
              <w:spacing w:before="11" w:line="270" w:lineRule="atLeast"/>
              <w:ind w:left="14" w:right="840"/>
              <w:rPr>
                <w:rFonts w:ascii="Arial" w:hAnsi="Arial" w:cs="Arial"/>
                <w:sz w:val="20"/>
                <w:szCs w:val="20"/>
              </w:rPr>
            </w:pPr>
            <w:r w:rsidRPr="00080F6E">
              <w:rPr>
                <w:rFonts w:ascii="Arial" w:hAnsi="Arial" w:cs="Arial"/>
                <w:spacing w:val="-2"/>
                <w:sz w:val="20"/>
                <w:szCs w:val="20"/>
              </w:rPr>
              <w:t>Abnormal movements</w:t>
            </w:r>
          </w:p>
        </w:tc>
        <w:tc>
          <w:tcPr>
            <w:tcW w:w="1653" w:type="dxa"/>
          </w:tcPr>
          <w:p w14:paraId="0F5178BD"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Present</w:t>
            </w:r>
            <w:r w:rsidRPr="00080F6E">
              <w:rPr>
                <w:rFonts w:ascii="Arial" w:hAnsi="Arial" w:cs="Arial"/>
                <w:spacing w:val="-3"/>
                <w:sz w:val="20"/>
                <w:szCs w:val="20"/>
              </w:rPr>
              <w:t xml:space="preserve"> </w:t>
            </w:r>
            <w:r w:rsidRPr="00080F6E">
              <w:rPr>
                <w:rFonts w:ascii="Arial" w:hAnsi="Arial" w:cs="Arial"/>
                <w:spacing w:val="-2"/>
                <w:sz w:val="20"/>
                <w:szCs w:val="20"/>
              </w:rPr>
              <w:t>(spastic)</w:t>
            </w:r>
          </w:p>
        </w:tc>
        <w:tc>
          <w:tcPr>
            <w:tcW w:w="1735" w:type="dxa"/>
          </w:tcPr>
          <w:p w14:paraId="4391942C" w14:textId="77777777" w:rsidR="00A60ECC" w:rsidRPr="00080F6E" w:rsidRDefault="00A60ECC" w:rsidP="008C0E2D">
            <w:pPr>
              <w:pStyle w:val="TableParagraph"/>
              <w:spacing w:before="11" w:line="270" w:lineRule="atLeast"/>
              <w:ind w:left="15" w:right="533"/>
              <w:rPr>
                <w:rFonts w:ascii="Arial" w:hAnsi="Arial" w:cs="Arial"/>
                <w:sz w:val="20"/>
                <w:szCs w:val="20"/>
              </w:rPr>
            </w:pPr>
            <w:r w:rsidRPr="00080F6E">
              <w:rPr>
                <w:rFonts w:ascii="Arial" w:hAnsi="Arial" w:cs="Arial"/>
                <w:sz w:val="20"/>
                <w:szCs w:val="20"/>
              </w:rPr>
              <w:t>Reported</w:t>
            </w:r>
            <w:r w:rsidRPr="00080F6E">
              <w:rPr>
                <w:rFonts w:ascii="Arial" w:hAnsi="Arial" w:cs="Arial"/>
                <w:spacing w:val="-15"/>
                <w:sz w:val="20"/>
                <w:szCs w:val="20"/>
              </w:rPr>
              <w:t xml:space="preserve"> </w:t>
            </w:r>
            <w:r w:rsidRPr="00080F6E">
              <w:rPr>
                <w:rFonts w:ascii="Arial" w:hAnsi="Arial" w:cs="Arial"/>
                <w:sz w:val="20"/>
                <w:szCs w:val="20"/>
              </w:rPr>
              <w:t>in some</w:t>
            </w:r>
            <w:r w:rsidRPr="00080F6E">
              <w:rPr>
                <w:rFonts w:ascii="Arial" w:hAnsi="Arial" w:cs="Arial"/>
                <w:spacing w:val="-2"/>
                <w:sz w:val="20"/>
                <w:szCs w:val="20"/>
              </w:rPr>
              <w:t xml:space="preserve"> cases</w:t>
            </w:r>
          </w:p>
        </w:tc>
        <w:tc>
          <w:tcPr>
            <w:tcW w:w="1721" w:type="dxa"/>
          </w:tcPr>
          <w:p w14:paraId="42EE2796"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457189E5"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[3-</w:t>
            </w:r>
            <w:r w:rsidRPr="00080F6E">
              <w:rPr>
                <w:rFonts w:ascii="Arial" w:hAnsi="Arial" w:cs="Arial"/>
                <w:spacing w:val="-5"/>
                <w:sz w:val="20"/>
                <w:szCs w:val="20"/>
              </w:rPr>
              <w:t>5]</w:t>
            </w:r>
          </w:p>
        </w:tc>
      </w:tr>
      <w:tr w:rsidR="00A60ECC" w:rsidRPr="00080F6E" w14:paraId="31AD188A" w14:textId="77777777" w:rsidTr="00080F6E">
        <w:trPr>
          <w:trHeight w:val="479"/>
        </w:trPr>
        <w:tc>
          <w:tcPr>
            <w:tcW w:w="1848" w:type="dxa"/>
          </w:tcPr>
          <w:p w14:paraId="0D269A33" w14:textId="77777777" w:rsidR="00A60ECC" w:rsidRPr="00080F6E" w:rsidRDefault="00A60ECC" w:rsidP="008C0E2D">
            <w:pPr>
              <w:pStyle w:val="TableParagraph"/>
              <w:spacing w:before="11" w:line="270" w:lineRule="atLeast"/>
              <w:ind w:left="14" w:right="840"/>
              <w:rPr>
                <w:rFonts w:ascii="Arial" w:hAnsi="Arial" w:cs="Arial"/>
                <w:spacing w:val="-2"/>
                <w:sz w:val="20"/>
                <w:szCs w:val="20"/>
              </w:rPr>
            </w:pPr>
            <w:r w:rsidRPr="00080F6E">
              <w:rPr>
                <w:rFonts w:ascii="Arial" w:hAnsi="Arial" w:cs="Arial"/>
                <w:spacing w:val="-2"/>
                <w:sz w:val="20"/>
                <w:szCs w:val="20"/>
              </w:rPr>
              <w:t>Gastrointestinal disorders</w:t>
            </w:r>
          </w:p>
        </w:tc>
        <w:tc>
          <w:tcPr>
            <w:tcW w:w="1653" w:type="dxa"/>
          </w:tcPr>
          <w:p w14:paraId="1CF64CDA" w14:textId="77777777" w:rsidR="00A60ECC" w:rsidRPr="00080F6E" w:rsidRDefault="00A60ECC" w:rsidP="008C0E2D">
            <w:pPr>
              <w:pStyle w:val="TableParagraph"/>
              <w:spacing w:before="147"/>
              <w:ind w:left="16"/>
              <w:rPr>
                <w:rFonts w:ascii="Arial" w:hAnsi="Arial" w:cs="Arial"/>
                <w:sz w:val="20"/>
                <w:szCs w:val="20"/>
              </w:rPr>
            </w:pPr>
            <w:r w:rsidRPr="00080F6E">
              <w:rPr>
                <w:rFonts w:ascii="Arial" w:hAnsi="Arial" w:cs="Arial"/>
                <w:sz w:val="20"/>
                <w:szCs w:val="20"/>
              </w:rPr>
              <w:t>GER</w:t>
            </w:r>
            <w:r w:rsidRPr="00080F6E">
              <w:rPr>
                <w:rFonts w:ascii="Arial" w:hAnsi="Arial" w:cs="Arial"/>
                <w:spacing w:val="-1"/>
                <w:sz w:val="20"/>
                <w:szCs w:val="20"/>
              </w:rPr>
              <w:t xml:space="preserve"> </w:t>
            </w:r>
            <w:r w:rsidRPr="00080F6E">
              <w:rPr>
                <w:rFonts w:ascii="Arial" w:hAnsi="Arial" w:cs="Arial"/>
                <w:spacing w:val="-2"/>
                <w:sz w:val="20"/>
                <w:szCs w:val="20"/>
              </w:rPr>
              <w:t>present</w:t>
            </w:r>
          </w:p>
        </w:tc>
        <w:tc>
          <w:tcPr>
            <w:tcW w:w="1735" w:type="dxa"/>
          </w:tcPr>
          <w:p w14:paraId="2FEF151F" w14:textId="77777777" w:rsidR="00A60ECC" w:rsidRPr="00080F6E" w:rsidRDefault="00A60ECC" w:rsidP="008C0E2D">
            <w:pPr>
              <w:pStyle w:val="TableParagraph"/>
              <w:spacing w:before="11" w:line="270" w:lineRule="atLeast"/>
              <w:ind w:left="15" w:right="533"/>
              <w:rPr>
                <w:rFonts w:ascii="Arial" w:hAnsi="Arial" w:cs="Arial"/>
                <w:sz w:val="20"/>
                <w:szCs w:val="20"/>
              </w:rPr>
            </w:pPr>
            <w:r w:rsidRPr="00080F6E">
              <w:rPr>
                <w:rFonts w:ascii="Arial" w:hAnsi="Arial" w:cs="Arial"/>
                <w:sz w:val="20"/>
                <w:szCs w:val="20"/>
              </w:rPr>
              <w:t xml:space="preserve">10/17 </w:t>
            </w:r>
            <w:r w:rsidRPr="00080F6E">
              <w:rPr>
                <w:rFonts w:ascii="Arial" w:hAnsi="Arial" w:cs="Arial"/>
                <w:spacing w:val="-2"/>
                <w:sz w:val="20"/>
                <w:szCs w:val="20"/>
              </w:rPr>
              <w:t>(59%)</w:t>
            </w:r>
          </w:p>
        </w:tc>
        <w:tc>
          <w:tcPr>
            <w:tcW w:w="1721" w:type="dxa"/>
          </w:tcPr>
          <w:p w14:paraId="020A1C82" w14:textId="77777777" w:rsidR="00A60ECC" w:rsidRPr="00080F6E" w:rsidRDefault="00A60ECC" w:rsidP="008C0E2D">
            <w:pPr>
              <w:pStyle w:val="TableParagraph"/>
              <w:spacing w:before="11" w:line="270" w:lineRule="atLeast"/>
              <w:ind w:left="15"/>
              <w:rPr>
                <w:rFonts w:ascii="Arial" w:hAnsi="Arial" w:cs="Arial"/>
                <w:sz w:val="20"/>
                <w:szCs w:val="20"/>
              </w:rPr>
            </w:pPr>
            <w:r w:rsidRPr="00080F6E">
              <w:rPr>
                <w:rFonts w:ascii="Arial" w:hAnsi="Arial" w:cs="Arial"/>
                <w:sz w:val="20"/>
                <w:szCs w:val="20"/>
              </w:rPr>
              <w:t>Not</w:t>
            </w:r>
            <w:r w:rsidRPr="00080F6E">
              <w:rPr>
                <w:rFonts w:ascii="Arial" w:hAnsi="Arial" w:cs="Arial"/>
                <w:spacing w:val="-15"/>
                <w:sz w:val="20"/>
                <w:szCs w:val="20"/>
              </w:rPr>
              <w:t xml:space="preserve"> </w:t>
            </w:r>
            <w:r w:rsidRPr="00080F6E">
              <w:rPr>
                <w:rFonts w:ascii="Arial" w:hAnsi="Arial" w:cs="Arial"/>
                <w:sz w:val="20"/>
                <w:szCs w:val="20"/>
              </w:rPr>
              <w:t xml:space="preserve">specifically </w:t>
            </w:r>
            <w:r w:rsidRPr="00080F6E">
              <w:rPr>
                <w:rFonts w:ascii="Arial" w:hAnsi="Arial" w:cs="Arial"/>
                <w:spacing w:val="-2"/>
                <w:sz w:val="20"/>
                <w:szCs w:val="20"/>
              </w:rPr>
              <w:t>reported</w:t>
            </w:r>
          </w:p>
        </w:tc>
        <w:tc>
          <w:tcPr>
            <w:tcW w:w="2063" w:type="dxa"/>
          </w:tcPr>
          <w:p w14:paraId="58F45D53" w14:textId="77777777" w:rsidR="00A60ECC" w:rsidRPr="00080F6E" w:rsidRDefault="00A60ECC" w:rsidP="008C0E2D">
            <w:pPr>
              <w:pStyle w:val="TableParagraph"/>
              <w:spacing w:before="147"/>
              <w:ind w:left="13"/>
              <w:rPr>
                <w:rFonts w:ascii="Arial" w:hAnsi="Arial" w:cs="Arial"/>
                <w:sz w:val="20"/>
                <w:szCs w:val="20"/>
              </w:rPr>
            </w:pPr>
            <w:r w:rsidRPr="00080F6E">
              <w:rPr>
                <w:rFonts w:ascii="Arial" w:hAnsi="Arial" w:cs="Arial"/>
                <w:sz w:val="20"/>
                <w:szCs w:val="20"/>
              </w:rPr>
              <w:t>HIVEP2:</w:t>
            </w:r>
            <w:r w:rsidRPr="00080F6E">
              <w:rPr>
                <w:rFonts w:ascii="Arial" w:hAnsi="Arial" w:cs="Arial"/>
                <w:spacing w:val="-3"/>
                <w:sz w:val="20"/>
                <w:szCs w:val="20"/>
              </w:rPr>
              <w:t xml:space="preserve"> </w:t>
            </w:r>
            <w:r w:rsidRPr="00080F6E">
              <w:rPr>
                <w:rFonts w:ascii="Arial" w:hAnsi="Arial" w:cs="Arial"/>
                <w:sz w:val="20"/>
                <w:szCs w:val="20"/>
              </w:rPr>
              <w:t>[1,3-</w:t>
            </w:r>
            <w:r w:rsidRPr="00080F6E">
              <w:rPr>
                <w:rFonts w:ascii="Arial" w:hAnsi="Arial" w:cs="Arial"/>
                <w:spacing w:val="-5"/>
                <w:sz w:val="20"/>
                <w:szCs w:val="20"/>
              </w:rPr>
              <w:t>6]</w:t>
            </w:r>
          </w:p>
        </w:tc>
      </w:tr>
    </w:tbl>
    <w:p w14:paraId="58933961" w14:textId="77777777" w:rsidR="00A60ECC" w:rsidRDefault="00A60ECC" w:rsidP="00441B6F">
      <w:pPr>
        <w:pStyle w:val="Body"/>
        <w:spacing w:after="0"/>
        <w:rPr>
          <w:rFonts w:ascii="Arial" w:hAnsi="Arial" w:cs="Arial"/>
        </w:rPr>
      </w:pPr>
    </w:p>
    <w:p w14:paraId="230D1083" w14:textId="77777777" w:rsidR="00A60ECC" w:rsidRDefault="00A60ECC" w:rsidP="00441B6F">
      <w:pPr>
        <w:pStyle w:val="Body"/>
        <w:spacing w:after="0"/>
        <w:rPr>
          <w:rFonts w:ascii="Arial" w:hAnsi="Arial" w:cs="Arial"/>
        </w:rPr>
      </w:pPr>
    </w:p>
    <w:p w14:paraId="473F3600" w14:textId="77777777" w:rsidR="00080F6E" w:rsidRDefault="00080F6E" w:rsidP="00441B6F">
      <w:pPr>
        <w:pStyle w:val="Body"/>
        <w:spacing w:after="0"/>
        <w:rPr>
          <w:rFonts w:ascii="Arial" w:hAnsi="Arial" w:cs="Arial"/>
        </w:rPr>
      </w:pPr>
    </w:p>
    <w:p w14:paraId="5F07719E" w14:textId="77777777" w:rsidR="00080F6E" w:rsidRPr="00080F6E" w:rsidRDefault="00080F6E" w:rsidP="00080F6E">
      <w:pPr>
        <w:pStyle w:val="Heading1"/>
        <w:jc w:val="both"/>
        <w:rPr>
          <w:rFonts w:cs="Arial"/>
          <w:sz w:val="20"/>
        </w:rPr>
      </w:pPr>
      <w:r w:rsidRPr="00080F6E">
        <w:rPr>
          <w:rFonts w:cs="Arial"/>
          <w:spacing w:val="-2"/>
          <w:sz w:val="20"/>
        </w:rPr>
        <w:t xml:space="preserve">Table notes </w:t>
      </w:r>
    </w:p>
    <w:p w14:paraId="3B9EAF83" w14:textId="77777777" w:rsidR="00080F6E" w:rsidRPr="00080F6E" w:rsidRDefault="00080F6E" w:rsidP="00080F6E">
      <w:pPr>
        <w:pStyle w:val="ListParagraph"/>
        <w:numPr>
          <w:ilvl w:val="1"/>
          <w:numId w:val="35"/>
        </w:numPr>
        <w:tabs>
          <w:tab w:val="left" w:pos="2136"/>
        </w:tabs>
        <w:spacing w:before="1"/>
        <w:ind w:left="720" w:right="1575"/>
        <w:jc w:val="both"/>
        <w:rPr>
          <w:rFonts w:ascii="Arial" w:hAnsi="Arial" w:cs="Arial"/>
          <w:sz w:val="20"/>
          <w:szCs w:val="20"/>
        </w:rPr>
      </w:pPr>
      <w:r w:rsidRPr="00080F6E">
        <w:rPr>
          <w:rFonts w:ascii="Arial" w:hAnsi="Arial" w:cs="Arial"/>
          <w:sz w:val="20"/>
          <w:szCs w:val="20"/>
        </w:rPr>
        <w:t>Sample</w:t>
      </w:r>
      <w:r w:rsidRPr="00080F6E">
        <w:rPr>
          <w:rFonts w:ascii="Arial" w:hAnsi="Arial" w:cs="Arial"/>
          <w:spacing w:val="-5"/>
          <w:sz w:val="20"/>
          <w:szCs w:val="20"/>
        </w:rPr>
        <w:t xml:space="preserve"> </w:t>
      </w:r>
      <w:r w:rsidRPr="00080F6E">
        <w:rPr>
          <w:rFonts w:ascii="Arial" w:hAnsi="Arial" w:cs="Arial"/>
          <w:sz w:val="20"/>
          <w:szCs w:val="20"/>
        </w:rPr>
        <w:t>sizes:</w:t>
      </w:r>
      <w:r w:rsidRPr="00080F6E">
        <w:rPr>
          <w:rFonts w:ascii="Arial" w:hAnsi="Arial" w:cs="Arial"/>
          <w:spacing w:val="-4"/>
          <w:sz w:val="20"/>
          <w:szCs w:val="20"/>
        </w:rPr>
        <w:t xml:space="preserve"> </w:t>
      </w:r>
      <w:r w:rsidRPr="00080F6E">
        <w:rPr>
          <w:rFonts w:ascii="Arial" w:hAnsi="Arial" w:cs="Arial"/>
          <w:sz w:val="20"/>
          <w:szCs w:val="20"/>
        </w:rPr>
        <w:t>HIVEP2</w:t>
      </w:r>
      <w:r w:rsidRPr="00080F6E">
        <w:rPr>
          <w:rFonts w:ascii="Arial" w:hAnsi="Arial" w:cs="Arial"/>
          <w:spacing w:val="-4"/>
          <w:sz w:val="20"/>
          <w:szCs w:val="20"/>
        </w:rPr>
        <w:t xml:space="preserve"> </w:t>
      </w:r>
      <w:r w:rsidRPr="00080F6E">
        <w:rPr>
          <w:rFonts w:ascii="Arial" w:hAnsi="Arial" w:cs="Arial"/>
          <w:sz w:val="20"/>
          <w:szCs w:val="20"/>
        </w:rPr>
        <w:t>literature</w:t>
      </w:r>
      <w:r w:rsidRPr="00080F6E">
        <w:rPr>
          <w:rFonts w:ascii="Arial" w:hAnsi="Arial" w:cs="Arial"/>
          <w:spacing w:val="-4"/>
          <w:sz w:val="20"/>
          <w:szCs w:val="20"/>
        </w:rPr>
        <w:t xml:space="preserve"> </w:t>
      </w:r>
      <w:r w:rsidRPr="00080F6E">
        <w:rPr>
          <w:rFonts w:ascii="Arial" w:hAnsi="Arial" w:cs="Arial"/>
          <w:sz w:val="20"/>
          <w:szCs w:val="20"/>
        </w:rPr>
        <w:t>review</w:t>
      </w:r>
      <w:r w:rsidRPr="00080F6E">
        <w:rPr>
          <w:rFonts w:ascii="Arial" w:hAnsi="Arial" w:cs="Arial"/>
          <w:spacing w:val="-5"/>
          <w:sz w:val="20"/>
          <w:szCs w:val="20"/>
        </w:rPr>
        <w:t xml:space="preserve"> </w:t>
      </w:r>
      <w:r w:rsidRPr="00080F6E">
        <w:rPr>
          <w:rFonts w:ascii="Arial" w:hAnsi="Arial" w:cs="Arial"/>
          <w:sz w:val="20"/>
          <w:szCs w:val="20"/>
        </w:rPr>
        <w:t>includes</w:t>
      </w:r>
      <w:r w:rsidRPr="00080F6E">
        <w:rPr>
          <w:rFonts w:ascii="Arial" w:hAnsi="Arial" w:cs="Arial"/>
          <w:spacing w:val="-3"/>
          <w:sz w:val="20"/>
          <w:szCs w:val="20"/>
        </w:rPr>
        <w:t xml:space="preserve"> </w:t>
      </w:r>
      <w:r w:rsidRPr="00080F6E">
        <w:rPr>
          <w:rFonts w:ascii="Arial" w:hAnsi="Arial" w:cs="Arial"/>
          <w:sz w:val="20"/>
          <w:szCs w:val="20"/>
        </w:rPr>
        <w:t>17</w:t>
      </w:r>
      <w:r w:rsidRPr="00080F6E">
        <w:rPr>
          <w:rFonts w:ascii="Arial" w:hAnsi="Arial" w:cs="Arial"/>
          <w:spacing w:val="-4"/>
          <w:sz w:val="20"/>
          <w:szCs w:val="20"/>
        </w:rPr>
        <w:t xml:space="preserve"> </w:t>
      </w:r>
      <w:r w:rsidRPr="00080F6E">
        <w:rPr>
          <w:rFonts w:ascii="Arial" w:hAnsi="Arial" w:cs="Arial"/>
          <w:sz w:val="20"/>
          <w:szCs w:val="20"/>
        </w:rPr>
        <w:t>cases;</w:t>
      </w:r>
      <w:r w:rsidRPr="00080F6E">
        <w:rPr>
          <w:rFonts w:ascii="Arial" w:hAnsi="Arial" w:cs="Arial"/>
          <w:spacing w:val="-2"/>
          <w:sz w:val="20"/>
          <w:szCs w:val="20"/>
        </w:rPr>
        <w:t xml:space="preserve"> </w:t>
      </w:r>
      <w:r w:rsidRPr="00080F6E">
        <w:rPr>
          <w:rFonts w:ascii="Arial" w:hAnsi="Arial" w:cs="Arial"/>
          <w:sz w:val="20"/>
          <w:szCs w:val="20"/>
        </w:rPr>
        <w:t>LINGO1</w:t>
      </w:r>
      <w:r w:rsidRPr="00080F6E">
        <w:rPr>
          <w:rFonts w:ascii="Arial" w:hAnsi="Arial" w:cs="Arial"/>
          <w:spacing w:val="-4"/>
          <w:sz w:val="20"/>
          <w:szCs w:val="20"/>
        </w:rPr>
        <w:t xml:space="preserve"> </w:t>
      </w:r>
      <w:r w:rsidRPr="00080F6E">
        <w:rPr>
          <w:rFonts w:ascii="Arial" w:hAnsi="Arial" w:cs="Arial"/>
          <w:sz w:val="20"/>
          <w:szCs w:val="20"/>
        </w:rPr>
        <w:t>literature</w:t>
      </w:r>
      <w:r w:rsidRPr="00080F6E">
        <w:rPr>
          <w:rFonts w:ascii="Arial" w:hAnsi="Arial" w:cs="Arial"/>
          <w:spacing w:val="-6"/>
          <w:sz w:val="20"/>
          <w:szCs w:val="20"/>
        </w:rPr>
        <w:t xml:space="preserve"> </w:t>
      </w:r>
      <w:r w:rsidRPr="00080F6E">
        <w:rPr>
          <w:rFonts w:ascii="Arial" w:hAnsi="Arial" w:cs="Arial"/>
          <w:sz w:val="20"/>
          <w:szCs w:val="20"/>
        </w:rPr>
        <w:t>review includes 5 cases</w:t>
      </w:r>
    </w:p>
    <w:p w14:paraId="51C00AC2" w14:textId="77777777" w:rsidR="00080F6E" w:rsidRPr="00080F6E" w:rsidRDefault="00080F6E" w:rsidP="00080F6E">
      <w:pPr>
        <w:pStyle w:val="ListParagraph"/>
        <w:numPr>
          <w:ilvl w:val="1"/>
          <w:numId w:val="35"/>
        </w:numPr>
        <w:tabs>
          <w:tab w:val="left" w:pos="2136"/>
        </w:tabs>
        <w:ind w:left="720" w:right="2679"/>
        <w:jc w:val="both"/>
        <w:rPr>
          <w:rFonts w:ascii="Arial" w:hAnsi="Arial" w:cs="Arial"/>
          <w:sz w:val="20"/>
          <w:szCs w:val="20"/>
        </w:rPr>
      </w:pPr>
      <w:r w:rsidRPr="00080F6E">
        <w:rPr>
          <w:rFonts w:ascii="Arial" w:hAnsi="Arial" w:cs="Arial"/>
          <w:sz w:val="20"/>
          <w:szCs w:val="20"/>
        </w:rPr>
        <w:t>Abbreviations:</w:t>
      </w:r>
      <w:r w:rsidRPr="00080F6E">
        <w:rPr>
          <w:rFonts w:ascii="Arial" w:hAnsi="Arial" w:cs="Arial"/>
          <w:spacing w:val="-4"/>
          <w:sz w:val="20"/>
          <w:szCs w:val="20"/>
        </w:rPr>
        <w:t xml:space="preserve"> </w:t>
      </w:r>
      <w:r w:rsidRPr="00080F6E">
        <w:rPr>
          <w:rFonts w:ascii="Arial" w:hAnsi="Arial" w:cs="Arial"/>
          <w:sz w:val="20"/>
          <w:szCs w:val="20"/>
        </w:rPr>
        <w:t>ESES</w:t>
      </w:r>
      <w:r w:rsidRPr="00080F6E">
        <w:rPr>
          <w:rFonts w:ascii="Arial" w:hAnsi="Arial" w:cs="Arial"/>
          <w:spacing w:val="-4"/>
          <w:sz w:val="20"/>
          <w:szCs w:val="20"/>
        </w:rPr>
        <w:t xml:space="preserve"> </w:t>
      </w:r>
      <w:r w:rsidRPr="00080F6E">
        <w:rPr>
          <w:rFonts w:ascii="Arial" w:hAnsi="Arial" w:cs="Arial"/>
          <w:sz w:val="20"/>
          <w:szCs w:val="20"/>
        </w:rPr>
        <w:t>=</w:t>
      </w:r>
      <w:r w:rsidRPr="00080F6E">
        <w:rPr>
          <w:rFonts w:ascii="Arial" w:hAnsi="Arial" w:cs="Arial"/>
          <w:spacing w:val="-5"/>
          <w:sz w:val="20"/>
          <w:szCs w:val="20"/>
        </w:rPr>
        <w:t xml:space="preserve"> </w:t>
      </w:r>
      <w:r w:rsidRPr="00080F6E">
        <w:rPr>
          <w:rFonts w:ascii="Arial" w:hAnsi="Arial" w:cs="Arial"/>
          <w:sz w:val="20"/>
          <w:szCs w:val="20"/>
        </w:rPr>
        <w:t>Electrical</w:t>
      </w:r>
      <w:r w:rsidRPr="00080F6E">
        <w:rPr>
          <w:rFonts w:ascii="Arial" w:hAnsi="Arial" w:cs="Arial"/>
          <w:spacing w:val="-4"/>
          <w:sz w:val="20"/>
          <w:szCs w:val="20"/>
        </w:rPr>
        <w:t xml:space="preserve"> </w:t>
      </w:r>
      <w:r w:rsidRPr="00080F6E">
        <w:rPr>
          <w:rFonts w:ascii="Arial" w:hAnsi="Arial" w:cs="Arial"/>
          <w:sz w:val="20"/>
          <w:szCs w:val="20"/>
        </w:rPr>
        <w:t>Status</w:t>
      </w:r>
      <w:r w:rsidRPr="00080F6E">
        <w:rPr>
          <w:rFonts w:ascii="Arial" w:hAnsi="Arial" w:cs="Arial"/>
          <w:spacing w:val="-4"/>
          <w:sz w:val="20"/>
          <w:szCs w:val="20"/>
        </w:rPr>
        <w:t xml:space="preserve"> </w:t>
      </w:r>
      <w:r w:rsidRPr="00080F6E">
        <w:rPr>
          <w:rFonts w:ascii="Arial" w:hAnsi="Arial" w:cs="Arial"/>
          <w:sz w:val="20"/>
          <w:szCs w:val="20"/>
        </w:rPr>
        <w:t>Epilepticus</w:t>
      </w:r>
      <w:r w:rsidRPr="00080F6E">
        <w:rPr>
          <w:rFonts w:ascii="Arial" w:hAnsi="Arial" w:cs="Arial"/>
          <w:spacing w:val="-4"/>
          <w:sz w:val="20"/>
          <w:szCs w:val="20"/>
        </w:rPr>
        <w:t xml:space="preserve"> </w:t>
      </w:r>
      <w:r w:rsidRPr="00080F6E">
        <w:rPr>
          <w:rFonts w:ascii="Arial" w:hAnsi="Arial" w:cs="Arial"/>
          <w:sz w:val="20"/>
          <w:szCs w:val="20"/>
        </w:rPr>
        <w:t>during</w:t>
      </w:r>
      <w:r w:rsidRPr="00080F6E">
        <w:rPr>
          <w:rFonts w:ascii="Arial" w:hAnsi="Arial" w:cs="Arial"/>
          <w:spacing w:val="-7"/>
          <w:sz w:val="20"/>
          <w:szCs w:val="20"/>
        </w:rPr>
        <w:t xml:space="preserve"> </w:t>
      </w:r>
      <w:r w:rsidRPr="00080F6E">
        <w:rPr>
          <w:rFonts w:ascii="Arial" w:hAnsi="Arial" w:cs="Arial"/>
          <w:sz w:val="20"/>
          <w:szCs w:val="20"/>
        </w:rPr>
        <w:t>Sleep;</w:t>
      </w:r>
      <w:r w:rsidRPr="00080F6E">
        <w:rPr>
          <w:rFonts w:ascii="Arial" w:hAnsi="Arial" w:cs="Arial"/>
          <w:spacing w:val="-1"/>
          <w:sz w:val="20"/>
          <w:szCs w:val="20"/>
        </w:rPr>
        <w:t xml:space="preserve"> </w:t>
      </w:r>
      <w:r w:rsidRPr="00080F6E">
        <w:rPr>
          <w:rFonts w:ascii="Arial" w:hAnsi="Arial" w:cs="Arial"/>
          <w:sz w:val="20"/>
          <w:szCs w:val="20"/>
        </w:rPr>
        <w:t>GER</w:t>
      </w:r>
      <w:r w:rsidRPr="00080F6E">
        <w:rPr>
          <w:rFonts w:ascii="Arial" w:hAnsi="Arial" w:cs="Arial"/>
          <w:spacing w:val="-4"/>
          <w:sz w:val="20"/>
          <w:szCs w:val="20"/>
        </w:rPr>
        <w:t xml:space="preserve"> </w:t>
      </w:r>
      <w:r w:rsidRPr="00080F6E">
        <w:rPr>
          <w:rFonts w:ascii="Arial" w:hAnsi="Arial" w:cs="Arial"/>
          <w:sz w:val="20"/>
          <w:szCs w:val="20"/>
        </w:rPr>
        <w:t>= Gastroesophageal Reflux</w:t>
      </w:r>
    </w:p>
    <w:p w14:paraId="4F6989F8" w14:textId="77777777" w:rsidR="00080F6E" w:rsidRPr="00080F6E" w:rsidRDefault="00080F6E" w:rsidP="00080F6E">
      <w:pPr>
        <w:pStyle w:val="ListParagraph"/>
        <w:numPr>
          <w:ilvl w:val="1"/>
          <w:numId w:val="35"/>
        </w:numPr>
        <w:tabs>
          <w:tab w:val="left" w:pos="2136"/>
        </w:tabs>
        <w:ind w:left="720" w:right="1692"/>
        <w:jc w:val="both"/>
        <w:rPr>
          <w:rFonts w:ascii="Arial" w:hAnsi="Arial" w:cs="Arial"/>
          <w:sz w:val="20"/>
          <w:szCs w:val="20"/>
        </w:rPr>
      </w:pPr>
      <w:r w:rsidRPr="00080F6E">
        <w:rPr>
          <w:rFonts w:ascii="Arial" w:hAnsi="Arial" w:cs="Arial"/>
          <w:sz w:val="20"/>
          <w:szCs w:val="20"/>
        </w:rPr>
        <w:t>"Not</w:t>
      </w:r>
      <w:r w:rsidRPr="00080F6E">
        <w:rPr>
          <w:rFonts w:ascii="Arial" w:hAnsi="Arial" w:cs="Arial"/>
          <w:spacing w:val="-3"/>
          <w:sz w:val="20"/>
          <w:szCs w:val="20"/>
        </w:rPr>
        <w:t xml:space="preserve"> </w:t>
      </w:r>
      <w:r w:rsidRPr="00080F6E">
        <w:rPr>
          <w:rFonts w:ascii="Arial" w:hAnsi="Arial" w:cs="Arial"/>
          <w:sz w:val="20"/>
          <w:szCs w:val="20"/>
        </w:rPr>
        <w:t>specifically</w:t>
      </w:r>
      <w:r w:rsidRPr="00080F6E">
        <w:rPr>
          <w:rFonts w:ascii="Arial" w:hAnsi="Arial" w:cs="Arial"/>
          <w:spacing w:val="-8"/>
          <w:sz w:val="20"/>
          <w:szCs w:val="20"/>
        </w:rPr>
        <w:t xml:space="preserve"> </w:t>
      </w:r>
      <w:r w:rsidRPr="00080F6E">
        <w:rPr>
          <w:rFonts w:ascii="Arial" w:hAnsi="Arial" w:cs="Arial"/>
          <w:sz w:val="20"/>
          <w:szCs w:val="20"/>
        </w:rPr>
        <w:t>reported"</w:t>
      </w:r>
      <w:r w:rsidRPr="00080F6E">
        <w:rPr>
          <w:rFonts w:ascii="Arial" w:hAnsi="Arial" w:cs="Arial"/>
          <w:spacing w:val="-5"/>
          <w:sz w:val="20"/>
          <w:szCs w:val="20"/>
        </w:rPr>
        <w:t xml:space="preserve"> </w:t>
      </w:r>
      <w:r w:rsidRPr="00080F6E">
        <w:rPr>
          <w:rFonts w:ascii="Arial" w:hAnsi="Arial" w:cs="Arial"/>
          <w:sz w:val="20"/>
          <w:szCs w:val="20"/>
        </w:rPr>
        <w:t>indicates</w:t>
      </w:r>
      <w:r w:rsidRPr="00080F6E">
        <w:rPr>
          <w:rFonts w:ascii="Arial" w:hAnsi="Arial" w:cs="Arial"/>
          <w:spacing w:val="-3"/>
          <w:sz w:val="20"/>
          <w:szCs w:val="20"/>
        </w:rPr>
        <w:t xml:space="preserve"> </w:t>
      </w:r>
      <w:r w:rsidRPr="00080F6E">
        <w:rPr>
          <w:rFonts w:ascii="Arial" w:hAnsi="Arial" w:cs="Arial"/>
          <w:sz w:val="20"/>
          <w:szCs w:val="20"/>
        </w:rPr>
        <w:t>that</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2"/>
          <w:sz w:val="20"/>
          <w:szCs w:val="20"/>
        </w:rPr>
        <w:t xml:space="preserve"> </w:t>
      </w:r>
      <w:r w:rsidRPr="00080F6E">
        <w:rPr>
          <w:rFonts w:ascii="Arial" w:hAnsi="Arial" w:cs="Arial"/>
          <w:sz w:val="20"/>
          <w:szCs w:val="20"/>
        </w:rPr>
        <w:t>feature</w:t>
      </w:r>
      <w:r w:rsidRPr="00080F6E">
        <w:rPr>
          <w:rFonts w:ascii="Arial" w:hAnsi="Arial" w:cs="Arial"/>
          <w:spacing w:val="-5"/>
          <w:sz w:val="20"/>
          <w:szCs w:val="20"/>
        </w:rPr>
        <w:t xml:space="preserve"> </w:t>
      </w:r>
      <w:r w:rsidRPr="00080F6E">
        <w:rPr>
          <w:rFonts w:ascii="Arial" w:hAnsi="Arial" w:cs="Arial"/>
          <w:sz w:val="20"/>
          <w:szCs w:val="20"/>
        </w:rPr>
        <w:t>was</w:t>
      </w:r>
      <w:r w:rsidRPr="00080F6E">
        <w:rPr>
          <w:rFonts w:ascii="Arial" w:hAnsi="Arial" w:cs="Arial"/>
          <w:spacing w:val="-3"/>
          <w:sz w:val="20"/>
          <w:szCs w:val="20"/>
        </w:rPr>
        <w:t xml:space="preserve"> </w:t>
      </w:r>
      <w:r w:rsidRPr="00080F6E">
        <w:rPr>
          <w:rFonts w:ascii="Arial" w:hAnsi="Arial" w:cs="Arial"/>
          <w:sz w:val="20"/>
          <w:szCs w:val="20"/>
        </w:rPr>
        <w:t>not</w:t>
      </w:r>
      <w:r w:rsidRPr="00080F6E">
        <w:rPr>
          <w:rFonts w:ascii="Arial" w:hAnsi="Arial" w:cs="Arial"/>
          <w:spacing w:val="-3"/>
          <w:sz w:val="20"/>
          <w:szCs w:val="20"/>
        </w:rPr>
        <w:t xml:space="preserve"> </w:t>
      </w:r>
      <w:r w:rsidRPr="00080F6E">
        <w:rPr>
          <w:rFonts w:ascii="Arial" w:hAnsi="Arial" w:cs="Arial"/>
          <w:sz w:val="20"/>
          <w:szCs w:val="20"/>
        </w:rPr>
        <w:t>explicitly</w:t>
      </w:r>
      <w:r w:rsidRPr="00080F6E">
        <w:rPr>
          <w:rFonts w:ascii="Arial" w:hAnsi="Arial" w:cs="Arial"/>
          <w:spacing w:val="-8"/>
          <w:sz w:val="20"/>
          <w:szCs w:val="20"/>
        </w:rPr>
        <w:t xml:space="preserve"> </w:t>
      </w:r>
      <w:r w:rsidRPr="00080F6E">
        <w:rPr>
          <w:rFonts w:ascii="Arial" w:hAnsi="Arial" w:cs="Arial"/>
          <w:sz w:val="20"/>
          <w:szCs w:val="20"/>
        </w:rPr>
        <w:t>mentioned</w:t>
      </w:r>
      <w:r w:rsidRPr="00080F6E">
        <w:rPr>
          <w:rFonts w:ascii="Arial" w:hAnsi="Arial" w:cs="Arial"/>
          <w:spacing w:val="-3"/>
          <w:sz w:val="20"/>
          <w:szCs w:val="20"/>
        </w:rPr>
        <w:t xml:space="preserve"> </w:t>
      </w:r>
      <w:r w:rsidRPr="00080F6E">
        <w:rPr>
          <w:rFonts w:ascii="Arial" w:hAnsi="Arial" w:cs="Arial"/>
          <w:sz w:val="20"/>
          <w:szCs w:val="20"/>
        </w:rPr>
        <w:t>in the reviewed literature</w:t>
      </w:r>
    </w:p>
    <w:p w14:paraId="1EDED29A" w14:textId="77777777" w:rsidR="00080F6E" w:rsidRPr="00080F6E" w:rsidRDefault="00080F6E" w:rsidP="00080F6E">
      <w:pPr>
        <w:pStyle w:val="ListParagraph"/>
        <w:numPr>
          <w:ilvl w:val="1"/>
          <w:numId w:val="35"/>
        </w:numPr>
        <w:tabs>
          <w:tab w:val="left" w:pos="2135"/>
        </w:tabs>
        <w:ind w:left="719" w:hanging="359"/>
        <w:jc w:val="both"/>
        <w:rPr>
          <w:rFonts w:ascii="Arial" w:hAnsi="Arial" w:cs="Arial"/>
          <w:sz w:val="20"/>
          <w:szCs w:val="20"/>
        </w:rPr>
      </w:pPr>
      <w:r w:rsidRPr="00080F6E">
        <w:rPr>
          <w:rFonts w:ascii="Arial" w:hAnsi="Arial" w:cs="Arial"/>
          <w:sz w:val="20"/>
          <w:szCs w:val="20"/>
        </w:rPr>
        <w:t>Percentages</w:t>
      </w:r>
      <w:r w:rsidRPr="00080F6E">
        <w:rPr>
          <w:rFonts w:ascii="Arial" w:hAnsi="Arial" w:cs="Arial"/>
          <w:spacing w:val="-4"/>
          <w:sz w:val="20"/>
          <w:szCs w:val="20"/>
        </w:rPr>
        <w:t xml:space="preserve"> </w:t>
      </w:r>
      <w:r w:rsidRPr="00080F6E">
        <w:rPr>
          <w:rFonts w:ascii="Arial" w:hAnsi="Arial" w:cs="Arial"/>
          <w:sz w:val="20"/>
          <w:szCs w:val="20"/>
        </w:rPr>
        <w:t>represent</w:t>
      </w:r>
      <w:r w:rsidRPr="00080F6E">
        <w:rPr>
          <w:rFonts w:ascii="Arial" w:hAnsi="Arial" w:cs="Arial"/>
          <w:spacing w:val="-1"/>
          <w:sz w:val="20"/>
          <w:szCs w:val="20"/>
        </w:rPr>
        <w:t xml:space="preserve"> </w:t>
      </w:r>
      <w:r w:rsidRPr="00080F6E">
        <w:rPr>
          <w:rFonts w:ascii="Arial" w:hAnsi="Arial" w:cs="Arial"/>
          <w:sz w:val="20"/>
          <w:szCs w:val="20"/>
        </w:rPr>
        <w:t>the</w:t>
      </w:r>
      <w:r w:rsidRPr="00080F6E">
        <w:rPr>
          <w:rFonts w:ascii="Arial" w:hAnsi="Arial" w:cs="Arial"/>
          <w:spacing w:val="-1"/>
          <w:sz w:val="20"/>
          <w:szCs w:val="20"/>
        </w:rPr>
        <w:t xml:space="preserve"> </w:t>
      </w:r>
      <w:r w:rsidRPr="00080F6E">
        <w:rPr>
          <w:rFonts w:ascii="Arial" w:hAnsi="Arial" w:cs="Arial"/>
          <w:sz w:val="20"/>
          <w:szCs w:val="20"/>
        </w:rPr>
        <w:t>proportion</w:t>
      </w:r>
      <w:r w:rsidRPr="00080F6E">
        <w:rPr>
          <w:rFonts w:ascii="Arial" w:hAnsi="Arial" w:cs="Arial"/>
          <w:spacing w:val="-1"/>
          <w:sz w:val="20"/>
          <w:szCs w:val="20"/>
        </w:rPr>
        <w:t xml:space="preserve"> </w:t>
      </w:r>
      <w:r w:rsidRPr="00080F6E">
        <w:rPr>
          <w:rFonts w:ascii="Arial" w:hAnsi="Arial" w:cs="Arial"/>
          <w:sz w:val="20"/>
          <w:szCs w:val="20"/>
        </w:rPr>
        <w:t>of</w:t>
      </w:r>
      <w:r w:rsidRPr="00080F6E">
        <w:rPr>
          <w:rFonts w:ascii="Arial" w:hAnsi="Arial" w:cs="Arial"/>
          <w:spacing w:val="-2"/>
          <w:sz w:val="20"/>
          <w:szCs w:val="20"/>
        </w:rPr>
        <w:t xml:space="preserve"> </w:t>
      </w:r>
      <w:r w:rsidRPr="00080F6E">
        <w:rPr>
          <w:rFonts w:ascii="Arial" w:hAnsi="Arial" w:cs="Arial"/>
          <w:sz w:val="20"/>
          <w:szCs w:val="20"/>
        </w:rPr>
        <w:t>affected</w:t>
      </w:r>
      <w:r w:rsidRPr="00080F6E">
        <w:rPr>
          <w:rFonts w:ascii="Arial" w:hAnsi="Arial" w:cs="Arial"/>
          <w:spacing w:val="-1"/>
          <w:sz w:val="20"/>
          <w:szCs w:val="20"/>
        </w:rPr>
        <w:t xml:space="preserve"> </w:t>
      </w:r>
      <w:r w:rsidRPr="00080F6E">
        <w:rPr>
          <w:rFonts w:ascii="Arial" w:hAnsi="Arial" w:cs="Arial"/>
          <w:sz w:val="20"/>
          <w:szCs w:val="20"/>
        </w:rPr>
        <w:t>individuals</w:t>
      </w:r>
      <w:r w:rsidRPr="00080F6E">
        <w:rPr>
          <w:rFonts w:ascii="Arial" w:hAnsi="Arial" w:cs="Arial"/>
          <w:spacing w:val="-2"/>
          <w:sz w:val="20"/>
          <w:szCs w:val="20"/>
        </w:rPr>
        <w:t xml:space="preserve"> </w:t>
      </w:r>
      <w:r w:rsidRPr="00080F6E">
        <w:rPr>
          <w:rFonts w:ascii="Arial" w:hAnsi="Arial" w:cs="Arial"/>
          <w:sz w:val="20"/>
          <w:szCs w:val="20"/>
        </w:rPr>
        <w:t>among</w:t>
      </w:r>
      <w:r w:rsidRPr="00080F6E">
        <w:rPr>
          <w:rFonts w:ascii="Arial" w:hAnsi="Arial" w:cs="Arial"/>
          <w:spacing w:val="-4"/>
          <w:sz w:val="20"/>
          <w:szCs w:val="20"/>
        </w:rPr>
        <w:t xml:space="preserve"> </w:t>
      </w:r>
      <w:r w:rsidRPr="00080F6E">
        <w:rPr>
          <w:rFonts w:ascii="Arial" w:hAnsi="Arial" w:cs="Arial"/>
          <w:sz w:val="20"/>
          <w:szCs w:val="20"/>
        </w:rPr>
        <w:t>reported</w:t>
      </w:r>
      <w:r w:rsidRPr="00080F6E">
        <w:rPr>
          <w:rFonts w:ascii="Arial" w:hAnsi="Arial" w:cs="Arial"/>
          <w:spacing w:val="1"/>
          <w:sz w:val="20"/>
          <w:szCs w:val="20"/>
        </w:rPr>
        <w:t xml:space="preserve"> </w:t>
      </w:r>
      <w:r w:rsidRPr="00080F6E">
        <w:rPr>
          <w:rFonts w:ascii="Arial" w:hAnsi="Arial" w:cs="Arial"/>
          <w:spacing w:val="-2"/>
          <w:sz w:val="20"/>
          <w:szCs w:val="20"/>
        </w:rPr>
        <w:t>cases</w:t>
      </w:r>
    </w:p>
    <w:p w14:paraId="654219D0" w14:textId="77777777" w:rsidR="00080F6E" w:rsidRPr="00080F6E" w:rsidRDefault="00080F6E" w:rsidP="00080F6E">
      <w:pPr>
        <w:pStyle w:val="ListParagraph"/>
        <w:numPr>
          <w:ilvl w:val="1"/>
          <w:numId w:val="35"/>
        </w:numPr>
        <w:tabs>
          <w:tab w:val="left" w:pos="2136"/>
        </w:tabs>
        <w:ind w:left="720" w:right="1853"/>
        <w:jc w:val="both"/>
        <w:rPr>
          <w:rFonts w:ascii="Arial" w:hAnsi="Arial" w:cs="Arial"/>
          <w:sz w:val="20"/>
          <w:szCs w:val="20"/>
        </w:rPr>
      </w:pPr>
      <w:r w:rsidRPr="00080F6E">
        <w:rPr>
          <w:rFonts w:ascii="Arial" w:hAnsi="Arial" w:cs="Arial"/>
          <w:sz w:val="20"/>
          <w:szCs w:val="20"/>
        </w:rPr>
        <w:t>References</w:t>
      </w:r>
      <w:r w:rsidRPr="00080F6E">
        <w:rPr>
          <w:rFonts w:ascii="Arial" w:hAnsi="Arial" w:cs="Arial"/>
          <w:spacing w:val="-2"/>
          <w:sz w:val="20"/>
          <w:szCs w:val="20"/>
        </w:rPr>
        <w:t xml:space="preserve"> </w:t>
      </w:r>
      <w:r w:rsidRPr="00080F6E">
        <w:rPr>
          <w:rFonts w:ascii="Arial" w:hAnsi="Arial" w:cs="Arial"/>
          <w:sz w:val="20"/>
          <w:szCs w:val="20"/>
        </w:rPr>
        <w:t>correspond</w:t>
      </w:r>
      <w:r w:rsidRPr="00080F6E">
        <w:rPr>
          <w:rFonts w:ascii="Arial" w:hAnsi="Arial" w:cs="Arial"/>
          <w:spacing w:val="-3"/>
          <w:sz w:val="20"/>
          <w:szCs w:val="20"/>
        </w:rPr>
        <w:t xml:space="preserve"> </w:t>
      </w:r>
      <w:r w:rsidRPr="00080F6E">
        <w:rPr>
          <w:rFonts w:ascii="Arial" w:hAnsi="Arial" w:cs="Arial"/>
          <w:sz w:val="20"/>
          <w:szCs w:val="20"/>
        </w:rPr>
        <w:t>to</w:t>
      </w:r>
      <w:r w:rsidRPr="00080F6E">
        <w:rPr>
          <w:rFonts w:ascii="Arial" w:hAnsi="Arial" w:cs="Arial"/>
          <w:spacing w:val="-3"/>
          <w:sz w:val="20"/>
          <w:szCs w:val="20"/>
        </w:rPr>
        <w:t xml:space="preserve"> </w:t>
      </w:r>
      <w:r w:rsidRPr="00080F6E">
        <w:rPr>
          <w:rFonts w:ascii="Arial" w:hAnsi="Arial" w:cs="Arial"/>
          <w:sz w:val="20"/>
          <w:szCs w:val="20"/>
        </w:rPr>
        <w:t>published</w:t>
      </w:r>
      <w:r w:rsidRPr="00080F6E">
        <w:rPr>
          <w:rFonts w:ascii="Arial" w:hAnsi="Arial" w:cs="Arial"/>
          <w:spacing w:val="-3"/>
          <w:sz w:val="20"/>
          <w:szCs w:val="20"/>
        </w:rPr>
        <w:t xml:space="preserve"> </w:t>
      </w:r>
      <w:r w:rsidRPr="00080F6E">
        <w:rPr>
          <w:rFonts w:ascii="Arial" w:hAnsi="Arial" w:cs="Arial"/>
          <w:sz w:val="20"/>
          <w:szCs w:val="20"/>
        </w:rPr>
        <w:t>cases</w:t>
      </w:r>
      <w:r w:rsidRPr="00080F6E">
        <w:rPr>
          <w:rFonts w:ascii="Arial" w:hAnsi="Arial" w:cs="Arial"/>
          <w:spacing w:val="-3"/>
          <w:sz w:val="20"/>
          <w:szCs w:val="20"/>
        </w:rPr>
        <w:t xml:space="preserve"> </w:t>
      </w:r>
      <w:r w:rsidRPr="00080F6E">
        <w:rPr>
          <w:rFonts w:ascii="Arial" w:hAnsi="Arial" w:cs="Arial"/>
          <w:sz w:val="20"/>
          <w:szCs w:val="20"/>
        </w:rPr>
        <w:t>in</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4"/>
          <w:sz w:val="20"/>
          <w:szCs w:val="20"/>
        </w:rPr>
        <w:t xml:space="preserve"> </w:t>
      </w:r>
      <w:r w:rsidRPr="00080F6E">
        <w:rPr>
          <w:rFonts w:ascii="Arial" w:hAnsi="Arial" w:cs="Arial"/>
          <w:sz w:val="20"/>
          <w:szCs w:val="20"/>
        </w:rPr>
        <w:t>literature</w:t>
      </w:r>
      <w:r w:rsidRPr="00080F6E">
        <w:rPr>
          <w:rFonts w:ascii="Arial" w:hAnsi="Arial" w:cs="Arial"/>
          <w:spacing w:val="-4"/>
          <w:sz w:val="20"/>
          <w:szCs w:val="20"/>
        </w:rPr>
        <w:t xml:space="preserve"> </w:t>
      </w:r>
      <w:r w:rsidRPr="00080F6E">
        <w:rPr>
          <w:rFonts w:ascii="Arial" w:hAnsi="Arial" w:cs="Arial"/>
          <w:sz w:val="20"/>
          <w:szCs w:val="20"/>
        </w:rPr>
        <w:t>as</w:t>
      </w:r>
      <w:r w:rsidRPr="00080F6E">
        <w:rPr>
          <w:rFonts w:ascii="Arial" w:hAnsi="Arial" w:cs="Arial"/>
          <w:spacing w:val="-3"/>
          <w:sz w:val="20"/>
          <w:szCs w:val="20"/>
        </w:rPr>
        <w:t xml:space="preserve"> </w:t>
      </w:r>
      <w:r w:rsidRPr="00080F6E">
        <w:rPr>
          <w:rFonts w:ascii="Arial" w:hAnsi="Arial" w:cs="Arial"/>
          <w:sz w:val="20"/>
          <w:szCs w:val="20"/>
        </w:rPr>
        <w:t>listed</w:t>
      </w:r>
      <w:r w:rsidRPr="00080F6E">
        <w:rPr>
          <w:rFonts w:ascii="Arial" w:hAnsi="Arial" w:cs="Arial"/>
          <w:spacing w:val="-3"/>
          <w:sz w:val="20"/>
          <w:szCs w:val="20"/>
        </w:rPr>
        <w:t xml:space="preserve"> </w:t>
      </w:r>
      <w:r w:rsidRPr="00080F6E">
        <w:rPr>
          <w:rFonts w:ascii="Arial" w:hAnsi="Arial" w:cs="Arial"/>
          <w:sz w:val="20"/>
          <w:szCs w:val="20"/>
        </w:rPr>
        <w:t>in</w:t>
      </w:r>
      <w:r w:rsidRPr="00080F6E">
        <w:rPr>
          <w:rFonts w:ascii="Arial" w:hAnsi="Arial" w:cs="Arial"/>
          <w:spacing w:val="-3"/>
          <w:sz w:val="20"/>
          <w:szCs w:val="20"/>
        </w:rPr>
        <w:t xml:space="preserve"> </w:t>
      </w:r>
      <w:r w:rsidRPr="00080F6E">
        <w:rPr>
          <w:rFonts w:ascii="Arial" w:hAnsi="Arial" w:cs="Arial"/>
          <w:sz w:val="20"/>
          <w:szCs w:val="20"/>
        </w:rPr>
        <w:t>the</w:t>
      </w:r>
      <w:r w:rsidRPr="00080F6E">
        <w:rPr>
          <w:rFonts w:ascii="Arial" w:hAnsi="Arial" w:cs="Arial"/>
          <w:spacing w:val="-4"/>
          <w:sz w:val="20"/>
          <w:szCs w:val="20"/>
        </w:rPr>
        <w:t xml:space="preserve"> </w:t>
      </w:r>
      <w:r w:rsidRPr="00080F6E">
        <w:rPr>
          <w:rFonts w:ascii="Arial" w:hAnsi="Arial" w:cs="Arial"/>
          <w:sz w:val="20"/>
          <w:szCs w:val="20"/>
        </w:rPr>
        <w:t xml:space="preserve">reference </w:t>
      </w:r>
      <w:r w:rsidRPr="00080F6E">
        <w:rPr>
          <w:rFonts w:ascii="Arial" w:hAnsi="Arial" w:cs="Arial"/>
          <w:spacing w:val="-2"/>
          <w:sz w:val="20"/>
          <w:szCs w:val="20"/>
        </w:rPr>
        <w:t>section</w:t>
      </w:r>
    </w:p>
    <w:p w14:paraId="33E51F6C" w14:textId="77777777" w:rsidR="00A60ECC" w:rsidRDefault="00A60ECC" w:rsidP="00441B6F">
      <w:pPr>
        <w:pStyle w:val="Body"/>
        <w:spacing w:after="0"/>
        <w:rPr>
          <w:rFonts w:ascii="Arial" w:hAnsi="Arial" w:cs="Arial"/>
        </w:rPr>
      </w:pPr>
    </w:p>
    <w:p w14:paraId="77F34A6C" w14:textId="77777777" w:rsidR="00E053D0" w:rsidRDefault="00E053D0" w:rsidP="00441B6F">
      <w:pPr>
        <w:pStyle w:val="Body"/>
        <w:spacing w:after="0"/>
        <w:rPr>
          <w:rFonts w:ascii="Arial" w:hAnsi="Arial" w:cs="Arial"/>
        </w:rPr>
      </w:pPr>
    </w:p>
    <w:p w14:paraId="4B7B096B" w14:textId="77777777" w:rsidR="00790ADA" w:rsidRPr="00FB3A86" w:rsidRDefault="00790ADA" w:rsidP="00441B6F">
      <w:pPr>
        <w:pStyle w:val="Body"/>
        <w:spacing w:after="0"/>
        <w:rPr>
          <w:rFonts w:ascii="Arial" w:hAnsi="Arial" w:cs="Arial"/>
        </w:rPr>
      </w:pPr>
    </w:p>
    <w:p w14:paraId="4A25353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076AB83" w14:textId="77777777" w:rsidR="006D2791" w:rsidRDefault="006D2791" w:rsidP="00441B6F">
      <w:pPr>
        <w:pStyle w:val="ConcHead"/>
        <w:spacing w:after="0"/>
        <w:jc w:val="both"/>
        <w:rPr>
          <w:rFonts w:ascii="Arial" w:hAnsi="Arial" w:cs="Arial"/>
        </w:rPr>
      </w:pPr>
    </w:p>
    <w:p w14:paraId="339E8D18" w14:textId="77777777" w:rsidR="006D2791" w:rsidRPr="006D2791" w:rsidRDefault="006D2791" w:rsidP="006D2791">
      <w:pPr>
        <w:pStyle w:val="BodyText"/>
        <w:spacing w:before="185" w:line="259" w:lineRule="auto"/>
        <w:ind w:right="1414"/>
        <w:jc w:val="both"/>
        <w:rPr>
          <w:rFonts w:ascii="Arial" w:hAnsi="Arial" w:cs="Arial"/>
        </w:rPr>
      </w:pPr>
      <w:r w:rsidRPr="006D2791">
        <w:rPr>
          <w:rFonts w:ascii="Arial" w:hAnsi="Arial" w:cs="Arial"/>
        </w:rPr>
        <w:t>The phenotype-genotype correlation between the identified variants in HIVEP2 and LINGO1 and the neurodevelopmental disorders in our infant demonstrates notable similarities with cases reported in the literature. The severity of the clinical presentation suggests a synergistic</w:t>
      </w:r>
      <w:r w:rsidRPr="006D2791">
        <w:rPr>
          <w:rFonts w:ascii="Arial" w:hAnsi="Arial" w:cs="Arial"/>
          <w:spacing w:val="-3"/>
        </w:rPr>
        <w:t xml:space="preserve"> </w:t>
      </w:r>
      <w:r w:rsidRPr="006D2791">
        <w:rPr>
          <w:rFonts w:ascii="Arial" w:hAnsi="Arial" w:cs="Arial"/>
        </w:rPr>
        <w:t>effect</w:t>
      </w:r>
      <w:r w:rsidRPr="006D2791">
        <w:rPr>
          <w:rFonts w:ascii="Arial" w:hAnsi="Arial" w:cs="Arial"/>
          <w:spacing w:val="-2"/>
        </w:rPr>
        <w:t xml:space="preserve"> </w:t>
      </w:r>
      <w:r w:rsidRPr="006D2791">
        <w:rPr>
          <w:rFonts w:ascii="Arial" w:hAnsi="Arial" w:cs="Arial"/>
        </w:rPr>
        <w:t>of</w:t>
      </w:r>
      <w:r w:rsidRPr="006D2791">
        <w:rPr>
          <w:rFonts w:ascii="Arial" w:hAnsi="Arial" w:cs="Arial"/>
          <w:spacing w:val="-2"/>
        </w:rPr>
        <w:t xml:space="preserve"> </w:t>
      </w:r>
      <w:r w:rsidRPr="006D2791">
        <w:rPr>
          <w:rFonts w:ascii="Arial" w:hAnsi="Arial" w:cs="Arial"/>
        </w:rPr>
        <w:t>these</w:t>
      </w:r>
      <w:r w:rsidRPr="006D2791">
        <w:rPr>
          <w:rFonts w:ascii="Arial" w:hAnsi="Arial" w:cs="Arial"/>
          <w:spacing w:val="-2"/>
        </w:rPr>
        <w:t xml:space="preserve"> </w:t>
      </w:r>
      <w:r w:rsidRPr="006D2791">
        <w:rPr>
          <w:rFonts w:ascii="Arial" w:hAnsi="Arial" w:cs="Arial"/>
        </w:rPr>
        <w:t>two</w:t>
      </w:r>
      <w:r w:rsidRPr="006D2791">
        <w:rPr>
          <w:rFonts w:ascii="Arial" w:hAnsi="Arial" w:cs="Arial"/>
          <w:spacing w:val="-2"/>
        </w:rPr>
        <w:t xml:space="preserve"> </w:t>
      </w:r>
      <w:r w:rsidRPr="006D2791">
        <w:rPr>
          <w:rFonts w:ascii="Arial" w:hAnsi="Arial" w:cs="Arial"/>
        </w:rPr>
        <w:t>mutations.</w:t>
      </w:r>
      <w:r w:rsidRPr="006D2791">
        <w:rPr>
          <w:rFonts w:ascii="Arial" w:hAnsi="Arial" w:cs="Arial"/>
          <w:spacing w:val="-5"/>
        </w:rPr>
        <w:t xml:space="preserve"> </w:t>
      </w:r>
      <w:r w:rsidRPr="006D2791">
        <w:rPr>
          <w:rFonts w:ascii="Arial" w:hAnsi="Arial" w:cs="Arial"/>
        </w:rPr>
        <w:t>The</w:t>
      </w:r>
      <w:r w:rsidRPr="006D2791">
        <w:rPr>
          <w:rFonts w:ascii="Arial" w:hAnsi="Arial" w:cs="Arial"/>
          <w:spacing w:val="-4"/>
        </w:rPr>
        <w:t xml:space="preserve"> </w:t>
      </w:r>
      <w:r w:rsidRPr="006D2791">
        <w:rPr>
          <w:rFonts w:ascii="Arial" w:hAnsi="Arial" w:cs="Arial"/>
        </w:rPr>
        <w:t>challenges</w:t>
      </w:r>
      <w:r w:rsidRPr="006D2791">
        <w:rPr>
          <w:rFonts w:ascii="Arial" w:hAnsi="Arial" w:cs="Arial"/>
          <w:spacing w:val="-3"/>
        </w:rPr>
        <w:t xml:space="preserve"> </w:t>
      </w:r>
      <w:r w:rsidRPr="006D2791">
        <w:rPr>
          <w:rFonts w:ascii="Arial" w:hAnsi="Arial" w:cs="Arial"/>
        </w:rPr>
        <w:t>in</w:t>
      </w:r>
      <w:r w:rsidRPr="006D2791">
        <w:rPr>
          <w:rFonts w:ascii="Arial" w:hAnsi="Arial" w:cs="Arial"/>
          <w:spacing w:val="-2"/>
        </w:rPr>
        <w:t xml:space="preserve"> </w:t>
      </w:r>
      <w:r w:rsidRPr="006D2791">
        <w:rPr>
          <w:rFonts w:ascii="Arial" w:hAnsi="Arial" w:cs="Arial"/>
        </w:rPr>
        <w:t>interpreting</w:t>
      </w:r>
      <w:r w:rsidRPr="006D2791">
        <w:rPr>
          <w:rFonts w:ascii="Arial" w:hAnsi="Arial" w:cs="Arial"/>
          <w:spacing w:val="-3"/>
        </w:rPr>
        <w:t xml:space="preserve"> </w:t>
      </w:r>
      <w:r w:rsidRPr="006D2791">
        <w:rPr>
          <w:rFonts w:ascii="Arial" w:hAnsi="Arial" w:cs="Arial"/>
        </w:rPr>
        <w:t>variants</w:t>
      </w:r>
      <w:r w:rsidRPr="006D2791">
        <w:rPr>
          <w:rFonts w:ascii="Arial" w:hAnsi="Arial" w:cs="Arial"/>
          <w:spacing w:val="-5"/>
        </w:rPr>
        <w:t xml:space="preserve"> </w:t>
      </w:r>
      <w:r w:rsidRPr="006D2791">
        <w:rPr>
          <w:rFonts w:ascii="Arial" w:hAnsi="Arial" w:cs="Arial"/>
        </w:rPr>
        <w:t>of</w:t>
      </w:r>
      <w:r w:rsidRPr="006D2791">
        <w:rPr>
          <w:rFonts w:ascii="Arial" w:hAnsi="Arial" w:cs="Arial"/>
          <w:spacing w:val="-3"/>
        </w:rPr>
        <w:t xml:space="preserve"> </w:t>
      </w:r>
      <w:r w:rsidRPr="006D2791">
        <w:rPr>
          <w:rFonts w:ascii="Arial" w:hAnsi="Arial" w:cs="Arial"/>
        </w:rPr>
        <w:t>uncertain significance in our study underscore the necessity for functional studies to confirm their pathogenicity. This would enable more accurate genetic counseling, facilitate patient and family follow-up planning, and promote the sharing of genetic and clinical data to enhance our understanding of the genetic basis of neurodevelopmental disorders.</w:t>
      </w:r>
    </w:p>
    <w:p w14:paraId="649796A7" w14:textId="77777777" w:rsidR="006D2791" w:rsidRPr="006D2791" w:rsidRDefault="006D2791" w:rsidP="006D2791">
      <w:pPr>
        <w:pStyle w:val="Heading1"/>
        <w:spacing w:before="157"/>
        <w:jc w:val="both"/>
        <w:rPr>
          <w:rFonts w:cs="Arial"/>
          <w:sz w:val="20"/>
        </w:rPr>
      </w:pPr>
      <w:r w:rsidRPr="006D2791">
        <w:rPr>
          <w:rFonts w:cs="Arial"/>
          <w:sz w:val="20"/>
        </w:rPr>
        <w:t>Clinical</w:t>
      </w:r>
      <w:r w:rsidRPr="006D2791">
        <w:rPr>
          <w:rFonts w:cs="Arial"/>
          <w:spacing w:val="-10"/>
          <w:sz w:val="20"/>
        </w:rPr>
        <w:t xml:space="preserve"> </w:t>
      </w:r>
      <w:r w:rsidRPr="006D2791">
        <w:rPr>
          <w:rFonts w:cs="Arial"/>
          <w:sz w:val="20"/>
        </w:rPr>
        <w:t>Implications</w:t>
      </w:r>
      <w:r w:rsidRPr="006D2791">
        <w:rPr>
          <w:rFonts w:cs="Arial"/>
          <w:spacing w:val="-9"/>
          <w:sz w:val="20"/>
        </w:rPr>
        <w:t>:</w:t>
      </w:r>
    </w:p>
    <w:p w14:paraId="267B62B4" w14:textId="77777777" w:rsidR="006D2791" w:rsidRPr="006D2791" w:rsidRDefault="006D2791" w:rsidP="006D2791">
      <w:pPr>
        <w:pStyle w:val="ListParagraph"/>
        <w:numPr>
          <w:ilvl w:val="0"/>
          <w:numId w:val="36"/>
        </w:numPr>
        <w:tabs>
          <w:tab w:val="left" w:pos="2136"/>
        </w:tabs>
        <w:spacing w:before="185" w:line="256" w:lineRule="auto"/>
        <w:ind w:right="1422"/>
        <w:jc w:val="both"/>
        <w:rPr>
          <w:rFonts w:ascii="Arial" w:hAnsi="Arial" w:cs="Arial"/>
          <w:sz w:val="20"/>
          <w:szCs w:val="20"/>
        </w:rPr>
      </w:pPr>
      <w:r w:rsidRPr="006D2791">
        <w:rPr>
          <w:rFonts w:ascii="Arial" w:hAnsi="Arial" w:cs="Arial"/>
          <w:sz w:val="20"/>
          <w:szCs w:val="20"/>
        </w:rPr>
        <w:t>This</w:t>
      </w:r>
      <w:r w:rsidRPr="006D2791">
        <w:rPr>
          <w:rFonts w:ascii="Arial" w:hAnsi="Arial" w:cs="Arial"/>
          <w:spacing w:val="38"/>
          <w:sz w:val="20"/>
          <w:szCs w:val="20"/>
        </w:rPr>
        <w:t xml:space="preserve"> </w:t>
      </w:r>
      <w:r w:rsidRPr="006D2791">
        <w:rPr>
          <w:rFonts w:ascii="Arial" w:hAnsi="Arial" w:cs="Arial"/>
          <w:sz w:val="20"/>
          <w:szCs w:val="20"/>
        </w:rPr>
        <w:t>case</w:t>
      </w:r>
      <w:r w:rsidRPr="006D2791">
        <w:rPr>
          <w:rFonts w:ascii="Arial" w:hAnsi="Arial" w:cs="Arial"/>
          <w:spacing w:val="39"/>
          <w:sz w:val="20"/>
          <w:szCs w:val="20"/>
        </w:rPr>
        <w:t xml:space="preserve"> </w:t>
      </w:r>
      <w:r w:rsidRPr="006D2791">
        <w:rPr>
          <w:rFonts w:ascii="Arial" w:hAnsi="Arial" w:cs="Arial"/>
          <w:sz w:val="20"/>
          <w:szCs w:val="20"/>
        </w:rPr>
        <w:t>expands</w:t>
      </w:r>
      <w:r w:rsidRPr="006D2791">
        <w:rPr>
          <w:rFonts w:ascii="Arial" w:hAnsi="Arial" w:cs="Arial"/>
          <w:spacing w:val="35"/>
          <w:sz w:val="20"/>
          <w:szCs w:val="20"/>
        </w:rPr>
        <w:t xml:space="preserve"> </w:t>
      </w:r>
      <w:r w:rsidRPr="006D2791">
        <w:rPr>
          <w:rFonts w:ascii="Arial" w:hAnsi="Arial" w:cs="Arial"/>
          <w:sz w:val="20"/>
          <w:szCs w:val="20"/>
        </w:rPr>
        <w:t>our</w:t>
      </w:r>
      <w:r w:rsidRPr="006D2791">
        <w:rPr>
          <w:rFonts w:ascii="Arial" w:hAnsi="Arial" w:cs="Arial"/>
          <w:spacing w:val="36"/>
          <w:sz w:val="20"/>
          <w:szCs w:val="20"/>
        </w:rPr>
        <w:t xml:space="preserve"> </w:t>
      </w:r>
      <w:r w:rsidRPr="006D2791">
        <w:rPr>
          <w:rFonts w:ascii="Arial" w:hAnsi="Arial" w:cs="Arial"/>
          <w:sz w:val="20"/>
          <w:szCs w:val="20"/>
        </w:rPr>
        <w:t>understanding</w:t>
      </w:r>
      <w:r w:rsidRPr="006D2791">
        <w:rPr>
          <w:rFonts w:ascii="Arial" w:hAnsi="Arial" w:cs="Arial"/>
          <w:spacing w:val="38"/>
          <w:sz w:val="20"/>
          <w:szCs w:val="20"/>
        </w:rPr>
        <w:t xml:space="preserve"> </w:t>
      </w:r>
      <w:r w:rsidRPr="006D2791">
        <w:rPr>
          <w:rFonts w:ascii="Arial" w:hAnsi="Arial" w:cs="Arial"/>
          <w:sz w:val="20"/>
          <w:szCs w:val="20"/>
        </w:rPr>
        <w:t>of</w:t>
      </w:r>
      <w:r w:rsidRPr="006D2791">
        <w:rPr>
          <w:rFonts w:ascii="Arial" w:hAnsi="Arial" w:cs="Arial"/>
          <w:spacing w:val="37"/>
          <w:sz w:val="20"/>
          <w:szCs w:val="20"/>
        </w:rPr>
        <w:t xml:space="preserve"> </w:t>
      </w:r>
      <w:r w:rsidRPr="006D2791">
        <w:rPr>
          <w:rFonts w:ascii="Arial" w:hAnsi="Arial" w:cs="Arial"/>
          <w:sz w:val="20"/>
          <w:szCs w:val="20"/>
        </w:rPr>
        <w:t>the</w:t>
      </w:r>
      <w:r w:rsidRPr="006D2791">
        <w:rPr>
          <w:rFonts w:ascii="Arial" w:hAnsi="Arial" w:cs="Arial"/>
          <w:spacing w:val="39"/>
          <w:sz w:val="20"/>
          <w:szCs w:val="20"/>
        </w:rPr>
        <w:t xml:space="preserve"> </w:t>
      </w:r>
      <w:r w:rsidRPr="006D2791">
        <w:rPr>
          <w:rFonts w:ascii="Arial" w:hAnsi="Arial" w:cs="Arial"/>
          <w:sz w:val="20"/>
          <w:szCs w:val="20"/>
        </w:rPr>
        <w:t>phenotypic</w:t>
      </w:r>
      <w:r w:rsidRPr="006D2791">
        <w:rPr>
          <w:rFonts w:ascii="Arial" w:hAnsi="Arial" w:cs="Arial"/>
          <w:spacing w:val="38"/>
          <w:sz w:val="20"/>
          <w:szCs w:val="20"/>
        </w:rPr>
        <w:t xml:space="preserve"> </w:t>
      </w:r>
      <w:r w:rsidRPr="006D2791">
        <w:rPr>
          <w:rFonts w:ascii="Arial" w:hAnsi="Arial" w:cs="Arial"/>
          <w:sz w:val="20"/>
          <w:szCs w:val="20"/>
        </w:rPr>
        <w:t>spectrum</w:t>
      </w:r>
      <w:r w:rsidRPr="006D2791">
        <w:rPr>
          <w:rFonts w:ascii="Arial" w:hAnsi="Arial" w:cs="Arial"/>
          <w:spacing w:val="36"/>
          <w:sz w:val="20"/>
          <w:szCs w:val="20"/>
        </w:rPr>
        <w:t xml:space="preserve"> </w:t>
      </w:r>
      <w:r w:rsidRPr="006D2791">
        <w:rPr>
          <w:rFonts w:ascii="Arial" w:hAnsi="Arial" w:cs="Arial"/>
          <w:sz w:val="20"/>
          <w:szCs w:val="20"/>
        </w:rPr>
        <w:t>associated</w:t>
      </w:r>
      <w:r w:rsidRPr="006D2791">
        <w:rPr>
          <w:rFonts w:ascii="Arial" w:hAnsi="Arial" w:cs="Arial"/>
          <w:spacing w:val="40"/>
          <w:sz w:val="20"/>
          <w:szCs w:val="20"/>
        </w:rPr>
        <w:t xml:space="preserve"> </w:t>
      </w:r>
      <w:r w:rsidRPr="006D2791">
        <w:rPr>
          <w:rFonts w:ascii="Arial" w:hAnsi="Arial" w:cs="Arial"/>
          <w:sz w:val="20"/>
          <w:szCs w:val="20"/>
        </w:rPr>
        <w:t>with HIVEP2 and LINGO1 variants</w:t>
      </w:r>
    </w:p>
    <w:p w14:paraId="66866BA7" w14:textId="77777777" w:rsidR="006D2791" w:rsidRPr="006D2791" w:rsidRDefault="006D2791" w:rsidP="006D2791">
      <w:pPr>
        <w:pStyle w:val="ListParagraph"/>
        <w:numPr>
          <w:ilvl w:val="0"/>
          <w:numId w:val="36"/>
        </w:numPr>
        <w:tabs>
          <w:tab w:val="left" w:pos="2136"/>
        </w:tabs>
        <w:spacing w:before="57" w:line="256" w:lineRule="auto"/>
        <w:ind w:right="1422"/>
        <w:jc w:val="both"/>
        <w:rPr>
          <w:rFonts w:ascii="Arial" w:hAnsi="Arial" w:cs="Arial"/>
          <w:sz w:val="20"/>
          <w:szCs w:val="20"/>
        </w:rPr>
      </w:pPr>
      <w:r w:rsidRPr="006D2791">
        <w:rPr>
          <w:rFonts w:ascii="Arial" w:hAnsi="Arial" w:cs="Arial"/>
          <w:sz w:val="20"/>
          <w:szCs w:val="20"/>
        </w:rPr>
        <w:t>It</w:t>
      </w:r>
      <w:r w:rsidRPr="006D2791">
        <w:rPr>
          <w:rFonts w:ascii="Arial" w:hAnsi="Arial" w:cs="Arial"/>
          <w:spacing w:val="80"/>
          <w:sz w:val="20"/>
          <w:szCs w:val="20"/>
        </w:rPr>
        <w:t xml:space="preserve"> </w:t>
      </w:r>
      <w:r w:rsidRPr="006D2791">
        <w:rPr>
          <w:rFonts w:ascii="Arial" w:hAnsi="Arial" w:cs="Arial"/>
          <w:sz w:val="20"/>
          <w:szCs w:val="20"/>
        </w:rPr>
        <w:t>highlights</w:t>
      </w:r>
      <w:r w:rsidRPr="006D2791">
        <w:rPr>
          <w:rFonts w:ascii="Arial" w:hAnsi="Arial" w:cs="Arial"/>
          <w:spacing w:val="80"/>
          <w:sz w:val="20"/>
          <w:szCs w:val="20"/>
        </w:rPr>
        <w:t xml:space="preserve"> </w:t>
      </w:r>
      <w:r w:rsidRPr="006D2791">
        <w:rPr>
          <w:rFonts w:ascii="Arial" w:hAnsi="Arial" w:cs="Arial"/>
          <w:sz w:val="20"/>
          <w:szCs w:val="20"/>
        </w:rPr>
        <w:t>the</w:t>
      </w:r>
      <w:r w:rsidRPr="006D2791">
        <w:rPr>
          <w:rFonts w:ascii="Arial" w:hAnsi="Arial" w:cs="Arial"/>
          <w:spacing w:val="80"/>
          <w:sz w:val="20"/>
          <w:szCs w:val="20"/>
        </w:rPr>
        <w:t xml:space="preserve"> </w:t>
      </w:r>
      <w:r w:rsidRPr="006D2791">
        <w:rPr>
          <w:rFonts w:ascii="Arial" w:hAnsi="Arial" w:cs="Arial"/>
          <w:sz w:val="20"/>
          <w:szCs w:val="20"/>
        </w:rPr>
        <w:t>potential</w:t>
      </w:r>
      <w:r w:rsidRPr="006D2791">
        <w:rPr>
          <w:rFonts w:ascii="Arial" w:hAnsi="Arial" w:cs="Arial"/>
          <w:spacing w:val="80"/>
          <w:sz w:val="20"/>
          <w:szCs w:val="20"/>
        </w:rPr>
        <w:t xml:space="preserve"> </w:t>
      </w:r>
      <w:r w:rsidRPr="006D2791">
        <w:rPr>
          <w:rFonts w:ascii="Arial" w:hAnsi="Arial" w:cs="Arial"/>
          <w:sz w:val="20"/>
          <w:szCs w:val="20"/>
        </w:rPr>
        <w:t>synergistic</w:t>
      </w:r>
      <w:r w:rsidRPr="006D2791">
        <w:rPr>
          <w:rFonts w:ascii="Arial" w:hAnsi="Arial" w:cs="Arial"/>
          <w:spacing w:val="80"/>
          <w:sz w:val="20"/>
          <w:szCs w:val="20"/>
        </w:rPr>
        <w:t xml:space="preserve"> </w:t>
      </w:r>
      <w:r w:rsidRPr="006D2791">
        <w:rPr>
          <w:rFonts w:ascii="Arial" w:hAnsi="Arial" w:cs="Arial"/>
          <w:sz w:val="20"/>
          <w:szCs w:val="20"/>
        </w:rPr>
        <w:t>effects</w:t>
      </w:r>
      <w:r w:rsidRPr="006D2791">
        <w:rPr>
          <w:rFonts w:ascii="Arial" w:hAnsi="Arial" w:cs="Arial"/>
          <w:spacing w:val="80"/>
          <w:sz w:val="20"/>
          <w:szCs w:val="20"/>
        </w:rPr>
        <w:t xml:space="preserve"> </w:t>
      </w:r>
      <w:r w:rsidRPr="006D2791">
        <w:rPr>
          <w:rFonts w:ascii="Arial" w:hAnsi="Arial" w:cs="Arial"/>
          <w:sz w:val="20"/>
          <w:szCs w:val="20"/>
        </w:rPr>
        <w:t>of</w:t>
      </w:r>
      <w:r w:rsidRPr="006D2791">
        <w:rPr>
          <w:rFonts w:ascii="Arial" w:hAnsi="Arial" w:cs="Arial"/>
          <w:spacing w:val="80"/>
          <w:sz w:val="20"/>
          <w:szCs w:val="20"/>
        </w:rPr>
        <w:t xml:space="preserve"> </w:t>
      </w:r>
      <w:r w:rsidRPr="006D2791">
        <w:rPr>
          <w:rFonts w:ascii="Arial" w:hAnsi="Arial" w:cs="Arial"/>
          <w:sz w:val="20"/>
          <w:szCs w:val="20"/>
        </w:rPr>
        <w:t>multiple</w:t>
      </w:r>
      <w:r w:rsidRPr="006D2791">
        <w:rPr>
          <w:rFonts w:ascii="Arial" w:hAnsi="Arial" w:cs="Arial"/>
          <w:spacing w:val="80"/>
          <w:sz w:val="20"/>
          <w:szCs w:val="20"/>
        </w:rPr>
        <w:t xml:space="preserve"> </w:t>
      </w:r>
      <w:r w:rsidRPr="006D2791">
        <w:rPr>
          <w:rFonts w:ascii="Arial" w:hAnsi="Arial" w:cs="Arial"/>
          <w:sz w:val="20"/>
          <w:szCs w:val="20"/>
        </w:rPr>
        <w:t>genetic</w:t>
      </w:r>
      <w:r w:rsidRPr="006D2791">
        <w:rPr>
          <w:rFonts w:ascii="Arial" w:hAnsi="Arial" w:cs="Arial"/>
          <w:spacing w:val="80"/>
          <w:sz w:val="20"/>
          <w:szCs w:val="20"/>
        </w:rPr>
        <w:t xml:space="preserve"> </w:t>
      </w:r>
      <w:r w:rsidRPr="006D2791">
        <w:rPr>
          <w:rFonts w:ascii="Arial" w:hAnsi="Arial" w:cs="Arial"/>
          <w:sz w:val="20"/>
          <w:szCs w:val="20"/>
        </w:rPr>
        <w:t>variants</w:t>
      </w:r>
      <w:r w:rsidRPr="006D2791">
        <w:rPr>
          <w:rFonts w:ascii="Arial" w:hAnsi="Arial" w:cs="Arial"/>
          <w:spacing w:val="80"/>
          <w:sz w:val="20"/>
          <w:szCs w:val="20"/>
        </w:rPr>
        <w:t xml:space="preserve"> </w:t>
      </w:r>
      <w:r w:rsidRPr="006D2791">
        <w:rPr>
          <w:rFonts w:ascii="Arial" w:hAnsi="Arial" w:cs="Arial"/>
          <w:sz w:val="20"/>
          <w:szCs w:val="20"/>
        </w:rPr>
        <w:t>in</w:t>
      </w:r>
      <w:r w:rsidRPr="006D2791">
        <w:rPr>
          <w:rFonts w:ascii="Arial" w:hAnsi="Arial" w:cs="Arial"/>
          <w:spacing w:val="80"/>
          <w:w w:val="150"/>
          <w:sz w:val="20"/>
          <w:szCs w:val="20"/>
        </w:rPr>
        <w:t xml:space="preserve"> </w:t>
      </w:r>
      <w:r w:rsidRPr="006D2791">
        <w:rPr>
          <w:rFonts w:ascii="Arial" w:hAnsi="Arial" w:cs="Arial"/>
          <w:sz w:val="20"/>
          <w:szCs w:val="20"/>
        </w:rPr>
        <w:t>neurodevelopmental disorders</w:t>
      </w:r>
    </w:p>
    <w:p w14:paraId="4DDCE4D2" w14:textId="77777777" w:rsidR="006D2791" w:rsidRPr="006D2791" w:rsidRDefault="006D2791" w:rsidP="006D2791">
      <w:pPr>
        <w:pStyle w:val="ListParagraph"/>
        <w:numPr>
          <w:ilvl w:val="0"/>
          <w:numId w:val="36"/>
        </w:numPr>
        <w:tabs>
          <w:tab w:val="left" w:pos="2136"/>
        </w:tabs>
        <w:spacing w:before="168" w:line="254" w:lineRule="auto"/>
        <w:ind w:right="1423"/>
        <w:jc w:val="both"/>
        <w:rPr>
          <w:rFonts w:ascii="Arial" w:hAnsi="Arial" w:cs="Arial"/>
          <w:sz w:val="20"/>
          <w:szCs w:val="20"/>
        </w:rPr>
      </w:pPr>
      <w:r w:rsidRPr="006D2791">
        <w:rPr>
          <w:rFonts w:ascii="Arial" w:hAnsi="Arial" w:cs="Arial"/>
          <w:sz w:val="20"/>
          <w:szCs w:val="20"/>
        </w:rPr>
        <w:t>The</w:t>
      </w:r>
      <w:r w:rsidRPr="006D2791">
        <w:rPr>
          <w:rFonts w:ascii="Arial" w:hAnsi="Arial" w:cs="Arial"/>
          <w:spacing w:val="40"/>
          <w:sz w:val="20"/>
          <w:szCs w:val="20"/>
        </w:rPr>
        <w:t xml:space="preserve"> </w:t>
      </w:r>
      <w:r w:rsidRPr="006D2791">
        <w:rPr>
          <w:rFonts w:ascii="Arial" w:hAnsi="Arial" w:cs="Arial"/>
          <w:sz w:val="20"/>
          <w:szCs w:val="20"/>
        </w:rPr>
        <w:t>findings</w:t>
      </w:r>
      <w:r w:rsidRPr="006D2791">
        <w:rPr>
          <w:rFonts w:ascii="Arial" w:hAnsi="Arial" w:cs="Arial"/>
          <w:spacing w:val="40"/>
          <w:sz w:val="20"/>
          <w:szCs w:val="20"/>
        </w:rPr>
        <w:t xml:space="preserve"> </w:t>
      </w:r>
      <w:r w:rsidRPr="006D2791">
        <w:rPr>
          <w:rFonts w:ascii="Arial" w:hAnsi="Arial" w:cs="Arial"/>
          <w:sz w:val="20"/>
          <w:szCs w:val="20"/>
        </w:rPr>
        <w:t>emphasize</w:t>
      </w:r>
      <w:r w:rsidRPr="006D2791">
        <w:rPr>
          <w:rFonts w:ascii="Arial" w:hAnsi="Arial" w:cs="Arial"/>
          <w:spacing w:val="40"/>
          <w:sz w:val="20"/>
          <w:szCs w:val="20"/>
        </w:rPr>
        <w:t xml:space="preserve"> </w:t>
      </w:r>
      <w:r w:rsidRPr="006D2791">
        <w:rPr>
          <w:rFonts w:ascii="Arial" w:hAnsi="Arial" w:cs="Arial"/>
          <w:sz w:val="20"/>
          <w:szCs w:val="20"/>
        </w:rPr>
        <w:t>the</w:t>
      </w:r>
      <w:r w:rsidRPr="006D2791">
        <w:rPr>
          <w:rFonts w:ascii="Arial" w:hAnsi="Arial" w:cs="Arial"/>
          <w:spacing w:val="40"/>
          <w:sz w:val="20"/>
          <w:szCs w:val="20"/>
        </w:rPr>
        <w:t xml:space="preserve"> </w:t>
      </w:r>
      <w:r w:rsidRPr="006D2791">
        <w:rPr>
          <w:rFonts w:ascii="Arial" w:hAnsi="Arial" w:cs="Arial"/>
          <w:sz w:val="20"/>
          <w:szCs w:val="20"/>
        </w:rPr>
        <w:t>importance</w:t>
      </w:r>
      <w:r w:rsidRPr="006D2791">
        <w:rPr>
          <w:rFonts w:ascii="Arial" w:hAnsi="Arial" w:cs="Arial"/>
          <w:spacing w:val="40"/>
          <w:sz w:val="20"/>
          <w:szCs w:val="20"/>
        </w:rPr>
        <w:t xml:space="preserve"> </w:t>
      </w:r>
      <w:r w:rsidRPr="006D2791">
        <w:rPr>
          <w:rFonts w:ascii="Arial" w:hAnsi="Arial" w:cs="Arial"/>
          <w:sz w:val="20"/>
          <w:szCs w:val="20"/>
        </w:rPr>
        <w:t>of</w:t>
      </w:r>
      <w:r w:rsidRPr="006D2791">
        <w:rPr>
          <w:rFonts w:ascii="Arial" w:hAnsi="Arial" w:cs="Arial"/>
          <w:spacing w:val="40"/>
          <w:sz w:val="20"/>
          <w:szCs w:val="20"/>
        </w:rPr>
        <w:t xml:space="preserve"> </w:t>
      </w:r>
      <w:r w:rsidRPr="006D2791">
        <w:rPr>
          <w:rFonts w:ascii="Arial" w:hAnsi="Arial" w:cs="Arial"/>
          <w:sz w:val="20"/>
          <w:szCs w:val="20"/>
        </w:rPr>
        <w:t>comprehensive</w:t>
      </w:r>
      <w:r w:rsidRPr="006D2791">
        <w:rPr>
          <w:rFonts w:ascii="Arial" w:hAnsi="Arial" w:cs="Arial"/>
          <w:spacing w:val="40"/>
          <w:sz w:val="20"/>
          <w:szCs w:val="20"/>
        </w:rPr>
        <w:t xml:space="preserve"> </w:t>
      </w:r>
      <w:r w:rsidRPr="006D2791">
        <w:rPr>
          <w:rFonts w:ascii="Arial" w:hAnsi="Arial" w:cs="Arial"/>
          <w:sz w:val="20"/>
          <w:szCs w:val="20"/>
        </w:rPr>
        <w:t>clinical</w:t>
      </w:r>
      <w:r w:rsidRPr="006D2791">
        <w:rPr>
          <w:rFonts w:ascii="Arial" w:hAnsi="Arial" w:cs="Arial"/>
          <w:spacing w:val="40"/>
          <w:sz w:val="20"/>
          <w:szCs w:val="20"/>
        </w:rPr>
        <w:t xml:space="preserve"> </w:t>
      </w:r>
      <w:r w:rsidRPr="006D2791">
        <w:rPr>
          <w:rFonts w:ascii="Arial" w:hAnsi="Arial" w:cs="Arial"/>
          <w:sz w:val="20"/>
          <w:szCs w:val="20"/>
        </w:rPr>
        <w:t>evaluation</w:t>
      </w:r>
      <w:r w:rsidRPr="006D2791">
        <w:rPr>
          <w:rFonts w:ascii="Arial" w:hAnsi="Arial" w:cs="Arial"/>
          <w:spacing w:val="40"/>
          <w:sz w:val="20"/>
          <w:szCs w:val="20"/>
        </w:rPr>
        <w:t xml:space="preserve"> </w:t>
      </w:r>
      <w:r w:rsidRPr="006D2791">
        <w:rPr>
          <w:rFonts w:ascii="Arial" w:hAnsi="Arial" w:cs="Arial"/>
          <w:sz w:val="20"/>
          <w:szCs w:val="20"/>
        </w:rPr>
        <w:t>and long-term follow-up</w:t>
      </w:r>
    </w:p>
    <w:p w14:paraId="2E432F7F" w14:textId="77777777" w:rsidR="006D2791" w:rsidRPr="006D2791" w:rsidRDefault="006D2791" w:rsidP="006D2791">
      <w:pPr>
        <w:pStyle w:val="ListParagraph"/>
        <w:numPr>
          <w:ilvl w:val="0"/>
          <w:numId w:val="36"/>
        </w:numPr>
        <w:tabs>
          <w:tab w:val="left" w:pos="2136"/>
        </w:tabs>
        <w:spacing w:before="171" w:line="254" w:lineRule="auto"/>
        <w:ind w:right="1418"/>
        <w:jc w:val="both"/>
        <w:rPr>
          <w:rFonts w:ascii="Arial" w:hAnsi="Arial" w:cs="Arial"/>
          <w:sz w:val="20"/>
          <w:szCs w:val="20"/>
        </w:rPr>
      </w:pPr>
      <w:r w:rsidRPr="006D2791">
        <w:rPr>
          <w:rFonts w:ascii="Arial" w:hAnsi="Arial" w:cs="Arial"/>
          <w:sz w:val="20"/>
          <w:szCs w:val="20"/>
        </w:rPr>
        <w:t xml:space="preserve">This report contributes to the growing body of evidence needed for accurate variant </w:t>
      </w:r>
      <w:r w:rsidRPr="006D2791">
        <w:rPr>
          <w:rFonts w:ascii="Arial" w:hAnsi="Arial" w:cs="Arial"/>
          <w:spacing w:val="-2"/>
          <w:sz w:val="20"/>
          <w:szCs w:val="20"/>
        </w:rPr>
        <w:t>classification</w:t>
      </w:r>
    </w:p>
    <w:p w14:paraId="6281E17E" w14:textId="77777777" w:rsidR="006D2791" w:rsidRDefault="006D2791" w:rsidP="006D2791">
      <w:pPr>
        <w:tabs>
          <w:tab w:val="left" w:pos="2136"/>
        </w:tabs>
        <w:spacing w:before="171" w:line="254" w:lineRule="auto"/>
        <w:ind w:right="1418"/>
        <w:jc w:val="both"/>
        <w:rPr>
          <w:rFonts w:ascii="Arial" w:hAnsi="Arial" w:cs="Arial"/>
        </w:rPr>
      </w:pPr>
    </w:p>
    <w:p w14:paraId="2BB48E1E" w14:textId="77777777" w:rsidR="006D2791" w:rsidRDefault="006D2791" w:rsidP="006D2791">
      <w:pPr>
        <w:tabs>
          <w:tab w:val="left" w:pos="2136"/>
        </w:tabs>
        <w:spacing w:before="171" w:line="254" w:lineRule="auto"/>
        <w:ind w:right="1418"/>
        <w:jc w:val="both"/>
        <w:rPr>
          <w:rFonts w:ascii="Arial" w:hAnsi="Arial" w:cs="Arial"/>
        </w:rPr>
      </w:pPr>
    </w:p>
    <w:p w14:paraId="48BCEB97" w14:textId="77777777" w:rsidR="006D2791" w:rsidRPr="006D2791" w:rsidRDefault="006D2791" w:rsidP="006D2791">
      <w:pPr>
        <w:tabs>
          <w:tab w:val="left" w:pos="2136"/>
        </w:tabs>
        <w:spacing w:before="171" w:line="254" w:lineRule="auto"/>
        <w:ind w:right="1418"/>
        <w:jc w:val="both"/>
        <w:rPr>
          <w:rFonts w:ascii="Arial" w:hAnsi="Arial" w:cs="Arial"/>
        </w:rPr>
      </w:pPr>
    </w:p>
    <w:p w14:paraId="12A6DFC4" w14:textId="77777777" w:rsidR="00790ADA" w:rsidRPr="00FB3A86" w:rsidRDefault="00790ADA" w:rsidP="00441B6F">
      <w:pPr>
        <w:pStyle w:val="ConcHead"/>
        <w:spacing w:after="0"/>
        <w:jc w:val="both"/>
        <w:rPr>
          <w:rFonts w:ascii="Arial" w:hAnsi="Arial" w:cs="Arial"/>
        </w:rPr>
      </w:pPr>
    </w:p>
    <w:p w14:paraId="26E328DD" w14:textId="77777777" w:rsidR="00315186" w:rsidRPr="00315186" w:rsidRDefault="00315186" w:rsidP="00441B6F"/>
    <w:p w14:paraId="73A364C6" w14:textId="77777777" w:rsidR="00315186" w:rsidRPr="00315186" w:rsidRDefault="00315186" w:rsidP="00441B6F"/>
    <w:p w14:paraId="27C486B9" w14:textId="77777777"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t>
      </w:r>
    </w:p>
    <w:p w14:paraId="39712B05" w14:textId="77777777" w:rsidR="002B685A" w:rsidRPr="002B685A" w:rsidRDefault="002B685A" w:rsidP="00441B6F">
      <w:pPr>
        <w:pStyle w:val="ReferHead"/>
        <w:spacing w:after="0"/>
        <w:jc w:val="both"/>
        <w:rPr>
          <w:rFonts w:ascii="Arial" w:hAnsi="Arial" w:cs="Arial"/>
          <w:bCs/>
        </w:rPr>
      </w:pPr>
    </w:p>
    <w:p w14:paraId="458C210E" w14:textId="77777777" w:rsidR="006D2791" w:rsidRPr="006D2791" w:rsidRDefault="006D2791" w:rsidP="006D2791">
      <w:pPr>
        <w:jc w:val="both"/>
        <w:rPr>
          <w:rFonts w:ascii="Arial" w:hAnsi="Arial" w:cs="Arial"/>
        </w:rPr>
      </w:pPr>
      <w:r w:rsidRPr="006D2791">
        <w:rPr>
          <w:rFonts w:ascii="Arial" w:hAnsi="Arial" w:cs="Arial"/>
        </w:rPr>
        <w:t>Written informed consent was obtained from the patient's parents for publication of this case report and accompanying images. A copy is available for review by the journal's editorial office.</w:t>
      </w:r>
    </w:p>
    <w:p w14:paraId="2BDCDF71" w14:textId="77777777" w:rsidR="001A29D8" w:rsidRDefault="001A29D8" w:rsidP="00441B6F">
      <w:pPr>
        <w:pStyle w:val="ReferHead"/>
        <w:spacing w:after="0"/>
        <w:jc w:val="both"/>
        <w:rPr>
          <w:rFonts w:ascii="Arial" w:hAnsi="Arial" w:cs="Arial"/>
          <w:b w:val="0"/>
          <w:caps w:val="0"/>
          <w:sz w:val="20"/>
        </w:rPr>
      </w:pPr>
    </w:p>
    <w:p w14:paraId="5374C538" w14:textId="77777777" w:rsidR="005C784C" w:rsidRDefault="005C784C" w:rsidP="00441B6F">
      <w:pPr>
        <w:pStyle w:val="ReferHead"/>
        <w:spacing w:after="0"/>
        <w:jc w:val="both"/>
        <w:rPr>
          <w:rFonts w:ascii="Arial" w:hAnsi="Arial" w:cs="Arial"/>
          <w:b w:val="0"/>
          <w:caps w:val="0"/>
          <w:sz w:val="20"/>
        </w:rPr>
      </w:pPr>
    </w:p>
    <w:p w14:paraId="41BEE703"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3B1269F" w14:textId="77777777" w:rsidR="005C784C" w:rsidRPr="002B685A" w:rsidRDefault="005C784C" w:rsidP="00441B6F">
      <w:pPr>
        <w:pStyle w:val="ReferHead"/>
        <w:spacing w:after="0"/>
        <w:jc w:val="both"/>
        <w:rPr>
          <w:rFonts w:ascii="Arial" w:hAnsi="Arial" w:cs="Arial"/>
          <w:bCs/>
        </w:rPr>
      </w:pPr>
    </w:p>
    <w:p w14:paraId="4E237502" w14:textId="77777777" w:rsidR="00CD6856" w:rsidRPr="006D2791" w:rsidRDefault="006D2791" w:rsidP="006D2791">
      <w:pPr>
        <w:jc w:val="both"/>
        <w:rPr>
          <w:rFonts w:ascii="Arial" w:hAnsi="Arial" w:cs="Arial"/>
          <w:b/>
          <w:caps/>
        </w:rPr>
      </w:pPr>
      <w:r w:rsidRPr="006D2791">
        <w:rPr>
          <w:rFonts w:ascii="Arial" w:hAnsi="Arial" w:cs="Arial"/>
        </w:rPr>
        <w:t xml:space="preserve">Ethical approval was obtained from the institutional ethics committee of </w:t>
      </w:r>
      <w:r w:rsidRPr="006D2791">
        <w:rPr>
          <w:rFonts w:ascii="Arial" w:hAnsi="Arial" w:cs="Arial"/>
          <w:bCs/>
          <w:color w:val="000000" w:themeColor="text1"/>
        </w:rPr>
        <w:t>Mohammed</w:t>
      </w:r>
      <w:r w:rsidRPr="006D2791">
        <w:rPr>
          <w:rFonts w:ascii="Arial" w:hAnsi="Arial" w:cs="Arial"/>
          <w:bCs/>
          <w:color w:val="000000" w:themeColor="text1"/>
          <w:spacing w:val="-5"/>
        </w:rPr>
        <w:t xml:space="preserve"> </w:t>
      </w:r>
      <w:r w:rsidRPr="006D2791">
        <w:rPr>
          <w:rFonts w:ascii="Arial" w:hAnsi="Arial" w:cs="Arial"/>
          <w:bCs/>
          <w:color w:val="000000" w:themeColor="text1"/>
        </w:rPr>
        <w:t>V</w:t>
      </w:r>
      <w:r w:rsidRPr="006D2791">
        <w:rPr>
          <w:rFonts w:ascii="Arial" w:hAnsi="Arial" w:cs="Arial"/>
          <w:bCs/>
          <w:color w:val="000000" w:themeColor="text1"/>
          <w:spacing w:val="-4"/>
        </w:rPr>
        <w:t xml:space="preserve"> </w:t>
      </w:r>
      <w:r w:rsidRPr="006D2791">
        <w:rPr>
          <w:rFonts w:ascii="Arial" w:hAnsi="Arial" w:cs="Arial"/>
          <w:bCs/>
          <w:color w:val="000000" w:themeColor="text1"/>
        </w:rPr>
        <w:t>military</w:t>
      </w:r>
      <w:r w:rsidRPr="006D2791">
        <w:rPr>
          <w:rFonts w:ascii="Arial" w:hAnsi="Arial" w:cs="Arial"/>
          <w:bCs/>
          <w:color w:val="000000" w:themeColor="text1"/>
          <w:spacing w:val="-5"/>
        </w:rPr>
        <w:t xml:space="preserve"> </w:t>
      </w:r>
      <w:r w:rsidRPr="006D2791">
        <w:rPr>
          <w:rFonts w:ascii="Arial" w:hAnsi="Arial" w:cs="Arial"/>
          <w:bCs/>
          <w:color w:val="000000" w:themeColor="text1"/>
        </w:rPr>
        <w:t>teaching</w:t>
      </w:r>
      <w:r w:rsidRPr="006D2791">
        <w:rPr>
          <w:rFonts w:ascii="Arial" w:hAnsi="Arial" w:cs="Arial"/>
          <w:bCs/>
          <w:color w:val="000000" w:themeColor="text1"/>
          <w:spacing w:val="-4"/>
        </w:rPr>
        <w:t xml:space="preserve"> </w:t>
      </w:r>
      <w:r w:rsidR="00D14099" w:rsidRPr="006D2791">
        <w:rPr>
          <w:rFonts w:ascii="Arial" w:hAnsi="Arial" w:cs="Arial"/>
          <w:bCs/>
          <w:color w:val="000000" w:themeColor="text1"/>
          <w:spacing w:val="-2"/>
        </w:rPr>
        <w:t>hospital</w:t>
      </w:r>
      <w:r w:rsidR="00D14099">
        <w:rPr>
          <w:rFonts w:ascii="Arial" w:hAnsi="Arial" w:cs="Arial"/>
          <w:bCs/>
          <w:color w:val="000000" w:themeColor="text1"/>
          <w:spacing w:val="-2"/>
        </w:rPr>
        <w:t>.</w:t>
      </w:r>
    </w:p>
    <w:p w14:paraId="414CA000" w14:textId="77777777" w:rsidR="00860000" w:rsidRDefault="00860000" w:rsidP="00441B6F">
      <w:pPr>
        <w:pStyle w:val="ReferHead"/>
        <w:spacing w:after="0"/>
        <w:jc w:val="both"/>
        <w:rPr>
          <w:rFonts w:ascii="Arial" w:hAnsi="Arial" w:cs="Arial"/>
          <w:b w:val="0"/>
          <w:caps w:val="0"/>
          <w:sz w:val="20"/>
        </w:rPr>
      </w:pPr>
    </w:p>
    <w:p w14:paraId="33A2E469" w14:textId="77777777" w:rsidR="006D2791" w:rsidRDefault="006D2791" w:rsidP="00441B6F">
      <w:pPr>
        <w:pStyle w:val="ReferHead"/>
        <w:spacing w:after="0"/>
        <w:jc w:val="both"/>
        <w:rPr>
          <w:rFonts w:ascii="Arial" w:hAnsi="Arial" w:cs="Arial"/>
        </w:rPr>
      </w:pPr>
    </w:p>
    <w:p w14:paraId="0B2163C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FD24F5" w14:textId="77777777" w:rsidR="00790ADA" w:rsidRPr="00D14099" w:rsidRDefault="00790ADA" w:rsidP="00441B6F">
      <w:pPr>
        <w:pStyle w:val="ReferHead"/>
        <w:spacing w:after="0"/>
        <w:jc w:val="both"/>
        <w:rPr>
          <w:rFonts w:ascii="Arial" w:hAnsi="Arial" w:cs="Arial"/>
          <w:sz w:val="18"/>
          <w:szCs w:val="18"/>
        </w:rPr>
      </w:pPr>
    </w:p>
    <w:p w14:paraId="4FD82B3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[1] MO A, SNYDER LG, BABINGTON O, CHUNG WK, SAHIN M, SRIVASTAVA S.</w:t>
      </w:r>
    </w:p>
    <w:p w14:paraId="32FF786F"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Neurodevelopmental profile of HIVEP2-related disorders. Dev Med Child Neurol. 2022;64(5):654-661. https://doi.org/10.1111/dmcn.15100</w:t>
      </w:r>
    </w:p>
    <w:p w14:paraId="0DBC19C9" w14:textId="77777777" w:rsidR="001906CB" w:rsidRPr="001906CB" w:rsidRDefault="001906CB" w:rsidP="001906CB">
      <w:pPr>
        <w:pStyle w:val="Body"/>
        <w:rPr>
          <w:rFonts w:ascii="Arial" w:hAnsi="Arial" w:cs="Arial"/>
          <w:sz w:val="18"/>
          <w:szCs w:val="18"/>
        </w:rPr>
      </w:pPr>
    </w:p>
    <w:p w14:paraId="0435F73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[2] ANSAR M, RIAZUDDIN S, SARWAR MT, MAKRYTHANASIS P, PARACHA SA,</w:t>
      </w:r>
    </w:p>
    <w:p w14:paraId="255A69A7"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IQBAL Z, et al. Biallelic variants in the LINGO1 gene are associated with autosomal recessive intellectual disability, microcephaly, and delayed speech and motor skills. Genet Med. 2018;20(7):778-784. https://doi.org/10.1038/gim.2017.113</w:t>
      </w:r>
    </w:p>
    <w:p w14:paraId="1893EFA1" w14:textId="77777777" w:rsidR="001906CB" w:rsidRPr="001906CB" w:rsidRDefault="001906CB" w:rsidP="001906CB">
      <w:pPr>
        <w:pStyle w:val="Body"/>
        <w:rPr>
          <w:rFonts w:ascii="Arial" w:hAnsi="Arial" w:cs="Arial"/>
          <w:sz w:val="18"/>
          <w:szCs w:val="18"/>
        </w:rPr>
      </w:pPr>
    </w:p>
    <w:p w14:paraId="7E5CC3A8"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[3] National Library of Medicine. </w:t>
      </w:r>
      <w:proofErr w:type="spellStart"/>
      <w:r w:rsidRPr="001906CB">
        <w:rPr>
          <w:rFonts w:ascii="Arial" w:hAnsi="Arial" w:cs="Arial"/>
          <w:sz w:val="18"/>
          <w:szCs w:val="18"/>
        </w:rPr>
        <w:t>ClinVar</w:t>
      </w:r>
      <w:proofErr w:type="spellEnd"/>
      <w:r w:rsidRPr="001906CB">
        <w:rPr>
          <w:rFonts w:ascii="Arial" w:hAnsi="Arial" w:cs="Arial"/>
          <w:sz w:val="18"/>
          <w:szCs w:val="18"/>
        </w:rPr>
        <w:t xml:space="preserve"> [Internet]. [Accessed September 19, 2023]. Available at: https://www.ncbi.nlm.nih.gov/clinvar/</w:t>
      </w:r>
    </w:p>
    <w:p w14:paraId="47CB11DF" w14:textId="77777777" w:rsidR="001906CB" w:rsidRPr="001906CB" w:rsidRDefault="001906CB" w:rsidP="001906CB">
      <w:pPr>
        <w:pStyle w:val="Body"/>
        <w:rPr>
          <w:rFonts w:ascii="Arial" w:hAnsi="Arial" w:cs="Arial"/>
          <w:sz w:val="18"/>
          <w:szCs w:val="18"/>
        </w:rPr>
      </w:pPr>
    </w:p>
    <w:p w14:paraId="54796C01"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[4] Laboratory Report. Genetic Analysis Report [Unpublished Internal Report]. Donostia: </w:t>
      </w:r>
      <w:proofErr w:type="spellStart"/>
      <w:r w:rsidRPr="001906CB">
        <w:rPr>
          <w:rFonts w:ascii="Arial" w:hAnsi="Arial" w:cs="Arial"/>
          <w:sz w:val="18"/>
          <w:szCs w:val="18"/>
        </w:rPr>
        <w:t>DNAdata</w:t>
      </w:r>
      <w:proofErr w:type="spellEnd"/>
      <w:r w:rsidRPr="001906CB">
        <w:rPr>
          <w:rFonts w:ascii="Arial" w:hAnsi="Arial" w:cs="Arial"/>
          <w:sz w:val="18"/>
          <w:szCs w:val="18"/>
        </w:rPr>
        <w:t xml:space="preserve"> Laboratory; 2023.</w:t>
      </w:r>
    </w:p>
    <w:p w14:paraId="513153F4" w14:textId="77777777" w:rsidR="001906CB" w:rsidRPr="001906CB" w:rsidRDefault="001906CB" w:rsidP="001906CB">
      <w:pPr>
        <w:pStyle w:val="Body"/>
        <w:rPr>
          <w:rFonts w:ascii="Arial" w:hAnsi="Arial" w:cs="Arial"/>
          <w:sz w:val="18"/>
          <w:szCs w:val="18"/>
        </w:rPr>
      </w:pPr>
    </w:p>
    <w:p w14:paraId="6C6E9F90"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[5] Quental R, Jorge P, Oliveira J, Santos R. Expanding the Phenotypic Spectrum of HIVEP2-Related Intellectual Disability: Description of Two Portuguese Patients and Review of the Literature. Mol </w:t>
      </w:r>
      <w:proofErr w:type="spellStart"/>
      <w:r w:rsidRPr="001906CB">
        <w:rPr>
          <w:rFonts w:ascii="Arial" w:hAnsi="Arial" w:cs="Arial"/>
          <w:sz w:val="18"/>
          <w:szCs w:val="18"/>
        </w:rPr>
        <w:t>Syndromol</w:t>
      </w:r>
      <w:proofErr w:type="spellEnd"/>
      <w:r w:rsidRPr="001906CB">
        <w:rPr>
          <w:rFonts w:ascii="Arial" w:hAnsi="Arial" w:cs="Arial"/>
          <w:sz w:val="18"/>
          <w:szCs w:val="18"/>
        </w:rPr>
        <w:t>. 2022;13(6):397-401. https://doi.org/10.1159/000524636</w:t>
      </w:r>
    </w:p>
    <w:p w14:paraId="6AEC550A" w14:textId="77777777" w:rsidR="001906CB" w:rsidRPr="001906CB" w:rsidRDefault="001906CB" w:rsidP="001906CB">
      <w:pPr>
        <w:pStyle w:val="Body"/>
        <w:rPr>
          <w:rFonts w:ascii="Arial" w:hAnsi="Arial" w:cs="Arial"/>
          <w:sz w:val="18"/>
          <w:szCs w:val="18"/>
        </w:rPr>
      </w:pPr>
    </w:p>
    <w:p w14:paraId="0787590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[6] GONG P, XIANG J, ZHANG Q, XIAO Z, YANG F, LI X, et al. Genetic etiologies in developmental and/or epileptic encephalopathy with electrical status epilepticus during sleep: A cohort study. Front Genet. </w:t>
      </w:r>
      <w:proofErr w:type="gramStart"/>
      <w:r w:rsidRPr="001906CB">
        <w:rPr>
          <w:rFonts w:ascii="Arial" w:hAnsi="Arial" w:cs="Arial"/>
          <w:sz w:val="18"/>
          <w:szCs w:val="18"/>
        </w:rPr>
        <w:t>2021;12:607965</w:t>
      </w:r>
      <w:proofErr w:type="gramEnd"/>
      <w:r w:rsidRPr="001906CB">
        <w:rPr>
          <w:rFonts w:ascii="Arial" w:hAnsi="Arial" w:cs="Arial"/>
          <w:sz w:val="18"/>
          <w:szCs w:val="18"/>
        </w:rPr>
        <w:t>. https://doi.org/10.3389/fgene.2021.607965</w:t>
      </w:r>
    </w:p>
    <w:p w14:paraId="6E6FD0F0" w14:textId="77777777" w:rsidR="001906CB" w:rsidRPr="001906CB" w:rsidRDefault="001906CB" w:rsidP="001906CB">
      <w:pPr>
        <w:pStyle w:val="Body"/>
        <w:rPr>
          <w:rFonts w:ascii="Arial" w:hAnsi="Arial" w:cs="Arial"/>
          <w:sz w:val="18"/>
          <w:szCs w:val="18"/>
        </w:rPr>
      </w:pPr>
    </w:p>
    <w:p w14:paraId="52AF6E23"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[7] SRIVASTAVA S, ENGELS H, SCHANZE I, CREMER K, WIELAND T, MENZEL M,</w:t>
      </w:r>
    </w:p>
    <w:p w14:paraId="2F2124B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et al. Loss-of-function variants in the HIVEP2 gene are a cause of intellectual disability. </w:t>
      </w:r>
      <w:proofErr w:type="spellStart"/>
      <w:r w:rsidRPr="001906CB">
        <w:rPr>
          <w:rFonts w:ascii="Arial" w:hAnsi="Arial" w:cs="Arial"/>
          <w:sz w:val="18"/>
          <w:szCs w:val="18"/>
        </w:rPr>
        <w:t>Eur</w:t>
      </w:r>
      <w:proofErr w:type="spellEnd"/>
      <w:r w:rsidRPr="001906CB">
        <w:rPr>
          <w:rFonts w:ascii="Arial" w:hAnsi="Arial" w:cs="Arial"/>
          <w:sz w:val="18"/>
          <w:szCs w:val="18"/>
        </w:rPr>
        <w:t xml:space="preserve"> J Hum Genet. 2016;24(4):556-561. https://doi.org/10.1038/ejhg.2015.151</w:t>
      </w:r>
    </w:p>
    <w:p w14:paraId="258B08FB" w14:textId="77777777" w:rsidR="001906CB" w:rsidRPr="001906CB" w:rsidRDefault="001906CB" w:rsidP="001906CB">
      <w:pPr>
        <w:pStyle w:val="Body"/>
        <w:rPr>
          <w:rFonts w:ascii="Arial" w:hAnsi="Arial" w:cs="Arial"/>
          <w:sz w:val="18"/>
          <w:szCs w:val="18"/>
        </w:rPr>
      </w:pPr>
    </w:p>
    <w:p w14:paraId="61E44000"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 xml:space="preserve">[8] FERNANDEZ-ENRIGHT F, ANDREWS JL, NEWELL KA, PANTELIS C, HUANG XF. New implications of Lingo-1 and </w:t>
      </w:r>
      <w:proofErr w:type="gramStart"/>
      <w:r w:rsidRPr="001906CB">
        <w:rPr>
          <w:rFonts w:ascii="Arial" w:hAnsi="Arial" w:cs="Arial"/>
          <w:sz w:val="18"/>
          <w:szCs w:val="18"/>
        </w:rPr>
        <w:t>its</w:t>
      </w:r>
      <w:proofErr w:type="gramEnd"/>
      <w:r w:rsidRPr="001906CB">
        <w:rPr>
          <w:rFonts w:ascii="Arial" w:hAnsi="Arial" w:cs="Arial"/>
          <w:sz w:val="18"/>
          <w:szCs w:val="18"/>
        </w:rPr>
        <w:t xml:space="preserve"> signaling partners in schizophrenia. </w:t>
      </w:r>
      <w:proofErr w:type="spellStart"/>
      <w:r w:rsidRPr="001906CB">
        <w:rPr>
          <w:rFonts w:ascii="Arial" w:hAnsi="Arial" w:cs="Arial"/>
          <w:sz w:val="18"/>
          <w:szCs w:val="18"/>
        </w:rPr>
        <w:t>Transl</w:t>
      </w:r>
      <w:proofErr w:type="spellEnd"/>
      <w:r w:rsidRPr="001906CB">
        <w:rPr>
          <w:rFonts w:ascii="Arial" w:hAnsi="Arial" w:cs="Arial"/>
          <w:sz w:val="18"/>
          <w:szCs w:val="18"/>
        </w:rPr>
        <w:t xml:space="preserve"> Psychiatry. 2014;4(1</w:t>
      </w:r>
      <w:proofErr w:type="gramStart"/>
      <w:r w:rsidRPr="001906CB">
        <w:rPr>
          <w:rFonts w:ascii="Arial" w:hAnsi="Arial" w:cs="Arial"/>
          <w:sz w:val="18"/>
          <w:szCs w:val="18"/>
        </w:rPr>
        <w:t>):e</w:t>
      </w:r>
      <w:proofErr w:type="gramEnd"/>
      <w:r w:rsidRPr="001906CB">
        <w:rPr>
          <w:rFonts w:ascii="Arial" w:hAnsi="Arial" w:cs="Arial"/>
          <w:sz w:val="18"/>
          <w:szCs w:val="18"/>
        </w:rPr>
        <w:t>348. https://doi.org/10.1038/tp.2013.121</w:t>
      </w:r>
    </w:p>
    <w:p w14:paraId="0C783065" w14:textId="77777777" w:rsidR="001906CB" w:rsidRPr="001906CB" w:rsidRDefault="001906CB" w:rsidP="001906CB">
      <w:pPr>
        <w:pStyle w:val="Body"/>
        <w:rPr>
          <w:rFonts w:ascii="Arial" w:hAnsi="Arial" w:cs="Arial"/>
          <w:sz w:val="18"/>
          <w:szCs w:val="18"/>
        </w:rPr>
      </w:pPr>
    </w:p>
    <w:p w14:paraId="79E557D9"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[9] RICHARDS S, AZIZ N, BALE S, BICK D, DAS S, GASTIER-FOSTER J, et al. Standards and guidelines for the interpretation of sequence variants: a joint consensus recommendation of the American College of Medical Genetics and Genomics and the Association for Molecular Pathology. Genet Med. 2015;17(5):405-424. https://doi.org/10.1038/gim.2015.30</w:t>
      </w:r>
    </w:p>
    <w:p w14:paraId="6E6812C5" w14:textId="77777777" w:rsidR="001906CB" w:rsidRPr="001906CB" w:rsidRDefault="001906CB" w:rsidP="001906CB">
      <w:pPr>
        <w:pStyle w:val="Body"/>
        <w:rPr>
          <w:rFonts w:ascii="Arial" w:hAnsi="Arial" w:cs="Arial"/>
          <w:sz w:val="18"/>
          <w:szCs w:val="18"/>
        </w:rPr>
      </w:pPr>
    </w:p>
    <w:p w14:paraId="29A501F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[10] TAKAO K, KOBAYASHI K, HAGIHARA H, OHIRA K, SHOJI H, HATTORI S, et al.</w:t>
      </w:r>
    </w:p>
    <w:p w14:paraId="3A49E21C" w14:textId="77777777" w:rsidR="001906CB" w:rsidRPr="001906CB" w:rsidRDefault="001906CB" w:rsidP="001906CB">
      <w:pPr>
        <w:pStyle w:val="Body"/>
        <w:rPr>
          <w:rFonts w:ascii="Arial" w:hAnsi="Arial" w:cs="Arial"/>
          <w:sz w:val="18"/>
          <w:szCs w:val="18"/>
        </w:rPr>
      </w:pPr>
      <w:r w:rsidRPr="001906CB">
        <w:rPr>
          <w:rFonts w:ascii="Arial" w:hAnsi="Arial" w:cs="Arial"/>
          <w:sz w:val="18"/>
          <w:szCs w:val="18"/>
        </w:rPr>
        <w:t>Deficiency of Schnurri-2, an MHC enhancer-binding protein, induces chronic mild inflammation in the brain and confers molecular, neuronal, and behavioral phenotypes related to schizophrenia. Neuropsychopharmacology.</w:t>
      </w:r>
    </w:p>
    <w:p w14:paraId="75B5A1DC" w14:textId="3F74238A" w:rsidR="00B01FCD" w:rsidRPr="00566EFE" w:rsidRDefault="001906CB" w:rsidP="001906CB">
      <w:pPr>
        <w:pStyle w:val="Body"/>
        <w:spacing w:after="0"/>
        <w:rPr>
          <w:rFonts w:ascii="Arial" w:hAnsi="Arial" w:cs="Arial"/>
          <w:b/>
          <w:lang w:val="fr-FR"/>
        </w:rPr>
      </w:pPr>
      <w:r w:rsidRPr="001906CB">
        <w:rPr>
          <w:rFonts w:ascii="Arial" w:hAnsi="Arial" w:cs="Arial"/>
          <w:sz w:val="18"/>
          <w:szCs w:val="18"/>
        </w:rPr>
        <w:t>2013;38(8):1409-1425. https://doi.org/10.1038/npp.2013.38</w:t>
      </w:r>
    </w:p>
    <w:sectPr w:rsidR="00B01FCD" w:rsidRPr="00566EFE" w:rsidSect="009671D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303D" w14:textId="77777777" w:rsidR="00EE23E2" w:rsidRDefault="00EE23E2" w:rsidP="00C37E61">
      <w:r>
        <w:separator/>
      </w:r>
    </w:p>
  </w:endnote>
  <w:endnote w:type="continuationSeparator" w:id="0">
    <w:p w14:paraId="0CD52C25" w14:textId="77777777" w:rsidR="00EE23E2" w:rsidRDefault="00EE23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69FC" w14:textId="77777777" w:rsidR="009671D5" w:rsidRDefault="00967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90A4" w14:textId="77777777" w:rsidR="009671D5" w:rsidRDefault="00967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60BE" w14:textId="59C84A35" w:rsidR="00754C9A" w:rsidRPr="006E2AE2" w:rsidRDefault="00754C9A" w:rsidP="006E2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F47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BB488" w14:textId="77777777" w:rsidR="00EE23E2" w:rsidRDefault="00EE23E2" w:rsidP="00C37E61">
      <w:r>
        <w:separator/>
      </w:r>
    </w:p>
  </w:footnote>
  <w:footnote w:type="continuationSeparator" w:id="0">
    <w:p w14:paraId="0534C54E" w14:textId="77777777" w:rsidR="00EE23E2" w:rsidRDefault="00EE23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5E15" w14:textId="43A57517" w:rsidR="009671D5" w:rsidRDefault="009671D5">
    <w:pPr>
      <w:pStyle w:val="Header"/>
    </w:pPr>
    <w:r>
      <w:rPr>
        <w:noProof/>
      </w:rPr>
      <w:pict w14:anchorId="7AF5D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5C53" w14:textId="3747EAF9" w:rsidR="009671D5" w:rsidRDefault="009671D5">
    <w:pPr>
      <w:pStyle w:val="Header"/>
    </w:pPr>
    <w:r>
      <w:rPr>
        <w:noProof/>
      </w:rPr>
      <w:pict w14:anchorId="0663A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5F1E" w14:textId="4232199E" w:rsidR="00296529" w:rsidRPr="00296529" w:rsidRDefault="009671D5" w:rsidP="00296529">
    <w:pPr>
      <w:ind w:left="2160"/>
      <w:jc w:val="center"/>
      <w:rPr>
        <w:rFonts w:ascii="Times New Roman" w:eastAsia="Calibri" w:hAnsi="Times New Roman"/>
        <w:i/>
        <w:sz w:val="18"/>
        <w:szCs w:val="22"/>
      </w:rPr>
    </w:pPr>
    <w:r>
      <w:rPr>
        <w:noProof/>
      </w:rPr>
      <w:pict w14:anchorId="19613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743E0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03EB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67427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6E9AD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37E7E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C763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56AF" w14:textId="6FC82F1F" w:rsidR="009671D5" w:rsidRDefault="009671D5">
    <w:pPr>
      <w:pStyle w:val="Header"/>
    </w:pPr>
    <w:r>
      <w:rPr>
        <w:noProof/>
      </w:rPr>
      <w:pict w14:anchorId="40113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F62F" w14:textId="5119BFA5" w:rsidR="009671D5" w:rsidRDefault="009671D5">
    <w:pPr>
      <w:pStyle w:val="Header"/>
    </w:pPr>
    <w:r>
      <w:rPr>
        <w:noProof/>
      </w:rPr>
      <w:pict w14:anchorId="54AB7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854" w14:textId="0FDCEC30" w:rsidR="009671D5" w:rsidRDefault="009671D5">
    <w:pPr>
      <w:pStyle w:val="Header"/>
    </w:pPr>
    <w:r>
      <w:rPr>
        <w:noProof/>
      </w:rPr>
      <w:pict w14:anchorId="327D6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266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9C32E3"/>
    <w:multiLevelType w:val="hybridMultilevel"/>
    <w:tmpl w:val="B862149E"/>
    <w:lvl w:ilvl="0" w:tplc="4808BBD2">
      <w:start w:val="1"/>
      <w:numFmt w:val="decimal"/>
      <w:lvlText w:val="[%1]"/>
      <w:lvlJc w:val="left"/>
      <w:pPr>
        <w:ind w:left="1759" w:hanging="343"/>
      </w:pPr>
      <w:rPr>
        <w:rFonts w:ascii="Times New Roman" w:eastAsia="Times New Roman" w:hAnsi="Times New Roman" w:cs="Times New Roman" w:hint="default"/>
        <w:b w:val="0"/>
        <w:bCs w:val="0"/>
        <w:i w:val="0"/>
        <w:iCs w:val="0"/>
        <w:spacing w:val="0"/>
        <w:w w:val="100"/>
        <w:sz w:val="24"/>
        <w:szCs w:val="24"/>
        <w:lang w:val="en-US" w:eastAsia="en-US" w:bidi="ar-SA"/>
      </w:rPr>
    </w:lvl>
    <w:lvl w:ilvl="1" w:tplc="F22C21AA">
      <w:start w:val="1"/>
      <w:numFmt w:val="decimal"/>
      <w:lvlText w:val="%2."/>
      <w:lvlJc w:val="left"/>
      <w:pPr>
        <w:ind w:left="21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88A7D78">
      <w:numFmt w:val="bullet"/>
      <w:lvlText w:val="•"/>
      <w:lvlJc w:val="left"/>
      <w:pPr>
        <w:ind w:left="3225" w:hanging="360"/>
      </w:pPr>
      <w:rPr>
        <w:rFonts w:hint="default"/>
        <w:lang w:val="en-US" w:eastAsia="en-US" w:bidi="ar-SA"/>
      </w:rPr>
    </w:lvl>
    <w:lvl w:ilvl="3" w:tplc="E690AE12">
      <w:numFmt w:val="bullet"/>
      <w:lvlText w:val="•"/>
      <w:lvlJc w:val="left"/>
      <w:pPr>
        <w:ind w:left="4310" w:hanging="360"/>
      </w:pPr>
      <w:rPr>
        <w:rFonts w:hint="default"/>
        <w:lang w:val="en-US" w:eastAsia="en-US" w:bidi="ar-SA"/>
      </w:rPr>
    </w:lvl>
    <w:lvl w:ilvl="4" w:tplc="820451A4">
      <w:numFmt w:val="bullet"/>
      <w:lvlText w:val="•"/>
      <w:lvlJc w:val="left"/>
      <w:pPr>
        <w:ind w:left="5395" w:hanging="360"/>
      </w:pPr>
      <w:rPr>
        <w:rFonts w:hint="default"/>
        <w:lang w:val="en-US" w:eastAsia="en-US" w:bidi="ar-SA"/>
      </w:rPr>
    </w:lvl>
    <w:lvl w:ilvl="5" w:tplc="766A2072">
      <w:numFmt w:val="bullet"/>
      <w:lvlText w:val="•"/>
      <w:lvlJc w:val="left"/>
      <w:pPr>
        <w:ind w:left="6480" w:hanging="360"/>
      </w:pPr>
      <w:rPr>
        <w:rFonts w:hint="default"/>
        <w:lang w:val="en-US" w:eastAsia="en-US" w:bidi="ar-SA"/>
      </w:rPr>
    </w:lvl>
    <w:lvl w:ilvl="6" w:tplc="FED6F544">
      <w:numFmt w:val="bullet"/>
      <w:lvlText w:val="•"/>
      <w:lvlJc w:val="left"/>
      <w:pPr>
        <w:ind w:left="7565" w:hanging="360"/>
      </w:pPr>
      <w:rPr>
        <w:rFonts w:hint="default"/>
        <w:lang w:val="en-US" w:eastAsia="en-US" w:bidi="ar-SA"/>
      </w:rPr>
    </w:lvl>
    <w:lvl w:ilvl="7" w:tplc="F98C0492">
      <w:numFmt w:val="bullet"/>
      <w:lvlText w:val="•"/>
      <w:lvlJc w:val="left"/>
      <w:pPr>
        <w:ind w:left="8650" w:hanging="360"/>
      </w:pPr>
      <w:rPr>
        <w:rFonts w:hint="default"/>
        <w:lang w:val="en-US" w:eastAsia="en-US" w:bidi="ar-SA"/>
      </w:rPr>
    </w:lvl>
    <w:lvl w:ilvl="8" w:tplc="C7E8C73E">
      <w:numFmt w:val="bullet"/>
      <w:lvlText w:val="•"/>
      <w:lvlJc w:val="left"/>
      <w:pPr>
        <w:ind w:left="9736" w:hanging="360"/>
      </w:pPr>
      <w:rPr>
        <w:rFonts w:hint="default"/>
        <w:lang w:val="en-US" w:eastAsia="en-US" w:bidi="ar-SA"/>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A75538B"/>
    <w:multiLevelType w:val="hybridMultilevel"/>
    <w:tmpl w:val="93AA6A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4455B78"/>
    <w:multiLevelType w:val="hybridMultilevel"/>
    <w:tmpl w:val="87F0A032"/>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8" w15:restartNumberingAfterBreak="0">
    <w:nsid w:val="464F7581"/>
    <w:multiLevelType w:val="hybridMultilevel"/>
    <w:tmpl w:val="34F85B2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86C43"/>
    <w:multiLevelType w:val="hybridMultilevel"/>
    <w:tmpl w:val="B862149E"/>
    <w:lvl w:ilvl="0" w:tplc="FFFFFFFF">
      <w:start w:val="1"/>
      <w:numFmt w:val="decimal"/>
      <w:lvlText w:val="[%1]"/>
      <w:lvlJc w:val="left"/>
      <w:pPr>
        <w:ind w:left="1759" w:hanging="343"/>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decimal"/>
      <w:lvlText w:val="%2."/>
      <w:lvlJc w:val="left"/>
      <w:pPr>
        <w:ind w:left="21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3225" w:hanging="360"/>
      </w:pPr>
      <w:rPr>
        <w:rFonts w:hint="default"/>
        <w:lang w:val="en-US" w:eastAsia="en-US" w:bidi="ar-SA"/>
      </w:rPr>
    </w:lvl>
    <w:lvl w:ilvl="3" w:tplc="FFFFFFFF">
      <w:numFmt w:val="bullet"/>
      <w:lvlText w:val="•"/>
      <w:lvlJc w:val="left"/>
      <w:pPr>
        <w:ind w:left="4310" w:hanging="360"/>
      </w:pPr>
      <w:rPr>
        <w:rFonts w:hint="default"/>
        <w:lang w:val="en-US" w:eastAsia="en-US" w:bidi="ar-SA"/>
      </w:rPr>
    </w:lvl>
    <w:lvl w:ilvl="4" w:tplc="FFFFFFFF">
      <w:numFmt w:val="bullet"/>
      <w:lvlText w:val="•"/>
      <w:lvlJc w:val="left"/>
      <w:pPr>
        <w:ind w:left="5395" w:hanging="360"/>
      </w:pPr>
      <w:rPr>
        <w:rFonts w:hint="default"/>
        <w:lang w:val="en-US" w:eastAsia="en-US" w:bidi="ar-SA"/>
      </w:rPr>
    </w:lvl>
    <w:lvl w:ilvl="5" w:tplc="FFFFFFFF">
      <w:numFmt w:val="bullet"/>
      <w:lvlText w:val="•"/>
      <w:lvlJc w:val="left"/>
      <w:pPr>
        <w:ind w:left="6480" w:hanging="360"/>
      </w:pPr>
      <w:rPr>
        <w:rFonts w:hint="default"/>
        <w:lang w:val="en-US" w:eastAsia="en-US" w:bidi="ar-SA"/>
      </w:rPr>
    </w:lvl>
    <w:lvl w:ilvl="6" w:tplc="FFFFFFFF">
      <w:numFmt w:val="bullet"/>
      <w:lvlText w:val="•"/>
      <w:lvlJc w:val="left"/>
      <w:pPr>
        <w:ind w:left="7565" w:hanging="360"/>
      </w:pPr>
      <w:rPr>
        <w:rFonts w:hint="default"/>
        <w:lang w:val="en-US" w:eastAsia="en-US" w:bidi="ar-SA"/>
      </w:rPr>
    </w:lvl>
    <w:lvl w:ilvl="7" w:tplc="FFFFFFFF">
      <w:numFmt w:val="bullet"/>
      <w:lvlText w:val="•"/>
      <w:lvlJc w:val="left"/>
      <w:pPr>
        <w:ind w:left="8650" w:hanging="360"/>
      </w:pPr>
      <w:rPr>
        <w:rFonts w:hint="default"/>
        <w:lang w:val="en-US" w:eastAsia="en-US" w:bidi="ar-SA"/>
      </w:rPr>
    </w:lvl>
    <w:lvl w:ilvl="8" w:tplc="FFFFFFFF">
      <w:numFmt w:val="bullet"/>
      <w:lvlText w:val="•"/>
      <w:lvlJc w:val="left"/>
      <w:pPr>
        <w:ind w:left="9736" w:hanging="360"/>
      </w:pPr>
      <w:rPr>
        <w:rFonts w:hint="default"/>
        <w:lang w:val="en-US" w:eastAsia="en-US" w:bidi="ar-SA"/>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F63FB3"/>
    <w:multiLevelType w:val="hybridMultilevel"/>
    <w:tmpl w:val="7FC67580"/>
    <w:lvl w:ilvl="0" w:tplc="040C000F">
      <w:start w:val="1"/>
      <w:numFmt w:val="decimal"/>
      <w:lvlText w:val="%1."/>
      <w:lvlJc w:val="left"/>
      <w:pPr>
        <w:ind w:left="1570" w:hanging="360"/>
      </w:p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C0540"/>
    <w:multiLevelType w:val="hybridMultilevel"/>
    <w:tmpl w:val="26A63AD0"/>
    <w:lvl w:ilvl="0" w:tplc="CAD4BE7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D7461D7C">
      <w:numFmt w:val="bullet"/>
      <w:lvlText w:val="•"/>
      <w:lvlJc w:val="left"/>
      <w:pPr>
        <w:ind w:left="1700" w:hanging="360"/>
      </w:pPr>
      <w:rPr>
        <w:rFonts w:hint="default"/>
        <w:lang w:val="en-US" w:eastAsia="en-US" w:bidi="ar-SA"/>
      </w:rPr>
    </w:lvl>
    <w:lvl w:ilvl="2" w:tplc="A64C5956">
      <w:numFmt w:val="bullet"/>
      <w:lvlText w:val="•"/>
      <w:lvlJc w:val="left"/>
      <w:pPr>
        <w:ind w:left="2677" w:hanging="360"/>
      </w:pPr>
      <w:rPr>
        <w:rFonts w:hint="default"/>
        <w:lang w:val="en-US" w:eastAsia="en-US" w:bidi="ar-SA"/>
      </w:rPr>
    </w:lvl>
    <w:lvl w:ilvl="3" w:tplc="B872925C">
      <w:numFmt w:val="bullet"/>
      <w:lvlText w:val="•"/>
      <w:lvlJc w:val="left"/>
      <w:pPr>
        <w:ind w:left="3653" w:hanging="360"/>
      </w:pPr>
      <w:rPr>
        <w:rFonts w:hint="default"/>
        <w:lang w:val="en-US" w:eastAsia="en-US" w:bidi="ar-SA"/>
      </w:rPr>
    </w:lvl>
    <w:lvl w:ilvl="4" w:tplc="80B879A6">
      <w:numFmt w:val="bullet"/>
      <w:lvlText w:val="•"/>
      <w:lvlJc w:val="left"/>
      <w:pPr>
        <w:ind w:left="4630" w:hanging="360"/>
      </w:pPr>
      <w:rPr>
        <w:rFonts w:hint="default"/>
        <w:lang w:val="en-US" w:eastAsia="en-US" w:bidi="ar-SA"/>
      </w:rPr>
    </w:lvl>
    <w:lvl w:ilvl="5" w:tplc="6BD06448">
      <w:numFmt w:val="bullet"/>
      <w:lvlText w:val="•"/>
      <w:lvlJc w:val="left"/>
      <w:pPr>
        <w:ind w:left="5607" w:hanging="360"/>
      </w:pPr>
      <w:rPr>
        <w:rFonts w:hint="default"/>
        <w:lang w:val="en-US" w:eastAsia="en-US" w:bidi="ar-SA"/>
      </w:rPr>
    </w:lvl>
    <w:lvl w:ilvl="6" w:tplc="A33A4FF0">
      <w:numFmt w:val="bullet"/>
      <w:lvlText w:val="•"/>
      <w:lvlJc w:val="left"/>
      <w:pPr>
        <w:ind w:left="6583" w:hanging="360"/>
      </w:pPr>
      <w:rPr>
        <w:rFonts w:hint="default"/>
        <w:lang w:val="en-US" w:eastAsia="en-US" w:bidi="ar-SA"/>
      </w:rPr>
    </w:lvl>
    <w:lvl w:ilvl="7" w:tplc="24008D2E">
      <w:numFmt w:val="bullet"/>
      <w:lvlText w:val="•"/>
      <w:lvlJc w:val="left"/>
      <w:pPr>
        <w:ind w:left="7560" w:hanging="360"/>
      </w:pPr>
      <w:rPr>
        <w:rFonts w:hint="default"/>
        <w:lang w:val="en-US" w:eastAsia="en-US" w:bidi="ar-SA"/>
      </w:rPr>
    </w:lvl>
    <w:lvl w:ilvl="8" w:tplc="BF6628E0">
      <w:numFmt w:val="bullet"/>
      <w:lvlText w:val="•"/>
      <w:lvlJc w:val="left"/>
      <w:pPr>
        <w:ind w:left="8537" w:hanging="360"/>
      </w:pPr>
      <w:rPr>
        <w:rFonts w:hint="default"/>
        <w:lang w:val="en-US" w:eastAsia="en-US" w:bidi="ar-SA"/>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297044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4151494">
    <w:abstractNumId w:val="19"/>
  </w:num>
  <w:num w:numId="3" w16cid:durableId="1553539882">
    <w:abstractNumId w:val="29"/>
  </w:num>
  <w:num w:numId="4" w16cid:durableId="1448544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43257444">
    <w:abstractNumId w:val="7"/>
  </w:num>
  <w:num w:numId="6" w16cid:durableId="470752991">
    <w:abstractNumId w:val="6"/>
  </w:num>
  <w:num w:numId="7" w16cid:durableId="1033456666">
    <w:abstractNumId w:val="1"/>
  </w:num>
  <w:num w:numId="8" w16cid:durableId="1845002189">
    <w:abstractNumId w:val="12"/>
  </w:num>
  <w:num w:numId="9" w16cid:durableId="1941718696">
    <w:abstractNumId w:val="31"/>
  </w:num>
  <w:num w:numId="10" w16cid:durableId="543099618">
    <w:abstractNumId w:val="2"/>
  </w:num>
  <w:num w:numId="11" w16cid:durableId="288164758">
    <w:abstractNumId w:val="23"/>
  </w:num>
  <w:num w:numId="12" w16cid:durableId="1112825758">
    <w:abstractNumId w:val="3"/>
  </w:num>
  <w:num w:numId="13" w16cid:durableId="1336566885">
    <w:abstractNumId w:val="22"/>
  </w:num>
  <w:num w:numId="14" w16cid:durableId="1673529307">
    <w:abstractNumId w:val="8"/>
  </w:num>
  <w:num w:numId="15" w16cid:durableId="381245771">
    <w:abstractNumId w:val="27"/>
  </w:num>
  <w:num w:numId="16" w16cid:durableId="1015695075">
    <w:abstractNumId w:val="5"/>
  </w:num>
  <w:num w:numId="17" w16cid:durableId="798959930">
    <w:abstractNumId w:val="28"/>
  </w:num>
  <w:num w:numId="18" w16cid:durableId="1318800361">
    <w:abstractNumId w:val="15"/>
  </w:num>
  <w:num w:numId="19" w16cid:durableId="678044119">
    <w:abstractNumId w:val="35"/>
  </w:num>
  <w:num w:numId="20" w16cid:durableId="237328884">
    <w:abstractNumId w:val="11"/>
  </w:num>
  <w:num w:numId="21" w16cid:durableId="1200125138">
    <w:abstractNumId w:val="9"/>
  </w:num>
  <w:num w:numId="22" w16cid:durableId="1678073390">
    <w:abstractNumId w:val="13"/>
  </w:num>
  <w:num w:numId="23" w16cid:durableId="1513647419">
    <w:abstractNumId w:val="25"/>
  </w:num>
  <w:num w:numId="24" w16cid:durableId="843975110">
    <w:abstractNumId w:val="32"/>
  </w:num>
  <w:num w:numId="25" w16cid:durableId="991297564">
    <w:abstractNumId w:val="4"/>
  </w:num>
  <w:num w:numId="26" w16cid:durableId="1819489827">
    <w:abstractNumId w:val="20"/>
  </w:num>
  <w:num w:numId="27" w16cid:durableId="880480559">
    <w:abstractNumId w:val="26"/>
  </w:num>
  <w:num w:numId="28" w16cid:durableId="2051877734">
    <w:abstractNumId w:val="33"/>
  </w:num>
  <w:num w:numId="29" w16cid:durableId="270206505">
    <w:abstractNumId w:val="30"/>
  </w:num>
  <w:num w:numId="30" w16cid:durableId="1949502440">
    <w:abstractNumId w:val="10"/>
  </w:num>
  <w:num w:numId="31" w16cid:durableId="818814538">
    <w:abstractNumId w:val="17"/>
  </w:num>
  <w:num w:numId="32" w16cid:durableId="1533031389">
    <w:abstractNumId w:val="24"/>
  </w:num>
  <w:num w:numId="33" w16cid:durableId="1776559137">
    <w:abstractNumId w:val="16"/>
  </w:num>
  <w:num w:numId="34" w16cid:durableId="1642345690">
    <w:abstractNumId w:val="18"/>
  </w:num>
  <w:num w:numId="35" w16cid:durableId="994600749">
    <w:abstractNumId w:val="14"/>
  </w:num>
  <w:num w:numId="36" w16cid:durableId="1918051322">
    <w:abstractNumId w:val="34"/>
  </w:num>
  <w:num w:numId="37" w16cid:durableId="2214112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F6E"/>
    <w:rsid w:val="00097A59"/>
    <w:rsid w:val="000A47FA"/>
    <w:rsid w:val="000A65D3"/>
    <w:rsid w:val="000B1E33"/>
    <w:rsid w:val="000D689F"/>
    <w:rsid w:val="000E7B7B"/>
    <w:rsid w:val="000E7D62"/>
    <w:rsid w:val="00103357"/>
    <w:rsid w:val="00123C9F"/>
    <w:rsid w:val="00124411"/>
    <w:rsid w:val="0012525B"/>
    <w:rsid w:val="00126190"/>
    <w:rsid w:val="00130F17"/>
    <w:rsid w:val="001320BF"/>
    <w:rsid w:val="00163BC4"/>
    <w:rsid w:val="001653F9"/>
    <w:rsid w:val="001906CB"/>
    <w:rsid w:val="00191062"/>
    <w:rsid w:val="00192B72"/>
    <w:rsid w:val="001A29D8"/>
    <w:rsid w:val="001A4283"/>
    <w:rsid w:val="001A5CAA"/>
    <w:rsid w:val="001B0427"/>
    <w:rsid w:val="001D1046"/>
    <w:rsid w:val="001D3A51"/>
    <w:rsid w:val="001E10D2"/>
    <w:rsid w:val="001E25B4"/>
    <w:rsid w:val="001E44FE"/>
    <w:rsid w:val="00200595"/>
    <w:rsid w:val="00204835"/>
    <w:rsid w:val="00231920"/>
    <w:rsid w:val="0023195C"/>
    <w:rsid w:val="0024282C"/>
    <w:rsid w:val="002460DC"/>
    <w:rsid w:val="00250985"/>
    <w:rsid w:val="002556F6"/>
    <w:rsid w:val="002820B2"/>
    <w:rsid w:val="00283105"/>
    <w:rsid w:val="00284C4C"/>
    <w:rsid w:val="00287E68"/>
    <w:rsid w:val="00296529"/>
    <w:rsid w:val="002B27FB"/>
    <w:rsid w:val="002B685A"/>
    <w:rsid w:val="002C57D2"/>
    <w:rsid w:val="002D314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2380"/>
    <w:rsid w:val="0041027F"/>
    <w:rsid w:val="00412475"/>
    <w:rsid w:val="00423789"/>
    <w:rsid w:val="00440F43"/>
    <w:rsid w:val="00441B6F"/>
    <w:rsid w:val="00446221"/>
    <w:rsid w:val="00450E62"/>
    <w:rsid w:val="004539DB"/>
    <w:rsid w:val="00471A80"/>
    <w:rsid w:val="004850AD"/>
    <w:rsid w:val="004C3369"/>
    <w:rsid w:val="004D305E"/>
    <w:rsid w:val="004D4277"/>
    <w:rsid w:val="00502516"/>
    <w:rsid w:val="00505F06"/>
    <w:rsid w:val="00506828"/>
    <w:rsid w:val="0053056E"/>
    <w:rsid w:val="00553A28"/>
    <w:rsid w:val="00554FDA"/>
    <w:rsid w:val="00566EFE"/>
    <w:rsid w:val="005C7268"/>
    <w:rsid w:val="005C784C"/>
    <w:rsid w:val="005D17F6"/>
    <w:rsid w:val="005E369D"/>
    <w:rsid w:val="005E5539"/>
    <w:rsid w:val="0060035C"/>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2791"/>
    <w:rsid w:val="006D30FF"/>
    <w:rsid w:val="006D6940"/>
    <w:rsid w:val="006E2AE2"/>
    <w:rsid w:val="006E5428"/>
    <w:rsid w:val="006F11EC"/>
    <w:rsid w:val="0070082C"/>
    <w:rsid w:val="00705BE3"/>
    <w:rsid w:val="00714E76"/>
    <w:rsid w:val="00721012"/>
    <w:rsid w:val="007369E6"/>
    <w:rsid w:val="00746E59"/>
    <w:rsid w:val="00754C9A"/>
    <w:rsid w:val="0075599A"/>
    <w:rsid w:val="00761D52"/>
    <w:rsid w:val="0077749E"/>
    <w:rsid w:val="00790ADA"/>
    <w:rsid w:val="007C2BFD"/>
    <w:rsid w:val="007D2288"/>
    <w:rsid w:val="007E088F"/>
    <w:rsid w:val="007F7B32"/>
    <w:rsid w:val="00804BC2"/>
    <w:rsid w:val="0081431A"/>
    <w:rsid w:val="0083216F"/>
    <w:rsid w:val="0085621F"/>
    <w:rsid w:val="00860000"/>
    <w:rsid w:val="00863BD3"/>
    <w:rsid w:val="008641ED"/>
    <w:rsid w:val="00866D66"/>
    <w:rsid w:val="008671C6"/>
    <w:rsid w:val="00875803"/>
    <w:rsid w:val="008A4CBA"/>
    <w:rsid w:val="008B459E"/>
    <w:rsid w:val="008E13AE"/>
    <w:rsid w:val="008E1506"/>
    <w:rsid w:val="008E710C"/>
    <w:rsid w:val="008F69D6"/>
    <w:rsid w:val="00902823"/>
    <w:rsid w:val="00915CA6"/>
    <w:rsid w:val="00927834"/>
    <w:rsid w:val="00942047"/>
    <w:rsid w:val="009500A6"/>
    <w:rsid w:val="00957C18"/>
    <w:rsid w:val="009659BA"/>
    <w:rsid w:val="009671D5"/>
    <w:rsid w:val="00983040"/>
    <w:rsid w:val="009B3FB9"/>
    <w:rsid w:val="009C2465"/>
    <w:rsid w:val="009D35A0"/>
    <w:rsid w:val="009D7EB7"/>
    <w:rsid w:val="009E048A"/>
    <w:rsid w:val="009E08E9"/>
    <w:rsid w:val="009E3839"/>
    <w:rsid w:val="009E3DB9"/>
    <w:rsid w:val="009E5214"/>
    <w:rsid w:val="009E6E35"/>
    <w:rsid w:val="009F0EDA"/>
    <w:rsid w:val="00A03B96"/>
    <w:rsid w:val="00A05B19"/>
    <w:rsid w:val="00A1134E"/>
    <w:rsid w:val="00A24E7E"/>
    <w:rsid w:val="00A258C3"/>
    <w:rsid w:val="00A347C0"/>
    <w:rsid w:val="00A51431"/>
    <w:rsid w:val="00A539AD"/>
    <w:rsid w:val="00A60ECC"/>
    <w:rsid w:val="00A8291F"/>
    <w:rsid w:val="00A94063"/>
    <w:rsid w:val="00AA6219"/>
    <w:rsid w:val="00AA74E0"/>
    <w:rsid w:val="00AB541D"/>
    <w:rsid w:val="00AB703F"/>
    <w:rsid w:val="00AC6BB8"/>
    <w:rsid w:val="00AE008F"/>
    <w:rsid w:val="00B01FCD"/>
    <w:rsid w:val="00B03247"/>
    <w:rsid w:val="00B1776C"/>
    <w:rsid w:val="00B52583"/>
    <w:rsid w:val="00B52896"/>
    <w:rsid w:val="00B840C9"/>
    <w:rsid w:val="00B95236"/>
    <w:rsid w:val="00B96BD9"/>
    <w:rsid w:val="00BA1B01"/>
    <w:rsid w:val="00BA2641"/>
    <w:rsid w:val="00BB37AA"/>
    <w:rsid w:val="00BC4C9B"/>
    <w:rsid w:val="00BC53A0"/>
    <w:rsid w:val="00BE62AD"/>
    <w:rsid w:val="00BF121F"/>
    <w:rsid w:val="00BF1F80"/>
    <w:rsid w:val="00C01ED0"/>
    <w:rsid w:val="00C166EF"/>
    <w:rsid w:val="00C17EB0"/>
    <w:rsid w:val="00C27F5F"/>
    <w:rsid w:val="00C30A0F"/>
    <w:rsid w:val="00C37E61"/>
    <w:rsid w:val="00C70F1B"/>
    <w:rsid w:val="00C71A47"/>
    <w:rsid w:val="00C7464C"/>
    <w:rsid w:val="00C834D5"/>
    <w:rsid w:val="00C85588"/>
    <w:rsid w:val="00C8781B"/>
    <w:rsid w:val="00CD6755"/>
    <w:rsid w:val="00CD6856"/>
    <w:rsid w:val="00CE0089"/>
    <w:rsid w:val="00CE22B0"/>
    <w:rsid w:val="00CE793C"/>
    <w:rsid w:val="00CF193C"/>
    <w:rsid w:val="00D14099"/>
    <w:rsid w:val="00D173F1"/>
    <w:rsid w:val="00D74CB0"/>
    <w:rsid w:val="00D8295D"/>
    <w:rsid w:val="00DA2D1D"/>
    <w:rsid w:val="00DC2A65"/>
    <w:rsid w:val="00DE15F0"/>
    <w:rsid w:val="00DE5663"/>
    <w:rsid w:val="00DE78AA"/>
    <w:rsid w:val="00E025FC"/>
    <w:rsid w:val="00E053D0"/>
    <w:rsid w:val="00E15994"/>
    <w:rsid w:val="00E25F8E"/>
    <w:rsid w:val="00E30B55"/>
    <w:rsid w:val="00E3114E"/>
    <w:rsid w:val="00E31A70"/>
    <w:rsid w:val="00E35B02"/>
    <w:rsid w:val="00E66496"/>
    <w:rsid w:val="00E66B35"/>
    <w:rsid w:val="00E66E10"/>
    <w:rsid w:val="00E769F6"/>
    <w:rsid w:val="00E8407C"/>
    <w:rsid w:val="00E84F3C"/>
    <w:rsid w:val="00EA012C"/>
    <w:rsid w:val="00EC6A55"/>
    <w:rsid w:val="00ED0288"/>
    <w:rsid w:val="00ED4823"/>
    <w:rsid w:val="00EE23E2"/>
    <w:rsid w:val="00EE52CB"/>
    <w:rsid w:val="00EF581D"/>
    <w:rsid w:val="00EF7FD8"/>
    <w:rsid w:val="00F06F59"/>
    <w:rsid w:val="00F17988"/>
    <w:rsid w:val="00F36768"/>
    <w:rsid w:val="00F469F0"/>
    <w:rsid w:val="00F53273"/>
    <w:rsid w:val="00F53402"/>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93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705BE3"/>
    <w:pPr>
      <w:spacing w:after="120"/>
    </w:pPr>
  </w:style>
  <w:style w:type="character" w:customStyle="1" w:styleId="BodyTextChar">
    <w:name w:val="Body Text Char"/>
    <w:basedOn w:val="DefaultParagraphFont"/>
    <w:link w:val="BodyText"/>
    <w:rsid w:val="00705BE3"/>
    <w:rPr>
      <w:rFonts w:ascii="Helvetica" w:hAnsi="Helvetica"/>
    </w:rPr>
  </w:style>
  <w:style w:type="table" w:customStyle="1" w:styleId="TableNormal1">
    <w:name w:val="Table Normal1"/>
    <w:uiPriority w:val="2"/>
    <w:semiHidden/>
    <w:unhideWhenUsed/>
    <w:qFormat/>
    <w:rsid w:val="00A60EC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0ECC"/>
    <w:pPr>
      <w:widowControl w:val="0"/>
      <w:autoSpaceDE w:val="0"/>
      <w:autoSpaceDN w:val="0"/>
      <w:spacing w:before="86"/>
      <w:ind w:left="40"/>
    </w:pPr>
    <w:rPr>
      <w:rFonts w:ascii="Arial MT" w:eastAsia="Arial MT" w:hAnsi="Arial MT" w:cs="Arial MT"/>
      <w:sz w:val="22"/>
      <w:szCs w:val="22"/>
    </w:rPr>
  </w:style>
  <w:style w:type="paragraph" w:styleId="ListParagraph">
    <w:name w:val="List Paragraph"/>
    <w:basedOn w:val="Normal"/>
    <w:uiPriority w:val="1"/>
    <w:qFormat/>
    <w:rsid w:val="00080F6E"/>
    <w:pPr>
      <w:widowControl w:val="0"/>
      <w:autoSpaceDE w:val="0"/>
      <w:autoSpaceDN w:val="0"/>
      <w:ind w:left="2136" w:hanging="36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10</Pages>
  <Words>2714</Words>
  <Characters>15470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18148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1999-07-06T11:00:00Z</cp:lastPrinted>
  <dcterms:created xsi:type="dcterms:W3CDTF">2025-06-22T13:41:00Z</dcterms:created>
  <dcterms:modified xsi:type="dcterms:W3CDTF">2025-06-23T08:08:00Z</dcterms:modified>
</cp:coreProperties>
</file>